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FB02F0">
      <w:pPr>
        <w:tabs>
          <w:tab w:val="left" w:pos="2878"/>
        </w:tabs>
        <w:overflowPunct w:val="0"/>
        <w:autoSpaceDE w:val="0"/>
        <w:autoSpaceDN w:val="0"/>
        <w:spacing w:line="500" w:lineRule="atLeast"/>
        <w:jc w:val="left"/>
        <w:textAlignment w:val="bottom"/>
        <w:rPr>
          <w:rFonts w:ascii="Arial" w:hAnsi="Arial" w:cs="Arial"/>
          <w:b/>
          <w:bCs/>
          <w:spacing w:val="120"/>
          <w:sz w:val="72"/>
          <w:szCs w:val="72"/>
          <w:highlight w:val="none"/>
        </w:rPr>
      </w:pPr>
      <w:bookmarkStart w:id="191" w:name="_GoBack"/>
      <w:bookmarkEnd w:id="191"/>
      <w:r>
        <w:rPr>
          <w:rFonts w:hint="eastAsia" w:ascii="Arial" w:hAnsi="Arial" w:cs="Arial"/>
          <w:b/>
          <w:bCs/>
          <w:spacing w:val="120"/>
          <w:sz w:val="72"/>
          <w:szCs w:val="72"/>
          <w:highlight w:val="none"/>
        </w:rPr>
        <w:tab/>
      </w:r>
    </w:p>
    <w:p w14:paraId="146E8B2E">
      <w:pPr>
        <w:overflowPunct w:val="0"/>
        <w:autoSpaceDE w:val="0"/>
        <w:autoSpaceDN w:val="0"/>
        <w:spacing w:line="500" w:lineRule="atLeast"/>
        <w:jc w:val="center"/>
        <w:textAlignment w:val="bottom"/>
        <w:rPr>
          <w:rFonts w:ascii="Arial" w:hAnsi="Arial" w:cs="Arial"/>
          <w:bCs/>
          <w:sz w:val="72"/>
          <w:szCs w:val="72"/>
          <w:highlight w:val="none"/>
        </w:rPr>
      </w:pPr>
      <w:r>
        <w:rPr>
          <w:rFonts w:ascii="Arial" w:hAnsi="Arial" w:cs="Arial"/>
          <w:b/>
          <w:bCs/>
          <w:spacing w:val="120"/>
          <w:sz w:val="72"/>
          <w:szCs w:val="72"/>
          <w:highlight w:val="none"/>
        </w:rPr>
        <w:t>温州市国有企业采购</w:t>
      </w:r>
    </w:p>
    <w:p w14:paraId="4FACE388">
      <w:pPr>
        <w:overflowPunct w:val="0"/>
        <w:spacing w:line="400" w:lineRule="atLeast"/>
        <w:rPr>
          <w:rFonts w:ascii="Arial" w:hAnsi="Arial" w:cs="Arial"/>
          <w:b/>
          <w:sz w:val="52"/>
          <w:highlight w:val="none"/>
        </w:rPr>
      </w:pPr>
    </w:p>
    <w:p w14:paraId="753393FA">
      <w:pPr>
        <w:overflowPunct w:val="0"/>
        <w:spacing w:line="400" w:lineRule="atLeast"/>
        <w:rPr>
          <w:rFonts w:ascii="Arial" w:hAnsi="Arial" w:cs="Arial"/>
          <w:b/>
          <w:sz w:val="52"/>
          <w:highlight w:val="none"/>
        </w:rPr>
      </w:pPr>
    </w:p>
    <w:p w14:paraId="3618BA5E">
      <w:pPr>
        <w:overflowPunct w:val="0"/>
        <w:spacing w:line="400" w:lineRule="atLeast"/>
        <w:rPr>
          <w:rFonts w:ascii="Arial" w:hAnsi="Arial" w:cs="Arial"/>
          <w:b/>
          <w:sz w:val="52"/>
          <w:highlight w:val="none"/>
        </w:rPr>
      </w:pPr>
    </w:p>
    <w:p w14:paraId="22E81018">
      <w:pPr>
        <w:overflowPunct w:val="0"/>
        <w:spacing w:line="400" w:lineRule="atLeast"/>
        <w:rPr>
          <w:rFonts w:ascii="Arial" w:hAnsi="Arial" w:cs="Arial"/>
          <w:b/>
          <w:sz w:val="52"/>
          <w:highlight w:val="none"/>
        </w:rPr>
      </w:pPr>
    </w:p>
    <w:p w14:paraId="79D03653">
      <w:pPr>
        <w:overflowPunct w:val="0"/>
        <w:autoSpaceDE w:val="0"/>
        <w:autoSpaceDN w:val="0"/>
        <w:spacing w:line="500" w:lineRule="atLeast"/>
        <w:jc w:val="center"/>
        <w:textAlignment w:val="bottom"/>
        <w:rPr>
          <w:rFonts w:ascii="Arial" w:hAnsi="Arial" w:cs="Arial"/>
          <w:b/>
          <w:sz w:val="72"/>
          <w:szCs w:val="72"/>
          <w:highlight w:val="none"/>
        </w:rPr>
      </w:pPr>
      <w:r>
        <w:rPr>
          <w:rFonts w:hint="eastAsia" w:ascii="Arial" w:hAnsi="Arial" w:cs="Arial"/>
          <w:b/>
          <w:bCs/>
          <w:sz w:val="72"/>
          <w:szCs w:val="72"/>
          <w:highlight w:val="none"/>
        </w:rPr>
        <w:t>采 购</w:t>
      </w:r>
      <w:r>
        <w:rPr>
          <w:rFonts w:ascii="Arial" w:hAnsi="Arial" w:cs="Arial"/>
          <w:b/>
          <w:bCs/>
          <w:sz w:val="72"/>
          <w:szCs w:val="72"/>
          <w:highlight w:val="none"/>
        </w:rPr>
        <w:t xml:space="preserve"> 文 件</w:t>
      </w:r>
    </w:p>
    <w:p w14:paraId="0FC6D2C5">
      <w:pPr>
        <w:overflowPunct w:val="0"/>
        <w:spacing w:line="400" w:lineRule="atLeast"/>
        <w:jc w:val="center"/>
        <w:rPr>
          <w:rFonts w:ascii="Arial" w:hAnsi="Arial" w:cs="Arial"/>
          <w:b/>
          <w:sz w:val="32"/>
          <w:highlight w:val="none"/>
        </w:rPr>
      </w:pPr>
    </w:p>
    <w:p w14:paraId="34BA0C14">
      <w:pPr>
        <w:overflowPunct w:val="0"/>
        <w:spacing w:line="400" w:lineRule="exact"/>
        <w:jc w:val="center"/>
        <w:rPr>
          <w:rFonts w:ascii="Arial" w:hAnsi="Arial" w:cs="Arial"/>
          <w:b/>
          <w:bCs/>
          <w:sz w:val="32"/>
          <w:szCs w:val="32"/>
          <w:highlight w:val="none"/>
        </w:rPr>
      </w:pPr>
    </w:p>
    <w:p w14:paraId="7C172BC1">
      <w:pPr>
        <w:overflowPunct w:val="0"/>
        <w:spacing w:line="400" w:lineRule="exact"/>
        <w:jc w:val="center"/>
        <w:rPr>
          <w:rFonts w:ascii="Arial" w:hAnsi="Arial" w:cs="Arial"/>
          <w:b/>
          <w:bCs/>
          <w:sz w:val="32"/>
          <w:szCs w:val="32"/>
          <w:highlight w:val="none"/>
        </w:rPr>
      </w:pPr>
    </w:p>
    <w:p w14:paraId="5D02630F">
      <w:pPr>
        <w:tabs>
          <w:tab w:val="left" w:pos="4860"/>
        </w:tabs>
        <w:overflowPunct w:val="0"/>
        <w:spacing w:line="600" w:lineRule="exact"/>
        <w:ind w:right="1143"/>
        <w:jc w:val="center"/>
        <w:rPr>
          <w:rFonts w:ascii="Arial" w:hAnsi="Arial" w:cs="Arial"/>
          <w:b/>
          <w:spacing w:val="40"/>
          <w:sz w:val="30"/>
          <w:szCs w:val="30"/>
          <w:highlight w:val="none"/>
        </w:rPr>
      </w:pPr>
    </w:p>
    <w:tbl>
      <w:tblPr>
        <w:tblStyle w:val="35"/>
        <w:tblW w:w="0" w:type="auto"/>
        <w:tblInd w:w="7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3"/>
        <w:gridCol w:w="5454"/>
      </w:tblGrid>
      <w:tr w14:paraId="31815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2643" w:type="dxa"/>
            <w:tcBorders>
              <w:top w:val="nil"/>
              <w:left w:val="nil"/>
              <w:bottom w:val="nil"/>
              <w:right w:val="nil"/>
            </w:tcBorders>
            <w:noWrap w:val="0"/>
            <w:vAlign w:val="center"/>
          </w:tcPr>
          <w:p w14:paraId="6AAB8FB9">
            <w:pPr>
              <w:spacing w:line="400" w:lineRule="atLeast"/>
              <w:jc w:val="right"/>
              <w:rPr>
                <w:rFonts w:ascii="Arial" w:hAnsi="Arial" w:eastAsia="宋体" w:cs="Arial"/>
                <w:b/>
                <w:sz w:val="30"/>
                <w:szCs w:val="30"/>
                <w:highlight w:val="none"/>
              </w:rPr>
            </w:pPr>
            <w:r>
              <w:rPr>
                <w:rFonts w:hint="eastAsia" w:ascii="Arial" w:hAnsi="Arial" w:eastAsia="宋体" w:cs="Arial"/>
                <w:b/>
                <w:spacing w:val="40"/>
                <w:sz w:val="30"/>
                <w:szCs w:val="30"/>
                <w:highlight w:val="none"/>
              </w:rPr>
              <w:t>项目编号</w:t>
            </w:r>
            <w:r>
              <w:rPr>
                <w:rFonts w:ascii="Arial" w:hAnsi="Arial" w:eastAsia="宋体" w:cs="Arial"/>
                <w:b/>
                <w:sz w:val="30"/>
                <w:szCs w:val="30"/>
                <w:highlight w:val="none"/>
              </w:rPr>
              <w:t>：</w:t>
            </w:r>
          </w:p>
        </w:tc>
        <w:tc>
          <w:tcPr>
            <w:tcW w:w="5454" w:type="dxa"/>
            <w:tcBorders>
              <w:top w:val="nil"/>
              <w:left w:val="nil"/>
              <w:bottom w:val="nil"/>
              <w:right w:val="nil"/>
            </w:tcBorders>
            <w:noWrap w:val="0"/>
            <w:vAlign w:val="center"/>
          </w:tcPr>
          <w:p w14:paraId="0CBE4C36">
            <w:pPr>
              <w:spacing w:line="400" w:lineRule="atLeast"/>
              <w:jc w:val="left"/>
              <w:rPr>
                <w:rFonts w:hint="eastAsia" w:ascii="Arial" w:hAnsi="Arial" w:eastAsia="宋体" w:cs="Arial"/>
                <w:b/>
                <w:sz w:val="30"/>
                <w:szCs w:val="30"/>
                <w:highlight w:val="none"/>
              </w:rPr>
            </w:pPr>
            <w:r>
              <w:rPr>
                <w:rFonts w:hint="eastAsia" w:ascii="Arial" w:hAnsi="Arial" w:eastAsia="宋体" w:cs="Arial"/>
                <w:b/>
                <w:spacing w:val="12"/>
                <w:sz w:val="30"/>
                <w:szCs w:val="30"/>
                <w:highlight w:val="none"/>
              </w:rPr>
              <w:t>WGSS-JFJT-ZS-2026004</w:t>
            </w:r>
          </w:p>
        </w:tc>
      </w:tr>
      <w:tr w14:paraId="4FA1B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2643" w:type="dxa"/>
            <w:tcBorders>
              <w:top w:val="nil"/>
              <w:left w:val="nil"/>
              <w:bottom w:val="nil"/>
              <w:right w:val="nil"/>
            </w:tcBorders>
            <w:noWrap w:val="0"/>
            <w:vAlign w:val="center"/>
          </w:tcPr>
          <w:p w14:paraId="30E75029">
            <w:pPr>
              <w:spacing w:line="400" w:lineRule="atLeast"/>
              <w:jc w:val="right"/>
              <w:rPr>
                <w:rFonts w:ascii="Arial" w:hAnsi="Arial" w:eastAsia="宋体" w:cs="Arial"/>
                <w:b/>
                <w:sz w:val="30"/>
                <w:szCs w:val="30"/>
                <w:highlight w:val="none"/>
              </w:rPr>
            </w:pPr>
            <w:r>
              <w:rPr>
                <w:rFonts w:ascii="Arial" w:hAnsi="Arial" w:eastAsia="宋体" w:cs="Arial"/>
                <w:b/>
                <w:spacing w:val="40"/>
                <w:sz w:val="30"/>
                <w:szCs w:val="30"/>
                <w:highlight w:val="none"/>
              </w:rPr>
              <w:t>项目名称</w:t>
            </w:r>
            <w:r>
              <w:rPr>
                <w:rFonts w:ascii="Arial" w:hAnsi="Arial" w:eastAsia="宋体" w:cs="Arial"/>
                <w:b/>
                <w:sz w:val="30"/>
                <w:szCs w:val="30"/>
                <w:highlight w:val="none"/>
              </w:rPr>
              <w:t>：</w:t>
            </w:r>
          </w:p>
        </w:tc>
        <w:tc>
          <w:tcPr>
            <w:tcW w:w="5454" w:type="dxa"/>
            <w:tcBorders>
              <w:top w:val="nil"/>
              <w:left w:val="nil"/>
              <w:bottom w:val="nil"/>
              <w:right w:val="nil"/>
            </w:tcBorders>
            <w:noWrap w:val="0"/>
            <w:vAlign w:val="center"/>
          </w:tcPr>
          <w:p w14:paraId="7A8759A0">
            <w:pPr>
              <w:spacing w:line="400" w:lineRule="atLeast"/>
              <w:jc w:val="left"/>
              <w:rPr>
                <w:rFonts w:ascii="Arial" w:hAnsi="Arial" w:eastAsia="宋体" w:cs="Arial"/>
                <w:b/>
                <w:sz w:val="30"/>
                <w:szCs w:val="30"/>
                <w:highlight w:val="none"/>
              </w:rPr>
            </w:pPr>
            <w:r>
              <w:rPr>
                <w:rFonts w:hint="eastAsia" w:ascii="Arial" w:hAnsi="Arial" w:eastAsia="宋体" w:cs="Arial"/>
                <w:b/>
                <w:spacing w:val="12"/>
                <w:sz w:val="30"/>
                <w:szCs w:val="30"/>
                <w:highlight w:val="none"/>
              </w:rPr>
              <w:t>金海湖信息化展厅网络环境设备</w:t>
            </w:r>
          </w:p>
        </w:tc>
      </w:tr>
      <w:tr w14:paraId="12704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2643" w:type="dxa"/>
            <w:tcBorders>
              <w:top w:val="nil"/>
              <w:left w:val="nil"/>
              <w:bottom w:val="nil"/>
              <w:right w:val="nil"/>
            </w:tcBorders>
            <w:noWrap w:val="0"/>
            <w:vAlign w:val="center"/>
          </w:tcPr>
          <w:p w14:paraId="110C9E39">
            <w:pPr>
              <w:spacing w:line="400" w:lineRule="atLeast"/>
              <w:jc w:val="right"/>
              <w:rPr>
                <w:rFonts w:ascii="Arial" w:hAnsi="Arial" w:eastAsia="宋体" w:cs="Arial"/>
                <w:b/>
                <w:sz w:val="30"/>
                <w:szCs w:val="30"/>
                <w:highlight w:val="none"/>
              </w:rPr>
            </w:pPr>
            <w:r>
              <w:rPr>
                <w:rFonts w:ascii="Arial" w:hAnsi="Arial" w:eastAsia="宋体" w:cs="Arial"/>
                <w:b/>
                <w:spacing w:val="40"/>
                <w:sz w:val="30"/>
                <w:szCs w:val="30"/>
                <w:highlight w:val="none"/>
              </w:rPr>
              <w:t>采购方式</w:t>
            </w:r>
            <w:r>
              <w:rPr>
                <w:rFonts w:ascii="Arial" w:hAnsi="Arial" w:eastAsia="宋体" w:cs="Arial"/>
                <w:b/>
                <w:sz w:val="30"/>
                <w:szCs w:val="30"/>
                <w:highlight w:val="none"/>
              </w:rPr>
              <w:t>：</w:t>
            </w:r>
          </w:p>
        </w:tc>
        <w:tc>
          <w:tcPr>
            <w:tcW w:w="5454" w:type="dxa"/>
            <w:tcBorders>
              <w:top w:val="nil"/>
              <w:left w:val="nil"/>
              <w:bottom w:val="nil"/>
              <w:right w:val="nil"/>
            </w:tcBorders>
            <w:noWrap w:val="0"/>
            <w:vAlign w:val="center"/>
          </w:tcPr>
          <w:p w14:paraId="6B38A90C">
            <w:pPr>
              <w:spacing w:line="400" w:lineRule="atLeast"/>
              <w:jc w:val="left"/>
              <w:rPr>
                <w:rFonts w:ascii="Arial" w:hAnsi="Arial" w:eastAsia="宋体" w:cs="Arial"/>
                <w:b/>
                <w:sz w:val="30"/>
                <w:szCs w:val="30"/>
                <w:highlight w:val="none"/>
              </w:rPr>
            </w:pPr>
            <w:r>
              <w:rPr>
                <w:rFonts w:ascii="Arial" w:hAnsi="Arial" w:eastAsia="宋体" w:cs="Arial"/>
                <w:b/>
                <w:sz w:val="30"/>
                <w:szCs w:val="30"/>
                <w:highlight w:val="none"/>
              </w:rPr>
              <w:t>公  开  招  标</w:t>
            </w:r>
          </w:p>
        </w:tc>
      </w:tr>
    </w:tbl>
    <w:p w14:paraId="11B802DB">
      <w:pPr>
        <w:tabs>
          <w:tab w:val="left" w:pos="4860"/>
        </w:tabs>
        <w:overflowPunct w:val="0"/>
        <w:spacing w:line="600" w:lineRule="exact"/>
        <w:ind w:right="1143" w:firstLine="1711" w:firstLineChars="449"/>
        <w:jc w:val="center"/>
        <w:rPr>
          <w:rFonts w:ascii="Arial" w:hAnsi="Arial" w:cs="Arial"/>
          <w:b/>
          <w:spacing w:val="40"/>
          <w:sz w:val="30"/>
          <w:szCs w:val="30"/>
          <w:highlight w:val="none"/>
        </w:rPr>
      </w:pPr>
    </w:p>
    <w:p w14:paraId="39C447A7">
      <w:pPr>
        <w:overflowPunct w:val="0"/>
        <w:jc w:val="center"/>
        <w:rPr>
          <w:rFonts w:ascii="Arial" w:hAnsi="Arial" w:cs="Arial"/>
          <w:b/>
          <w:bCs/>
          <w:sz w:val="24"/>
          <w:highlight w:val="none"/>
        </w:rPr>
      </w:pPr>
    </w:p>
    <w:p w14:paraId="0EAC64BA">
      <w:pPr>
        <w:overflowPunct w:val="0"/>
        <w:jc w:val="center"/>
        <w:rPr>
          <w:rFonts w:ascii="Arial" w:hAnsi="Arial" w:cs="Arial"/>
          <w:b/>
          <w:bCs/>
          <w:sz w:val="24"/>
          <w:highlight w:val="none"/>
        </w:rPr>
      </w:pPr>
    </w:p>
    <w:p w14:paraId="794D7685">
      <w:pPr>
        <w:overflowPunct w:val="0"/>
        <w:spacing w:line="600" w:lineRule="exact"/>
        <w:jc w:val="center"/>
        <w:rPr>
          <w:rFonts w:ascii="Arial" w:hAnsi="Arial" w:cs="Arial"/>
          <w:b/>
          <w:bCs/>
          <w:spacing w:val="120"/>
          <w:sz w:val="28"/>
          <w:szCs w:val="28"/>
          <w:highlight w:val="none"/>
        </w:rPr>
      </w:pPr>
    </w:p>
    <w:p w14:paraId="056B5DB4">
      <w:pPr>
        <w:overflowPunct w:val="0"/>
        <w:spacing w:line="600" w:lineRule="exact"/>
        <w:jc w:val="center"/>
        <w:rPr>
          <w:rFonts w:ascii="Arial" w:hAnsi="Arial" w:cs="Arial"/>
          <w:b/>
          <w:bCs/>
          <w:spacing w:val="120"/>
          <w:sz w:val="72"/>
          <w:szCs w:val="72"/>
          <w:highlight w:val="none"/>
        </w:rPr>
      </w:pPr>
    </w:p>
    <w:tbl>
      <w:tblPr>
        <w:tblStyle w:val="35"/>
        <w:tblpPr w:leftFromText="180" w:rightFromText="180" w:vertAnchor="text" w:horzAnchor="page" w:tblpXSpec="center" w:tblpY="132"/>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25"/>
        <w:gridCol w:w="5430"/>
      </w:tblGrid>
      <w:tr w14:paraId="4F087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2625" w:type="dxa"/>
            <w:tcBorders>
              <w:top w:val="nil"/>
              <w:left w:val="nil"/>
              <w:bottom w:val="nil"/>
              <w:right w:val="nil"/>
            </w:tcBorders>
            <w:noWrap w:val="0"/>
            <w:vAlign w:val="center"/>
          </w:tcPr>
          <w:p w14:paraId="3A35AC25">
            <w:pPr>
              <w:spacing w:line="400" w:lineRule="atLeast"/>
              <w:jc w:val="distribute"/>
              <w:rPr>
                <w:rFonts w:ascii="Arial" w:hAnsi="Arial" w:eastAsia="宋体" w:cs="Arial"/>
                <w:b/>
                <w:spacing w:val="40"/>
                <w:sz w:val="28"/>
                <w:szCs w:val="28"/>
                <w:highlight w:val="none"/>
              </w:rPr>
            </w:pPr>
            <w:r>
              <w:rPr>
                <w:rFonts w:ascii="Arial" w:hAnsi="Arial" w:eastAsia="宋体" w:cs="Arial"/>
                <w:b/>
                <w:sz w:val="28"/>
                <w:szCs w:val="28"/>
                <w:highlight w:val="none"/>
              </w:rPr>
              <w:t>采购人：</w:t>
            </w:r>
          </w:p>
        </w:tc>
        <w:tc>
          <w:tcPr>
            <w:tcW w:w="5430" w:type="dxa"/>
            <w:tcBorders>
              <w:top w:val="nil"/>
              <w:left w:val="nil"/>
              <w:bottom w:val="nil"/>
              <w:right w:val="nil"/>
            </w:tcBorders>
            <w:noWrap w:val="0"/>
            <w:vAlign w:val="center"/>
          </w:tcPr>
          <w:p w14:paraId="4F62136A">
            <w:pPr>
              <w:spacing w:line="400" w:lineRule="atLeast"/>
              <w:jc w:val="left"/>
              <w:rPr>
                <w:rFonts w:ascii="Arial" w:hAnsi="Arial" w:eastAsia="宋体" w:cs="Arial"/>
                <w:b/>
                <w:sz w:val="28"/>
                <w:szCs w:val="28"/>
                <w:highlight w:val="none"/>
              </w:rPr>
            </w:pPr>
            <w:r>
              <w:rPr>
                <w:rFonts w:hint="eastAsia" w:ascii="Arial" w:hAnsi="Arial" w:eastAsia="宋体" w:cs="Arial"/>
                <w:b/>
                <w:spacing w:val="12"/>
                <w:sz w:val="28"/>
                <w:szCs w:val="28"/>
                <w:highlight w:val="none"/>
              </w:rPr>
              <w:t>温州信达交通工程试验检测有限公司</w:t>
            </w:r>
          </w:p>
        </w:tc>
      </w:tr>
      <w:tr w14:paraId="0762D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2625" w:type="dxa"/>
            <w:tcBorders>
              <w:top w:val="nil"/>
              <w:left w:val="nil"/>
              <w:bottom w:val="nil"/>
              <w:right w:val="nil"/>
            </w:tcBorders>
            <w:noWrap w:val="0"/>
            <w:vAlign w:val="center"/>
          </w:tcPr>
          <w:p w14:paraId="5105E1B5">
            <w:pPr>
              <w:spacing w:line="400" w:lineRule="atLeast"/>
              <w:jc w:val="distribute"/>
              <w:rPr>
                <w:rFonts w:ascii="Arial" w:hAnsi="Arial" w:eastAsia="宋体" w:cs="Arial"/>
                <w:b/>
                <w:spacing w:val="40"/>
                <w:sz w:val="28"/>
                <w:szCs w:val="28"/>
                <w:highlight w:val="none"/>
              </w:rPr>
            </w:pPr>
            <w:r>
              <w:rPr>
                <w:rFonts w:hint="eastAsia" w:ascii="Arial" w:hAnsi="Arial" w:eastAsia="宋体" w:cs="Arial"/>
                <w:b/>
                <w:spacing w:val="40"/>
                <w:sz w:val="28"/>
                <w:szCs w:val="28"/>
                <w:highlight w:val="none"/>
              </w:rPr>
              <w:t>采购</w:t>
            </w:r>
            <w:r>
              <w:rPr>
                <w:rFonts w:ascii="Arial" w:hAnsi="Arial" w:eastAsia="宋体" w:cs="Arial"/>
                <w:b/>
                <w:spacing w:val="40"/>
                <w:sz w:val="28"/>
                <w:szCs w:val="28"/>
                <w:highlight w:val="none"/>
              </w:rPr>
              <w:t>代理机构</w:t>
            </w:r>
            <w:r>
              <w:rPr>
                <w:rFonts w:ascii="Arial" w:hAnsi="Arial" w:eastAsia="宋体" w:cs="Arial"/>
                <w:b/>
                <w:sz w:val="28"/>
                <w:szCs w:val="28"/>
                <w:highlight w:val="none"/>
              </w:rPr>
              <w:t>：</w:t>
            </w:r>
          </w:p>
        </w:tc>
        <w:tc>
          <w:tcPr>
            <w:tcW w:w="5430" w:type="dxa"/>
            <w:tcBorders>
              <w:top w:val="nil"/>
              <w:left w:val="nil"/>
              <w:bottom w:val="nil"/>
              <w:right w:val="nil"/>
            </w:tcBorders>
            <w:noWrap w:val="0"/>
            <w:vAlign w:val="center"/>
          </w:tcPr>
          <w:p w14:paraId="40DEABA5">
            <w:pPr>
              <w:spacing w:line="600" w:lineRule="exact"/>
              <w:rPr>
                <w:rFonts w:hint="eastAsia" w:ascii="Arial" w:hAnsi="Arial" w:eastAsia="宋体" w:cs="Arial"/>
                <w:b/>
                <w:sz w:val="28"/>
                <w:szCs w:val="28"/>
                <w:highlight w:val="none"/>
              </w:rPr>
            </w:pPr>
            <w:r>
              <w:rPr>
                <w:rFonts w:hint="eastAsia" w:ascii="Arial" w:hAnsi="Arial" w:eastAsia="宋体" w:cs="Arial"/>
                <w:b/>
                <w:spacing w:val="12"/>
                <w:sz w:val="28"/>
                <w:szCs w:val="28"/>
                <w:highlight w:val="none"/>
              </w:rPr>
              <w:t>大地工程咨询有限公司</w:t>
            </w:r>
          </w:p>
        </w:tc>
      </w:tr>
      <w:tr w14:paraId="5EA68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55" w:type="dxa"/>
            <w:gridSpan w:val="2"/>
            <w:tcBorders>
              <w:top w:val="nil"/>
              <w:left w:val="nil"/>
              <w:bottom w:val="nil"/>
              <w:right w:val="nil"/>
            </w:tcBorders>
            <w:noWrap w:val="0"/>
            <w:vAlign w:val="center"/>
          </w:tcPr>
          <w:p w14:paraId="56C5BAE3">
            <w:pPr>
              <w:spacing w:line="600" w:lineRule="exact"/>
              <w:jc w:val="center"/>
              <w:rPr>
                <w:rFonts w:hint="eastAsia" w:ascii="Arial" w:hAnsi="Arial" w:eastAsia="宋体" w:cs="Arial"/>
                <w:b/>
                <w:sz w:val="28"/>
                <w:szCs w:val="28"/>
                <w:highlight w:val="none"/>
              </w:rPr>
            </w:pPr>
            <w:r>
              <w:rPr>
                <w:rFonts w:ascii="Arial" w:hAnsi="Arial" w:eastAsia="宋体" w:cs="Arial"/>
                <w:b/>
                <w:spacing w:val="40"/>
                <w:sz w:val="28"/>
                <w:szCs w:val="28"/>
                <w:highlight w:val="none"/>
              </w:rPr>
              <w:t>二〇二</w:t>
            </w:r>
            <w:r>
              <w:rPr>
                <w:rFonts w:hint="eastAsia" w:ascii="Arial" w:hAnsi="Arial" w:eastAsia="宋体" w:cs="Arial"/>
                <w:b/>
                <w:spacing w:val="40"/>
                <w:sz w:val="28"/>
                <w:szCs w:val="28"/>
                <w:highlight w:val="none"/>
              </w:rPr>
              <w:t>六</w:t>
            </w:r>
            <w:r>
              <w:rPr>
                <w:rFonts w:ascii="Arial" w:hAnsi="Arial" w:eastAsia="宋体" w:cs="Arial"/>
                <w:b/>
                <w:spacing w:val="40"/>
                <w:sz w:val="28"/>
                <w:szCs w:val="28"/>
                <w:highlight w:val="none"/>
              </w:rPr>
              <w:t>年</w:t>
            </w:r>
            <w:r>
              <w:rPr>
                <w:rFonts w:hint="eastAsia" w:ascii="Arial" w:hAnsi="Arial" w:eastAsia="宋体" w:cs="Arial"/>
                <w:b/>
                <w:spacing w:val="40"/>
                <w:sz w:val="28"/>
                <w:szCs w:val="28"/>
                <w:highlight w:val="none"/>
                <w:lang w:val="en-US" w:eastAsia="zh-CN"/>
              </w:rPr>
              <w:t>八</w:t>
            </w:r>
            <w:r>
              <w:rPr>
                <w:rFonts w:ascii="Arial" w:hAnsi="Arial" w:eastAsia="宋体" w:cs="Arial"/>
                <w:b/>
                <w:spacing w:val="40"/>
                <w:sz w:val="28"/>
                <w:szCs w:val="28"/>
                <w:highlight w:val="none"/>
              </w:rPr>
              <w:t>月</w:t>
            </w:r>
          </w:p>
        </w:tc>
      </w:tr>
    </w:tbl>
    <w:p w14:paraId="65C4A80F">
      <w:pPr>
        <w:overflowPunct w:val="0"/>
        <w:spacing w:line="600" w:lineRule="exact"/>
        <w:jc w:val="center"/>
        <w:rPr>
          <w:rFonts w:ascii="Arial" w:hAnsi="Arial" w:cs="Arial"/>
          <w:b/>
          <w:bCs/>
          <w:spacing w:val="120"/>
          <w:sz w:val="72"/>
          <w:szCs w:val="72"/>
          <w:highlight w:val="none"/>
        </w:rPr>
      </w:pPr>
    </w:p>
    <w:p w14:paraId="7FEA92E7">
      <w:pPr>
        <w:spacing w:line="360" w:lineRule="auto"/>
        <w:jc w:val="center"/>
        <w:rPr>
          <w:rFonts w:hint="eastAsia" w:ascii="宋体" w:hAnsi="宋体" w:cs="宋体"/>
          <w:b/>
          <w:bCs/>
          <w:szCs w:val="21"/>
          <w:highlight w:val="none"/>
        </w:rPr>
      </w:pPr>
      <w:r>
        <w:rPr>
          <w:rFonts w:ascii="Arial" w:hAnsi="Arial" w:cs="Arial"/>
          <w:spacing w:val="40"/>
          <w:sz w:val="30"/>
          <w:szCs w:val="30"/>
          <w:highlight w:val="none"/>
        </w:rPr>
        <w:br w:type="page"/>
      </w:r>
      <w:r>
        <w:rPr>
          <w:rFonts w:hint="eastAsia" w:ascii="宋体" w:hAnsi="宋体" w:cs="宋体"/>
          <w:b/>
          <w:bCs/>
          <w:sz w:val="24"/>
          <w:highlight w:val="none"/>
        </w:rPr>
        <w:t>目    录</w:t>
      </w:r>
    </w:p>
    <w:p w14:paraId="4C59E31C">
      <w:pPr>
        <w:spacing w:line="360" w:lineRule="auto"/>
        <w:jc w:val="center"/>
        <w:rPr>
          <w:rFonts w:hint="eastAsia" w:ascii="宋体" w:hAnsi="宋体" w:cs="宋体"/>
          <w:b/>
          <w:bCs/>
          <w:szCs w:val="21"/>
          <w:highlight w:val="none"/>
        </w:rPr>
      </w:pPr>
    </w:p>
    <w:p w14:paraId="5D9C9CA8">
      <w:pPr>
        <w:pStyle w:val="26"/>
        <w:tabs>
          <w:tab w:val="right" w:leader="dot" w:pos="9355"/>
        </w:tabs>
        <w:rPr>
          <w:highlight w:val="none"/>
        </w:rPr>
      </w:pPr>
      <w:r>
        <w:rPr>
          <w:rFonts w:hint="eastAsia" w:ascii="宋体" w:hAnsi="宋体" w:eastAsia="宋体" w:cs="宋体"/>
          <w:b/>
          <w:bCs w:val="0"/>
          <w:sz w:val="21"/>
          <w:szCs w:val="21"/>
          <w:highlight w:val="none"/>
        </w:rPr>
        <w:fldChar w:fldCharType="begin"/>
      </w:r>
      <w:r>
        <w:rPr>
          <w:rFonts w:hint="eastAsia" w:ascii="宋体" w:hAnsi="宋体" w:eastAsia="宋体" w:cs="宋体"/>
          <w:b/>
          <w:bCs w:val="0"/>
          <w:sz w:val="21"/>
          <w:szCs w:val="21"/>
          <w:highlight w:val="none"/>
        </w:rPr>
        <w:instrText xml:space="preserve"> TOC \o "1-3" \h \z \u </w:instrText>
      </w:r>
      <w:r>
        <w:rPr>
          <w:rFonts w:hint="eastAsia" w:ascii="宋体" w:hAnsi="宋体" w:eastAsia="宋体" w:cs="宋体"/>
          <w:b/>
          <w:bCs w:val="0"/>
          <w:sz w:val="21"/>
          <w:szCs w:val="21"/>
          <w:highlight w:val="none"/>
        </w:rPr>
        <w:fldChar w:fldCharType="separate"/>
      </w:r>
      <w:r>
        <w:rPr>
          <w:rFonts w:hint="eastAsia" w:ascii="宋体" w:hAnsi="宋体" w:eastAsia="宋体" w:cs="宋体"/>
          <w:bCs w:val="0"/>
          <w:szCs w:val="21"/>
          <w:highlight w:val="none"/>
        </w:rPr>
        <w:fldChar w:fldCharType="begin"/>
      </w:r>
      <w:r>
        <w:rPr>
          <w:rFonts w:hint="eastAsia" w:ascii="宋体" w:hAnsi="宋体" w:eastAsia="宋体" w:cs="宋体"/>
          <w:bCs w:val="0"/>
          <w:szCs w:val="21"/>
          <w:highlight w:val="none"/>
        </w:rPr>
        <w:instrText xml:space="preserve"> HYPERLINK \l _Toc17357 </w:instrText>
      </w:r>
      <w:r>
        <w:rPr>
          <w:rFonts w:hint="eastAsia" w:ascii="宋体" w:hAnsi="宋体" w:eastAsia="宋体" w:cs="宋体"/>
          <w:bCs w:val="0"/>
          <w:szCs w:val="21"/>
          <w:highlight w:val="none"/>
        </w:rPr>
        <w:fldChar w:fldCharType="separate"/>
      </w:r>
      <w:r>
        <w:rPr>
          <w:rFonts w:hint="eastAsia" w:ascii="宋体" w:hAnsi="宋体" w:eastAsia="宋体" w:cs="宋体"/>
          <w:kern w:val="1"/>
          <w:szCs w:val="28"/>
          <w:highlight w:val="none"/>
          <w:lang w:eastAsia="zh-CN"/>
        </w:rPr>
        <w:t>温州市交发集团所属温州信达交通工程试验检测有限公司</w:t>
      </w:r>
      <w:r>
        <w:rPr>
          <w:rFonts w:hint="eastAsia" w:ascii="宋体" w:hAnsi="宋体" w:eastAsia="宋体" w:cs="宋体"/>
          <w:kern w:val="1"/>
          <w:szCs w:val="28"/>
          <w:highlight w:val="none"/>
        </w:rPr>
        <w:t>关于</w:t>
      </w:r>
      <w:r>
        <w:rPr>
          <w:rFonts w:hint="eastAsia" w:ascii="宋体" w:hAnsi="宋体" w:eastAsia="宋体" w:cs="宋体"/>
          <w:kern w:val="1"/>
          <w:szCs w:val="28"/>
          <w:highlight w:val="none"/>
          <w:lang w:eastAsia="zh-CN"/>
        </w:rPr>
        <w:t>金海湖信息化展厅网络环境设备</w:t>
      </w:r>
      <w:r>
        <w:rPr>
          <w:rFonts w:hint="eastAsia" w:ascii="宋体" w:hAnsi="宋体" w:eastAsia="宋体" w:cs="宋体"/>
          <w:kern w:val="1"/>
          <w:szCs w:val="28"/>
          <w:highlight w:val="none"/>
          <w:lang w:val="en-US" w:eastAsia="zh-CN"/>
        </w:rPr>
        <w:t>项目（自主）</w:t>
      </w:r>
      <w:r>
        <w:rPr>
          <w:rFonts w:hint="eastAsia" w:ascii="宋体" w:hAnsi="宋体" w:eastAsia="宋体" w:cs="宋体"/>
          <w:kern w:val="1"/>
          <w:szCs w:val="28"/>
          <w:highlight w:val="none"/>
        </w:rPr>
        <w:t>的</w:t>
      </w:r>
      <w:r>
        <w:rPr>
          <w:rFonts w:hint="eastAsia" w:ascii="宋体" w:hAnsi="宋体" w:eastAsia="宋体" w:cs="宋体"/>
          <w:kern w:val="1"/>
          <w:szCs w:val="28"/>
          <w:highlight w:val="none"/>
          <w:lang w:val="en-US" w:eastAsia="zh-CN"/>
        </w:rPr>
        <w:t>采购</w:t>
      </w:r>
      <w:r>
        <w:rPr>
          <w:rFonts w:hint="eastAsia" w:ascii="宋体" w:hAnsi="宋体" w:eastAsia="宋体" w:cs="宋体"/>
          <w:kern w:val="1"/>
          <w:szCs w:val="28"/>
          <w:highlight w:val="none"/>
        </w:rPr>
        <w:t>公告</w:t>
      </w:r>
      <w:r>
        <w:rPr>
          <w:highlight w:val="none"/>
        </w:rPr>
        <w:tab/>
      </w:r>
      <w:r>
        <w:rPr>
          <w:highlight w:val="none"/>
        </w:rPr>
        <w:fldChar w:fldCharType="begin"/>
      </w:r>
      <w:r>
        <w:rPr>
          <w:highlight w:val="none"/>
        </w:rPr>
        <w:instrText xml:space="preserve"> PAGEREF _Toc17357 \h </w:instrText>
      </w:r>
      <w:r>
        <w:rPr>
          <w:highlight w:val="none"/>
        </w:rPr>
        <w:fldChar w:fldCharType="separate"/>
      </w:r>
      <w:r>
        <w:rPr>
          <w:highlight w:val="none"/>
        </w:rPr>
        <w:t>3</w:t>
      </w:r>
      <w:r>
        <w:rPr>
          <w:highlight w:val="none"/>
        </w:rPr>
        <w:fldChar w:fldCharType="end"/>
      </w:r>
      <w:r>
        <w:rPr>
          <w:rFonts w:hint="eastAsia" w:ascii="宋体" w:hAnsi="宋体" w:eastAsia="宋体" w:cs="宋体"/>
          <w:bCs w:val="0"/>
          <w:szCs w:val="21"/>
          <w:highlight w:val="none"/>
        </w:rPr>
        <w:fldChar w:fldCharType="end"/>
      </w:r>
    </w:p>
    <w:p w14:paraId="50504A11">
      <w:pPr>
        <w:pStyle w:val="26"/>
        <w:tabs>
          <w:tab w:val="right" w:leader="dot" w:pos="9355"/>
        </w:tabs>
        <w:rPr>
          <w:highlight w:val="none"/>
        </w:rPr>
      </w:pPr>
      <w:r>
        <w:rPr>
          <w:rFonts w:hint="eastAsia" w:ascii="宋体" w:hAnsi="宋体" w:eastAsia="宋体" w:cs="宋体"/>
          <w:bCs w:val="0"/>
          <w:szCs w:val="21"/>
          <w:highlight w:val="none"/>
        </w:rPr>
        <w:fldChar w:fldCharType="begin"/>
      </w:r>
      <w:r>
        <w:rPr>
          <w:rFonts w:hint="eastAsia" w:ascii="宋体" w:hAnsi="宋体" w:eastAsia="宋体" w:cs="宋体"/>
          <w:bCs w:val="0"/>
          <w:szCs w:val="21"/>
          <w:highlight w:val="none"/>
        </w:rPr>
        <w:instrText xml:space="preserve"> HYPERLINK \l _Toc21812 </w:instrText>
      </w:r>
      <w:r>
        <w:rPr>
          <w:rFonts w:hint="eastAsia" w:ascii="宋体" w:hAnsi="宋体" w:eastAsia="宋体" w:cs="宋体"/>
          <w:bCs w:val="0"/>
          <w:szCs w:val="21"/>
          <w:highlight w:val="none"/>
        </w:rPr>
        <w:fldChar w:fldCharType="separate"/>
      </w:r>
      <w:r>
        <w:rPr>
          <w:rFonts w:hint="eastAsia" w:ascii="宋体" w:hAnsi="宋体" w:eastAsia="宋体" w:cs="宋体"/>
          <w:szCs w:val="28"/>
          <w:highlight w:val="none"/>
          <w:lang w:eastAsia="zh-CN"/>
        </w:rPr>
        <w:t>投标供应商</w:t>
      </w:r>
      <w:r>
        <w:rPr>
          <w:rFonts w:hint="eastAsia" w:ascii="宋体" w:hAnsi="宋体" w:eastAsia="宋体" w:cs="宋体"/>
          <w:szCs w:val="28"/>
          <w:highlight w:val="none"/>
        </w:rPr>
        <w:t>须知前附表</w:t>
      </w:r>
      <w:r>
        <w:rPr>
          <w:highlight w:val="none"/>
        </w:rPr>
        <w:tab/>
      </w:r>
      <w:r>
        <w:rPr>
          <w:highlight w:val="none"/>
        </w:rPr>
        <w:fldChar w:fldCharType="begin"/>
      </w:r>
      <w:r>
        <w:rPr>
          <w:highlight w:val="none"/>
        </w:rPr>
        <w:instrText xml:space="preserve"> PAGEREF _Toc21812 \h </w:instrText>
      </w:r>
      <w:r>
        <w:rPr>
          <w:highlight w:val="none"/>
        </w:rPr>
        <w:fldChar w:fldCharType="separate"/>
      </w:r>
      <w:r>
        <w:rPr>
          <w:highlight w:val="none"/>
        </w:rPr>
        <w:t>8</w:t>
      </w:r>
      <w:r>
        <w:rPr>
          <w:highlight w:val="none"/>
        </w:rPr>
        <w:fldChar w:fldCharType="end"/>
      </w:r>
      <w:r>
        <w:rPr>
          <w:rFonts w:hint="eastAsia" w:ascii="宋体" w:hAnsi="宋体" w:eastAsia="宋体" w:cs="宋体"/>
          <w:bCs w:val="0"/>
          <w:szCs w:val="21"/>
          <w:highlight w:val="none"/>
        </w:rPr>
        <w:fldChar w:fldCharType="end"/>
      </w:r>
    </w:p>
    <w:p w14:paraId="4C287985">
      <w:pPr>
        <w:pStyle w:val="26"/>
        <w:tabs>
          <w:tab w:val="right" w:leader="dot" w:pos="9355"/>
        </w:tabs>
        <w:rPr>
          <w:highlight w:val="none"/>
        </w:rPr>
      </w:pPr>
      <w:r>
        <w:rPr>
          <w:rFonts w:hint="eastAsia" w:ascii="宋体" w:hAnsi="宋体" w:eastAsia="宋体" w:cs="宋体"/>
          <w:bCs w:val="0"/>
          <w:szCs w:val="21"/>
          <w:highlight w:val="none"/>
        </w:rPr>
        <w:fldChar w:fldCharType="begin"/>
      </w:r>
      <w:r>
        <w:rPr>
          <w:rFonts w:hint="eastAsia" w:ascii="宋体" w:hAnsi="宋体" w:eastAsia="宋体" w:cs="宋体"/>
          <w:bCs w:val="0"/>
          <w:szCs w:val="21"/>
          <w:highlight w:val="none"/>
        </w:rPr>
        <w:instrText xml:space="preserve"> HYPERLINK \l _Toc28966 </w:instrText>
      </w:r>
      <w:r>
        <w:rPr>
          <w:rFonts w:hint="eastAsia" w:ascii="宋体" w:hAnsi="宋体" w:eastAsia="宋体" w:cs="宋体"/>
          <w:bCs w:val="0"/>
          <w:szCs w:val="21"/>
          <w:highlight w:val="none"/>
        </w:rPr>
        <w:fldChar w:fldCharType="separate"/>
      </w:r>
      <w:r>
        <w:rPr>
          <w:rFonts w:hint="eastAsia" w:ascii="宋体" w:hAnsi="宋体" w:eastAsia="宋体" w:cs="宋体"/>
          <w:szCs w:val="28"/>
          <w:highlight w:val="none"/>
        </w:rPr>
        <w:t>第一部分</w:t>
      </w:r>
      <w:r>
        <w:rPr>
          <w:rFonts w:hint="eastAsia" w:ascii="宋体" w:hAnsi="宋体" w:eastAsia="宋体" w:cs="宋体"/>
          <w:szCs w:val="28"/>
          <w:highlight w:val="none"/>
          <w:lang w:val="en-US" w:eastAsia="zh-CN"/>
        </w:rPr>
        <w:t xml:space="preserve">  </w:t>
      </w:r>
      <w:r>
        <w:rPr>
          <w:rFonts w:hint="eastAsia" w:ascii="宋体" w:hAnsi="宋体" w:eastAsia="宋体" w:cs="宋体"/>
          <w:szCs w:val="28"/>
          <w:highlight w:val="none"/>
          <w:lang w:eastAsia="zh-CN"/>
        </w:rPr>
        <w:t>投标供应商</w:t>
      </w:r>
      <w:r>
        <w:rPr>
          <w:rFonts w:hint="eastAsia" w:ascii="宋体" w:hAnsi="宋体" w:eastAsia="宋体" w:cs="宋体"/>
          <w:szCs w:val="28"/>
          <w:highlight w:val="none"/>
        </w:rPr>
        <w:t>须知</w:t>
      </w:r>
      <w:r>
        <w:rPr>
          <w:highlight w:val="none"/>
        </w:rPr>
        <w:tab/>
      </w:r>
      <w:r>
        <w:rPr>
          <w:highlight w:val="none"/>
        </w:rPr>
        <w:fldChar w:fldCharType="begin"/>
      </w:r>
      <w:r>
        <w:rPr>
          <w:highlight w:val="none"/>
        </w:rPr>
        <w:instrText xml:space="preserve"> PAGEREF _Toc28966 \h </w:instrText>
      </w:r>
      <w:r>
        <w:rPr>
          <w:highlight w:val="none"/>
        </w:rPr>
        <w:fldChar w:fldCharType="separate"/>
      </w:r>
      <w:r>
        <w:rPr>
          <w:highlight w:val="none"/>
        </w:rPr>
        <w:t>11</w:t>
      </w:r>
      <w:r>
        <w:rPr>
          <w:highlight w:val="none"/>
        </w:rPr>
        <w:fldChar w:fldCharType="end"/>
      </w:r>
      <w:r>
        <w:rPr>
          <w:rFonts w:hint="eastAsia" w:ascii="宋体" w:hAnsi="宋体" w:eastAsia="宋体" w:cs="宋体"/>
          <w:bCs w:val="0"/>
          <w:szCs w:val="21"/>
          <w:highlight w:val="none"/>
        </w:rPr>
        <w:fldChar w:fldCharType="end"/>
      </w:r>
    </w:p>
    <w:p w14:paraId="46040821">
      <w:pPr>
        <w:pStyle w:val="26"/>
        <w:tabs>
          <w:tab w:val="right" w:leader="dot" w:pos="9355"/>
        </w:tabs>
        <w:rPr>
          <w:highlight w:val="none"/>
        </w:rPr>
      </w:pPr>
      <w:r>
        <w:rPr>
          <w:rFonts w:hint="eastAsia" w:ascii="宋体" w:hAnsi="宋体" w:eastAsia="宋体" w:cs="宋体"/>
          <w:bCs w:val="0"/>
          <w:szCs w:val="21"/>
          <w:highlight w:val="none"/>
        </w:rPr>
        <w:fldChar w:fldCharType="begin"/>
      </w:r>
      <w:r>
        <w:rPr>
          <w:rFonts w:hint="eastAsia" w:ascii="宋体" w:hAnsi="宋体" w:eastAsia="宋体" w:cs="宋体"/>
          <w:bCs w:val="0"/>
          <w:szCs w:val="21"/>
          <w:highlight w:val="none"/>
        </w:rPr>
        <w:instrText xml:space="preserve"> HYPERLINK \l _Toc2255 </w:instrText>
      </w:r>
      <w:r>
        <w:rPr>
          <w:rFonts w:hint="eastAsia" w:ascii="宋体" w:hAnsi="宋体" w:eastAsia="宋体" w:cs="宋体"/>
          <w:bCs w:val="0"/>
          <w:szCs w:val="21"/>
          <w:highlight w:val="none"/>
        </w:rPr>
        <w:fldChar w:fldCharType="separate"/>
      </w:r>
      <w:r>
        <w:rPr>
          <w:rFonts w:eastAsia="宋体"/>
          <w:szCs w:val="28"/>
          <w:highlight w:val="none"/>
          <w:lang w:val="en-US" w:eastAsia="zh-CN"/>
        </w:rPr>
        <w:t>第二部分</w:t>
      </w:r>
      <w:r>
        <w:rPr>
          <w:rFonts w:hint="eastAsia" w:eastAsia="宋体"/>
          <w:szCs w:val="28"/>
          <w:highlight w:val="none"/>
          <w:lang w:val="en-US" w:eastAsia="zh-CN"/>
        </w:rPr>
        <w:t xml:space="preserve">  合同条款</w:t>
      </w:r>
      <w:r>
        <w:rPr>
          <w:highlight w:val="none"/>
        </w:rPr>
        <w:tab/>
      </w:r>
      <w:r>
        <w:rPr>
          <w:highlight w:val="none"/>
        </w:rPr>
        <w:fldChar w:fldCharType="begin"/>
      </w:r>
      <w:r>
        <w:rPr>
          <w:highlight w:val="none"/>
        </w:rPr>
        <w:instrText xml:space="preserve"> PAGEREF _Toc2255 \h </w:instrText>
      </w:r>
      <w:r>
        <w:rPr>
          <w:highlight w:val="none"/>
        </w:rPr>
        <w:fldChar w:fldCharType="separate"/>
      </w:r>
      <w:r>
        <w:rPr>
          <w:highlight w:val="none"/>
        </w:rPr>
        <w:t>23</w:t>
      </w:r>
      <w:r>
        <w:rPr>
          <w:highlight w:val="none"/>
        </w:rPr>
        <w:fldChar w:fldCharType="end"/>
      </w:r>
      <w:r>
        <w:rPr>
          <w:rFonts w:hint="eastAsia" w:ascii="宋体" w:hAnsi="宋体" w:eastAsia="宋体" w:cs="宋体"/>
          <w:bCs w:val="0"/>
          <w:szCs w:val="21"/>
          <w:highlight w:val="none"/>
        </w:rPr>
        <w:fldChar w:fldCharType="end"/>
      </w:r>
    </w:p>
    <w:p w14:paraId="2771A0B2">
      <w:pPr>
        <w:pStyle w:val="26"/>
        <w:tabs>
          <w:tab w:val="right" w:leader="dot" w:pos="9355"/>
        </w:tabs>
        <w:rPr>
          <w:highlight w:val="none"/>
        </w:rPr>
      </w:pPr>
      <w:r>
        <w:rPr>
          <w:rFonts w:hint="eastAsia" w:ascii="宋体" w:hAnsi="宋体" w:eastAsia="宋体" w:cs="宋体"/>
          <w:bCs w:val="0"/>
          <w:szCs w:val="21"/>
          <w:highlight w:val="none"/>
        </w:rPr>
        <w:fldChar w:fldCharType="begin"/>
      </w:r>
      <w:r>
        <w:rPr>
          <w:rFonts w:hint="eastAsia" w:ascii="宋体" w:hAnsi="宋体" w:eastAsia="宋体" w:cs="宋体"/>
          <w:bCs w:val="0"/>
          <w:szCs w:val="21"/>
          <w:highlight w:val="none"/>
        </w:rPr>
        <w:instrText xml:space="preserve"> HYPERLINK \l _Toc11147 </w:instrText>
      </w:r>
      <w:r>
        <w:rPr>
          <w:rFonts w:hint="eastAsia" w:ascii="宋体" w:hAnsi="宋体" w:eastAsia="宋体" w:cs="宋体"/>
          <w:bCs w:val="0"/>
          <w:szCs w:val="21"/>
          <w:highlight w:val="none"/>
        </w:rPr>
        <w:fldChar w:fldCharType="separate"/>
      </w:r>
      <w:r>
        <w:rPr>
          <w:rFonts w:eastAsia="宋体"/>
          <w:szCs w:val="28"/>
          <w:highlight w:val="none"/>
          <w:lang w:val="en-US" w:eastAsia="zh-CN"/>
        </w:rPr>
        <w:t>第三部分</w:t>
      </w:r>
      <w:r>
        <w:rPr>
          <w:rFonts w:hint="eastAsia" w:eastAsia="宋体"/>
          <w:szCs w:val="28"/>
          <w:highlight w:val="none"/>
          <w:lang w:val="en-US" w:eastAsia="zh-CN"/>
        </w:rPr>
        <w:t xml:space="preserve">  </w:t>
      </w:r>
      <w:r>
        <w:rPr>
          <w:rFonts w:eastAsia="宋体"/>
          <w:szCs w:val="28"/>
          <w:highlight w:val="none"/>
          <w:lang w:val="en-US" w:eastAsia="zh-CN"/>
        </w:rPr>
        <w:t>附件</w:t>
      </w:r>
      <w:r>
        <w:rPr>
          <w:highlight w:val="none"/>
        </w:rPr>
        <w:tab/>
      </w:r>
      <w:r>
        <w:rPr>
          <w:highlight w:val="none"/>
        </w:rPr>
        <w:fldChar w:fldCharType="begin"/>
      </w:r>
      <w:r>
        <w:rPr>
          <w:highlight w:val="none"/>
        </w:rPr>
        <w:instrText xml:space="preserve"> PAGEREF _Toc11147 \h </w:instrText>
      </w:r>
      <w:r>
        <w:rPr>
          <w:highlight w:val="none"/>
        </w:rPr>
        <w:fldChar w:fldCharType="separate"/>
      </w:r>
      <w:r>
        <w:rPr>
          <w:highlight w:val="none"/>
        </w:rPr>
        <w:t>31</w:t>
      </w:r>
      <w:r>
        <w:rPr>
          <w:highlight w:val="none"/>
        </w:rPr>
        <w:fldChar w:fldCharType="end"/>
      </w:r>
      <w:r>
        <w:rPr>
          <w:rFonts w:hint="eastAsia" w:ascii="宋体" w:hAnsi="宋体" w:eastAsia="宋体" w:cs="宋体"/>
          <w:bCs w:val="0"/>
          <w:szCs w:val="21"/>
          <w:highlight w:val="none"/>
        </w:rPr>
        <w:fldChar w:fldCharType="end"/>
      </w:r>
    </w:p>
    <w:p w14:paraId="74F9721B">
      <w:pPr>
        <w:pStyle w:val="26"/>
        <w:tabs>
          <w:tab w:val="right" w:leader="dot" w:pos="9355"/>
        </w:tabs>
        <w:rPr>
          <w:highlight w:val="none"/>
        </w:rPr>
      </w:pPr>
      <w:r>
        <w:rPr>
          <w:rFonts w:hint="eastAsia" w:ascii="宋体" w:hAnsi="宋体" w:eastAsia="宋体" w:cs="宋体"/>
          <w:bCs w:val="0"/>
          <w:szCs w:val="21"/>
          <w:highlight w:val="none"/>
        </w:rPr>
        <w:fldChar w:fldCharType="begin"/>
      </w:r>
      <w:r>
        <w:rPr>
          <w:rFonts w:hint="eastAsia" w:ascii="宋体" w:hAnsi="宋体" w:eastAsia="宋体" w:cs="宋体"/>
          <w:bCs w:val="0"/>
          <w:szCs w:val="21"/>
          <w:highlight w:val="none"/>
        </w:rPr>
        <w:instrText xml:space="preserve"> HYPERLINK \l _Toc16799 </w:instrText>
      </w:r>
      <w:r>
        <w:rPr>
          <w:rFonts w:hint="eastAsia" w:ascii="宋体" w:hAnsi="宋体" w:eastAsia="宋体" w:cs="宋体"/>
          <w:bCs w:val="0"/>
          <w:szCs w:val="21"/>
          <w:highlight w:val="none"/>
        </w:rPr>
        <w:fldChar w:fldCharType="separate"/>
      </w:r>
      <w:r>
        <w:rPr>
          <w:rFonts w:hint="eastAsia" w:ascii="宋体" w:hAnsi="宋体" w:eastAsia="宋体" w:cs="宋体"/>
          <w:szCs w:val="28"/>
          <w:highlight w:val="none"/>
          <w:lang w:eastAsia="zh-CN"/>
        </w:rPr>
        <w:t>第四部分</w:t>
      </w:r>
      <w:r>
        <w:rPr>
          <w:rFonts w:hint="eastAsia" w:ascii="宋体" w:hAnsi="宋体" w:eastAsia="宋体" w:cs="宋体"/>
          <w:szCs w:val="28"/>
          <w:highlight w:val="none"/>
          <w:lang w:val="en-US" w:eastAsia="zh-CN"/>
        </w:rPr>
        <w:t xml:space="preserve">  </w:t>
      </w:r>
      <w:r>
        <w:rPr>
          <w:rFonts w:hint="eastAsia" w:ascii="宋体" w:hAnsi="宋体" w:eastAsia="宋体" w:cs="宋体"/>
          <w:szCs w:val="28"/>
          <w:highlight w:val="none"/>
          <w:lang w:eastAsia="zh-CN"/>
        </w:rPr>
        <w:t>采购内容及要求</w:t>
      </w:r>
      <w:r>
        <w:rPr>
          <w:highlight w:val="none"/>
        </w:rPr>
        <w:tab/>
      </w:r>
      <w:r>
        <w:rPr>
          <w:highlight w:val="none"/>
        </w:rPr>
        <w:fldChar w:fldCharType="begin"/>
      </w:r>
      <w:r>
        <w:rPr>
          <w:highlight w:val="none"/>
        </w:rPr>
        <w:instrText xml:space="preserve"> PAGEREF _Toc16799 \h </w:instrText>
      </w:r>
      <w:r>
        <w:rPr>
          <w:highlight w:val="none"/>
        </w:rPr>
        <w:fldChar w:fldCharType="separate"/>
      </w:r>
      <w:r>
        <w:rPr>
          <w:highlight w:val="none"/>
        </w:rPr>
        <w:t>58</w:t>
      </w:r>
      <w:r>
        <w:rPr>
          <w:highlight w:val="none"/>
        </w:rPr>
        <w:fldChar w:fldCharType="end"/>
      </w:r>
      <w:r>
        <w:rPr>
          <w:rFonts w:hint="eastAsia" w:ascii="宋体" w:hAnsi="宋体" w:eastAsia="宋体" w:cs="宋体"/>
          <w:bCs w:val="0"/>
          <w:szCs w:val="21"/>
          <w:highlight w:val="none"/>
        </w:rPr>
        <w:fldChar w:fldCharType="end"/>
      </w:r>
    </w:p>
    <w:p w14:paraId="0026D13E">
      <w:pPr>
        <w:pStyle w:val="26"/>
        <w:tabs>
          <w:tab w:val="right" w:leader="dot" w:pos="9355"/>
        </w:tabs>
        <w:rPr>
          <w:highlight w:val="none"/>
        </w:rPr>
      </w:pPr>
      <w:r>
        <w:rPr>
          <w:rFonts w:hint="eastAsia" w:ascii="宋体" w:hAnsi="宋体" w:eastAsia="宋体" w:cs="宋体"/>
          <w:bCs w:val="0"/>
          <w:szCs w:val="21"/>
          <w:highlight w:val="none"/>
        </w:rPr>
        <w:fldChar w:fldCharType="begin"/>
      </w:r>
      <w:r>
        <w:rPr>
          <w:rFonts w:hint="eastAsia" w:ascii="宋体" w:hAnsi="宋体" w:eastAsia="宋体" w:cs="宋体"/>
          <w:bCs w:val="0"/>
          <w:szCs w:val="21"/>
          <w:highlight w:val="none"/>
        </w:rPr>
        <w:instrText xml:space="preserve"> HYPERLINK \l _Toc4667 </w:instrText>
      </w:r>
      <w:r>
        <w:rPr>
          <w:rFonts w:hint="eastAsia" w:ascii="宋体" w:hAnsi="宋体" w:eastAsia="宋体" w:cs="宋体"/>
          <w:bCs w:val="0"/>
          <w:szCs w:val="21"/>
          <w:highlight w:val="none"/>
        </w:rPr>
        <w:fldChar w:fldCharType="separate"/>
      </w:r>
      <w:r>
        <w:rPr>
          <w:rFonts w:hint="eastAsia" w:eastAsia="宋体"/>
          <w:szCs w:val="28"/>
          <w:highlight w:val="none"/>
          <w:lang w:val="en-US" w:eastAsia="zh-CN"/>
        </w:rPr>
        <w:t xml:space="preserve">第五部分  </w:t>
      </w:r>
      <w:r>
        <w:rPr>
          <w:rFonts w:eastAsia="宋体"/>
          <w:szCs w:val="28"/>
          <w:highlight w:val="none"/>
          <w:lang w:val="en-US" w:eastAsia="zh-CN"/>
        </w:rPr>
        <w:t>评标原则及方法</w:t>
      </w:r>
      <w:r>
        <w:rPr>
          <w:highlight w:val="none"/>
        </w:rPr>
        <w:tab/>
      </w:r>
      <w:r>
        <w:rPr>
          <w:highlight w:val="none"/>
        </w:rPr>
        <w:fldChar w:fldCharType="begin"/>
      </w:r>
      <w:r>
        <w:rPr>
          <w:highlight w:val="none"/>
        </w:rPr>
        <w:instrText xml:space="preserve"> PAGEREF _Toc4667 \h </w:instrText>
      </w:r>
      <w:r>
        <w:rPr>
          <w:highlight w:val="none"/>
        </w:rPr>
        <w:fldChar w:fldCharType="separate"/>
      </w:r>
      <w:r>
        <w:rPr>
          <w:highlight w:val="none"/>
        </w:rPr>
        <w:t>66</w:t>
      </w:r>
      <w:r>
        <w:rPr>
          <w:highlight w:val="none"/>
        </w:rPr>
        <w:fldChar w:fldCharType="end"/>
      </w:r>
      <w:r>
        <w:rPr>
          <w:rFonts w:hint="eastAsia" w:ascii="宋体" w:hAnsi="宋体" w:eastAsia="宋体" w:cs="宋体"/>
          <w:bCs w:val="0"/>
          <w:szCs w:val="21"/>
          <w:highlight w:val="none"/>
        </w:rPr>
        <w:fldChar w:fldCharType="end"/>
      </w:r>
    </w:p>
    <w:p w14:paraId="75DA9E2D">
      <w:pPr>
        <w:spacing w:line="360" w:lineRule="auto"/>
        <w:rPr>
          <w:rFonts w:hint="eastAsia" w:ascii="宋体" w:hAnsi="宋体" w:cs="宋体"/>
          <w:b/>
          <w:bCs/>
          <w:szCs w:val="21"/>
          <w:highlight w:val="none"/>
        </w:rPr>
      </w:pPr>
      <w:r>
        <w:rPr>
          <w:rFonts w:hint="eastAsia" w:ascii="宋体" w:hAnsi="宋体" w:cs="宋体"/>
          <w:bCs/>
          <w:szCs w:val="21"/>
          <w:highlight w:val="none"/>
        </w:rPr>
        <w:fldChar w:fldCharType="end"/>
      </w:r>
    </w:p>
    <w:p w14:paraId="698C9FF8">
      <w:pPr>
        <w:spacing w:line="360" w:lineRule="auto"/>
        <w:ind w:firstLine="413" w:firstLineChars="196"/>
        <w:rPr>
          <w:rFonts w:hint="eastAsia" w:ascii="宋体" w:hAnsi="宋体" w:cs="宋体"/>
          <w:b/>
          <w:bCs/>
          <w:szCs w:val="21"/>
          <w:highlight w:val="none"/>
        </w:rPr>
      </w:pPr>
      <w:r>
        <w:rPr>
          <w:rFonts w:hint="eastAsia" w:ascii="宋体" w:hAnsi="宋体" w:cs="宋体"/>
          <w:b/>
          <w:bCs/>
          <w:szCs w:val="21"/>
          <w:highlight w:val="none"/>
        </w:rPr>
        <w:t>注：采购文件中部分加“▲”并加下划线的条款，为采购的实质性要求和条件，着重提醒各投标供应商注意，并认真查看采购文件中的每一个条款及要求，因误读采购文件而造成的后果，采购人概不负责。</w:t>
      </w:r>
    </w:p>
    <w:p w14:paraId="0F0DAF5A">
      <w:pPr>
        <w:pStyle w:val="15"/>
        <w:ind w:firstLine="0" w:firstLineChars="0"/>
        <w:jc w:val="center"/>
        <w:rPr>
          <w:rFonts w:hint="eastAsia" w:ascii="宋体" w:hAnsi="宋体" w:cs="宋体"/>
          <w:kern w:val="1"/>
          <w:szCs w:val="21"/>
          <w:highlight w:val="none"/>
        </w:rPr>
      </w:pPr>
      <w:r>
        <w:rPr>
          <w:rFonts w:hint="eastAsia" w:ascii="宋体" w:hAnsi="宋体" w:cs="宋体"/>
          <w:b/>
          <w:bCs/>
          <w:szCs w:val="21"/>
          <w:highlight w:val="none"/>
        </w:rPr>
        <w:br w:type="page"/>
      </w:r>
      <w:bookmarkStart w:id="0" w:name="_Toc17357"/>
      <w:bookmarkStart w:id="1" w:name="_Toc221356946"/>
      <w:bookmarkStart w:id="2" w:name="_Toc239145349"/>
      <w:bookmarkStart w:id="3" w:name="_Toc262105498"/>
      <w:bookmarkStart w:id="4" w:name="_Toc223715993"/>
      <w:bookmarkStart w:id="5" w:name="_Toc249758707"/>
      <w:bookmarkStart w:id="6" w:name="_Toc221374621"/>
      <w:bookmarkStart w:id="7" w:name="_Toc221423614"/>
      <w:bookmarkStart w:id="8" w:name="_Toc245191309"/>
      <w:bookmarkStart w:id="9" w:name="_Toc222114874"/>
      <w:bookmarkStart w:id="10" w:name="_Toc246261260"/>
      <w:bookmarkStart w:id="11" w:name="_Toc241404197"/>
      <w:bookmarkStart w:id="12" w:name="_Toc262049413"/>
      <w:bookmarkStart w:id="13" w:name="_Toc245722276"/>
      <w:bookmarkStart w:id="14" w:name="_Toc221356881"/>
      <w:bookmarkStart w:id="15" w:name="_Toc249758859"/>
      <w:r>
        <w:rPr>
          <w:rFonts w:hint="eastAsia" w:ascii="宋体" w:hAnsi="宋体" w:cs="宋体"/>
          <w:b/>
          <w:bCs/>
          <w:kern w:val="1"/>
          <w:sz w:val="28"/>
          <w:szCs w:val="28"/>
          <w:highlight w:val="none"/>
        </w:rPr>
        <w:t>温州市交发集团所属温州信达交通工程试验检测有限公司关于金海湖信息化展厅网络环境设备项目（自主）的采购公告</w:t>
      </w:r>
      <w:bookmarkEnd w:id="0"/>
    </w:p>
    <w:p w14:paraId="4AEC3278">
      <w:pPr>
        <w:widowControl/>
        <w:wordWrap w:val="0"/>
        <w:spacing w:line="440" w:lineRule="exact"/>
        <w:ind w:firstLine="440"/>
        <w:jc w:val="left"/>
        <w:rPr>
          <w:rFonts w:hint="eastAsia" w:ascii="宋体" w:hAnsi="宋体" w:cs="宋体"/>
          <w:szCs w:val="21"/>
          <w:highlight w:val="none"/>
        </w:rPr>
      </w:pPr>
      <w:r>
        <w:rPr>
          <w:rFonts w:hint="eastAsia" w:ascii="宋体" w:hAnsi="宋体" w:cs="宋体"/>
          <w:szCs w:val="21"/>
          <w:highlight w:val="none"/>
        </w:rPr>
        <w:t>根据</w:t>
      </w:r>
      <w:r>
        <w:rPr>
          <w:rFonts w:hint="eastAsia" w:ascii="宋体" w:hAnsi="宋体" w:cs="宋体"/>
          <w:bCs/>
          <w:kern w:val="1"/>
          <w:szCs w:val="21"/>
          <w:highlight w:val="none"/>
        </w:rPr>
        <w:t>《温州市市属国有企业采购管理办法》</w:t>
      </w:r>
      <w:r>
        <w:rPr>
          <w:rFonts w:hint="eastAsia" w:ascii="宋体" w:hAnsi="宋体" w:cs="宋体"/>
          <w:szCs w:val="21"/>
          <w:highlight w:val="none"/>
        </w:rPr>
        <w:t>等有关规定，大地工程咨询有限公司受温州信达交通工程试验检测有限公司委托，就所需金海湖信息化展厅网络环境设备项目以公开招标的方式进行采购，欢迎国内合格的投标供应商前来投标。</w:t>
      </w:r>
    </w:p>
    <w:p w14:paraId="32BEF4A9">
      <w:pPr>
        <w:widowControl/>
        <w:wordWrap w:val="0"/>
        <w:spacing w:line="440" w:lineRule="exact"/>
        <w:ind w:firstLine="422" w:firstLineChars="200"/>
        <w:jc w:val="left"/>
        <w:rPr>
          <w:rFonts w:hint="eastAsia" w:ascii="宋体" w:hAnsi="宋体" w:cs="宋体"/>
          <w:szCs w:val="21"/>
          <w:highlight w:val="none"/>
        </w:rPr>
      </w:pPr>
      <w:r>
        <w:rPr>
          <w:rFonts w:hint="eastAsia" w:ascii="宋体" w:hAnsi="宋体" w:cs="宋体"/>
          <w:b/>
          <w:bCs/>
          <w:szCs w:val="21"/>
          <w:highlight w:val="none"/>
        </w:rPr>
        <w:t>一、项目编号：</w:t>
      </w:r>
      <w:r>
        <w:rPr>
          <w:rFonts w:hint="eastAsia" w:ascii="宋体" w:hAnsi="宋体" w:cs="宋体"/>
          <w:szCs w:val="21"/>
          <w:highlight w:val="none"/>
        </w:rPr>
        <w:t>WGSS-JFJT-ZS-2026004</w:t>
      </w:r>
    </w:p>
    <w:p w14:paraId="2FDF805A">
      <w:pPr>
        <w:widowControl/>
        <w:wordWrap w:val="0"/>
        <w:spacing w:line="440" w:lineRule="exact"/>
        <w:ind w:firstLine="422" w:firstLineChars="200"/>
        <w:jc w:val="left"/>
        <w:rPr>
          <w:rFonts w:hint="eastAsia" w:ascii="宋体" w:hAnsi="宋体" w:cs="宋体"/>
          <w:szCs w:val="21"/>
          <w:highlight w:val="none"/>
        </w:rPr>
      </w:pPr>
      <w:r>
        <w:rPr>
          <w:rFonts w:hint="eastAsia" w:ascii="宋体" w:hAnsi="宋体" w:cs="宋体"/>
          <w:b/>
          <w:bCs/>
          <w:szCs w:val="21"/>
          <w:highlight w:val="none"/>
        </w:rPr>
        <w:t>二、采购类型：</w:t>
      </w:r>
      <w:r>
        <w:rPr>
          <w:rFonts w:hint="eastAsia" w:ascii="宋体" w:hAnsi="宋体" w:cs="宋体"/>
          <w:szCs w:val="21"/>
          <w:highlight w:val="none"/>
        </w:rPr>
        <w:t>国企采购（非政府采购）</w:t>
      </w:r>
    </w:p>
    <w:p w14:paraId="0973406C">
      <w:pPr>
        <w:widowControl/>
        <w:wordWrap w:val="0"/>
        <w:spacing w:line="440" w:lineRule="exact"/>
        <w:ind w:firstLine="422" w:firstLineChars="200"/>
        <w:jc w:val="left"/>
        <w:rPr>
          <w:rFonts w:hint="eastAsia" w:ascii="宋体" w:hAnsi="宋体" w:cs="宋体"/>
          <w:szCs w:val="21"/>
          <w:highlight w:val="none"/>
        </w:rPr>
      </w:pPr>
      <w:r>
        <w:rPr>
          <w:rFonts w:hint="eastAsia" w:ascii="宋体" w:hAnsi="宋体" w:cs="宋体"/>
          <w:b/>
          <w:bCs/>
          <w:szCs w:val="21"/>
          <w:highlight w:val="none"/>
        </w:rPr>
        <w:t>三、采购项目概况</w:t>
      </w:r>
      <w:r>
        <w:rPr>
          <w:rFonts w:hint="eastAsia" w:ascii="宋体" w:hAnsi="宋体" w:cs="宋体"/>
          <w:szCs w:val="21"/>
          <w:highlight w:val="none"/>
        </w:rPr>
        <w:t>（内容、用途、数量、简要技术要求等）：</w:t>
      </w:r>
    </w:p>
    <w:tbl>
      <w:tblPr>
        <w:tblStyle w:val="35"/>
        <w:tblW w:w="9297" w:type="dxa"/>
        <w:tblInd w:w="102" w:type="dxa"/>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Layout w:type="fixed"/>
        <w:tblCellMar>
          <w:top w:w="0" w:type="dxa"/>
          <w:left w:w="108" w:type="dxa"/>
          <w:bottom w:w="0" w:type="dxa"/>
          <w:right w:w="108" w:type="dxa"/>
        </w:tblCellMar>
      </w:tblPr>
      <w:tblGrid>
        <w:gridCol w:w="551"/>
        <w:gridCol w:w="1696"/>
        <w:gridCol w:w="810"/>
        <w:gridCol w:w="776"/>
        <w:gridCol w:w="1204"/>
        <w:gridCol w:w="3270"/>
        <w:gridCol w:w="990"/>
      </w:tblGrid>
      <w:tr w14:paraId="7AA54A0A">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wBefore w:w="0" w:type="auto"/>
          <w:wAfter w:w="0" w:type="auto"/>
        </w:trPr>
        <w:tc>
          <w:tcPr>
            <w:tcW w:w="551" w:type="dxa"/>
            <w:tcBorders>
              <w:bottom w:val="single" w:color="000000" w:sz="4" w:space="0"/>
              <w:right w:val="single" w:color="000000" w:sz="4" w:space="0"/>
            </w:tcBorders>
            <w:noWrap w:val="0"/>
            <w:tcMar>
              <w:top w:w="0" w:type="dxa"/>
              <w:left w:w="108" w:type="dxa"/>
              <w:bottom w:w="0" w:type="dxa"/>
              <w:right w:w="108" w:type="dxa"/>
            </w:tcMar>
            <w:vAlign w:val="center"/>
          </w:tcPr>
          <w:p w14:paraId="4DDBB557">
            <w:pPr>
              <w:widowControl/>
              <w:wordWrap w:val="0"/>
              <w:spacing w:before="60" w:after="60" w:line="440" w:lineRule="exact"/>
              <w:ind w:left="60" w:right="60"/>
              <w:jc w:val="center"/>
              <w:rPr>
                <w:rFonts w:hint="eastAsia" w:ascii="宋体" w:hAnsi="宋体" w:eastAsia="宋体" w:cs="宋体"/>
                <w:bCs/>
                <w:szCs w:val="21"/>
                <w:highlight w:val="none"/>
              </w:rPr>
            </w:pPr>
            <w:r>
              <w:rPr>
                <w:rFonts w:hint="eastAsia" w:ascii="宋体" w:hAnsi="宋体" w:eastAsia="宋体" w:cs="宋体"/>
                <w:bCs/>
                <w:szCs w:val="21"/>
                <w:highlight w:val="none"/>
              </w:rPr>
              <w:t>序号</w:t>
            </w:r>
          </w:p>
        </w:tc>
        <w:tc>
          <w:tcPr>
            <w:tcW w:w="1696" w:type="dxa"/>
            <w:tcBorders>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B183C19">
            <w:pPr>
              <w:widowControl/>
              <w:wordWrap w:val="0"/>
              <w:spacing w:before="60" w:after="60" w:line="440" w:lineRule="exact"/>
              <w:ind w:left="60" w:right="60"/>
              <w:jc w:val="center"/>
              <w:rPr>
                <w:rFonts w:hint="eastAsia" w:ascii="宋体" w:hAnsi="宋体" w:eastAsia="宋体" w:cs="宋体"/>
                <w:bCs/>
                <w:szCs w:val="21"/>
                <w:highlight w:val="none"/>
              </w:rPr>
            </w:pPr>
            <w:r>
              <w:rPr>
                <w:rFonts w:hint="eastAsia" w:ascii="宋体" w:hAnsi="宋体" w:eastAsia="宋体" w:cs="宋体"/>
                <w:bCs/>
                <w:szCs w:val="21"/>
                <w:highlight w:val="none"/>
              </w:rPr>
              <w:t>标项内容</w:t>
            </w:r>
          </w:p>
        </w:tc>
        <w:tc>
          <w:tcPr>
            <w:tcW w:w="810" w:type="dxa"/>
            <w:tcBorders>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E0D2624">
            <w:pPr>
              <w:widowControl/>
              <w:wordWrap w:val="0"/>
              <w:spacing w:before="60" w:after="60" w:line="440" w:lineRule="exact"/>
              <w:ind w:left="60" w:right="60"/>
              <w:jc w:val="center"/>
              <w:rPr>
                <w:rFonts w:hint="eastAsia" w:ascii="宋体" w:hAnsi="宋体" w:eastAsia="宋体" w:cs="宋体"/>
                <w:bCs/>
                <w:szCs w:val="21"/>
                <w:highlight w:val="none"/>
              </w:rPr>
            </w:pPr>
            <w:r>
              <w:rPr>
                <w:rFonts w:hint="eastAsia" w:ascii="宋体" w:hAnsi="宋体" w:eastAsia="宋体" w:cs="宋体"/>
                <w:bCs/>
                <w:szCs w:val="21"/>
                <w:highlight w:val="none"/>
              </w:rPr>
              <w:t>数量</w:t>
            </w:r>
          </w:p>
        </w:tc>
        <w:tc>
          <w:tcPr>
            <w:tcW w:w="776" w:type="dxa"/>
            <w:tcBorders>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E9E6884">
            <w:pPr>
              <w:widowControl/>
              <w:wordWrap w:val="0"/>
              <w:spacing w:before="60" w:after="60" w:line="440" w:lineRule="exact"/>
              <w:ind w:left="60" w:right="60"/>
              <w:jc w:val="center"/>
              <w:rPr>
                <w:rFonts w:hint="eastAsia" w:ascii="宋体" w:hAnsi="宋体" w:eastAsia="宋体" w:cs="宋体"/>
                <w:bCs/>
                <w:szCs w:val="21"/>
                <w:highlight w:val="none"/>
              </w:rPr>
            </w:pPr>
            <w:r>
              <w:rPr>
                <w:rFonts w:hint="eastAsia" w:ascii="宋体" w:hAnsi="宋体" w:eastAsia="宋体" w:cs="宋体"/>
                <w:bCs/>
                <w:szCs w:val="21"/>
                <w:highlight w:val="none"/>
              </w:rPr>
              <w:t>单位</w:t>
            </w:r>
          </w:p>
        </w:tc>
        <w:tc>
          <w:tcPr>
            <w:tcW w:w="1204" w:type="dxa"/>
            <w:tcBorders>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38DF26E">
            <w:pPr>
              <w:widowControl/>
              <w:wordWrap w:val="0"/>
              <w:spacing w:before="60" w:after="60" w:line="440" w:lineRule="exact"/>
              <w:ind w:left="60" w:right="60"/>
              <w:jc w:val="center"/>
              <w:rPr>
                <w:rFonts w:hint="eastAsia" w:ascii="宋体" w:hAnsi="宋体" w:eastAsia="宋体" w:cs="宋体"/>
                <w:bCs/>
                <w:szCs w:val="21"/>
                <w:highlight w:val="none"/>
              </w:rPr>
            </w:pPr>
            <w:r>
              <w:rPr>
                <w:rFonts w:hint="eastAsia" w:ascii="宋体" w:hAnsi="宋体" w:eastAsia="宋体" w:cs="宋体"/>
                <w:bCs/>
                <w:szCs w:val="21"/>
                <w:highlight w:val="none"/>
              </w:rPr>
              <w:t>预算金额</w:t>
            </w:r>
          </w:p>
        </w:tc>
        <w:tc>
          <w:tcPr>
            <w:tcW w:w="3270" w:type="dxa"/>
            <w:tcBorders>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6769706">
            <w:pPr>
              <w:widowControl/>
              <w:wordWrap w:val="0"/>
              <w:spacing w:before="60" w:after="60" w:line="440" w:lineRule="exact"/>
              <w:ind w:left="60" w:right="60"/>
              <w:jc w:val="center"/>
              <w:rPr>
                <w:rFonts w:hint="eastAsia" w:ascii="宋体" w:hAnsi="宋体" w:eastAsia="宋体" w:cs="宋体"/>
                <w:bCs/>
                <w:szCs w:val="21"/>
                <w:highlight w:val="none"/>
              </w:rPr>
            </w:pPr>
            <w:r>
              <w:rPr>
                <w:rFonts w:hint="eastAsia" w:ascii="宋体" w:hAnsi="宋体" w:eastAsia="宋体" w:cs="宋体"/>
                <w:bCs/>
                <w:szCs w:val="21"/>
                <w:highlight w:val="none"/>
              </w:rPr>
              <w:t>简要技术要求、用途</w:t>
            </w:r>
          </w:p>
        </w:tc>
        <w:tc>
          <w:tcPr>
            <w:tcW w:w="990" w:type="dxa"/>
            <w:tcBorders>
              <w:left w:val="single" w:color="000000" w:sz="4" w:space="0"/>
              <w:bottom w:val="single" w:color="000000" w:sz="4" w:space="0"/>
            </w:tcBorders>
            <w:noWrap w:val="0"/>
            <w:tcMar>
              <w:top w:w="0" w:type="dxa"/>
              <w:left w:w="108" w:type="dxa"/>
              <w:bottom w:w="0" w:type="dxa"/>
              <w:right w:w="108" w:type="dxa"/>
            </w:tcMar>
            <w:vAlign w:val="center"/>
          </w:tcPr>
          <w:p w14:paraId="4BC036D2">
            <w:pPr>
              <w:widowControl/>
              <w:wordWrap w:val="0"/>
              <w:spacing w:before="60" w:after="60" w:line="440" w:lineRule="exact"/>
              <w:ind w:left="60" w:right="60"/>
              <w:jc w:val="center"/>
              <w:rPr>
                <w:rFonts w:hint="eastAsia" w:ascii="宋体" w:hAnsi="宋体" w:eastAsia="宋体" w:cs="宋体"/>
                <w:bCs/>
                <w:szCs w:val="21"/>
                <w:highlight w:val="none"/>
              </w:rPr>
            </w:pPr>
            <w:r>
              <w:rPr>
                <w:rFonts w:hint="eastAsia" w:ascii="宋体" w:hAnsi="宋体" w:eastAsia="宋体" w:cs="宋体"/>
                <w:bCs/>
                <w:szCs w:val="21"/>
                <w:highlight w:val="none"/>
              </w:rPr>
              <w:t>备注</w:t>
            </w:r>
          </w:p>
        </w:tc>
      </w:tr>
      <w:tr w14:paraId="4C442E5B">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wBefore w:w="0" w:type="auto"/>
          <w:wAfter w:w="0" w:type="auto"/>
          <w:trHeight w:val="1270" w:hRule="atLeast"/>
        </w:trPr>
        <w:tc>
          <w:tcPr>
            <w:tcW w:w="551" w:type="dxa"/>
            <w:tcBorders>
              <w:top w:val="single" w:color="000000" w:sz="4" w:space="0"/>
              <w:right w:val="single" w:color="000000" w:sz="4" w:space="0"/>
            </w:tcBorders>
            <w:noWrap w:val="0"/>
            <w:tcMar>
              <w:top w:w="0" w:type="dxa"/>
              <w:left w:w="108" w:type="dxa"/>
              <w:bottom w:w="0" w:type="dxa"/>
              <w:right w:w="108" w:type="dxa"/>
            </w:tcMar>
            <w:vAlign w:val="center"/>
          </w:tcPr>
          <w:p w14:paraId="570A9656">
            <w:pPr>
              <w:widowControl/>
              <w:wordWrap w:val="0"/>
              <w:spacing w:before="60" w:after="60" w:line="440" w:lineRule="exact"/>
              <w:jc w:val="center"/>
              <w:rPr>
                <w:rFonts w:hint="eastAsia" w:ascii="宋体" w:hAnsi="宋体" w:eastAsia="宋体" w:cs="宋体"/>
                <w:bCs/>
                <w:szCs w:val="21"/>
                <w:highlight w:val="none"/>
              </w:rPr>
            </w:pPr>
            <w:r>
              <w:rPr>
                <w:rFonts w:hint="eastAsia" w:ascii="宋体" w:hAnsi="宋体" w:eastAsia="宋体" w:cs="宋体"/>
                <w:bCs/>
                <w:szCs w:val="21"/>
                <w:highlight w:val="none"/>
              </w:rPr>
              <w:t>1</w:t>
            </w:r>
          </w:p>
        </w:tc>
        <w:tc>
          <w:tcPr>
            <w:tcW w:w="1696" w:type="dxa"/>
            <w:tcBorders>
              <w:top w:val="single" w:color="000000" w:sz="4" w:space="0"/>
              <w:left w:val="single" w:color="000000" w:sz="4" w:space="0"/>
              <w:right w:val="single" w:color="000000" w:sz="4" w:space="0"/>
            </w:tcBorders>
            <w:noWrap w:val="0"/>
            <w:tcMar>
              <w:top w:w="0" w:type="dxa"/>
              <w:left w:w="108" w:type="dxa"/>
              <w:bottom w:w="0" w:type="dxa"/>
              <w:right w:w="108" w:type="dxa"/>
            </w:tcMar>
            <w:vAlign w:val="center"/>
          </w:tcPr>
          <w:p w14:paraId="18CEA379">
            <w:pPr>
              <w:widowControl/>
              <w:wordWrap w:val="0"/>
              <w:spacing w:before="60" w:after="60" w:line="440" w:lineRule="exact"/>
              <w:jc w:val="center"/>
              <w:rPr>
                <w:rFonts w:hint="eastAsia" w:ascii="宋体" w:hAnsi="宋体" w:eastAsia="宋体" w:cs="宋体"/>
                <w:bCs/>
                <w:szCs w:val="21"/>
                <w:highlight w:val="none"/>
              </w:rPr>
            </w:pPr>
            <w:r>
              <w:rPr>
                <w:rFonts w:hint="eastAsia" w:ascii="宋体" w:hAnsi="宋体" w:eastAsia="宋体" w:cs="宋体"/>
                <w:bCs/>
                <w:szCs w:val="21"/>
                <w:highlight w:val="none"/>
              </w:rPr>
              <w:t>金海湖信息化展厅网络环境设备</w:t>
            </w:r>
          </w:p>
        </w:tc>
        <w:tc>
          <w:tcPr>
            <w:tcW w:w="810" w:type="dxa"/>
            <w:tcBorders>
              <w:top w:val="single" w:color="000000" w:sz="4" w:space="0"/>
              <w:left w:val="single" w:color="000000" w:sz="4" w:space="0"/>
              <w:right w:val="single" w:color="000000" w:sz="4" w:space="0"/>
            </w:tcBorders>
            <w:noWrap w:val="0"/>
            <w:tcMar>
              <w:top w:w="0" w:type="dxa"/>
              <w:left w:w="108" w:type="dxa"/>
              <w:bottom w:w="0" w:type="dxa"/>
              <w:right w:w="108" w:type="dxa"/>
            </w:tcMar>
            <w:vAlign w:val="center"/>
          </w:tcPr>
          <w:p w14:paraId="1A6A6E0A">
            <w:pPr>
              <w:widowControl/>
              <w:wordWrap w:val="0"/>
              <w:spacing w:before="60" w:after="60" w:line="440" w:lineRule="exact"/>
              <w:jc w:val="center"/>
              <w:rPr>
                <w:rFonts w:ascii="宋体" w:hAnsi="宋体" w:eastAsia="宋体" w:cs="宋体"/>
                <w:bCs/>
                <w:szCs w:val="21"/>
                <w:highlight w:val="none"/>
              </w:rPr>
            </w:pPr>
            <w:r>
              <w:rPr>
                <w:rFonts w:hint="eastAsia" w:ascii="宋体" w:hAnsi="宋体" w:eastAsia="宋体" w:cs="宋体"/>
                <w:bCs/>
                <w:szCs w:val="21"/>
                <w:highlight w:val="none"/>
              </w:rPr>
              <w:t>1</w:t>
            </w:r>
          </w:p>
        </w:tc>
        <w:tc>
          <w:tcPr>
            <w:tcW w:w="776" w:type="dxa"/>
            <w:tcBorders>
              <w:top w:val="single" w:color="000000" w:sz="4" w:space="0"/>
              <w:left w:val="single" w:color="000000" w:sz="4" w:space="0"/>
              <w:right w:val="single" w:color="000000" w:sz="4" w:space="0"/>
            </w:tcBorders>
            <w:noWrap w:val="0"/>
            <w:tcMar>
              <w:top w:w="0" w:type="dxa"/>
              <w:left w:w="108" w:type="dxa"/>
              <w:bottom w:w="0" w:type="dxa"/>
              <w:right w:w="108" w:type="dxa"/>
            </w:tcMar>
            <w:vAlign w:val="center"/>
          </w:tcPr>
          <w:p w14:paraId="128343DD">
            <w:pPr>
              <w:widowControl/>
              <w:wordWrap w:val="0"/>
              <w:spacing w:before="60" w:after="60" w:line="440" w:lineRule="exact"/>
              <w:jc w:val="center"/>
              <w:rPr>
                <w:rFonts w:ascii="宋体" w:hAnsi="宋体" w:eastAsia="宋体" w:cs="宋体"/>
                <w:bCs/>
                <w:szCs w:val="21"/>
                <w:highlight w:val="none"/>
              </w:rPr>
            </w:pPr>
            <w:r>
              <w:rPr>
                <w:rFonts w:hint="eastAsia" w:ascii="宋体" w:hAnsi="宋体" w:eastAsia="宋体" w:cs="宋体"/>
                <w:szCs w:val="21"/>
                <w:highlight w:val="none"/>
              </w:rPr>
              <w:t>项</w:t>
            </w:r>
          </w:p>
        </w:tc>
        <w:tc>
          <w:tcPr>
            <w:tcW w:w="1204" w:type="dxa"/>
            <w:tcBorders>
              <w:top w:val="single" w:color="000000" w:sz="4" w:space="0"/>
              <w:left w:val="single" w:color="000000" w:sz="4" w:space="0"/>
              <w:right w:val="single" w:color="000000" w:sz="4" w:space="0"/>
            </w:tcBorders>
            <w:noWrap w:val="0"/>
            <w:tcMar>
              <w:top w:w="0" w:type="dxa"/>
              <w:left w:w="108" w:type="dxa"/>
              <w:bottom w:w="0" w:type="dxa"/>
              <w:right w:w="108" w:type="dxa"/>
            </w:tcMar>
            <w:vAlign w:val="center"/>
          </w:tcPr>
          <w:p w14:paraId="08B2A4F4">
            <w:pPr>
              <w:widowControl/>
              <w:wordWrap w:val="0"/>
              <w:spacing w:line="440" w:lineRule="exact"/>
              <w:jc w:val="center"/>
              <w:rPr>
                <w:rFonts w:hint="eastAsia" w:ascii="宋体" w:hAnsi="宋体" w:eastAsia="宋体" w:cs="宋体"/>
                <w:bCs/>
                <w:szCs w:val="21"/>
                <w:highlight w:val="none"/>
              </w:rPr>
            </w:pPr>
            <w:r>
              <w:rPr>
                <w:rFonts w:hint="eastAsia" w:ascii="宋体" w:hAnsi="宋体" w:eastAsia="宋体" w:cs="宋体"/>
                <w:bCs/>
                <w:szCs w:val="21"/>
                <w:highlight w:val="none"/>
              </w:rPr>
              <w:t>55万元</w:t>
            </w:r>
          </w:p>
        </w:tc>
        <w:tc>
          <w:tcPr>
            <w:tcW w:w="3270" w:type="dxa"/>
            <w:tcBorders>
              <w:top w:val="single" w:color="000000" w:sz="4" w:space="0"/>
              <w:left w:val="single" w:color="000000" w:sz="4" w:space="0"/>
              <w:right w:val="single" w:color="000000" w:sz="4" w:space="0"/>
            </w:tcBorders>
            <w:noWrap w:val="0"/>
            <w:tcMar>
              <w:top w:w="0" w:type="dxa"/>
              <w:left w:w="108" w:type="dxa"/>
              <w:bottom w:w="0" w:type="dxa"/>
              <w:right w:w="108" w:type="dxa"/>
            </w:tcMar>
            <w:vAlign w:val="center"/>
          </w:tcPr>
          <w:p w14:paraId="52A8F4BD">
            <w:pPr>
              <w:widowControl/>
              <w:wordWrap w:val="0"/>
              <w:spacing w:before="60" w:after="60" w:line="440" w:lineRule="exact"/>
              <w:jc w:val="left"/>
              <w:rPr>
                <w:rFonts w:hint="eastAsia" w:ascii="宋体" w:hAnsi="宋体" w:eastAsia="宋体" w:cs="宋体"/>
                <w:bCs/>
                <w:szCs w:val="21"/>
                <w:highlight w:val="none"/>
              </w:rPr>
            </w:pPr>
            <w:r>
              <w:rPr>
                <w:rFonts w:hint="eastAsia" w:ascii="宋体" w:hAnsi="宋体" w:eastAsia="宋体" w:cs="宋体"/>
                <w:szCs w:val="21"/>
                <w:highlight w:val="none"/>
              </w:rPr>
              <w:t>温州信达交通工程试验检测有限公司所需金海湖信息化展厅网络环境设备，采购内容及详细技术要求见第四部分采购内容及要求。</w:t>
            </w:r>
          </w:p>
        </w:tc>
        <w:tc>
          <w:tcPr>
            <w:tcW w:w="990" w:type="dxa"/>
            <w:tcBorders>
              <w:top w:val="single" w:color="000000" w:sz="4" w:space="0"/>
              <w:left w:val="single" w:color="000000" w:sz="4" w:space="0"/>
            </w:tcBorders>
            <w:noWrap w:val="0"/>
            <w:tcMar>
              <w:top w:w="0" w:type="dxa"/>
              <w:left w:w="108" w:type="dxa"/>
              <w:bottom w:w="0" w:type="dxa"/>
              <w:right w:w="108" w:type="dxa"/>
            </w:tcMar>
            <w:vAlign w:val="center"/>
          </w:tcPr>
          <w:p w14:paraId="46969A1D">
            <w:pPr>
              <w:widowControl/>
              <w:wordWrap w:val="0"/>
              <w:spacing w:before="60" w:after="60" w:line="440" w:lineRule="exact"/>
              <w:jc w:val="center"/>
              <w:rPr>
                <w:rFonts w:hint="eastAsia" w:ascii="宋体" w:hAnsi="宋体" w:eastAsia="宋体" w:cs="宋体"/>
                <w:bCs/>
                <w:szCs w:val="21"/>
                <w:highlight w:val="none"/>
              </w:rPr>
            </w:pPr>
          </w:p>
        </w:tc>
      </w:tr>
    </w:tbl>
    <w:p w14:paraId="27133AA8">
      <w:pPr>
        <w:widowControl/>
        <w:wordWrap w:val="0"/>
        <w:spacing w:line="440" w:lineRule="exact"/>
        <w:ind w:firstLine="422" w:firstLineChars="200"/>
        <w:jc w:val="left"/>
        <w:rPr>
          <w:rFonts w:hint="eastAsia" w:ascii="宋体" w:hAnsi="宋体" w:cs="宋体"/>
          <w:b/>
          <w:szCs w:val="21"/>
          <w:highlight w:val="none"/>
        </w:rPr>
      </w:pPr>
      <w:r>
        <w:rPr>
          <w:rFonts w:hint="eastAsia" w:ascii="宋体" w:hAnsi="宋体" w:cs="宋体"/>
          <w:b/>
          <w:szCs w:val="21"/>
          <w:highlight w:val="none"/>
        </w:rPr>
        <w:t>四、投标供应商资格要求：</w:t>
      </w:r>
    </w:p>
    <w:p w14:paraId="4B7CC5A6">
      <w:pPr>
        <w:widowControl/>
        <w:wordWrap w:val="0"/>
        <w:spacing w:line="440" w:lineRule="exact"/>
        <w:ind w:right="62" w:firstLine="420" w:firstLineChars="200"/>
        <w:jc w:val="left"/>
        <w:rPr>
          <w:rFonts w:hint="eastAsia" w:ascii="宋体" w:hAnsi="宋体" w:cs="宋体"/>
          <w:bCs/>
          <w:kern w:val="0"/>
          <w:szCs w:val="21"/>
          <w:highlight w:val="none"/>
        </w:rPr>
      </w:pPr>
      <w:r>
        <w:rPr>
          <w:rFonts w:hint="eastAsia" w:ascii="宋体" w:hAnsi="宋体" w:cs="宋体"/>
          <w:bCs/>
          <w:kern w:val="0"/>
          <w:szCs w:val="21"/>
          <w:highlight w:val="none"/>
        </w:rPr>
        <w:t>1、符合《温州市市属国有企业采购管理办法》第十八条对投标供应商参加国有企业采购活动应当具备的资格条件。</w:t>
      </w:r>
    </w:p>
    <w:p w14:paraId="5FBB92B7">
      <w:pPr>
        <w:widowControl/>
        <w:wordWrap w:val="0"/>
        <w:spacing w:line="440" w:lineRule="exact"/>
        <w:ind w:right="62" w:firstLine="420" w:firstLineChars="200"/>
        <w:jc w:val="left"/>
        <w:rPr>
          <w:rFonts w:hint="eastAsia" w:ascii="宋体" w:hAnsi="宋体" w:cs="宋体"/>
          <w:bCs/>
          <w:kern w:val="0"/>
          <w:szCs w:val="21"/>
          <w:highlight w:val="none"/>
        </w:rPr>
      </w:pPr>
      <w:r>
        <w:rPr>
          <w:rFonts w:hint="eastAsia" w:ascii="宋体" w:hAnsi="宋体" w:cs="宋体"/>
          <w:bCs/>
          <w:kern w:val="0"/>
          <w:szCs w:val="21"/>
          <w:highlight w:val="none"/>
        </w:rPr>
        <w:t>2、单位负责人为同一人或者存在直接控股、管理关系的不同供应商，不得参加同一合同项下的采购活动。</w:t>
      </w:r>
    </w:p>
    <w:p w14:paraId="17B7E156">
      <w:pPr>
        <w:widowControl/>
        <w:wordWrap w:val="0"/>
        <w:spacing w:line="440" w:lineRule="exact"/>
        <w:ind w:right="62" w:firstLine="420" w:firstLineChars="200"/>
        <w:jc w:val="left"/>
        <w:rPr>
          <w:rFonts w:hint="eastAsia" w:ascii="宋体" w:hAnsi="宋体" w:cs="宋体"/>
          <w:bCs/>
          <w:kern w:val="0"/>
          <w:szCs w:val="21"/>
          <w:highlight w:val="none"/>
        </w:rPr>
      </w:pPr>
      <w:r>
        <w:rPr>
          <w:rFonts w:hint="eastAsia" w:ascii="宋体" w:hAnsi="宋体" w:cs="宋体"/>
          <w:bCs/>
          <w:kern w:val="0"/>
          <w:szCs w:val="21"/>
          <w:highlight w:val="none"/>
        </w:rPr>
        <w:t>3、至本项目投标截止时间前供应商未被列入失信被执行人名单、重大税收违法案件当事人名单、政府采购严重违法失信行为记录名单，信用信息以信用中国网站（www.creditchina.gov.cn）、中国政府采购网（www.ccgp.gov.cn）公布为准。</w:t>
      </w:r>
    </w:p>
    <w:p w14:paraId="533818CC">
      <w:pPr>
        <w:widowControl/>
        <w:wordWrap w:val="0"/>
        <w:spacing w:line="440" w:lineRule="exact"/>
        <w:ind w:right="62" w:firstLine="420" w:firstLineChars="200"/>
        <w:jc w:val="left"/>
        <w:rPr>
          <w:rFonts w:hint="eastAsia" w:ascii="宋体" w:hAnsi="宋体" w:cs="宋体"/>
          <w:bCs/>
          <w:kern w:val="0"/>
          <w:szCs w:val="21"/>
          <w:highlight w:val="none"/>
        </w:rPr>
      </w:pPr>
      <w:r>
        <w:rPr>
          <w:rFonts w:hint="eastAsia" w:ascii="宋体" w:hAnsi="宋体" w:cs="宋体"/>
          <w:bCs/>
          <w:kern w:val="0"/>
          <w:szCs w:val="21"/>
          <w:highlight w:val="none"/>
        </w:rPr>
        <w:t>4、本项目不接受联合体投标。</w:t>
      </w:r>
    </w:p>
    <w:p w14:paraId="3DE260B8">
      <w:pPr>
        <w:widowControl/>
        <w:wordWrap w:val="0"/>
        <w:spacing w:before="60" w:after="60" w:line="440" w:lineRule="exact"/>
        <w:ind w:left="60" w:right="60" w:firstLine="422" w:firstLineChars="200"/>
        <w:jc w:val="left"/>
        <w:rPr>
          <w:rFonts w:hint="eastAsia" w:ascii="宋体" w:hAnsi="宋体" w:cs="宋体"/>
          <w:b/>
          <w:kern w:val="0"/>
          <w:szCs w:val="21"/>
          <w:highlight w:val="none"/>
        </w:rPr>
      </w:pPr>
      <w:r>
        <w:rPr>
          <w:rFonts w:hint="eastAsia" w:ascii="宋体" w:hAnsi="宋体" w:cs="宋体"/>
          <w:b/>
          <w:kern w:val="0"/>
          <w:szCs w:val="21"/>
          <w:highlight w:val="none"/>
        </w:rPr>
        <w:t>五、获取采购文件时间、地点：</w:t>
      </w:r>
    </w:p>
    <w:p w14:paraId="784E0585">
      <w:pPr>
        <w:widowControl/>
        <w:wordWrap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1.采购文件获取时间：自公告发布之日起至投标文件递交截止时间止；本项目采购文件实行“温州市阳光采购服务平台”在线获取。供应商获取采购文件前应先完成“温州市阳光采购服务平台”的账号注册；</w:t>
      </w:r>
    </w:p>
    <w:p w14:paraId="6F31D023">
      <w:pPr>
        <w:widowControl/>
        <w:wordWrap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2.采购文件获取地点：</w:t>
      </w:r>
    </w:p>
    <w:p w14:paraId="595D6637">
      <w:pPr>
        <w:widowControl/>
        <w:wordWrap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（1）已注册用户，请登录“温州市阳光采购服务平台-供应商登录”（https://www.wzygcg.com/)，下载获取后缀名为“.XEZF”的采购文件。</w:t>
      </w:r>
    </w:p>
    <w:p w14:paraId="4995FD22">
      <w:pPr>
        <w:widowControl/>
        <w:wordWrap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（2）未注册用户，请在注册后登录查看，并办理CA数字证书。CA办理网址：https://tseal.cn/tcloud/common.xhtml?projId=363，操作指南详见：https://www.wzygcg.com/bszn/infolist.html</w:t>
      </w:r>
    </w:p>
    <w:p w14:paraId="66379E4B">
      <w:pPr>
        <w:widowControl/>
        <w:wordWrap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（3）注册咨询、技术服务电话</w:t>
      </w:r>
    </w:p>
    <w:p w14:paraId="66E3CF9B">
      <w:pPr>
        <w:widowControl/>
        <w:wordWrap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国泰新点客服：</w:t>
      </w:r>
      <w:r>
        <w:rPr>
          <w:rFonts w:hint="eastAsia" w:ascii="宋体" w:hAnsi="宋体" w:cs="宋体"/>
          <w:kern w:val="0"/>
          <w:szCs w:val="21"/>
          <w:highlight w:val="none"/>
          <w:lang w:eastAsia="zh-CN"/>
        </w:rPr>
        <w:t>17305813893</w:t>
      </w:r>
      <w:r>
        <w:rPr>
          <w:rFonts w:hint="eastAsia" w:ascii="宋体" w:hAnsi="宋体" w:cs="宋体"/>
          <w:kern w:val="0"/>
          <w:szCs w:val="21"/>
          <w:highlight w:val="none"/>
        </w:rPr>
        <w:t xml:space="preserve">    国泰新点现场技术支持：0577-88733550</w:t>
      </w:r>
    </w:p>
    <w:p w14:paraId="25FA68AC">
      <w:pPr>
        <w:widowControl/>
        <w:wordWrap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CA锁相关问题请咨询杭州天谷客服：4000878198</w:t>
      </w:r>
    </w:p>
    <w:p w14:paraId="290E3958">
      <w:pPr>
        <w:widowControl/>
        <w:wordWrap w:val="0"/>
        <w:spacing w:line="440" w:lineRule="exact"/>
        <w:ind w:firstLine="422" w:firstLineChars="200"/>
        <w:jc w:val="left"/>
        <w:rPr>
          <w:rFonts w:hint="eastAsia" w:ascii="宋体" w:hAnsi="宋体" w:cs="宋体"/>
          <w:b/>
          <w:bCs/>
          <w:kern w:val="0"/>
          <w:szCs w:val="21"/>
          <w:highlight w:val="none"/>
        </w:rPr>
      </w:pPr>
      <w:r>
        <w:rPr>
          <w:rFonts w:hint="eastAsia" w:ascii="宋体" w:hAnsi="宋体" w:cs="宋体"/>
          <w:b/>
          <w:bCs/>
          <w:kern w:val="0"/>
          <w:szCs w:val="21"/>
          <w:highlight w:val="none"/>
        </w:rPr>
        <w:t>注：请供应商按上述要求获取采购文件，如未在“温州市阳光采购服务平台”系统内完成相关流程，引起的投标无效，责任自负。</w:t>
      </w:r>
    </w:p>
    <w:p w14:paraId="455EDD9F">
      <w:pPr>
        <w:widowControl/>
        <w:wordWrap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3.采购文件售价：每本人民币500元整(售后不退)，供应商须在获取采购文件后联系采购代理机构缴纳报名费。</w:t>
      </w:r>
    </w:p>
    <w:p w14:paraId="1E6E79D1">
      <w:pPr>
        <w:widowControl/>
        <w:wordWrap w:val="0"/>
        <w:spacing w:line="440" w:lineRule="exact"/>
        <w:ind w:firstLine="422" w:firstLineChars="200"/>
        <w:jc w:val="left"/>
        <w:rPr>
          <w:rFonts w:hint="eastAsia" w:ascii="宋体" w:hAnsi="宋体" w:cs="宋体"/>
          <w:kern w:val="0"/>
          <w:szCs w:val="21"/>
          <w:highlight w:val="none"/>
        </w:rPr>
      </w:pPr>
      <w:r>
        <w:rPr>
          <w:rFonts w:hint="eastAsia" w:ascii="宋体" w:hAnsi="宋体" w:cs="宋体"/>
          <w:b/>
          <w:bCs/>
          <w:kern w:val="0"/>
          <w:szCs w:val="21"/>
          <w:highlight w:val="none"/>
        </w:rPr>
        <w:t>六、投标截止时间：</w:t>
      </w:r>
      <w:r>
        <w:rPr>
          <w:rFonts w:hint="eastAsia" w:ascii="宋体" w:hAnsi="宋体" w:cs="宋体"/>
          <w:kern w:val="0"/>
          <w:szCs w:val="21"/>
          <w:highlight w:val="none"/>
        </w:rPr>
        <w:t>2026年</w:t>
      </w:r>
      <w:r>
        <w:rPr>
          <w:rFonts w:hint="eastAsia" w:ascii="宋体" w:hAnsi="宋体" w:cs="宋体"/>
          <w:kern w:val="0"/>
          <w:szCs w:val="21"/>
          <w:highlight w:val="none"/>
          <w:lang w:val="en-US" w:eastAsia="zh-CN"/>
        </w:rPr>
        <w:t>8</w:t>
      </w:r>
      <w:r>
        <w:rPr>
          <w:rFonts w:hint="eastAsia" w:ascii="宋体" w:hAnsi="宋体" w:cs="宋体"/>
          <w:kern w:val="0"/>
          <w:szCs w:val="21"/>
          <w:highlight w:val="none"/>
        </w:rPr>
        <w:t>月</w:t>
      </w:r>
      <w:r>
        <w:rPr>
          <w:rFonts w:hint="eastAsia" w:ascii="宋体" w:hAnsi="宋体" w:cs="宋体"/>
          <w:kern w:val="0"/>
          <w:szCs w:val="21"/>
          <w:highlight w:val="none"/>
          <w:lang w:val="en-US" w:eastAsia="zh-CN"/>
        </w:rPr>
        <w:t>19</w:t>
      </w:r>
      <w:r>
        <w:rPr>
          <w:rFonts w:hint="eastAsia" w:ascii="宋体" w:hAnsi="宋体" w:cs="宋体"/>
          <w:kern w:val="0"/>
          <w:szCs w:val="21"/>
          <w:highlight w:val="none"/>
        </w:rPr>
        <w:t>日09时30分整。</w:t>
      </w:r>
    </w:p>
    <w:p w14:paraId="708702B4">
      <w:pPr>
        <w:widowControl/>
        <w:wordWrap w:val="0"/>
        <w:spacing w:line="440" w:lineRule="exact"/>
        <w:ind w:firstLine="422" w:firstLineChars="200"/>
        <w:jc w:val="left"/>
        <w:rPr>
          <w:rFonts w:hint="eastAsia" w:ascii="宋体" w:hAnsi="宋体" w:cs="宋体"/>
          <w:b/>
          <w:bCs/>
          <w:kern w:val="0"/>
          <w:szCs w:val="21"/>
          <w:highlight w:val="none"/>
        </w:rPr>
      </w:pPr>
      <w:r>
        <w:rPr>
          <w:rFonts w:hint="eastAsia" w:ascii="宋体" w:hAnsi="宋体" w:cs="宋体"/>
          <w:b/>
          <w:bCs/>
          <w:kern w:val="0"/>
          <w:szCs w:val="21"/>
          <w:highlight w:val="none"/>
        </w:rPr>
        <w:t>七、投标文件提交地点：供应商应在投标截止时间之前，登录“温州市阳光采购服务平台－供应商登录－上传投标文件”模块，上传CA加密后的电子投标文件。逾期上传投标文件的，采购人将不予受理。</w:t>
      </w:r>
    </w:p>
    <w:p w14:paraId="054B369C">
      <w:pPr>
        <w:widowControl/>
        <w:wordWrap w:val="0"/>
        <w:spacing w:line="440" w:lineRule="exact"/>
        <w:ind w:firstLine="422" w:firstLineChars="200"/>
        <w:jc w:val="left"/>
        <w:rPr>
          <w:rFonts w:hint="eastAsia" w:ascii="宋体" w:hAnsi="宋体" w:cs="宋体"/>
          <w:kern w:val="0"/>
          <w:szCs w:val="21"/>
          <w:highlight w:val="none"/>
        </w:rPr>
      </w:pPr>
      <w:r>
        <w:rPr>
          <w:rFonts w:hint="eastAsia" w:ascii="宋体" w:hAnsi="宋体" w:cs="宋体"/>
          <w:b/>
          <w:bCs/>
          <w:kern w:val="0"/>
          <w:szCs w:val="21"/>
          <w:highlight w:val="none"/>
        </w:rPr>
        <w:t>投标文件制作软件下载地址详见“温州市阳光采购服务平台网站－下载中心”。</w:t>
      </w:r>
    </w:p>
    <w:p w14:paraId="1B716424">
      <w:pPr>
        <w:widowControl/>
        <w:wordWrap w:val="0"/>
        <w:spacing w:line="440" w:lineRule="exact"/>
        <w:ind w:firstLine="422" w:firstLineChars="200"/>
        <w:jc w:val="left"/>
        <w:rPr>
          <w:rFonts w:hint="eastAsia" w:ascii="宋体" w:hAnsi="宋体" w:cs="宋体"/>
          <w:kern w:val="0"/>
          <w:szCs w:val="21"/>
          <w:highlight w:val="none"/>
        </w:rPr>
      </w:pPr>
      <w:r>
        <w:rPr>
          <w:rFonts w:hint="eastAsia" w:ascii="宋体" w:hAnsi="宋体" w:cs="宋体"/>
          <w:b/>
          <w:bCs/>
          <w:kern w:val="0"/>
          <w:szCs w:val="21"/>
          <w:highlight w:val="none"/>
        </w:rPr>
        <w:t>八、开标时间：</w:t>
      </w:r>
      <w:r>
        <w:rPr>
          <w:rFonts w:hint="eastAsia" w:ascii="宋体" w:hAnsi="宋体" w:cs="宋体"/>
          <w:kern w:val="0"/>
          <w:szCs w:val="21"/>
          <w:highlight w:val="none"/>
        </w:rPr>
        <w:t>2026年</w:t>
      </w:r>
      <w:r>
        <w:rPr>
          <w:rFonts w:hint="eastAsia" w:ascii="宋体" w:hAnsi="宋体" w:cs="宋体"/>
          <w:kern w:val="0"/>
          <w:szCs w:val="21"/>
          <w:highlight w:val="none"/>
          <w:lang w:val="en-US" w:eastAsia="zh-CN"/>
        </w:rPr>
        <w:t>8</w:t>
      </w:r>
      <w:r>
        <w:rPr>
          <w:rFonts w:hint="eastAsia" w:ascii="宋体" w:hAnsi="宋体" w:cs="宋体"/>
          <w:kern w:val="0"/>
          <w:szCs w:val="21"/>
          <w:highlight w:val="none"/>
        </w:rPr>
        <w:t>月</w:t>
      </w:r>
      <w:r>
        <w:rPr>
          <w:rFonts w:hint="eastAsia" w:ascii="宋体" w:hAnsi="宋体" w:cs="宋体"/>
          <w:kern w:val="0"/>
          <w:szCs w:val="21"/>
          <w:highlight w:val="none"/>
          <w:lang w:val="en-US" w:eastAsia="zh-CN"/>
        </w:rPr>
        <w:t>19</w:t>
      </w:r>
      <w:r>
        <w:rPr>
          <w:rFonts w:hint="eastAsia" w:ascii="宋体" w:hAnsi="宋体" w:cs="宋体"/>
          <w:kern w:val="0"/>
          <w:szCs w:val="21"/>
          <w:highlight w:val="none"/>
        </w:rPr>
        <w:t>日</w:t>
      </w:r>
      <w:r>
        <w:rPr>
          <w:rFonts w:hint="eastAsia" w:ascii="宋体" w:hAnsi="宋体" w:cs="宋体"/>
          <w:kern w:val="0"/>
          <w:szCs w:val="21"/>
          <w:highlight w:val="none"/>
        </w:rPr>
        <w:t>09时30分整。</w:t>
      </w:r>
    </w:p>
    <w:p w14:paraId="6DA0716A">
      <w:pPr>
        <w:widowControl/>
        <w:wordWrap w:val="0"/>
        <w:spacing w:line="440" w:lineRule="exact"/>
        <w:ind w:firstLine="422" w:firstLineChars="200"/>
        <w:jc w:val="left"/>
        <w:rPr>
          <w:rFonts w:hint="eastAsia" w:ascii="宋体" w:hAnsi="宋体" w:cs="宋体"/>
          <w:b/>
          <w:bCs/>
          <w:kern w:val="0"/>
          <w:szCs w:val="21"/>
          <w:highlight w:val="none"/>
        </w:rPr>
      </w:pPr>
      <w:r>
        <w:rPr>
          <w:rFonts w:hint="eastAsia" w:ascii="宋体" w:hAnsi="宋体" w:cs="宋体"/>
          <w:b/>
          <w:bCs/>
          <w:kern w:val="0"/>
          <w:szCs w:val="21"/>
          <w:highlight w:val="none"/>
        </w:rPr>
        <w:t>九、开标地点：温州市阳光采购服务平台－不见面开标大厅（网址：https://www.wzygcg.com/）。操作手册见官网首页下载中心。</w:t>
      </w:r>
    </w:p>
    <w:p w14:paraId="5F1BC790">
      <w:pPr>
        <w:widowControl/>
        <w:wordWrap w:val="0"/>
        <w:spacing w:line="440" w:lineRule="exact"/>
        <w:ind w:firstLine="422" w:firstLineChars="200"/>
        <w:jc w:val="left"/>
        <w:rPr>
          <w:rFonts w:hint="eastAsia" w:ascii="宋体" w:hAnsi="宋体" w:cs="宋体"/>
          <w:b/>
          <w:bCs/>
          <w:kern w:val="0"/>
          <w:szCs w:val="21"/>
          <w:highlight w:val="none"/>
        </w:rPr>
      </w:pPr>
      <w:r>
        <w:rPr>
          <w:rFonts w:hint="eastAsia" w:ascii="宋体" w:hAnsi="宋体" w:cs="宋体"/>
          <w:b/>
          <w:bCs/>
          <w:kern w:val="0"/>
          <w:szCs w:val="21"/>
          <w:highlight w:val="none"/>
        </w:rPr>
        <w:t>远程不见面开标：指将传统的开标场所搬到网上，采购人、供应商只需登录网上不见面开标大厅，无需到开标现场参与即可进行投标文件在线解密、供应商在线质疑、采购人在线回复等操作。</w:t>
      </w:r>
    </w:p>
    <w:p w14:paraId="51167E75">
      <w:pPr>
        <w:widowControl/>
        <w:wordWrap w:val="0"/>
        <w:spacing w:line="440" w:lineRule="exact"/>
        <w:ind w:firstLine="422" w:firstLineChars="200"/>
        <w:jc w:val="left"/>
        <w:rPr>
          <w:rFonts w:hint="eastAsia" w:ascii="宋体" w:hAnsi="宋体" w:cs="宋体"/>
          <w:kern w:val="0"/>
          <w:szCs w:val="21"/>
          <w:highlight w:val="none"/>
        </w:rPr>
      </w:pPr>
      <w:r>
        <w:rPr>
          <w:rFonts w:hint="eastAsia" w:ascii="宋体" w:hAnsi="宋体" w:cs="宋体"/>
          <w:b/>
          <w:bCs/>
          <w:kern w:val="0"/>
          <w:szCs w:val="21"/>
          <w:highlight w:val="none"/>
        </w:rPr>
        <w:t>十、投标保证金及交付方式：</w:t>
      </w:r>
    </w:p>
    <w:p w14:paraId="2CC96EAB">
      <w:pPr>
        <w:widowControl/>
        <w:wordWrap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保证金金额（人民币）：5000元，大写：人民币伍仟元整；</w:t>
      </w:r>
    </w:p>
    <w:p w14:paraId="60C7550C">
      <w:pPr>
        <w:widowControl/>
        <w:wordWrap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交纳方式：网银转账或电子保函</w:t>
      </w:r>
    </w:p>
    <w:p w14:paraId="77D6CFD0">
      <w:pPr>
        <w:widowControl/>
        <w:wordWrap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 网银转账，投标保证金缴纳的账户名称、账号、开户银行等信息请登录温州市阳光采购服务平台－供应商登录－我的项目－项目流程－保证金子账号中进行查看，每个投标单位单独一个缴纳账号。</w:t>
      </w:r>
    </w:p>
    <w:p w14:paraId="258AB3CB">
      <w:pPr>
        <w:widowControl/>
        <w:wordWrap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投标截止时间前，投标保证金必须通过银行基本账户足额缴纳且确保到达指定账户。</w:t>
      </w:r>
    </w:p>
    <w:p w14:paraId="0322BAD0">
      <w:pPr>
        <w:widowControl/>
        <w:wordWrap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注：</w:t>
      </w:r>
    </w:p>
    <w:p w14:paraId="27C45F90">
      <w:pPr>
        <w:widowControl/>
        <w:wordWrap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（1）保证金查询中显示“缴纳成功”即表示缴纳成功。</w:t>
      </w:r>
    </w:p>
    <w:p w14:paraId="7510B4C3">
      <w:pPr>
        <w:widowControl/>
        <w:wordWrap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（2）重新招标项目，参与投标的供应商仍需按上述规定要求重新递交投标保证金。</w:t>
      </w:r>
    </w:p>
    <w:p w14:paraId="756DD9C1">
      <w:pPr>
        <w:widowControl/>
        <w:wordWrap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2. 电子保函，请登录“温州市阳光采购服务平台－供应商登录－我的项目－项目流程-投标保函”中通过银行基本账号购买。</w:t>
      </w:r>
    </w:p>
    <w:p w14:paraId="225899F7">
      <w:pPr>
        <w:widowControl/>
        <w:wordWrap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具体操作详见“温州市阳光采购服务平台－下载中心－投标人操作手册”，如有不明请咨询：</w:t>
      </w:r>
    </w:p>
    <w:p w14:paraId="0B65ADFA">
      <w:pPr>
        <w:widowControl/>
        <w:wordWrap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国泰新点技术支持，联系方式：</w:t>
      </w:r>
      <w:r>
        <w:rPr>
          <w:rFonts w:hint="eastAsia" w:ascii="宋体" w:hAnsi="宋体" w:cs="宋体"/>
          <w:kern w:val="0"/>
          <w:szCs w:val="21"/>
          <w:highlight w:val="none"/>
          <w:lang w:eastAsia="zh-CN"/>
        </w:rPr>
        <w:t>17305813893</w:t>
      </w:r>
      <w:r>
        <w:rPr>
          <w:rFonts w:hint="eastAsia" w:ascii="宋体" w:hAnsi="宋体" w:cs="宋体"/>
          <w:kern w:val="0"/>
          <w:szCs w:val="21"/>
          <w:highlight w:val="none"/>
        </w:rPr>
        <w:t>、0577-88733550；</w:t>
      </w:r>
    </w:p>
    <w:p w14:paraId="547C40BD">
      <w:pPr>
        <w:widowControl/>
        <w:wordWrap w:val="0"/>
        <w:spacing w:line="440" w:lineRule="exact"/>
        <w:ind w:firstLine="420" w:firstLineChars="200"/>
        <w:jc w:val="left"/>
        <w:rPr>
          <w:rFonts w:ascii="宋体" w:hAnsi="宋体" w:cs="宋体"/>
          <w:kern w:val="0"/>
          <w:sz w:val="24"/>
          <w:highlight w:val="none"/>
        </w:rPr>
      </w:pPr>
      <w:r>
        <w:rPr>
          <w:rFonts w:hint="eastAsia" w:ascii="宋体" w:hAnsi="宋体" w:cs="宋体"/>
          <w:kern w:val="0"/>
          <w:szCs w:val="21"/>
          <w:highlight w:val="none"/>
        </w:rPr>
        <w:t>电子保函咨询方联系方式：4001538889。</w:t>
      </w:r>
      <w:r>
        <w:rPr>
          <w:rFonts w:hint="eastAsia" w:ascii="宋体" w:hAnsi="宋体" w:cs="宋体"/>
          <w:kern w:val="0"/>
          <w:sz w:val="24"/>
          <w:highlight w:val="none"/>
        </w:rPr>
        <w:t xml:space="preserve"> </w:t>
      </w:r>
    </w:p>
    <w:p w14:paraId="74BDBD54">
      <w:pPr>
        <w:widowControl/>
        <w:wordWrap w:val="0"/>
        <w:spacing w:line="440" w:lineRule="exact"/>
        <w:ind w:firstLine="422" w:firstLineChars="200"/>
        <w:jc w:val="left"/>
        <w:rPr>
          <w:rFonts w:hint="eastAsia" w:ascii="宋体" w:hAnsi="宋体" w:cs="宋体"/>
          <w:b/>
          <w:bCs/>
          <w:kern w:val="0"/>
          <w:szCs w:val="21"/>
          <w:highlight w:val="none"/>
        </w:rPr>
      </w:pPr>
      <w:r>
        <w:rPr>
          <w:rFonts w:hint="eastAsia" w:ascii="宋体" w:hAnsi="宋体" w:cs="宋体"/>
          <w:b/>
          <w:bCs/>
          <w:kern w:val="0"/>
          <w:szCs w:val="21"/>
          <w:highlight w:val="none"/>
        </w:rPr>
        <w:t>十一、在线投标响应（电子投标）说明：</w:t>
      </w:r>
    </w:p>
    <w:p w14:paraId="64CA1F02">
      <w:pPr>
        <w:widowControl/>
        <w:wordWrap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1.本项目采用远程不见面开标的模式，所有投标文件采用电子格式由各潜在供应商在投标截止时间前自行在“温州市阳光采购服务平台”登陆后上传。</w:t>
      </w:r>
    </w:p>
    <w:p w14:paraId="372D3671">
      <w:pPr>
        <w:widowControl/>
        <w:wordWrap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2.逾期上传的或者未上传的电子投标文件，采购人不予受理。</w:t>
      </w:r>
    </w:p>
    <w:p w14:paraId="5DA5BE0D">
      <w:pPr>
        <w:widowControl/>
        <w:wordWrap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3.关于澄清、询标的说明：评标过程中要求供应商进行澄清、说明或者补正的，由供应商在接到采购人工作人员电话通知30分钟内（根据项目情况，评标委员会有权适当延长时间）澄清补正完毕。请供应商代表在评标期间电话保持畅通，如未及时接听电话，视为放弃澄清、说明或补正的权利，评标委员会对此所作的评标结果，其风险由投标供应商自行承担。</w:t>
      </w:r>
    </w:p>
    <w:p w14:paraId="6B24BBD9">
      <w:pPr>
        <w:widowControl/>
        <w:wordWrap w:val="0"/>
        <w:spacing w:line="440" w:lineRule="exact"/>
        <w:ind w:firstLine="422" w:firstLineChars="200"/>
        <w:jc w:val="left"/>
        <w:rPr>
          <w:rFonts w:hint="eastAsia" w:ascii="宋体" w:hAnsi="宋体" w:cs="宋体"/>
          <w:b/>
          <w:bCs/>
          <w:kern w:val="0"/>
          <w:szCs w:val="21"/>
          <w:highlight w:val="none"/>
        </w:rPr>
      </w:pPr>
      <w:r>
        <w:rPr>
          <w:rFonts w:hint="eastAsia" w:ascii="宋体" w:hAnsi="宋体" w:cs="宋体"/>
          <w:b/>
          <w:bCs/>
          <w:kern w:val="0"/>
          <w:szCs w:val="21"/>
          <w:highlight w:val="none"/>
        </w:rPr>
        <w:t>十二、其他事项：</w:t>
      </w:r>
    </w:p>
    <w:p w14:paraId="3AACDF01">
      <w:pPr>
        <w:widowControl/>
        <w:wordWrap w:val="0"/>
        <w:spacing w:line="440" w:lineRule="exact"/>
        <w:ind w:firstLine="422" w:firstLineChars="200"/>
        <w:jc w:val="left"/>
        <w:rPr>
          <w:rFonts w:hint="eastAsia" w:ascii="宋体" w:hAnsi="宋体" w:cs="宋体"/>
          <w:b/>
          <w:bCs/>
          <w:kern w:val="0"/>
          <w:szCs w:val="21"/>
          <w:highlight w:val="none"/>
          <w:u w:val="single"/>
        </w:rPr>
      </w:pPr>
      <w:r>
        <w:rPr>
          <w:rFonts w:hint="eastAsia" w:ascii="宋体" w:hAnsi="宋体" w:cs="宋体"/>
          <w:b/>
          <w:bCs/>
          <w:kern w:val="0"/>
          <w:szCs w:val="21"/>
          <w:highlight w:val="none"/>
          <w:u w:val="single"/>
        </w:rPr>
        <w:t>1、供应商认为采购文件使自己的权益受到损害的，可以自采购公告发出之日（采购公告发布当天不算）起5日内，以书面形式向采购人和采购代理机构提出质疑。质疑供应商对采购人、采购代理机构的答复不满意或者采购人、采购代理机构未在规定的时间内作出答复的，可以在答复期满后15个工作日内向温州市交通发展集团有限公司纪检监察室投诉。</w:t>
      </w:r>
    </w:p>
    <w:p w14:paraId="2FE43FE6">
      <w:pPr>
        <w:widowControl/>
        <w:wordWrap w:val="0"/>
        <w:spacing w:line="440" w:lineRule="exact"/>
        <w:ind w:firstLine="422" w:firstLineChars="200"/>
        <w:jc w:val="left"/>
        <w:rPr>
          <w:rFonts w:hint="eastAsia" w:ascii="宋体" w:hAnsi="宋体" w:cs="宋体"/>
          <w:b/>
          <w:bCs/>
          <w:kern w:val="0"/>
          <w:szCs w:val="21"/>
          <w:highlight w:val="none"/>
          <w:u w:val="single"/>
        </w:rPr>
      </w:pPr>
      <w:r>
        <w:rPr>
          <w:rFonts w:hint="eastAsia" w:ascii="宋体" w:hAnsi="宋体" w:cs="宋体"/>
          <w:b/>
          <w:bCs/>
          <w:kern w:val="0"/>
          <w:szCs w:val="21"/>
          <w:highlight w:val="none"/>
          <w:u w:val="single"/>
        </w:rPr>
        <w:t>2、温州市交通发展集团有限公司负责对投标供应商反映的企业本部及所属企业在采购活动中出现的违法违规问题进行答疑回复。投标供应商认为温州市交通发展集团有限公司答疑回复处理结果不合法的，可以采购人或代理机构为对象依法向人民法院提起诉讼。</w:t>
      </w:r>
    </w:p>
    <w:p w14:paraId="27AFF6AB">
      <w:pPr>
        <w:widowControl/>
        <w:wordWrap w:val="0"/>
        <w:spacing w:line="440" w:lineRule="exact"/>
        <w:ind w:firstLine="422" w:firstLineChars="200"/>
        <w:jc w:val="left"/>
        <w:rPr>
          <w:rFonts w:hint="eastAsia" w:ascii="宋体" w:hAnsi="宋体" w:cs="宋体"/>
          <w:b/>
          <w:bCs/>
          <w:kern w:val="0"/>
          <w:szCs w:val="21"/>
          <w:highlight w:val="none"/>
          <w:u w:val="single"/>
        </w:rPr>
      </w:pPr>
      <w:r>
        <w:rPr>
          <w:rFonts w:hint="eastAsia" w:ascii="宋体" w:hAnsi="宋体" w:cs="宋体"/>
          <w:b/>
          <w:bCs/>
          <w:kern w:val="0"/>
          <w:szCs w:val="21"/>
          <w:highlight w:val="none"/>
          <w:u w:val="single"/>
        </w:rPr>
        <w:t>3、投标供应商如对采购文件有疑问应按采购文件规定的询疑截止时间前提出，逾期提出的，采购组织机构可以不予受理、答复。</w:t>
      </w:r>
    </w:p>
    <w:p w14:paraId="1DB8B281">
      <w:pPr>
        <w:widowControl/>
        <w:wordWrap w:val="0"/>
        <w:spacing w:line="440" w:lineRule="exact"/>
        <w:ind w:firstLine="422" w:firstLineChars="200"/>
        <w:jc w:val="left"/>
        <w:rPr>
          <w:rFonts w:hint="eastAsia" w:ascii="宋体" w:hAnsi="宋体" w:cs="宋体"/>
          <w:b/>
          <w:bCs/>
          <w:kern w:val="0"/>
          <w:szCs w:val="21"/>
          <w:highlight w:val="none"/>
          <w:u w:val="single"/>
        </w:rPr>
      </w:pPr>
      <w:r>
        <w:rPr>
          <w:rFonts w:hint="eastAsia" w:ascii="宋体" w:hAnsi="宋体" w:cs="宋体"/>
          <w:b/>
          <w:bCs/>
          <w:kern w:val="0"/>
          <w:szCs w:val="21"/>
          <w:highlight w:val="none"/>
          <w:u w:val="single"/>
        </w:rPr>
        <w:t>4、书面质疑受理地点：温州市温州大道428号温州源大创业园四层8403室，书面质疑文件接收人：郑瑞木，电话：15068415600，0577-88551608。</w:t>
      </w:r>
    </w:p>
    <w:p w14:paraId="7110EC44">
      <w:pPr>
        <w:widowControl/>
        <w:wordWrap w:val="0"/>
        <w:spacing w:line="440" w:lineRule="exact"/>
        <w:ind w:firstLine="422" w:firstLineChars="200"/>
        <w:jc w:val="left"/>
        <w:rPr>
          <w:rFonts w:hint="eastAsia" w:ascii="宋体" w:hAnsi="宋体" w:cs="宋体"/>
          <w:b/>
          <w:bCs/>
          <w:kern w:val="0"/>
          <w:szCs w:val="21"/>
          <w:highlight w:val="none"/>
        </w:rPr>
      </w:pPr>
      <w:r>
        <w:rPr>
          <w:rFonts w:hint="eastAsia" w:ascii="宋体" w:hAnsi="宋体" w:cs="宋体"/>
          <w:b/>
          <w:bCs/>
          <w:kern w:val="0"/>
          <w:szCs w:val="21"/>
          <w:highlight w:val="none"/>
        </w:rPr>
        <w:t>十三、联系方式</w:t>
      </w:r>
    </w:p>
    <w:p w14:paraId="3AFFEFE1">
      <w:pPr>
        <w:widowControl/>
        <w:wordWrap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采购人：温州信达交通工程试验检测有限公司</w:t>
      </w:r>
    </w:p>
    <w:p w14:paraId="625089C5">
      <w:pPr>
        <w:widowControl/>
        <w:wordWrap w:val="0"/>
        <w:spacing w:line="440" w:lineRule="exact"/>
        <w:ind w:firstLine="420" w:firstLineChars="200"/>
        <w:jc w:val="left"/>
        <w:rPr>
          <w:rFonts w:hint="eastAsia" w:ascii="宋体" w:hAnsi="宋体" w:cs="宋体"/>
          <w:bCs/>
          <w:kern w:val="0"/>
          <w:szCs w:val="21"/>
          <w:highlight w:val="none"/>
        </w:rPr>
      </w:pPr>
      <w:r>
        <w:rPr>
          <w:rFonts w:hint="eastAsia" w:ascii="宋体" w:hAnsi="宋体" w:cs="宋体"/>
          <w:bCs/>
          <w:kern w:val="0"/>
          <w:szCs w:val="21"/>
          <w:highlight w:val="none"/>
        </w:rPr>
        <w:t>地 址：温州市永嘉县瓯北镇和三村瓯北绕城高速收费站内</w:t>
      </w:r>
    </w:p>
    <w:p w14:paraId="779A5497">
      <w:pPr>
        <w:widowControl/>
        <w:wordWrap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 xml:space="preserve">联系人：潘女士    </w:t>
      </w:r>
    </w:p>
    <w:p w14:paraId="3D08157D">
      <w:pPr>
        <w:widowControl/>
        <w:wordWrap w:val="0"/>
        <w:spacing w:line="440" w:lineRule="exact"/>
        <w:ind w:firstLine="420" w:firstLineChars="200"/>
        <w:jc w:val="left"/>
        <w:rPr>
          <w:rFonts w:hint="eastAsia" w:ascii="宋体" w:hAnsi="宋体" w:cs="宋体"/>
          <w:bCs/>
          <w:kern w:val="0"/>
          <w:szCs w:val="21"/>
          <w:highlight w:val="none"/>
        </w:rPr>
      </w:pPr>
      <w:r>
        <w:rPr>
          <w:rFonts w:hint="eastAsia" w:ascii="宋体" w:hAnsi="宋体" w:cs="宋体"/>
          <w:kern w:val="0"/>
          <w:szCs w:val="21"/>
          <w:highlight w:val="none"/>
        </w:rPr>
        <w:t>电话：0577-67965018</w:t>
      </w:r>
    </w:p>
    <w:p w14:paraId="47305608">
      <w:pPr>
        <w:widowControl/>
        <w:wordWrap w:val="0"/>
        <w:spacing w:before="60" w:after="60" w:line="440" w:lineRule="exact"/>
        <w:ind w:right="60" w:firstLine="420" w:firstLineChars="200"/>
        <w:jc w:val="left"/>
        <w:rPr>
          <w:rFonts w:hint="eastAsia" w:ascii="宋体" w:hAnsi="宋体" w:cs="宋体"/>
          <w:bCs/>
          <w:kern w:val="0"/>
          <w:szCs w:val="21"/>
          <w:highlight w:val="none"/>
        </w:rPr>
      </w:pPr>
      <w:r>
        <w:rPr>
          <w:rFonts w:hint="eastAsia" w:ascii="宋体" w:hAnsi="宋体" w:cs="宋体"/>
          <w:bCs/>
          <w:kern w:val="0"/>
          <w:szCs w:val="21"/>
          <w:highlight w:val="none"/>
        </w:rPr>
        <w:t>采购代理机构名称：大地工程咨询有限公司</w:t>
      </w:r>
    </w:p>
    <w:p w14:paraId="4A0CE2E3">
      <w:pPr>
        <w:widowControl/>
        <w:wordWrap w:val="0"/>
        <w:spacing w:before="60" w:after="60" w:line="440" w:lineRule="exact"/>
        <w:ind w:right="60" w:firstLine="420" w:firstLineChars="200"/>
        <w:jc w:val="left"/>
        <w:rPr>
          <w:rFonts w:hint="eastAsia" w:ascii="宋体" w:hAnsi="宋体" w:cs="宋体"/>
          <w:bCs/>
          <w:kern w:val="0"/>
          <w:szCs w:val="21"/>
          <w:highlight w:val="none"/>
        </w:rPr>
      </w:pPr>
      <w:r>
        <w:rPr>
          <w:rFonts w:hint="eastAsia" w:ascii="宋体" w:hAnsi="宋体" w:cs="宋体"/>
          <w:bCs/>
          <w:kern w:val="0"/>
          <w:szCs w:val="21"/>
          <w:highlight w:val="none"/>
        </w:rPr>
        <w:t>地 址：温州市温州大道428号温州源大创业园四层8403室</w:t>
      </w:r>
    </w:p>
    <w:p w14:paraId="45D0F761">
      <w:pPr>
        <w:widowControl/>
        <w:wordWrap w:val="0"/>
        <w:spacing w:before="60" w:after="60" w:line="440" w:lineRule="exact"/>
        <w:ind w:right="62" w:firstLine="420" w:firstLineChars="200"/>
        <w:rPr>
          <w:rFonts w:hint="eastAsia" w:ascii="宋体" w:hAnsi="宋体" w:cs="宋体"/>
          <w:bCs/>
          <w:kern w:val="0"/>
          <w:szCs w:val="21"/>
          <w:highlight w:val="none"/>
        </w:rPr>
      </w:pPr>
      <w:r>
        <w:rPr>
          <w:rFonts w:hint="eastAsia" w:ascii="宋体" w:hAnsi="宋体" w:cs="宋体"/>
          <w:bCs/>
          <w:kern w:val="0"/>
          <w:szCs w:val="21"/>
          <w:highlight w:val="none"/>
        </w:rPr>
        <w:t>联系人：郑瑞木</w:t>
      </w:r>
      <w:r>
        <w:rPr>
          <w:rFonts w:hint="eastAsia" w:ascii="宋体" w:hAnsi="宋体" w:cs="宋体"/>
          <w:snapToGrid w:val="0"/>
          <w:kern w:val="0"/>
          <w:szCs w:val="21"/>
          <w:highlight w:val="none"/>
        </w:rPr>
        <w:t xml:space="preserve">   </w:t>
      </w:r>
      <w:r>
        <w:rPr>
          <w:rFonts w:hint="eastAsia" w:ascii="宋体" w:hAnsi="宋体" w:cs="宋体"/>
          <w:bCs/>
          <w:kern w:val="0"/>
          <w:szCs w:val="21"/>
          <w:highlight w:val="none"/>
        </w:rPr>
        <w:t xml:space="preserve">  </w:t>
      </w:r>
      <w:r>
        <w:rPr>
          <w:rFonts w:hint="eastAsia" w:ascii="宋体" w:hAnsi="宋体" w:cs="宋体"/>
          <w:bCs/>
          <w:szCs w:val="21"/>
          <w:highlight w:val="none"/>
        </w:rPr>
        <w:t xml:space="preserve"> </w:t>
      </w:r>
      <w:r>
        <w:rPr>
          <w:rFonts w:hint="eastAsia" w:ascii="宋体" w:hAnsi="宋体" w:cs="宋体"/>
          <w:bCs/>
          <w:kern w:val="0"/>
          <w:szCs w:val="21"/>
          <w:highlight w:val="none"/>
        </w:rPr>
        <w:t xml:space="preserve">  </w:t>
      </w:r>
    </w:p>
    <w:p w14:paraId="39C9CC3E">
      <w:pPr>
        <w:widowControl/>
        <w:wordWrap w:val="0"/>
        <w:spacing w:before="60" w:after="60" w:line="440" w:lineRule="exact"/>
        <w:ind w:right="62" w:firstLine="420" w:firstLineChars="200"/>
        <w:rPr>
          <w:rFonts w:hint="eastAsia" w:ascii="宋体" w:hAnsi="宋体" w:cs="宋体"/>
          <w:snapToGrid w:val="0"/>
          <w:kern w:val="0"/>
          <w:szCs w:val="21"/>
          <w:highlight w:val="none"/>
        </w:rPr>
      </w:pPr>
      <w:r>
        <w:rPr>
          <w:rFonts w:hint="eastAsia" w:ascii="宋体" w:hAnsi="宋体" w:cs="宋体"/>
          <w:bCs/>
          <w:kern w:val="0"/>
          <w:szCs w:val="21"/>
          <w:highlight w:val="none"/>
        </w:rPr>
        <w:t>电话：</w:t>
      </w:r>
      <w:r>
        <w:rPr>
          <w:rFonts w:hint="eastAsia" w:ascii="宋体" w:hAnsi="宋体" w:cs="宋体"/>
          <w:kern w:val="0"/>
          <w:szCs w:val="21"/>
          <w:highlight w:val="none"/>
        </w:rPr>
        <w:t>15068415600，0577-88551608</w:t>
      </w:r>
      <w:r>
        <w:rPr>
          <w:rFonts w:hint="eastAsia" w:ascii="宋体" w:hAnsi="宋体" w:cs="宋体"/>
          <w:snapToGrid w:val="0"/>
          <w:kern w:val="0"/>
          <w:szCs w:val="21"/>
          <w:highlight w:val="none"/>
        </w:rPr>
        <w:t xml:space="preserve"> </w:t>
      </w:r>
    </w:p>
    <w:p w14:paraId="397F7D64">
      <w:pPr>
        <w:widowControl/>
        <w:wordWrap w:val="0"/>
        <w:spacing w:before="60" w:after="60" w:line="440" w:lineRule="exact"/>
        <w:ind w:right="62" w:firstLine="420" w:firstLineChars="200"/>
        <w:rPr>
          <w:rFonts w:hint="eastAsia" w:ascii="宋体" w:hAnsi="宋体" w:cs="宋体"/>
          <w:kern w:val="0"/>
          <w:szCs w:val="21"/>
          <w:highlight w:val="none"/>
        </w:rPr>
      </w:pPr>
      <w:r>
        <w:rPr>
          <w:rFonts w:hint="eastAsia" w:ascii="宋体" w:hAnsi="宋体" w:cs="宋体"/>
          <w:kern w:val="0"/>
          <w:szCs w:val="21"/>
          <w:highlight w:val="none"/>
        </w:rPr>
        <w:t xml:space="preserve">监督部门：温州市交通发展集团有限公司纪检监察室    </w:t>
      </w:r>
    </w:p>
    <w:p w14:paraId="14B3C29B">
      <w:pPr>
        <w:widowControl/>
        <w:wordWrap w:val="0"/>
        <w:spacing w:before="60" w:after="60" w:line="440" w:lineRule="exact"/>
        <w:ind w:right="62" w:firstLine="420" w:firstLineChars="200"/>
        <w:rPr>
          <w:rFonts w:hint="eastAsia" w:ascii="宋体" w:hAnsi="宋体" w:cs="宋体"/>
          <w:kern w:val="0"/>
          <w:szCs w:val="21"/>
          <w:highlight w:val="none"/>
        </w:rPr>
      </w:pPr>
      <w:r>
        <w:rPr>
          <w:rFonts w:hint="eastAsia" w:ascii="宋体" w:hAnsi="宋体" w:cs="宋体"/>
          <w:kern w:val="0"/>
          <w:szCs w:val="21"/>
          <w:highlight w:val="none"/>
        </w:rPr>
        <w:t>联系电话：0577-85559092</w:t>
      </w:r>
    </w:p>
    <w:p w14:paraId="482660E2">
      <w:pPr>
        <w:widowControl/>
        <w:wordWrap w:val="0"/>
        <w:spacing w:line="440" w:lineRule="exact"/>
        <w:ind w:firstLine="420" w:firstLineChars="200"/>
        <w:jc w:val="left"/>
        <w:rPr>
          <w:rFonts w:ascii="宋体" w:hAnsi="宋体" w:cs="宋体"/>
          <w:kern w:val="0"/>
          <w:szCs w:val="21"/>
          <w:highlight w:val="none"/>
        </w:rPr>
      </w:pPr>
      <w:r>
        <w:rPr>
          <w:rFonts w:ascii="宋体" w:hAnsi="宋体" w:cs="宋体"/>
          <w:kern w:val="0"/>
          <w:szCs w:val="21"/>
          <w:highlight w:val="none"/>
        </w:rPr>
        <w:t>采购平台</w:t>
      </w:r>
    </w:p>
    <w:p w14:paraId="6209AA5F">
      <w:pPr>
        <w:widowControl/>
        <w:wordWrap w:val="0"/>
        <w:spacing w:line="440" w:lineRule="exact"/>
        <w:ind w:firstLine="420" w:firstLineChars="200"/>
        <w:jc w:val="left"/>
        <w:rPr>
          <w:rFonts w:ascii="宋体" w:hAnsi="宋体" w:cs="宋体"/>
          <w:kern w:val="0"/>
          <w:szCs w:val="21"/>
          <w:highlight w:val="none"/>
        </w:rPr>
      </w:pPr>
      <w:r>
        <w:rPr>
          <w:rFonts w:ascii="宋体" w:hAnsi="宋体" w:cs="宋体"/>
          <w:kern w:val="0"/>
          <w:szCs w:val="21"/>
          <w:highlight w:val="none"/>
        </w:rPr>
        <w:t>名称：温州市阳光采购服务平台</w:t>
      </w:r>
    </w:p>
    <w:p w14:paraId="474A0D84">
      <w:pPr>
        <w:widowControl/>
        <w:wordWrap w:val="0"/>
        <w:spacing w:line="440" w:lineRule="exact"/>
        <w:ind w:firstLine="420" w:firstLineChars="200"/>
        <w:jc w:val="left"/>
        <w:rPr>
          <w:rFonts w:ascii="宋体" w:hAnsi="宋体" w:cs="宋体"/>
          <w:kern w:val="0"/>
          <w:szCs w:val="21"/>
          <w:highlight w:val="none"/>
        </w:rPr>
      </w:pPr>
      <w:r>
        <w:rPr>
          <w:rFonts w:ascii="宋体" w:hAnsi="宋体" w:cs="宋体"/>
          <w:kern w:val="0"/>
          <w:szCs w:val="21"/>
          <w:highlight w:val="none"/>
        </w:rPr>
        <w:t>地址：温州市海事路17号金可达商务楼</w:t>
      </w:r>
    </w:p>
    <w:p w14:paraId="2CAFA6DE">
      <w:pPr>
        <w:widowControl/>
        <w:wordWrap w:val="0"/>
        <w:spacing w:line="440" w:lineRule="exact"/>
        <w:ind w:firstLine="420" w:firstLineChars="200"/>
        <w:jc w:val="left"/>
        <w:rPr>
          <w:rFonts w:ascii="宋体" w:hAnsi="宋体" w:cs="宋体"/>
          <w:kern w:val="0"/>
          <w:szCs w:val="21"/>
          <w:highlight w:val="none"/>
        </w:rPr>
      </w:pPr>
      <w:r>
        <w:rPr>
          <w:rFonts w:ascii="宋体" w:hAnsi="宋体" w:cs="宋体"/>
          <w:kern w:val="0"/>
          <w:szCs w:val="21"/>
          <w:highlight w:val="none"/>
        </w:rPr>
        <w:t>联系人：</w:t>
      </w:r>
      <w:r>
        <w:rPr>
          <w:rFonts w:hint="eastAsia" w:ascii="宋体" w:hAnsi="宋体" w:cs="宋体"/>
          <w:kern w:val="0"/>
          <w:szCs w:val="21"/>
          <w:highlight w:val="none"/>
        </w:rPr>
        <w:t>沈</w:t>
      </w:r>
      <w:r>
        <w:rPr>
          <w:rFonts w:ascii="宋体" w:hAnsi="宋体" w:cs="宋体"/>
          <w:kern w:val="0"/>
          <w:szCs w:val="21"/>
          <w:highlight w:val="none"/>
        </w:rPr>
        <w:t>先生</w:t>
      </w:r>
    </w:p>
    <w:p w14:paraId="3A4836FE">
      <w:pPr>
        <w:widowControl/>
        <w:wordWrap w:val="0"/>
        <w:spacing w:line="440" w:lineRule="exact"/>
        <w:ind w:firstLine="420" w:firstLineChars="200"/>
        <w:jc w:val="left"/>
        <w:rPr>
          <w:rFonts w:hint="eastAsia" w:ascii="宋体" w:hAnsi="宋体" w:cs="宋体"/>
          <w:kern w:val="0"/>
          <w:szCs w:val="21"/>
          <w:highlight w:val="none"/>
        </w:rPr>
      </w:pPr>
      <w:r>
        <w:rPr>
          <w:rFonts w:ascii="宋体" w:hAnsi="宋体" w:cs="宋体"/>
          <w:kern w:val="0"/>
          <w:szCs w:val="21"/>
          <w:highlight w:val="none"/>
        </w:rPr>
        <w:t>联系电话：0577-855020</w:t>
      </w:r>
      <w:r>
        <w:rPr>
          <w:rFonts w:hint="eastAsia" w:ascii="宋体" w:hAnsi="宋体" w:cs="宋体"/>
          <w:kern w:val="0"/>
          <w:szCs w:val="21"/>
          <w:highlight w:val="none"/>
        </w:rPr>
        <w:t>18</w:t>
      </w:r>
    </w:p>
    <w:p w14:paraId="7C07ACD8">
      <w:pPr>
        <w:pStyle w:val="18"/>
        <w:wordWrap w:val="0"/>
        <w:spacing w:before="120" w:after="120" w:line="440" w:lineRule="exact"/>
        <w:jc w:val="right"/>
        <w:rPr>
          <w:rFonts w:hint="eastAsia" w:ascii="宋体" w:hAnsi="宋体" w:eastAsia="宋体" w:cs="宋体"/>
          <w:kern w:val="0"/>
          <w:szCs w:val="21"/>
          <w:highlight w:val="none"/>
        </w:rPr>
      </w:pPr>
      <w:r>
        <w:rPr>
          <w:rFonts w:hint="eastAsia" w:ascii="宋体" w:hAnsi="宋体" w:eastAsia="宋体" w:cs="宋体"/>
          <w:kern w:val="0"/>
          <w:szCs w:val="21"/>
          <w:highlight w:val="none"/>
        </w:rPr>
        <w:t>温州信达交通工程试验检测有限公司</w:t>
      </w:r>
    </w:p>
    <w:p w14:paraId="215ECFA3">
      <w:pPr>
        <w:pStyle w:val="18"/>
        <w:wordWrap w:val="0"/>
        <w:spacing w:before="120" w:after="120" w:line="440" w:lineRule="exact"/>
        <w:jc w:val="right"/>
        <w:rPr>
          <w:rFonts w:hint="eastAsia" w:ascii="宋体" w:hAnsi="宋体" w:eastAsia="宋体" w:cs="宋体"/>
          <w:kern w:val="0"/>
          <w:szCs w:val="21"/>
          <w:highlight w:val="none"/>
        </w:rPr>
      </w:pPr>
      <w:r>
        <w:rPr>
          <w:rFonts w:hint="eastAsia" w:ascii="宋体" w:hAnsi="宋体" w:eastAsia="宋体" w:cs="宋体"/>
          <w:kern w:val="0"/>
          <w:szCs w:val="21"/>
          <w:highlight w:val="none"/>
        </w:rPr>
        <w:t>大地工程咨询有限公司</w:t>
      </w:r>
    </w:p>
    <w:p w14:paraId="37DDC6D4">
      <w:pPr>
        <w:pStyle w:val="18"/>
        <w:wordWrap w:val="0"/>
        <w:spacing w:before="120" w:after="120" w:line="440" w:lineRule="exact"/>
        <w:jc w:val="right"/>
        <w:rPr>
          <w:rFonts w:hint="eastAsia" w:ascii="宋体" w:hAnsi="宋体" w:eastAsia="宋体" w:cs="宋体"/>
          <w:kern w:val="0"/>
          <w:szCs w:val="21"/>
          <w:highlight w:val="none"/>
        </w:rPr>
      </w:pPr>
      <w:r>
        <w:rPr>
          <w:rFonts w:hint="eastAsia" w:ascii="宋体" w:hAnsi="宋体" w:eastAsia="宋体" w:cs="宋体"/>
          <w:kern w:val="0"/>
          <w:szCs w:val="21"/>
          <w:highlight w:val="none"/>
        </w:rPr>
        <w:t>2026年</w:t>
      </w:r>
      <w:r>
        <w:rPr>
          <w:rFonts w:hint="eastAsia" w:ascii="宋体" w:hAnsi="宋体" w:eastAsia="宋体" w:cs="宋体"/>
          <w:kern w:val="0"/>
          <w:szCs w:val="21"/>
          <w:highlight w:val="none"/>
          <w:lang w:val="en-US" w:eastAsia="zh-CN"/>
        </w:rPr>
        <w:t>8</w:t>
      </w:r>
      <w:r>
        <w:rPr>
          <w:rFonts w:hint="eastAsia" w:ascii="宋体" w:hAnsi="宋体" w:eastAsia="宋体" w:cs="宋体"/>
          <w:kern w:val="0"/>
          <w:szCs w:val="21"/>
          <w:highlight w:val="none"/>
        </w:rPr>
        <w:t>月</w:t>
      </w:r>
      <w:r>
        <w:rPr>
          <w:rFonts w:hint="eastAsia" w:ascii="宋体" w:hAnsi="宋体" w:eastAsia="宋体" w:cs="宋体"/>
          <w:kern w:val="0"/>
          <w:szCs w:val="21"/>
          <w:highlight w:val="none"/>
          <w:lang w:val="en-US" w:eastAsia="zh-CN"/>
        </w:rPr>
        <w:t>6</w:t>
      </w:r>
      <w:r>
        <w:rPr>
          <w:rFonts w:hint="eastAsia" w:ascii="宋体" w:hAnsi="宋体" w:eastAsia="宋体" w:cs="宋体"/>
          <w:kern w:val="0"/>
          <w:szCs w:val="21"/>
          <w:highlight w:val="none"/>
        </w:rPr>
        <w:t>日</w:t>
      </w:r>
    </w:p>
    <w:p w14:paraId="025119D6">
      <w:pPr>
        <w:pStyle w:val="18"/>
        <w:spacing w:before="120" w:after="120" w:line="440" w:lineRule="exact"/>
        <w:jc w:val="center"/>
        <w:rPr>
          <w:rFonts w:hint="eastAsia" w:ascii="宋体" w:hAnsi="宋体" w:eastAsia="宋体" w:cs="宋体"/>
          <w:b/>
          <w:bCs/>
          <w:sz w:val="28"/>
          <w:szCs w:val="28"/>
          <w:highlight w:val="none"/>
        </w:rPr>
      </w:pPr>
      <w:r>
        <w:rPr>
          <w:rFonts w:hint="eastAsia" w:ascii="宋体" w:hAnsi="宋体" w:eastAsia="宋体" w:cs="宋体"/>
          <w:kern w:val="0"/>
          <w:szCs w:val="21"/>
          <w:highlight w:val="none"/>
        </w:rPr>
        <w:br w:type="page"/>
      </w:r>
      <w:r>
        <w:rPr>
          <w:rFonts w:hint="eastAsia" w:ascii="宋体" w:hAnsi="宋体" w:eastAsia="宋体" w:cs="宋体"/>
          <w:b/>
          <w:bCs/>
          <w:sz w:val="28"/>
          <w:szCs w:val="28"/>
          <w:highlight w:val="none"/>
        </w:rPr>
        <w:t>温州市交发集团所属温州信达交通工程试验检测有限公司关于金海湖信息化展厅网络环境设备项目</w:t>
      </w:r>
      <w:r>
        <w:rPr>
          <w:rFonts w:hint="eastAsia" w:ascii="宋体" w:hAnsi="宋体" w:eastAsia="宋体" w:cs="宋体"/>
          <w:b/>
          <w:bCs/>
          <w:kern w:val="1"/>
          <w:sz w:val="28"/>
          <w:szCs w:val="28"/>
          <w:highlight w:val="none"/>
        </w:rPr>
        <w:t>（自主）</w:t>
      </w:r>
      <w:r>
        <w:rPr>
          <w:rFonts w:hint="eastAsia" w:ascii="宋体" w:hAnsi="宋体" w:eastAsia="宋体" w:cs="宋体"/>
          <w:b/>
          <w:bCs/>
          <w:sz w:val="28"/>
          <w:szCs w:val="28"/>
          <w:highlight w:val="none"/>
        </w:rPr>
        <w:t>的征求意见公示</w:t>
      </w:r>
    </w:p>
    <w:p w14:paraId="1D3C1777">
      <w:pPr>
        <w:widowControl/>
        <w:jc w:val="center"/>
        <w:rPr>
          <w:rFonts w:hint="eastAsia" w:ascii="宋体" w:hAnsi="宋体" w:cs="宋体"/>
          <w:szCs w:val="21"/>
          <w:highlight w:val="none"/>
        </w:rPr>
      </w:pPr>
    </w:p>
    <w:p w14:paraId="52406DF6">
      <w:pPr>
        <w:widowControl/>
        <w:spacing w:line="360" w:lineRule="auto"/>
        <w:ind w:left="62" w:right="62" w:firstLine="420" w:firstLineChars="200"/>
        <w:jc w:val="left"/>
        <w:rPr>
          <w:rFonts w:hint="eastAsia" w:ascii="宋体" w:hAnsi="宋体" w:cs="宋体"/>
          <w:bCs/>
          <w:kern w:val="0"/>
          <w:szCs w:val="21"/>
          <w:highlight w:val="none"/>
        </w:rPr>
      </w:pPr>
      <w:r>
        <w:rPr>
          <w:rFonts w:hint="eastAsia" w:ascii="宋体" w:hAnsi="宋体" w:cs="宋体"/>
          <w:bCs/>
          <w:kern w:val="0"/>
          <w:szCs w:val="21"/>
          <w:highlight w:val="none"/>
        </w:rPr>
        <w:t>大地工程咨询有限公司受温州信达交通工程试验检测有限公司的委托，就</w:t>
      </w:r>
      <w:r>
        <w:rPr>
          <w:rFonts w:hint="eastAsia" w:ascii="宋体" w:hAnsi="宋体" w:cs="宋体"/>
          <w:bCs/>
          <w:kern w:val="0"/>
          <w:szCs w:val="21"/>
          <w:highlight w:val="none"/>
          <w:u w:val="single"/>
        </w:rPr>
        <w:t>金海湖信息化展厅网络环境设备</w:t>
      </w:r>
      <w:r>
        <w:rPr>
          <w:rFonts w:hint="eastAsia" w:ascii="宋体" w:hAnsi="宋体" w:cs="宋体"/>
          <w:bCs/>
          <w:kern w:val="0"/>
          <w:szCs w:val="21"/>
          <w:highlight w:val="none"/>
        </w:rPr>
        <w:t>项目以公开招标方式进行采购。现将本项目采购文件公布如下（详见附件），并公开征求投标供应商及专家意见。</w:t>
      </w:r>
    </w:p>
    <w:p w14:paraId="39E68905">
      <w:pPr>
        <w:widowControl/>
        <w:spacing w:line="360" w:lineRule="auto"/>
        <w:ind w:right="62"/>
        <w:jc w:val="left"/>
        <w:rPr>
          <w:rFonts w:hint="eastAsia" w:ascii="宋体" w:hAnsi="宋体" w:cs="宋体"/>
          <w:b/>
          <w:kern w:val="0"/>
          <w:szCs w:val="21"/>
          <w:highlight w:val="none"/>
        </w:rPr>
      </w:pPr>
      <w:r>
        <w:rPr>
          <w:rFonts w:hint="eastAsia" w:ascii="宋体" w:hAnsi="宋体" w:cs="宋体"/>
          <w:b/>
          <w:kern w:val="0"/>
          <w:szCs w:val="21"/>
          <w:highlight w:val="none"/>
        </w:rPr>
        <w:t>一、征求意见范围：</w:t>
      </w:r>
    </w:p>
    <w:p w14:paraId="22E86E7B">
      <w:pPr>
        <w:widowControl/>
        <w:spacing w:line="360" w:lineRule="auto"/>
        <w:ind w:left="62" w:right="62" w:firstLine="420" w:firstLineChars="200"/>
        <w:jc w:val="left"/>
        <w:rPr>
          <w:rFonts w:hint="eastAsia" w:ascii="宋体" w:hAnsi="宋体" w:cs="宋体"/>
          <w:bCs/>
          <w:kern w:val="0"/>
          <w:szCs w:val="21"/>
          <w:highlight w:val="none"/>
        </w:rPr>
      </w:pPr>
      <w:r>
        <w:rPr>
          <w:rFonts w:hint="eastAsia" w:ascii="宋体" w:hAnsi="宋体" w:cs="宋体"/>
          <w:bCs/>
          <w:kern w:val="0"/>
          <w:szCs w:val="21"/>
          <w:highlight w:val="none"/>
        </w:rPr>
        <w:t>1、是否出现明显的倾向性意见和特定的性能指标；</w:t>
      </w:r>
    </w:p>
    <w:p w14:paraId="1B863AFE">
      <w:pPr>
        <w:widowControl/>
        <w:spacing w:line="360" w:lineRule="auto"/>
        <w:ind w:left="62" w:right="62" w:firstLine="420" w:firstLineChars="200"/>
        <w:jc w:val="left"/>
        <w:rPr>
          <w:rFonts w:hint="eastAsia" w:ascii="宋体" w:hAnsi="宋体" w:cs="宋体"/>
          <w:bCs/>
          <w:kern w:val="0"/>
          <w:szCs w:val="21"/>
          <w:highlight w:val="none"/>
        </w:rPr>
      </w:pPr>
      <w:r>
        <w:rPr>
          <w:rFonts w:hint="eastAsia" w:ascii="宋体" w:hAnsi="宋体" w:cs="宋体"/>
          <w:bCs/>
          <w:kern w:val="0"/>
          <w:szCs w:val="21"/>
          <w:highlight w:val="none"/>
        </w:rPr>
        <w:t>2、投标供应商资格条件是否具有明显倾向性和歧视性；</w:t>
      </w:r>
    </w:p>
    <w:p w14:paraId="190B17C4">
      <w:pPr>
        <w:widowControl/>
        <w:spacing w:line="360" w:lineRule="auto"/>
        <w:ind w:left="62" w:right="62" w:firstLine="420" w:firstLineChars="200"/>
        <w:jc w:val="left"/>
        <w:rPr>
          <w:rFonts w:hint="eastAsia" w:ascii="宋体" w:hAnsi="宋体" w:cs="宋体"/>
          <w:bCs/>
          <w:kern w:val="0"/>
          <w:szCs w:val="21"/>
          <w:highlight w:val="none"/>
        </w:rPr>
      </w:pPr>
      <w:r>
        <w:rPr>
          <w:rFonts w:hint="eastAsia" w:ascii="宋体" w:hAnsi="宋体" w:cs="宋体"/>
          <w:bCs/>
          <w:kern w:val="0"/>
          <w:szCs w:val="21"/>
          <w:highlight w:val="none"/>
        </w:rPr>
        <w:t>3、影响温州市国有企业采购“公开、公平、公正”原则的其他情况。 </w:t>
      </w:r>
    </w:p>
    <w:p w14:paraId="59ACBDFC">
      <w:pPr>
        <w:widowControl/>
        <w:spacing w:line="360" w:lineRule="auto"/>
        <w:ind w:right="62"/>
        <w:jc w:val="left"/>
        <w:rPr>
          <w:rFonts w:hint="eastAsia" w:ascii="宋体" w:hAnsi="宋体" w:cs="宋体"/>
          <w:b/>
          <w:kern w:val="0"/>
          <w:szCs w:val="21"/>
          <w:highlight w:val="none"/>
        </w:rPr>
      </w:pPr>
      <w:r>
        <w:rPr>
          <w:rFonts w:hint="eastAsia" w:ascii="宋体" w:hAnsi="宋体" w:cs="宋体"/>
          <w:b/>
          <w:kern w:val="0"/>
          <w:szCs w:val="21"/>
          <w:highlight w:val="none"/>
        </w:rPr>
        <w:t>二、征求意见的回复：</w:t>
      </w:r>
    </w:p>
    <w:p w14:paraId="62F119C8">
      <w:pPr>
        <w:widowControl/>
        <w:spacing w:line="360" w:lineRule="auto"/>
        <w:ind w:left="62" w:right="62" w:firstLine="420" w:firstLineChars="200"/>
        <w:jc w:val="left"/>
        <w:rPr>
          <w:rFonts w:hint="eastAsia" w:ascii="宋体" w:hAnsi="宋体" w:cs="宋体"/>
          <w:bCs/>
          <w:kern w:val="0"/>
          <w:szCs w:val="21"/>
          <w:highlight w:val="none"/>
        </w:rPr>
      </w:pPr>
      <w:r>
        <w:rPr>
          <w:rFonts w:hint="eastAsia" w:ascii="宋体" w:hAnsi="宋体" w:cs="宋体"/>
          <w:bCs/>
          <w:kern w:val="0"/>
          <w:szCs w:val="21"/>
          <w:highlight w:val="none"/>
        </w:rPr>
        <w:t>各投标供应商及专家提出修改理由和建议的，请于</w:t>
      </w:r>
      <w:r>
        <w:rPr>
          <w:rFonts w:hint="eastAsia" w:ascii="宋体" w:hAnsi="宋体" w:cs="宋体"/>
          <w:kern w:val="0"/>
          <w:szCs w:val="21"/>
          <w:highlight w:val="none"/>
        </w:rPr>
        <w:t>2026年</w:t>
      </w:r>
      <w:r>
        <w:rPr>
          <w:rFonts w:hint="eastAsia" w:ascii="宋体" w:hAnsi="宋体" w:cs="宋体"/>
          <w:kern w:val="0"/>
          <w:szCs w:val="21"/>
          <w:highlight w:val="none"/>
          <w:lang w:val="en-US" w:eastAsia="zh-CN"/>
        </w:rPr>
        <w:t>8</w:t>
      </w:r>
      <w:r>
        <w:rPr>
          <w:rFonts w:hint="eastAsia" w:ascii="宋体" w:hAnsi="宋体" w:cs="宋体"/>
          <w:kern w:val="0"/>
          <w:szCs w:val="21"/>
          <w:highlight w:val="none"/>
        </w:rPr>
        <w:t>月</w:t>
      </w:r>
      <w:r>
        <w:rPr>
          <w:rFonts w:hint="eastAsia" w:ascii="宋体" w:hAnsi="宋体" w:cs="宋体"/>
          <w:kern w:val="0"/>
          <w:szCs w:val="21"/>
          <w:highlight w:val="none"/>
          <w:lang w:val="en-US" w:eastAsia="zh-CN"/>
        </w:rPr>
        <w:t>11</w:t>
      </w:r>
      <w:r>
        <w:rPr>
          <w:rFonts w:hint="eastAsia" w:ascii="宋体" w:hAnsi="宋体" w:cs="宋体"/>
          <w:kern w:val="0"/>
          <w:szCs w:val="21"/>
          <w:highlight w:val="none"/>
        </w:rPr>
        <w:t>日</w:t>
      </w:r>
      <w:r>
        <w:rPr>
          <w:rFonts w:hint="eastAsia" w:ascii="宋体" w:hAnsi="宋体" w:cs="宋体"/>
          <w:bCs/>
          <w:kern w:val="0"/>
          <w:szCs w:val="21"/>
          <w:highlight w:val="none"/>
        </w:rPr>
        <w:t>上午11时00分前将书面材料签字（盖公章）并密封后送至温州市温州大道428号温州源大创业园四层8403室（或先将扫描件及电子版发送至邮箱249168092@qq.com，并同时将该原件寄至温州市温州大道428号温州源大创业园四层8403室。）</w:t>
      </w:r>
    </w:p>
    <w:p w14:paraId="5A0F4F98">
      <w:pPr>
        <w:widowControl/>
        <w:spacing w:line="360" w:lineRule="auto"/>
        <w:ind w:left="62" w:right="62" w:firstLine="420" w:firstLineChars="200"/>
        <w:jc w:val="left"/>
        <w:rPr>
          <w:rFonts w:hint="eastAsia" w:ascii="宋体" w:hAnsi="宋体" w:cs="宋体"/>
          <w:bCs/>
          <w:kern w:val="0"/>
          <w:szCs w:val="21"/>
          <w:highlight w:val="none"/>
        </w:rPr>
      </w:pPr>
      <w:r>
        <w:rPr>
          <w:rFonts w:hint="eastAsia" w:ascii="宋体" w:hAnsi="宋体" w:cs="宋体"/>
          <w:bCs/>
          <w:kern w:val="0"/>
          <w:szCs w:val="21"/>
          <w:highlight w:val="none"/>
        </w:rPr>
        <w:t>联系人：郑瑞木，联系电话：15068415600，0577-88551608。</w:t>
      </w:r>
    </w:p>
    <w:p w14:paraId="5E75A04E">
      <w:pPr>
        <w:widowControl/>
        <w:spacing w:line="360" w:lineRule="auto"/>
        <w:ind w:left="62" w:right="62" w:firstLine="420" w:firstLineChars="200"/>
        <w:jc w:val="left"/>
        <w:rPr>
          <w:rFonts w:hint="eastAsia" w:ascii="宋体" w:hAnsi="宋体" w:cs="宋体"/>
          <w:bCs/>
          <w:kern w:val="0"/>
          <w:szCs w:val="21"/>
          <w:highlight w:val="none"/>
        </w:rPr>
      </w:pPr>
      <w:r>
        <w:rPr>
          <w:rFonts w:hint="eastAsia" w:ascii="宋体" w:hAnsi="宋体" w:cs="宋体"/>
          <w:bCs/>
          <w:kern w:val="0"/>
          <w:szCs w:val="21"/>
          <w:highlight w:val="none"/>
        </w:rPr>
        <w:t>对逾期送达的意见、建议书恕不接受。</w:t>
      </w:r>
    </w:p>
    <w:p w14:paraId="0EBB6066">
      <w:pPr>
        <w:widowControl/>
        <w:spacing w:line="360" w:lineRule="auto"/>
        <w:ind w:right="62"/>
        <w:jc w:val="left"/>
        <w:rPr>
          <w:rFonts w:hint="eastAsia" w:ascii="宋体" w:hAnsi="宋体" w:cs="宋体"/>
          <w:b/>
          <w:kern w:val="0"/>
          <w:szCs w:val="21"/>
          <w:highlight w:val="none"/>
        </w:rPr>
      </w:pPr>
      <w:r>
        <w:rPr>
          <w:rFonts w:hint="eastAsia" w:ascii="宋体" w:hAnsi="宋体" w:cs="宋体"/>
          <w:b/>
          <w:kern w:val="0"/>
          <w:szCs w:val="21"/>
          <w:highlight w:val="none"/>
        </w:rPr>
        <w:t>三、附本项目采购文件</w:t>
      </w:r>
    </w:p>
    <w:p w14:paraId="341A6258">
      <w:pPr>
        <w:pStyle w:val="15"/>
        <w:spacing w:line="360" w:lineRule="auto"/>
        <w:ind w:firstLine="0" w:firstLineChars="0"/>
        <w:rPr>
          <w:rFonts w:hint="eastAsia" w:ascii="宋体" w:hAnsi="宋体" w:cs="宋体"/>
          <w:szCs w:val="21"/>
          <w:highlight w:val="none"/>
        </w:rPr>
      </w:pPr>
    </w:p>
    <w:p w14:paraId="135CD2F0">
      <w:pPr>
        <w:widowControl/>
        <w:spacing w:line="360" w:lineRule="auto"/>
        <w:ind w:left="62" w:right="62" w:firstLine="420" w:firstLineChars="200"/>
        <w:jc w:val="right"/>
        <w:rPr>
          <w:rFonts w:hint="eastAsia" w:ascii="宋体" w:hAnsi="宋体" w:cs="宋体"/>
          <w:bCs/>
          <w:kern w:val="0"/>
          <w:szCs w:val="21"/>
          <w:highlight w:val="none"/>
        </w:rPr>
      </w:pPr>
      <w:r>
        <w:rPr>
          <w:rFonts w:hint="eastAsia" w:ascii="宋体" w:hAnsi="宋体" w:cs="宋体"/>
          <w:bCs/>
          <w:kern w:val="0"/>
          <w:szCs w:val="21"/>
          <w:highlight w:val="none"/>
        </w:rPr>
        <w:t>温州信达交通工程试验检测有限公司</w:t>
      </w:r>
    </w:p>
    <w:p w14:paraId="7A29105C">
      <w:pPr>
        <w:widowControl/>
        <w:spacing w:line="360" w:lineRule="auto"/>
        <w:ind w:left="62" w:right="62" w:firstLine="420" w:firstLineChars="200"/>
        <w:jc w:val="right"/>
        <w:rPr>
          <w:rFonts w:hint="eastAsia" w:ascii="宋体" w:hAnsi="宋体" w:cs="宋体"/>
          <w:bCs/>
          <w:kern w:val="0"/>
          <w:szCs w:val="21"/>
          <w:highlight w:val="none"/>
        </w:rPr>
      </w:pPr>
      <w:r>
        <w:rPr>
          <w:rFonts w:hint="eastAsia" w:ascii="宋体" w:hAnsi="宋体" w:cs="宋体"/>
          <w:bCs/>
          <w:kern w:val="0"/>
          <w:szCs w:val="21"/>
          <w:highlight w:val="none"/>
        </w:rPr>
        <w:t>大地工程咨询有限公司</w:t>
      </w:r>
    </w:p>
    <w:p w14:paraId="17197AE9">
      <w:pPr>
        <w:widowControl/>
        <w:spacing w:line="360" w:lineRule="auto"/>
        <w:ind w:left="62" w:right="62" w:firstLine="420" w:firstLineChars="200"/>
        <w:jc w:val="right"/>
        <w:rPr>
          <w:rFonts w:hint="eastAsia" w:ascii="宋体" w:hAnsi="宋体" w:cs="宋体"/>
          <w:b/>
          <w:bCs/>
          <w:szCs w:val="21"/>
          <w:highlight w:val="none"/>
        </w:rPr>
      </w:pPr>
      <w:r>
        <w:rPr>
          <w:rFonts w:hint="eastAsia" w:ascii="宋体" w:hAnsi="宋体" w:cs="宋体"/>
          <w:kern w:val="0"/>
          <w:szCs w:val="21"/>
          <w:highlight w:val="none"/>
        </w:rPr>
        <w:t>2026年</w:t>
      </w:r>
      <w:r>
        <w:rPr>
          <w:rFonts w:hint="eastAsia" w:ascii="宋体" w:hAnsi="宋体" w:cs="宋体"/>
          <w:kern w:val="0"/>
          <w:szCs w:val="21"/>
          <w:highlight w:val="none"/>
          <w:lang w:val="en-US" w:eastAsia="zh-CN"/>
        </w:rPr>
        <w:t>8</w:t>
      </w:r>
      <w:r>
        <w:rPr>
          <w:rFonts w:hint="eastAsia" w:ascii="宋体" w:hAnsi="宋体" w:cs="宋体"/>
          <w:kern w:val="0"/>
          <w:szCs w:val="21"/>
          <w:highlight w:val="none"/>
        </w:rPr>
        <w:t>月</w:t>
      </w:r>
      <w:r>
        <w:rPr>
          <w:rFonts w:hint="eastAsia" w:ascii="宋体" w:hAnsi="宋体" w:cs="宋体"/>
          <w:kern w:val="0"/>
          <w:szCs w:val="21"/>
          <w:highlight w:val="none"/>
          <w:lang w:val="en-US" w:eastAsia="zh-CN"/>
        </w:rPr>
        <w:t>6</w:t>
      </w:r>
      <w:r>
        <w:rPr>
          <w:rFonts w:hint="eastAsia" w:ascii="宋体" w:hAnsi="宋体" w:cs="宋体"/>
          <w:kern w:val="0"/>
          <w:szCs w:val="21"/>
          <w:highlight w:val="none"/>
        </w:rPr>
        <w:t>日</w:t>
      </w:r>
    </w:p>
    <w:p w14:paraId="4B0D4350">
      <w:pPr>
        <w:spacing w:line="460" w:lineRule="exact"/>
        <w:jc w:val="center"/>
        <w:rPr>
          <w:rFonts w:hint="eastAsia" w:ascii="宋体" w:hAnsi="宋体" w:cs="宋体"/>
          <w:b/>
          <w:bCs/>
          <w:szCs w:val="21"/>
          <w:highlight w:val="none"/>
        </w:rPr>
      </w:pPr>
    </w:p>
    <w:p w14:paraId="42C90929">
      <w:pPr>
        <w:spacing w:line="460" w:lineRule="exact"/>
        <w:jc w:val="center"/>
        <w:rPr>
          <w:rFonts w:hint="eastAsia" w:ascii="宋体" w:hAnsi="宋体" w:cs="宋体"/>
          <w:b/>
          <w:bCs/>
          <w:szCs w:val="21"/>
          <w:highlight w:val="none"/>
        </w:rPr>
      </w:pPr>
    </w:p>
    <w:p w14:paraId="7D6C4445">
      <w:pPr>
        <w:spacing w:line="460" w:lineRule="exact"/>
        <w:jc w:val="center"/>
        <w:rPr>
          <w:rFonts w:hint="eastAsia" w:ascii="宋体" w:hAnsi="宋体" w:cs="宋体"/>
          <w:b/>
          <w:bCs/>
          <w:szCs w:val="21"/>
          <w:highlight w:val="none"/>
        </w:rPr>
      </w:pPr>
    </w:p>
    <w:p w14:paraId="248F59D6">
      <w:pPr>
        <w:spacing w:line="460" w:lineRule="exact"/>
        <w:jc w:val="center"/>
        <w:rPr>
          <w:rFonts w:hint="eastAsia" w:ascii="宋体" w:hAnsi="宋体" w:cs="宋体"/>
          <w:b/>
          <w:bCs/>
          <w:szCs w:val="21"/>
          <w:highlight w:val="none"/>
        </w:rPr>
      </w:pPr>
    </w:p>
    <w:p w14:paraId="5FE6596A">
      <w:pPr>
        <w:spacing w:line="460" w:lineRule="exact"/>
        <w:jc w:val="center"/>
        <w:rPr>
          <w:rFonts w:hint="eastAsia" w:ascii="宋体" w:hAnsi="宋体" w:cs="宋体"/>
          <w:b/>
          <w:bCs/>
          <w:szCs w:val="21"/>
          <w:highlight w:val="none"/>
        </w:rPr>
      </w:pPr>
    </w:p>
    <w:p w14:paraId="58F63EC6">
      <w:pPr>
        <w:spacing w:line="460" w:lineRule="exact"/>
        <w:jc w:val="center"/>
        <w:rPr>
          <w:rFonts w:hint="eastAsia" w:ascii="宋体" w:hAnsi="宋体" w:cs="宋体"/>
          <w:b/>
          <w:bCs/>
          <w:szCs w:val="21"/>
          <w:highlight w:val="none"/>
        </w:rPr>
      </w:pPr>
    </w:p>
    <w:p w14:paraId="435C8B08">
      <w:pPr>
        <w:spacing w:line="460" w:lineRule="exact"/>
        <w:jc w:val="center"/>
        <w:rPr>
          <w:rFonts w:hint="eastAsia" w:ascii="宋体" w:hAnsi="宋体" w:cs="宋体"/>
          <w:b/>
          <w:bCs/>
          <w:szCs w:val="21"/>
          <w:highlight w:val="none"/>
        </w:rPr>
      </w:pPr>
    </w:p>
    <w:p w14:paraId="2DFF2C3F">
      <w:pPr>
        <w:spacing w:line="460" w:lineRule="exact"/>
        <w:jc w:val="center"/>
        <w:rPr>
          <w:rFonts w:hint="eastAsia" w:ascii="宋体" w:hAnsi="宋体" w:cs="宋体"/>
          <w:b/>
          <w:bCs/>
          <w:szCs w:val="21"/>
          <w:highlight w:val="none"/>
        </w:rPr>
      </w:pPr>
    </w:p>
    <w:p w14:paraId="7A3DF987">
      <w:pPr>
        <w:spacing w:line="360" w:lineRule="auto"/>
        <w:jc w:val="center"/>
        <w:outlineLvl w:val="0"/>
        <w:rPr>
          <w:rFonts w:hint="eastAsia" w:ascii="宋体" w:hAnsi="宋体" w:cs="宋体"/>
          <w:b/>
          <w:bCs/>
          <w:sz w:val="28"/>
          <w:szCs w:val="28"/>
          <w:highlight w:val="none"/>
        </w:rPr>
      </w:pPr>
      <w:bookmarkStart w:id="16" w:name="_Toc389760259"/>
      <w:r>
        <w:rPr>
          <w:rFonts w:hint="eastAsia" w:ascii="宋体" w:hAnsi="宋体" w:cs="宋体"/>
          <w:szCs w:val="21"/>
          <w:highlight w:val="none"/>
        </w:rPr>
        <w:br w:type="page"/>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Start w:id="17" w:name="_Toc21812"/>
      <w:r>
        <w:rPr>
          <w:rFonts w:hint="eastAsia" w:ascii="宋体" w:hAnsi="宋体" w:cs="宋体"/>
          <w:b/>
          <w:bCs/>
          <w:sz w:val="28"/>
          <w:szCs w:val="28"/>
          <w:highlight w:val="none"/>
        </w:rPr>
        <w:t>投标供应商须知前附表</w:t>
      </w:r>
      <w:bookmarkEnd w:id="17"/>
    </w:p>
    <w:p w14:paraId="5CE4233C">
      <w:pPr>
        <w:spacing w:line="360" w:lineRule="auto"/>
        <w:rPr>
          <w:rFonts w:hint="eastAsia" w:ascii="宋体" w:hAnsi="宋体" w:cs="宋体"/>
          <w:szCs w:val="21"/>
          <w:highlight w:val="none"/>
        </w:rPr>
      </w:pPr>
    </w:p>
    <w:tbl>
      <w:tblPr>
        <w:tblStyle w:val="35"/>
        <w:tblW w:w="0" w:type="auto"/>
        <w:tblInd w:w="108" w:type="dxa"/>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Layout w:type="fixed"/>
        <w:tblCellMar>
          <w:top w:w="0" w:type="dxa"/>
          <w:left w:w="108" w:type="dxa"/>
          <w:bottom w:w="0" w:type="dxa"/>
          <w:right w:w="108" w:type="dxa"/>
        </w:tblCellMar>
      </w:tblPr>
      <w:tblGrid>
        <w:gridCol w:w="772"/>
        <w:gridCol w:w="1560"/>
        <w:gridCol w:w="7046"/>
      </w:tblGrid>
      <w:tr w14:paraId="1B953524">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485" w:hRule="atLeast"/>
        </w:trPr>
        <w:tc>
          <w:tcPr>
            <w:tcW w:w="772" w:type="dxa"/>
            <w:tcBorders>
              <w:bottom w:val="single" w:color="000000" w:sz="4" w:space="0"/>
              <w:right w:val="single" w:color="000000" w:sz="4" w:space="0"/>
            </w:tcBorders>
            <w:noWrap w:val="0"/>
            <w:vAlign w:val="center"/>
          </w:tcPr>
          <w:p w14:paraId="298A6DB0">
            <w:pPr>
              <w:jc w:val="center"/>
              <w:rPr>
                <w:rFonts w:hint="eastAsia" w:ascii="宋体" w:hAnsi="宋体" w:eastAsia="宋体" w:cs="宋体"/>
                <w:szCs w:val="21"/>
                <w:highlight w:val="none"/>
              </w:rPr>
            </w:pPr>
            <w:r>
              <w:rPr>
                <w:rFonts w:hint="eastAsia" w:ascii="宋体" w:hAnsi="宋体" w:eastAsia="宋体" w:cs="宋体"/>
                <w:szCs w:val="21"/>
                <w:highlight w:val="none"/>
              </w:rPr>
              <w:t>序号</w:t>
            </w:r>
          </w:p>
        </w:tc>
        <w:tc>
          <w:tcPr>
            <w:tcW w:w="1560" w:type="dxa"/>
            <w:tcBorders>
              <w:left w:val="single" w:color="000000" w:sz="4" w:space="0"/>
              <w:bottom w:val="single" w:color="000000" w:sz="4" w:space="0"/>
              <w:right w:val="single" w:color="000000" w:sz="4" w:space="0"/>
            </w:tcBorders>
            <w:noWrap w:val="0"/>
            <w:vAlign w:val="center"/>
          </w:tcPr>
          <w:p w14:paraId="2F19C255">
            <w:pPr>
              <w:jc w:val="center"/>
              <w:rPr>
                <w:rFonts w:hint="eastAsia" w:ascii="宋体" w:hAnsi="宋体" w:eastAsia="宋体" w:cs="宋体"/>
                <w:szCs w:val="21"/>
                <w:highlight w:val="none"/>
              </w:rPr>
            </w:pPr>
            <w:r>
              <w:rPr>
                <w:rFonts w:hint="eastAsia" w:ascii="宋体" w:hAnsi="宋体" w:eastAsia="宋体" w:cs="宋体"/>
                <w:szCs w:val="21"/>
                <w:highlight w:val="none"/>
              </w:rPr>
              <w:t>条款名称</w:t>
            </w:r>
          </w:p>
        </w:tc>
        <w:tc>
          <w:tcPr>
            <w:tcW w:w="7046" w:type="dxa"/>
            <w:tcBorders>
              <w:left w:val="single" w:color="000000" w:sz="4" w:space="0"/>
              <w:bottom w:val="single" w:color="000000" w:sz="4" w:space="0"/>
            </w:tcBorders>
            <w:noWrap w:val="0"/>
            <w:vAlign w:val="center"/>
          </w:tcPr>
          <w:p w14:paraId="428F4C85">
            <w:pPr>
              <w:jc w:val="center"/>
              <w:rPr>
                <w:rFonts w:hint="eastAsia" w:ascii="宋体" w:hAnsi="宋体" w:eastAsia="宋体" w:cs="宋体"/>
                <w:szCs w:val="21"/>
                <w:highlight w:val="none"/>
              </w:rPr>
            </w:pPr>
            <w:r>
              <w:rPr>
                <w:rFonts w:hint="eastAsia" w:ascii="宋体" w:hAnsi="宋体" w:eastAsia="宋体" w:cs="宋体"/>
                <w:szCs w:val="21"/>
                <w:highlight w:val="none"/>
              </w:rPr>
              <w:t>编列内容</w:t>
            </w:r>
          </w:p>
        </w:tc>
      </w:tr>
      <w:tr w14:paraId="110C5872">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23" w:hRule="atLeast"/>
        </w:trPr>
        <w:tc>
          <w:tcPr>
            <w:tcW w:w="772" w:type="dxa"/>
            <w:tcBorders>
              <w:top w:val="single" w:color="000000" w:sz="4" w:space="0"/>
              <w:bottom w:val="single" w:color="000000" w:sz="4" w:space="0"/>
              <w:right w:val="single" w:color="000000" w:sz="4" w:space="0"/>
            </w:tcBorders>
            <w:noWrap w:val="0"/>
            <w:vAlign w:val="center"/>
          </w:tcPr>
          <w:p w14:paraId="0346247C">
            <w:pPr>
              <w:jc w:val="center"/>
              <w:rPr>
                <w:rFonts w:hint="eastAsia" w:ascii="宋体" w:hAnsi="宋体" w:eastAsia="宋体" w:cs="宋体"/>
                <w:szCs w:val="21"/>
                <w:highlight w:val="none"/>
              </w:rPr>
            </w:pPr>
            <w:r>
              <w:rPr>
                <w:rFonts w:hint="eastAsia" w:ascii="宋体" w:hAnsi="宋体" w:eastAsia="宋体" w:cs="宋体"/>
                <w:szCs w:val="21"/>
                <w:highlight w:val="none"/>
              </w:rPr>
              <w:t>1</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74C284C8">
            <w:pPr>
              <w:jc w:val="center"/>
              <w:rPr>
                <w:rFonts w:hint="eastAsia" w:ascii="宋体" w:hAnsi="宋体" w:eastAsia="宋体" w:cs="宋体"/>
                <w:szCs w:val="21"/>
                <w:highlight w:val="none"/>
              </w:rPr>
            </w:pPr>
            <w:r>
              <w:rPr>
                <w:rFonts w:hint="eastAsia" w:ascii="宋体" w:hAnsi="宋体" w:eastAsia="宋体" w:cs="宋体"/>
                <w:szCs w:val="21"/>
                <w:highlight w:val="none"/>
              </w:rPr>
              <w:t>采购人</w:t>
            </w:r>
          </w:p>
        </w:tc>
        <w:tc>
          <w:tcPr>
            <w:tcW w:w="7046" w:type="dxa"/>
            <w:tcBorders>
              <w:top w:val="single" w:color="000000" w:sz="4" w:space="0"/>
              <w:left w:val="single" w:color="000000" w:sz="4" w:space="0"/>
              <w:bottom w:val="single" w:color="000000" w:sz="4" w:space="0"/>
            </w:tcBorders>
            <w:noWrap w:val="0"/>
            <w:vAlign w:val="center"/>
          </w:tcPr>
          <w:p w14:paraId="461620CC">
            <w:pPr>
              <w:spacing w:line="300" w:lineRule="exact"/>
              <w:rPr>
                <w:rFonts w:hint="eastAsia" w:ascii="宋体" w:hAnsi="宋体" w:eastAsia="宋体" w:cs="宋体"/>
                <w:szCs w:val="21"/>
                <w:highlight w:val="none"/>
              </w:rPr>
            </w:pPr>
            <w:r>
              <w:rPr>
                <w:rFonts w:hint="eastAsia" w:ascii="宋体" w:hAnsi="宋体" w:eastAsia="宋体" w:cs="宋体"/>
                <w:szCs w:val="21"/>
                <w:highlight w:val="none"/>
              </w:rPr>
              <w:t>采购人名称：温州信达交通工程试验检测有限公司</w:t>
            </w:r>
          </w:p>
          <w:p w14:paraId="2534165D">
            <w:pPr>
              <w:spacing w:line="300" w:lineRule="exact"/>
              <w:rPr>
                <w:rFonts w:hint="eastAsia" w:ascii="宋体" w:hAnsi="宋体" w:eastAsia="宋体" w:cs="宋体"/>
                <w:szCs w:val="21"/>
                <w:highlight w:val="none"/>
              </w:rPr>
            </w:pPr>
            <w:r>
              <w:rPr>
                <w:rFonts w:hint="eastAsia" w:ascii="宋体" w:hAnsi="宋体" w:eastAsia="宋体" w:cs="宋体"/>
                <w:szCs w:val="21"/>
                <w:highlight w:val="none"/>
              </w:rPr>
              <w:t>地址：温州市永嘉县瓯北镇和三村瓯北绕城高速收费站内</w:t>
            </w:r>
          </w:p>
          <w:p w14:paraId="358D09CD">
            <w:pPr>
              <w:spacing w:line="300" w:lineRule="exact"/>
              <w:rPr>
                <w:rFonts w:hint="eastAsia" w:ascii="宋体" w:hAnsi="宋体" w:eastAsia="宋体" w:cs="宋体"/>
                <w:szCs w:val="21"/>
                <w:highlight w:val="none"/>
              </w:rPr>
            </w:pPr>
            <w:r>
              <w:rPr>
                <w:rFonts w:hint="eastAsia" w:ascii="宋体" w:hAnsi="宋体" w:eastAsia="宋体" w:cs="宋体"/>
                <w:szCs w:val="21"/>
                <w:highlight w:val="none"/>
              </w:rPr>
              <w:t>联系人：</w:t>
            </w:r>
            <w:r>
              <w:rPr>
                <w:rFonts w:hint="eastAsia" w:ascii="宋体" w:hAnsi="宋体" w:eastAsia="宋体" w:cs="宋体"/>
                <w:kern w:val="0"/>
                <w:szCs w:val="21"/>
                <w:highlight w:val="none"/>
              </w:rPr>
              <w:t>潘女士</w:t>
            </w:r>
          </w:p>
          <w:p w14:paraId="0B0E5007">
            <w:pPr>
              <w:spacing w:line="300" w:lineRule="exact"/>
              <w:rPr>
                <w:rFonts w:hint="eastAsia" w:ascii="宋体" w:hAnsi="宋体" w:eastAsia="宋体" w:cs="宋体"/>
                <w:szCs w:val="21"/>
                <w:highlight w:val="none"/>
              </w:rPr>
            </w:pPr>
            <w:r>
              <w:rPr>
                <w:rFonts w:hint="eastAsia" w:ascii="宋体" w:hAnsi="宋体" w:eastAsia="宋体" w:cs="宋体"/>
                <w:szCs w:val="21"/>
                <w:highlight w:val="none"/>
              </w:rPr>
              <w:t>电话：0577-67965018</w:t>
            </w:r>
          </w:p>
        </w:tc>
      </w:tr>
      <w:tr w14:paraId="562F3D93">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23" w:hRule="atLeast"/>
        </w:trPr>
        <w:tc>
          <w:tcPr>
            <w:tcW w:w="772" w:type="dxa"/>
            <w:tcBorders>
              <w:top w:val="single" w:color="000000" w:sz="4" w:space="0"/>
              <w:bottom w:val="single" w:color="000000" w:sz="4" w:space="0"/>
              <w:right w:val="single" w:color="000000" w:sz="4" w:space="0"/>
            </w:tcBorders>
            <w:noWrap w:val="0"/>
            <w:vAlign w:val="center"/>
          </w:tcPr>
          <w:p w14:paraId="7026585F">
            <w:pPr>
              <w:jc w:val="center"/>
              <w:rPr>
                <w:rFonts w:hint="eastAsia" w:ascii="宋体" w:hAnsi="宋体" w:eastAsia="宋体" w:cs="宋体"/>
                <w:szCs w:val="21"/>
                <w:highlight w:val="none"/>
              </w:rPr>
            </w:pPr>
            <w:r>
              <w:rPr>
                <w:rFonts w:hint="eastAsia" w:ascii="宋体" w:hAnsi="宋体" w:eastAsia="宋体" w:cs="宋体"/>
                <w:szCs w:val="21"/>
                <w:highlight w:val="none"/>
              </w:rPr>
              <w:t>2</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21338D2A">
            <w:pPr>
              <w:jc w:val="center"/>
              <w:rPr>
                <w:rFonts w:hint="eastAsia" w:ascii="宋体" w:hAnsi="宋体" w:eastAsia="宋体" w:cs="宋体"/>
                <w:szCs w:val="21"/>
                <w:highlight w:val="none"/>
              </w:rPr>
            </w:pPr>
            <w:r>
              <w:rPr>
                <w:rFonts w:hint="eastAsia" w:ascii="宋体" w:hAnsi="宋体" w:eastAsia="宋体" w:cs="宋体"/>
                <w:szCs w:val="21"/>
                <w:highlight w:val="none"/>
              </w:rPr>
              <w:t>采购代理机构</w:t>
            </w:r>
          </w:p>
        </w:tc>
        <w:tc>
          <w:tcPr>
            <w:tcW w:w="7046" w:type="dxa"/>
            <w:tcBorders>
              <w:top w:val="single" w:color="000000" w:sz="4" w:space="0"/>
              <w:left w:val="single" w:color="000000" w:sz="4" w:space="0"/>
              <w:bottom w:val="single" w:color="000000" w:sz="4" w:space="0"/>
            </w:tcBorders>
            <w:noWrap w:val="0"/>
            <w:vAlign w:val="center"/>
          </w:tcPr>
          <w:p w14:paraId="51EA7267">
            <w:pPr>
              <w:spacing w:line="300" w:lineRule="exact"/>
              <w:rPr>
                <w:rFonts w:hint="eastAsia" w:ascii="宋体" w:hAnsi="宋体" w:eastAsia="宋体" w:cs="宋体"/>
                <w:szCs w:val="21"/>
                <w:highlight w:val="none"/>
              </w:rPr>
            </w:pPr>
            <w:r>
              <w:rPr>
                <w:rFonts w:hint="eastAsia" w:ascii="宋体" w:hAnsi="宋体" w:eastAsia="宋体" w:cs="宋体"/>
                <w:szCs w:val="21"/>
                <w:highlight w:val="none"/>
              </w:rPr>
              <w:t>代理机构名称：大地工程咨询有限公司</w:t>
            </w:r>
          </w:p>
          <w:p w14:paraId="02C2370B">
            <w:pPr>
              <w:spacing w:line="300" w:lineRule="exact"/>
              <w:rPr>
                <w:rFonts w:hint="eastAsia" w:ascii="宋体" w:hAnsi="宋体" w:eastAsia="宋体" w:cs="宋体"/>
                <w:szCs w:val="21"/>
                <w:highlight w:val="none"/>
              </w:rPr>
            </w:pPr>
            <w:r>
              <w:rPr>
                <w:rFonts w:hint="eastAsia" w:ascii="宋体" w:hAnsi="宋体" w:eastAsia="宋体" w:cs="宋体"/>
                <w:szCs w:val="21"/>
                <w:highlight w:val="none"/>
              </w:rPr>
              <w:t>代理机构地址：温州市温州大道428号温州源大创业园四层8403室</w:t>
            </w:r>
          </w:p>
          <w:p w14:paraId="589FC7B8">
            <w:pPr>
              <w:spacing w:line="300" w:lineRule="exact"/>
              <w:rPr>
                <w:rFonts w:hint="eastAsia" w:ascii="宋体" w:hAnsi="宋体" w:eastAsia="宋体" w:cs="宋体"/>
                <w:szCs w:val="21"/>
                <w:highlight w:val="none"/>
              </w:rPr>
            </w:pPr>
            <w:r>
              <w:rPr>
                <w:rFonts w:hint="eastAsia" w:ascii="宋体" w:hAnsi="宋体" w:eastAsia="宋体" w:cs="宋体"/>
                <w:szCs w:val="21"/>
                <w:highlight w:val="none"/>
              </w:rPr>
              <w:t>联系人：郑瑞木</w:t>
            </w:r>
          </w:p>
          <w:p w14:paraId="1F09F0D9">
            <w:pPr>
              <w:spacing w:line="300" w:lineRule="exact"/>
              <w:rPr>
                <w:rFonts w:hint="eastAsia" w:ascii="宋体" w:hAnsi="宋体" w:eastAsia="宋体" w:cs="宋体"/>
                <w:szCs w:val="21"/>
                <w:highlight w:val="none"/>
              </w:rPr>
            </w:pPr>
            <w:r>
              <w:rPr>
                <w:rFonts w:hint="eastAsia" w:ascii="宋体" w:hAnsi="宋体" w:eastAsia="宋体" w:cs="宋体"/>
                <w:szCs w:val="21"/>
                <w:highlight w:val="none"/>
              </w:rPr>
              <w:t>电话：15068415600，0577-88551608</w:t>
            </w:r>
          </w:p>
        </w:tc>
      </w:tr>
      <w:tr w14:paraId="467C1EAE">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710" w:hRule="atLeast"/>
        </w:trPr>
        <w:tc>
          <w:tcPr>
            <w:tcW w:w="772" w:type="dxa"/>
            <w:tcBorders>
              <w:top w:val="single" w:color="000000" w:sz="4" w:space="0"/>
              <w:bottom w:val="single" w:color="000000" w:sz="4" w:space="0"/>
              <w:right w:val="single" w:color="000000" w:sz="4" w:space="0"/>
            </w:tcBorders>
            <w:noWrap w:val="0"/>
            <w:vAlign w:val="center"/>
          </w:tcPr>
          <w:p w14:paraId="5193EF10">
            <w:pPr>
              <w:jc w:val="center"/>
              <w:rPr>
                <w:rFonts w:hint="eastAsia" w:ascii="宋体" w:hAnsi="宋体" w:eastAsia="宋体" w:cs="宋体"/>
                <w:szCs w:val="21"/>
                <w:highlight w:val="none"/>
              </w:rPr>
            </w:pPr>
            <w:r>
              <w:rPr>
                <w:rFonts w:hint="eastAsia" w:ascii="宋体" w:hAnsi="宋体" w:eastAsia="宋体" w:cs="宋体"/>
                <w:szCs w:val="21"/>
                <w:highlight w:val="none"/>
              </w:rPr>
              <w:t>3</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7EF69031">
            <w:pPr>
              <w:jc w:val="center"/>
              <w:rPr>
                <w:rFonts w:hint="eastAsia" w:ascii="宋体" w:hAnsi="宋体" w:eastAsia="宋体" w:cs="宋体"/>
                <w:szCs w:val="21"/>
                <w:highlight w:val="none"/>
              </w:rPr>
            </w:pPr>
            <w:r>
              <w:rPr>
                <w:rFonts w:hint="eastAsia" w:ascii="宋体" w:hAnsi="宋体" w:eastAsia="宋体" w:cs="宋体"/>
                <w:szCs w:val="21"/>
                <w:highlight w:val="none"/>
              </w:rPr>
              <w:t>项目名称</w:t>
            </w:r>
          </w:p>
        </w:tc>
        <w:tc>
          <w:tcPr>
            <w:tcW w:w="7046" w:type="dxa"/>
            <w:tcBorders>
              <w:top w:val="single" w:color="000000" w:sz="4" w:space="0"/>
              <w:left w:val="single" w:color="000000" w:sz="4" w:space="0"/>
              <w:bottom w:val="single" w:color="000000" w:sz="4" w:space="0"/>
            </w:tcBorders>
            <w:noWrap w:val="0"/>
            <w:vAlign w:val="center"/>
          </w:tcPr>
          <w:p w14:paraId="07AB6D5F">
            <w:pPr>
              <w:spacing w:line="300" w:lineRule="exact"/>
              <w:rPr>
                <w:rFonts w:hint="eastAsia" w:ascii="宋体" w:hAnsi="宋体" w:eastAsia="宋体" w:cs="宋体"/>
                <w:szCs w:val="21"/>
                <w:highlight w:val="none"/>
              </w:rPr>
            </w:pPr>
            <w:r>
              <w:rPr>
                <w:rFonts w:hint="eastAsia" w:ascii="宋体" w:hAnsi="宋体" w:eastAsia="宋体" w:cs="宋体"/>
                <w:szCs w:val="21"/>
                <w:highlight w:val="none"/>
              </w:rPr>
              <w:t>项目名称：金海湖信息化展厅网络环境设备</w:t>
            </w:r>
          </w:p>
          <w:p w14:paraId="35AC9B92">
            <w:pPr>
              <w:spacing w:line="300" w:lineRule="exact"/>
              <w:rPr>
                <w:rFonts w:hint="eastAsia" w:ascii="宋体" w:hAnsi="宋体" w:eastAsia="宋体" w:cs="宋体"/>
                <w:szCs w:val="21"/>
                <w:highlight w:val="none"/>
              </w:rPr>
            </w:pPr>
            <w:r>
              <w:rPr>
                <w:rFonts w:hint="eastAsia" w:ascii="宋体" w:hAnsi="宋体" w:eastAsia="宋体" w:cs="宋体"/>
                <w:szCs w:val="21"/>
                <w:highlight w:val="none"/>
              </w:rPr>
              <w:t>项目编号：WGSS-JFJT-ZS-2026004</w:t>
            </w:r>
          </w:p>
        </w:tc>
      </w:tr>
      <w:tr w14:paraId="175D889F">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23" w:hRule="atLeast"/>
        </w:trPr>
        <w:tc>
          <w:tcPr>
            <w:tcW w:w="772" w:type="dxa"/>
            <w:tcBorders>
              <w:top w:val="single" w:color="000000" w:sz="4" w:space="0"/>
              <w:bottom w:val="single" w:color="000000" w:sz="4" w:space="0"/>
              <w:right w:val="single" w:color="000000" w:sz="4" w:space="0"/>
            </w:tcBorders>
            <w:noWrap w:val="0"/>
            <w:vAlign w:val="center"/>
          </w:tcPr>
          <w:p w14:paraId="360852A9">
            <w:pPr>
              <w:jc w:val="center"/>
              <w:rPr>
                <w:rFonts w:hint="eastAsia" w:ascii="宋体" w:hAnsi="宋体" w:eastAsia="宋体" w:cs="宋体"/>
                <w:szCs w:val="21"/>
                <w:highlight w:val="none"/>
              </w:rPr>
            </w:pPr>
            <w:r>
              <w:rPr>
                <w:rFonts w:hint="eastAsia" w:ascii="宋体" w:hAnsi="宋体" w:eastAsia="宋体" w:cs="宋体"/>
                <w:szCs w:val="21"/>
                <w:highlight w:val="none"/>
              </w:rPr>
              <w:t>4</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01EA7CF2">
            <w:pPr>
              <w:jc w:val="center"/>
              <w:rPr>
                <w:rFonts w:hint="eastAsia" w:ascii="宋体" w:hAnsi="宋体" w:eastAsia="宋体" w:cs="宋体"/>
                <w:szCs w:val="21"/>
                <w:highlight w:val="none"/>
              </w:rPr>
            </w:pPr>
            <w:r>
              <w:rPr>
                <w:rFonts w:hint="eastAsia" w:ascii="宋体" w:hAnsi="宋体" w:eastAsia="宋体" w:cs="宋体"/>
                <w:szCs w:val="21"/>
                <w:highlight w:val="none"/>
              </w:rPr>
              <w:t>采购内容</w:t>
            </w:r>
          </w:p>
        </w:tc>
        <w:tc>
          <w:tcPr>
            <w:tcW w:w="7046" w:type="dxa"/>
            <w:tcBorders>
              <w:top w:val="single" w:color="000000" w:sz="4" w:space="0"/>
              <w:left w:val="single" w:color="000000" w:sz="4" w:space="0"/>
              <w:bottom w:val="single" w:color="000000" w:sz="4" w:space="0"/>
            </w:tcBorders>
            <w:noWrap w:val="0"/>
            <w:vAlign w:val="center"/>
          </w:tcPr>
          <w:p w14:paraId="714B97AF">
            <w:pPr>
              <w:rPr>
                <w:rFonts w:hint="eastAsia" w:ascii="宋体" w:hAnsi="宋体" w:eastAsia="宋体" w:cs="宋体"/>
                <w:szCs w:val="21"/>
                <w:highlight w:val="none"/>
              </w:rPr>
            </w:pPr>
            <w:r>
              <w:rPr>
                <w:rFonts w:hint="eastAsia" w:ascii="宋体" w:hAnsi="宋体" w:eastAsia="宋体" w:cs="宋体"/>
                <w:szCs w:val="21"/>
                <w:highlight w:val="none"/>
              </w:rPr>
              <w:t>温州信达交通工程试验检测有限公司所需金海湖信息化展厅网络环境设备，采购内容及详细技术要求见第四部分采购内容及要求。</w:t>
            </w:r>
          </w:p>
        </w:tc>
      </w:tr>
      <w:tr w14:paraId="0D90F6F2">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579" w:hRule="atLeast"/>
        </w:trPr>
        <w:tc>
          <w:tcPr>
            <w:tcW w:w="772" w:type="dxa"/>
            <w:tcBorders>
              <w:top w:val="single" w:color="000000" w:sz="4" w:space="0"/>
              <w:bottom w:val="single" w:color="000000" w:sz="4" w:space="0"/>
              <w:right w:val="single" w:color="000000" w:sz="4" w:space="0"/>
            </w:tcBorders>
            <w:noWrap w:val="0"/>
            <w:vAlign w:val="center"/>
          </w:tcPr>
          <w:p w14:paraId="057AE716">
            <w:pPr>
              <w:jc w:val="center"/>
              <w:rPr>
                <w:rFonts w:hint="eastAsia" w:ascii="宋体" w:hAnsi="宋体" w:eastAsia="宋体" w:cs="宋体"/>
                <w:szCs w:val="21"/>
                <w:highlight w:val="none"/>
              </w:rPr>
            </w:pPr>
            <w:r>
              <w:rPr>
                <w:rFonts w:hint="eastAsia" w:ascii="宋体" w:hAnsi="宋体" w:eastAsia="宋体" w:cs="宋体"/>
                <w:szCs w:val="21"/>
                <w:highlight w:val="none"/>
              </w:rPr>
              <w:t>5</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3B4168C5">
            <w:pPr>
              <w:jc w:val="center"/>
              <w:rPr>
                <w:rFonts w:hint="eastAsia" w:ascii="宋体" w:hAnsi="宋体" w:eastAsia="宋体" w:cs="宋体"/>
                <w:szCs w:val="21"/>
                <w:highlight w:val="none"/>
              </w:rPr>
            </w:pPr>
            <w:r>
              <w:rPr>
                <w:rFonts w:hint="eastAsia" w:ascii="宋体" w:hAnsi="宋体" w:eastAsia="宋体" w:cs="宋体"/>
                <w:szCs w:val="21"/>
                <w:highlight w:val="none"/>
              </w:rPr>
              <w:t>供货期限</w:t>
            </w:r>
          </w:p>
        </w:tc>
        <w:tc>
          <w:tcPr>
            <w:tcW w:w="7046" w:type="dxa"/>
            <w:tcBorders>
              <w:top w:val="single" w:color="000000" w:sz="4" w:space="0"/>
              <w:left w:val="single" w:color="000000" w:sz="4" w:space="0"/>
              <w:bottom w:val="single" w:color="000000" w:sz="4" w:space="0"/>
            </w:tcBorders>
            <w:noWrap w:val="0"/>
            <w:vAlign w:val="center"/>
          </w:tcPr>
          <w:p w14:paraId="288BB495">
            <w:pPr>
              <w:rPr>
                <w:rFonts w:hint="eastAsia" w:ascii="宋体" w:hAnsi="宋体" w:eastAsia="宋体" w:cs="宋体"/>
                <w:szCs w:val="21"/>
                <w:highlight w:val="none"/>
              </w:rPr>
            </w:pPr>
            <w:r>
              <w:rPr>
                <w:rFonts w:hint="eastAsia" w:ascii="宋体" w:hAnsi="宋体" w:eastAsia="宋体" w:cs="宋体"/>
                <w:szCs w:val="21"/>
                <w:highlight w:val="none"/>
              </w:rPr>
              <w:t>采购人发出通知后60个日历天内供应商须完成货物的供货、安装、调试。试运行期1个月。</w:t>
            </w:r>
          </w:p>
        </w:tc>
      </w:tr>
      <w:tr w14:paraId="707E2735">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756" w:hRule="atLeast"/>
        </w:trPr>
        <w:tc>
          <w:tcPr>
            <w:tcW w:w="772" w:type="dxa"/>
            <w:tcBorders>
              <w:top w:val="single" w:color="000000" w:sz="4" w:space="0"/>
              <w:bottom w:val="single" w:color="000000" w:sz="4" w:space="0"/>
              <w:right w:val="single" w:color="000000" w:sz="4" w:space="0"/>
            </w:tcBorders>
            <w:noWrap w:val="0"/>
            <w:vAlign w:val="center"/>
          </w:tcPr>
          <w:p w14:paraId="4BB47AAC">
            <w:pPr>
              <w:jc w:val="center"/>
              <w:rPr>
                <w:rFonts w:hint="eastAsia" w:ascii="宋体" w:hAnsi="宋体" w:eastAsia="宋体" w:cs="宋体"/>
                <w:szCs w:val="21"/>
                <w:highlight w:val="none"/>
              </w:rPr>
            </w:pPr>
            <w:r>
              <w:rPr>
                <w:rFonts w:hint="eastAsia" w:ascii="宋体" w:hAnsi="宋体" w:eastAsia="宋体" w:cs="宋体"/>
                <w:szCs w:val="21"/>
                <w:highlight w:val="none"/>
              </w:rPr>
              <w:t>6</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34411BFC">
            <w:pPr>
              <w:jc w:val="center"/>
              <w:rPr>
                <w:rFonts w:hint="eastAsia" w:ascii="宋体" w:hAnsi="宋体" w:eastAsia="宋体" w:cs="宋体"/>
                <w:szCs w:val="21"/>
                <w:highlight w:val="none"/>
              </w:rPr>
            </w:pPr>
            <w:r>
              <w:rPr>
                <w:rFonts w:hint="eastAsia" w:ascii="宋体" w:hAnsi="宋体" w:eastAsia="宋体" w:cs="宋体"/>
                <w:szCs w:val="21"/>
                <w:highlight w:val="none"/>
              </w:rPr>
              <w:t>投标供应商资格要求</w:t>
            </w:r>
          </w:p>
        </w:tc>
        <w:tc>
          <w:tcPr>
            <w:tcW w:w="7046" w:type="dxa"/>
            <w:tcBorders>
              <w:top w:val="single" w:color="000000" w:sz="4" w:space="0"/>
              <w:left w:val="single" w:color="000000" w:sz="4" w:space="0"/>
              <w:bottom w:val="single" w:color="000000" w:sz="4" w:space="0"/>
            </w:tcBorders>
            <w:noWrap w:val="0"/>
            <w:vAlign w:val="center"/>
          </w:tcPr>
          <w:p w14:paraId="27CD4FA9">
            <w:pPr>
              <w:spacing w:line="300" w:lineRule="exact"/>
              <w:rPr>
                <w:rFonts w:ascii="宋体" w:hAnsi="宋体" w:eastAsia="宋体" w:cs="宋体"/>
                <w:szCs w:val="21"/>
                <w:highlight w:val="none"/>
              </w:rPr>
            </w:pPr>
            <w:r>
              <w:rPr>
                <w:rFonts w:hint="eastAsia" w:ascii="宋体" w:hAnsi="宋体" w:eastAsia="宋体" w:cs="宋体"/>
                <w:szCs w:val="21"/>
                <w:highlight w:val="none"/>
              </w:rPr>
              <w:t>详见采购公告</w:t>
            </w:r>
          </w:p>
        </w:tc>
      </w:tr>
      <w:tr w14:paraId="4E2FAF83">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23" w:hRule="atLeast"/>
        </w:trPr>
        <w:tc>
          <w:tcPr>
            <w:tcW w:w="772" w:type="dxa"/>
            <w:tcBorders>
              <w:top w:val="single" w:color="000000" w:sz="4" w:space="0"/>
              <w:bottom w:val="single" w:color="000000" w:sz="4" w:space="0"/>
              <w:right w:val="single" w:color="000000" w:sz="4" w:space="0"/>
            </w:tcBorders>
            <w:noWrap w:val="0"/>
            <w:vAlign w:val="center"/>
          </w:tcPr>
          <w:p w14:paraId="5DB427BF">
            <w:pPr>
              <w:jc w:val="center"/>
              <w:rPr>
                <w:rFonts w:hint="eastAsia" w:ascii="宋体" w:hAnsi="宋体" w:eastAsia="宋体" w:cs="宋体"/>
                <w:szCs w:val="21"/>
                <w:highlight w:val="none"/>
              </w:rPr>
            </w:pPr>
            <w:r>
              <w:rPr>
                <w:rFonts w:hint="eastAsia" w:ascii="宋体" w:hAnsi="宋体" w:eastAsia="宋体" w:cs="宋体"/>
                <w:szCs w:val="21"/>
                <w:highlight w:val="none"/>
              </w:rPr>
              <w:t>7</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2F41A3A0">
            <w:pPr>
              <w:jc w:val="center"/>
              <w:rPr>
                <w:rFonts w:hint="eastAsia" w:ascii="宋体" w:hAnsi="宋体" w:eastAsia="宋体" w:cs="宋体"/>
                <w:szCs w:val="21"/>
                <w:highlight w:val="none"/>
              </w:rPr>
            </w:pPr>
            <w:r>
              <w:rPr>
                <w:rFonts w:hint="eastAsia" w:ascii="宋体" w:hAnsi="宋体" w:eastAsia="宋体" w:cs="宋体"/>
                <w:szCs w:val="21"/>
                <w:highlight w:val="none"/>
              </w:rPr>
              <w:t>是否接受联合体投标</w:t>
            </w:r>
          </w:p>
        </w:tc>
        <w:tc>
          <w:tcPr>
            <w:tcW w:w="7046" w:type="dxa"/>
            <w:tcBorders>
              <w:top w:val="single" w:color="000000" w:sz="4" w:space="0"/>
              <w:left w:val="single" w:color="000000" w:sz="4" w:space="0"/>
              <w:bottom w:val="single" w:color="000000" w:sz="4" w:space="0"/>
            </w:tcBorders>
            <w:noWrap w:val="0"/>
            <w:vAlign w:val="center"/>
          </w:tcPr>
          <w:p w14:paraId="35F4E95A">
            <w:pPr>
              <w:spacing w:line="300" w:lineRule="exact"/>
              <w:rPr>
                <w:rFonts w:hint="eastAsia" w:ascii="宋体" w:hAnsi="宋体" w:eastAsia="宋体" w:cs="宋体"/>
                <w:szCs w:val="21"/>
                <w:highlight w:val="none"/>
              </w:rPr>
            </w:pPr>
            <w:r>
              <w:rPr>
                <w:rFonts w:hint="eastAsia" w:ascii="宋体" w:hAnsi="宋体" w:eastAsia="宋体" w:cs="宋体"/>
                <w:szCs w:val="21"/>
                <w:highlight w:val="none"/>
              </w:rPr>
              <w:t>不接受</w:t>
            </w:r>
          </w:p>
        </w:tc>
      </w:tr>
      <w:tr w14:paraId="733CDA08">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62" w:hRule="atLeast"/>
        </w:trPr>
        <w:tc>
          <w:tcPr>
            <w:tcW w:w="772" w:type="dxa"/>
            <w:tcBorders>
              <w:top w:val="single" w:color="000000" w:sz="4" w:space="0"/>
              <w:bottom w:val="single" w:color="000000" w:sz="4" w:space="0"/>
              <w:right w:val="single" w:color="000000" w:sz="4" w:space="0"/>
            </w:tcBorders>
            <w:noWrap w:val="0"/>
            <w:vAlign w:val="center"/>
          </w:tcPr>
          <w:p w14:paraId="0BB61993">
            <w:pPr>
              <w:jc w:val="center"/>
              <w:rPr>
                <w:rFonts w:hint="eastAsia" w:ascii="宋体" w:hAnsi="宋体" w:eastAsia="宋体" w:cs="宋体"/>
                <w:szCs w:val="21"/>
                <w:highlight w:val="none"/>
              </w:rPr>
            </w:pPr>
            <w:r>
              <w:rPr>
                <w:rFonts w:hint="eastAsia" w:ascii="宋体" w:hAnsi="宋体" w:eastAsia="宋体" w:cs="宋体"/>
                <w:szCs w:val="21"/>
                <w:highlight w:val="none"/>
              </w:rPr>
              <w:t>8</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5854F8F2">
            <w:pPr>
              <w:jc w:val="center"/>
              <w:rPr>
                <w:rFonts w:hint="eastAsia" w:ascii="宋体" w:hAnsi="宋体" w:eastAsia="宋体" w:cs="宋体"/>
                <w:szCs w:val="21"/>
                <w:highlight w:val="none"/>
              </w:rPr>
            </w:pPr>
            <w:r>
              <w:rPr>
                <w:rFonts w:hint="eastAsia" w:ascii="宋体" w:hAnsi="宋体" w:eastAsia="宋体" w:cs="宋体"/>
                <w:szCs w:val="21"/>
                <w:highlight w:val="none"/>
              </w:rPr>
              <w:t>踏勘现场</w:t>
            </w:r>
          </w:p>
        </w:tc>
        <w:tc>
          <w:tcPr>
            <w:tcW w:w="7046" w:type="dxa"/>
            <w:tcBorders>
              <w:top w:val="single" w:color="000000" w:sz="4" w:space="0"/>
              <w:left w:val="single" w:color="000000" w:sz="4" w:space="0"/>
              <w:bottom w:val="single" w:color="000000" w:sz="4" w:space="0"/>
            </w:tcBorders>
            <w:noWrap w:val="0"/>
            <w:vAlign w:val="center"/>
          </w:tcPr>
          <w:p w14:paraId="6FA692F7">
            <w:pPr>
              <w:spacing w:line="300" w:lineRule="exact"/>
              <w:rPr>
                <w:rFonts w:hint="eastAsia" w:ascii="宋体" w:hAnsi="宋体" w:eastAsia="宋体" w:cs="宋体"/>
                <w:szCs w:val="21"/>
                <w:highlight w:val="none"/>
              </w:rPr>
            </w:pPr>
            <w:r>
              <w:rPr>
                <w:rFonts w:hint="eastAsia" w:ascii="宋体" w:hAnsi="宋体" w:eastAsia="宋体" w:cs="宋体"/>
                <w:szCs w:val="21"/>
                <w:highlight w:val="none"/>
              </w:rPr>
              <w:t>不组织</w:t>
            </w:r>
          </w:p>
        </w:tc>
      </w:tr>
      <w:tr w14:paraId="25C1FCAF">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87" w:hRule="atLeast"/>
        </w:trPr>
        <w:tc>
          <w:tcPr>
            <w:tcW w:w="772" w:type="dxa"/>
            <w:tcBorders>
              <w:top w:val="single" w:color="000000" w:sz="4" w:space="0"/>
              <w:bottom w:val="single" w:color="000000" w:sz="4" w:space="0"/>
              <w:right w:val="single" w:color="000000" w:sz="4" w:space="0"/>
            </w:tcBorders>
            <w:noWrap w:val="0"/>
            <w:vAlign w:val="center"/>
          </w:tcPr>
          <w:p w14:paraId="2B2CCCCE">
            <w:pPr>
              <w:jc w:val="center"/>
              <w:rPr>
                <w:rFonts w:hint="eastAsia" w:ascii="宋体" w:hAnsi="宋体" w:eastAsia="宋体" w:cs="宋体"/>
                <w:szCs w:val="21"/>
                <w:highlight w:val="none"/>
              </w:rPr>
            </w:pPr>
            <w:r>
              <w:rPr>
                <w:rFonts w:hint="eastAsia" w:ascii="宋体" w:hAnsi="宋体" w:eastAsia="宋体" w:cs="宋体"/>
                <w:szCs w:val="21"/>
                <w:highlight w:val="none"/>
              </w:rPr>
              <w:t>9</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3DEBFBAD">
            <w:pPr>
              <w:jc w:val="center"/>
              <w:rPr>
                <w:rFonts w:hint="eastAsia" w:ascii="宋体" w:hAnsi="宋体" w:eastAsia="宋体" w:cs="宋体"/>
                <w:szCs w:val="21"/>
                <w:highlight w:val="none"/>
              </w:rPr>
            </w:pPr>
            <w:r>
              <w:rPr>
                <w:rFonts w:hint="eastAsia" w:ascii="宋体" w:hAnsi="宋体" w:eastAsia="宋体" w:cs="宋体"/>
                <w:szCs w:val="21"/>
                <w:highlight w:val="none"/>
              </w:rPr>
              <w:t>进口产品</w:t>
            </w:r>
          </w:p>
        </w:tc>
        <w:tc>
          <w:tcPr>
            <w:tcW w:w="7046" w:type="dxa"/>
            <w:tcBorders>
              <w:top w:val="single" w:color="000000" w:sz="4" w:space="0"/>
              <w:left w:val="single" w:color="000000" w:sz="4" w:space="0"/>
              <w:bottom w:val="single" w:color="000000" w:sz="4" w:space="0"/>
            </w:tcBorders>
            <w:noWrap w:val="0"/>
            <w:vAlign w:val="center"/>
          </w:tcPr>
          <w:p w14:paraId="564B124E">
            <w:pPr>
              <w:spacing w:line="300" w:lineRule="exact"/>
              <w:rPr>
                <w:rFonts w:hint="eastAsia" w:ascii="宋体" w:hAnsi="宋体" w:eastAsia="宋体" w:cs="宋体"/>
                <w:szCs w:val="21"/>
                <w:highlight w:val="none"/>
              </w:rPr>
            </w:pPr>
            <w:r>
              <w:rPr>
                <w:rFonts w:hint="eastAsia" w:ascii="宋体" w:hAnsi="宋体" w:eastAsia="宋体" w:cs="宋体"/>
                <w:szCs w:val="21"/>
                <w:highlight w:val="none"/>
              </w:rPr>
              <w:t>终端产品不允许进口，产品部件允许进口。</w:t>
            </w:r>
          </w:p>
        </w:tc>
      </w:tr>
      <w:tr w14:paraId="02272E04">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87" w:hRule="atLeast"/>
        </w:trPr>
        <w:tc>
          <w:tcPr>
            <w:tcW w:w="772" w:type="dxa"/>
            <w:tcBorders>
              <w:top w:val="single" w:color="000000" w:sz="4" w:space="0"/>
              <w:bottom w:val="single" w:color="000000" w:sz="4" w:space="0"/>
              <w:right w:val="single" w:color="000000" w:sz="4" w:space="0"/>
            </w:tcBorders>
            <w:noWrap w:val="0"/>
            <w:vAlign w:val="center"/>
          </w:tcPr>
          <w:p w14:paraId="3A7FA80C">
            <w:pPr>
              <w:jc w:val="center"/>
              <w:rPr>
                <w:rFonts w:hint="eastAsia" w:ascii="宋体" w:hAnsi="宋体" w:eastAsia="宋体" w:cs="宋体"/>
                <w:szCs w:val="21"/>
                <w:highlight w:val="none"/>
              </w:rPr>
            </w:pPr>
            <w:r>
              <w:rPr>
                <w:rFonts w:hint="eastAsia" w:ascii="宋体" w:hAnsi="宋体" w:eastAsia="宋体" w:cs="宋体"/>
                <w:szCs w:val="21"/>
                <w:highlight w:val="none"/>
              </w:rPr>
              <w:t>10</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4391C03B">
            <w:pPr>
              <w:jc w:val="center"/>
              <w:rPr>
                <w:rFonts w:hint="eastAsia" w:ascii="宋体" w:hAnsi="宋体" w:eastAsia="宋体" w:cs="宋体"/>
                <w:szCs w:val="21"/>
                <w:highlight w:val="none"/>
              </w:rPr>
            </w:pPr>
            <w:r>
              <w:rPr>
                <w:rFonts w:hint="eastAsia" w:ascii="宋体" w:hAnsi="宋体" w:eastAsia="宋体" w:cs="宋体"/>
                <w:szCs w:val="21"/>
                <w:highlight w:val="none"/>
              </w:rPr>
              <w:t>投标预备会</w:t>
            </w:r>
          </w:p>
        </w:tc>
        <w:tc>
          <w:tcPr>
            <w:tcW w:w="7046" w:type="dxa"/>
            <w:tcBorders>
              <w:top w:val="single" w:color="000000" w:sz="4" w:space="0"/>
              <w:left w:val="single" w:color="000000" w:sz="4" w:space="0"/>
              <w:bottom w:val="single" w:color="000000" w:sz="4" w:space="0"/>
            </w:tcBorders>
            <w:noWrap w:val="0"/>
            <w:vAlign w:val="center"/>
          </w:tcPr>
          <w:p w14:paraId="1F9C5635">
            <w:pPr>
              <w:spacing w:line="300" w:lineRule="exact"/>
              <w:rPr>
                <w:rFonts w:hint="eastAsia" w:ascii="宋体" w:hAnsi="宋体" w:eastAsia="宋体" w:cs="宋体"/>
                <w:szCs w:val="21"/>
                <w:highlight w:val="none"/>
              </w:rPr>
            </w:pPr>
            <w:r>
              <w:rPr>
                <w:rFonts w:hint="eastAsia" w:ascii="宋体" w:hAnsi="宋体" w:eastAsia="宋体" w:cs="宋体"/>
                <w:szCs w:val="21"/>
                <w:highlight w:val="none"/>
              </w:rPr>
              <w:t>不召开</w:t>
            </w:r>
          </w:p>
        </w:tc>
      </w:tr>
      <w:tr w14:paraId="79ABBB41">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487" w:hRule="atLeast"/>
        </w:trPr>
        <w:tc>
          <w:tcPr>
            <w:tcW w:w="772" w:type="dxa"/>
            <w:tcBorders>
              <w:top w:val="single" w:color="000000" w:sz="4" w:space="0"/>
              <w:bottom w:val="single" w:color="000000" w:sz="4" w:space="0"/>
              <w:right w:val="single" w:color="000000" w:sz="4" w:space="0"/>
            </w:tcBorders>
            <w:noWrap w:val="0"/>
            <w:vAlign w:val="center"/>
          </w:tcPr>
          <w:p w14:paraId="37BC6473">
            <w:pPr>
              <w:jc w:val="center"/>
              <w:rPr>
                <w:rFonts w:hint="eastAsia" w:ascii="宋体" w:hAnsi="宋体" w:eastAsia="宋体" w:cs="宋体"/>
                <w:szCs w:val="21"/>
                <w:highlight w:val="none"/>
              </w:rPr>
            </w:pPr>
            <w:r>
              <w:rPr>
                <w:rFonts w:hint="eastAsia" w:ascii="宋体" w:hAnsi="宋体" w:eastAsia="宋体" w:cs="宋体"/>
                <w:szCs w:val="21"/>
                <w:highlight w:val="none"/>
              </w:rPr>
              <w:t>11</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4081B97C">
            <w:pPr>
              <w:jc w:val="center"/>
              <w:rPr>
                <w:rFonts w:hint="eastAsia" w:ascii="宋体" w:hAnsi="宋体" w:eastAsia="宋体" w:cs="宋体"/>
                <w:szCs w:val="21"/>
                <w:highlight w:val="none"/>
              </w:rPr>
            </w:pPr>
            <w:r>
              <w:rPr>
                <w:rFonts w:hint="eastAsia" w:ascii="宋体" w:hAnsi="宋体" w:eastAsia="宋体" w:cs="宋体"/>
                <w:szCs w:val="21"/>
                <w:highlight w:val="none"/>
              </w:rPr>
              <w:t>投标截止时间</w:t>
            </w:r>
          </w:p>
        </w:tc>
        <w:tc>
          <w:tcPr>
            <w:tcW w:w="7046" w:type="dxa"/>
            <w:tcBorders>
              <w:top w:val="single" w:color="000000" w:sz="4" w:space="0"/>
              <w:left w:val="single" w:color="000000" w:sz="4" w:space="0"/>
              <w:bottom w:val="single" w:color="000000" w:sz="4" w:space="0"/>
            </w:tcBorders>
            <w:noWrap w:val="0"/>
            <w:vAlign w:val="center"/>
          </w:tcPr>
          <w:p w14:paraId="2F7FDBFF">
            <w:pPr>
              <w:rPr>
                <w:rFonts w:hint="eastAsia" w:ascii="宋体" w:hAnsi="宋体" w:eastAsia="宋体" w:cs="宋体"/>
                <w:szCs w:val="21"/>
                <w:highlight w:val="none"/>
              </w:rPr>
            </w:pPr>
            <w:r>
              <w:rPr>
                <w:rFonts w:hint="eastAsia" w:ascii="宋体" w:hAnsi="宋体" w:cs="宋体"/>
                <w:kern w:val="0"/>
                <w:szCs w:val="21"/>
                <w:highlight w:val="none"/>
              </w:rPr>
              <w:t>2026年</w:t>
            </w:r>
            <w:r>
              <w:rPr>
                <w:rFonts w:hint="eastAsia" w:ascii="宋体" w:hAnsi="宋体" w:cs="宋体"/>
                <w:kern w:val="0"/>
                <w:szCs w:val="21"/>
                <w:highlight w:val="none"/>
                <w:lang w:val="en-US" w:eastAsia="zh-CN"/>
              </w:rPr>
              <w:t>8</w:t>
            </w:r>
            <w:r>
              <w:rPr>
                <w:rFonts w:hint="eastAsia" w:ascii="宋体" w:hAnsi="宋体" w:cs="宋体"/>
                <w:kern w:val="0"/>
                <w:szCs w:val="21"/>
                <w:highlight w:val="none"/>
              </w:rPr>
              <w:t>月</w:t>
            </w:r>
            <w:r>
              <w:rPr>
                <w:rFonts w:hint="eastAsia" w:ascii="宋体" w:hAnsi="宋体" w:cs="宋体"/>
                <w:kern w:val="0"/>
                <w:szCs w:val="21"/>
                <w:highlight w:val="none"/>
                <w:lang w:val="en-US" w:eastAsia="zh-CN"/>
              </w:rPr>
              <w:t>19</w:t>
            </w:r>
            <w:r>
              <w:rPr>
                <w:rFonts w:hint="eastAsia" w:ascii="宋体" w:hAnsi="宋体" w:cs="宋体"/>
                <w:kern w:val="0"/>
                <w:szCs w:val="21"/>
                <w:highlight w:val="none"/>
              </w:rPr>
              <w:t>日09时30分</w:t>
            </w:r>
          </w:p>
        </w:tc>
      </w:tr>
      <w:tr w14:paraId="6EB42A32">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23" w:hRule="atLeast"/>
        </w:trPr>
        <w:tc>
          <w:tcPr>
            <w:tcW w:w="772" w:type="dxa"/>
            <w:tcBorders>
              <w:top w:val="single" w:color="000000" w:sz="4" w:space="0"/>
              <w:bottom w:val="single" w:color="000000" w:sz="4" w:space="0"/>
              <w:right w:val="single" w:color="000000" w:sz="4" w:space="0"/>
            </w:tcBorders>
            <w:noWrap w:val="0"/>
            <w:vAlign w:val="center"/>
          </w:tcPr>
          <w:p w14:paraId="1C09E388">
            <w:pPr>
              <w:jc w:val="center"/>
              <w:rPr>
                <w:rFonts w:hint="eastAsia" w:ascii="宋体" w:hAnsi="宋体" w:eastAsia="宋体" w:cs="宋体"/>
                <w:szCs w:val="21"/>
                <w:highlight w:val="none"/>
              </w:rPr>
            </w:pPr>
            <w:r>
              <w:rPr>
                <w:rFonts w:hint="eastAsia" w:ascii="宋体" w:hAnsi="宋体" w:eastAsia="宋体" w:cs="宋体"/>
                <w:szCs w:val="21"/>
                <w:highlight w:val="none"/>
              </w:rPr>
              <w:t>12</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09FCC72A">
            <w:pPr>
              <w:jc w:val="center"/>
              <w:rPr>
                <w:rFonts w:hint="eastAsia" w:ascii="宋体" w:hAnsi="宋体" w:eastAsia="宋体" w:cs="宋体"/>
                <w:szCs w:val="21"/>
                <w:highlight w:val="none"/>
              </w:rPr>
            </w:pPr>
            <w:r>
              <w:rPr>
                <w:rFonts w:hint="eastAsia" w:ascii="宋体" w:hAnsi="宋体" w:eastAsia="宋体" w:cs="宋体"/>
                <w:szCs w:val="21"/>
                <w:highlight w:val="none"/>
              </w:rPr>
              <w:t>偏离</w:t>
            </w:r>
          </w:p>
        </w:tc>
        <w:tc>
          <w:tcPr>
            <w:tcW w:w="7046" w:type="dxa"/>
            <w:tcBorders>
              <w:top w:val="single" w:color="000000" w:sz="4" w:space="0"/>
              <w:left w:val="single" w:color="000000" w:sz="4" w:space="0"/>
              <w:bottom w:val="single" w:color="000000" w:sz="4" w:space="0"/>
            </w:tcBorders>
            <w:noWrap w:val="0"/>
            <w:vAlign w:val="center"/>
          </w:tcPr>
          <w:p w14:paraId="2C3F0EA4">
            <w:pPr>
              <w:rPr>
                <w:rFonts w:hint="eastAsia" w:ascii="宋体" w:hAnsi="宋体" w:eastAsia="宋体" w:cs="宋体"/>
                <w:szCs w:val="21"/>
                <w:highlight w:val="none"/>
              </w:rPr>
            </w:pPr>
            <w:r>
              <w:rPr>
                <w:rFonts w:hint="eastAsia" w:ascii="宋体" w:hAnsi="宋体" w:eastAsia="宋体" w:cs="宋体"/>
                <w:szCs w:val="21"/>
                <w:highlight w:val="none"/>
              </w:rPr>
              <w:t>偏差允许幅度及其处理方法：允许细微偏差，不允许重大偏差。由评标委员会判断，细微偏差要求投标供应商在评标时予以澄清、说明或补正，不接受按要求进行澄清、说明或补正的，评标委员会有权做无效标处理。</w:t>
            </w:r>
          </w:p>
        </w:tc>
      </w:tr>
      <w:tr w14:paraId="6E3A6170">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400" w:hRule="atLeast"/>
        </w:trPr>
        <w:tc>
          <w:tcPr>
            <w:tcW w:w="772" w:type="dxa"/>
            <w:tcBorders>
              <w:top w:val="single" w:color="000000" w:sz="4" w:space="0"/>
              <w:bottom w:val="single" w:color="000000" w:sz="4" w:space="0"/>
              <w:right w:val="single" w:color="000000" w:sz="4" w:space="0"/>
            </w:tcBorders>
            <w:noWrap w:val="0"/>
            <w:vAlign w:val="center"/>
          </w:tcPr>
          <w:p w14:paraId="40E8426F">
            <w:pPr>
              <w:jc w:val="center"/>
              <w:rPr>
                <w:rFonts w:hint="eastAsia" w:ascii="宋体" w:hAnsi="宋体" w:eastAsia="宋体" w:cs="宋体"/>
                <w:szCs w:val="21"/>
                <w:highlight w:val="none"/>
              </w:rPr>
            </w:pPr>
            <w:r>
              <w:rPr>
                <w:rFonts w:hint="eastAsia" w:ascii="宋体" w:hAnsi="宋体" w:eastAsia="宋体" w:cs="宋体"/>
                <w:szCs w:val="21"/>
                <w:highlight w:val="none"/>
              </w:rPr>
              <w:t>13</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38FC5385">
            <w:pPr>
              <w:jc w:val="center"/>
              <w:rPr>
                <w:rFonts w:hint="eastAsia" w:ascii="宋体" w:hAnsi="宋体" w:eastAsia="宋体" w:cs="宋体"/>
                <w:szCs w:val="21"/>
                <w:highlight w:val="none"/>
              </w:rPr>
            </w:pPr>
            <w:r>
              <w:rPr>
                <w:rFonts w:hint="eastAsia" w:ascii="宋体" w:hAnsi="宋体" w:eastAsia="宋体" w:cs="宋体"/>
                <w:szCs w:val="21"/>
                <w:highlight w:val="none"/>
              </w:rPr>
              <w:t>投标有效期</w:t>
            </w:r>
          </w:p>
        </w:tc>
        <w:tc>
          <w:tcPr>
            <w:tcW w:w="7046" w:type="dxa"/>
            <w:tcBorders>
              <w:top w:val="single" w:color="000000" w:sz="4" w:space="0"/>
              <w:left w:val="single" w:color="000000" w:sz="4" w:space="0"/>
              <w:bottom w:val="single" w:color="000000" w:sz="4" w:space="0"/>
            </w:tcBorders>
            <w:noWrap w:val="0"/>
            <w:vAlign w:val="center"/>
          </w:tcPr>
          <w:p w14:paraId="59E130A7">
            <w:pPr>
              <w:rPr>
                <w:rFonts w:hint="eastAsia" w:ascii="宋体" w:hAnsi="宋体" w:eastAsia="宋体" w:cs="宋体"/>
                <w:szCs w:val="21"/>
                <w:highlight w:val="none"/>
              </w:rPr>
            </w:pPr>
            <w:r>
              <w:rPr>
                <w:rFonts w:hint="eastAsia" w:ascii="宋体" w:hAnsi="宋体" w:eastAsia="宋体" w:cs="宋体"/>
                <w:szCs w:val="21"/>
                <w:highlight w:val="none"/>
              </w:rPr>
              <w:t>投标文件自投标截止时间起生效，有效期120天。</w:t>
            </w:r>
          </w:p>
        </w:tc>
      </w:tr>
      <w:tr w14:paraId="51E643C5">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487" w:hRule="atLeast"/>
        </w:trPr>
        <w:tc>
          <w:tcPr>
            <w:tcW w:w="772" w:type="dxa"/>
            <w:tcBorders>
              <w:top w:val="single" w:color="000000" w:sz="4" w:space="0"/>
              <w:bottom w:val="single" w:color="000000" w:sz="4" w:space="0"/>
              <w:right w:val="single" w:color="000000" w:sz="4" w:space="0"/>
            </w:tcBorders>
            <w:noWrap w:val="0"/>
            <w:vAlign w:val="center"/>
          </w:tcPr>
          <w:p w14:paraId="63729FF0">
            <w:pPr>
              <w:jc w:val="center"/>
              <w:rPr>
                <w:rFonts w:hint="eastAsia" w:ascii="宋体" w:hAnsi="宋体" w:eastAsia="宋体" w:cs="宋体"/>
                <w:szCs w:val="21"/>
                <w:highlight w:val="none"/>
              </w:rPr>
            </w:pPr>
            <w:r>
              <w:rPr>
                <w:rFonts w:hint="eastAsia" w:ascii="宋体" w:hAnsi="宋体" w:eastAsia="宋体" w:cs="宋体"/>
                <w:szCs w:val="21"/>
                <w:highlight w:val="none"/>
              </w:rPr>
              <w:t>14</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14E470F2">
            <w:pPr>
              <w:jc w:val="center"/>
              <w:rPr>
                <w:rFonts w:hint="eastAsia" w:ascii="宋体" w:hAnsi="宋体" w:eastAsia="宋体" w:cs="宋体"/>
                <w:szCs w:val="21"/>
                <w:highlight w:val="none"/>
              </w:rPr>
            </w:pPr>
            <w:r>
              <w:rPr>
                <w:rFonts w:hint="eastAsia" w:ascii="宋体" w:hAnsi="宋体" w:eastAsia="宋体" w:cs="宋体"/>
                <w:szCs w:val="21"/>
                <w:highlight w:val="none"/>
              </w:rPr>
              <w:t>投标保证金</w:t>
            </w:r>
          </w:p>
        </w:tc>
        <w:tc>
          <w:tcPr>
            <w:tcW w:w="7046" w:type="dxa"/>
            <w:tcBorders>
              <w:top w:val="single" w:color="000000" w:sz="4" w:space="0"/>
              <w:left w:val="single" w:color="000000" w:sz="4" w:space="0"/>
              <w:bottom w:val="single" w:color="000000" w:sz="4" w:space="0"/>
            </w:tcBorders>
            <w:noWrap w:val="0"/>
            <w:vAlign w:val="center"/>
          </w:tcPr>
          <w:p w14:paraId="015FF66E">
            <w:pPr>
              <w:rPr>
                <w:rFonts w:hint="eastAsia" w:ascii="宋体" w:hAnsi="宋体" w:eastAsia="宋体" w:cs="宋体"/>
                <w:szCs w:val="21"/>
                <w:highlight w:val="none"/>
              </w:rPr>
            </w:pPr>
            <w:r>
              <w:rPr>
                <w:rFonts w:hint="eastAsia" w:ascii="宋体" w:hAnsi="宋体" w:eastAsia="宋体" w:cs="宋体"/>
                <w:szCs w:val="21"/>
                <w:highlight w:val="none"/>
              </w:rPr>
              <w:t>详见采购公告</w:t>
            </w:r>
          </w:p>
        </w:tc>
      </w:tr>
      <w:tr w14:paraId="659FE77C">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57" w:hRule="atLeast"/>
        </w:trPr>
        <w:tc>
          <w:tcPr>
            <w:tcW w:w="772" w:type="dxa"/>
            <w:tcBorders>
              <w:top w:val="single" w:color="000000" w:sz="4" w:space="0"/>
              <w:bottom w:val="single" w:color="000000" w:sz="4" w:space="0"/>
              <w:right w:val="single" w:color="000000" w:sz="4" w:space="0"/>
            </w:tcBorders>
            <w:noWrap w:val="0"/>
            <w:vAlign w:val="center"/>
          </w:tcPr>
          <w:p w14:paraId="6B42DBB4">
            <w:pPr>
              <w:jc w:val="center"/>
              <w:rPr>
                <w:rFonts w:hint="eastAsia" w:ascii="宋体" w:hAnsi="宋体" w:eastAsia="宋体" w:cs="宋体"/>
                <w:szCs w:val="21"/>
                <w:highlight w:val="none"/>
              </w:rPr>
            </w:pPr>
            <w:r>
              <w:rPr>
                <w:rFonts w:hint="eastAsia" w:ascii="宋体" w:hAnsi="宋体" w:eastAsia="宋体" w:cs="宋体"/>
                <w:szCs w:val="21"/>
                <w:highlight w:val="none"/>
              </w:rPr>
              <w:t>15</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28E7872B">
            <w:pPr>
              <w:jc w:val="center"/>
              <w:rPr>
                <w:rFonts w:hint="eastAsia" w:ascii="宋体" w:hAnsi="宋体" w:eastAsia="宋体" w:cs="宋体"/>
                <w:szCs w:val="21"/>
                <w:highlight w:val="none"/>
              </w:rPr>
            </w:pPr>
            <w:r>
              <w:rPr>
                <w:rFonts w:hint="eastAsia" w:ascii="宋体" w:hAnsi="宋体" w:eastAsia="宋体" w:cs="宋体"/>
                <w:szCs w:val="21"/>
                <w:highlight w:val="none"/>
              </w:rPr>
              <w:t>投标文件的签章、形式及份数</w:t>
            </w:r>
          </w:p>
        </w:tc>
        <w:tc>
          <w:tcPr>
            <w:tcW w:w="7046" w:type="dxa"/>
            <w:tcBorders>
              <w:top w:val="single" w:color="000000" w:sz="4" w:space="0"/>
              <w:left w:val="single" w:color="000000" w:sz="4" w:space="0"/>
              <w:bottom w:val="single" w:color="000000" w:sz="4" w:space="0"/>
            </w:tcBorders>
            <w:noWrap w:val="0"/>
            <w:vAlign w:val="center"/>
          </w:tcPr>
          <w:p w14:paraId="514B27F8">
            <w:pPr>
              <w:rPr>
                <w:rFonts w:hint="eastAsia" w:ascii="宋体" w:hAnsi="宋体" w:eastAsia="宋体" w:cs="宋体"/>
                <w:szCs w:val="21"/>
                <w:highlight w:val="none"/>
              </w:rPr>
            </w:pPr>
            <w:r>
              <w:rPr>
                <w:rFonts w:hint="eastAsia" w:ascii="宋体" w:hAnsi="宋体" w:eastAsia="宋体" w:cs="宋体"/>
                <w:szCs w:val="21"/>
                <w:highlight w:val="none"/>
              </w:rPr>
              <w:t>（1）签章：电子签章（采购文件里要求盖公章处使用电子签章）</w:t>
            </w:r>
          </w:p>
          <w:p w14:paraId="4E2D365D">
            <w:pPr>
              <w:rPr>
                <w:rFonts w:hint="eastAsia" w:ascii="宋体" w:hAnsi="宋体" w:eastAsia="宋体" w:cs="宋体"/>
                <w:szCs w:val="21"/>
                <w:highlight w:val="none"/>
              </w:rPr>
            </w:pPr>
            <w:r>
              <w:rPr>
                <w:rFonts w:hint="eastAsia" w:ascii="宋体" w:hAnsi="宋体" w:eastAsia="宋体" w:cs="宋体"/>
                <w:szCs w:val="21"/>
                <w:highlight w:val="none"/>
              </w:rPr>
              <w:t>（2）形式：电子投标文件；</w:t>
            </w:r>
          </w:p>
          <w:p w14:paraId="6B1CBA53">
            <w:pPr>
              <w:rPr>
                <w:rFonts w:hint="eastAsia" w:ascii="宋体" w:hAnsi="宋体" w:eastAsia="宋体" w:cs="宋体"/>
                <w:szCs w:val="21"/>
                <w:highlight w:val="none"/>
              </w:rPr>
            </w:pPr>
            <w:r>
              <w:rPr>
                <w:rFonts w:hint="eastAsia" w:ascii="宋体" w:hAnsi="宋体" w:eastAsia="宋体" w:cs="宋体"/>
                <w:szCs w:val="21"/>
                <w:highlight w:val="none"/>
              </w:rPr>
              <w:t>（3）份数：一份</w:t>
            </w:r>
          </w:p>
        </w:tc>
      </w:tr>
      <w:tr w14:paraId="1B6D28FA">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992" w:hRule="atLeast"/>
        </w:trPr>
        <w:tc>
          <w:tcPr>
            <w:tcW w:w="772" w:type="dxa"/>
            <w:tcBorders>
              <w:top w:val="single" w:color="000000" w:sz="4" w:space="0"/>
              <w:bottom w:val="single" w:color="000000" w:sz="4" w:space="0"/>
              <w:right w:val="single" w:color="000000" w:sz="4" w:space="0"/>
            </w:tcBorders>
            <w:noWrap w:val="0"/>
            <w:vAlign w:val="center"/>
          </w:tcPr>
          <w:p w14:paraId="42CF34D8">
            <w:pPr>
              <w:jc w:val="center"/>
              <w:rPr>
                <w:rFonts w:hint="eastAsia" w:ascii="宋体" w:hAnsi="宋体" w:eastAsia="宋体" w:cs="宋体"/>
                <w:szCs w:val="21"/>
                <w:highlight w:val="none"/>
              </w:rPr>
            </w:pPr>
            <w:r>
              <w:rPr>
                <w:rFonts w:hint="eastAsia" w:ascii="宋体" w:hAnsi="宋体" w:eastAsia="宋体" w:cs="宋体"/>
                <w:szCs w:val="21"/>
                <w:highlight w:val="none"/>
              </w:rPr>
              <w:t>16</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16D70811">
            <w:pPr>
              <w:jc w:val="center"/>
              <w:rPr>
                <w:rFonts w:hint="eastAsia" w:ascii="宋体" w:hAnsi="宋体" w:eastAsia="宋体" w:cs="宋体"/>
                <w:szCs w:val="21"/>
                <w:highlight w:val="none"/>
              </w:rPr>
            </w:pPr>
            <w:r>
              <w:rPr>
                <w:rFonts w:hint="eastAsia" w:ascii="宋体" w:hAnsi="宋体" w:eastAsia="宋体" w:cs="宋体"/>
                <w:szCs w:val="21"/>
                <w:highlight w:val="none"/>
              </w:rPr>
              <w:t>投标文件的编制</w:t>
            </w:r>
          </w:p>
        </w:tc>
        <w:tc>
          <w:tcPr>
            <w:tcW w:w="7046" w:type="dxa"/>
            <w:tcBorders>
              <w:top w:val="single" w:color="000000" w:sz="4" w:space="0"/>
              <w:left w:val="single" w:color="000000" w:sz="4" w:space="0"/>
              <w:bottom w:val="single" w:color="000000" w:sz="4" w:space="0"/>
            </w:tcBorders>
            <w:noWrap w:val="0"/>
            <w:vAlign w:val="center"/>
          </w:tcPr>
          <w:p w14:paraId="55870A93">
            <w:pPr>
              <w:rPr>
                <w:rFonts w:hint="eastAsia" w:ascii="宋体" w:hAnsi="宋体" w:eastAsia="宋体" w:cs="宋体"/>
                <w:szCs w:val="21"/>
                <w:highlight w:val="none"/>
              </w:rPr>
            </w:pPr>
            <w:r>
              <w:rPr>
                <w:rFonts w:hint="eastAsia" w:ascii="宋体" w:hAnsi="宋体" w:eastAsia="宋体" w:cs="宋体"/>
                <w:szCs w:val="21"/>
                <w:highlight w:val="none"/>
              </w:rPr>
              <w:t>投标供应商应先注册“温州市阳光采购服务平台”并安装“投标文件制作软件”和申领“CA数字证书”，按照本采购文件和“温州市阳光采购服务平台”的要求，通过“投标文件制作软件”编制并加密投标文件。</w:t>
            </w:r>
          </w:p>
        </w:tc>
      </w:tr>
      <w:tr w14:paraId="769B3A1B">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699" w:hRule="atLeast"/>
        </w:trPr>
        <w:tc>
          <w:tcPr>
            <w:tcW w:w="772" w:type="dxa"/>
            <w:tcBorders>
              <w:top w:val="single" w:color="000000" w:sz="4" w:space="0"/>
              <w:bottom w:val="single" w:color="000000" w:sz="4" w:space="0"/>
              <w:right w:val="single" w:color="000000" w:sz="4" w:space="0"/>
            </w:tcBorders>
            <w:noWrap w:val="0"/>
            <w:vAlign w:val="center"/>
          </w:tcPr>
          <w:p w14:paraId="6D3B4C88">
            <w:pPr>
              <w:jc w:val="center"/>
              <w:rPr>
                <w:rFonts w:hint="eastAsia" w:ascii="宋体" w:hAnsi="宋体" w:eastAsia="宋体" w:cs="宋体"/>
                <w:szCs w:val="21"/>
                <w:highlight w:val="none"/>
              </w:rPr>
            </w:pPr>
            <w:r>
              <w:rPr>
                <w:rFonts w:hint="eastAsia" w:ascii="宋体" w:hAnsi="宋体" w:eastAsia="宋体" w:cs="宋体"/>
                <w:szCs w:val="21"/>
                <w:highlight w:val="none"/>
              </w:rPr>
              <w:t>17</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770E5BD3">
            <w:pPr>
              <w:jc w:val="center"/>
              <w:rPr>
                <w:rFonts w:hint="eastAsia" w:ascii="宋体" w:hAnsi="宋体" w:eastAsia="宋体" w:cs="宋体"/>
                <w:szCs w:val="21"/>
                <w:highlight w:val="none"/>
              </w:rPr>
            </w:pPr>
            <w:r>
              <w:rPr>
                <w:rFonts w:hint="eastAsia" w:ascii="宋体" w:hAnsi="宋体" w:eastAsia="宋体" w:cs="宋体"/>
                <w:szCs w:val="21"/>
                <w:highlight w:val="none"/>
              </w:rPr>
              <w:t>投标文件的上传和递交</w:t>
            </w:r>
          </w:p>
        </w:tc>
        <w:tc>
          <w:tcPr>
            <w:tcW w:w="7046" w:type="dxa"/>
            <w:tcBorders>
              <w:top w:val="single" w:color="000000" w:sz="4" w:space="0"/>
              <w:left w:val="single" w:color="000000" w:sz="4" w:space="0"/>
              <w:bottom w:val="single" w:color="000000" w:sz="4" w:space="0"/>
            </w:tcBorders>
            <w:noWrap w:val="0"/>
            <w:vAlign w:val="center"/>
          </w:tcPr>
          <w:p w14:paraId="368FE277">
            <w:pPr>
              <w:rPr>
                <w:rFonts w:hint="eastAsia" w:ascii="宋体" w:hAnsi="宋体" w:eastAsia="宋体" w:cs="宋体"/>
                <w:szCs w:val="21"/>
                <w:highlight w:val="none"/>
              </w:rPr>
            </w:pPr>
            <w:r>
              <w:rPr>
                <w:rFonts w:hint="eastAsia" w:ascii="宋体" w:hAnsi="宋体" w:eastAsia="宋体" w:cs="宋体"/>
                <w:szCs w:val="21"/>
                <w:highlight w:val="none"/>
              </w:rPr>
              <w:t>递交地点：登录温州市阳光采购服务平台上传投标文件（电子加密的投标文件）：</w:t>
            </w:r>
          </w:p>
          <w:p w14:paraId="7B34CC3D">
            <w:pPr>
              <w:rPr>
                <w:rFonts w:hint="eastAsia" w:ascii="宋体" w:hAnsi="宋体" w:eastAsia="宋体" w:cs="宋体"/>
                <w:szCs w:val="21"/>
                <w:highlight w:val="none"/>
              </w:rPr>
            </w:pPr>
            <w:r>
              <w:rPr>
                <w:rFonts w:hint="eastAsia" w:ascii="宋体" w:hAnsi="宋体" w:eastAsia="宋体" w:cs="宋体"/>
                <w:szCs w:val="21"/>
                <w:highlight w:val="none"/>
              </w:rPr>
              <w:t>1.投标供应商应在投标截止时间前将加密电子头招标文件成功上传递交至“温州市阳光采购服务平台”，否则投标无效。</w:t>
            </w:r>
          </w:p>
          <w:p w14:paraId="36103F1E">
            <w:pPr>
              <w:rPr>
                <w:rFonts w:hint="eastAsia" w:ascii="宋体" w:hAnsi="宋体" w:eastAsia="宋体" w:cs="宋体"/>
                <w:szCs w:val="21"/>
                <w:highlight w:val="none"/>
              </w:rPr>
            </w:pPr>
            <w:r>
              <w:rPr>
                <w:rFonts w:hint="eastAsia" w:ascii="宋体" w:hAnsi="宋体" w:eastAsia="宋体" w:cs="宋体"/>
                <w:szCs w:val="21"/>
                <w:highlight w:val="none"/>
              </w:rPr>
              <w:t>2.投标供应商编制的CA加密电子投标文件，必须是使用投标文件制作软件最新版（系统自带更新系统）生成的后缀名为“.WZCQTF”的CA加密电子投标文件。未按上述要求加密和数字证书认证的投标文件，将被视为无效投标文件。</w:t>
            </w:r>
          </w:p>
        </w:tc>
      </w:tr>
      <w:tr w14:paraId="51DF9360">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23" w:hRule="atLeast"/>
        </w:trPr>
        <w:tc>
          <w:tcPr>
            <w:tcW w:w="772" w:type="dxa"/>
            <w:tcBorders>
              <w:top w:val="single" w:color="000000" w:sz="4" w:space="0"/>
              <w:bottom w:val="single" w:color="000000" w:sz="4" w:space="0"/>
              <w:right w:val="single" w:color="000000" w:sz="4" w:space="0"/>
            </w:tcBorders>
            <w:noWrap w:val="0"/>
            <w:vAlign w:val="center"/>
          </w:tcPr>
          <w:p w14:paraId="5E08DFB1">
            <w:pPr>
              <w:jc w:val="center"/>
              <w:rPr>
                <w:rFonts w:hint="eastAsia" w:ascii="宋体" w:hAnsi="宋体" w:eastAsia="宋体" w:cs="宋体"/>
                <w:szCs w:val="21"/>
                <w:highlight w:val="none"/>
              </w:rPr>
            </w:pPr>
            <w:r>
              <w:rPr>
                <w:rFonts w:hint="eastAsia" w:ascii="宋体" w:hAnsi="宋体" w:eastAsia="宋体" w:cs="宋体"/>
                <w:szCs w:val="21"/>
                <w:highlight w:val="none"/>
              </w:rPr>
              <w:t>18</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6630E4F8">
            <w:pPr>
              <w:jc w:val="center"/>
              <w:rPr>
                <w:rFonts w:hint="eastAsia" w:ascii="宋体" w:hAnsi="宋体" w:eastAsia="宋体" w:cs="宋体"/>
                <w:szCs w:val="21"/>
                <w:highlight w:val="none"/>
              </w:rPr>
            </w:pPr>
            <w:r>
              <w:rPr>
                <w:rFonts w:hint="eastAsia" w:ascii="宋体" w:hAnsi="宋体" w:eastAsia="宋体" w:cs="宋体"/>
                <w:szCs w:val="21"/>
                <w:highlight w:val="none"/>
              </w:rPr>
              <w:t>投标截止时间、投标文件提交地点、开标时间、开标地点</w:t>
            </w:r>
          </w:p>
        </w:tc>
        <w:tc>
          <w:tcPr>
            <w:tcW w:w="7046" w:type="dxa"/>
            <w:tcBorders>
              <w:top w:val="single" w:color="000000" w:sz="4" w:space="0"/>
              <w:left w:val="single" w:color="000000" w:sz="4" w:space="0"/>
              <w:bottom w:val="single" w:color="000000" w:sz="4" w:space="0"/>
            </w:tcBorders>
            <w:noWrap w:val="0"/>
            <w:vAlign w:val="center"/>
          </w:tcPr>
          <w:p w14:paraId="7FF2A808">
            <w:pPr>
              <w:rPr>
                <w:rFonts w:hint="eastAsia" w:ascii="宋体" w:hAnsi="宋体" w:eastAsia="宋体" w:cs="宋体"/>
                <w:szCs w:val="21"/>
                <w:highlight w:val="none"/>
              </w:rPr>
            </w:pPr>
            <w:r>
              <w:rPr>
                <w:rFonts w:hint="eastAsia" w:ascii="宋体" w:hAnsi="宋体" w:eastAsia="宋体" w:cs="宋体"/>
                <w:szCs w:val="21"/>
                <w:highlight w:val="none"/>
              </w:rPr>
              <w:t>详见采购公告</w:t>
            </w:r>
          </w:p>
        </w:tc>
      </w:tr>
      <w:tr w14:paraId="06168C0A">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899" w:hRule="atLeast"/>
        </w:trPr>
        <w:tc>
          <w:tcPr>
            <w:tcW w:w="772" w:type="dxa"/>
            <w:tcBorders>
              <w:top w:val="single" w:color="000000" w:sz="4" w:space="0"/>
              <w:bottom w:val="single" w:color="000000" w:sz="4" w:space="0"/>
              <w:right w:val="single" w:color="000000" w:sz="4" w:space="0"/>
            </w:tcBorders>
            <w:noWrap w:val="0"/>
            <w:vAlign w:val="center"/>
          </w:tcPr>
          <w:p w14:paraId="226F6A1B">
            <w:pPr>
              <w:jc w:val="center"/>
              <w:rPr>
                <w:rFonts w:hint="eastAsia" w:ascii="宋体" w:hAnsi="宋体" w:eastAsia="宋体" w:cs="宋体"/>
                <w:szCs w:val="21"/>
                <w:highlight w:val="none"/>
              </w:rPr>
            </w:pPr>
            <w:r>
              <w:rPr>
                <w:rFonts w:hint="eastAsia" w:ascii="宋体" w:hAnsi="宋体" w:eastAsia="宋体" w:cs="宋体"/>
                <w:szCs w:val="21"/>
                <w:highlight w:val="none"/>
              </w:rPr>
              <w:t>19</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703F0E59">
            <w:pPr>
              <w:jc w:val="center"/>
              <w:rPr>
                <w:rFonts w:hint="eastAsia" w:ascii="宋体" w:hAnsi="宋体" w:eastAsia="宋体" w:cs="宋体"/>
                <w:szCs w:val="21"/>
                <w:highlight w:val="none"/>
              </w:rPr>
            </w:pPr>
            <w:r>
              <w:rPr>
                <w:rFonts w:hint="eastAsia" w:ascii="宋体" w:hAnsi="宋体" w:eastAsia="宋体" w:cs="宋体"/>
                <w:szCs w:val="21"/>
                <w:highlight w:val="none"/>
              </w:rPr>
              <w:t>开评标程序</w:t>
            </w:r>
          </w:p>
        </w:tc>
        <w:tc>
          <w:tcPr>
            <w:tcW w:w="7046" w:type="dxa"/>
            <w:tcBorders>
              <w:top w:val="single" w:color="000000" w:sz="4" w:space="0"/>
              <w:left w:val="single" w:color="000000" w:sz="4" w:space="0"/>
              <w:bottom w:val="single" w:color="000000" w:sz="4" w:space="0"/>
            </w:tcBorders>
            <w:noWrap w:val="0"/>
            <w:vAlign w:val="center"/>
          </w:tcPr>
          <w:p w14:paraId="21A7F8A1">
            <w:pPr>
              <w:rPr>
                <w:rFonts w:hint="eastAsia" w:ascii="宋体" w:hAnsi="宋体" w:eastAsia="宋体" w:cs="宋体"/>
                <w:szCs w:val="21"/>
                <w:highlight w:val="none"/>
              </w:rPr>
            </w:pPr>
            <w:r>
              <w:rPr>
                <w:rFonts w:hint="eastAsia" w:ascii="宋体" w:hAnsi="宋体" w:eastAsia="宋体" w:cs="宋体"/>
                <w:szCs w:val="21"/>
                <w:highlight w:val="none"/>
              </w:rPr>
              <w:t>1.投标文件截止前30分钟，由代理机构登录温州市阳光采购服务平台－选择不见面开标大厅系统，做好网上不见面开标准备；</w:t>
            </w:r>
          </w:p>
          <w:p w14:paraId="7B729A8D">
            <w:pPr>
              <w:rPr>
                <w:rFonts w:hint="eastAsia" w:ascii="宋体" w:hAnsi="宋体" w:eastAsia="宋体" w:cs="宋体"/>
                <w:szCs w:val="21"/>
                <w:highlight w:val="none"/>
              </w:rPr>
            </w:pPr>
            <w:r>
              <w:rPr>
                <w:rFonts w:hint="eastAsia" w:ascii="宋体" w:hAnsi="宋体" w:eastAsia="宋体" w:cs="宋体"/>
                <w:szCs w:val="21"/>
                <w:highlight w:val="none"/>
              </w:rPr>
              <w:t>2.投标截止时间，由代理机构公布投标人情况、解密要求；</w:t>
            </w:r>
          </w:p>
          <w:p w14:paraId="0F497D63">
            <w:pPr>
              <w:rPr>
                <w:rFonts w:hint="eastAsia" w:ascii="宋体" w:hAnsi="宋体" w:eastAsia="宋体" w:cs="宋体"/>
                <w:szCs w:val="21"/>
                <w:highlight w:val="none"/>
              </w:rPr>
            </w:pPr>
            <w:r>
              <w:rPr>
                <w:rFonts w:hint="eastAsia" w:ascii="宋体" w:hAnsi="宋体" w:eastAsia="宋体" w:cs="宋体"/>
                <w:szCs w:val="21"/>
                <w:highlight w:val="none"/>
              </w:rPr>
              <w:t>3.投标供应商需在系统开启投标文件解密时间后30分钟内对投标文件进行网上在线解密，未在规定时间内完成的，其投标将被拒绝；</w:t>
            </w:r>
          </w:p>
          <w:p w14:paraId="4FEF20E0">
            <w:pPr>
              <w:rPr>
                <w:rFonts w:hint="eastAsia" w:ascii="宋体" w:hAnsi="宋体" w:eastAsia="宋体" w:cs="宋体"/>
                <w:szCs w:val="21"/>
                <w:highlight w:val="none"/>
              </w:rPr>
            </w:pPr>
            <w:r>
              <w:rPr>
                <w:rFonts w:hint="eastAsia" w:ascii="宋体" w:hAnsi="宋体" w:eastAsia="宋体" w:cs="宋体"/>
                <w:szCs w:val="21"/>
                <w:highlight w:val="none"/>
              </w:rPr>
              <w:t>4.代理机构进行投标文件导入等全程操作；</w:t>
            </w:r>
          </w:p>
          <w:p w14:paraId="16A02379">
            <w:pPr>
              <w:rPr>
                <w:rFonts w:hint="eastAsia" w:ascii="宋体" w:hAnsi="宋体" w:eastAsia="宋体" w:cs="宋体"/>
                <w:szCs w:val="21"/>
                <w:highlight w:val="none"/>
              </w:rPr>
            </w:pPr>
            <w:r>
              <w:rPr>
                <w:rFonts w:hint="eastAsia" w:ascii="宋体" w:hAnsi="宋体" w:eastAsia="宋体" w:cs="宋体"/>
                <w:szCs w:val="21"/>
                <w:highlight w:val="none"/>
              </w:rPr>
              <w:t>5.对网上开标过程有异议的，投标供应商应当直接在线提出，同时由代理机构在线进行回复；</w:t>
            </w:r>
          </w:p>
          <w:p w14:paraId="057CC829">
            <w:pPr>
              <w:rPr>
                <w:rFonts w:hint="eastAsia" w:ascii="宋体" w:hAnsi="宋体" w:eastAsia="宋体" w:cs="宋体"/>
                <w:szCs w:val="21"/>
                <w:highlight w:val="none"/>
              </w:rPr>
            </w:pPr>
            <w:r>
              <w:rPr>
                <w:rFonts w:hint="eastAsia" w:ascii="宋体" w:hAnsi="宋体" w:eastAsia="宋体" w:cs="宋体"/>
                <w:szCs w:val="21"/>
                <w:highlight w:val="none"/>
              </w:rPr>
              <w:t>6.宣布开标结束。</w:t>
            </w:r>
          </w:p>
          <w:p w14:paraId="3DBFBF61">
            <w:pPr>
              <w:rPr>
                <w:rFonts w:hint="eastAsia" w:ascii="宋体" w:hAnsi="宋体" w:eastAsia="宋体" w:cs="宋体"/>
                <w:szCs w:val="21"/>
                <w:highlight w:val="none"/>
              </w:rPr>
            </w:pPr>
            <w:r>
              <w:rPr>
                <w:rFonts w:hint="eastAsia" w:ascii="宋体" w:hAnsi="宋体" w:eastAsia="宋体" w:cs="宋体"/>
                <w:szCs w:val="21"/>
                <w:highlight w:val="none"/>
              </w:rPr>
              <w:t>注：1.电子交易平台遇网络故障、设备故障、断电等意外情况，导致无法正常开标、无法解密等情形，2小时内能够恢复正常，待恢复正常后继续开标，原定解密时间重新计算，2小时内不能恢复正常由代理机构确定另行开标时间；</w:t>
            </w:r>
          </w:p>
          <w:p w14:paraId="0A2EA34C">
            <w:pPr>
              <w:rPr>
                <w:rFonts w:hint="eastAsia" w:ascii="宋体" w:hAnsi="宋体" w:eastAsia="宋体" w:cs="宋体"/>
                <w:szCs w:val="21"/>
                <w:highlight w:val="none"/>
              </w:rPr>
            </w:pPr>
            <w:r>
              <w:rPr>
                <w:rFonts w:hint="eastAsia" w:ascii="宋体" w:hAnsi="宋体" w:eastAsia="宋体" w:cs="宋体"/>
                <w:szCs w:val="21"/>
                <w:highlight w:val="none"/>
              </w:rPr>
              <w:t>2.电子交易平台网络不畅导致投标供应商不能在规定时间内完成解密，代理机构相应延长解密时间，超出相应延长解密时间仍然未解密的，视作撤销投标文件。</w:t>
            </w:r>
          </w:p>
        </w:tc>
      </w:tr>
      <w:tr w14:paraId="7E921954">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23" w:hRule="atLeast"/>
        </w:trPr>
        <w:tc>
          <w:tcPr>
            <w:tcW w:w="772" w:type="dxa"/>
            <w:tcBorders>
              <w:top w:val="single" w:color="000000" w:sz="4" w:space="0"/>
              <w:bottom w:val="single" w:color="000000" w:sz="4" w:space="0"/>
              <w:right w:val="single" w:color="000000" w:sz="4" w:space="0"/>
            </w:tcBorders>
            <w:noWrap w:val="0"/>
            <w:vAlign w:val="center"/>
          </w:tcPr>
          <w:p w14:paraId="6BBA2029">
            <w:pPr>
              <w:jc w:val="center"/>
              <w:rPr>
                <w:rFonts w:hint="eastAsia" w:ascii="宋体" w:hAnsi="宋体" w:eastAsia="宋体" w:cs="宋体"/>
                <w:szCs w:val="21"/>
                <w:highlight w:val="none"/>
              </w:rPr>
            </w:pPr>
            <w:r>
              <w:rPr>
                <w:rFonts w:hint="eastAsia" w:ascii="宋体" w:hAnsi="宋体" w:eastAsia="宋体" w:cs="宋体"/>
                <w:szCs w:val="21"/>
                <w:highlight w:val="none"/>
              </w:rPr>
              <w:t>20</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5B60698A">
            <w:pPr>
              <w:jc w:val="center"/>
              <w:rPr>
                <w:rFonts w:hint="eastAsia" w:ascii="宋体" w:hAnsi="宋体" w:eastAsia="宋体" w:cs="宋体"/>
                <w:szCs w:val="21"/>
                <w:highlight w:val="none"/>
              </w:rPr>
            </w:pPr>
            <w:r>
              <w:rPr>
                <w:rFonts w:hint="eastAsia" w:ascii="宋体" w:hAnsi="宋体" w:eastAsia="宋体" w:cs="宋体"/>
                <w:szCs w:val="21"/>
                <w:highlight w:val="none"/>
              </w:rPr>
              <w:t>评标委员会</w:t>
            </w:r>
          </w:p>
          <w:p w14:paraId="010CE71F">
            <w:pPr>
              <w:jc w:val="center"/>
              <w:rPr>
                <w:rFonts w:hint="eastAsia" w:ascii="宋体" w:hAnsi="宋体" w:eastAsia="宋体" w:cs="宋体"/>
                <w:szCs w:val="21"/>
                <w:highlight w:val="none"/>
              </w:rPr>
            </w:pPr>
            <w:r>
              <w:rPr>
                <w:rFonts w:hint="eastAsia" w:ascii="宋体" w:hAnsi="宋体" w:eastAsia="宋体" w:cs="宋体"/>
                <w:szCs w:val="21"/>
                <w:highlight w:val="none"/>
              </w:rPr>
              <w:t>的组建</w:t>
            </w:r>
          </w:p>
        </w:tc>
        <w:tc>
          <w:tcPr>
            <w:tcW w:w="7046" w:type="dxa"/>
            <w:tcBorders>
              <w:top w:val="single" w:color="000000" w:sz="4" w:space="0"/>
              <w:left w:val="single" w:color="000000" w:sz="4" w:space="0"/>
              <w:bottom w:val="single" w:color="000000" w:sz="4" w:space="0"/>
            </w:tcBorders>
            <w:noWrap w:val="0"/>
            <w:vAlign w:val="center"/>
          </w:tcPr>
          <w:p w14:paraId="25E4EC75">
            <w:pPr>
              <w:rPr>
                <w:rFonts w:hint="eastAsia" w:ascii="宋体" w:hAnsi="宋体" w:eastAsia="宋体" w:cs="宋体"/>
                <w:szCs w:val="21"/>
                <w:highlight w:val="none"/>
              </w:rPr>
            </w:pPr>
            <w:r>
              <w:rPr>
                <w:rFonts w:hint="eastAsia" w:ascii="宋体" w:hAnsi="宋体" w:eastAsia="宋体" w:cs="宋体"/>
                <w:szCs w:val="21"/>
                <w:highlight w:val="none"/>
              </w:rPr>
              <w:t>评标委员会构成：5人及5人以上单数。</w:t>
            </w:r>
          </w:p>
          <w:p w14:paraId="11BE3731">
            <w:pPr>
              <w:rPr>
                <w:rFonts w:hint="eastAsia" w:ascii="宋体" w:hAnsi="宋体" w:eastAsia="宋体" w:cs="宋体"/>
                <w:szCs w:val="21"/>
                <w:highlight w:val="none"/>
              </w:rPr>
            </w:pPr>
            <w:r>
              <w:rPr>
                <w:rFonts w:hint="eastAsia" w:ascii="宋体" w:hAnsi="宋体" w:eastAsia="宋体" w:cs="宋体"/>
                <w:szCs w:val="21"/>
                <w:highlight w:val="none"/>
              </w:rPr>
              <w:t>评标专家确定方式：按规定组建。</w:t>
            </w:r>
          </w:p>
        </w:tc>
      </w:tr>
      <w:tr w14:paraId="7AF38A15">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23" w:hRule="atLeast"/>
        </w:trPr>
        <w:tc>
          <w:tcPr>
            <w:tcW w:w="772" w:type="dxa"/>
            <w:tcBorders>
              <w:top w:val="single" w:color="000000" w:sz="4" w:space="0"/>
              <w:bottom w:val="single" w:color="000000" w:sz="4" w:space="0"/>
              <w:right w:val="single" w:color="000000" w:sz="4" w:space="0"/>
            </w:tcBorders>
            <w:noWrap w:val="0"/>
            <w:vAlign w:val="center"/>
          </w:tcPr>
          <w:p w14:paraId="11A3DCEF">
            <w:pPr>
              <w:jc w:val="center"/>
              <w:rPr>
                <w:rFonts w:hint="eastAsia" w:ascii="宋体" w:hAnsi="宋体" w:eastAsia="宋体" w:cs="宋体"/>
                <w:szCs w:val="21"/>
                <w:highlight w:val="none"/>
              </w:rPr>
            </w:pPr>
            <w:r>
              <w:rPr>
                <w:rFonts w:hint="eastAsia" w:ascii="宋体" w:hAnsi="宋体" w:eastAsia="宋体" w:cs="宋体"/>
                <w:szCs w:val="21"/>
                <w:highlight w:val="none"/>
              </w:rPr>
              <w:t>21</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1184E4AB">
            <w:pPr>
              <w:jc w:val="center"/>
              <w:rPr>
                <w:rFonts w:hint="eastAsia" w:ascii="宋体" w:hAnsi="宋体" w:eastAsia="宋体" w:cs="宋体"/>
                <w:szCs w:val="21"/>
                <w:highlight w:val="none"/>
              </w:rPr>
            </w:pPr>
            <w:r>
              <w:rPr>
                <w:rFonts w:hint="eastAsia" w:ascii="宋体" w:hAnsi="宋体" w:eastAsia="宋体" w:cs="宋体"/>
                <w:szCs w:val="21"/>
                <w:highlight w:val="none"/>
              </w:rPr>
              <w:t>履约担保</w:t>
            </w:r>
          </w:p>
        </w:tc>
        <w:tc>
          <w:tcPr>
            <w:tcW w:w="7046" w:type="dxa"/>
            <w:tcBorders>
              <w:top w:val="single" w:color="000000" w:sz="4" w:space="0"/>
              <w:left w:val="single" w:color="000000" w:sz="4" w:space="0"/>
              <w:bottom w:val="single" w:color="000000" w:sz="4" w:space="0"/>
            </w:tcBorders>
            <w:noWrap w:val="0"/>
            <w:vAlign w:val="center"/>
          </w:tcPr>
          <w:p w14:paraId="53E001F7">
            <w:pPr>
              <w:rPr>
                <w:rFonts w:hint="eastAsia" w:ascii="宋体" w:hAnsi="宋体" w:eastAsia="宋体" w:cs="宋体"/>
                <w:szCs w:val="21"/>
                <w:highlight w:val="none"/>
              </w:rPr>
            </w:pPr>
            <w:r>
              <w:rPr>
                <w:rFonts w:hint="eastAsia" w:ascii="宋体" w:hAnsi="宋体" w:eastAsia="宋体" w:cs="宋体"/>
                <w:szCs w:val="21"/>
                <w:highlight w:val="none"/>
              </w:rPr>
              <w:t>履约担保的形式：银行转账或保函。</w:t>
            </w:r>
          </w:p>
          <w:p w14:paraId="3E131FE3">
            <w:pPr>
              <w:rPr>
                <w:rFonts w:hint="eastAsia" w:ascii="宋体" w:hAnsi="宋体" w:eastAsia="宋体" w:cs="宋体"/>
                <w:szCs w:val="21"/>
                <w:highlight w:val="none"/>
              </w:rPr>
            </w:pPr>
            <w:r>
              <w:rPr>
                <w:rFonts w:hint="eastAsia" w:ascii="宋体" w:hAnsi="宋体" w:eastAsia="宋体" w:cs="宋体"/>
                <w:szCs w:val="21"/>
                <w:highlight w:val="none"/>
              </w:rPr>
              <w:t>履约担保的金额：合同总价的5%。</w:t>
            </w:r>
          </w:p>
          <w:p w14:paraId="1DFAE1D0">
            <w:pPr>
              <w:rPr>
                <w:rFonts w:hint="eastAsia" w:ascii="宋体" w:hAnsi="宋体" w:eastAsia="宋体" w:cs="宋体"/>
                <w:szCs w:val="21"/>
                <w:highlight w:val="none"/>
              </w:rPr>
            </w:pPr>
            <w:r>
              <w:rPr>
                <w:rFonts w:hint="eastAsia" w:ascii="宋体" w:hAnsi="宋体" w:eastAsia="宋体" w:cs="宋体"/>
                <w:sz w:val="22"/>
                <w:szCs w:val="22"/>
                <w:highlight w:val="none"/>
              </w:rPr>
              <w:t>中标供应商在签订合同后5个工作日内</w:t>
            </w:r>
            <w:r>
              <w:rPr>
                <w:rFonts w:hint="eastAsia" w:ascii="宋体" w:hAnsi="宋体" w:eastAsia="宋体" w:cs="宋体"/>
                <w:szCs w:val="21"/>
                <w:highlight w:val="none"/>
              </w:rPr>
              <w:t>须向采购人提交履约担保，并且要保证履约担保在合同履行期间的有效性、完整性。</w:t>
            </w:r>
          </w:p>
          <w:p w14:paraId="57C7B432">
            <w:pPr>
              <w:rPr>
                <w:rFonts w:hint="eastAsia" w:ascii="宋体" w:hAnsi="宋体" w:eastAsia="宋体" w:cs="宋体"/>
                <w:szCs w:val="21"/>
                <w:highlight w:val="none"/>
              </w:rPr>
            </w:pPr>
            <w:r>
              <w:rPr>
                <w:rFonts w:hint="eastAsia" w:ascii="宋体" w:hAnsi="宋体" w:eastAsia="宋体" w:cs="宋体"/>
                <w:szCs w:val="21"/>
                <w:highlight w:val="none"/>
              </w:rPr>
              <w:t>若采用保函的，须为见索即付保函。</w:t>
            </w:r>
          </w:p>
        </w:tc>
      </w:tr>
      <w:tr w14:paraId="4B9C69C2">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459" w:hRule="atLeast"/>
        </w:trPr>
        <w:tc>
          <w:tcPr>
            <w:tcW w:w="772" w:type="dxa"/>
            <w:tcBorders>
              <w:top w:val="single" w:color="000000" w:sz="4" w:space="0"/>
              <w:bottom w:val="single" w:color="000000" w:sz="4" w:space="0"/>
              <w:right w:val="single" w:color="000000" w:sz="4" w:space="0"/>
            </w:tcBorders>
            <w:noWrap w:val="0"/>
            <w:vAlign w:val="center"/>
          </w:tcPr>
          <w:p w14:paraId="79E6F669">
            <w:pPr>
              <w:jc w:val="center"/>
              <w:rPr>
                <w:rFonts w:hint="eastAsia" w:ascii="宋体" w:hAnsi="宋体" w:eastAsia="宋体" w:cs="宋体"/>
                <w:szCs w:val="21"/>
                <w:highlight w:val="none"/>
              </w:rPr>
            </w:pPr>
            <w:r>
              <w:rPr>
                <w:rFonts w:hint="eastAsia" w:ascii="宋体" w:hAnsi="宋体" w:eastAsia="宋体" w:cs="宋体"/>
                <w:szCs w:val="21"/>
                <w:highlight w:val="none"/>
              </w:rPr>
              <w:t>22</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1F277697">
            <w:pPr>
              <w:jc w:val="center"/>
              <w:rPr>
                <w:rFonts w:hint="eastAsia" w:ascii="宋体" w:hAnsi="宋体" w:eastAsia="宋体" w:cs="宋体"/>
                <w:szCs w:val="21"/>
                <w:highlight w:val="none"/>
              </w:rPr>
            </w:pPr>
            <w:r>
              <w:rPr>
                <w:rFonts w:hint="eastAsia" w:ascii="宋体" w:hAnsi="宋体" w:eastAsia="宋体" w:cs="宋体"/>
                <w:szCs w:val="21"/>
                <w:highlight w:val="none"/>
              </w:rPr>
              <w:t>原 件</w:t>
            </w:r>
          </w:p>
        </w:tc>
        <w:tc>
          <w:tcPr>
            <w:tcW w:w="7046" w:type="dxa"/>
            <w:tcBorders>
              <w:top w:val="single" w:color="000000" w:sz="4" w:space="0"/>
              <w:left w:val="single" w:color="000000" w:sz="4" w:space="0"/>
              <w:bottom w:val="single" w:color="000000" w:sz="4" w:space="0"/>
            </w:tcBorders>
            <w:noWrap w:val="0"/>
            <w:vAlign w:val="center"/>
          </w:tcPr>
          <w:p w14:paraId="59001B92">
            <w:pPr>
              <w:rPr>
                <w:rFonts w:hint="eastAsia" w:ascii="宋体" w:hAnsi="宋体" w:eastAsia="宋体" w:cs="宋体"/>
                <w:szCs w:val="21"/>
                <w:highlight w:val="none"/>
              </w:rPr>
            </w:pPr>
            <w:r>
              <w:rPr>
                <w:rFonts w:hint="eastAsia" w:ascii="宋体" w:hAnsi="宋体" w:eastAsia="宋体" w:cs="宋体"/>
                <w:szCs w:val="21"/>
                <w:highlight w:val="none"/>
              </w:rPr>
              <w:t>无须递交。</w:t>
            </w:r>
          </w:p>
        </w:tc>
      </w:tr>
      <w:tr w14:paraId="6FB7E63A">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511" w:hRule="atLeast"/>
        </w:trPr>
        <w:tc>
          <w:tcPr>
            <w:tcW w:w="772" w:type="dxa"/>
            <w:tcBorders>
              <w:top w:val="single" w:color="000000" w:sz="4" w:space="0"/>
              <w:bottom w:val="single" w:color="000000" w:sz="4" w:space="0"/>
              <w:right w:val="single" w:color="000000" w:sz="4" w:space="0"/>
            </w:tcBorders>
            <w:noWrap w:val="0"/>
            <w:vAlign w:val="center"/>
          </w:tcPr>
          <w:p w14:paraId="7B05AB89">
            <w:pPr>
              <w:jc w:val="center"/>
              <w:rPr>
                <w:rFonts w:ascii="宋体" w:hAnsi="宋体" w:eastAsia="宋体" w:cs="宋体"/>
                <w:szCs w:val="21"/>
                <w:highlight w:val="none"/>
              </w:rPr>
            </w:pPr>
            <w:r>
              <w:rPr>
                <w:rFonts w:hint="eastAsia" w:ascii="宋体" w:hAnsi="宋体" w:eastAsia="宋体" w:cs="宋体"/>
                <w:szCs w:val="21"/>
                <w:highlight w:val="none"/>
              </w:rPr>
              <w:t>23</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0C203E44">
            <w:pPr>
              <w:jc w:val="center"/>
              <w:rPr>
                <w:rFonts w:hint="eastAsia" w:ascii="宋体" w:hAnsi="宋体" w:eastAsia="宋体" w:cs="宋体"/>
                <w:szCs w:val="21"/>
                <w:highlight w:val="none"/>
              </w:rPr>
            </w:pPr>
            <w:r>
              <w:rPr>
                <w:rFonts w:hint="eastAsia" w:ascii="宋体" w:hAnsi="宋体" w:eastAsia="宋体" w:cs="宋体"/>
                <w:szCs w:val="21"/>
                <w:highlight w:val="none"/>
              </w:rPr>
              <w:t>分包</w:t>
            </w:r>
          </w:p>
        </w:tc>
        <w:tc>
          <w:tcPr>
            <w:tcW w:w="7046" w:type="dxa"/>
            <w:tcBorders>
              <w:top w:val="single" w:color="000000" w:sz="4" w:space="0"/>
              <w:left w:val="single" w:color="000000" w:sz="4" w:space="0"/>
              <w:bottom w:val="single" w:color="000000" w:sz="4" w:space="0"/>
            </w:tcBorders>
            <w:noWrap w:val="0"/>
            <w:vAlign w:val="center"/>
          </w:tcPr>
          <w:p w14:paraId="463ADE05">
            <w:pPr>
              <w:rPr>
                <w:rFonts w:ascii="宋体" w:hAnsi="宋体" w:eastAsia="宋体" w:cs="宋体"/>
                <w:szCs w:val="21"/>
                <w:highlight w:val="none"/>
              </w:rPr>
            </w:pPr>
            <w:r>
              <w:rPr>
                <w:rFonts w:hint="eastAsia" w:ascii="宋体" w:hAnsi="宋体" w:eastAsia="宋体" w:cs="宋体"/>
                <w:szCs w:val="21"/>
                <w:highlight w:val="none"/>
              </w:rPr>
              <w:t>不允许</w:t>
            </w:r>
          </w:p>
        </w:tc>
      </w:tr>
      <w:tr w14:paraId="7BBED192">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23" w:hRule="atLeast"/>
        </w:trPr>
        <w:tc>
          <w:tcPr>
            <w:tcW w:w="772" w:type="dxa"/>
            <w:tcBorders>
              <w:top w:val="single" w:color="000000" w:sz="4" w:space="0"/>
              <w:bottom w:val="single" w:color="000000" w:sz="4" w:space="0"/>
              <w:right w:val="single" w:color="000000" w:sz="4" w:space="0"/>
            </w:tcBorders>
            <w:noWrap w:val="0"/>
            <w:vAlign w:val="center"/>
          </w:tcPr>
          <w:p w14:paraId="113A5FA6">
            <w:pPr>
              <w:jc w:val="center"/>
              <w:rPr>
                <w:rFonts w:ascii="宋体" w:hAnsi="宋体" w:eastAsia="宋体" w:cs="宋体"/>
                <w:szCs w:val="21"/>
                <w:highlight w:val="none"/>
              </w:rPr>
            </w:pPr>
            <w:r>
              <w:rPr>
                <w:rFonts w:hint="eastAsia" w:ascii="宋体" w:hAnsi="宋体" w:eastAsia="宋体" w:cs="宋体"/>
                <w:szCs w:val="21"/>
                <w:highlight w:val="none"/>
              </w:rPr>
              <w:t>24</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63CEF21D">
            <w:pPr>
              <w:jc w:val="center"/>
              <w:rPr>
                <w:rFonts w:hint="eastAsia" w:ascii="宋体" w:hAnsi="宋体" w:eastAsia="宋体" w:cs="宋体"/>
                <w:szCs w:val="21"/>
                <w:highlight w:val="none"/>
              </w:rPr>
            </w:pPr>
            <w:r>
              <w:rPr>
                <w:rFonts w:hint="eastAsia" w:ascii="宋体" w:hAnsi="宋体" w:eastAsia="宋体" w:cs="宋体"/>
                <w:szCs w:val="21"/>
                <w:highlight w:val="none"/>
              </w:rPr>
              <w:t>注意事项</w:t>
            </w:r>
          </w:p>
        </w:tc>
        <w:tc>
          <w:tcPr>
            <w:tcW w:w="7046" w:type="dxa"/>
            <w:tcBorders>
              <w:top w:val="single" w:color="000000" w:sz="4" w:space="0"/>
              <w:left w:val="single" w:color="000000" w:sz="4" w:space="0"/>
              <w:bottom w:val="single" w:color="000000" w:sz="4" w:space="0"/>
            </w:tcBorders>
            <w:noWrap w:val="0"/>
            <w:vAlign w:val="center"/>
          </w:tcPr>
          <w:p w14:paraId="5D3D70E6">
            <w:pPr>
              <w:rPr>
                <w:rFonts w:hint="eastAsia" w:ascii="宋体" w:hAnsi="宋体" w:eastAsia="宋体" w:cs="宋体"/>
                <w:szCs w:val="21"/>
                <w:highlight w:val="none"/>
              </w:rPr>
            </w:pPr>
            <w:r>
              <w:rPr>
                <w:rFonts w:hint="eastAsia" w:ascii="宋体" w:hAnsi="宋体" w:eastAsia="宋体" w:cs="宋体"/>
                <w:szCs w:val="21"/>
                <w:highlight w:val="none"/>
              </w:rPr>
              <w:t>（1）本采购文件涉及的时间为“北京时间”；</w:t>
            </w:r>
          </w:p>
          <w:p w14:paraId="5B6127F3">
            <w:pPr>
              <w:rPr>
                <w:rFonts w:hint="eastAsia" w:ascii="宋体" w:hAnsi="宋体" w:eastAsia="宋体" w:cs="宋体"/>
                <w:szCs w:val="21"/>
                <w:highlight w:val="none"/>
              </w:rPr>
            </w:pPr>
            <w:r>
              <w:rPr>
                <w:rFonts w:hint="eastAsia" w:ascii="宋体" w:hAnsi="宋体" w:eastAsia="宋体" w:cs="宋体"/>
                <w:szCs w:val="21"/>
                <w:highlight w:val="none"/>
              </w:rPr>
              <w:t>（2）本采购文件涉及的货币为“人民币”；</w:t>
            </w:r>
          </w:p>
          <w:p w14:paraId="43F17713">
            <w:pPr>
              <w:jc w:val="left"/>
              <w:rPr>
                <w:rFonts w:hint="eastAsia" w:ascii="宋体" w:hAnsi="宋体" w:eastAsia="宋体" w:cs="宋体"/>
                <w:szCs w:val="21"/>
                <w:highlight w:val="none"/>
              </w:rPr>
            </w:pPr>
            <w:r>
              <w:rPr>
                <w:rFonts w:hint="eastAsia" w:ascii="宋体" w:hAnsi="宋体" w:eastAsia="宋体" w:cs="宋体"/>
                <w:szCs w:val="21"/>
                <w:highlight w:val="none"/>
              </w:rPr>
              <w:t>（3）在线投标时如遇平台操作/技术问题详询国泰新点客服</w:t>
            </w:r>
            <w:r>
              <w:rPr>
                <w:rFonts w:hint="eastAsia" w:ascii="宋体" w:hAnsi="宋体" w:eastAsia="宋体" w:cs="宋体"/>
                <w:szCs w:val="21"/>
                <w:highlight w:val="none"/>
                <w:lang w:eastAsia="zh-CN"/>
              </w:rPr>
              <w:t>17305813893</w:t>
            </w:r>
            <w:r>
              <w:rPr>
                <w:rFonts w:hint="eastAsia" w:ascii="宋体" w:hAnsi="宋体" w:eastAsia="宋体" w:cs="宋体"/>
                <w:szCs w:val="21"/>
                <w:highlight w:val="none"/>
              </w:rPr>
              <w:t>、0577-88733550；</w:t>
            </w:r>
          </w:p>
          <w:p w14:paraId="40377D34">
            <w:pPr>
              <w:rPr>
                <w:rFonts w:hint="eastAsia" w:ascii="宋体" w:hAnsi="宋体" w:eastAsia="宋体" w:cs="宋体"/>
                <w:szCs w:val="21"/>
                <w:highlight w:val="none"/>
              </w:rPr>
            </w:pPr>
            <w:r>
              <w:rPr>
                <w:rFonts w:hint="eastAsia" w:ascii="宋体" w:hAnsi="宋体" w:eastAsia="宋体" w:cs="宋体"/>
                <w:szCs w:val="21"/>
                <w:highlight w:val="none"/>
              </w:rPr>
              <w:t>（4）投标截止时间后，供应商登录温州市阳光采购服务平台，对电子投标文件进行在线解密。在线解密电子投标文件时间为开标时间起规定时间内，否则视为放弃投标；</w:t>
            </w:r>
          </w:p>
          <w:p w14:paraId="35DB2C7C">
            <w:pPr>
              <w:jc w:val="left"/>
              <w:rPr>
                <w:rFonts w:hint="eastAsia" w:ascii="宋体" w:hAnsi="宋体" w:eastAsia="宋体" w:cs="宋体"/>
                <w:szCs w:val="21"/>
                <w:highlight w:val="none"/>
              </w:rPr>
            </w:pPr>
            <w:r>
              <w:rPr>
                <w:rFonts w:hint="eastAsia" w:ascii="宋体" w:hAnsi="宋体" w:eastAsia="宋体" w:cs="宋体"/>
                <w:szCs w:val="21"/>
                <w:highlight w:val="none"/>
              </w:rPr>
              <w:t>（5）所有开标流程，均在线上完成，供应商无须到开标现场，只需自备电脑在规定时间前进行在线解密文件即可，请各供应商务必不要离开电脑太久，如有问题，请致电</w:t>
            </w:r>
            <w:r>
              <w:rPr>
                <w:rFonts w:hint="eastAsia" w:ascii="宋体" w:hAnsi="宋体" w:eastAsia="宋体" w:cs="宋体"/>
                <w:szCs w:val="21"/>
                <w:highlight w:val="none"/>
                <w:lang w:eastAsia="zh-CN"/>
              </w:rPr>
              <w:t>17305813893</w:t>
            </w:r>
            <w:r>
              <w:rPr>
                <w:rFonts w:hint="eastAsia" w:ascii="宋体" w:hAnsi="宋体" w:eastAsia="宋体" w:cs="宋体"/>
                <w:szCs w:val="21"/>
                <w:highlight w:val="none"/>
              </w:rPr>
              <w:t>、0577-88733550）</w:t>
            </w:r>
          </w:p>
          <w:p w14:paraId="6A7C6FC2">
            <w:pPr>
              <w:jc w:val="left"/>
              <w:rPr>
                <w:rFonts w:hint="eastAsia" w:ascii="宋体" w:hAnsi="宋体" w:eastAsia="宋体" w:cs="宋体"/>
                <w:szCs w:val="21"/>
                <w:highlight w:val="none"/>
              </w:rPr>
            </w:pPr>
            <w:r>
              <w:rPr>
                <w:rFonts w:hint="eastAsia" w:ascii="宋体" w:hAnsi="宋体" w:eastAsia="宋体" w:cs="宋体"/>
                <w:szCs w:val="21"/>
                <w:highlight w:val="none"/>
              </w:rPr>
              <w:t>（6）如遇“温州市阳光采购服务平台”电子化开标或评审程序调整的，按调整后程序执行。</w:t>
            </w:r>
          </w:p>
          <w:p w14:paraId="3DD9EE78">
            <w:pPr>
              <w:jc w:val="left"/>
              <w:rPr>
                <w:rFonts w:hint="eastAsia" w:ascii="宋体" w:hAnsi="宋体" w:eastAsia="宋体" w:cs="宋体"/>
                <w:b/>
                <w:bCs/>
                <w:szCs w:val="21"/>
                <w:highlight w:val="none"/>
              </w:rPr>
            </w:pPr>
            <w:r>
              <w:rPr>
                <w:rFonts w:hint="eastAsia" w:ascii="宋体" w:hAnsi="宋体" w:eastAsia="宋体" w:cs="宋体"/>
                <w:b/>
                <w:bCs/>
                <w:szCs w:val="21"/>
                <w:highlight w:val="none"/>
              </w:rPr>
              <w:t>（7）投标供应商须在开标当天将已填写的《国企采购活动现场确认声明书》通过邮件发送至邮箱</w:t>
            </w:r>
            <w:r>
              <w:rPr>
                <w:rFonts w:hint="eastAsia" w:ascii="宋体" w:hAnsi="宋体" w:eastAsia="宋体" w:cs="宋体"/>
                <w:b/>
                <w:bCs/>
                <w:szCs w:val="21"/>
                <w:highlight w:val="none"/>
              </w:rPr>
              <w:fldChar w:fldCharType="begin"/>
            </w:r>
            <w:r>
              <w:rPr>
                <w:rFonts w:hint="eastAsia" w:ascii="宋体" w:hAnsi="宋体" w:eastAsia="宋体" w:cs="宋体"/>
                <w:b/>
                <w:bCs/>
                <w:szCs w:val="21"/>
                <w:highlight w:val="none"/>
              </w:rPr>
              <w:instrText xml:space="preserve"> HYPERLINK "mailto:249168092@qq.com。" </w:instrText>
            </w:r>
            <w:r>
              <w:rPr>
                <w:rFonts w:hint="eastAsia" w:ascii="宋体" w:hAnsi="宋体" w:eastAsia="宋体" w:cs="宋体"/>
                <w:b/>
                <w:bCs/>
                <w:szCs w:val="21"/>
                <w:highlight w:val="none"/>
              </w:rPr>
              <w:fldChar w:fldCharType="separate"/>
            </w:r>
            <w:r>
              <w:rPr>
                <w:rStyle w:val="46"/>
                <w:rFonts w:hint="eastAsia" w:ascii="宋体" w:hAnsi="宋体" w:eastAsia="宋体" w:cs="宋体"/>
                <w:b/>
                <w:bCs/>
                <w:szCs w:val="21"/>
                <w:highlight w:val="none"/>
              </w:rPr>
              <w:t>249168092@qq.com。</w:t>
            </w:r>
            <w:r>
              <w:rPr>
                <w:rFonts w:hint="eastAsia" w:ascii="宋体" w:hAnsi="宋体" w:eastAsia="宋体" w:cs="宋体"/>
                <w:b/>
                <w:bCs/>
                <w:szCs w:val="21"/>
                <w:highlight w:val="none"/>
              </w:rPr>
              <w:fldChar w:fldCharType="end"/>
            </w:r>
          </w:p>
          <w:p w14:paraId="0E644A50">
            <w:pPr>
              <w:jc w:val="left"/>
              <w:rPr>
                <w:rFonts w:hint="default" w:ascii="宋体" w:hAnsi="宋体" w:eastAsia="宋体" w:cs="宋体"/>
                <w:b/>
                <w:bCs/>
                <w:szCs w:val="21"/>
                <w:highlight w:val="none"/>
                <w:lang w:val="en-US" w:eastAsia="zh-CN"/>
              </w:rPr>
            </w:pPr>
            <w:r>
              <w:rPr>
                <w:rFonts w:hint="eastAsia" w:ascii="宋体" w:hAnsi="宋体" w:eastAsia="宋体" w:cs="宋体"/>
                <w:b/>
                <w:bCs/>
                <w:szCs w:val="21"/>
                <w:highlight w:val="none"/>
                <w:lang w:eastAsia="zh-CN"/>
              </w:rPr>
              <w:t>（</w:t>
            </w:r>
            <w:r>
              <w:rPr>
                <w:rFonts w:hint="eastAsia" w:ascii="宋体" w:hAnsi="宋体" w:eastAsia="宋体" w:cs="宋体"/>
                <w:b/>
                <w:bCs/>
                <w:szCs w:val="21"/>
                <w:highlight w:val="none"/>
                <w:lang w:val="en-US" w:eastAsia="zh-CN"/>
              </w:rPr>
              <w:t>8</w:t>
            </w:r>
            <w:r>
              <w:rPr>
                <w:rFonts w:hint="eastAsia" w:ascii="宋体" w:hAnsi="宋体" w:eastAsia="宋体" w:cs="宋体"/>
                <w:b/>
                <w:bCs/>
                <w:szCs w:val="21"/>
                <w:highlight w:val="none"/>
                <w:lang w:eastAsia="zh-CN"/>
              </w:rPr>
              <w:t>）中标候选供应商</w:t>
            </w:r>
            <w:r>
              <w:rPr>
                <w:rFonts w:hint="eastAsia" w:ascii="宋体" w:hAnsi="宋体" w:eastAsia="宋体" w:cs="宋体"/>
                <w:b/>
                <w:bCs/>
                <w:szCs w:val="21"/>
                <w:highlight w:val="none"/>
                <w:lang w:val="en-US" w:eastAsia="zh-CN"/>
              </w:rPr>
              <w:t>在采购结果公示结束前向代理机构提供5份纸质版本投标文件。</w:t>
            </w:r>
          </w:p>
        </w:tc>
      </w:tr>
      <w:tr w14:paraId="3909BAD9">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23" w:hRule="atLeast"/>
        </w:trPr>
        <w:tc>
          <w:tcPr>
            <w:tcW w:w="772" w:type="dxa"/>
            <w:tcBorders>
              <w:top w:val="single" w:color="000000" w:sz="4" w:space="0"/>
              <w:bottom w:val="single" w:color="000000" w:sz="4" w:space="0"/>
              <w:right w:val="single" w:color="000000" w:sz="4" w:space="0"/>
            </w:tcBorders>
            <w:noWrap w:val="0"/>
            <w:vAlign w:val="center"/>
          </w:tcPr>
          <w:p w14:paraId="15002398">
            <w:pPr>
              <w:jc w:val="center"/>
              <w:rPr>
                <w:rFonts w:hint="eastAsia" w:ascii="宋体" w:hAnsi="宋体" w:eastAsia="宋体" w:cs="宋体"/>
                <w:szCs w:val="21"/>
                <w:highlight w:val="none"/>
              </w:rPr>
            </w:pPr>
            <w:r>
              <w:rPr>
                <w:rFonts w:hint="eastAsia" w:ascii="宋体" w:hAnsi="宋体" w:eastAsia="宋体" w:cs="宋体"/>
                <w:szCs w:val="21"/>
                <w:highlight w:val="none"/>
              </w:rPr>
              <w:t>25</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6FCB5F91">
            <w:pPr>
              <w:jc w:val="center"/>
              <w:rPr>
                <w:rFonts w:hint="eastAsia" w:ascii="宋体" w:hAnsi="宋体" w:eastAsia="宋体" w:cs="宋体"/>
                <w:szCs w:val="21"/>
                <w:highlight w:val="none"/>
              </w:rPr>
            </w:pPr>
            <w:r>
              <w:rPr>
                <w:rFonts w:hint="eastAsia" w:ascii="宋体" w:hAnsi="宋体" w:eastAsia="宋体" w:cs="宋体"/>
                <w:szCs w:val="21"/>
                <w:highlight w:val="none"/>
              </w:rPr>
              <w:t>信誉</w:t>
            </w:r>
          </w:p>
        </w:tc>
        <w:tc>
          <w:tcPr>
            <w:tcW w:w="7046" w:type="dxa"/>
            <w:tcBorders>
              <w:top w:val="single" w:color="000000" w:sz="4" w:space="0"/>
              <w:left w:val="single" w:color="000000" w:sz="4" w:space="0"/>
              <w:bottom w:val="single" w:color="000000" w:sz="4" w:space="0"/>
            </w:tcBorders>
            <w:noWrap w:val="0"/>
            <w:vAlign w:val="center"/>
          </w:tcPr>
          <w:p w14:paraId="2D5733E9">
            <w:pPr>
              <w:rPr>
                <w:rFonts w:hint="eastAsia" w:ascii="宋体" w:hAnsi="宋体" w:eastAsia="宋体" w:cs="宋体"/>
                <w:szCs w:val="21"/>
                <w:highlight w:val="none"/>
              </w:rPr>
            </w:pPr>
            <w:r>
              <w:rPr>
                <w:rFonts w:hint="eastAsia" w:ascii="宋体" w:hAnsi="宋体" w:eastAsia="宋体" w:cs="宋体"/>
                <w:szCs w:val="21"/>
                <w:highlight w:val="none"/>
              </w:rPr>
              <w:t>成交供应商需具有良好的商业信誉：</w:t>
            </w:r>
          </w:p>
          <w:p w14:paraId="5EFFC53C">
            <w:pPr>
              <w:rPr>
                <w:rFonts w:hint="eastAsia" w:ascii="宋体" w:hAnsi="宋体" w:eastAsia="宋体" w:cs="宋体"/>
                <w:szCs w:val="21"/>
                <w:highlight w:val="none"/>
              </w:rPr>
            </w:pPr>
            <w:r>
              <w:rPr>
                <w:rFonts w:hint="eastAsia" w:ascii="宋体" w:hAnsi="宋体" w:eastAsia="宋体" w:cs="宋体"/>
                <w:bCs/>
                <w:kern w:val="0"/>
                <w:szCs w:val="21"/>
                <w:highlight w:val="none"/>
              </w:rPr>
              <w:t>至本项目投标截止时间前</w:t>
            </w:r>
            <w:r>
              <w:rPr>
                <w:rFonts w:hint="eastAsia" w:ascii="宋体" w:hAnsi="宋体" w:eastAsia="宋体" w:cs="宋体"/>
                <w:szCs w:val="21"/>
                <w:highlight w:val="none"/>
              </w:rPr>
              <w:t>供应商未被列入失信被执行人名单、重大税收违法案件当事人名单、政府采购严重违法失信行为记录名单，信用信息以信用中国网站（www.creditchina.gov.cn）、中国政府采购网（www.ccgp.gov.cn）公布为准。</w:t>
            </w:r>
          </w:p>
        </w:tc>
      </w:tr>
      <w:tr w14:paraId="22A02C9F">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2707" w:hRule="atLeast"/>
        </w:trPr>
        <w:tc>
          <w:tcPr>
            <w:tcW w:w="772" w:type="dxa"/>
            <w:tcBorders>
              <w:top w:val="single" w:color="000000" w:sz="4" w:space="0"/>
              <w:bottom w:val="single" w:color="000000" w:sz="4" w:space="0"/>
              <w:right w:val="single" w:color="000000" w:sz="4" w:space="0"/>
            </w:tcBorders>
            <w:noWrap w:val="0"/>
            <w:vAlign w:val="center"/>
          </w:tcPr>
          <w:p w14:paraId="3EEB3007">
            <w:pPr>
              <w:jc w:val="center"/>
              <w:rPr>
                <w:rFonts w:hint="eastAsia" w:ascii="宋体" w:hAnsi="宋体" w:eastAsia="宋体" w:cs="宋体"/>
                <w:szCs w:val="21"/>
                <w:highlight w:val="none"/>
              </w:rPr>
            </w:pPr>
            <w:r>
              <w:rPr>
                <w:rFonts w:hint="eastAsia" w:ascii="宋体" w:hAnsi="宋体" w:eastAsia="宋体" w:cs="宋体"/>
                <w:szCs w:val="21"/>
                <w:highlight w:val="none"/>
              </w:rPr>
              <w:t>26</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4B19B260">
            <w:pPr>
              <w:jc w:val="center"/>
              <w:rPr>
                <w:rFonts w:hint="eastAsia" w:ascii="宋体" w:hAnsi="宋体" w:eastAsia="宋体" w:cs="宋体"/>
                <w:szCs w:val="21"/>
                <w:highlight w:val="none"/>
              </w:rPr>
            </w:pPr>
            <w:r>
              <w:rPr>
                <w:rFonts w:hint="eastAsia" w:ascii="宋体" w:hAnsi="宋体" w:eastAsia="宋体" w:cs="宋体"/>
                <w:szCs w:val="21"/>
                <w:highlight w:val="none"/>
              </w:rPr>
              <w:t>解释顺序</w:t>
            </w:r>
          </w:p>
        </w:tc>
        <w:tc>
          <w:tcPr>
            <w:tcW w:w="7046" w:type="dxa"/>
            <w:tcBorders>
              <w:top w:val="single" w:color="000000" w:sz="4" w:space="0"/>
              <w:left w:val="single" w:color="000000" w:sz="4" w:space="0"/>
              <w:bottom w:val="single" w:color="000000" w:sz="4" w:space="0"/>
            </w:tcBorders>
            <w:noWrap w:val="0"/>
            <w:vAlign w:val="center"/>
          </w:tcPr>
          <w:p w14:paraId="129C8F59">
            <w:pPr>
              <w:rPr>
                <w:rFonts w:hint="eastAsia" w:ascii="宋体" w:hAnsi="宋体" w:eastAsia="宋体" w:cs="宋体"/>
                <w:szCs w:val="21"/>
                <w:highlight w:val="none"/>
              </w:rPr>
            </w:pPr>
            <w:r>
              <w:rPr>
                <w:rFonts w:hint="eastAsia" w:ascii="宋体" w:hAnsi="宋体" w:eastAsia="宋体" w:cs="宋体"/>
                <w:szCs w:val="21"/>
                <w:highlight w:val="none"/>
              </w:rPr>
              <w:t>（1）发布采购公告的媒介网站供下载的采购文件与纸质采购文件不一致的，以上传至网站的采购文件为准。</w:t>
            </w:r>
          </w:p>
          <w:p w14:paraId="0BB4ECF0">
            <w:pPr>
              <w:rPr>
                <w:rFonts w:hint="eastAsia" w:ascii="宋体" w:hAnsi="宋体" w:eastAsia="宋体" w:cs="宋体"/>
                <w:szCs w:val="21"/>
                <w:highlight w:val="none"/>
              </w:rPr>
            </w:pPr>
            <w:r>
              <w:rPr>
                <w:rFonts w:hint="eastAsia" w:ascii="宋体" w:hAnsi="宋体" w:eastAsia="宋体" w:cs="宋体"/>
                <w:szCs w:val="21"/>
                <w:highlight w:val="none"/>
              </w:rPr>
              <w:t>（2）构成本采购文件的各个组成文件应互为解释，互为说明；如有不明确或不一致，构成合同文件组成内容的，以合同条款约定内容为准，且以合同条款约定的合同文件优先顺序解释；在采购投标阶段，按采购公告、投标供应商须知、评标办法、投标文件格式的先后顺序解释；同一组成文件中就同一事项的规定或约定不一致的，以在采购文件中编排顺序在后者为准；同一组成文件不同版本之间有不一致的，以形成时间在后者为准。按本款前述规定仍不能形成结论的，由采购人负责解释。</w:t>
            </w:r>
          </w:p>
        </w:tc>
      </w:tr>
      <w:tr w14:paraId="57B46C0C">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2707" w:hRule="atLeast"/>
        </w:trPr>
        <w:tc>
          <w:tcPr>
            <w:tcW w:w="772" w:type="dxa"/>
            <w:tcBorders>
              <w:top w:val="single" w:color="000000" w:sz="4" w:space="0"/>
              <w:bottom w:val="single" w:color="000000" w:sz="4" w:space="0"/>
              <w:right w:val="single" w:color="000000" w:sz="4" w:space="0"/>
            </w:tcBorders>
            <w:noWrap w:val="0"/>
            <w:vAlign w:val="center"/>
          </w:tcPr>
          <w:p w14:paraId="34C32A78">
            <w:pPr>
              <w:jc w:val="center"/>
              <w:rPr>
                <w:rFonts w:ascii="宋体" w:hAnsi="宋体" w:eastAsia="宋体" w:cs="宋体"/>
                <w:szCs w:val="21"/>
                <w:highlight w:val="none"/>
              </w:rPr>
            </w:pPr>
            <w:r>
              <w:rPr>
                <w:rFonts w:hint="eastAsia" w:ascii="宋体" w:hAnsi="宋体" w:eastAsia="宋体" w:cs="宋体"/>
                <w:szCs w:val="21"/>
                <w:highlight w:val="none"/>
              </w:rPr>
              <w:t>27</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5CB04A7E">
            <w:pPr>
              <w:jc w:val="center"/>
              <w:rPr>
                <w:rFonts w:hint="eastAsia" w:ascii="宋体" w:hAnsi="宋体" w:eastAsia="宋体" w:cs="宋体"/>
                <w:szCs w:val="21"/>
                <w:highlight w:val="none"/>
              </w:rPr>
            </w:pPr>
            <w:r>
              <w:rPr>
                <w:rFonts w:hint="eastAsia" w:ascii="宋体" w:hAnsi="宋体" w:eastAsia="宋体" w:cs="宋体"/>
                <w:szCs w:val="21"/>
                <w:highlight w:val="none"/>
              </w:rPr>
              <w:t>投标供应商硬件设备要求</w:t>
            </w:r>
          </w:p>
        </w:tc>
        <w:tc>
          <w:tcPr>
            <w:tcW w:w="7046" w:type="dxa"/>
            <w:tcBorders>
              <w:top w:val="single" w:color="000000" w:sz="4" w:space="0"/>
              <w:left w:val="single" w:color="000000" w:sz="4" w:space="0"/>
              <w:bottom w:val="single" w:color="000000" w:sz="4" w:space="0"/>
            </w:tcBorders>
            <w:noWrap w:val="0"/>
            <w:vAlign w:val="center"/>
          </w:tcPr>
          <w:p w14:paraId="7109C9FA">
            <w:pPr>
              <w:rPr>
                <w:rFonts w:hint="eastAsia" w:ascii="宋体" w:hAnsi="宋体" w:eastAsia="宋体" w:cs="宋体"/>
                <w:szCs w:val="21"/>
                <w:highlight w:val="none"/>
              </w:rPr>
            </w:pPr>
            <w:r>
              <w:rPr>
                <w:rFonts w:hint="eastAsia" w:ascii="宋体" w:hAnsi="宋体" w:eastAsia="宋体" w:cs="宋体"/>
                <w:szCs w:val="21"/>
                <w:highlight w:val="none"/>
              </w:rPr>
              <w:t>各投标供应商需要保障参与不见面开标的电脑硬件要求符合以下内容：</w:t>
            </w:r>
          </w:p>
          <w:p w14:paraId="133F6A7A">
            <w:pPr>
              <w:rPr>
                <w:rFonts w:hint="eastAsia" w:ascii="宋体" w:hAnsi="宋体" w:eastAsia="宋体" w:cs="宋体"/>
                <w:szCs w:val="21"/>
                <w:highlight w:val="none"/>
              </w:rPr>
            </w:pPr>
            <w:r>
              <w:rPr>
                <w:rFonts w:hint="eastAsia" w:ascii="宋体" w:hAnsi="宋体" w:eastAsia="宋体" w:cs="宋体"/>
                <w:szCs w:val="21"/>
                <w:highlight w:val="none"/>
              </w:rPr>
              <w:t>1.具备耳麦（用于接收代理公司开标指令）。</w:t>
            </w:r>
          </w:p>
          <w:p w14:paraId="0A6F9B33">
            <w:pPr>
              <w:rPr>
                <w:rFonts w:hint="eastAsia" w:ascii="宋体" w:hAnsi="宋体" w:eastAsia="宋体" w:cs="宋体"/>
                <w:szCs w:val="21"/>
                <w:highlight w:val="none"/>
              </w:rPr>
            </w:pPr>
            <w:r>
              <w:rPr>
                <w:rFonts w:hint="eastAsia" w:ascii="宋体" w:hAnsi="宋体" w:eastAsia="宋体" w:cs="宋体"/>
                <w:szCs w:val="21"/>
                <w:highlight w:val="none"/>
              </w:rPr>
              <w:t>2.要求使用ie浏览器11及以上版本（也可用Edge的ie模式）。</w:t>
            </w:r>
          </w:p>
          <w:p w14:paraId="3A61CB7D">
            <w:pPr>
              <w:rPr>
                <w:rFonts w:hint="eastAsia" w:ascii="宋体" w:hAnsi="宋体" w:eastAsia="宋体" w:cs="宋体"/>
                <w:szCs w:val="21"/>
                <w:highlight w:val="none"/>
              </w:rPr>
            </w:pPr>
            <w:r>
              <w:rPr>
                <w:rFonts w:hint="eastAsia" w:ascii="宋体" w:hAnsi="宋体" w:eastAsia="宋体" w:cs="宋体"/>
                <w:szCs w:val="21"/>
                <w:highlight w:val="none"/>
              </w:rPr>
              <w:t>3.电脑操作系统要求在win7及以上。</w:t>
            </w:r>
          </w:p>
          <w:p w14:paraId="56A7B6E9">
            <w:pPr>
              <w:rPr>
                <w:rFonts w:hint="eastAsia" w:ascii="宋体" w:hAnsi="宋体" w:eastAsia="宋体" w:cs="宋体"/>
                <w:szCs w:val="21"/>
                <w:highlight w:val="none"/>
              </w:rPr>
            </w:pPr>
            <w:r>
              <w:rPr>
                <w:rFonts w:hint="eastAsia" w:ascii="宋体" w:hAnsi="宋体" w:eastAsia="宋体" w:cs="宋体"/>
                <w:szCs w:val="21"/>
                <w:highlight w:val="none"/>
              </w:rPr>
              <w:t>4.内存要求在4G以上。</w:t>
            </w:r>
          </w:p>
          <w:p w14:paraId="65346C6B">
            <w:pPr>
              <w:rPr>
                <w:rFonts w:hint="eastAsia" w:ascii="宋体" w:hAnsi="宋体" w:eastAsia="宋体" w:cs="宋体"/>
                <w:szCs w:val="21"/>
                <w:highlight w:val="none"/>
              </w:rPr>
            </w:pPr>
            <w:r>
              <w:rPr>
                <w:rFonts w:hint="eastAsia" w:ascii="宋体" w:hAnsi="宋体" w:eastAsia="宋体" w:cs="宋体"/>
                <w:szCs w:val="21"/>
                <w:highlight w:val="none"/>
              </w:rPr>
              <w:t>5.要求正确安装温州市阳光采购服务平台驱动程序，下载地址见官网－下载中心。</w:t>
            </w:r>
          </w:p>
          <w:p w14:paraId="7452E4E8">
            <w:pPr>
              <w:rPr>
                <w:rFonts w:hint="eastAsia" w:ascii="宋体" w:hAnsi="宋体" w:eastAsia="宋体" w:cs="宋体"/>
                <w:szCs w:val="21"/>
                <w:highlight w:val="none"/>
              </w:rPr>
            </w:pPr>
            <w:r>
              <w:rPr>
                <w:rFonts w:hint="eastAsia" w:ascii="宋体" w:hAnsi="宋体" w:eastAsia="宋体" w:cs="宋体"/>
                <w:szCs w:val="21"/>
                <w:highlight w:val="none"/>
              </w:rPr>
              <w:t>投标会议过程中不得随意离开，因投标单位自身原因造成未成功解密的，均按未提交投标文件处理。</w:t>
            </w:r>
          </w:p>
        </w:tc>
      </w:tr>
    </w:tbl>
    <w:p w14:paraId="57EB3A4A">
      <w:pPr>
        <w:spacing w:line="360" w:lineRule="auto"/>
        <w:rPr>
          <w:rFonts w:hint="eastAsia" w:ascii="宋体" w:hAnsi="宋体" w:cs="宋体"/>
          <w:szCs w:val="21"/>
          <w:highlight w:val="none"/>
        </w:rPr>
      </w:pPr>
    </w:p>
    <w:p w14:paraId="41A9CBF3">
      <w:pPr>
        <w:spacing w:line="360" w:lineRule="auto"/>
        <w:jc w:val="center"/>
        <w:outlineLvl w:val="0"/>
        <w:rPr>
          <w:rFonts w:hint="eastAsia" w:ascii="宋体" w:hAnsi="宋体" w:cs="宋体"/>
          <w:szCs w:val="21"/>
          <w:highlight w:val="none"/>
        </w:rPr>
      </w:pPr>
      <w:bookmarkStart w:id="18" w:name="_Toc245191310"/>
      <w:bookmarkStart w:id="19" w:name="_Toc389760260"/>
      <w:bookmarkStart w:id="20" w:name="_Toc221356947"/>
      <w:bookmarkStart w:id="21" w:name="_Toc221356882"/>
      <w:bookmarkStart w:id="22" w:name="_Toc241404198"/>
      <w:bookmarkStart w:id="23" w:name="_Toc222114875"/>
      <w:bookmarkStart w:id="24" w:name="_Toc262105499"/>
      <w:bookmarkStart w:id="25" w:name="_Toc221374622"/>
      <w:bookmarkStart w:id="26" w:name="_Toc262049414"/>
      <w:bookmarkStart w:id="27" w:name="_Toc249758860"/>
      <w:bookmarkStart w:id="28" w:name="_Toc246261261"/>
      <w:bookmarkStart w:id="29" w:name="_Toc223715994"/>
      <w:bookmarkStart w:id="30" w:name="_Toc249758708"/>
      <w:bookmarkStart w:id="31" w:name="_Toc221423615"/>
      <w:bookmarkStart w:id="32" w:name="_Toc245722277"/>
      <w:bookmarkStart w:id="33" w:name="_Toc239145350"/>
      <w:r>
        <w:rPr>
          <w:rFonts w:hint="eastAsia" w:ascii="宋体" w:hAnsi="宋体" w:cs="宋体"/>
          <w:szCs w:val="21"/>
          <w:highlight w:val="none"/>
        </w:rPr>
        <w:br w:type="page"/>
      </w:r>
      <w:bookmarkStart w:id="34" w:name="_Toc7550"/>
      <w:bookmarkStart w:id="35" w:name="_Toc28966"/>
      <w:r>
        <w:rPr>
          <w:rFonts w:hint="eastAsia" w:ascii="宋体" w:hAnsi="宋体" w:cs="宋体"/>
          <w:b/>
          <w:bCs/>
          <w:sz w:val="28"/>
          <w:szCs w:val="28"/>
          <w:highlight w:val="none"/>
        </w:rPr>
        <w:t>第一部分  投标供应商须知</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p w14:paraId="3F4C1DCD">
      <w:pPr>
        <w:spacing w:before="100" w:beforeAutospacing="1" w:after="100" w:afterAutospacing="1" w:line="440" w:lineRule="exact"/>
        <w:jc w:val="center"/>
        <w:rPr>
          <w:rFonts w:hint="eastAsia" w:ascii="宋体" w:hAnsi="宋体" w:cs="宋体"/>
          <w:b/>
          <w:kern w:val="1"/>
          <w:szCs w:val="21"/>
          <w:highlight w:val="none"/>
        </w:rPr>
      </w:pPr>
      <w:bookmarkStart w:id="36" w:name="_Toc18274"/>
      <w:bookmarkStart w:id="37" w:name="_Toc23876"/>
      <w:bookmarkStart w:id="38" w:name="_Toc11625"/>
      <w:r>
        <w:rPr>
          <w:rFonts w:hint="eastAsia" w:ascii="宋体" w:hAnsi="宋体" w:cs="宋体"/>
          <w:b/>
          <w:kern w:val="1"/>
          <w:szCs w:val="21"/>
          <w:highlight w:val="none"/>
        </w:rPr>
        <w:t>一、  说明</w:t>
      </w:r>
      <w:bookmarkEnd w:id="36"/>
      <w:bookmarkEnd w:id="37"/>
      <w:bookmarkEnd w:id="38"/>
    </w:p>
    <w:p w14:paraId="382C83E9">
      <w:pPr>
        <w:tabs>
          <w:tab w:val="left" w:pos="540"/>
          <w:tab w:val="left" w:pos="900"/>
        </w:tabs>
        <w:spacing w:line="460" w:lineRule="exact"/>
        <w:rPr>
          <w:rFonts w:hint="eastAsia" w:ascii="宋体" w:hAnsi="宋体" w:cs="宋体"/>
          <w:kern w:val="1"/>
          <w:szCs w:val="21"/>
          <w:highlight w:val="none"/>
        </w:rPr>
      </w:pPr>
      <w:r>
        <w:rPr>
          <w:rFonts w:hint="eastAsia" w:ascii="宋体" w:hAnsi="宋体" w:cs="宋体"/>
          <w:kern w:val="1"/>
          <w:szCs w:val="21"/>
          <w:highlight w:val="none"/>
        </w:rPr>
        <w:t>1.本次采购是根据《温州市市属国有企业采购管理办法》等</w:t>
      </w:r>
      <w:r>
        <w:rPr>
          <w:rFonts w:hint="eastAsia" w:ascii="宋体" w:hAnsi="宋体" w:cs="宋体"/>
          <w:szCs w:val="21"/>
          <w:highlight w:val="none"/>
        </w:rPr>
        <w:t>相关法律法规及规范性文件</w:t>
      </w:r>
      <w:r>
        <w:rPr>
          <w:rFonts w:hint="eastAsia" w:ascii="宋体" w:hAnsi="宋体" w:cs="宋体"/>
          <w:kern w:val="1"/>
          <w:szCs w:val="21"/>
          <w:highlight w:val="none"/>
        </w:rPr>
        <w:t>组织和实施的。</w:t>
      </w:r>
    </w:p>
    <w:p w14:paraId="428EA4A8">
      <w:pPr>
        <w:tabs>
          <w:tab w:val="left" w:pos="540"/>
          <w:tab w:val="left" w:pos="900"/>
        </w:tabs>
        <w:spacing w:line="460" w:lineRule="exact"/>
        <w:rPr>
          <w:rFonts w:hint="eastAsia" w:ascii="宋体" w:hAnsi="宋体" w:cs="宋体"/>
          <w:kern w:val="1"/>
          <w:szCs w:val="21"/>
          <w:highlight w:val="none"/>
        </w:rPr>
      </w:pPr>
      <w:r>
        <w:rPr>
          <w:rFonts w:hint="eastAsia" w:ascii="宋体" w:hAnsi="宋体" w:cs="宋体"/>
          <w:kern w:val="1"/>
          <w:szCs w:val="21"/>
          <w:highlight w:val="none"/>
        </w:rPr>
        <w:t>2.合格投标供应商</w:t>
      </w:r>
    </w:p>
    <w:p w14:paraId="20A7739B">
      <w:pPr>
        <w:tabs>
          <w:tab w:val="left" w:pos="540"/>
          <w:tab w:val="left" w:pos="992"/>
        </w:tabs>
        <w:spacing w:line="460" w:lineRule="exact"/>
        <w:rPr>
          <w:rFonts w:hint="eastAsia" w:ascii="宋体" w:hAnsi="宋体" w:cs="宋体"/>
          <w:kern w:val="1"/>
          <w:szCs w:val="21"/>
          <w:highlight w:val="none"/>
        </w:rPr>
      </w:pPr>
      <w:r>
        <w:rPr>
          <w:rFonts w:hint="eastAsia" w:ascii="宋体" w:hAnsi="宋体" w:cs="宋体"/>
          <w:b/>
          <w:kern w:val="0"/>
          <w:szCs w:val="21"/>
          <w:highlight w:val="none"/>
          <w:u w:val="single"/>
        </w:rPr>
        <w:t>2.1▲</w:t>
      </w:r>
      <w:r>
        <w:rPr>
          <w:rFonts w:hint="eastAsia" w:ascii="宋体" w:hAnsi="宋体" w:cs="宋体"/>
          <w:kern w:val="1"/>
          <w:szCs w:val="21"/>
          <w:highlight w:val="none"/>
          <w:u w:val="single"/>
        </w:rPr>
        <w:t>合格投标供应商资格条件详见本项目采购公告及投标供应商须知前附表；</w:t>
      </w:r>
    </w:p>
    <w:p w14:paraId="56791C68">
      <w:pPr>
        <w:tabs>
          <w:tab w:val="left" w:pos="540"/>
          <w:tab w:val="left" w:pos="992"/>
        </w:tabs>
        <w:spacing w:line="460" w:lineRule="exact"/>
        <w:rPr>
          <w:rFonts w:hint="eastAsia" w:ascii="宋体" w:hAnsi="宋体" w:cs="宋体"/>
          <w:kern w:val="1"/>
          <w:szCs w:val="21"/>
          <w:highlight w:val="none"/>
        </w:rPr>
      </w:pPr>
      <w:r>
        <w:rPr>
          <w:rFonts w:hint="eastAsia" w:ascii="宋体" w:hAnsi="宋体" w:cs="宋体"/>
          <w:szCs w:val="21"/>
          <w:highlight w:val="none"/>
        </w:rPr>
        <w:t>2.2本项目谢绝联合体形式投标。</w:t>
      </w:r>
    </w:p>
    <w:p w14:paraId="17B081B6">
      <w:pPr>
        <w:tabs>
          <w:tab w:val="left" w:pos="540"/>
          <w:tab w:val="left" w:pos="900"/>
        </w:tabs>
        <w:spacing w:line="460" w:lineRule="exact"/>
        <w:rPr>
          <w:rFonts w:hint="eastAsia" w:ascii="宋体" w:hAnsi="宋体" w:cs="宋体"/>
          <w:kern w:val="1"/>
          <w:szCs w:val="21"/>
          <w:highlight w:val="none"/>
        </w:rPr>
      </w:pPr>
      <w:r>
        <w:rPr>
          <w:rFonts w:hint="eastAsia" w:ascii="宋体" w:hAnsi="宋体" w:cs="宋体"/>
          <w:kern w:val="1"/>
          <w:szCs w:val="21"/>
          <w:highlight w:val="none"/>
        </w:rPr>
        <w:t>3.投标供应商代表</w:t>
      </w:r>
    </w:p>
    <w:p w14:paraId="193E230F">
      <w:pPr>
        <w:spacing w:line="460" w:lineRule="exact"/>
        <w:ind w:firstLine="422" w:firstLineChars="200"/>
        <w:rPr>
          <w:rFonts w:hint="eastAsia" w:ascii="宋体" w:hAnsi="宋体" w:cs="宋体"/>
          <w:kern w:val="1"/>
          <w:szCs w:val="21"/>
          <w:highlight w:val="none"/>
          <w:u w:val="single"/>
        </w:rPr>
      </w:pPr>
      <w:r>
        <w:rPr>
          <w:rFonts w:hint="eastAsia" w:ascii="宋体" w:hAnsi="宋体" w:cs="宋体"/>
          <w:b/>
          <w:kern w:val="0"/>
          <w:szCs w:val="21"/>
          <w:highlight w:val="none"/>
          <w:u w:val="single"/>
        </w:rPr>
        <w:t>▲指全权代表投标供应商参加投标活动并签署投标文件的人。如果投标供应商代表不是法定代表人，须持有《法定代表人授权书》</w:t>
      </w:r>
      <w:r>
        <w:rPr>
          <w:rFonts w:hint="eastAsia" w:ascii="宋体" w:hAnsi="宋体" w:cs="宋体"/>
          <w:kern w:val="1"/>
          <w:szCs w:val="21"/>
          <w:highlight w:val="none"/>
          <w:u w:val="single"/>
        </w:rPr>
        <w:t>。</w:t>
      </w:r>
    </w:p>
    <w:p w14:paraId="1F4F9913">
      <w:pPr>
        <w:tabs>
          <w:tab w:val="left" w:pos="540"/>
          <w:tab w:val="left" w:pos="900"/>
        </w:tabs>
        <w:spacing w:line="460" w:lineRule="exact"/>
        <w:rPr>
          <w:rFonts w:hint="eastAsia" w:ascii="宋体" w:hAnsi="宋体" w:cs="宋体"/>
          <w:kern w:val="1"/>
          <w:szCs w:val="21"/>
          <w:highlight w:val="none"/>
        </w:rPr>
      </w:pPr>
      <w:r>
        <w:rPr>
          <w:rFonts w:hint="eastAsia" w:ascii="宋体" w:hAnsi="宋体" w:cs="宋体"/>
          <w:kern w:val="1"/>
          <w:szCs w:val="21"/>
          <w:highlight w:val="none"/>
        </w:rPr>
        <w:t>4.投标费用</w:t>
      </w:r>
    </w:p>
    <w:p w14:paraId="2C955DB7">
      <w:pPr>
        <w:spacing w:line="460" w:lineRule="exact"/>
        <w:ind w:firstLine="420" w:firstLineChars="200"/>
        <w:rPr>
          <w:rFonts w:hint="eastAsia" w:ascii="宋体" w:hAnsi="宋体" w:cs="宋体"/>
          <w:kern w:val="1"/>
          <w:szCs w:val="21"/>
          <w:highlight w:val="none"/>
        </w:rPr>
      </w:pPr>
      <w:r>
        <w:rPr>
          <w:rFonts w:hint="eastAsia" w:ascii="宋体" w:hAnsi="宋体" w:cs="宋体"/>
          <w:kern w:val="1"/>
          <w:szCs w:val="21"/>
          <w:highlight w:val="none"/>
        </w:rPr>
        <w:t>投标供应商应承担所有与准备和参加投标有关费用，不论投标的结果如何，采购人和采购代理机构均无义务和责任承担这些费用。</w:t>
      </w:r>
    </w:p>
    <w:p w14:paraId="56AA7E21">
      <w:pPr>
        <w:spacing w:before="100" w:beforeAutospacing="1" w:after="100" w:afterAutospacing="1" w:line="440" w:lineRule="exact"/>
        <w:jc w:val="center"/>
        <w:rPr>
          <w:rFonts w:hint="eastAsia" w:ascii="宋体" w:hAnsi="宋体" w:cs="宋体"/>
          <w:b/>
          <w:kern w:val="1"/>
          <w:szCs w:val="21"/>
          <w:highlight w:val="none"/>
        </w:rPr>
      </w:pPr>
      <w:bookmarkStart w:id="39" w:name="_Toc221423617"/>
      <w:bookmarkEnd w:id="39"/>
      <w:bookmarkStart w:id="40" w:name="_Toc458603462"/>
      <w:bookmarkEnd w:id="40"/>
      <w:bookmarkStart w:id="41" w:name="_Toc221356949"/>
      <w:bookmarkEnd w:id="41"/>
      <w:bookmarkStart w:id="42" w:name="_Toc221374624"/>
      <w:bookmarkEnd w:id="42"/>
      <w:bookmarkStart w:id="43" w:name="_Toc222114877"/>
      <w:bookmarkEnd w:id="43"/>
      <w:bookmarkStart w:id="44" w:name="_Toc221356884"/>
      <w:bookmarkEnd w:id="44"/>
      <w:bookmarkStart w:id="45" w:name="_Toc265529381"/>
      <w:bookmarkEnd w:id="45"/>
      <w:bookmarkStart w:id="46" w:name="_Toc223715996"/>
      <w:bookmarkEnd w:id="46"/>
      <w:bookmarkStart w:id="47" w:name="_Toc241404200"/>
      <w:bookmarkEnd w:id="47"/>
      <w:bookmarkStart w:id="48" w:name="_Toc239145352"/>
      <w:bookmarkEnd w:id="48"/>
      <w:bookmarkStart w:id="49" w:name="_Toc22626"/>
      <w:bookmarkStart w:id="50" w:name="_Toc31985"/>
      <w:bookmarkStart w:id="51" w:name="_Toc27522"/>
      <w:r>
        <w:rPr>
          <w:rFonts w:hint="eastAsia" w:ascii="宋体" w:hAnsi="宋体" w:cs="宋体"/>
          <w:b/>
          <w:kern w:val="1"/>
          <w:szCs w:val="21"/>
          <w:highlight w:val="none"/>
        </w:rPr>
        <w:t>二、 采购文件</w:t>
      </w:r>
      <w:bookmarkEnd w:id="49"/>
      <w:bookmarkEnd w:id="50"/>
      <w:bookmarkEnd w:id="51"/>
    </w:p>
    <w:p w14:paraId="458093E0">
      <w:pPr>
        <w:tabs>
          <w:tab w:val="left" w:pos="420"/>
          <w:tab w:val="left" w:pos="540"/>
        </w:tabs>
        <w:spacing w:line="460" w:lineRule="exact"/>
        <w:rPr>
          <w:rFonts w:hint="eastAsia" w:ascii="宋体" w:hAnsi="宋体" w:cs="宋体"/>
          <w:kern w:val="1"/>
          <w:szCs w:val="21"/>
          <w:highlight w:val="none"/>
        </w:rPr>
      </w:pPr>
      <w:r>
        <w:rPr>
          <w:rFonts w:hint="eastAsia" w:ascii="宋体" w:hAnsi="宋体" w:cs="宋体"/>
          <w:kern w:val="1"/>
          <w:szCs w:val="21"/>
          <w:highlight w:val="none"/>
        </w:rPr>
        <w:t>5.采购文件由采购文件目录所列内容及相关资料组成。</w:t>
      </w:r>
    </w:p>
    <w:p w14:paraId="36B4EC08">
      <w:pPr>
        <w:tabs>
          <w:tab w:val="left" w:pos="420"/>
          <w:tab w:val="left" w:pos="540"/>
        </w:tabs>
        <w:spacing w:line="460" w:lineRule="exact"/>
        <w:rPr>
          <w:rFonts w:hint="eastAsia" w:ascii="宋体" w:hAnsi="宋体" w:cs="宋体"/>
          <w:kern w:val="1"/>
          <w:szCs w:val="21"/>
          <w:highlight w:val="none"/>
        </w:rPr>
      </w:pPr>
      <w:r>
        <w:rPr>
          <w:rFonts w:hint="eastAsia" w:ascii="宋体" w:hAnsi="宋体" w:cs="宋体"/>
          <w:kern w:val="1"/>
          <w:szCs w:val="21"/>
          <w:highlight w:val="none"/>
        </w:rPr>
        <w:t>6.采购文件的澄清</w:t>
      </w:r>
    </w:p>
    <w:p w14:paraId="0E50C922">
      <w:pPr>
        <w:spacing w:line="460" w:lineRule="exact"/>
        <w:ind w:firstLine="420" w:firstLineChars="200"/>
        <w:rPr>
          <w:rFonts w:hint="eastAsia" w:ascii="宋体" w:hAnsi="宋体" w:cs="宋体"/>
          <w:kern w:val="1"/>
          <w:szCs w:val="21"/>
          <w:highlight w:val="none"/>
        </w:rPr>
      </w:pPr>
      <w:r>
        <w:rPr>
          <w:rFonts w:hint="eastAsia" w:ascii="宋体" w:hAnsi="宋体" w:cs="宋体"/>
          <w:szCs w:val="21"/>
          <w:highlight w:val="none"/>
        </w:rPr>
        <w:t>投标供应商对采购文件如有疑点或未尽事宜要求澄清，或认为有必要进行说明或交流，可以在采购公告规定期限内，以书面形式向采购人提出质疑，采购人将用书面形式予以答复。如有必要，可将不说明问题来源的答复发给各有关投标供应商或召开答疑会。如果质疑期内未收到有关疑问，视为投标供应商完全同意采购文件所有条款，且对于采购文件相关表述以及未尽事宜如有争议，以采购人解释为准。</w:t>
      </w:r>
    </w:p>
    <w:p w14:paraId="18A918F5">
      <w:pPr>
        <w:tabs>
          <w:tab w:val="left" w:pos="420"/>
          <w:tab w:val="left" w:pos="540"/>
        </w:tabs>
        <w:spacing w:line="460" w:lineRule="exact"/>
        <w:rPr>
          <w:rFonts w:hint="eastAsia" w:ascii="宋体" w:hAnsi="宋体" w:cs="宋体"/>
          <w:kern w:val="1"/>
          <w:szCs w:val="21"/>
          <w:highlight w:val="none"/>
        </w:rPr>
      </w:pPr>
      <w:r>
        <w:rPr>
          <w:rFonts w:hint="eastAsia" w:ascii="宋体" w:hAnsi="宋体" w:cs="宋体"/>
          <w:kern w:val="1"/>
          <w:szCs w:val="21"/>
          <w:highlight w:val="none"/>
        </w:rPr>
        <w:t>7.采购文件的修改</w:t>
      </w:r>
    </w:p>
    <w:p w14:paraId="0F8A46E5">
      <w:pPr>
        <w:spacing w:line="440" w:lineRule="exact"/>
        <w:ind w:firstLine="420" w:firstLineChars="200"/>
        <w:jc w:val="left"/>
        <w:rPr>
          <w:rFonts w:hint="eastAsia" w:ascii="宋体" w:hAnsi="宋体" w:cs="宋体"/>
          <w:szCs w:val="21"/>
          <w:highlight w:val="none"/>
        </w:rPr>
      </w:pPr>
      <w:bookmarkStart w:id="52" w:name="_Toc30612"/>
      <w:bookmarkStart w:id="53" w:name="_Toc28764"/>
      <w:bookmarkStart w:id="54" w:name="_Toc24934"/>
      <w:bookmarkStart w:id="55" w:name="_Toc20312"/>
      <w:r>
        <w:rPr>
          <w:rFonts w:hint="eastAsia" w:ascii="宋体" w:hAnsi="宋体" w:cs="宋体"/>
          <w:szCs w:val="21"/>
          <w:highlight w:val="none"/>
        </w:rPr>
        <w:t>7.1采购单位如需对已发出的采购文件进行必要的澄清或者修改，如澄清或者修改的内容可能影响投标文件编制的，将在投标截止时间至少3日前，对采购文件以补充文件的方式进行修改，并在温州市阳光采购服务平台及温州市交通发展集团有限公司网站等发布更正公告，该澄清和修改的内容为采购文件的组成部分。不足3日的，采购人可以视采购具体情况顺延提交投标文件的截止时间，并在温州市阳光采购服务平台及温州市交通发展集团有限公司网站等发布更正公告，以通知所有获取采购文件的潜在投标供应商。</w:t>
      </w:r>
      <w:bookmarkEnd w:id="52"/>
      <w:bookmarkEnd w:id="53"/>
      <w:bookmarkEnd w:id="54"/>
      <w:bookmarkEnd w:id="55"/>
    </w:p>
    <w:p w14:paraId="1AD8685F">
      <w:pPr>
        <w:spacing w:line="440" w:lineRule="exact"/>
        <w:ind w:firstLine="420" w:firstLineChars="200"/>
        <w:rPr>
          <w:rFonts w:hint="eastAsia" w:ascii="宋体" w:hAnsi="宋体" w:cs="宋体"/>
          <w:szCs w:val="21"/>
          <w:highlight w:val="none"/>
        </w:rPr>
      </w:pPr>
      <w:bookmarkStart w:id="56" w:name="_Toc6283"/>
      <w:bookmarkStart w:id="57" w:name="_Toc22892"/>
      <w:bookmarkStart w:id="58" w:name="_Toc22751"/>
      <w:bookmarkStart w:id="59" w:name="_Toc11342"/>
      <w:r>
        <w:rPr>
          <w:rFonts w:hint="eastAsia" w:ascii="宋体" w:hAnsi="宋体" w:cs="宋体"/>
          <w:szCs w:val="21"/>
          <w:highlight w:val="none"/>
        </w:rPr>
        <w:t>7.2投标供应商收到澄清和修改的补充文件，无需回复确认已收到补充文件。当采购文件、采购文件的澄清、修改、补充等在同一内容的表述上不一致时，以最后发出的文件</w:t>
      </w:r>
      <w:bookmarkEnd w:id="56"/>
      <w:bookmarkEnd w:id="57"/>
      <w:bookmarkEnd w:id="58"/>
      <w:bookmarkStart w:id="60" w:name="_Toc5494"/>
      <w:bookmarkStart w:id="61" w:name="_Toc27128"/>
      <w:bookmarkStart w:id="62" w:name="_Toc15788"/>
      <w:r>
        <w:rPr>
          <w:rFonts w:hint="eastAsia" w:ascii="宋体" w:hAnsi="宋体" w:cs="宋体"/>
          <w:szCs w:val="21"/>
          <w:highlight w:val="none"/>
        </w:rPr>
        <w:t>为准。</w:t>
      </w:r>
      <w:bookmarkEnd w:id="59"/>
      <w:bookmarkEnd w:id="60"/>
      <w:bookmarkEnd w:id="61"/>
      <w:bookmarkEnd w:id="62"/>
    </w:p>
    <w:p w14:paraId="31B6841B">
      <w:pPr>
        <w:spacing w:line="440" w:lineRule="exact"/>
        <w:ind w:firstLine="420" w:firstLineChars="200"/>
        <w:jc w:val="left"/>
        <w:rPr>
          <w:rFonts w:hint="eastAsia" w:ascii="宋体" w:hAnsi="宋体" w:cs="宋体"/>
          <w:szCs w:val="21"/>
          <w:highlight w:val="none"/>
        </w:rPr>
      </w:pPr>
      <w:bookmarkStart w:id="63" w:name="_Toc17997"/>
      <w:bookmarkStart w:id="64" w:name="_Toc16281"/>
      <w:bookmarkStart w:id="65" w:name="_Toc1873"/>
      <w:bookmarkStart w:id="66" w:name="_Toc7451"/>
      <w:r>
        <w:rPr>
          <w:rFonts w:hint="eastAsia" w:ascii="宋体" w:hAnsi="宋体" w:cs="宋体"/>
          <w:szCs w:val="21"/>
          <w:highlight w:val="none"/>
        </w:rPr>
        <w:t>7.3本项目投标供应商须按采购公告要求获取采购文件，并按采购文件规定的时间、地点递交投标文件。投标供应商须在开标前自行查看是否有补充更正文件，并按补充更正文件要求投标，否则责任自负。</w:t>
      </w:r>
      <w:bookmarkEnd w:id="63"/>
      <w:bookmarkEnd w:id="64"/>
      <w:bookmarkEnd w:id="65"/>
      <w:bookmarkEnd w:id="66"/>
    </w:p>
    <w:p w14:paraId="37929F9F">
      <w:pPr>
        <w:spacing w:before="100" w:beforeAutospacing="1" w:after="100" w:afterAutospacing="1" w:line="440" w:lineRule="exact"/>
        <w:jc w:val="center"/>
        <w:rPr>
          <w:rFonts w:hint="eastAsia" w:ascii="宋体" w:hAnsi="宋体" w:cs="宋体"/>
          <w:b/>
          <w:kern w:val="1"/>
          <w:szCs w:val="21"/>
          <w:highlight w:val="none"/>
        </w:rPr>
      </w:pPr>
      <w:bookmarkStart w:id="67" w:name="_Toc221423618"/>
      <w:bookmarkEnd w:id="67"/>
      <w:bookmarkStart w:id="68" w:name="_Toc265529382"/>
      <w:bookmarkEnd w:id="68"/>
      <w:bookmarkStart w:id="69" w:name="_Toc221356950"/>
      <w:bookmarkEnd w:id="69"/>
      <w:bookmarkStart w:id="70" w:name="_Toc458603463"/>
      <w:bookmarkEnd w:id="70"/>
      <w:bookmarkStart w:id="71" w:name="_Toc222114878"/>
      <w:bookmarkEnd w:id="71"/>
      <w:bookmarkStart w:id="72" w:name="_Toc239145353"/>
      <w:bookmarkEnd w:id="72"/>
      <w:bookmarkStart w:id="73" w:name="_Toc221374625"/>
      <w:bookmarkEnd w:id="73"/>
      <w:bookmarkStart w:id="74" w:name="_Toc241404201"/>
      <w:bookmarkEnd w:id="74"/>
      <w:bookmarkStart w:id="75" w:name="_Toc223715997"/>
      <w:bookmarkEnd w:id="75"/>
      <w:bookmarkStart w:id="76" w:name="_Toc221356885"/>
      <w:bookmarkEnd w:id="76"/>
      <w:bookmarkStart w:id="77" w:name="_Toc22473"/>
      <w:bookmarkStart w:id="78" w:name="_Toc5578"/>
      <w:bookmarkStart w:id="79" w:name="_Toc11921"/>
      <w:r>
        <w:rPr>
          <w:rFonts w:hint="eastAsia" w:ascii="宋体" w:hAnsi="宋体" w:cs="宋体"/>
          <w:b/>
          <w:kern w:val="1"/>
          <w:szCs w:val="21"/>
          <w:highlight w:val="none"/>
        </w:rPr>
        <w:t>三、 投标文件的编制</w:t>
      </w:r>
      <w:bookmarkEnd w:id="77"/>
      <w:bookmarkEnd w:id="78"/>
      <w:bookmarkEnd w:id="79"/>
    </w:p>
    <w:p w14:paraId="7E67AAFD">
      <w:pPr>
        <w:tabs>
          <w:tab w:val="left" w:pos="420"/>
          <w:tab w:val="left" w:pos="540"/>
        </w:tabs>
        <w:spacing w:line="460" w:lineRule="exact"/>
        <w:rPr>
          <w:rFonts w:hint="eastAsia" w:ascii="宋体" w:hAnsi="宋体" w:cs="宋体"/>
          <w:kern w:val="1"/>
          <w:szCs w:val="21"/>
          <w:highlight w:val="none"/>
        </w:rPr>
      </w:pPr>
      <w:r>
        <w:rPr>
          <w:rFonts w:hint="eastAsia" w:ascii="宋体" w:hAnsi="宋体" w:cs="宋体"/>
          <w:kern w:val="1"/>
          <w:szCs w:val="21"/>
          <w:highlight w:val="none"/>
        </w:rPr>
        <w:t>8.投标供应商应认真阅读采购文件中所有事项格式、条款和技术规范等。投标供应商没有按照采购文件要求提交全部资料，或者没有对采购文件各个方面作出实质性响应，导致投标被拒绝的风险由投标供应商自行承担。</w:t>
      </w:r>
    </w:p>
    <w:p w14:paraId="404951BD">
      <w:pPr>
        <w:tabs>
          <w:tab w:val="left" w:pos="420"/>
          <w:tab w:val="left" w:pos="540"/>
        </w:tabs>
        <w:spacing w:line="460" w:lineRule="exact"/>
        <w:rPr>
          <w:rFonts w:hint="eastAsia" w:ascii="宋体" w:hAnsi="宋体" w:cs="宋体"/>
          <w:kern w:val="1"/>
          <w:szCs w:val="21"/>
          <w:highlight w:val="none"/>
        </w:rPr>
      </w:pPr>
      <w:r>
        <w:rPr>
          <w:rFonts w:hint="eastAsia" w:ascii="宋体" w:hAnsi="宋体" w:cs="宋体"/>
          <w:kern w:val="1"/>
          <w:szCs w:val="21"/>
          <w:highlight w:val="none"/>
        </w:rPr>
        <w:t>9.投标供应商法律责任</w:t>
      </w:r>
    </w:p>
    <w:p w14:paraId="1BD6D121">
      <w:pPr>
        <w:tabs>
          <w:tab w:val="left" w:pos="420"/>
          <w:tab w:val="left" w:pos="540"/>
        </w:tabs>
        <w:spacing w:line="460" w:lineRule="exact"/>
        <w:rPr>
          <w:rFonts w:hint="eastAsia" w:ascii="宋体" w:hAnsi="宋体" w:cs="宋体"/>
          <w:kern w:val="1"/>
          <w:szCs w:val="21"/>
          <w:highlight w:val="none"/>
        </w:rPr>
      </w:pPr>
      <w:r>
        <w:rPr>
          <w:rFonts w:hint="eastAsia" w:ascii="宋体" w:hAnsi="宋体" w:cs="宋体"/>
          <w:kern w:val="1"/>
          <w:szCs w:val="21"/>
          <w:highlight w:val="none"/>
        </w:rPr>
        <w:t xml:space="preserve">9.1 </w:t>
      </w:r>
      <w:r>
        <w:rPr>
          <w:rFonts w:hint="eastAsia" w:ascii="宋体" w:hAnsi="宋体" w:cs="宋体"/>
          <w:b/>
          <w:bCs/>
          <w:szCs w:val="21"/>
          <w:highlight w:val="none"/>
        </w:rPr>
        <w:t>▲</w:t>
      </w:r>
      <w:r>
        <w:rPr>
          <w:rFonts w:hint="eastAsia" w:ascii="宋体" w:hAnsi="宋体" w:cs="宋体"/>
          <w:kern w:val="1"/>
          <w:szCs w:val="21"/>
          <w:highlight w:val="none"/>
          <w:u w:val="single"/>
        </w:rPr>
        <w:t>投标供应商应保证所提供文件资料的真实性，所有文件资料必须是针对本次投标的。如发现投标供应商提供了虚假文件资料，其投标将被拒绝，并自行承担相应的法律责任。</w:t>
      </w:r>
    </w:p>
    <w:p w14:paraId="1289A2D2">
      <w:pPr>
        <w:tabs>
          <w:tab w:val="left" w:pos="420"/>
          <w:tab w:val="left" w:pos="540"/>
        </w:tabs>
        <w:spacing w:line="460" w:lineRule="exact"/>
        <w:rPr>
          <w:rFonts w:hint="eastAsia" w:ascii="宋体" w:hAnsi="宋体" w:cs="宋体"/>
          <w:kern w:val="1"/>
          <w:szCs w:val="21"/>
          <w:highlight w:val="none"/>
        </w:rPr>
      </w:pPr>
      <w:r>
        <w:rPr>
          <w:rFonts w:hint="eastAsia" w:ascii="宋体" w:hAnsi="宋体" w:cs="宋体"/>
          <w:kern w:val="1"/>
          <w:szCs w:val="21"/>
          <w:highlight w:val="none"/>
        </w:rPr>
        <w:t>10.投标文件的构成：</w:t>
      </w:r>
    </w:p>
    <w:p w14:paraId="100C066B">
      <w:pPr>
        <w:tabs>
          <w:tab w:val="left" w:pos="360"/>
        </w:tabs>
        <w:spacing w:line="460" w:lineRule="exact"/>
        <w:rPr>
          <w:rFonts w:hint="eastAsia" w:ascii="宋体" w:hAnsi="宋体" w:cs="宋体"/>
          <w:b/>
          <w:kern w:val="1"/>
          <w:szCs w:val="21"/>
          <w:highlight w:val="none"/>
        </w:rPr>
      </w:pPr>
      <w:r>
        <w:rPr>
          <w:rFonts w:hint="eastAsia" w:ascii="宋体" w:hAnsi="宋体" w:cs="宋体"/>
          <w:b/>
          <w:bCs/>
          <w:szCs w:val="21"/>
          <w:highlight w:val="none"/>
        </w:rPr>
        <w:t>10.1</w:t>
      </w:r>
      <w:r>
        <w:rPr>
          <w:rFonts w:hint="eastAsia" w:ascii="宋体" w:hAnsi="宋体" w:cs="宋体"/>
          <w:b/>
          <w:bCs/>
          <w:szCs w:val="21"/>
          <w:highlight w:val="none"/>
          <w:u w:val="single"/>
        </w:rPr>
        <w:t>▲投标文件由资格证明文件、商务技术文件和报价文件三部分构成：</w:t>
      </w:r>
    </w:p>
    <w:p w14:paraId="1793E1F0">
      <w:pPr>
        <w:numPr>
          <w:ilvl w:val="0"/>
          <w:numId w:val="6"/>
        </w:numPr>
        <w:spacing w:line="430" w:lineRule="exact"/>
        <w:ind w:left="187" w:hanging="9"/>
        <w:rPr>
          <w:rFonts w:hint="eastAsia" w:ascii="宋体" w:hAnsi="宋体" w:cs="宋体"/>
          <w:b/>
          <w:kern w:val="1"/>
          <w:szCs w:val="21"/>
          <w:highlight w:val="none"/>
        </w:rPr>
      </w:pPr>
      <w:r>
        <w:rPr>
          <w:rFonts w:hint="eastAsia" w:ascii="宋体" w:hAnsi="宋体" w:cs="宋体"/>
          <w:b/>
          <w:kern w:val="1"/>
          <w:szCs w:val="21"/>
          <w:highlight w:val="none"/>
        </w:rPr>
        <w:t>资格证明文件</w:t>
      </w:r>
    </w:p>
    <w:p w14:paraId="3F9AF10D">
      <w:pPr>
        <w:pStyle w:val="14"/>
        <w:rPr>
          <w:rFonts w:hint="eastAsia"/>
          <w:highlight w:val="none"/>
        </w:rPr>
      </w:pPr>
    </w:p>
    <w:tbl>
      <w:tblPr>
        <w:tblStyle w:val="35"/>
        <w:tblW w:w="9360" w:type="dxa"/>
        <w:tblInd w:w="108" w:type="dxa"/>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Layout w:type="fixed"/>
        <w:tblCellMar>
          <w:top w:w="0" w:type="dxa"/>
          <w:left w:w="108" w:type="dxa"/>
          <w:bottom w:w="0" w:type="dxa"/>
          <w:right w:w="108" w:type="dxa"/>
        </w:tblCellMar>
      </w:tblPr>
      <w:tblGrid>
        <w:gridCol w:w="720"/>
        <w:gridCol w:w="6994"/>
        <w:gridCol w:w="1646"/>
      </w:tblGrid>
      <w:tr w14:paraId="75F9AFC8">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23"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1793AFC8">
            <w:pPr>
              <w:jc w:val="center"/>
              <w:rPr>
                <w:rFonts w:hint="eastAsia" w:ascii="宋体" w:hAnsi="宋体" w:eastAsia="宋体" w:cs="宋体"/>
                <w:b/>
                <w:kern w:val="1"/>
                <w:szCs w:val="21"/>
                <w:highlight w:val="none"/>
              </w:rPr>
            </w:pPr>
            <w:r>
              <w:rPr>
                <w:rFonts w:hint="eastAsia" w:ascii="宋体" w:hAnsi="宋体" w:eastAsia="宋体" w:cs="宋体"/>
                <w:b/>
                <w:kern w:val="1"/>
                <w:szCs w:val="21"/>
                <w:highlight w:val="none"/>
              </w:rPr>
              <w:t>序号</w:t>
            </w:r>
          </w:p>
        </w:tc>
        <w:tc>
          <w:tcPr>
            <w:tcW w:w="6994" w:type="dxa"/>
            <w:tcBorders>
              <w:top w:val="single" w:color="auto" w:sz="4" w:space="0"/>
              <w:left w:val="single" w:color="auto" w:sz="4" w:space="0"/>
              <w:bottom w:val="single" w:color="auto" w:sz="4" w:space="0"/>
              <w:right w:val="single" w:color="auto" w:sz="4" w:space="0"/>
            </w:tcBorders>
            <w:noWrap w:val="0"/>
            <w:vAlign w:val="center"/>
          </w:tcPr>
          <w:p w14:paraId="08DBED2F">
            <w:pPr>
              <w:jc w:val="center"/>
              <w:rPr>
                <w:rFonts w:hint="eastAsia" w:ascii="宋体" w:hAnsi="宋体" w:eastAsia="宋体" w:cs="宋体"/>
                <w:b/>
                <w:kern w:val="1"/>
                <w:szCs w:val="21"/>
                <w:highlight w:val="none"/>
              </w:rPr>
            </w:pPr>
            <w:r>
              <w:rPr>
                <w:rFonts w:hint="eastAsia" w:ascii="宋体" w:hAnsi="宋体" w:eastAsia="宋体" w:cs="宋体"/>
                <w:b/>
                <w:kern w:val="1"/>
                <w:szCs w:val="21"/>
                <w:highlight w:val="none"/>
              </w:rPr>
              <w:t>内容</w:t>
            </w:r>
          </w:p>
        </w:tc>
        <w:tc>
          <w:tcPr>
            <w:tcW w:w="1646" w:type="dxa"/>
            <w:tcBorders>
              <w:top w:val="single" w:color="auto" w:sz="4" w:space="0"/>
              <w:left w:val="single" w:color="auto" w:sz="4" w:space="0"/>
              <w:bottom w:val="single" w:color="auto" w:sz="4" w:space="0"/>
              <w:right w:val="single" w:color="auto" w:sz="4" w:space="0"/>
            </w:tcBorders>
            <w:noWrap w:val="0"/>
            <w:vAlign w:val="center"/>
          </w:tcPr>
          <w:p w14:paraId="35991042">
            <w:pPr>
              <w:jc w:val="center"/>
              <w:rPr>
                <w:rFonts w:hint="eastAsia" w:ascii="宋体" w:hAnsi="宋体" w:eastAsia="宋体" w:cs="宋体"/>
                <w:kern w:val="1"/>
                <w:szCs w:val="21"/>
                <w:highlight w:val="none"/>
              </w:rPr>
            </w:pPr>
            <w:r>
              <w:rPr>
                <w:rFonts w:hint="eastAsia" w:ascii="宋体" w:hAnsi="宋体" w:eastAsia="宋体" w:cs="宋体"/>
                <w:b/>
                <w:bCs/>
                <w:kern w:val="1"/>
                <w:szCs w:val="21"/>
                <w:highlight w:val="none"/>
              </w:rPr>
              <w:t>备注</w:t>
            </w:r>
          </w:p>
        </w:tc>
      </w:tr>
      <w:tr w14:paraId="259336D4">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50"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1116221B">
            <w:pPr>
              <w:jc w:val="center"/>
              <w:rPr>
                <w:rFonts w:hint="eastAsia" w:ascii="宋体" w:hAnsi="宋体" w:eastAsia="宋体" w:cs="宋体"/>
                <w:b/>
                <w:kern w:val="1"/>
                <w:szCs w:val="21"/>
                <w:highlight w:val="none"/>
              </w:rPr>
            </w:pPr>
            <w:r>
              <w:rPr>
                <w:rFonts w:hint="eastAsia" w:ascii="宋体" w:hAnsi="宋体" w:eastAsia="宋体" w:cs="宋体"/>
                <w:b/>
                <w:kern w:val="1"/>
                <w:szCs w:val="21"/>
                <w:highlight w:val="none"/>
              </w:rPr>
              <w:t>一</w:t>
            </w:r>
          </w:p>
        </w:tc>
        <w:tc>
          <w:tcPr>
            <w:tcW w:w="6994" w:type="dxa"/>
            <w:tcBorders>
              <w:top w:val="single" w:color="auto" w:sz="4" w:space="0"/>
              <w:left w:val="single" w:color="auto" w:sz="4" w:space="0"/>
              <w:bottom w:val="single" w:color="auto" w:sz="4" w:space="0"/>
              <w:right w:val="single" w:color="auto" w:sz="4" w:space="0"/>
            </w:tcBorders>
            <w:noWrap w:val="0"/>
            <w:vAlign w:val="center"/>
          </w:tcPr>
          <w:p w14:paraId="0677BF25">
            <w:pPr>
              <w:rPr>
                <w:rFonts w:hint="eastAsia" w:ascii="宋体" w:hAnsi="宋体" w:eastAsia="宋体" w:cs="宋体"/>
                <w:b/>
                <w:kern w:val="1"/>
                <w:szCs w:val="21"/>
                <w:highlight w:val="none"/>
              </w:rPr>
            </w:pPr>
            <w:r>
              <w:rPr>
                <w:rFonts w:hint="eastAsia" w:ascii="宋体" w:hAnsi="宋体" w:eastAsia="宋体" w:cs="宋体"/>
                <w:kern w:val="1"/>
                <w:szCs w:val="21"/>
                <w:highlight w:val="none"/>
                <w:u w:val="single"/>
              </w:rPr>
              <w:t>▲资格证明文件</w:t>
            </w:r>
          </w:p>
        </w:tc>
        <w:tc>
          <w:tcPr>
            <w:tcW w:w="1646" w:type="dxa"/>
            <w:tcBorders>
              <w:top w:val="single" w:color="auto" w:sz="4" w:space="0"/>
              <w:left w:val="single" w:color="auto" w:sz="4" w:space="0"/>
              <w:bottom w:val="single" w:color="auto" w:sz="4" w:space="0"/>
              <w:right w:val="single" w:color="auto" w:sz="4" w:space="0"/>
            </w:tcBorders>
            <w:noWrap w:val="0"/>
            <w:vAlign w:val="center"/>
          </w:tcPr>
          <w:p w14:paraId="65F71B14">
            <w:pPr>
              <w:jc w:val="center"/>
              <w:rPr>
                <w:rFonts w:hint="eastAsia" w:ascii="宋体" w:hAnsi="宋体" w:eastAsia="宋体" w:cs="宋体"/>
                <w:b/>
                <w:bCs/>
                <w:kern w:val="1"/>
                <w:szCs w:val="21"/>
                <w:highlight w:val="none"/>
              </w:rPr>
            </w:pPr>
          </w:p>
        </w:tc>
      </w:tr>
      <w:tr w14:paraId="52AF798D">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23"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681D56DA">
            <w:pPr>
              <w:jc w:val="center"/>
              <w:rPr>
                <w:rFonts w:hint="eastAsia" w:ascii="宋体" w:hAnsi="宋体" w:eastAsia="宋体" w:cs="宋体"/>
                <w:b/>
                <w:kern w:val="1"/>
                <w:szCs w:val="21"/>
                <w:highlight w:val="none"/>
              </w:rPr>
            </w:pPr>
            <w:r>
              <w:rPr>
                <w:rFonts w:hint="eastAsia" w:ascii="宋体" w:hAnsi="宋体" w:eastAsia="宋体" w:cs="宋体"/>
                <w:b/>
                <w:kern w:val="1"/>
                <w:szCs w:val="21"/>
                <w:highlight w:val="none"/>
              </w:rPr>
              <w:t>1</w:t>
            </w:r>
          </w:p>
        </w:tc>
        <w:tc>
          <w:tcPr>
            <w:tcW w:w="6994" w:type="dxa"/>
            <w:tcBorders>
              <w:top w:val="single" w:color="auto" w:sz="4" w:space="0"/>
              <w:left w:val="single" w:color="auto" w:sz="4" w:space="0"/>
              <w:bottom w:val="single" w:color="auto" w:sz="4" w:space="0"/>
              <w:right w:val="single" w:color="auto" w:sz="4" w:space="0"/>
            </w:tcBorders>
            <w:noWrap w:val="0"/>
            <w:vAlign w:val="center"/>
          </w:tcPr>
          <w:p w14:paraId="26F5BBD7">
            <w:pPr>
              <w:rPr>
                <w:rFonts w:hint="eastAsia" w:ascii="宋体" w:hAnsi="宋体" w:eastAsia="宋体" w:cs="宋体"/>
                <w:b/>
                <w:kern w:val="1"/>
                <w:szCs w:val="21"/>
                <w:highlight w:val="none"/>
              </w:rPr>
            </w:pPr>
            <w:r>
              <w:rPr>
                <w:rFonts w:hint="eastAsia" w:ascii="宋体" w:hAnsi="宋体" w:eastAsia="宋体" w:cs="宋体"/>
                <w:kern w:val="1"/>
                <w:szCs w:val="21"/>
                <w:highlight w:val="none"/>
                <w:u w:val="single"/>
              </w:rPr>
              <w:t>▲法定代表人授权书（授权代表参加投标时提供）或法定代表人（法定负责人）资格证明书（如法定代表人参加投标时提供）</w:t>
            </w:r>
          </w:p>
        </w:tc>
        <w:tc>
          <w:tcPr>
            <w:tcW w:w="1646" w:type="dxa"/>
            <w:tcBorders>
              <w:top w:val="single" w:color="auto" w:sz="4" w:space="0"/>
              <w:left w:val="single" w:color="auto" w:sz="4" w:space="0"/>
              <w:bottom w:val="single" w:color="auto" w:sz="4" w:space="0"/>
              <w:right w:val="single" w:color="auto" w:sz="4" w:space="0"/>
            </w:tcBorders>
            <w:noWrap w:val="0"/>
            <w:vAlign w:val="center"/>
          </w:tcPr>
          <w:p w14:paraId="62087083">
            <w:pPr>
              <w:jc w:val="center"/>
              <w:rPr>
                <w:rFonts w:hint="eastAsia" w:ascii="宋体" w:hAnsi="宋体" w:eastAsia="宋体" w:cs="宋体"/>
                <w:b/>
                <w:bCs/>
                <w:kern w:val="1"/>
                <w:szCs w:val="21"/>
                <w:highlight w:val="none"/>
              </w:rPr>
            </w:pPr>
            <w:r>
              <w:rPr>
                <w:rFonts w:hint="eastAsia" w:ascii="宋体" w:hAnsi="宋体" w:eastAsia="宋体" w:cs="宋体"/>
                <w:kern w:val="1"/>
                <w:szCs w:val="21"/>
                <w:highlight w:val="none"/>
              </w:rPr>
              <w:t>附件一</w:t>
            </w:r>
          </w:p>
        </w:tc>
      </w:tr>
      <w:tr w14:paraId="3E2F69A8">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23"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38F541A8">
            <w:pPr>
              <w:jc w:val="center"/>
              <w:rPr>
                <w:rFonts w:hint="eastAsia" w:ascii="宋体" w:hAnsi="宋体" w:eastAsia="宋体" w:cs="宋体"/>
                <w:b/>
                <w:kern w:val="1"/>
                <w:szCs w:val="21"/>
                <w:highlight w:val="none"/>
              </w:rPr>
            </w:pPr>
            <w:r>
              <w:rPr>
                <w:rFonts w:hint="eastAsia" w:ascii="宋体" w:hAnsi="宋体" w:eastAsia="宋体" w:cs="宋体"/>
                <w:b/>
                <w:kern w:val="1"/>
                <w:szCs w:val="21"/>
                <w:highlight w:val="none"/>
              </w:rPr>
              <w:t>2</w:t>
            </w:r>
          </w:p>
        </w:tc>
        <w:tc>
          <w:tcPr>
            <w:tcW w:w="6994" w:type="dxa"/>
            <w:tcBorders>
              <w:top w:val="single" w:color="auto" w:sz="4" w:space="0"/>
              <w:left w:val="single" w:color="auto" w:sz="4" w:space="0"/>
              <w:bottom w:val="single" w:color="auto" w:sz="4" w:space="0"/>
              <w:right w:val="single" w:color="auto" w:sz="4" w:space="0"/>
            </w:tcBorders>
            <w:noWrap w:val="0"/>
            <w:vAlign w:val="center"/>
          </w:tcPr>
          <w:p w14:paraId="306D8C43">
            <w:pPr>
              <w:rPr>
                <w:rFonts w:hint="eastAsia" w:ascii="宋体" w:hAnsi="宋体" w:eastAsia="宋体" w:cs="宋体"/>
                <w:b/>
                <w:kern w:val="1"/>
                <w:szCs w:val="21"/>
                <w:highlight w:val="none"/>
              </w:rPr>
            </w:pPr>
            <w:r>
              <w:rPr>
                <w:rFonts w:hint="eastAsia" w:ascii="宋体" w:hAnsi="宋体" w:eastAsia="宋体" w:cs="宋体"/>
                <w:kern w:val="1"/>
                <w:szCs w:val="21"/>
                <w:highlight w:val="none"/>
                <w:u w:val="single"/>
              </w:rPr>
              <w:t>▲企业法人有效营业执照（或法人登记证书）复印件或扫描件加盖单位公章</w:t>
            </w:r>
          </w:p>
        </w:tc>
        <w:tc>
          <w:tcPr>
            <w:tcW w:w="1646" w:type="dxa"/>
            <w:tcBorders>
              <w:top w:val="single" w:color="auto" w:sz="4" w:space="0"/>
              <w:left w:val="single" w:color="auto" w:sz="4" w:space="0"/>
              <w:bottom w:val="single" w:color="auto" w:sz="4" w:space="0"/>
              <w:right w:val="single" w:color="auto" w:sz="4" w:space="0"/>
            </w:tcBorders>
            <w:noWrap w:val="0"/>
            <w:vAlign w:val="center"/>
          </w:tcPr>
          <w:p w14:paraId="3DEDE747">
            <w:pPr>
              <w:jc w:val="center"/>
              <w:rPr>
                <w:rFonts w:hint="eastAsia" w:ascii="宋体" w:hAnsi="宋体" w:eastAsia="宋体" w:cs="宋体"/>
                <w:b/>
                <w:bCs/>
                <w:kern w:val="1"/>
                <w:szCs w:val="21"/>
                <w:highlight w:val="none"/>
              </w:rPr>
            </w:pPr>
            <w:r>
              <w:rPr>
                <w:rFonts w:hint="eastAsia" w:ascii="宋体" w:hAnsi="宋体" w:eastAsia="宋体" w:cs="宋体"/>
                <w:kern w:val="1"/>
                <w:szCs w:val="21"/>
                <w:highlight w:val="none"/>
              </w:rPr>
              <w:t>附件二</w:t>
            </w:r>
          </w:p>
        </w:tc>
      </w:tr>
      <w:tr w14:paraId="78C656B8">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23"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396FE0AF">
            <w:pPr>
              <w:jc w:val="center"/>
              <w:rPr>
                <w:rFonts w:hint="eastAsia" w:ascii="宋体" w:hAnsi="宋体" w:eastAsia="宋体" w:cs="宋体"/>
                <w:b/>
                <w:kern w:val="1"/>
                <w:szCs w:val="21"/>
                <w:highlight w:val="none"/>
              </w:rPr>
            </w:pPr>
            <w:r>
              <w:rPr>
                <w:rFonts w:hint="eastAsia" w:ascii="宋体" w:hAnsi="宋体" w:eastAsia="宋体" w:cs="宋体"/>
                <w:b/>
                <w:kern w:val="1"/>
                <w:szCs w:val="21"/>
                <w:highlight w:val="none"/>
              </w:rPr>
              <w:t>3</w:t>
            </w:r>
          </w:p>
        </w:tc>
        <w:tc>
          <w:tcPr>
            <w:tcW w:w="6994" w:type="dxa"/>
            <w:tcBorders>
              <w:top w:val="single" w:color="auto" w:sz="4" w:space="0"/>
              <w:left w:val="single" w:color="auto" w:sz="4" w:space="0"/>
              <w:bottom w:val="single" w:color="auto" w:sz="4" w:space="0"/>
              <w:right w:val="single" w:color="auto" w:sz="4" w:space="0"/>
            </w:tcBorders>
            <w:noWrap w:val="0"/>
            <w:vAlign w:val="center"/>
          </w:tcPr>
          <w:p w14:paraId="6424711B">
            <w:pPr>
              <w:rPr>
                <w:rFonts w:hint="eastAsia" w:ascii="宋体" w:hAnsi="宋体" w:eastAsia="宋体" w:cs="宋体"/>
                <w:b/>
                <w:kern w:val="1"/>
                <w:szCs w:val="21"/>
                <w:highlight w:val="none"/>
              </w:rPr>
            </w:pPr>
            <w:r>
              <w:rPr>
                <w:rFonts w:hint="eastAsia" w:ascii="宋体" w:hAnsi="宋体" w:eastAsia="宋体" w:cs="宋体"/>
                <w:kern w:val="1"/>
                <w:szCs w:val="21"/>
                <w:highlight w:val="none"/>
                <w:u w:val="single"/>
              </w:rPr>
              <w:t>▲符合参加国企采购活动应当具备的条件的承诺函</w:t>
            </w:r>
          </w:p>
        </w:tc>
        <w:tc>
          <w:tcPr>
            <w:tcW w:w="1646" w:type="dxa"/>
            <w:tcBorders>
              <w:top w:val="single" w:color="auto" w:sz="4" w:space="0"/>
              <w:left w:val="single" w:color="auto" w:sz="4" w:space="0"/>
              <w:bottom w:val="single" w:color="auto" w:sz="4" w:space="0"/>
              <w:right w:val="single" w:color="auto" w:sz="4" w:space="0"/>
            </w:tcBorders>
            <w:noWrap w:val="0"/>
            <w:vAlign w:val="center"/>
          </w:tcPr>
          <w:p w14:paraId="611D9DA7">
            <w:pPr>
              <w:jc w:val="center"/>
              <w:rPr>
                <w:rFonts w:hint="eastAsia" w:ascii="宋体" w:hAnsi="宋体" w:eastAsia="宋体" w:cs="宋体"/>
                <w:b/>
                <w:bCs/>
                <w:kern w:val="1"/>
                <w:szCs w:val="21"/>
                <w:highlight w:val="none"/>
              </w:rPr>
            </w:pPr>
            <w:r>
              <w:rPr>
                <w:rFonts w:hint="eastAsia" w:ascii="宋体" w:hAnsi="宋体" w:eastAsia="宋体" w:cs="宋体"/>
                <w:kern w:val="1"/>
                <w:szCs w:val="21"/>
                <w:highlight w:val="none"/>
              </w:rPr>
              <w:t>附件三</w:t>
            </w:r>
          </w:p>
        </w:tc>
      </w:tr>
      <w:tr w14:paraId="748FA5BE">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23"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651F7F89">
            <w:pPr>
              <w:jc w:val="center"/>
              <w:rPr>
                <w:rFonts w:hint="eastAsia" w:ascii="宋体" w:hAnsi="宋体" w:eastAsia="宋体" w:cs="宋体"/>
                <w:b/>
                <w:kern w:val="1"/>
                <w:szCs w:val="21"/>
                <w:highlight w:val="none"/>
              </w:rPr>
            </w:pPr>
            <w:r>
              <w:rPr>
                <w:rFonts w:hint="eastAsia" w:ascii="宋体" w:hAnsi="宋体" w:eastAsia="宋体" w:cs="宋体"/>
                <w:b/>
                <w:kern w:val="1"/>
                <w:szCs w:val="21"/>
                <w:highlight w:val="none"/>
              </w:rPr>
              <w:t>4</w:t>
            </w:r>
          </w:p>
        </w:tc>
        <w:tc>
          <w:tcPr>
            <w:tcW w:w="6994" w:type="dxa"/>
            <w:tcBorders>
              <w:top w:val="single" w:color="auto" w:sz="4" w:space="0"/>
              <w:left w:val="single" w:color="auto" w:sz="4" w:space="0"/>
              <w:bottom w:val="single" w:color="auto" w:sz="4" w:space="0"/>
              <w:right w:val="single" w:color="auto" w:sz="4" w:space="0"/>
            </w:tcBorders>
            <w:noWrap w:val="0"/>
            <w:vAlign w:val="center"/>
          </w:tcPr>
          <w:p w14:paraId="10F8F6BB">
            <w:pPr>
              <w:rPr>
                <w:rFonts w:hint="eastAsia" w:ascii="宋体" w:hAnsi="宋体" w:eastAsia="宋体" w:cs="宋体"/>
                <w:b/>
                <w:kern w:val="1"/>
                <w:szCs w:val="21"/>
                <w:highlight w:val="none"/>
              </w:rPr>
            </w:pPr>
            <w:r>
              <w:rPr>
                <w:rFonts w:hint="eastAsia" w:ascii="宋体" w:hAnsi="宋体" w:eastAsia="宋体" w:cs="宋体"/>
                <w:kern w:val="1"/>
                <w:szCs w:val="21"/>
                <w:highlight w:val="none"/>
                <w:u w:val="single"/>
              </w:rPr>
              <w:t>▲单位负责人为同一人或者存在直接控股、管理关系的不同供应商，不得参加同一合同项下的采购活动承诺函</w:t>
            </w:r>
          </w:p>
        </w:tc>
        <w:tc>
          <w:tcPr>
            <w:tcW w:w="1646" w:type="dxa"/>
            <w:tcBorders>
              <w:top w:val="single" w:color="auto" w:sz="4" w:space="0"/>
              <w:left w:val="single" w:color="auto" w:sz="4" w:space="0"/>
              <w:bottom w:val="single" w:color="auto" w:sz="4" w:space="0"/>
              <w:right w:val="single" w:color="auto" w:sz="4" w:space="0"/>
            </w:tcBorders>
            <w:noWrap w:val="0"/>
            <w:vAlign w:val="center"/>
          </w:tcPr>
          <w:p w14:paraId="29F5B9CB">
            <w:pPr>
              <w:jc w:val="center"/>
              <w:rPr>
                <w:rFonts w:hint="eastAsia" w:ascii="宋体" w:hAnsi="宋体" w:eastAsia="宋体" w:cs="宋体"/>
                <w:b/>
                <w:bCs/>
                <w:kern w:val="1"/>
                <w:szCs w:val="21"/>
                <w:highlight w:val="none"/>
              </w:rPr>
            </w:pPr>
            <w:r>
              <w:rPr>
                <w:rFonts w:hint="eastAsia" w:ascii="宋体" w:hAnsi="宋体" w:eastAsia="宋体" w:cs="宋体"/>
                <w:kern w:val="1"/>
                <w:szCs w:val="21"/>
                <w:highlight w:val="none"/>
              </w:rPr>
              <w:t>附件四</w:t>
            </w:r>
          </w:p>
        </w:tc>
      </w:tr>
      <w:tr w14:paraId="43953EC0">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23"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7CA50255">
            <w:pPr>
              <w:jc w:val="center"/>
              <w:rPr>
                <w:rFonts w:ascii="宋体" w:hAnsi="宋体" w:eastAsia="宋体" w:cs="宋体"/>
                <w:b/>
                <w:kern w:val="1"/>
                <w:szCs w:val="21"/>
                <w:highlight w:val="none"/>
              </w:rPr>
            </w:pPr>
            <w:r>
              <w:rPr>
                <w:rFonts w:hint="eastAsia" w:ascii="宋体" w:hAnsi="宋体" w:eastAsia="宋体" w:cs="宋体"/>
                <w:b/>
                <w:kern w:val="1"/>
                <w:szCs w:val="21"/>
                <w:highlight w:val="none"/>
              </w:rPr>
              <w:t>5</w:t>
            </w:r>
          </w:p>
        </w:tc>
        <w:tc>
          <w:tcPr>
            <w:tcW w:w="6994" w:type="dxa"/>
            <w:tcBorders>
              <w:top w:val="single" w:color="auto" w:sz="4" w:space="0"/>
              <w:left w:val="single" w:color="auto" w:sz="4" w:space="0"/>
              <w:bottom w:val="single" w:color="auto" w:sz="4" w:space="0"/>
              <w:right w:val="single" w:color="auto" w:sz="4" w:space="0"/>
            </w:tcBorders>
            <w:noWrap w:val="0"/>
            <w:vAlign w:val="center"/>
          </w:tcPr>
          <w:p w14:paraId="27E9C5B1">
            <w:pPr>
              <w:rPr>
                <w:rFonts w:hint="eastAsia" w:ascii="宋体" w:hAnsi="宋体" w:eastAsia="宋体" w:cs="宋体"/>
                <w:b/>
                <w:kern w:val="1"/>
                <w:szCs w:val="21"/>
                <w:highlight w:val="none"/>
              </w:rPr>
            </w:pPr>
            <w:r>
              <w:rPr>
                <w:rFonts w:hint="eastAsia" w:ascii="宋体" w:hAnsi="宋体" w:eastAsia="宋体" w:cs="宋体"/>
                <w:kern w:val="1"/>
                <w:szCs w:val="21"/>
                <w:highlight w:val="none"/>
                <w:u w:val="single"/>
              </w:rPr>
              <w:t>▲投标供应商没有失信记录承诺函（以采购人或代理机构投标截止当天查询结果为准）</w:t>
            </w:r>
          </w:p>
        </w:tc>
        <w:tc>
          <w:tcPr>
            <w:tcW w:w="1646" w:type="dxa"/>
            <w:tcBorders>
              <w:top w:val="single" w:color="auto" w:sz="4" w:space="0"/>
              <w:left w:val="single" w:color="auto" w:sz="4" w:space="0"/>
              <w:bottom w:val="single" w:color="auto" w:sz="4" w:space="0"/>
              <w:right w:val="single" w:color="auto" w:sz="4" w:space="0"/>
            </w:tcBorders>
            <w:noWrap w:val="0"/>
            <w:vAlign w:val="center"/>
          </w:tcPr>
          <w:p w14:paraId="138DED75">
            <w:pPr>
              <w:jc w:val="center"/>
              <w:rPr>
                <w:rFonts w:hint="eastAsia" w:ascii="宋体" w:hAnsi="宋体" w:eastAsia="宋体" w:cs="宋体"/>
                <w:b/>
                <w:bCs/>
                <w:kern w:val="1"/>
                <w:szCs w:val="21"/>
                <w:highlight w:val="none"/>
              </w:rPr>
            </w:pPr>
            <w:r>
              <w:rPr>
                <w:rFonts w:hint="eastAsia" w:ascii="宋体" w:hAnsi="宋体" w:eastAsia="宋体" w:cs="宋体"/>
                <w:kern w:val="1"/>
                <w:szCs w:val="21"/>
                <w:highlight w:val="none"/>
              </w:rPr>
              <w:t>附件五</w:t>
            </w:r>
          </w:p>
        </w:tc>
      </w:tr>
      <w:tr w14:paraId="2C5B5D8E">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23"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3DE3E2FE">
            <w:pPr>
              <w:jc w:val="center"/>
              <w:rPr>
                <w:rFonts w:hint="eastAsia" w:ascii="宋体" w:hAnsi="宋体" w:eastAsia="宋体" w:cs="宋体"/>
                <w:b/>
                <w:kern w:val="1"/>
                <w:szCs w:val="21"/>
                <w:highlight w:val="none"/>
              </w:rPr>
            </w:pPr>
            <w:r>
              <w:rPr>
                <w:rFonts w:hint="eastAsia" w:ascii="宋体" w:hAnsi="宋体" w:eastAsia="宋体" w:cs="宋体"/>
                <w:b/>
                <w:kern w:val="1"/>
                <w:szCs w:val="21"/>
                <w:highlight w:val="none"/>
              </w:rPr>
              <w:t>6</w:t>
            </w:r>
          </w:p>
        </w:tc>
        <w:tc>
          <w:tcPr>
            <w:tcW w:w="6994" w:type="dxa"/>
            <w:tcBorders>
              <w:top w:val="single" w:color="auto" w:sz="4" w:space="0"/>
              <w:left w:val="single" w:color="auto" w:sz="4" w:space="0"/>
              <w:bottom w:val="single" w:color="auto" w:sz="4" w:space="0"/>
              <w:right w:val="single" w:color="auto" w:sz="4" w:space="0"/>
            </w:tcBorders>
            <w:noWrap w:val="0"/>
            <w:vAlign w:val="center"/>
          </w:tcPr>
          <w:p w14:paraId="079EA353">
            <w:pPr>
              <w:rPr>
                <w:rFonts w:hint="eastAsia" w:ascii="宋体" w:hAnsi="宋体" w:eastAsia="宋体" w:cs="宋体"/>
                <w:kern w:val="1"/>
                <w:szCs w:val="21"/>
                <w:highlight w:val="none"/>
                <w:u w:val="single"/>
              </w:rPr>
            </w:pPr>
            <w:r>
              <w:rPr>
                <w:rFonts w:hint="eastAsia" w:ascii="宋体" w:hAnsi="宋体" w:eastAsia="宋体" w:cs="宋体"/>
                <w:kern w:val="1"/>
                <w:szCs w:val="21"/>
                <w:highlight w:val="none"/>
                <w:u w:val="single"/>
              </w:rPr>
              <w:t>投标保证金缴纳凭证复印件或扫描件加盖单位公章</w:t>
            </w:r>
          </w:p>
        </w:tc>
        <w:tc>
          <w:tcPr>
            <w:tcW w:w="1646" w:type="dxa"/>
            <w:tcBorders>
              <w:top w:val="single" w:color="auto" w:sz="4" w:space="0"/>
              <w:left w:val="single" w:color="auto" w:sz="4" w:space="0"/>
              <w:bottom w:val="single" w:color="auto" w:sz="4" w:space="0"/>
              <w:right w:val="single" w:color="auto" w:sz="4" w:space="0"/>
            </w:tcBorders>
            <w:noWrap w:val="0"/>
            <w:vAlign w:val="center"/>
          </w:tcPr>
          <w:p w14:paraId="267E064D">
            <w:pPr>
              <w:jc w:val="center"/>
              <w:rPr>
                <w:rFonts w:hint="eastAsia" w:ascii="宋体" w:hAnsi="宋体" w:eastAsia="宋体" w:cs="宋体"/>
                <w:kern w:val="1"/>
                <w:szCs w:val="21"/>
                <w:highlight w:val="none"/>
              </w:rPr>
            </w:pPr>
            <w:r>
              <w:rPr>
                <w:rFonts w:hint="eastAsia" w:ascii="宋体" w:hAnsi="宋体" w:eastAsia="宋体" w:cs="宋体"/>
                <w:kern w:val="1"/>
                <w:szCs w:val="21"/>
                <w:highlight w:val="none"/>
              </w:rPr>
              <w:t>附件六</w:t>
            </w:r>
          </w:p>
        </w:tc>
      </w:tr>
      <w:tr w14:paraId="152C9627">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23"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5A1E5870">
            <w:pPr>
              <w:jc w:val="center"/>
              <w:rPr>
                <w:rFonts w:ascii="宋体" w:hAnsi="宋体" w:eastAsia="宋体" w:cs="宋体"/>
                <w:b/>
                <w:kern w:val="1"/>
                <w:szCs w:val="21"/>
                <w:highlight w:val="none"/>
              </w:rPr>
            </w:pPr>
            <w:r>
              <w:rPr>
                <w:rFonts w:hint="eastAsia" w:ascii="宋体" w:hAnsi="宋体" w:eastAsia="宋体" w:cs="宋体"/>
                <w:b/>
                <w:kern w:val="1"/>
                <w:szCs w:val="21"/>
                <w:highlight w:val="none"/>
              </w:rPr>
              <w:t>7</w:t>
            </w:r>
          </w:p>
        </w:tc>
        <w:tc>
          <w:tcPr>
            <w:tcW w:w="6994" w:type="dxa"/>
            <w:tcBorders>
              <w:top w:val="single" w:color="auto" w:sz="4" w:space="0"/>
              <w:left w:val="single" w:color="auto" w:sz="4" w:space="0"/>
              <w:bottom w:val="single" w:color="auto" w:sz="4" w:space="0"/>
              <w:right w:val="single" w:color="auto" w:sz="4" w:space="0"/>
            </w:tcBorders>
            <w:noWrap w:val="0"/>
            <w:vAlign w:val="center"/>
          </w:tcPr>
          <w:p w14:paraId="24BC36A1">
            <w:pPr>
              <w:rPr>
                <w:rFonts w:hint="eastAsia" w:ascii="宋体" w:hAnsi="宋体" w:eastAsia="宋体" w:cs="宋体"/>
                <w:kern w:val="1"/>
                <w:szCs w:val="21"/>
                <w:highlight w:val="none"/>
                <w:u w:val="single"/>
              </w:rPr>
            </w:pPr>
            <w:r>
              <w:rPr>
                <w:rFonts w:hint="eastAsia" w:ascii="宋体" w:hAnsi="宋体" w:eastAsia="宋体" w:cs="宋体"/>
                <w:kern w:val="1"/>
                <w:szCs w:val="21"/>
                <w:highlight w:val="none"/>
              </w:rPr>
              <w:t>投标供应商认为需要提供的其他资格证明文件（采购文件中若为实质性要求和条件的证明材料必须提供。非实质性要求和条件的证明材料则各投标供应商根据自身情况提供，若因未提供而造成不利评审的风险则由各投标供应商自行承担。）</w:t>
            </w:r>
          </w:p>
        </w:tc>
        <w:tc>
          <w:tcPr>
            <w:tcW w:w="1646" w:type="dxa"/>
            <w:tcBorders>
              <w:top w:val="single" w:color="auto" w:sz="4" w:space="0"/>
              <w:left w:val="single" w:color="auto" w:sz="4" w:space="0"/>
              <w:bottom w:val="single" w:color="auto" w:sz="4" w:space="0"/>
              <w:right w:val="single" w:color="auto" w:sz="4" w:space="0"/>
            </w:tcBorders>
            <w:noWrap w:val="0"/>
            <w:vAlign w:val="center"/>
          </w:tcPr>
          <w:p w14:paraId="1841F9F3">
            <w:pPr>
              <w:jc w:val="center"/>
              <w:rPr>
                <w:rFonts w:hint="eastAsia" w:ascii="宋体" w:hAnsi="宋体" w:eastAsia="宋体" w:cs="宋体"/>
                <w:kern w:val="1"/>
                <w:szCs w:val="21"/>
                <w:highlight w:val="none"/>
              </w:rPr>
            </w:pPr>
          </w:p>
        </w:tc>
      </w:tr>
    </w:tbl>
    <w:p w14:paraId="7AD96808">
      <w:pPr>
        <w:pStyle w:val="178"/>
        <w:ind w:firstLine="440" w:firstLineChars="200"/>
        <w:rPr>
          <w:rFonts w:hint="eastAsia"/>
          <w:highlight w:val="none"/>
        </w:rPr>
      </w:pPr>
      <w:r>
        <w:rPr>
          <w:rFonts w:hint="eastAsia" w:hAnsi="宋体" w:cs="宋体"/>
          <w:sz w:val="22"/>
          <w:szCs w:val="22"/>
          <w:highlight w:val="none"/>
          <w:u w:val="single"/>
        </w:rPr>
        <w:t>▲</w:t>
      </w:r>
      <w:r>
        <w:rPr>
          <w:rFonts w:hint="eastAsia" w:hAnsi="宋体" w:cs="宋体"/>
          <w:b/>
          <w:bCs/>
          <w:sz w:val="22"/>
          <w:szCs w:val="22"/>
          <w:highlight w:val="none"/>
          <w:u w:val="single"/>
        </w:rPr>
        <w:t>说明：以上所需的各种证书、证件、证明、执照需提供复印件或扫描件加盖公章（CA电子签章）。上述资格条件审查材料有一项不提供的，视为资格审查不通过。</w:t>
      </w:r>
    </w:p>
    <w:p w14:paraId="50135226">
      <w:pPr>
        <w:spacing w:line="430" w:lineRule="exact"/>
        <w:ind w:left="178"/>
        <w:rPr>
          <w:rFonts w:hint="eastAsia" w:ascii="宋体" w:hAnsi="宋体" w:cs="宋体"/>
          <w:b/>
          <w:kern w:val="1"/>
          <w:szCs w:val="21"/>
          <w:highlight w:val="none"/>
        </w:rPr>
      </w:pPr>
      <w:r>
        <w:rPr>
          <w:rFonts w:hint="eastAsia" w:ascii="宋体" w:hAnsi="宋体" w:cs="宋体"/>
          <w:b/>
          <w:kern w:val="1"/>
          <w:szCs w:val="21"/>
          <w:highlight w:val="none"/>
        </w:rPr>
        <w:t>（2）商务技术文件</w:t>
      </w:r>
    </w:p>
    <w:tbl>
      <w:tblPr>
        <w:tblStyle w:val="35"/>
        <w:tblW w:w="9360" w:type="dxa"/>
        <w:tblInd w:w="108" w:type="dxa"/>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Layout w:type="fixed"/>
        <w:tblCellMar>
          <w:top w:w="0" w:type="dxa"/>
          <w:left w:w="108" w:type="dxa"/>
          <w:bottom w:w="0" w:type="dxa"/>
          <w:right w:w="108" w:type="dxa"/>
        </w:tblCellMar>
      </w:tblPr>
      <w:tblGrid>
        <w:gridCol w:w="720"/>
        <w:gridCol w:w="6994"/>
        <w:gridCol w:w="1646"/>
      </w:tblGrid>
      <w:tr w14:paraId="180A27E2">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23" w:hRule="atLeast"/>
        </w:trPr>
        <w:tc>
          <w:tcPr>
            <w:tcW w:w="720" w:type="dxa"/>
            <w:tcBorders>
              <w:bottom w:val="single" w:color="000000" w:sz="4" w:space="0"/>
              <w:right w:val="single" w:color="000000" w:sz="4" w:space="0"/>
            </w:tcBorders>
            <w:noWrap w:val="0"/>
            <w:vAlign w:val="center"/>
          </w:tcPr>
          <w:p w14:paraId="1F298393">
            <w:pPr>
              <w:jc w:val="center"/>
              <w:rPr>
                <w:rFonts w:hint="eastAsia" w:ascii="宋体" w:hAnsi="宋体" w:eastAsia="宋体" w:cs="宋体"/>
                <w:b/>
                <w:kern w:val="1"/>
                <w:szCs w:val="21"/>
                <w:highlight w:val="none"/>
              </w:rPr>
            </w:pPr>
            <w:r>
              <w:rPr>
                <w:rFonts w:hint="eastAsia" w:ascii="宋体" w:hAnsi="宋体" w:eastAsia="宋体" w:cs="宋体"/>
                <w:b/>
                <w:kern w:val="1"/>
                <w:szCs w:val="21"/>
                <w:highlight w:val="none"/>
              </w:rPr>
              <w:t>序号</w:t>
            </w:r>
          </w:p>
        </w:tc>
        <w:tc>
          <w:tcPr>
            <w:tcW w:w="6994" w:type="dxa"/>
            <w:tcBorders>
              <w:left w:val="single" w:color="000000" w:sz="4" w:space="0"/>
              <w:bottom w:val="single" w:color="000000" w:sz="4" w:space="0"/>
              <w:right w:val="single" w:color="000000" w:sz="4" w:space="0"/>
            </w:tcBorders>
            <w:noWrap w:val="0"/>
            <w:vAlign w:val="center"/>
          </w:tcPr>
          <w:p w14:paraId="04C41AF5">
            <w:pPr>
              <w:jc w:val="center"/>
              <w:rPr>
                <w:rFonts w:hint="eastAsia" w:ascii="宋体" w:hAnsi="宋体" w:eastAsia="宋体" w:cs="宋体"/>
                <w:b/>
                <w:kern w:val="1"/>
                <w:szCs w:val="21"/>
                <w:highlight w:val="none"/>
              </w:rPr>
            </w:pPr>
            <w:r>
              <w:rPr>
                <w:rFonts w:hint="eastAsia" w:ascii="宋体" w:hAnsi="宋体" w:eastAsia="宋体" w:cs="宋体"/>
                <w:b/>
                <w:kern w:val="1"/>
                <w:szCs w:val="21"/>
                <w:highlight w:val="none"/>
              </w:rPr>
              <w:t>内容</w:t>
            </w:r>
          </w:p>
        </w:tc>
        <w:tc>
          <w:tcPr>
            <w:tcW w:w="1646" w:type="dxa"/>
            <w:tcBorders>
              <w:left w:val="single" w:color="000000" w:sz="4" w:space="0"/>
              <w:bottom w:val="single" w:color="000000" w:sz="4" w:space="0"/>
            </w:tcBorders>
            <w:noWrap w:val="0"/>
            <w:vAlign w:val="center"/>
          </w:tcPr>
          <w:p w14:paraId="171E2256">
            <w:pPr>
              <w:jc w:val="center"/>
              <w:rPr>
                <w:rFonts w:hint="eastAsia" w:ascii="宋体" w:hAnsi="宋体" w:eastAsia="宋体" w:cs="宋体"/>
                <w:kern w:val="1"/>
                <w:szCs w:val="21"/>
                <w:highlight w:val="none"/>
              </w:rPr>
            </w:pPr>
            <w:r>
              <w:rPr>
                <w:rFonts w:hint="eastAsia" w:ascii="宋体" w:hAnsi="宋体" w:eastAsia="宋体" w:cs="宋体"/>
                <w:b/>
                <w:bCs/>
                <w:kern w:val="1"/>
                <w:szCs w:val="21"/>
                <w:highlight w:val="none"/>
              </w:rPr>
              <w:t>备注</w:t>
            </w:r>
          </w:p>
        </w:tc>
      </w:tr>
      <w:tr w14:paraId="5B22257B">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35" w:hRule="atLeast"/>
        </w:trPr>
        <w:tc>
          <w:tcPr>
            <w:tcW w:w="720" w:type="dxa"/>
            <w:tcBorders>
              <w:top w:val="single" w:color="000000" w:sz="4" w:space="0"/>
              <w:bottom w:val="single" w:color="000000" w:sz="4" w:space="0"/>
              <w:right w:val="single" w:color="000000" w:sz="4" w:space="0"/>
            </w:tcBorders>
            <w:noWrap w:val="0"/>
            <w:vAlign w:val="center"/>
          </w:tcPr>
          <w:p w14:paraId="35B23749">
            <w:pPr>
              <w:jc w:val="center"/>
              <w:rPr>
                <w:rFonts w:hint="eastAsia" w:ascii="宋体" w:hAnsi="宋体" w:eastAsia="宋体" w:cs="宋体"/>
                <w:kern w:val="1"/>
                <w:szCs w:val="21"/>
                <w:highlight w:val="none"/>
              </w:rPr>
            </w:pPr>
            <w:r>
              <w:rPr>
                <w:rFonts w:hint="eastAsia" w:ascii="宋体" w:hAnsi="宋体" w:eastAsia="宋体" w:cs="宋体"/>
                <w:kern w:val="1"/>
                <w:szCs w:val="21"/>
                <w:highlight w:val="none"/>
              </w:rPr>
              <w:t>一</w:t>
            </w:r>
          </w:p>
        </w:tc>
        <w:tc>
          <w:tcPr>
            <w:tcW w:w="6994" w:type="dxa"/>
            <w:tcBorders>
              <w:top w:val="single" w:color="000000" w:sz="4" w:space="0"/>
              <w:left w:val="single" w:color="000000" w:sz="4" w:space="0"/>
              <w:bottom w:val="single" w:color="000000" w:sz="4" w:space="0"/>
              <w:right w:val="single" w:color="000000" w:sz="4" w:space="0"/>
            </w:tcBorders>
            <w:noWrap w:val="0"/>
            <w:vAlign w:val="center"/>
          </w:tcPr>
          <w:p w14:paraId="1751B84B">
            <w:pPr>
              <w:rPr>
                <w:rFonts w:hint="eastAsia" w:ascii="宋体" w:hAnsi="宋体" w:eastAsia="宋体" w:cs="宋体"/>
                <w:kern w:val="1"/>
                <w:szCs w:val="21"/>
                <w:highlight w:val="none"/>
                <w:u w:val="single"/>
              </w:rPr>
            </w:pPr>
            <w:r>
              <w:rPr>
                <w:rFonts w:hint="eastAsia" w:ascii="宋体" w:hAnsi="宋体" w:eastAsia="宋体" w:cs="宋体"/>
                <w:kern w:val="1"/>
                <w:szCs w:val="21"/>
                <w:highlight w:val="none"/>
                <w:u w:val="single"/>
              </w:rPr>
              <w:t>▲投标函</w:t>
            </w:r>
          </w:p>
        </w:tc>
        <w:tc>
          <w:tcPr>
            <w:tcW w:w="1646" w:type="dxa"/>
            <w:tcBorders>
              <w:top w:val="single" w:color="000000" w:sz="4" w:space="0"/>
              <w:left w:val="single" w:color="000000" w:sz="4" w:space="0"/>
              <w:bottom w:val="single" w:color="000000" w:sz="4" w:space="0"/>
            </w:tcBorders>
            <w:noWrap w:val="0"/>
            <w:vAlign w:val="center"/>
          </w:tcPr>
          <w:p w14:paraId="229159A3">
            <w:pPr>
              <w:jc w:val="center"/>
              <w:rPr>
                <w:rFonts w:hint="eastAsia" w:ascii="宋体" w:hAnsi="宋体" w:eastAsia="宋体" w:cs="宋体"/>
                <w:kern w:val="1"/>
                <w:szCs w:val="21"/>
                <w:highlight w:val="none"/>
              </w:rPr>
            </w:pPr>
            <w:r>
              <w:rPr>
                <w:rFonts w:hint="eastAsia" w:ascii="宋体" w:hAnsi="宋体" w:eastAsia="宋体" w:cs="宋体"/>
                <w:kern w:val="1"/>
                <w:szCs w:val="21"/>
                <w:highlight w:val="none"/>
              </w:rPr>
              <w:t>附件七</w:t>
            </w:r>
          </w:p>
        </w:tc>
      </w:tr>
      <w:tr w14:paraId="694ADE71">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57" w:hRule="atLeast"/>
        </w:trPr>
        <w:tc>
          <w:tcPr>
            <w:tcW w:w="720" w:type="dxa"/>
            <w:tcBorders>
              <w:top w:val="single" w:color="000000" w:sz="4" w:space="0"/>
              <w:bottom w:val="single" w:color="000000" w:sz="4" w:space="0"/>
              <w:right w:val="single" w:color="000000" w:sz="4" w:space="0"/>
            </w:tcBorders>
            <w:noWrap w:val="0"/>
            <w:vAlign w:val="center"/>
          </w:tcPr>
          <w:p w14:paraId="5E4B11E3">
            <w:pPr>
              <w:jc w:val="center"/>
              <w:rPr>
                <w:rFonts w:hint="eastAsia" w:ascii="宋体" w:hAnsi="宋体" w:eastAsia="宋体" w:cs="宋体"/>
                <w:kern w:val="1"/>
                <w:szCs w:val="21"/>
                <w:highlight w:val="none"/>
              </w:rPr>
            </w:pPr>
            <w:r>
              <w:rPr>
                <w:rFonts w:hint="eastAsia" w:ascii="宋体" w:hAnsi="宋体" w:eastAsia="宋体" w:cs="宋体"/>
                <w:kern w:val="1"/>
                <w:szCs w:val="21"/>
                <w:highlight w:val="none"/>
              </w:rPr>
              <w:t>二</w:t>
            </w:r>
          </w:p>
        </w:tc>
        <w:tc>
          <w:tcPr>
            <w:tcW w:w="6994" w:type="dxa"/>
            <w:tcBorders>
              <w:top w:val="single" w:color="000000" w:sz="4" w:space="0"/>
              <w:left w:val="single" w:color="000000" w:sz="4" w:space="0"/>
              <w:bottom w:val="single" w:color="000000" w:sz="4" w:space="0"/>
              <w:right w:val="single" w:color="000000" w:sz="4" w:space="0"/>
            </w:tcBorders>
            <w:noWrap w:val="0"/>
            <w:vAlign w:val="center"/>
          </w:tcPr>
          <w:p w14:paraId="6F86DEE6">
            <w:pPr>
              <w:jc w:val="left"/>
              <w:rPr>
                <w:rFonts w:hint="eastAsia" w:ascii="宋体" w:hAnsi="宋体" w:eastAsia="宋体" w:cs="宋体"/>
                <w:kern w:val="1"/>
                <w:szCs w:val="21"/>
                <w:highlight w:val="none"/>
                <w:u w:val="single"/>
              </w:rPr>
            </w:pPr>
            <w:r>
              <w:rPr>
                <w:rFonts w:hint="eastAsia" w:ascii="宋体" w:hAnsi="宋体" w:eastAsia="宋体" w:cs="宋体"/>
                <w:kern w:val="1"/>
                <w:szCs w:val="21"/>
                <w:highlight w:val="none"/>
                <w:u w:val="single"/>
              </w:rPr>
              <w:t>▲产品供货范围详细清单</w:t>
            </w:r>
          </w:p>
        </w:tc>
        <w:tc>
          <w:tcPr>
            <w:tcW w:w="1646" w:type="dxa"/>
            <w:tcBorders>
              <w:top w:val="single" w:color="000000" w:sz="4" w:space="0"/>
              <w:left w:val="single" w:color="000000" w:sz="4" w:space="0"/>
              <w:bottom w:val="single" w:color="000000" w:sz="4" w:space="0"/>
            </w:tcBorders>
            <w:noWrap w:val="0"/>
            <w:vAlign w:val="center"/>
          </w:tcPr>
          <w:p w14:paraId="40020CA1">
            <w:pPr>
              <w:jc w:val="center"/>
              <w:rPr>
                <w:rFonts w:hint="eastAsia" w:ascii="宋体" w:hAnsi="宋体" w:eastAsia="宋体" w:cs="宋体"/>
                <w:kern w:val="1"/>
                <w:szCs w:val="21"/>
                <w:highlight w:val="none"/>
              </w:rPr>
            </w:pPr>
            <w:r>
              <w:rPr>
                <w:rFonts w:hint="eastAsia" w:ascii="宋体" w:hAnsi="宋体" w:eastAsia="宋体" w:cs="宋体"/>
                <w:kern w:val="1"/>
                <w:szCs w:val="21"/>
                <w:highlight w:val="none"/>
              </w:rPr>
              <w:t>附件八</w:t>
            </w:r>
          </w:p>
        </w:tc>
      </w:tr>
      <w:tr w14:paraId="36768E08">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461" w:hRule="atLeast"/>
        </w:trPr>
        <w:tc>
          <w:tcPr>
            <w:tcW w:w="720" w:type="dxa"/>
            <w:tcBorders>
              <w:top w:val="single" w:color="000000" w:sz="4" w:space="0"/>
              <w:bottom w:val="single" w:color="000000" w:sz="4" w:space="0"/>
              <w:right w:val="single" w:color="000000" w:sz="4" w:space="0"/>
            </w:tcBorders>
            <w:noWrap w:val="0"/>
            <w:vAlign w:val="center"/>
          </w:tcPr>
          <w:p w14:paraId="6CC127CD">
            <w:pPr>
              <w:jc w:val="center"/>
              <w:rPr>
                <w:rFonts w:hint="eastAsia" w:ascii="宋体" w:hAnsi="宋体" w:eastAsia="宋体" w:cs="宋体"/>
                <w:kern w:val="1"/>
                <w:szCs w:val="21"/>
                <w:highlight w:val="none"/>
              </w:rPr>
            </w:pPr>
            <w:r>
              <w:rPr>
                <w:rFonts w:hint="eastAsia" w:ascii="宋体" w:hAnsi="宋体" w:eastAsia="宋体" w:cs="宋体"/>
                <w:kern w:val="1"/>
                <w:szCs w:val="21"/>
                <w:highlight w:val="none"/>
              </w:rPr>
              <w:t>三</w:t>
            </w:r>
          </w:p>
        </w:tc>
        <w:tc>
          <w:tcPr>
            <w:tcW w:w="6994" w:type="dxa"/>
            <w:tcBorders>
              <w:top w:val="single" w:color="000000" w:sz="4" w:space="0"/>
              <w:left w:val="single" w:color="000000" w:sz="4" w:space="0"/>
              <w:bottom w:val="single" w:color="000000" w:sz="4" w:space="0"/>
              <w:right w:val="single" w:color="000000" w:sz="4" w:space="0"/>
            </w:tcBorders>
            <w:noWrap w:val="0"/>
            <w:vAlign w:val="center"/>
          </w:tcPr>
          <w:p w14:paraId="38441187">
            <w:pPr>
              <w:jc w:val="left"/>
              <w:rPr>
                <w:rFonts w:hint="eastAsia" w:ascii="宋体" w:hAnsi="宋体" w:eastAsia="宋体" w:cs="宋体"/>
                <w:kern w:val="1"/>
                <w:szCs w:val="21"/>
                <w:highlight w:val="none"/>
                <w:u w:val="single"/>
              </w:rPr>
            </w:pPr>
            <w:r>
              <w:rPr>
                <w:rFonts w:hint="eastAsia" w:ascii="宋体" w:hAnsi="宋体" w:eastAsia="宋体" w:cs="宋体"/>
                <w:kern w:val="1"/>
                <w:szCs w:val="21"/>
                <w:highlight w:val="none"/>
              </w:rPr>
              <w:t>随机备品备件和专用工具清单（如有）</w:t>
            </w:r>
          </w:p>
        </w:tc>
        <w:tc>
          <w:tcPr>
            <w:tcW w:w="1646" w:type="dxa"/>
            <w:tcBorders>
              <w:top w:val="single" w:color="000000" w:sz="4" w:space="0"/>
              <w:left w:val="single" w:color="000000" w:sz="4" w:space="0"/>
              <w:bottom w:val="single" w:color="000000" w:sz="4" w:space="0"/>
            </w:tcBorders>
            <w:noWrap w:val="0"/>
            <w:vAlign w:val="center"/>
          </w:tcPr>
          <w:p w14:paraId="51A27A67">
            <w:pPr>
              <w:jc w:val="center"/>
              <w:rPr>
                <w:rFonts w:hint="eastAsia" w:ascii="宋体" w:hAnsi="宋体" w:eastAsia="宋体" w:cs="宋体"/>
                <w:kern w:val="1"/>
                <w:szCs w:val="21"/>
                <w:highlight w:val="none"/>
              </w:rPr>
            </w:pPr>
            <w:r>
              <w:rPr>
                <w:rFonts w:hint="eastAsia" w:ascii="宋体" w:hAnsi="宋体" w:eastAsia="宋体" w:cs="宋体"/>
                <w:kern w:val="1"/>
                <w:szCs w:val="21"/>
                <w:highlight w:val="none"/>
              </w:rPr>
              <w:t>附件九</w:t>
            </w:r>
          </w:p>
        </w:tc>
      </w:tr>
      <w:tr w14:paraId="0DFA6D2D">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422" w:hRule="atLeast"/>
        </w:trPr>
        <w:tc>
          <w:tcPr>
            <w:tcW w:w="720" w:type="dxa"/>
            <w:tcBorders>
              <w:top w:val="single" w:color="000000" w:sz="4" w:space="0"/>
              <w:bottom w:val="single" w:color="000000" w:sz="4" w:space="0"/>
              <w:right w:val="single" w:color="000000" w:sz="4" w:space="0"/>
            </w:tcBorders>
            <w:noWrap w:val="0"/>
            <w:vAlign w:val="center"/>
          </w:tcPr>
          <w:p w14:paraId="41D635AA">
            <w:pPr>
              <w:jc w:val="center"/>
              <w:rPr>
                <w:rFonts w:hint="eastAsia" w:ascii="宋体" w:hAnsi="宋体" w:eastAsia="宋体" w:cs="宋体"/>
                <w:kern w:val="1"/>
                <w:szCs w:val="21"/>
                <w:highlight w:val="none"/>
              </w:rPr>
            </w:pPr>
            <w:r>
              <w:rPr>
                <w:rFonts w:hint="eastAsia" w:ascii="宋体" w:hAnsi="宋体" w:eastAsia="宋体" w:cs="宋体"/>
                <w:kern w:val="1"/>
                <w:szCs w:val="21"/>
                <w:highlight w:val="none"/>
              </w:rPr>
              <w:t>四</w:t>
            </w:r>
          </w:p>
        </w:tc>
        <w:tc>
          <w:tcPr>
            <w:tcW w:w="6994" w:type="dxa"/>
            <w:tcBorders>
              <w:top w:val="single" w:color="000000" w:sz="4" w:space="0"/>
              <w:left w:val="single" w:color="000000" w:sz="4" w:space="0"/>
              <w:bottom w:val="single" w:color="000000" w:sz="4" w:space="0"/>
              <w:right w:val="single" w:color="000000" w:sz="4" w:space="0"/>
            </w:tcBorders>
            <w:noWrap w:val="0"/>
            <w:vAlign w:val="center"/>
          </w:tcPr>
          <w:p w14:paraId="2F8D2DD4">
            <w:pPr>
              <w:jc w:val="left"/>
              <w:rPr>
                <w:rFonts w:hint="eastAsia" w:ascii="宋体" w:hAnsi="宋体" w:eastAsia="宋体" w:cs="宋体"/>
                <w:kern w:val="1"/>
                <w:szCs w:val="21"/>
                <w:highlight w:val="none"/>
                <w:u w:val="single"/>
              </w:rPr>
            </w:pPr>
            <w:r>
              <w:rPr>
                <w:rFonts w:hint="eastAsia" w:ascii="宋体" w:hAnsi="宋体" w:eastAsia="宋体" w:cs="宋体"/>
                <w:kern w:val="1"/>
                <w:szCs w:val="21"/>
                <w:highlight w:val="none"/>
              </w:rPr>
              <w:t>投标人综合情况</w:t>
            </w:r>
          </w:p>
        </w:tc>
        <w:tc>
          <w:tcPr>
            <w:tcW w:w="1646" w:type="dxa"/>
            <w:tcBorders>
              <w:top w:val="single" w:color="000000" w:sz="4" w:space="0"/>
              <w:left w:val="single" w:color="000000" w:sz="4" w:space="0"/>
              <w:bottom w:val="single" w:color="000000" w:sz="4" w:space="0"/>
            </w:tcBorders>
            <w:noWrap w:val="0"/>
            <w:vAlign w:val="center"/>
          </w:tcPr>
          <w:p w14:paraId="305532E7">
            <w:pPr>
              <w:jc w:val="center"/>
              <w:rPr>
                <w:rFonts w:hint="eastAsia" w:ascii="宋体" w:hAnsi="宋体" w:eastAsia="宋体" w:cs="宋体"/>
                <w:kern w:val="1"/>
                <w:szCs w:val="21"/>
                <w:highlight w:val="none"/>
              </w:rPr>
            </w:pPr>
            <w:r>
              <w:rPr>
                <w:rFonts w:hint="eastAsia" w:ascii="宋体" w:hAnsi="宋体" w:eastAsia="宋体" w:cs="宋体"/>
                <w:kern w:val="1"/>
                <w:szCs w:val="21"/>
                <w:highlight w:val="none"/>
              </w:rPr>
              <w:t>附件十</w:t>
            </w:r>
          </w:p>
        </w:tc>
      </w:tr>
      <w:tr w14:paraId="2C96667E">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527" w:hRule="atLeast"/>
        </w:trPr>
        <w:tc>
          <w:tcPr>
            <w:tcW w:w="720" w:type="dxa"/>
            <w:tcBorders>
              <w:top w:val="single" w:color="000000" w:sz="4" w:space="0"/>
              <w:bottom w:val="single" w:color="000000" w:sz="4" w:space="0"/>
              <w:right w:val="single" w:color="000000" w:sz="4" w:space="0"/>
            </w:tcBorders>
            <w:noWrap w:val="0"/>
            <w:vAlign w:val="center"/>
          </w:tcPr>
          <w:p w14:paraId="184D217E">
            <w:pPr>
              <w:jc w:val="center"/>
              <w:rPr>
                <w:rFonts w:hint="eastAsia" w:ascii="宋体" w:hAnsi="宋体" w:eastAsia="宋体" w:cs="宋体"/>
                <w:kern w:val="1"/>
                <w:szCs w:val="21"/>
                <w:highlight w:val="none"/>
              </w:rPr>
            </w:pPr>
            <w:r>
              <w:rPr>
                <w:rFonts w:hint="eastAsia" w:ascii="宋体" w:hAnsi="宋体" w:eastAsia="宋体" w:cs="宋体"/>
                <w:kern w:val="1"/>
                <w:szCs w:val="21"/>
                <w:highlight w:val="none"/>
              </w:rPr>
              <w:t>五</w:t>
            </w:r>
          </w:p>
        </w:tc>
        <w:tc>
          <w:tcPr>
            <w:tcW w:w="6994" w:type="dxa"/>
            <w:tcBorders>
              <w:top w:val="single" w:color="000000" w:sz="4" w:space="0"/>
              <w:left w:val="single" w:color="000000" w:sz="4" w:space="0"/>
              <w:bottom w:val="single" w:color="000000" w:sz="4" w:space="0"/>
              <w:right w:val="single" w:color="000000" w:sz="4" w:space="0"/>
            </w:tcBorders>
            <w:noWrap w:val="0"/>
            <w:vAlign w:val="center"/>
          </w:tcPr>
          <w:p w14:paraId="348CBB9E">
            <w:pPr>
              <w:jc w:val="left"/>
              <w:rPr>
                <w:rFonts w:hint="eastAsia" w:ascii="宋体" w:hAnsi="宋体" w:eastAsia="宋体" w:cs="宋体"/>
                <w:kern w:val="1"/>
                <w:szCs w:val="21"/>
                <w:highlight w:val="none"/>
                <w:u w:val="single"/>
              </w:rPr>
            </w:pPr>
            <w:r>
              <w:rPr>
                <w:rFonts w:ascii="宋体" w:hAnsi="宋体" w:eastAsia="宋体" w:cs="宋体"/>
                <w:kern w:val="1"/>
                <w:szCs w:val="21"/>
                <w:highlight w:val="none"/>
              </w:rPr>
              <w:t>同类产品供货业绩一览表及业绩证明材料印件或扫描件加盖单位公章</w:t>
            </w:r>
          </w:p>
        </w:tc>
        <w:tc>
          <w:tcPr>
            <w:tcW w:w="1646" w:type="dxa"/>
            <w:tcBorders>
              <w:top w:val="single" w:color="000000" w:sz="4" w:space="0"/>
              <w:left w:val="single" w:color="000000" w:sz="4" w:space="0"/>
              <w:bottom w:val="single" w:color="000000" w:sz="4" w:space="0"/>
            </w:tcBorders>
            <w:noWrap w:val="0"/>
            <w:vAlign w:val="center"/>
          </w:tcPr>
          <w:p w14:paraId="5331DC00">
            <w:pPr>
              <w:jc w:val="center"/>
              <w:rPr>
                <w:rFonts w:hint="eastAsia" w:ascii="宋体" w:hAnsi="宋体" w:eastAsia="宋体" w:cs="宋体"/>
                <w:kern w:val="1"/>
                <w:szCs w:val="21"/>
                <w:highlight w:val="none"/>
              </w:rPr>
            </w:pPr>
            <w:r>
              <w:rPr>
                <w:rFonts w:hint="eastAsia" w:ascii="宋体" w:hAnsi="宋体" w:eastAsia="宋体" w:cs="宋体"/>
                <w:kern w:val="1"/>
                <w:szCs w:val="21"/>
                <w:highlight w:val="none"/>
              </w:rPr>
              <w:t>附件十一</w:t>
            </w:r>
          </w:p>
        </w:tc>
      </w:tr>
      <w:tr w14:paraId="4F7E0AA3">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527" w:hRule="atLeast"/>
        </w:trPr>
        <w:tc>
          <w:tcPr>
            <w:tcW w:w="720" w:type="dxa"/>
            <w:tcBorders>
              <w:top w:val="single" w:color="000000" w:sz="4" w:space="0"/>
              <w:bottom w:val="single" w:color="000000" w:sz="4" w:space="0"/>
              <w:right w:val="single" w:color="000000" w:sz="4" w:space="0"/>
            </w:tcBorders>
            <w:noWrap w:val="0"/>
            <w:vAlign w:val="center"/>
          </w:tcPr>
          <w:p w14:paraId="39B1E30A">
            <w:pPr>
              <w:jc w:val="center"/>
              <w:rPr>
                <w:rFonts w:hint="eastAsia" w:ascii="宋体" w:hAnsi="宋体" w:eastAsia="宋体" w:cs="宋体"/>
                <w:kern w:val="1"/>
                <w:szCs w:val="21"/>
                <w:highlight w:val="none"/>
              </w:rPr>
            </w:pPr>
            <w:r>
              <w:rPr>
                <w:rFonts w:hint="eastAsia" w:ascii="宋体" w:hAnsi="宋体" w:eastAsia="宋体" w:cs="宋体"/>
                <w:kern w:val="1"/>
                <w:szCs w:val="21"/>
                <w:highlight w:val="none"/>
              </w:rPr>
              <w:t>六</w:t>
            </w:r>
          </w:p>
        </w:tc>
        <w:tc>
          <w:tcPr>
            <w:tcW w:w="6994" w:type="dxa"/>
            <w:tcBorders>
              <w:top w:val="single" w:color="000000" w:sz="4" w:space="0"/>
              <w:left w:val="single" w:color="000000" w:sz="4" w:space="0"/>
              <w:bottom w:val="single" w:color="000000" w:sz="4" w:space="0"/>
              <w:right w:val="single" w:color="000000" w:sz="4" w:space="0"/>
            </w:tcBorders>
            <w:noWrap w:val="0"/>
            <w:vAlign w:val="center"/>
          </w:tcPr>
          <w:p w14:paraId="4DA49E7E">
            <w:pPr>
              <w:jc w:val="left"/>
              <w:rPr>
                <w:rFonts w:hint="eastAsia" w:ascii="宋体" w:hAnsi="宋体" w:eastAsia="宋体" w:cs="宋体"/>
                <w:kern w:val="1"/>
                <w:szCs w:val="21"/>
                <w:highlight w:val="none"/>
                <w:u w:val="single"/>
              </w:rPr>
            </w:pPr>
            <w:r>
              <w:rPr>
                <w:rFonts w:hint="eastAsia" w:ascii="宋体" w:hAnsi="宋体" w:eastAsia="宋体" w:cs="宋体"/>
                <w:kern w:val="1"/>
                <w:szCs w:val="21"/>
                <w:highlight w:val="none"/>
                <w:u w:val="single"/>
              </w:rPr>
              <w:t>▲技术、商务偏离表</w:t>
            </w:r>
            <w:r>
              <w:rPr>
                <w:rFonts w:hint="eastAsia" w:ascii="宋体" w:hAnsi="宋体" w:eastAsia="宋体" w:cs="宋体"/>
                <w:kern w:val="1"/>
                <w:szCs w:val="21"/>
                <w:highlight w:val="none"/>
              </w:rPr>
              <w:t>、“技术参数/规格偏离”索引表及相关</w:t>
            </w:r>
            <w:r>
              <w:rPr>
                <w:rFonts w:ascii="宋体" w:hAnsi="宋体" w:eastAsia="宋体" w:cs="宋体"/>
                <w:kern w:val="1"/>
                <w:szCs w:val="21"/>
                <w:highlight w:val="none"/>
              </w:rPr>
              <w:t>证明材料</w:t>
            </w:r>
          </w:p>
        </w:tc>
        <w:tc>
          <w:tcPr>
            <w:tcW w:w="1646" w:type="dxa"/>
            <w:tcBorders>
              <w:top w:val="single" w:color="000000" w:sz="4" w:space="0"/>
              <w:left w:val="single" w:color="000000" w:sz="4" w:space="0"/>
              <w:bottom w:val="single" w:color="000000" w:sz="4" w:space="0"/>
            </w:tcBorders>
            <w:noWrap w:val="0"/>
            <w:vAlign w:val="center"/>
          </w:tcPr>
          <w:p w14:paraId="4E8594D7">
            <w:pPr>
              <w:jc w:val="center"/>
              <w:rPr>
                <w:rFonts w:hint="eastAsia" w:ascii="宋体" w:hAnsi="宋体" w:eastAsia="宋体" w:cs="宋体"/>
                <w:kern w:val="1"/>
                <w:szCs w:val="21"/>
                <w:highlight w:val="none"/>
              </w:rPr>
            </w:pPr>
            <w:r>
              <w:rPr>
                <w:rFonts w:hint="eastAsia" w:ascii="宋体" w:hAnsi="宋体" w:eastAsia="宋体" w:cs="宋体"/>
                <w:kern w:val="1"/>
                <w:szCs w:val="21"/>
                <w:highlight w:val="none"/>
              </w:rPr>
              <w:t>附件十二</w:t>
            </w:r>
          </w:p>
        </w:tc>
      </w:tr>
      <w:tr w14:paraId="2D36DC7F">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527" w:hRule="atLeast"/>
        </w:trPr>
        <w:tc>
          <w:tcPr>
            <w:tcW w:w="720" w:type="dxa"/>
            <w:tcBorders>
              <w:top w:val="single" w:color="000000" w:sz="4" w:space="0"/>
              <w:bottom w:val="single" w:color="000000" w:sz="4" w:space="0"/>
              <w:right w:val="single" w:color="000000" w:sz="4" w:space="0"/>
            </w:tcBorders>
            <w:noWrap w:val="0"/>
            <w:vAlign w:val="center"/>
          </w:tcPr>
          <w:p w14:paraId="797616E0">
            <w:pPr>
              <w:jc w:val="center"/>
              <w:rPr>
                <w:rFonts w:hint="eastAsia" w:ascii="宋体" w:hAnsi="宋体" w:cs="宋体"/>
                <w:kern w:val="1"/>
                <w:szCs w:val="21"/>
                <w:highlight w:val="none"/>
              </w:rPr>
            </w:pPr>
            <w:r>
              <w:rPr>
                <w:rFonts w:hint="eastAsia" w:ascii="宋体" w:hAnsi="宋体" w:cs="宋体"/>
                <w:kern w:val="1"/>
                <w:szCs w:val="21"/>
                <w:highlight w:val="none"/>
              </w:rPr>
              <w:t>七</w:t>
            </w:r>
          </w:p>
        </w:tc>
        <w:tc>
          <w:tcPr>
            <w:tcW w:w="6994" w:type="dxa"/>
            <w:tcBorders>
              <w:top w:val="single" w:color="000000" w:sz="4" w:space="0"/>
              <w:left w:val="single" w:color="000000" w:sz="4" w:space="0"/>
              <w:bottom w:val="single" w:color="000000" w:sz="4" w:space="0"/>
              <w:right w:val="single" w:color="000000" w:sz="4" w:space="0"/>
            </w:tcBorders>
            <w:noWrap w:val="0"/>
            <w:vAlign w:val="center"/>
          </w:tcPr>
          <w:p w14:paraId="09673B95">
            <w:pPr>
              <w:jc w:val="left"/>
              <w:rPr>
                <w:rFonts w:hint="eastAsia" w:ascii="宋体" w:hAnsi="宋体" w:eastAsia="宋体" w:cs="宋体"/>
                <w:kern w:val="1"/>
                <w:szCs w:val="21"/>
                <w:highlight w:val="none"/>
              </w:rPr>
            </w:pPr>
            <w:r>
              <w:rPr>
                <w:rFonts w:hint="eastAsia" w:ascii="宋体" w:hAnsi="宋体" w:eastAsia="宋体" w:cs="宋体"/>
                <w:snapToGrid w:val="0"/>
                <w:szCs w:val="21"/>
                <w:highlight w:val="none"/>
              </w:rPr>
              <w:t>总体方案</w:t>
            </w:r>
          </w:p>
        </w:tc>
        <w:tc>
          <w:tcPr>
            <w:tcW w:w="1646" w:type="dxa"/>
            <w:tcBorders>
              <w:top w:val="single" w:color="000000" w:sz="4" w:space="0"/>
              <w:left w:val="single" w:color="000000" w:sz="4" w:space="0"/>
              <w:bottom w:val="single" w:color="000000" w:sz="4" w:space="0"/>
            </w:tcBorders>
            <w:noWrap w:val="0"/>
            <w:vAlign w:val="center"/>
          </w:tcPr>
          <w:p w14:paraId="51B84AD6">
            <w:pPr>
              <w:jc w:val="center"/>
              <w:rPr>
                <w:rFonts w:hint="eastAsia" w:ascii="宋体" w:hAnsi="宋体" w:eastAsia="宋体" w:cs="宋体"/>
                <w:kern w:val="1"/>
                <w:szCs w:val="21"/>
                <w:highlight w:val="none"/>
              </w:rPr>
            </w:pPr>
            <w:r>
              <w:rPr>
                <w:rFonts w:hint="eastAsia" w:ascii="宋体" w:hAnsi="宋体" w:eastAsia="宋体" w:cs="宋体"/>
                <w:kern w:val="1"/>
                <w:szCs w:val="21"/>
                <w:highlight w:val="none"/>
              </w:rPr>
              <w:t>附件十三</w:t>
            </w:r>
          </w:p>
        </w:tc>
      </w:tr>
      <w:tr w14:paraId="081BFB45">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527" w:hRule="atLeast"/>
        </w:trPr>
        <w:tc>
          <w:tcPr>
            <w:tcW w:w="720" w:type="dxa"/>
            <w:tcBorders>
              <w:top w:val="single" w:color="000000" w:sz="4" w:space="0"/>
              <w:bottom w:val="single" w:color="000000" w:sz="4" w:space="0"/>
              <w:right w:val="single" w:color="000000" w:sz="4" w:space="0"/>
            </w:tcBorders>
            <w:noWrap w:val="0"/>
            <w:vAlign w:val="center"/>
          </w:tcPr>
          <w:p w14:paraId="649F8F88">
            <w:pPr>
              <w:jc w:val="center"/>
              <w:rPr>
                <w:rFonts w:ascii="宋体" w:hAnsi="宋体" w:cs="宋体"/>
                <w:kern w:val="1"/>
                <w:szCs w:val="21"/>
                <w:highlight w:val="none"/>
              </w:rPr>
            </w:pPr>
            <w:r>
              <w:rPr>
                <w:rFonts w:hint="eastAsia" w:ascii="宋体" w:hAnsi="宋体" w:cs="宋体"/>
                <w:kern w:val="1"/>
                <w:szCs w:val="21"/>
                <w:highlight w:val="none"/>
              </w:rPr>
              <w:t>八</w:t>
            </w:r>
          </w:p>
        </w:tc>
        <w:tc>
          <w:tcPr>
            <w:tcW w:w="6994" w:type="dxa"/>
            <w:tcBorders>
              <w:top w:val="single" w:color="000000" w:sz="4" w:space="0"/>
              <w:left w:val="single" w:color="000000" w:sz="4" w:space="0"/>
              <w:bottom w:val="single" w:color="000000" w:sz="4" w:space="0"/>
              <w:right w:val="single" w:color="000000" w:sz="4" w:space="0"/>
            </w:tcBorders>
            <w:noWrap w:val="0"/>
            <w:vAlign w:val="center"/>
          </w:tcPr>
          <w:p w14:paraId="4DDA26F4">
            <w:pPr>
              <w:jc w:val="left"/>
              <w:rPr>
                <w:rFonts w:hint="eastAsia" w:ascii="宋体" w:hAnsi="宋体" w:eastAsia="宋体" w:cs="宋体"/>
                <w:kern w:val="1"/>
                <w:szCs w:val="21"/>
                <w:highlight w:val="none"/>
              </w:rPr>
            </w:pPr>
            <w:r>
              <w:rPr>
                <w:rFonts w:hint="eastAsia" w:ascii="宋体" w:hAnsi="宋体" w:eastAsia="宋体" w:cs="宋体"/>
                <w:snapToGrid w:val="0"/>
                <w:szCs w:val="21"/>
                <w:highlight w:val="none"/>
              </w:rPr>
              <w:t>架构方案</w:t>
            </w:r>
          </w:p>
        </w:tc>
        <w:tc>
          <w:tcPr>
            <w:tcW w:w="1646" w:type="dxa"/>
            <w:tcBorders>
              <w:top w:val="single" w:color="000000" w:sz="4" w:space="0"/>
              <w:left w:val="single" w:color="000000" w:sz="4" w:space="0"/>
              <w:bottom w:val="single" w:color="000000" w:sz="4" w:space="0"/>
            </w:tcBorders>
            <w:noWrap w:val="0"/>
            <w:vAlign w:val="center"/>
          </w:tcPr>
          <w:p w14:paraId="6E93B0CB">
            <w:pPr>
              <w:jc w:val="center"/>
              <w:rPr>
                <w:rFonts w:hint="eastAsia" w:ascii="宋体" w:hAnsi="宋体" w:eastAsia="宋体" w:cs="宋体"/>
                <w:kern w:val="1"/>
                <w:szCs w:val="21"/>
                <w:highlight w:val="none"/>
              </w:rPr>
            </w:pPr>
            <w:r>
              <w:rPr>
                <w:rFonts w:hint="eastAsia" w:ascii="宋体" w:hAnsi="宋体" w:eastAsia="宋体" w:cs="宋体"/>
                <w:kern w:val="1"/>
                <w:szCs w:val="21"/>
                <w:highlight w:val="none"/>
              </w:rPr>
              <w:t>附件十四</w:t>
            </w:r>
          </w:p>
        </w:tc>
      </w:tr>
      <w:tr w14:paraId="17318BBD">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527" w:hRule="atLeast"/>
        </w:trPr>
        <w:tc>
          <w:tcPr>
            <w:tcW w:w="720" w:type="dxa"/>
            <w:tcBorders>
              <w:top w:val="single" w:color="000000" w:sz="4" w:space="0"/>
              <w:bottom w:val="single" w:color="000000" w:sz="4" w:space="0"/>
              <w:right w:val="single" w:color="000000" w:sz="4" w:space="0"/>
            </w:tcBorders>
            <w:noWrap w:val="0"/>
            <w:vAlign w:val="center"/>
          </w:tcPr>
          <w:p w14:paraId="47E52C25">
            <w:pPr>
              <w:jc w:val="center"/>
              <w:rPr>
                <w:rFonts w:ascii="宋体" w:hAnsi="宋体" w:cs="宋体"/>
                <w:kern w:val="1"/>
                <w:szCs w:val="21"/>
                <w:highlight w:val="none"/>
              </w:rPr>
            </w:pPr>
            <w:r>
              <w:rPr>
                <w:rFonts w:hint="eastAsia" w:ascii="宋体" w:hAnsi="宋体" w:cs="宋体"/>
                <w:kern w:val="1"/>
                <w:szCs w:val="21"/>
                <w:highlight w:val="none"/>
              </w:rPr>
              <w:t>九</w:t>
            </w:r>
          </w:p>
        </w:tc>
        <w:tc>
          <w:tcPr>
            <w:tcW w:w="6994" w:type="dxa"/>
            <w:tcBorders>
              <w:top w:val="single" w:color="000000" w:sz="4" w:space="0"/>
              <w:left w:val="single" w:color="000000" w:sz="4" w:space="0"/>
              <w:bottom w:val="single" w:color="000000" w:sz="4" w:space="0"/>
              <w:right w:val="single" w:color="000000" w:sz="4" w:space="0"/>
            </w:tcBorders>
            <w:noWrap w:val="0"/>
            <w:vAlign w:val="center"/>
          </w:tcPr>
          <w:p w14:paraId="5AA38921">
            <w:pPr>
              <w:jc w:val="left"/>
              <w:rPr>
                <w:rFonts w:hint="eastAsia" w:ascii="宋体" w:hAnsi="宋体" w:eastAsia="宋体" w:cs="宋体"/>
                <w:kern w:val="1"/>
                <w:szCs w:val="21"/>
                <w:highlight w:val="none"/>
              </w:rPr>
            </w:pPr>
            <w:r>
              <w:rPr>
                <w:rFonts w:hint="eastAsia" w:ascii="宋体" w:hAnsi="宋体" w:eastAsia="宋体" w:cs="宋体"/>
                <w:snapToGrid w:val="0"/>
                <w:szCs w:val="21"/>
                <w:highlight w:val="none"/>
              </w:rPr>
              <w:t>实施组织方案</w:t>
            </w:r>
          </w:p>
        </w:tc>
        <w:tc>
          <w:tcPr>
            <w:tcW w:w="1646" w:type="dxa"/>
            <w:tcBorders>
              <w:top w:val="single" w:color="000000" w:sz="4" w:space="0"/>
              <w:left w:val="single" w:color="000000" w:sz="4" w:space="0"/>
              <w:bottom w:val="single" w:color="000000" w:sz="4" w:space="0"/>
            </w:tcBorders>
            <w:noWrap w:val="0"/>
            <w:vAlign w:val="center"/>
          </w:tcPr>
          <w:p w14:paraId="064242D1">
            <w:pPr>
              <w:jc w:val="center"/>
              <w:rPr>
                <w:rFonts w:hint="eastAsia" w:ascii="宋体" w:hAnsi="宋体" w:eastAsia="宋体" w:cs="宋体"/>
                <w:kern w:val="1"/>
                <w:szCs w:val="21"/>
                <w:highlight w:val="none"/>
              </w:rPr>
            </w:pPr>
            <w:r>
              <w:rPr>
                <w:rFonts w:hint="eastAsia" w:ascii="宋体" w:hAnsi="宋体" w:eastAsia="宋体" w:cs="宋体"/>
                <w:kern w:val="1"/>
                <w:szCs w:val="21"/>
                <w:highlight w:val="none"/>
              </w:rPr>
              <w:t>附件十五</w:t>
            </w:r>
          </w:p>
        </w:tc>
      </w:tr>
      <w:tr w14:paraId="2753E5E0">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527" w:hRule="atLeast"/>
        </w:trPr>
        <w:tc>
          <w:tcPr>
            <w:tcW w:w="720" w:type="dxa"/>
            <w:tcBorders>
              <w:top w:val="single" w:color="000000" w:sz="4" w:space="0"/>
              <w:bottom w:val="single" w:color="000000" w:sz="4" w:space="0"/>
              <w:right w:val="single" w:color="000000" w:sz="4" w:space="0"/>
            </w:tcBorders>
            <w:noWrap w:val="0"/>
            <w:vAlign w:val="center"/>
          </w:tcPr>
          <w:p w14:paraId="43F0E286">
            <w:pPr>
              <w:jc w:val="center"/>
              <w:rPr>
                <w:rFonts w:ascii="宋体" w:hAnsi="宋体" w:cs="宋体"/>
                <w:kern w:val="1"/>
                <w:szCs w:val="21"/>
                <w:highlight w:val="none"/>
              </w:rPr>
            </w:pPr>
            <w:r>
              <w:rPr>
                <w:rFonts w:hint="eastAsia" w:ascii="宋体" w:hAnsi="宋体" w:cs="宋体"/>
                <w:kern w:val="1"/>
                <w:szCs w:val="21"/>
                <w:highlight w:val="none"/>
              </w:rPr>
              <w:t>十</w:t>
            </w:r>
          </w:p>
        </w:tc>
        <w:tc>
          <w:tcPr>
            <w:tcW w:w="6994" w:type="dxa"/>
            <w:tcBorders>
              <w:top w:val="single" w:color="000000" w:sz="4" w:space="0"/>
              <w:left w:val="single" w:color="000000" w:sz="4" w:space="0"/>
              <w:bottom w:val="single" w:color="000000" w:sz="4" w:space="0"/>
              <w:right w:val="single" w:color="000000" w:sz="4" w:space="0"/>
            </w:tcBorders>
            <w:noWrap w:val="0"/>
            <w:vAlign w:val="center"/>
          </w:tcPr>
          <w:p w14:paraId="726E386B">
            <w:pPr>
              <w:jc w:val="left"/>
              <w:rPr>
                <w:rFonts w:hint="eastAsia" w:ascii="宋体" w:hAnsi="宋体" w:eastAsia="宋体" w:cs="宋体"/>
                <w:kern w:val="1"/>
                <w:szCs w:val="21"/>
                <w:highlight w:val="none"/>
              </w:rPr>
            </w:pPr>
            <w:r>
              <w:rPr>
                <w:rFonts w:hint="eastAsia" w:ascii="宋体" w:hAnsi="宋体" w:eastAsia="宋体" w:cs="宋体"/>
                <w:kern w:val="1"/>
                <w:szCs w:val="21"/>
                <w:highlight w:val="none"/>
              </w:rPr>
              <w:t>拟派项目团队情况表</w:t>
            </w:r>
          </w:p>
        </w:tc>
        <w:tc>
          <w:tcPr>
            <w:tcW w:w="1646" w:type="dxa"/>
            <w:tcBorders>
              <w:top w:val="single" w:color="000000" w:sz="4" w:space="0"/>
              <w:left w:val="single" w:color="000000" w:sz="4" w:space="0"/>
              <w:bottom w:val="single" w:color="000000" w:sz="4" w:space="0"/>
            </w:tcBorders>
            <w:noWrap w:val="0"/>
            <w:vAlign w:val="center"/>
          </w:tcPr>
          <w:p w14:paraId="1EB95117">
            <w:pPr>
              <w:jc w:val="center"/>
              <w:rPr>
                <w:rFonts w:hint="eastAsia" w:ascii="宋体" w:hAnsi="宋体" w:eastAsia="宋体" w:cs="宋体"/>
                <w:kern w:val="1"/>
                <w:szCs w:val="21"/>
                <w:highlight w:val="none"/>
              </w:rPr>
            </w:pPr>
            <w:r>
              <w:rPr>
                <w:rFonts w:hint="eastAsia" w:ascii="宋体" w:hAnsi="宋体" w:eastAsia="宋体" w:cs="宋体"/>
                <w:kern w:val="1"/>
                <w:szCs w:val="21"/>
                <w:highlight w:val="none"/>
              </w:rPr>
              <w:t>附件十六</w:t>
            </w:r>
          </w:p>
        </w:tc>
      </w:tr>
      <w:tr w14:paraId="35E8E30F">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527" w:hRule="atLeast"/>
        </w:trPr>
        <w:tc>
          <w:tcPr>
            <w:tcW w:w="720" w:type="dxa"/>
            <w:tcBorders>
              <w:top w:val="single" w:color="000000" w:sz="4" w:space="0"/>
              <w:bottom w:val="single" w:color="000000" w:sz="4" w:space="0"/>
              <w:right w:val="single" w:color="000000" w:sz="4" w:space="0"/>
            </w:tcBorders>
            <w:noWrap w:val="0"/>
            <w:vAlign w:val="center"/>
          </w:tcPr>
          <w:p w14:paraId="3A7FFB24">
            <w:pPr>
              <w:jc w:val="center"/>
              <w:rPr>
                <w:rFonts w:ascii="宋体" w:hAnsi="宋体" w:cs="宋体"/>
                <w:kern w:val="1"/>
                <w:szCs w:val="21"/>
                <w:highlight w:val="none"/>
              </w:rPr>
            </w:pPr>
            <w:r>
              <w:rPr>
                <w:rFonts w:hint="eastAsia" w:ascii="宋体" w:hAnsi="宋体" w:cs="宋体"/>
                <w:kern w:val="1"/>
                <w:szCs w:val="21"/>
                <w:highlight w:val="none"/>
              </w:rPr>
              <w:t>十一</w:t>
            </w:r>
          </w:p>
        </w:tc>
        <w:tc>
          <w:tcPr>
            <w:tcW w:w="6994" w:type="dxa"/>
            <w:tcBorders>
              <w:top w:val="single" w:color="000000" w:sz="4" w:space="0"/>
              <w:left w:val="single" w:color="000000" w:sz="4" w:space="0"/>
              <w:bottom w:val="single" w:color="000000" w:sz="4" w:space="0"/>
              <w:right w:val="single" w:color="000000" w:sz="4" w:space="0"/>
            </w:tcBorders>
            <w:noWrap w:val="0"/>
            <w:vAlign w:val="center"/>
          </w:tcPr>
          <w:p w14:paraId="399A62F6">
            <w:pPr>
              <w:jc w:val="left"/>
              <w:rPr>
                <w:rFonts w:hint="eastAsia" w:ascii="宋体" w:hAnsi="宋体" w:eastAsia="宋体" w:cs="宋体"/>
                <w:kern w:val="1"/>
                <w:szCs w:val="21"/>
                <w:highlight w:val="none"/>
              </w:rPr>
            </w:pPr>
            <w:r>
              <w:rPr>
                <w:rFonts w:hint="eastAsia" w:ascii="宋体" w:hAnsi="宋体" w:eastAsia="宋体" w:cs="宋体"/>
                <w:snapToGrid w:val="0"/>
                <w:szCs w:val="21"/>
                <w:highlight w:val="none"/>
              </w:rPr>
              <w:t>售后培训服务</w:t>
            </w:r>
          </w:p>
        </w:tc>
        <w:tc>
          <w:tcPr>
            <w:tcW w:w="1646" w:type="dxa"/>
            <w:tcBorders>
              <w:top w:val="single" w:color="000000" w:sz="4" w:space="0"/>
              <w:left w:val="single" w:color="000000" w:sz="4" w:space="0"/>
              <w:bottom w:val="single" w:color="000000" w:sz="4" w:space="0"/>
            </w:tcBorders>
            <w:noWrap w:val="0"/>
            <w:vAlign w:val="center"/>
          </w:tcPr>
          <w:p w14:paraId="0FF63707">
            <w:pPr>
              <w:jc w:val="center"/>
              <w:rPr>
                <w:rFonts w:ascii="宋体" w:hAnsi="宋体" w:eastAsia="宋体" w:cs="宋体"/>
                <w:kern w:val="1"/>
                <w:szCs w:val="21"/>
                <w:highlight w:val="none"/>
              </w:rPr>
            </w:pPr>
            <w:r>
              <w:rPr>
                <w:rFonts w:hint="eastAsia" w:ascii="宋体" w:hAnsi="宋体" w:eastAsia="宋体" w:cs="宋体"/>
                <w:kern w:val="1"/>
                <w:szCs w:val="21"/>
                <w:highlight w:val="none"/>
              </w:rPr>
              <w:t>附件十七</w:t>
            </w:r>
          </w:p>
        </w:tc>
      </w:tr>
      <w:tr w14:paraId="44F89DB4">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62" w:hRule="atLeast"/>
        </w:trPr>
        <w:tc>
          <w:tcPr>
            <w:tcW w:w="720" w:type="dxa"/>
            <w:tcBorders>
              <w:top w:val="single" w:color="000000" w:sz="4" w:space="0"/>
              <w:bottom w:val="single" w:color="000000" w:sz="4" w:space="0"/>
              <w:right w:val="single" w:color="000000" w:sz="4" w:space="0"/>
            </w:tcBorders>
            <w:noWrap w:val="0"/>
            <w:vAlign w:val="center"/>
          </w:tcPr>
          <w:p w14:paraId="3DE064BE">
            <w:pPr>
              <w:jc w:val="center"/>
              <w:rPr>
                <w:rFonts w:hint="eastAsia" w:ascii="宋体" w:hAnsi="宋体" w:eastAsia="宋体" w:cs="宋体"/>
                <w:kern w:val="1"/>
                <w:szCs w:val="21"/>
                <w:highlight w:val="none"/>
              </w:rPr>
            </w:pPr>
            <w:r>
              <w:rPr>
                <w:rFonts w:hint="eastAsia" w:ascii="宋体" w:hAnsi="宋体" w:eastAsia="宋体" w:cs="宋体"/>
                <w:kern w:val="1"/>
                <w:szCs w:val="21"/>
                <w:highlight w:val="none"/>
              </w:rPr>
              <w:t>十二</w:t>
            </w:r>
          </w:p>
        </w:tc>
        <w:tc>
          <w:tcPr>
            <w:tcW w:w="6994" w:type="dxa"/>
            <w:tcBorders>
              <w:top w:val="single" w:color="000000" w:sz="4" w:space="0"/>
              <w:left w:val="single" w:color="000000" w:sz="4" w:space="0"/>
              <w:bottom w:val="single" w:color="000000" w:sz="4" w:space="0"/>
              <w:right w:val="single" w:color="000000" w:sz="4" w:space="0"/>
            </w:tcBorders>
            <w:noWrap w:val="0"/>
            <w:vAlign w:val="center"/>
          </w:tcPr>
          <w:p w14:paraId="77F42DE5">
            <w:pPr>
              <w:jc w:val="left"/>
              <w:rPr>
                <w:rFonts w:hint="eastAsia" w:ascii="宋体" w:hAnsi="宋体" w:eastAsia="宋体" w:cs="宋体"/>
                <w:kern w:val="1"/>
                <w:szCs w:val="21"/>
                <w:highlight w:val="none"/>
                <w:u w:val="single"/>
              </w:rPr>
            </w:pPr>
            <w:r>
              <w:rPr>
                <w:rFonts w:hint="eastAsia" w:ascii="宋体" w:hAnsi="宋体" w:eastAsia="宋体" w:cs="宋体"/>
                <w:kern w:val="1"/>
                <w:szCs w:val="21"/>
                <w:highlight w:val="none"/>
              </w:rPr>
              <w:t>根据采购文件第五部分评标原则及方法“五、评分细则”-1.商务技术分的评定中评分内容，需要提供的文件和资料。格式自拟，在商务技术文件中已提供的无须重复提供。</w:t>
            </w:r>
          </w:p>
        </w:tc>
        <w:tc>
          <w:tcPr>
            <w:tcW w:w="1646" w:type="dxa"/>
            <w:tcBorders>
              <w:top w:val="single" w:color="000000" w:sz="4" w:space="0"/>
              <w:left w:val="single" w:color="000000" w:sz="4" w:space="0"/>
              <w:bottom w:val="single" w:color="000000" w:sz="4" w:space="0"/>
            </w:tcBorders>
            <w:noWrap w:val="0"/>
            <w:vAlign w:val="center"/>
          </w:tcPr>
          <w:p w14:paraId="50D2C848">
            <w:pPr>
              <w:jc w:val="center"/>
              <w:rPr>
                <w:rFonts w:hint="eastAsia" w:ascii="宋体" w:hAnsi="宋体" w:eastAsia="宋体" w:cs="宋体"/>
                <w:kern w:val="1"/>
                <w:szCs w:val="21"/>
                <w:highlight w:val="none"/>
              </w:rPr>
            </w:pPr>
          </w:p>
        </w:tc>
      </w:tr>
      <w:tr w14:paraId="050BA485">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62" w:hRule="atLeast"/>
        </w:trPr>
        <w:tc>
          <w:tcPr>
            <w:tcW w:w="720" w:type="dxa"/>
            <w:tcBorders>
              <w:top w:val="single" w:color="000000" w:sz="4" w:space="0"/>
              <w:bottom w:val="single" w:color="000000" w:sz="4" w:space="0"/>
              <w:right w:val="single" w:color="000000" w:sz="4" w:space="0"/>
            </w:tcBorders>
            <w:noWrap w:val="0"/>
            <w:vAlign w:val="center"/>
          </w:tcPr>
          <w:p w14:paraId="5DC0B383">
            <w:pPr>
              <w:jc w:val="center"/>
              <w:rPr>
                <w:rFonts w:hint="eastAsia" w:ascii="宋体" w:hAnsi="宋体" w:eastAsia="宋体" w:cs="宋体"/>
                <w:kern w:val="1"/>
                <w:szCs w:val="21"/>
                <w:highlight w:val="none"/>
              </w:rPr>
            </w:pPr>
            <w:r>
              <w:rPr>
                <w:rFonts w:hint="eastAsia" w:ascii="宋体" w:hAnsi="宋体" w:cs="宋体"/>
                <w:kern w:val="1"/>
                <w:szCs w:val="21"/>
                <w:highlight w:val="none"/>
              </w:rPr>
              <w:t>十三</w:t>
            </w:r>
          </w:p>
        </w:tc>
        <w:tc>
          <w:tcPr>
            <w:tcW w:w="6994" w:type="dxa"/>
            <w:tcBorders>
              <w:top w:val="single" w:color="000000" w:sz="4" w:space="0"/>
              <w:left w:val="single" w:color="000000" w:sz="4" w:space="0"/>
              <w:bottom w:val="single" w:color="000000" w:sz="4" w:space="0"/>
              <w:right w:val="single" w:color="000000" w:sz="4" w:space="0"/>
            </w:tcBorders>
            <w:noWrap w:val="0"/>
            <w:vAlign w:val="center"/>
          </w:tcPr>
          <w:p w14:paraId="07E1FE36">
            <w:pPr>
              <w:jc w:val="left"/>
              <w:rPr>
                <w:rFonts w:hint="eastAsia" w:ascii="宋体" w:hAnsi="宋体" w:eastAsia="宋体" w:cs="宋体"/>
                <w:kern w:val="1"/>
                <w:szCs w:val="21"/>
                <w:highlight w:val="none"/>
                <w:u w:val="single"/>
              </w:rPr>
            </w:pPr>
            <w:r>
              <w:rPr>
                <w:rFonts w:hint="eastAsia" w:ascii="宋体" w:hAnsi="宋体" w:eastAsia="宋体" w:cs="宋体"/>
                <w:kern w:val="1"/>
                <w:szCs w:val="21"/>
                <w:highlight w:val="none"/>
              </w:rPr>
              <w:t>供应商认为需要提供的其他资料</w:t>
            </w:r>
          </w:p>
        </w:tc>
        <w:tc>
          <w:tcPr>
            <w:tcW w:w="1646" w:type="dxa"/>
            <w:tcBorders>
              <w:top w:val="single" w:color="000000" w:sz="4" w:space="0"/>
              <w:left w:val="single" w:color="000000" w:sz="4" w:space="0"/>
              <w:bottom w:val="single" w:color="000000" w:sz="4" w:space="0"/>
            </w:tcBorders>
            <w:noWrap w:val="0"/>
            <w:vAlign w:val="center"/>
          </w:tcPr>
          <w:p w14:paraId="5E9C1E18">
            <w:pPr>
              <w:jc w:val="center"/>
              <w:rPr>
                <w:rFonts w:hint="eastAsia" w:ascii="宋体" w:hAnsi="宋体" w:eastAsia="宋体" w:cs="宋体"/>
                <w:kern w:val="1"/>
                <w:szCs w:val="21"/>
                <w:highlight w:val="none"/>
              </w:rPr>
            </w:pPr>
          </w:p>
        </w:tc>
      </w:tr>
    </w:tbl>
    <w:p w14:paraId="17E1853D">
      <w:pPr>
        <w:spacing w:line="430" w:lineRule="exact"/>
        <w:ind w:left="187" w:hanging="9"/>
        <w:rPr>
          <w:rFonts w:hint="eastAsia" w:ascii="宋体" w:hAnsi="宋体" w:cs="宋体"/>
          <w:b/>
          <w:kern w:val="1"/>
          <w:szCs w:val="21"/>
          <w:highlight w:val="none"/>
        </w:rPr>
      </w:pPr>
      <w:r>
        <w:rPr>
          <w:rFonts w:hint="eastAsia" w:ascii="宋体" w:hAnsi="宋体" w:cs="宋体"/>
          <w:b/>
          <w:kern w:val="1"/>
          <w:szCs w:val="21"/>
          <w:highlight w:val="none"/>
        </w:rPr>
        <w:t>说明：</w:t>
      </w:r>
    </w:p>
    <w:p w14:paraId="18B3B6F3">
      <w:pPr>
        <w:tabs>
          <w:tab w:val="left" w:pos="780"/>
          <w:tab w:val="left" w:pos="5355"/>
        </w:tabs>
        <w:spacing w:line="430" w:lineRule="exact"/>
        <w:ind w:firstLine="422" w:firstLineChars="200"/>
        <w:rPr>
          <w:rFonts w:hint="eastAsia" w:ascii="宋体" w:hAnsi="宋体" w:cs="宋体"/>
          <w:kern w:val="1"/>
          <w:szCs w:val="21"/>
          <w:highlight w:val="none"/>
          <w:u w:val="single"/>
        </w:rPr>
      </w:pPr>
      <w:r>
        <w:rPr>
          <w:rFonts w:hint="eastAsia" w:ascii="宋体" w:hAnsi="宋体" w:cs="宋体"/>
          <w:b/>
          <w:bCs/>
          <w:szCs w:val="21"/>
          <w:highlight w:val="none"/>
          <w:u w:val="single"/>
        </w:rPr>
        <w:t>1、▲</w:t>
      </w:r>
      <w:r>
        <w:rPr>
          <w:rFonts w:hint="eastAsia" w:ascii="宋体" w:hAnsi="宋体" w:cs="宋体"/>
          <w:kern w:val="1"/>
          <w:szCs w:val="21"/>
          <w:highlight w:val="none"/>
          <w:u w:val="single"/>
        </w:rPr>
        <w:t>投标供应商所提供的服务及货物在合同执行过程中如若发生侵权事件，其侵权责任与采购人、合同甲方及采购代理机构无关，由投标供应商承担全部责任。侵权造成的所有相关费用，均由投标供应商支付，保证不伤害采购人、合同甲方的利益。</w:t>
      </w:r>
    </w:p>
    <w:p w14:paraId="081A357D">
      <w:pPr>
        <w:tabs>
          <w:tab w:val="left" w:pos="780"/>
          <w:tab w:val="left" w:pos="5355"/>
        </w:tabs>
        <w:spacing w:line="430" w:lineRule="exact"/>
        <w:ind w:firstLine="420" w:firstLineChars="200"/>
        <w:rPr>
          <w:rFonts w:hint="eastAsia" w:ascii="宋体" w:hAnsi="宋体" w:cs="宋体"/>
          <w:kern w:val="1"/>
          <w:szCs w:val="21"/>
          <w:highlight w:val="none"/>
        </w:rPr>
      </w:pPr>
      <w:r>
        <w:rPr>
          <w:rFonts w:hint="eastAsia" w:ascii="宋体" w:hAnsi="宋体" w:cs="宋体"/>
          <w:kern w:val="1"/>
          <w:szCs w:val="21"/>
          <w:highlight w:val="none"/>
        </w:rPr>
        <w:t>2、投标供应商可在投标文件中对采购文件中的技术要求选用替代标准、补充或更改，但这些替代标准及补充更改必须相当于或优于采购文件中提出的相应技术要求，并使采购人满意。同时在技术、商务偏离表中作出详细说明。</w:t>
      </w:r>
    </w:p>
    <w:p w14:paraId="6B2855E9">
      <w:pPr>
        <w:tabs>
          <w:tab w:val="left" w:pos="780"/>
          <w:tab w:val="left" w:pos="5355"/>
        </w:tabs>
        <w:spacing w:line="430" w:lineRule="exact"/>
        <w:ind w:firstLine="422" w:firstLineChars="200"/>
        <w:rPr>
          <w:rFonts w:hint="eastAsia" w:ascii="宋体" w:hAnsi="宋体" w:cs="宋体"/>
          <w:b/>
          <w:bCs/>
          <w:kern w:val="1"/>
          <w:szCs w:val="21"/>
          <w:highlight w:val="none"/>
        </w:rPr>
      </w:pPr>
      <w:r>
        <w:rPr>
          <w:rFonts w:hint="eastAsia" w:ascii="宋体" w:hAnsi="宋体" w:cs="宋体"/>
          <w:b/>
          <w:bCs/>
          <w:szCs w:val="21"/>
          <w:highlight w:val="none"/>
        </w:rPr>
        <w:t>3、</w:t>
      </w:r>
      <w:r>
        <w:rPr>
          <w:rFonts w:hint="eastAsia" w:ascii="宋体" w:hAnsi="宋体" w:cs="宋体"/>
          <w:b/>
          <w:bCs/>
          <w:kern w:val="1"/>
          <w:szCs w:val="21"/>
          <w:highlight w:val="none"/>
        </w:rPr>
        <w:t>以上所需的各种证书、证件、证明、执照若系复印件或扫描件，须提供复印件或扫描件加盖投标供应商有效的公章。</w:t>
      </w:r>
    </w:p>
    <w:p w14:paraId="43172976">
      <w:pPr>
        <w:spacing w:line="430" w:lineRule="exact"/>
        <w:ind w:firstLine="211" w:firstLineChars="100"/>
        <w:rPr>
          <w:rFonts w:hint="eastAsia" w:ascii="宋体" w:hAnsi="宋体" w:cs="宋体"/>
          <w:b/>
          <w:kern w:val="1"/>
          <w:szCs w:val="21"/>
          <w:highlight w:val="none"/>
        </w:rPr>
      </w:pPr>
      <w:bookmarkStart w:id="80" w:name="_Toc221356886"/>
      <w:bookmarkEnd w:id="80"/>
      <w:r>
        <w:rPr>
          <w:rFonts w:hint="eastAsia" w:ascii="宋体" w:hAnsi="宋体" w:cs="宋体"/>
          <w:b/>
          <w:kern w:val="1"/>
          <w:szCs w:val="21"/>
          <w:highlight w:val="none"/>
        </w:rPr>
        <w:t xml:space="preserve">（3） </w:t>
      </w:r>
      <w:r>
        <w:rPr>
          <w:rFonts w:hint="eastAsia" w:ascii="宋体" w:hAnsi="宋体" w:cs="宋体"/>
          <w:b/>
          <w:bCs/>
          <w:szCs w:val="21"/>
          <w:highlight w:val="none"/>
          <w:u w:val="single"/>
        </w:rPr>
        <w:t>报价文件</w:t>
      </w:r>
    </w:p>
    <w:tbl>
      <w:tblPr>
        <w:tblStyle w:val="35"/>
        <w:tblW w:w="0" w:type="auto"/>
        <w:tblInd w:w="125" w:type="dxa"/>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Layout w:type="fixed"/>
        <w:tblCellMar>
          <w:top w:w="0" w:type="dxa"/>
          <w:left w:w="108" w:type="dxa"/>
          <w:bottom w:w="0" w:type="dxa"/>
          <w:right w:w="108" w:type="dxa"/>
        </w:tblCellMar>
      </w:tblPr>
      <w:tblGrid>
        <w:gridCol w:w="781"/>
        <w:gridCol w:w="6796"/>
        <w:gridCol w:w="1748"/>
      </w:tblGrid>
      <w:tr w14:paraId="709C7236">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23" w:hRule="atLeast"/>
        </w:trPr>
        <w:tc>
          <w:tcPr>
            <w:tcW w:w="781" w:type="dxa"/>
            <w:tcBorders>
              <w:bottom w:val="single" w:color="000000" w:sz="4" w:space="0"/>
              <w:right w:val="single" w:color="000000" w:sz="4" w:space="0"/>
            </w:tcBorders>
            <w:noWrap w:val="0"/>
            <w:vAlign w:val="center"/>
          </w:tcPr>
          <w:p w14:paraId="289E2E6F">
            <w:pPr>
              <w:spacing w:line="430" w:lineRule="exact"/>
              <w:rPr>
                <w:rFonts w:hint="eastAsia" w:ascii="宋体" w:hAnsi="宋体" w:eastAsia="宋体" w:cs="宋体"/>
                <w:b/>
                <w:kern w:val="1"/>
                <w:szCs w:val="21"/>
                <w:highlight w:val="none"/>
              </w:rPr>
            </w:pPr>
            <w:r>
              <w:rPr>
                <w:rFonts w:hint="eastAsia" w:ascii="宋体" w:hAnsi="宋体" w:eastAsia="宋体" w:cs="宋体"/>
                <w:b/>
                <w:kern w:val="1"/>
                <w:szCs w:val="21"/>
                <w:highlight w:val="none"/>
              </w:rPr>
              <w:t>序号</w:t>
            </w:r>
          </w:p>
        </w:tc>
        <w:tc>
          <w:tcPr>
            <w:tcW w:w="6796" w:type="dxa"/>
            <w:tcBorders>
              <w:left w:val="single" w:color="000000" w:sz="4" w:space="0"/>
              <w:bottom w:val="single" w:color="000000" w:sz="4" w:space="0"/>
              <w:right w:val="single" w:color="000000" w:sz="4" w:space="0"/>
            </w:tcBorders>
            <w:noWrap w:val="0"/>
            <w:vAlign w:val="center"/>
          </w:tcPr>
          <w:p w14:paraId="7B3F6CAE">
            <w:pPr>
              <w:spacing w:line="430" w:lineRule="exact"/>
              <w:rPr>
                <w:rFonts w:hint="eastAsia" w:ascii="宋体" w:hAnsi="宋体" w:eastAsia="宋体" w:cs="宋体"/>
                <w:b/>
                <w:kern w:val="1"/>
                <w:szCs w:val="21"/>
                <w:highlight w:val="none"/>
              </w:rPr>
            </w:pPr>
            <w:r>
              <w:rPr>
                <w:rFonts w:hint="eastAsia" w:ascii="宋体" w:hAnsi="宋体" w:eastAsia="宋体" w:cs="宋体"/>
                <w:b/>
                <w:kern w:val="1"/>
                <w:szCs w:val="21"/>
                <w:highlight w:val="none"/>
              </w:rPr>
              <w:t>内容</w:t>
            </w:r>
          </w:p>
        </w:tc>
        <w:tc>
          <w:tcPr>
            <w:tcW w:w="1748" w:type="dxa"/>
            <w:tcBorders>
              <w:left w:val="single" w:color="000000" w:sz="4" w:space="0"/>
              <w:bottom w:val="single" w:color="000000" w:sz="4" w:space="0"/>
            </w:tcBorders>
            <w:noWrap w:val="0"/>
            <w:vAlign w:val="center"/>
          </w:tcPr>
          <w:p w14:paraId="26BE2195">
            <w:pPr>
              <w:spacing w:line="430" w:lineRule="exact"/>
              <w:jc w:val="center"/>
              <w:rPr>
                <w:rFonts w:hint="eastAsia" w:ascii="宋体" w:hAnsi="宋体" w:eastAsia="宋体" w:cs="宋体"/>
                <w:b/>
                <w:kern w:val="1"/>
                <w:szCs w:val="21"/>
                <w:highlight w:val="none"/>
              </w:rPr>
            </w:pPr>
            <w:r>
              <w:rPr>
                <w:rFonts w:hint="eastAsia" w:ascii="宋体" w:hAnsi="宋体" w:eastAsia="宋体" w:cs="宋体"/>
                <w:b/>
                <w:kern w:val="1"/>
                <w:szCs w:val="21"/>
                <w:highlight w:val="none"/>
              </w:rPr>
              <w:t>备注</w:t>
            </w:r>
          </w:p>
        </w:tc>
      </w:tr>
      <w:tr w14:paraId="102B2750">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23" w:hRule="atLeast"/>
        </w:trPr>
        <w:tc>
          <w:tcPr>
            <w:tcW w:w="781" w:type="dxa"/>
            <w:tcBorders>
              <w:top w:val="single" w:color="000000" w:sz="4" w:space="0"/>
              <w:bottom w:val="single" w:color="000000" w:sz="4" w:space="0"/>
              <w:right w:val="single" w:color="000000" w:sz="4" w:space="0"/>
            </w:tcBorders>
            <w:noWrap w:val="0"/>
            <w:vAlign w:val="center"/>
          </w:tcPr>
          <w:p w14:paraId="1D478105">
            <w:pPr>
              <w:spacing w:line="430" w:lineRule="exact"/>
              <w:jc w:val="center"/>
              <w:rPr>
                <w:rFonts w:hint="eastAsia" w:ascii="宋体" w:hAnsi="宋体" w:eastAsia="宋体" w:cs="宋体"/>
                <w:kern w:val="1"/>
                <w:szCs w:val="21"/>
                <w:highlight w:val="none"/>
              </w:rPr>
            </w:pPr>
            <w:r>
              <w:rPr>
                <w:rFonts w:hint="eastAsia" w:ascii="宋体" w:hAnsi="宋体" w:eastAsia="宋体" w:cs="宋体"/>
                <w:kern w:val="1"/>
                <w:szCs w:val="21"/>
                <w:highlight w:val="none"/>
              </w:rPr>
              <w:t>1)</w:t>
            </w:r>
          </w:p>
        </w:tc>
        <w:tc>
          <w:tcPr>
            <w:tcW w:w="6796" w:type="dxa"/>
            <w:tcBorders>
              <w:top w:val="single" w:color="000000" w:sz="4" w:space="0"/>
              <w:left w:val="single" w:color="000000" w:sz="4" w:space="0"/>
              <w:bottom w:val="single" w:color="000000" w:sz="4" w:space="0"/>
              <w:right w:val="single" w:color="000000" w:sz="4" w:space="0"/>
            </w:tcBorders>
            <w:noWrap w:val="0"/>
            <w:vAlign w:val="center"/>
          </w:tcPr>
          <w:p w14:paraId="7E81139E">
            <w:pPr>
              <w:rPr>
                <w:rFonts w:hint="eastAsia" w:ascii="宋体" w:hAnsi="宋体" w:eastAsia="宋体" w:cs="宋体"/>
                <w:kern w:val="1"/>
                <w:szCs w:val="21"/>
                <w:highlight w:val="none"/>
                <w:u w:val="single"/>
              </w:rPr>
            </w:pPr>
            <w:r>
              <w:rPr>
                <w:rFonts w:hint="eastAsia" w:ascii="宋体" w:hAnsi="宋体" w:eastAsia="宋体" w:cs="宋体"/>
                <w:kern w:val="1"/>
                <w:szCs w:val="21"/>
                <w:highlight w:val="none"/>
                <w:u w:val="single"/>
              </w:rPr>
              <w:t>▲开标一览表</w:t>
            </w:r>
          </w:p>
        </w:tc>
        <w:tc>
          <w:tcPr>
            <w:tcW w:w="1748" w:type="dxa"/>
            <w:tcBorders>
              <w:top w:val="single" w:color="000000" w:sz="4" w:space="0"/>
              <w:left w:val="single" w:color="000000" w:sz="4" w:space="0"/>
              <w:bottom w:val="single" w:color="000000" w:sz="4" w:space="0"/>
            </w:tcBorders>
            <w:noWrap w:val="0"/>
            <w:vAlign w:val="center"/>
          </w:tcPr>
          <w:p w14:paraId="281D0A30">
            <w:pPr>
              <w:spacing w:line="430" w:lineRule="exact"/>
              <w:jc w:val="center"/>
              <w:rPr>
                <w:rFonts w:hint="eastAsia" w:ascii="宋体" w:hAnsi="宋体" w:eastAsia="宋体" w:cs="宋体"/>
                <w:b/>
                <w:kern w:val="1"/>
                <w:szCs w:val="21"/>
                <w:highlight w:val="none"/>
              </w:rPr>
            </w:pPr>
            <w:r>
              <w:rPr>
                <w:rFonts w:hint="eastAsia" w:ascii="宋体" w:hAnsi="宋体" w:eastAsia="宋体" w:cs="宋体"/>
                <w:kern w:val="1"/>
                <w:szCs w:val="21"/>
                <w:highlight w:val="none"/>
              </w:rPr>
              <w:t>附件十八</w:t>
            </w:r>
          </w:p>
        </w:tc>
      </w:tr>
      <w:tr w14:paraId="628255D5">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23" w:hRule="atLeast"/>
        </w:trPr>
        <w:tc>
          <w:tcPr>
            <w:tcW w:w="781" w:type="dxa"/>
            <w:tcBorders>
              <w:top w:val="single" w:color="000000" w:sz="4" w:space="0"/>
              <w:right w:val="single" w:color="000000" w:sz="4" w:space="0"/>
            </w:tcBorders>
            <w:noWrap w:val="0"/>
            <w:vAlign w:val="center"/>
          </w:tcPr>
          <w:p w14:paraId="75060DCB">
            <w:pPr>
              <w:spacing w:line="430" w:lineRule="exact"/>
              <w:jc w:val="center"/>
              <w:rPr>
                <w:rFonts w:hint="eastAsia" w:ascii="宋体" w:hAnsi="宋体" w:eastAsia="宋体" w:cs="宋体"/>
                <w:kern w:val="1"/>
                <w:szCs w:val="21"/>
                <w:highlight w:val="none"/>
              </w:rPr>
            </w:pPr>
            <w:r>
              <w:rPr>
                <w:rFonts w:hint="eastAsia" w:ascii="宋体" w:hAnsi="宋体" w:eastAsia="宋体" w:cs="宋体"/>
                <w:kern w:val="1"/>
                <w:szCs w:val="21"/>
                <w:highlight w:val="none"/>
              </w:rPr>
              <w:t>2)</w:t>
            </w:r>
          </w:p>
        </w:tc>
        <w:tc>
          <w:tcPr>
            <w:tcW w:w="6796" w:type="dxa"/>
            <w:tcBorders>
              <w:top w:val="single" w:color="000000" w:sz="4" w:space="0"/>
              <w:left w:val="single" w:color="000000" w:sz="4" w:space="0"/>
              <w:right w:val="single" w:color="000000" w:sz="4" w:space="0"/>
            </w:tcBorders>
            <w:noWrap w:val="0"/>
            <w:vAlign w:val="center"/>
          </w:tcPr>
          <w:p w14:paraId="3595C9B4">
            <w:pPr>
              <w:rPr>
                <w:rFonts w:hint="eastAsia" w:ascii="宋体" w:hAnsi="宋体" w:eastAsia="宋体" w:cs="宋体"/>
                <w:kern w:val="1"/>
                <w:szCs w:val="21"/>
                <w:highlight w:val="none"/>
                <w:u w:val="single"/>
              </w:rPr>
            </w:pPr>
            <w:r>
              <w:rPr>
                <w:rFonts w:hint="eastAsia" w:ascii="宋体" w:hAnsi="宋体" w:eastAsia="宋体" w:cs="宋体"/>
                <w:kern w:val="1"/>
                <w:szCs w:val="21"/>
                <w:highlight w:val="none"/>
                <w:u w:val="single"/>
              </w:rPr>
              <w:t>▲投标分项报价表</w:t>
            </w:r>
          </w:p>
        </w:tc>
        <w:tc>
          <w:tcPr>
            <w:tcW w:w="1748" w:type="dxa"/>
            <w:tcBorders>
              <w:top w:val="single" w:color="000000" w:sz="4" w:space="0"/>
              <w:left w:val="single" w:color="000000" w:sz="4" w:space="0"/>
            </w:tcBorders>
            <w:noWrap w:val="0"/>
            <w:vAlign w:val="center"/>
          </w:tcPr>
          <w:p w14:paraId="1BA1675E">
            <w:pPr>
              <w:spacing w:line="430" w:lineRule="exact"/>
              <w:jc w:val="center"/>
              <w:rPr>
                <w:rFonts w:hint="eastAsia" w:ascii="宋体" w:hAnsi="宋体" w:eastAsia="宋体" w:cs="宋体"/>
                <w:b/>
                <w:kern w:val="1"/>
                <w:szCs w:val="21"/>
                <w:highlight w:val="none"/>
              </w:rPr>
            </w:pPr>
            <w:r>
              <w:rPr>
                <w:rFonts w:hint="eastAsia" w:ascii="宋体" w:hAnsi="宋体" w:eastAsia="宋体" w:cs="宋体"/>
                <w:kern w:val="1"/>
                <w:szCs w:val="21"/>
                <w:highlight w:val="none"/>
              </w:rPr>
              <w:t>附件十九</w:t>
            </w:r>
          </w:p>
        </w:tc>
      </w:tr>
    </w:tbl>
    <w:p w14:paraId="4D410328">
      <w:pPr>
        <w:tabs>
          <w:tab w:val="left" w:pos="780"/>
          <w:tab w:val="left" w:pos="5355"/>
        </w:tabs>
        <w:spacing w:line="430" w:lineRule="exact"/>
        <w:rPr>
          <w:rFonts w:hint="eastAsia" w:ascii="宋体" w:hAnsi="宋体" w:cs="宋体"/>
          <w:kern w:val="1"/>
          <w:szCs w:val="21"/>
          <w:highlight w:val="none"/>
        </w:rPr>
      </w:pPr>
      <w:r>
        <w:rPr>
          <w:rFonts w:hint="eastAsia" w:ascii="宋体" w:hAnsi="宋体" w:cs="宋体"/>
          <w:kern w:val="1"/>
          <w:szCs w:val="21"/>
          <w:highlight w:val="none"/>
        </w:rPr>
        <w:t>10.2投标文件格式</w:t>
      </w:r>
    </w:p>
    <w:p w14:paraId="3ACDB2B3">
      <w:pPr>
        <w:tabs>
          <w:tab w:val="left" w:pos="780"/>
          <w:tab w:val="left" w:pos="5355"/>
        </w:tabs>
        <w:spacing w:line="430" w:lineRule="exact"/>
        <w:ind w:firstLine="420" w:firstLineChars="200"/>
        <w:rPr>
          <w:rFonts w:hint="eastAsia" w:ascii="宋体" w:hAnsi="宋体" w:cs="宋体"/>
          <w:kern w:val="1"/>
          <w:szCs w:val="21"/>
          <w:highlight w:val="none"/>
        </w:rPr>
      </w:pPr>
      <w:r>
        <w:rPr>
          <w:rFonts w:hint="eastAsia" w:ascii="宋体" w:hAnsi="宋体" w:cs="宋体"/>
          <w:kern w:val="1"/>
          <w:szCs w:val="21"/>
          <w:highlight w:val="none"/>
        </w:rPr>
        <w:t>10.2.1 投标文件应按供应商须知第10条“投标文件的构成”要求进行编制，如有必要，可以增加附页，作为投标文件的组成部分。</w:t>
      </w:r>
    </w:p>
    <w:p w14:paraId="75E728B4">
      <w:pPr>
        <w:tabs>
          <w:tab w:val="left" w:pos="780"/>
          <w:tab w:val="left" w:pos="5355"/>
        </w:tabs>
        <w:spacing w:line="430" w:lineRule="exact"/>
        <w:ind w:firstLine="420" w:firstLineChars="200"/>
        <w:rPr>
          <w:rFonts w:hint="eastAsia" w:ascii="宋体" w:hAnsi="宋体" w:cs="宋体"/>
          <w:kern w:val="1"/>
          <w:szCs w:val="21"/>
          <w:highlight w:val="none"/>
        </w:rPr>
      </w:pPr>
      <w:r>
        <w:rPr>
          <w:rFonts w:hint="eastAsia" w:ascii="宋体" w:hAnsi="宋体" w:cs="宋体"/>
          <w:kern w:val="1"/>
          <w:szCs w:val="21"/>
          <w:highlight w:val="none"/>
        </w:rPr>
        <w:t>10.2.2 投标文件应由投标供应商按采购文件要求进行签名盖章确认。</w:t>
      </w:r>
    </w:p>
    <w:p w14:paraId="013C736A">
      <w:pPr>
        <w:tabs>
          <w:tab w:val="left" w:pos="780"/>
          <w:tab w:val="left" w:pos="5355"/>
        </w:tabs>
        <w:spacing w:line="430" w:lineRule="exact"/>
        <w:ind w:firstLine="420" w:firstLineChars="200"/>
        <w:rPr>
          <w:rFonts w:hint="eastAsia" w:ascii="宋体" w:hAnsi="宋体" w:cs="宋体"/>
          <w:kern w:val="1"/>
          <w:szCs w:val="21"/>
          <w:highlight w:val="none"/>
        </w:rPr>
      </w:pPr>
      <w:r>
        <w:rPr>
          <w:rFonts w:hint="eastAsia" w:ascii="宋体" w:hAnsi="宋体" w:cs="宋体"/>
          <w:kern w:val="1"/>
          <w:szCs w:val="21"/>
          <w:highlight w:val="none"/>
        </w:rPr>
        <w:t>10.2.3 投标供应商编制的CA加密电子投标文件，必须是使用投标文件制作软件最新版（系统自带更新系统）生成的后缀名为“.WZCQTF”的CA加密电子投标文件。未按上述要求加密和数字证书认证的投标文件，将被视为无效投标文件。</w:t>
      </w:r>
    </w:p>
    <w:p w14:paraId="39827F76">
      <w:pPr>
        <w:tabs>
          <w:tab w:val="left" w:pos="780"/>
          <w:tab w:val="left" w:pos="5355"/>
        </w:tabs>
        <w:spacing w:line="430" w:lineRule="exact"/>
        <w:ind w:firstLine="420" w:firstLineChars="200"/>
        <w:rPr>
          <w:rFonts w:hint="eastAsia" w:ascii="宋体" w:hAnsi="宋体" w:cs="宋体"/>
          <w:kern w:val="1"/>
          <w:szCs w:val="21"/>
          <w:highlight w:val="none"/>
        </w:rPr>
      </w:pPr>
      <w:r>
        <w:rPr>
          <w:rFonts w:hint="eastAsia" w:ascii="宋体" w:hAnsi="宋体" w:cs="宋体"/>
          <w:kern w:val="1"/>
          <w:szCs w:val="21"/>
          <w:highlight w:val="none"/>
        </w:rPr>
        <w:t>10.2.4 注册及标书制作工具</w:t>
      </w:r>
    </w:p>
    <w:p w14:paraId="1B4A570E">
      <w:pPr>
        <w:tabs>
          <w:tab w:val="left" w:pos="780"/>
          <w:tab w:val="left" w:pos="5355"/>
        </w:tabs>
        <w:spacing w:line="430" w:lineRule="exact"/>
        <w:ind w:firstLine="420" w:firstLineChars="200"/>
        <w:rPr>
          <w:rFonts w:hint="eastAsia" w:ascii="宋体" w:hAnsi="宋体" w:cs="宋体"/>
          <w:kern w:val="1"/>
          <w:szCs w:val="21"/>
          <w:highlight w:val="none"/>
        </w:rPr>
      </w:pPr>
      <w:r>
        <w:rPr>
          <w:rFonts w:hint="eastAsia" w:ascii="宋体" w:hAnsi="宋体" w:cs="宋体"/>
          <w:kern w:val="1"/>
          <w:szCs w:val="21"/>
          <w:highlight w:val="none"/>
        </w:rPr>
        <w:t>注册及标书制作工具相关下载地址：</w:t>
      </w:r>
      <w:bookmarkStart w:id="81" w:name="OLE_LINK12"/>
      <w:r>
        <w:rPr>
          <w:rFonts w:hint="eastAsia" w:ascii="宋体" w:hAnsi="宋体" w:cs="宋体"/>
          <w:kern w:val="1"/>
          <w:szCs w:val="21"/>
          <w:highlight w:val="none"/>
        </w:rPr>
        <w:t>https://www.wzygcg.com/xzzx/infolist.html</w:t>
      </w:r>
      <w:bookmarkEnd w:id="81"/>
    </w:p>
    <w:p w14:paraId="1366CDF1">
      <w:pPr>
        <w:tabs>
          <w:tab w:val="left" w:pos="780"/>
          <w:tab w:val="left" w:pos="5355"/>
        </w:tabs>
        <w:spacing w:line="430" w:lineRule="exact"/>
        <w:ind w:firstLine="420" w:firstLineChars="200"/>
        <w:rPr>
          <w:rFonts w:hint="eastAsia" w:ascii="宋体" w:hAnsi="宋体" w:cs="宋体"/>
          <w:kern w:val="1"/>
          <w:szCs w:val="21"/>
          <w:highlight w:val="none"/>
        </w:rPr>
      </w:pPr>
      <w:r>
        <w:rPr>
          <w:rFonts w:hint="eastAsia" w:ascii="宋体" w:hAnsi="宋体" w:cs="宋体"/>
          <w:kern w:val="1"/>
          <w:szCs w:val="21"/>
          <w:highlight w:val="none"/>
        </w:rPr>
        <w:t>10.2.5 电子投标流程如下：</w:t>
      </w:r>
    </w:p>
    <w:p w14:paraId="138F617F">
      <w:pPr>
        <w:tabs>
          <w:tab w:val="left" w:pos="780"/>
          <w:tab w:val="left" w:pos="5355"/>
        </w:tabs>
        <w:spacing w:line="430" w:lineRule="exact"/>
        <w:ind w:firstLine="420" w:firstLineChars="200"/>
        <w:rPr>
          <w:rFonts w:hint="eastAsia" w:ascii="宋体" w:hAnsi="宋体" w:cs="宋体"/>
          <w:kern w:val="1"/>
          <w:szCs w:val="21"/>
          <w:highlight w:val="none"/>
        </w:rPr>
      </w:pPr>
      <w:r>
        <w:rPr>
          <w:rFonts w:hint="eastAsia" w:ascii="宋体" w:hAnsi="宋体" w:cs="宋体"/>
          <w:kern w:val="1"/>
          <w:szCs w:val="21"/>
          <w:highlight w:val="none"/>
        </w:rPr>
        <w:t>供应商登录→下载采购文件（如果有澄清文件，需要下载澄清文件进行制作）→使用电子投标文件制作软件制作投标文件→系统完善投标信息→上传投标文件。</w:t>
      </w:r>
    </w:p>
    <w:p w14:paraId="5EF7BCCF">
      <w:pPr>
        <w:tabs>
          <w:tab w:val="left" w:pos="420"/>
          <w:tab w:val="left" w:pos="540"/>
        </w:tabs>
        <w:spacing w:line="460" w:lineRule="exact"/>
        <w:rPr>
          <w:rFonts w:hint="eastAsia" w:ascii="宋体" w:hAnsi="宋体" w:cs="宋体"/>
          <w:kern w:val="1"/>
          <w:szCs w:val="21"/>
          <w:highlight w:val="none"/>
        </w:rPr>
      </w:pPr>
      <w:r>
        <w:rPr>
          <w:rFonts w:hint="eastAsia" w:ascii="宋体" w:hAnsi="宋体" w:cs="宋体"/>
          <w:bCs/>
          <w:kern w:val="1"/>
          <w:szCs w:val="21"/>
          <w:highlight w:val="none"/>
        </w:rPr>
        <w:t>11.投标报价</w:t>
      </w:r>
    </w:p>
    <w:p w14:paraId="3DCF0107">
      <w:pPr>
        <w:widowControl/>
        <w:tabs>
          <w:tab w:val="left" w:pos="540"/>
        </w:tabs>
        <w:autoSpaceDE w:val="0"/>
        <w:autoSpaceDN w:val="0"/>
        <w:adjustRightInd w:val="0"/>
        <w:spacing w:line="460" w:lineRule="exact"/>
        <w:ind w:firstLine="422" w:firstLineChars="200"/>
        <w:textAlignment w:val="bottom"/>
        <w:rPr>
          <w:rFonts w:hint="eastAsia" w:ascii="宋体" w:hAnsi="宋体" w:cs="宋体"/>
          <w:b/>
          <w:bCs/>
          <w:szCs w:val="21"/>
          <w:highlight w:val="none"/>
          <w:u w:val="single"/>
          <w:lang w:val="zh-CN" w:bidi="zh-CN"/>
        </w:rPr>
      </w:pPr>
      <w:r>
        <w:rPr>
          <w:rFonts w:hint="eastAsia" w:ascii="宋体" w:hAnsi="宋体" w:cs="宋体"/>
          <w:b/>
          <w:bCs/>
          <w:szCs w:val="21"/>
          <w:highlight w:val="none"/>
          <w:u w:val="single"/>
        </w:rPr>
        <w:t>▲投标报价是指中标供应商在正确地完全履行合同义务后合同甲方应支付给中标供应商所有的价款，即完成上述范围工作任务所发生的一切费用（应包括但不限于设计、制造、货物款、质保期内所需耗材、专用工具、包装、运输装卸就位、安装、调试、试运行、保险、验收、交付使用、技术服务、培训、售后服务、质保期保障、采购代理服务费、税金、利润等及完成合同所需的一切本身和不可或缺的所有工作开支、政策性文件规定及合同包含的所有风险、责任等各项全部费用，并承担一切风险责任。），供应商应根据上述因素自行考虑含入投标总价</w:t>
      </w:r>
      <w:r>
        <w:rPr>
          <w:rFonts w:hint="eastAsia" w:ascii="宋体" w:hAnsi="宋体" w:cs="宋体"/>
          <w:b/>
          <w:bCs/>
          <w:szCs w:val="21"/>
          <w:highlight w:val="none"/>
          <w:u w:val="single"/>
          <w:lang w:val="zh-CN" w:bidi="zh-CN"/>
        </w:rPr>
        <w:t>。</w:t>
      </w:r>
    </w:p>
    <w:p w14:paraId="6362AF70">
      <w:pPr>
        <w:tabs>
          <w:tab w:val="left" w:pos="540"/>
        </w:tabs>
        <w:spacing w:line="460" w:lineRule="exact"/>
        <w:rPr>
          <w:rFonts w:hint="eastAsia" w:ascii="宋体" w:hAnsi="宋体" w:cs="宋体"/>
          <w:kern w:val="1"/>
          <w:szCs w:val="21"/>
          <w:highlight w:val="none"/>
        </w:rPr>
      </w:pPr>
      <w:r>
        <w:rPr>
          <w:rFonts w:hint="eastAsia" w:ascii="宋体" w:hAnsi="宋体" w:cs="宋体"/>
          <w:kern w:val="1"/>
          <w:szCs w:val="21"/>
          <w:highlight w:val="none"/>
        </w:rPr>
        <w:t>11.1投标供应商须认真阅读、充分理解采购文件，如有疑问可在询疑截止时间前送达采购代理机构，采购代理机构将会统一解答。任何因对本项目采购文件理解不清、产生歧义等由此产生的费用，视作已含在投标总价中。</w:t>
      </w:r>
    </w:p>
    <w:p w14:paraId="6D8D3CDD">
      <w:pPr>
        <w:tabs>
          <w:tab w:val="left" w:pos="540"/>
        </w:tabs>
        <w:spacing w:line="460" w:lineRule="exact"/>
        <w:rPr>
          <w:rFonts w:hint="eastAsia" w:ascii="宋体" w:hAnsi="宋体" w:cs="宋体"/>
          <w:kern w:val="1"/>
          <w:szCs w:val="21"/>
          <w:highlight w:val="none"/>
          <w:u w:val="single"/>
        </w:rPr>
      </w:pPr>
      <w:r>
        <w:rPr>
          <w:rFonts w:hint="eastAsia" w:ascii="宋体" w:hAnsi="宋体" w:cs="宋体"/>
          <w:kern w:val="1"/>
          <w:szCs w:val="21"/>
          <w:highlight w:val="none"/>
        </w:rPr>
        <w:t>11.2</w:t>
      </w:r>
      <w:r>
        <w:rPr>
          <w:rFonts w:hint="eastAsia" w:ascii="宋体" w:hAnsi="宋体" w:cs="宋体"/>
          <w:b/>
          <w:bCs/>
          <w:szCs w:val="21"/>
          <w:highlight w:val="none"/>
        </w:rPr>
        <w:t>▲</w:t>
      </w:r>
      <w:r>
        <w:rPr>
          <w:rFonts w:hint="eastAsia" w:ascii="宋体" w:hAnsi="宋体" w:cs="宋体"/>
          <w:kern w:val="1"/>
          <w:szCs w:val="21"/>
          <w:highlight w:val="none"/>
          <w:u w:val="single"/>
        </w:rPr>
        <w:t>投标供应商必须按第三部分附件的开标一览表（统一格式）、投标分项报价表（统一格式）</w:t>
      </w:r>
    </w:p>
    <w:p w14:paraId="01B4F3D0">
      <w:pPr>
        <w:tabs>
          <w:tab w:val="left" w:pos="540"/>
        </w:tabs>
        <w:spacing w:line="460" w:lineRule="exact"/>
        <w:rPr>
          <w:rFonts w:hint="eastAsia" w:ascii="宋体" w:hAnsi="宋体" w:cs="宋体"/>
          <w:kern w:val="1"/>
          <w:szCs w:val="21"/>
          <w:highlight w:val="none"/>
          <w:u w:val="single"/>
        </w:rPr>
      </w:pPr>
      <w:r>
        <w:rPr>
          <w:rFonts w:hint="eastAsia" w:ascii="宋体" w:hAnsi="宋体" w:cs="宋体"/>
          <w:kern w:val="1"/>
          <w:szCs w:val="21"/>
          <w:highlight w:val="none"/>
          <w:u w:val="single"/>
        </w:rPr>
        <w:t>的内容填写单价、合价及其他事项，并由法定代表人或授权代表签署或盖章。</w:t>
      </w:r>
    </w:p>
    <w:p w14:paraId="6D48E389">
      <w:pPr>
        <w:tabs>
          <w:tab w:val="left" w:pos="540"/>
        </w:tabs>
        <w:spacing w:line="460" w:lineRule="exact"/>
        <w:rPr>
          <w:rFonts w:hint="eastAsia" w:ascii="宋体" w:hAnsi="宋体" w:cs="宋体"/>
          <w:b/>
          <w:kern w:val="1"/>
          <w:szCs w:val="21"/>
          <w:highlight w:val="none"/>
        </w:rPr>
      </w:pPr>
      <w:r>
        <w:rPr>
          <w:rFonts w:hint="eastAsia" w:ascii="宋体" w:hAnsi="宋体" w:cs="宋体"/>
          <w:b/>
          <w:bCs/>
          <w:szCs w:val="21"/>
          <w:highlight w:val="none"/>
        </w:rPr>
        <w:t>11.3▲</w:t>
      </w:r>
      <w:r>
        <w:rPr>
          <w:rFonts w:hint="eastAsia" w:ascii="宋体" w:hAnsi="宋体" w:cs="宋体"/>
          <w:kern w:val="1"/>
          <w:szCs w:val="21"/>
          <w:highlight w:val="none"/>
          <w:u w:val="single"/>
        </w:rPr>
        <w:t>所有投标报价均以人民币报价。</w:t>
      </w:r>
    </w:p>
    <w:p w14:paraId="3E640319">
      <w:pPr>
        <w:tabs>
          <w:tab w:val="left" w:pos="540"/>
        </w:tabs>
        <w:spacing w:line="460" w:lineRule="exact"/>
        <w:rPr>
          <w:rFonts w:hint="eastAsia" w:ascii="宋体" w:hAnsi="宋体" w:cs="宋体"/>
          <w:kern w:val="1"/>
          <w:szCs w:val="21"/>
          <w:highlight w:val="none"/>
        </w:rPr>
      </w:pPr>
      <w:r>
        <w:rPr>
          <w:rFonts w:hint="eastAsia" w:ascii="宋体" w:hAnsi="宋体" w:cs="宋体"/>
          <w:b/>
          <w:bCs/>
          <w:szCs w:val="21"/>
          <w:highlight w:val="none"/>
        </w:rPr>
        <w:t>11.4▲</w:t>
      </w:r>
      <w:r>
        <w:rPr>
          <w:rFonts w:hint="eastAsia" w:ascii="宋体" w:hAnsi="宋体" w:cs="宋体"/>
          <w:kern w:val="1"/>
          <w:szCs w:val="21"/>
          <w:highlight w:val="none"/>
          <w:u w:val="single"/>
        </w:rPr>
        <w:t>采购人不接受任何选择报价，对每一项货物/服务只允许一个报价。</w:t>
      </w:r>
    </w:p>
    <w:p w14:paraId="5740E658">
      <w:pPr>
        <w:tabs>
          <w:tab w:val="left" w:pos="540"/>
        </w:tabs>
        <w:spacing w:line="460" w:lineRule="exact"/>
        <w:rPr>
          <w:rFonts w:hint="eastAsia" w:ascii="宋体" w:hAnsi="宋体" w:cs="宋体"/>
          <w:kern w:val="1"/>
          <w:szCs w:val="21"/>
          <w:highlight w:val="none"/>
        </w:rPr>
      </w:pPr>
      <w:r>
        <w:rPr>
          <w:rFonts w:hint="eastAsia" w:ascii="宋体" w:hAnsi="宋体" w:cs="宋体"/>
          <w:kern w:val="1"/>
          <w:szCs w:val="21"/>
          <w:highlight w:val="none"/>
        </w:rPr>
        <w:t>11.5采购人要求分类报价是为了方便评标，但在任何情况下不限制采购人以其认为最合适的条款、条件签订合同的权利。</w:t>
      </w:r>
    </w:p>
    <w:p w14:paraId="0B1FD145">
      <w:pPr>
        <w:tabs>
          <w:tab w:val="left" w:pos="540"/>
        </w:tabs>
        <w:spacing w:line="460" w:lineRule="exact"/>
        <w:rPr>
          <w:rFonts w:hint="eastAsia" w:ascii="宋体" w:hAnsi="宋体" w:cs="宋体"/>
          <w:kern w:val="1"/>
          <w:szCs w:val="21"/>
          <w:highlight w:val="none"/>
        </w:rPr>
      </w:pPr>
      <w:r>
        <w:rPr>
          <w:rFonts w:hint="eastAsia" w:ascii="宋体" w:hAnsi="宋体" w:cs="宋体"/>
          <w:kern w:val="1"/>
          <w:szCs w:val="21"/>
          <w:highlight w:val="none"/>
        </w:rPr>
        <w:t>11.6投标报价报出后，投标供应商不得以任何理由予以变更。任何包含价格调整的要求，将被认为是非实质性响应投标而予以拒绝。</w:t>
      </w:r>
    </w:p>
    <w:p w14:paraId="344670AA">
      <w:pPr>
        <w:tabs>
          <w:tab w:val="left" w:pos="540"/>
        </w:tabs>
        <w:spacing w:line="460" w:lineRule="exact"/>
        <w:rPr>
          <w:rFonts w:hint="eastAsia" w:ascii="宋体" w:hAnsi="宋体" w:cs="宋体"/>
          <w:kern w:val="1"/>
          <w:szCs w:val="21"/>
          <w:highlight w:val="none"/>
        </w:rPr>
      </w:pPr>
      <w:r>
        <w:rPr>
          <w:rFonts w:hint="eastAsia" w:ascii="宋体" w:hAnsi="宋体" w:cs="宋体"/>
          <w:kern w:val="1"/>
          <w:szCs w:val="21"/>
          <w:highlight w:val="none"/>
        </w:rPr>
        <w:t>11.7 最低报价不能作为中标的保证。</w:t>
      </w:r>
    </w:p>
    <w:p w14:paraId="2DBC34F3">
      <w:pPr>
        <w:tabs>
          <w:tab w:val="left" w:pos="420"/>
          <w:tab w:val="left" w:pos="540"/>
        </w:tabs>
        <w:spacing w:line="460" w:lineRule="exact"/>
        <w:rPr>
          <w:rFonts w:hint="eastAsia" w:ascii="宋体" w:hAnsi="宋体" w:cs="宋体"/>
          <w:kern w:val="1"/>
          <w:szCs w:val="21"/>
          <w:highlight w:val="none"/>
        </w:rPr>
      </w:pPr>
      <w:r>
        <w:rPr>
          <w:rFonts w:hint="eastAsia" w:ascii="宋体" w:hAnsi="宋体" w:cs="宋体"/>
          <w:bCs/>
          <w:kern w:val="1"/>
          <w:szCs w:val="21"/>
          <w:highlight w:val="none"/>
        </w:rPr>
        <w:t>12投标保证金</w:t>
      </w:r>
    </w:p>
    <w:p w14:paraId="64B85D8E">
      <w:pPr>
        <w:tabs>
          <w:tab w:val="left" w:pos="535"/>
        </w:tabs>
        <w:overflowPunct w:val="0"/>
        <w:spacing w:line="460" w:lineRule="exact"/>
        <w:rPr>
          <w:rFonts w:hint="eastAsia" w:ascii="宋体" w:hAnsi="宋体" w:cs="宋体"/>
          <w:b/>
          <w:szCs w:val="21"/>
          <w:highlight w:val="none"/>
        </w:rPr>
      </w:pPr>
      <w:r>
        <w:rPr>
          <w:rFonts w:hint="eastAsia" w:ascii="宋体" w:hAnsi="宋体" w:cs="宋体"/>
          <w:b/>
          <w:szCs w:val="21"/>
          <w:highlight w:val="none"/>
          <w:u w:val="single"/>
        </w:rPr>
        <w:t>12.1▲投标供应商须提供由其汇出的投标保证金支付凭证（金额详见《投标供应商须知前附表》，投标保证金汇出账户的名称须与投标供应商的名称相一致），否则采购人将不接受其投标。</w:t>
      </w:r>
    </w:p>
    <w:p w14:paraId="7703BBEE">
      <w:pPr>
        <w:tabs>
          <w:tab w:val="left" w:pos="540"/>
        </w:tabs>
        <w:spacing w:line="460" w:lineRule="exact"/>
        <w:rPr>
          <w:rFonts w:hint="eastAsia" w:ascii="宋体" w:hAnsi="宋体" w:cs="宋体"/>
          <w:kern w:val="1"/>
          <w:szCs w:val="21"/>
          <w:highlight w:val="none"/>
        </w:rPr>
      </w:pPr>
      <w:r>
        <w:rPr>
          <w:rFonts w:hint="eastAsia" w:ascii="宋体" w:hAnsi="宋体" w:cs="宋体"/>
          <w:kern w:val="1"/>
          <w:szCs w:val="21"/>
          <w:highlight w:val="none"/>
        </w:rPr>
        <w:t>12.2中标供应商的投标保证金在中标供应商与合同甲方签订合同后5日内无息退还，未中标投标供应商的投标保证金将在确定中标供应商后无息退还。</w:t>
      </w:r>
    </w:p>
    <w:p w14:paraId="13B8E953">
      <w:pPr>
        <w:tabs>
          <w:tab w:val="left" w:pos="540"/>
        </w:tabs>
        <w:spacing w:line="460" w:lineRule="exact"/>
        <w:rPr>
          <w:rFonts w:hint="eastAsia" w:ascii="宋体" w:hAnsi="宋体" w:cs="宋体"/>
          <w:b/>
          <w:kern w:val="1"/>
          <w:szCs w:val="21"/>
          <w:highlight w:val="none"/>
        </w:rPr>
      </w:pPr>
      <w:r>
        <w:rPr>
          <w:rFonts w:hint="eastAsia" w:ascii="宋体" w:hAnsi="宋体" w:cs="宋体"/>
          <w:b/>
          <w:kern w:val="1"/>
          <w:szCs w:val="21"/>
          <w:highlight w:val="none"/>
        </w:rPr>
        <w:t>12.3如发生下列情况之一，投标保证金将不予退还：</w:t>
      </w:r>
    </w:p>
    <w:p w14:paraId="06C7A160">
      <w:pPr>
        <w:tabs>
          <w:tab w:val="left" w:pos="360"/>
        </w:tabs>
        <w:spacing w:line="430" w:lineRule="exact"/>
        <w:rPr>
          <w:rFonts w:hint="eastAsia" w:ascii="宋体" w:hAnsi="宋体" w:cs="宋体"/>
          <w:kern w:val="1"/>
          <w:szCs w:val="21"/>
          <w:highlight w:val="none"/>
        </w:rPr>
      </w:pPr>
      <w:r>
        <w:rPr>
          <w:rFonts w:hint="eastAsia" w:ascii="宋体" w:hAnsi="宋体" w:cs="宋体"/>
          <w:kern w:val="1"/>
          <w:szCs w:val="21"/>
          <w:highlight w:val="none"/>
        </w:rPr>
        <w:t>（1）投标供应商在采购文件规定的投标有效期内撤回投标；</w:t>
      </w:r>
    </w:p>
    <w:p w14:paraId="55A79E25">
      <w:pPr>
        <w:tabs>
          <w:tab w:val="left" w:pos="360"/>
        </w:tabs>
        <w:spacing w:line="430" w:lineRule="exact"/>
        <w:rPr>
          <w:rFonts w:hint="eastAsia" w:ascii="宋体" w:hAnsi="宋体" w:cs="宋体"/>
          <w:kern w:val="1"/>
          <w:szCs w:val="21"/>
          <w:highlight w:val="none"/>
        </w:rPr>
      </w:pPr>
      <w:r>
        <w:rPr>
          <w:rFonts w:hint="eastAsia" w:ascii="宋体" w:hAnsi="宋体" w:cs="宋体"/>
          <w:kern w:val="1"/>
          <w:szCs w:val="21"/>
          <w:highlight w:val="none"/>
        </w:rPr>
        <w:t>（2）中标供应商未按中标通知书中规定的时间与项目业主签订合同；</w:t>
      </w:r>
    </w:p>
    <w:p w14:paraId="143B5439">
      <w:pPr>
        <w:tabs>
          <w:tab w:val="left" w:pos="360"/>
        </w:tabs>
        <w:spacing w:line="430" w:lineRule="exact"/>
        <w:rPr>
          <w:rFonts w:hint="eastAsia" w:ascii="宋体" w:hAnsi="宋体" w:cs="宋体"/>
          <w:kern w:val="1"/>
          <w:szCs w:val="21"/>
          <w:highlight w:val="none"/>
        </w:rPr>
      </w:pPr>
      <w:r>
        <w:rPr>
          <w:rFonts w:hint="eastAsia" w:ascii="宋体" w:hAnsi="宋体" w:cs="宋体"/>
          <w:kern w:val="1"/>
          <w:szCs w:val="21"/>
          <w:highlight w:val="none"/>
        </w:rPr>
        <w:t>（3）中标供应商在规定期限内未能根据采购文件要求提供履约保证金；</w:t>
      </w:r>
    </w:p>
    <w:p w14:paraId="7640F405">
      <w:pPr>
        <w:tabs>
          <w:tab w:val="left" w:pos="360"/>
        </w:tabs>
        <w:spacing w:line="430" w:lineRule="exact"/>
        <w:rPr>
          <w:rFonts w:hint="eastAsia" w:ascii="宋体" w:hAnsi="宋体" w:cs="宋体"/>
          <w:kern w:val="1"/>
          <w:szCs w:val="21"/>
          <w:highlight w:val="none"/>
        </w:rPr>
      </w:pPr>
      <w:r>
        <w:rPr>
          <w:rFonts w:hint="eastAsia" w:ascii="宋体" w:hAnsi="宋体" w:cs="宋体"/>
          <w:kern w:val="1"/>
          <w:szCs w:val="21"/>
          <w:highlight w:val="none"/>
        </w:rPr>
        <w:t>（4）投标供应商提供虚假技术指标及参数，经评标委员会或采购人或监督部门确认属实的。</w:t>
      </w:r>
    </w:p>
    <w:p w14:paraId="1286B954">
      <w:pPr>
        <w:tabs>
          <w:tab w:val="left" w:pos="360"/>
        </w:tabs>
        <w:spacing w:line="430" w:lineRule="exact"/>
        <w:rPr>
          <w:rFonts w:hint="eastAsia" w:ascii="宋体" w:hAnsi="宋体" w:cs="宋体"/>
          <w:szCs w:val="21"/>
          <w:highlight w:val="none"/>
        </w:rPr>
      </w:pPr>
      <w:r>
        <w:rPr>
          <w:rFonts w:hint="eastAsia" w:ascii="宋体" w:hAnsi="宋体" w:cs="宋体"/>
          <w:kern w:val="1"/>
          <w:szCs w:val="21"/>
          <w:highlight w:val="none"/>
        </w:rPr>
        <w:t>（5）经国企监督部门审查认定投标供应商有违反《温州市市属国有企业采购管理办法》等有关法律法规的行为。</w:t>
      </w:r>
    </w:p>
    <w:p w14:paraId="439A0EF3">
      <w:pPr>
        <w:tabs>
          <w:tab w:val="left" w:pos="360"/>
        </w:tabs>
        <w:spacing w:line="430" w:lineRule="exact"/>
        <w:rPr>
          <w:rFonts w:hint="eastAsia" w:ascii="宋体" w:hAnsi="宋体" w:cs="宋体"/>
          <w:b/>
          <w:kern w:val="1"/>
          <w:szCs w:val="21"/>
          <w:highlight w:val="none"/>
        </w:rPr>
      </w:pPr>
      <w:r>
        <w:rPr>
          <w:rFonts w:hint="eastAsia" w:ascii="宋体" w:hAnsi="宋体" w:cs="宋体"/>
          <w:bCs/>
          <w:kern w:val="1"/>
          <w:szCs w:val="21"/>
          <w:highlight w:val="none"/>
        </w:rPr>
        <w:t>13.投标有效期</w:t>
      </w:r>
    </w:p>
    <w:p w14:paraId="516925EA">
      <w:pPr>
        <w:tabs>
          <w:tab w:val="left" w:pos="540"/>
        </w:tabs>
        <w:spacing w:line="460" w:lineRule="exact"/>
        <w:rPr>
          <w:rFonts w:hint="eastAsia" w:ascii="宋体" w:hAnsi="宋体" w:cs="宋体"/>
          <w:kern w:val="1"/>
          <w:szCs w:val="21"/>
          <w:highlight w:val="none"/>
          <w:u w:val="single"/>
        </w:rPr>
      </w:pPr>
      <w:r>
        <w:rPr>
          <w:rFonts w:hint="eastAsia" w:ascii="宋体" w:hAnsi="宋体" w:cs="宋体"/>
          <w:b/>
          <w:szCs w:val="21"/>
          <w:highlight w:val="none"/>
          <w:u w:val="single"/>
        </w:rPr>
        <w:t>13.1▲</w:t>
      </w:r>
      <w:r>
        <w:rPr>
          <w:rFonts w:hint="eastAsia" w:ascii="宋体" w:hAnsi="宋体" w:cs="宋体"/>
          <w:b/>
          <w:kern w:val="1"/>
          <w:szCs w:val="21"/>
          <w:highlight w:val="none"/>
          <w:u w:val="single"/>
        </w:rPr>
        <w:t>自开标之日起120天内投标应保持有效。投标有效期短于这个规定期限的投标将视为非响应性投标而予以拒绝。</w:t>
      </w:r>
    </w:p>
    <w:p w14:paraId="42AC55DC">
      <w:pPr>
        <w:tabs>
          <w:tab w:val="left" w:pos="540"/>
        </w:tabs>
        <w:spacing w:line="460" w:lineRule="exact"/>
        <w:rPr>
          <w:rFonts w:hint="eastAsia" w:ascii="宋体" w:hAnsi="宋体" w:cs="宋体"/>
          <w:kern w:val="1"/>
          <w:szCs w:val="21"/>
          <w:highlight w:val="none"/>
        </w:rPr>
      </w:pPr>
      <w:r>
        <w:rPr>
          <w:rFonts w:hint="eastAsia" w:ascii="宋体" w:hAnsi="宋体" w:cs="宋体"/>
          <w:kern w:val="1"/>
          <w:szCs w:val="21"/>
          <w:highlight w:val="none"/>
        </w:rPr>
        <w:t>13.2在投标有效期内，投标供应商不得要求撤销或修改其投标文件。</w:t>
      </w:r>
    </w:p>
    <w:p w14:paraId="3B0830F0">
      <w:pPr>
        <w:tabs>
          <w:tab w:val="left" w:pos="540"/>
        </w:tabs>
        <w:spacing w:line="460" w:lineRule="exact"/>
        <w:rPr>
          <w:rFonts w:hint="eastAsia" w:ascii="宋体" w:hAnsi="宋体" w:cs="宋体"/>
          <w:kern w:val="1"/>
          <w:szCs w:val="21"/>
          <w:highlight w:val="none"/>
        </w:rPr>
      </w:pPr>
      <w:r>
        <w:rPr>
          <w:rFonts w:hint="eastAsia" w:ascii="宋体" w:hAnsi="宋体" w:cs="宋体"/>
          <w:kern w:val="1"/>
          <w:szCs w:val="21"/>
          <w:highlight w:val="none"/>
        </w:rPr>
        <w:t>13.3特殊情况下，在原投标有效期截止前，采购人可与投标供应商协商延长投标有效期，这种要求和答复均以书面形式进行。投标供应商可拒绝接受延期要求，而不会导致投标保证金不予退还。同意延长投标有效期的投标供应商不得修改投标文件。有关退还和不予退还投标保证金的规定在投标有效期的延长期内继续有效。</w:t>
      </w:r>
    </w:p>
    <w:p w14:paraId="5EBBDD66">
      <w:pPr>
        <w:tabs>
          <w:tab w:val="left" w:pos="420"/>
          <w:tab w:val="left" w:pos="540"/>
        </w:tabs>
        <w:spacing w:line="460" w:lineRule="exact"/>
        <w:rPr>
          <w:rFonts w:hint="eastAsia" w:ascii="宋体" w:hAnsi="宋体" w:cs="宋体"/>
          <w:kern w:val="1"/>
          <w:szCs w:val="21"/>
          <w:highlight w:val="none"/>
        </w:rPr>
      </w:pPr>
      <w:r>
        <w:rPr>
          <w:rFonts w:hint="eastAsia" w:ascii="宋体" w:hAnsi="宋体" w:cs="宋体"/>
          <w:bCs/>
          <w:kern w:val="1"/>
          <w:szCs w:val="21"/>
          <w:highlight w:val="none"/>
        </w:rPr>
        <w:t>14.投标文件的签署和规定</w:t>
      </w:r>
    </w:p>
    <w:p w14:paraId="4D5CEBE1">
      <w:pPr>
        <w:tabs>
          <w:tab w:val="left" w:pos="540"/>
        </w:tabs>
        <w:spacing w:line="460" w:lineRule="exact"/>
        <w:rPr>
          <w:rFonts w:hint="eastAsia" w:ascii="宋体" w:hAnsi="宋体" w:cs="宋体"/>
          <w:b/>
          <w:szCs w:val="21"/>
          <w:highlight w:val="none"/>
          <w:u w:val="single"/>
        </w:rPr>
      </w:pPr>
      <w:r>
        <w:rPr>
          <w:rFonts w:hint="eastAsia" w:ascii="宋体" w:hAnsi="宋体" w:cs="宋体"/>
          <w:b/>
          <w:szCs w:val="21"/>
          <w:highlight w:val="none"/>
          <w:u w:val="single"/>
        </w:rPr>
        <w:t>14.1▲采购文件里要求盖公章处使用电子签章。</w:t>
      </w:r>
    </w:p>
    <w:p w14:paraId="4153CD4C">
      <w:pPr>
        <w:tabs>
          <w:tab w:val="left" w:pos="540"/>
        </w:tabs>
        <w:spacing w:line="460" w:lineRule="exact"/>
        <w:rPr>
          <w:rFonts w:hint="eastAsia" w:ascii="宋体" w:hAnsi="宋体" w:cs="宋体"/>
          <w:kern w:val="1"/>
          <w:szCs w:val="21"/>
          <w:highlight w:val="none"/>
        </w:rPr>
      </w:pPr>
      <w:r>
        <w:rPr>
          <w:rFonts w:hint="eastAsia" w:ascii="宋体" w:hAnsi="宋体" w:cs="宋体"/>
          <w:b/>
          <w:szCs w:val="21"/>
          <w:highlight w:val="none"/>
          <w:u w:val="single"/>
        </w:rPr>
        <w:t>14.2▲</w:t>
      </w:r>
      <w:r>
        <w:rPr>
          <w:rFonts w:hint="eastAsia" w:ascii="宋体" w:hAnsi="宋体" w:cs="宋体"/>
          <w:b/>
          <w:bCs/>
          <w:kern w:val="1"/>
          <w:szCs w:val="21"/>
          <w:highlight w:val="none"/>
          <w:u w:val="single"/>
        </w:rPr>
        <w:t>投标文件字迹模糊或在关键的技术、商务条款上表述不清楚，将可能导致其投标被拒绝</w:t>
      </w:r>
      <w:r>
        <w:rPr>
          <w:rFonts w:hint="eastAsia" w:ascii="宋体" w:hAnsi="宋体" w:cs="宋体"/>
          <w:kern w:val="1"/>
          <w:szCs w:val="21"/>
          <w:highlight w:val="none"/>
        </w:rPr>
        <w:t>。</w:t>
      </w:r>
    </w:p>
    <w:p w14:paraId="4C54F655">
      <w:pPr>
        <w:tabs>
          <w:tab w:val="left" w:pos="540"/>
        </w:tabs>
        <w:spacing w:line="460" w:lineRule="exact"/>
        <w:rPr>
          <w:rFonts w:ascii="宋体" w:hAnsi="宋体" w:cs="宋体"/>
          <w:kern w:val="1"/>
          <w:szCs w:val="21"/>
          <w:highlight w:val="none"/>
        </w:rPr>
      </w:pPr>
      <w:r>
        <w:rPr>
          <w:rFonts w:hint="eastAsia" w:ascii="宋体" w:hAnsi="宋体" w:cs="宋体"/>
          <w:kern w:val="1"/>
          <w:szCs w:val="21"/>
          <w:highlight w:val="none"/>
        </w:rPr>
        <w:t>15.投标文件编制其他要求</w:t>
      </w:r>
    </w:p>
    <w:p w14:paraId="6BB111C5">
      <w:pPr>
        <w:tabs>
          <w:tab w:val="left" w:pos="540"/>
        </w:tabs>
        <w:spacing w:line="460" w:lineRule="exact"/>
        <w:rPr>
          <w:rFonts w:hint="eastAsia" w:ascii="宋体" w:hAnsi="宋体" w:cs="宋体"/>
          <w:kern w:val="1"/>
          <w:szCs w:val="21"/>
          <w:highlight w:val="none"/>
        </w:rPr>
      </w:pPr>
      <w:r>
        <w:rPr>
          <w:rFonts w:hint="eastAsia" w:ascii="宋体" w:hAnsi="宋体" w:cs="宋体"/>
          <w:kern w:val="1"/>
          <w:szCs w:val="21"/>
          <w:highlight w:val="none"/>
        </w:rPr>
        <w:t>15.1本项目通过“温州市阳光采购服务平台（https://www.wzygcg.com/)”实行在线投标响应（电子投标）。投标供应商应先注册“温州市阳光采购服务平台”并安装“投标文件制作软件”和申领“CA数字证书”，按照本采购文件和“温州市阳光采购服务平台”的要求，通过“投标文件制作软件”编制并加密投标文件。</w:t>
      </w:r>
    </w:p>
    <w:p w14:paraId="10983B7B">
      <w:pPr>
        <w:tabs>
          <w:tab w:val="left" w:pos="540"/>
        </w:tabs>
        <w:spacing w:line="460" w:lineRule="exact"/>
        <w:rPr>
          <w:rFonts w:hint="eastAsia" w:ascii="宋体" w:hAnsi="宋体" w:cs="宋体"/>
          <w:kern w:val="1"/>
          <w:szCs w:val="21"/>
          <w:highlight w:val="none"/>
        </w:rPr>
      </w:pPr>
      <w:r>
        <w:rPr>
          <w:rFonts w:hint="eastAsia" w:ascii="宋体" w:hAnsi="宋体" w:cs="宋体"/>
          <w:kern w:val="1"/>
          <w:szCs w:val="21"/>
          <w:highlight w:val="none"/>
        </w:rPr>
        <w:t>15.2投标供应商应当按照本章节“投标文件由‘资格文件’、‘报价文件’和‘商务技术文件’三个部分组成”规定的内容及顺序编制投标文件。其中“资格文件”和“商务技术文件”中不得出现本项目投标报价，如因投标供应商原因提前泄露投标报价，是投标供应商的责任。</w:t>
      </w:r>
    </w:p>
    <w:p w14:paraId="53EAB574">
      <w:pPr>
        <w:tabs>
          <w:tab w:val="left" w:pos="540"/>
        </w:tabs>
        <w:spacing w:line="460" w:lineRule="exact"/>
        <w:rPr>
          <w:rFonts w:hint="eastAsia" w:ascii="宋体" w:hAnsi="宋体" w:cs="宋体"/>
          <w:kern w:val="1"/>
          <w:szCs w:val="21"/>
          <w:highlight w:val="none"/>
        </w:rPr>
      </w:pPr>
      <w:r>
        <w:rPr>
          <w:rFonts w:hint="eastAsia" w:ascii="宋体" w:hAnsi="宋体" w:cs="宋体"/>
          <w:kern w:val="1"/>
          <w:szCs w:val="21"/>
          <w:highlight w:val="none"/>
        </w:rPr>
        <w:t>15.3本文件“第三部分 附件”中有提供格式的，投标供应商须参照格式进行编制（格式中要求提供相关证明材料的还需后附相关证明材料），按格式要求在指定位置根据要求签字或盖章，否则视为未提供；本文件“第三部分 附件”未提供格式的，请各投标供应商自行拟定格式。</w:t>
      </w:r>
    </w:p>
    <w:p w14:paraId="0595D71D">
      <w:pPr>
        <w:tabs>
          <w:tab w:val="left" w:pos="540"/>
        </w:tabs>
        <w:spacing w:line="460" w:lineRule="exact"/>
        <w:rPr>
          <w:rFonts w:hint="eastAsia" w:ascii="宋体" w:hAnsi="宋体" w:cs="宋体"/>
          <w:kern w:val="1"/>
          <w:szCs w:val="21"/>
          <w:highlight w:val="none"/>
        </w:rPr>
      </w:pPr>
      <w:r>
        <w:rPr>
          <w:rFonts w:hint="eastAsia" w:ascii="宋体" w:hAnsi="宋体" w:cs="宋体"/>
          <w:kern w:val="1"/>
          <w:szCs w:val="21"/>
          <w:highlight w:val="none"/>
        </w:rPr>
        <w:t>15.4投标文件内容不完整、编排混乱导致投标文件被误读、漏读或者查找不到相关内容的，是投标供应商的责任。</w:t>
      </w:r>
    </w:p>
    <w:p w14:paraId="047BBEB4">
      <w:pPr>
        <w:tabs>
          <w:tab w:val="left" w:pos="540"/>
        </w:tabs>
        <w:spacing w:line="460" w:lineRule="exact"/>
        <w:rPr>
          <w:rFonts w:hint="eastAsia" w:ascii="宋体" w:hAnsi="宋体" w:cs="宋体"/>
          <w:kern w:val="1"/>
          <w:szCs w:val="21"/>
          <w:highlight w:val="none"/>
        </w:rPr>
      </w:pPr>
      <w:r>
        <w:rPr>
          <w:rFonts w:hint="eastAsia" w:ascii="宋体" w:hAnsi="宋体" w:cs="宋体"/>
          <w:kern w:val="1"/>
          <w:szCs w:val="21"/>
          <w:highlight w:val="none"/>
        </w:rPr>
        <w:t>15.5投标文件因字迹潦草或表达不清所引起的后果由投标供应商负责。</w:t>
      </w:r>
    </w:p>
    <w:p w14:paraId="3AD6A289">
      <w:pPr>
        <w:tabs>
          <w:tab w:val="left" w:pos="540"/>
        </w:tabs>
        <w:spacing w:line="460" w:lineRule="exact"/>
        <w:rPr>
          <w:rFonts w:hint="eastAsia" w:ascii="宋体" w:hAnsi="宋体" w:cs="宋体"/>
          <w:kern w:val="1"/>
          <w:szCs w:val="21"/>
          <w:highlight w:val="none"/>
        </w:rPr>
      </w:pPr>
      <w:r>
        <w:rPr>
          <w:rFonts w:hint="eastAsia" w:ascii="宋体" w:hAnsi="宋体" w:cs="宋体"/>
          <w:kern w:val="1"/>
          <w:szCs w:val="21"/>
          <w:highlight w:val="none"/>
        </w:rPr>
        <w:t>15.6投标供应商没有按照本章节 “投标文件由‘资格文件’、‘报价文件’和‘商务技术文件’三个部分组成”要求提供全部资料，或者没有仔细阅读采购文件，或者没有对采购文件在各方面的要求作出实质性响应是投标供应商的风险，由此造成的一切后果由投标供应商自行承担。</w:t>
      </w:r>
    </w:p>
    <w:p w14:paraId="0962FFB8">
      <w:pPr>
        <w:spacing w:before="100" w:beforeAutospacing="1" w:after="100" w:afterAutospacing="1" w:line="440" w:lineRule="exact"/>
        <w:ind w:left="783" w:hanging="783"/>
        <w:jc w:val="center"/>
        <w:rPr>
          <w:rFonts w:hint="eastAsia" w:ascii="宋体" w:hAnsi="宋体" w:cs="宋体"/>
          <w:kern w:val="1"/>
          <w:szCs w:val="21"/>
          <w:highlight w:val="none"/>
        </w:rPr>
      </w:pPr>
      <w:bookmarkStart w:id="82" w:name="_Toc221356951"/>
      <w:bookmarkEnd w:id="82"/>
      <w:bookmarkStart w:id="83" w:name="_Toc265529383"/>
      <w:bookmarkEnd w:id="83"/>
      <w:bookmarkStart w:id="84" w:name="_Toc221423619"/>
      <w:bookmarkEnd w:id="84"/>
      <w:bookmarkStart w:id="85" w:name="_Toc239145354"/>
      <w:bookmarkEnd w:id="85"/>
      <w:bookmarkStart w:id="86" w:name="_Toc221356887"/>
      <w:bookmarkEnd w:id="86"/>
      <w:bookmarkStart w:id="87" w:name="_Toc223715998"/>
      <w:bookmarkEnd w:id="87"/>
      <w:bookmarkStart w:id="88" w:name="_Toc221374626"/>
      <w:bookmarkEnd w:id="88"/>
      <w:bookmarkStart w:id="89" w:name="_Toc222114879"/>
      <w:bookmarkEnd w:id="89"/>
      <w:bookmarkStart w:id="90" w:name="_Toc458603464"/>
      <w:bookmarkEnd w:id="90"/>
      <w:bookmarkStart w:id="91" w:name="_Toc241404202"/>
      <w:bookmarkEnd w:id="91"/>
      <w:bookmarkStart w:id="92" w:name="_Toc14053"/>
      <w:bookmarkStart w:id="93" w:name="_Toc11756"/>
      <w:bookmarkStart w:id="94" w:name="_Toc23941"/>
      <w:r>
        <w:rPr>
          <w:rFonts w:hint="eastAsia" w:ascii="宋体" w:hAnsi="宋体" w:cs="宋体"/>
          <w:b/>
          <w:bCs/>
          <w:kern w:val="1"/>
          <w:szCs w:val="21"/>
          <w:highlight w:val="none"/>
        </w:rPr>
        <w:t>四、 投标文件的递交</w:t>
      </w:r>
      <w:bookmarkEnd w:id="92"/>
      <w:bookmarkEnd w:id="93"/>
      <w:bookmarkEnd w:id="94"/>
    </w:p>
    <w:p w14:paraId="22C9C1CC">
      <w:pPr>
        <w:tabs>
          <w:tab w:val="left" w:pos="420"/>
          <w:tab w:val="left" w:pos="540"/>
        </w:tabs>
        <w:spacing w:line="460" w:lineRule="exact"/>
        <w:rPr>
          <w:rFonts w:hint="eastAsia" w:ascii="宋体" w:hAnsi="宋体" w:cs="宋体"/>
          <w:b/>
          <w:kern w:val="1"/>
          <w:szCs w:val="21"/>
          <w:highlight w:val="none"/>
        </w:rPr>
      </w:pPr>
      <w:r>
        <w:rPr>
          <w:rFonts w:hint="eastAsia" w:ascii="宋体" w:hAnsi="宋体" w:cs="宋体"/>
          <w:bCs/>
          <w:kern w:val="1"/>
          <w:szCs w:val="21"/>
          <w:highlight w:val="none"/>
        </w:rPr>
        <w:t>16.投标文件的递交</w:t>
      </w:r>
    </w:p>
    <w:p w14:paraId="74D571E4">
      <w:pPr>
        <w:tabs>
          <w:tab w:val="left" w:pos="420"/>
          <w:tab w:val="left" w:pos="540"/>
        </w:tabs>
        <w:spacing w:line="460" w:lineRule="exact"/>
        <w:ind w:firstLine="420" w:firstLineChars="200"/>
        <w:rPr>
          <w:rFonts w:hint="eastAsia" w:ascii="宋体" w:hAnsi="宋体" w:cs="宋体"/>
          <w:kern w:val="1"/>
          <w:szCs w:val="21"/>
          <w:highlight w:val="none"/>
        </w:rPr>
      </w:pPr>
      <w:r>
        <w:rPr>
          <w:rFonts w:hint="eastAsia" w:ascii="宋体" w:hAnsi="宋体" w:cs="宋体"/>
          <w:kern w:val="1"/>
          <w:szCs w:val="21"/>
          <w:highlight w:val="none"/>
        </w:rPr>
        <w:t>投标文件（CA加密后的电子投标文件）：投标人应在投标截止时间前登录温州市阳光采购服务平台-供应商登录-上传投标文件模块，上传CA加密后的电子投标文件；到投标截止时间止，采购人收到的投标文件（成功解密）少于3个的，采购人将依法重新组织招标。</w:t>
      </w:r>
    </w:p>
    <w:p w14:paraId="4C055881">
      <w:pPr>
        <w:tabs>
          <w:tab w:val="left" w:pos="420"/>
          <w:tab w:val="left" w:pos="540"/>
        </w:tabs>
        <w:spacing w:line="460" w:lineRule="exact"/>
        <w:ind w:firstLine="420" w:firstLineChars="200"/>
        <w:rPr>
          <w:rFonts w:hint="eastAsia" w:ascii="宋体" w:hAnsi="宋体" w:cs="宋体"/>
          <w:kern w:val="1"/>
          <w:szCs w:val="21"/>
          <w:highlight w:val="none"/>
        </w:rPr>
      </w:pPr>
      <w:r>
        <w:rPr>
          <w:rFonts w:hint="eastAsia" w:ascii="宋体" w:hAnsi="宋体" w:cs="宋体"/>
          <w:kern w:val="1"/>
          <w:szCs w:val="21"/>
          <w:highlight w:val="none"/>
        </w:rPr>
        <w:t>如本项目第一次采购因有效投标供应商数量不足3家作流（废）标处理。根据《温州市市属国有企业采购管理办法》相关条款规定，采购人将重新组织采购。本项目属于国有企业采购项目，投标截止时间止及评审期间，出现有效供应商不足三家的情形，如采购文件事先已在指定媒体公开征求了供应商意见且无重大异议，或经专家论证且出具了“供应商资格条件和项目技术指标等没有歧视性和倾向性”意见的，同时采购信息已在本办法规定的媒体上公告，采购文件的发售和截止时间符合法定或《温州市市属国有企业采购管理办法》规定，由实质性响应的供应商认可后，可以按原采购方式继续进行采购活动，但采购项目第一次评审活动除外。</w:t>
      </w:r>
    </w:p>
    <w:p w14:paraId="30CD056E">
      <w:pPr>
        <w:tabs>
          <w:tab w:val="left" w:pos="420"/>
          <w:tab w:val="left" w:pos="540"/>
        </w:tabs>
        <w:spacing w:line="460" w:lineRule="exact"/>
        <w:rPr>
          <w:rFonts w:hint="eastAsia" w:ascii="宋体" w:hAnsi="宋体" w:cs="宋体"/>
          <w:kern w:val="1"/>
          <w:szCs w:val="21"/>
          <w:highlight w:val="none"/>
        </w:rPr>
      </w:pPr>
      <w:r>
        <w:rPr>
          <w:rFonts w:hint="eastAsia" w:ascii="宋体" w:hAnsi="宋体" w:cs="宋体"/>
          <w:kern w:val="1"/>
          <w:szCs w:val="21"/>
          <w:highlight w:val="none"/>
        </w:rPr>
        <w:t>17.投标文件的修改和撤回</w:t>
      </w:r>
    </w:p>
    <w:p w14:paraId="793F50D1">
      <w:pPr>
        <w:tabs>
          <w:tab w:val="left" w:pos="540"/>
        </w:tabs>
        <w:spacing w:line="460" w:lineRule="exact"/>
        <w:rPr>
          <w:rFonts w:hint="eastAsia" w:ascii="宋体" w:hAnsi="宋体" w:cs="宋体"/>
          <w:kern w:val="1"/>
          <w:szCs w:val="21"/>
          <w:highlight w:val="none"/>
        </w:rPr>
      </w:pPr>
      <w:r>
        <w:rPr>
          <w:rFonts w:hint="eastAsia" w:ascii="宋体" w:hAnsi="宋体" w:cs="宋体"/>
          <w:b/>
          <w:kern w:val="1"/>
          <w:szCs w:val="21"/>
          <w:highlight w:val="none"/>
        </w:rPr>
        <w:t>17.1投标文件应当在投标文件递交截止时间前完成投标文件的上传、递交，并可以补充、修改或者撤回投标文件。补充或者修改投标文件的，应当先行撤回原文件，补充、修改后重新上传、递交。投标文件递交截止时间后递交的投标文件，“温州市阳光采购服务平台”将予以拒收。</w:t>
      </w:r>
    </w:p>
    <w:p w14:paraId="1C68943B">
      <w:pPr>
        <w:tabs>
          <w:tab w:val="left" w:pos="540"/>
        </w:tabs>
        <w:spacing w:line="460" w:lineRule="exact"/>
        <w:rPr>
          <w:rFonts w:hint="eastAsia" w:ascii="宋体" w:hAnsi="宋体" w:cs="宋体"/>
          <w:kern w:val="1"/>
          <w:szCs w:val="21"/>
          <w:highlight w:val="none"/>
        </w:rPr>
      </w:pPr>
      <w:r>
        <w:rPr>
          <w:rFonts w:hint="eastAsia" w:ascii="宋体" w:hAnsi="宋体" w:cs="宋体"/>
          <w:bCs/>
          <w:kern w:val="1"/>
          <w:szCs w:val="21"/>
          <w:highlight w:val="none"/>
        </w:rPr>
        <w:t>17.2从投标截止日期起至投标有效期满这段时间内，投标供应商不得撤回其投标，否则投标保证金将</w:t>
      </w:r>
      <w:r>
        <w:rPr>
          <w:rFonts w:hint="eastAsia" w:ascii="宋体" w:hAnsi="宋体" w:cs="宋体"/>
          <w:kern w:val="1"/>
          <w:szCs w:val="21"/>
          <w:highlight w:val="none"/>
        </w:rPr>
        <w:t>被不予退还。</w:t>
      </w:r>
    </w:p>
    <w:p w14:paraId="491179AF">
      <w:pPr>
        <w:tabs>
          <w:tab w:val="left" w:pos="420"/>
          <w:tab w:val="left" w:pos="540"/>
        </w:tabs>
        <w:spacing w:line="460" w:lineRule="exact"/>
        <w:rPr>
          <w:rFonts w:hint="eastAsia" w:ascii="宋体" w:hAnsi="宋体" w:cs="宋体"/>
          <w:kern w:val="1"/>
          <w:szCs w:val="21"/>
          <w:highlight w:val="none"/>
        </w:rPr>
      </w:pPr>
      <w:r>
        <w:rPr>
          <w:rFonts w:hint="eastAsia" w:ascii="宋体" w:hAnsi="宋体" w:cs="宋体"/>
          <w:b/>
          <w:szCs w:val="21"/>
          <w:highlight w:val="none"/>
          <w:u w:val="single"/>
        </w:rPr>
        <w:t>18.▲</w:t>
      </w:r>
      <w:r>
        <w:rPr>
          <w:rFonts w:hint="eastAsia" w:ascii="宋体" w:hAnsi="宋体" w:cs="宋体"/>
          <w:b/>
          <w:bCs/>
          <w:kern w:val="1"/>
          <w:szCs w:val="21"/>
          <w:highlight w:val="none"/>
          <w:u w:val="single"/>
        </w:rPr>
        <w:t>发生下列情况之一的投标文件将拒收：</w:t>
      </w:r>
    </w:p>
    <w:p w14:paraId="159064F4">
      <w:pPr>
        <w:tabs>
          <w:tab w:val="left" w:pos="540"/>
          <w:tab w:val="left" w:pos="992"/>
        </w:tabs>
        <w:spacing w:line="460" w:lineRule="exact"/>
        <w:rPr>
          <w:rFonts w:hint="eastAsia" w:ascii="宋体" w:hAnsi="宋体" w:cs="宋体"/>
          <w:b/>
          <w:kern w:val="1"/>
          <w:szCs w:val="21"/>
          <w:highlight w:val="none"/>
        </w:rPr>
      </w:pPr>
      <w:r>
        <w:rPr>
          <w:rFonts w:hint="eastAsia" w:ascii="宋体" w:hAnsi="宋体" w:cs="宋体"/>
          <w:b/>
          <w:kern w:val="1"/>
          <w:szCs w:val="21"/>
          <w:highlight w:val="none"/>
        </w:rPr>
        <w:t>18.1未在规定时间内上传的投标文件；</w:t>
      </w:r>
    </w:p>
    <w:p w14:paraId="329CEAEB">
      <w:pPr>
        <w:tabs>
          <w:tab w:val="left" w:pos="540"/>
          <w:tab w:val="left" w:pos="992"/>
        </w:tabs>
        <w:spacing w:line="460" w:lineRule="exact"/>
        <w:rPr>
          <w:rFonts w:hint="eastAsia" w:ascii="宋体" w:hAnsi="宋体" w:cs="宋体"/>
          <w:b/>
          <w:kern w:val="1"/>
          <w:szCs w:val="21"/>
          <w:highlight w:val="none"/>
        </w:rPr>
      </w:pPr>
      <w:r>
        <w:rPr>
          <w:rFonts w:hint="eastAsia" w:ascii="宋体" w:hAnsi="宋体" w:cs="宋体"/>
          <w:b/>
          <w:bCs/>
          <w:kern w:val="1"/>
          <w:szCs w:val="21"/>
          <w:highlight w:val="none"/>
        </w:rPr>
        <w:t>18.2投标供应商未按规定获取采购文件，上传的投标文件。</w:t>
      </w:r>
    </w:p>
    <w:p w14:paraId="4D73986D">
      <w:pPr>
        <w:tabs>
          <w:tab w:val="left" w:pos="360"/>
          <w:tab w:val="left" w:pos="540"/>
          <w:tab w:val="left" w:pos="1260"/>
        </w:tabs>
        <w:spacing w:before="100" w:beforeAutospacing="1" w:after="100" w:afterAutospacing="1" w:line="440" w:lineRule="exact"/>
        <w:ind w:left="919" w:hanging="919"/>
        <w:jc w:val="center"/>
        <w:rPr>
          <w:rFonts w:hint="eastAsia" w:ascii="宋体" w:hAnsi="宋体" w:cs="宋体"/>
          <w:kern w:val="1"/>
          <w:szCs w:val="21"/>
          <w:highlight w:val="none"/>
        </w:rPr>
      </w:pPr>
      <w:bookmarkStart w:id="95" w:name="_Toc223715999"/>
      <w:bookmarkEnd w:id="95"/>
      <w:bookmarkStart w:id="96" w:name="_Toc221423620"/>
      <w:bookmarkEnd w:id="96"/>
      <w:bookmarkStart w:id="97" w:name="_Toc239145355"/>
      <w:bookmarkEnd w:id="97"/>
      <w:bookmarkStart w:id="98" w:name="_Toc221356952"/>
      <w:bookmarkEnd w:id="98"/>
      <w:bookmarkStart w:id="99" w:name="_Toc265529384"/>
      <w:bookmarkEnd w:id="99"/>
      <w:bookmarkStart w:id="100" w:name="_Toc221356888"/>
      <w:bookmarkEnd w:id="100"/>
      <w:bookmarkStart w:id="101" w:name="_Toc222114880"/>
      <w:bookmarkEnd w:id="101"/>
      <w:bookmarkStart w:id="102" w:name="_Toc458603465"/>
      <w:bookmarkEnd w:id="102"/>
      <w:bookmarkStart w:id="103" w:name="_Toc221374627"/>
      <w:bookmarkEnd w:id="103"/>
      <w:bookmarkStart w:id="104" w:name="_Toc241404203"/>
      <w:bookmarkEnd w:id="104"/>
      <w:bookmarkStart w:id="105" w:name="_Toc19925"/>
      <w:bookmarkStart w:id="106" w:name="_Toc462"/>
      <w:bookmarkStart w:id="107" w:name="_Toc21721"/>
      <w:r>
        <w:rPr>
          <w:rFonts w:hint="eastAsia" w:ascii="宋体" w:hAnsi="宋体" w:cs="宋体"/>
          <w:b/>
          <w:bCs/>
          <w:kern w:val="1"/>
          <w:szCs w:val="21"/>
          <w:highlight w:val="none"/>
        </w:rPr>
        <w:t>五、 开标和评标</w:t>
      </w:r>
      <w:bookmarkEnd w:id="105"/>
      <w:bookmarkEnd w:id="106"/>
      <w:bookmarkEnd w:id="107"/>
    </w:p>
    <w:p w14:paraId="02A2B089">
      <w:pPr>
        <w:tabs>
          <w:tab w:val="left" w:pos="420"/>
          <w:tab w:val="left" w:pos="540"/>
        </w:tabs>
        <w:spacing w:line="440" w:lineRule="exact"/>
        <w:rPr>
          <w:rFonts w:hint="eastAsia" w:ascii="宋体" w:hAnsi="宋体" w:cs="宋体"/>
          <w:kern w:val="1"/>
          <w:szCs w:val="21"/>
          <w:highlight w:val="none"/>
        </w:rPr>
      </w:pPr>
      <w:r>
        <w:rPr>
          <w:rFonts w:hint="eastAsia" w:ascii="宋体" w:hAnsi="宋体" w:cs="宋体"/>
          <w:kern w:val="1"/>
          <w:szCs w:val="21"/>
          <w:highlight w:val="none"/>
        </w:rPr>
        <w:t>19.评标委员会</w:t>
      </w:r>
    </w:p>
    <w:p w14:paraId="0DB9C278">
      <w:pPr>
        <w:tabs>
          <w:tab w:val="left" w:pos="540"/>
        </w:tabs>
        <w:spacing w:line="440" w:lineRule="exact"/>
        <w:ind w:firstLine="420" w:firstLineChars="200"/>
        <w:rPr>
          <w:rFonts w:hint="eastAsia" w:ascii="宋体" w:hAnsi="宋体" w:cs="宋体"/>
          <w:kern w:val="1"/>
          <w:szCs w:val="21"/>
          <w:highlight w:val="none"/>
        </w:rPr>
      </w:pPr>
      <w:r>
        <w:rPr>
          <w:rFonts w:hint="eastAsia" w:ascii="宋体" w:hAnsi="宋体" w:cs="宋体"/>
          <w:kern w:val="1"/>
          <w:szCs w:val="21"/>
          <w:highlight w:val="none"/>
        </w:rPr>
        <w:t>采购人依法组建评标委员会。评标委员会的成员在评标过程中必须严格遵守有关法律、法规的规定。</w:t>
      </w:r>
    </w:p>
    <w:p w14:paraId="4AE57CDF">
      <w:pPr>
        <w:tabs>
          <w:tab w:val="left" w:pos="420"/>
          <w:tab w:val="left" w:pos="540"/>
        </w:tabs>
        <w:spacing w:line="440" w:lineRule="exact"/>
        <w:rPr>
          <w:rFonts w:hint="eastAsia" w:ascii="宋体" w:hAnsi="宋体" w:cs="宋体"/>
          <w:kern w:val="1"/>
          <w:szCs w:val="21"/>
          <w:highlight w:val="none"/>
        </w:rPr>
      </w:pPr>
      <w:r>
        <w:rPr>
          <w:rFonts w:hint="eastAsia" w:ascii="宋体" w:hAnsi="宋体" w:cs="宋体"/>
          <w:kern w:val="1"/>
          <w:szCs w:val="21"/>
          <w:highlight w:val="none"/>
        </w:rPr>
        <w:t>20.评标过程的保密性</w:t>
      </w:r>
    </w:p>
    <w:p w14:paraId="0F1EB6DA">
      <w:pPr>
        <w:tabs>
          <w:tab w:val="left" w:pos="540"/>
        </w:tabs>
        <w:spacing w:line="440" w:lineRule="exact"/>
        <w:ind w:firstLine="420" w:firstLineChars="200"/>
        <w:rPr>
          <w:rFonts w:hint="eastAsia" w:ascii="宋体" w:hAnsi="宋体" w:cs="宋体"/>
          <w:kern w:val="1"/>
          <w:szCs w:val="21"/>
          <w:highlight w:val="none"/>
        </w:rPr>
      </w:pPr>
      <w:r>
        <w:rPr>
          <w:rFonts w:hint="eastAsia" w:ascii="宋体" w:hAnsi="宋体" w:cs="宋体"/>
          <w:kern w:val="1"/>
          <w:szCs w:val="21"/>
          <w:highlight w:val="none"/>
        </w:rPr>
        <w:t>开标后直至向中标供应商授予合同时止，凡与评审有关的资料均不得向投标供应商及与评标无关人员透露。如果投标供应商在评标过程中试图向采购人和采购代理机构施加影响，其投标将被拒绝。</w:t>
      </w:r>
    </w:p>
    <w:p w14:paraId="64751D1D">
      <w:pPr>
        <w:tabs>
          <w:tab w:val="left" w:pos="420"/>
          <w:tab w:val="left" w:pos="540"/>
        </w:tabs>
        <w:spacing w:line="440" w:lineRule="exact"/>
        <w:rPr>
          <w:rFonts w:hint="eastAsia" w:ascii="宋体" w:hAnsi="宋体" w:cs="宋体"/>
          <w:b/>
          <w:kern w:val="1"/>
          <w:szCs w:val="21"/>
          <w:highlight w:val="none"/>
        </w:rPr>
      </w:pPr>
      <w:r>
        <w:rPr>
          <w:rFonts w:hint="eastAsia" w:ascii="宋体" w:hAnsi="宋体" w:cs="宋体"/>
          <w:kern w:val="1"/>
          <w:szCs w:val="21"/>
          <w:highlight w:val="none"/>
        </w:rPr>
        <w:t>21.开标、评标</w:t>
      </w:r>
    </w:p>
    <w:p w14:paraId="387EF433">
      <w:pPr>
        <w:tabs>
          <w:tab w:val="left" w:pos="540"/>
        </w:tabs>
        <w:spacing w:line="440" w:lineRule="exact"/>
        <w:rPr>
          <w:rFonts w:hint="eastAsia" w:ascii="宋体" w:hAnsi="宋体" w:cs="宋体"/>
          <w:kern w:val="1"/>
          <w:szCs w:val="21"/>
          <w:highlight w:val="none"/>
        </w:rPr>
      </w:pPr>
      <w:r>
        <w:rPr>
          <w:rFonts w:hint="eastAsia" w:ascii="宋体" w:hAnsi="宋体" w:cs="宋体"/>
          <w:kern w:val="1"/>
          <w:szCs w:val="21"/>
          <w:highlight w:val="none"/>
        </w:rPr>
        <w:t>21.1开标程序：</w:t>
      </w:r>
    </w:p>
    <w:p w14:paraId="1992163C">
      <w:pPr>
        <w:tabs>
          <w:tab w:val="left" w:pos="540"/>
        </w:tabs>
        <w:spacing w:line="440" w:lineRule="exact"/>
        <w:rPr>
          <w:rFonts w:hint="eastAsia" w:ascii="宋体" w:hAnsi="宋体" w:cs="宋体"/>
          <w:kern w:val="1"/>
          <w:szCs w:val="21"/>
          <w:highlight w:val="none"/>
        </w:rPr>
      </w:pPr>
      <w:r>
        <w:rPr>
          <w:rFonts w:hint="eastAsia" w:ascii="宋体" w:hAnsi="宋体" w:cs="宋体"/>
          <w:kern w:val="1"/>
          <w:szCs w:val="21"/>
          <w:highlight w:val="none"/>
        </w:rPr>
        <w:t>（1）投标文件截止前30分钟，由代理机构登录温州市阳光采购服务平台－选择不见面开标大厅系统，做好网上不见面开标准备；</w:t>
      </w:r>
    </w:p>
    <w:p w14:paraId="494B609D">
      <w:pPr>
        <w:tabs>
          <w:tab w:val="left" w:pos="540"/>
        </w:tabs>
        <w:spacing w:line="440" w:lineRule="exact"/>
        <w:rPr>
          <w:rFonts w:hint="eastAsia" w:ascii="宋体" w:hAnsi="宋体" w:cs="宋体"/>
          <w:kern w:val="1"/>
          <w:szCs w:val="21"/>
          <w:highlight w:val="none"/>
        </w:rPr>
      </w:pPr>
      <w:r>
        <w:rPr>
          <w:rFonts w:hint="eastAsia" w:ascii="宋体" w:hAnsi="宋体" w:cs="宋体"/>
          <w:kern w:val="1"/>
          <w:szCs w:val="21"/>
          <w:highlight w:val="none"/>
        </w:rPr>
        <w:t>（2）投标截止时间，由代理机构公布投标供应商情况、解密要求；</w:t>
      </w:r>
    </w:p>
    <w:p w14:paraId="5E72EA6A">
      <w:pPr>
        <w:tabs>
          <w:tab w:val="left" w:pos="540"/>
        </w:tabs>
        <w:spacing w:line="440" w:lineRule="exact"/>
        <w:rPr>
          <w:rFonts w:hint="eastAsia" w:ascii="宋体" w:hAnsi="宋体" w:cs="宋体"/>
          <w:kern w:val="1"/>
          <w:szCs w:val="21"/>
          <w:highlight w:val="none"/>
        </w:rPr>
      </w:pPr>
      <w:r>
        <w:rPr>
          <w:rFonts w:hint="eastAsia" w:ascii="宋体" w:hAnsi="宋体" w:cs="宋体"/>
          <w:kern w:val="1"/>
          <w:szCs w:val="21"/>
          <w:highlight w:val="none"/>
        </w:rPr>
        <w:t>（3）投标供应商需在系统开启投标文件解密时间后30分钟内对投标文件进行网上在线解密，未在规定时间内完成的，其投标将被拒绝；</w:t>
      </w:r>
    </w:p>
    <w:p w14:paraId="08B5F394">
      <w:pPr>
        <w:tabs>
          <w:tab w:val="left" w:pos="540"/>
        </w:tabs>
        <w:spacing w:line="440" w:lineRule="exact"/>
        <w:rPr>
          <w:rFonts w:hint="eastAsia" w:ascii="宋体" w:hAnsi="宋体" w:cs="宋体"/>
          <w:kern w:val="1"/>
          <w:szCs w:val="21"/>
          <w:highlight w:val="none"/>
        </w:rPr>
      </w:pPr>
      <w:r>
        <w:rPr>
          <w:rFonts w:hint="eastAsia" w:ascii="宋体" w:hAnsi="宋体" w:cs="宋体"/>
          <w:kern w:val="1"/>
          <w:szCs w:val="21"/>
          <w:highlight w:val="none"/>
        </w:rPr>
        <w:t>（4）代理机构进行投标文件导入等全过程操作；</w:t>
      </w:r>
    </w:p>
    <w:p w14:paraId="05751D94">
      <w:pPr>
        <w:tabs>
          <w:tab w:val="left" w:pos="540"/>
        </w:tabs>
        <w:spacing w:line="440" w:lineRule="exact"/>
        <w:rPr>
          <w:rFonts w:hint="eastAsia" w:ascii="宋体" w:hAnsi="宋体" w:cs="宋体"/>
          <w:kern w:val="1"/>
          <w:szCs w:val="21"/>
          <w:highlight w:val="none"/>
        </w:rPr>
      </w:pPr>
      <w:r>
        <w:rPr>
          <w:rFonts w:hint="eastAsia" w:ascii="宋体" w:hAnsi="宋体" w:cs="宋体"/>
          <w:kern w:val="1"/>
          <w:szCs w:val="21"/>
          <w:highlight w:val="none"/>
        </w:rPr>
        <w:t>（5）对网上开标过程有异议的，投标供应商应当直接在线提出，同时由代理机构在线进行回复；</w:t>
      </w:r>
    </w:p>
    <w:p w14:paraId="471CE2D7">
      <w:pPr>
        <w:tabs>
          <w:tab w:val="left" w:pos="540"/>
        </w:tabs>
        <w:spacing w:line="440" w:lineRule="exact"/>
        <w:rPr>
          <w:rFonts w:hint="eastAsia" w:ascii="宋体" w:hAnsi="宋体" w:cs="宋体"/>
          <w:kern w:val="1"/>
          <w:szCs w:val="21"/>
          <w:highlight w:val="none"/>
        </w:rPr>
      </w:pPr>
      <w:r>
        <w:rPr>
          <w:rFonts w:hint="eastAsia" w:ascii="宋体" w:hAnsi="宋体" w:cs="宋体"/>
          <w:kern w:val="1"/>
          <w:szCs w:val="21"/>
          <w:highlight w:val="none"/>
        </w:rPr>
        <w:t>（6）宣布开标结束。</w:t>
      </w:r>
    </w:p>
    <w:p w14:paraId="1AF02719">
      <w:pPr>
        <w:tabs>
          <w:tab w:val="left" w:pos="540"/>
        </w:tabs>
        <w:spacing w:line="440" w:lineRule="exact"/>
        <w:rPr>
          <w:rFonts w:hint="eastAsia" w:ascii="宋体" w:hAnsi="宋体" w:cs="宋体"/>
          <w:kern w:val="1"/>
          <w:szCs w:val="21"/>
          <w:highlight w:val="none"/>
        </w:rPr>
      </w:pPr>
      <w:r>
        <w:rPr>
          <w:rFonts w:hint="eastAsia" w:ascii="宋体" w:hAnsi="宋体" w:cs="宋体"/>
          <w:kern w:val="1"/>
          <w:szCs w:val="21"/>
          <w:highlight w:val="none"/>
        </w:rPr>
        <w:t>注：（1）电子交易平台遇网络故障、设备故障、断电等意外情况，导致无法正常开标、无法解密等情形，2小时内能够恢复正常，待恢复正常后继续开标，原定解密时间重新计算，2小时内不能恢复正常由代理机构确定另行开标时间。</w:t>
      </w:r>
    </w:p>
    <w:p w14:paraId="398E1F82">
      <w:pPr>
        <w:tabs>
          <w:tab w:val="left" w:pos="540"/>
        </w:tabs>
        <w:spacing w:line="440" w:lineRule="exact"/>
        <w:rPr>
          <w:rFonts w:hint="eastAsia" w:ascii="宋体" w:hAnsi="宋体" w:cs="宋体"/>
          <w:kern w:val="1"/>
          <w:szCs w:val="21"/>
          <w:highlight w:val="none"/>
        </w:rPr>
      </w:pPr>
      <w:r>
        <w:rPr>
          <w:rFonts w:hint="eastAsia" w:ascii="宋体" w:hAnsi="宋体" w:cs="宋体"/>
          <w:kern w:val="1"/>
          <w:szCs w:val="21"/>
          <w:highlight w:val="none"/>
        </w:rPr>
        <w:t>（2）电子交易平台网络不畅导致投标供应商不能在规定时间内完成解密，代理机构相应延长解密时间，超出相应延长解密时间仍然未解密的，视作撤销投标文件。</w:t>
      </w:r>
    </w:p>
    <w:p w14:paraId="7A5193DD">
      <w:pPr>
        <w:tabs>
          <w:tab w:val="left" w:pos="540"/>
        </w:tabs>
        <w:spacing w:line="440" w:lineRule="exact"/>
        <w:rPr>
          <w:rFonts w:ascii="宋体" w:hAnsi="宋体" w:cs="宋体"/>
          <w:kern w:val="1"/>
          <w:szCs w:val="21"/>
          <w:highlight w:val="none"/>
        </w:rPr>
      </w:pPr>
      <w:r>
        <w:rPr>
          <w:rFonts w:hint="eastAsia" w:ascii="宋体" w:hAnsi="宋体" w:cs="宋体"/>
          <w:kern w:val="1"/>
          <w:szCs w:val="21"/>
          <w:highlight w:val="none"/>
        </w:rPr>
        <w:t>21.2评标程序：先对各投标文件进行初审，然后对初审合格的投标文件进行商务技术文件评审，商务技术文件评审结束后，再对各有效标进行报价文件评审。</w:t>
      </w:r>
    </w:p>
    <w:p w14:paraId="353EB0B1">
      <w:pPr>
        <w:tabs>
          <w:tab w:val="left" w:pos="540"/>
        </w:tabs>
        <w:spacing w:line="440" w:lineRule="exact"/>
        <w:rPr>
          <w:rFonts w:hint="eastAsia" w:ascii="宋体" w:hAnsi="宋体" w:cs="宋体"/>
          <w:kern w:val="1"/>
          <w:szCs w:val="21"/>
          <w:highlight w:val="none"/>
        </w:rPr>
      </w:pPr>
      <w:r>
        <w:rPr>
          <w:rFonts w:hint="eastAsia" w:ascii="宋体" w:hAnsi="宋体" w:cs="宋体"/>
          <w:kern w:val="1"/>
          <w:szCs w:val="21"/>
          <w:highlight w:val="none"/>
        </w:rPr>
        <w:t>21.3投标文件的初审。初审分为资格审查和符合性检查。</w:t>
      </w:r>
    </w:p>
    <w:p w14:paraId="2DF83371">
      <w:pPr>
        <w:tabs>
          <w:tab w:val="left" w:pos="525"/>
        </w:tabs>
        <w:spacing w:line="440" w:lineRule="exact"/>
        <w:ind w:firstLine="420" w:firstLineChars="200"/>
        <w:rPr>
          <w:rFonts w:hint="eastAsia" w:ascii="宋体" w:hAnsi="宋体" w:cs="宋体"/>
          <w:kern w:val="1"/>
          <w:szCs w:val="21"/>
          <w:highlight w:val="none"/>
        </w:rPr>
      </w:pPr>
      <w:r>
        <w:rPr>
          <w:rFonts w:hint="eastAsia" w:ascii="宋体" w:hAnsi="宋体" w:cs="宋体"/>
          <w:kern w:val="1"/>
          <w:szCs w:val="21"/>
          <w:highlight w:val="none"/>
        </w:rPr>
        <w:t>（1）资格审查。依据采购文件的规定，评标委员会对各投标供应商进行资格审查，资格审查内容包括但不仅限于随投标文件一同提交的法定代表人授权书、投标代表人有效身份证件、企业法人营业执照、投标保证金汇款证明</w:t>
      </w:r>
      <w:r>
        <w:rPr>
          <w:rFonts w:hint="eastAsia" w:ascii="宋体" w:hAnsi="宋体" w:cs="宋体"/>
          <w:bCs/>
          <w:szCs w:val="21"/>
          <w:highlight w:val="none"/>
          <w:lang w:bidi="ar"/>
        </w:rPr>
        <w:t>等资格证明</w:t>
      </w:r>
      <w:r>
        <w:rPr>
          <w:rFonts w:hint="eastAsia" w:ascii="宋体" w:hAnsi="宋体" w:cs="宋体"/>
          <w:kern w:val="1"/>
          <w:szCs w:val="21"/>
          <w:highlight w:val="none"/>
        </w:rPr>
        <w:t>，以及投标文件所提交证明材料是否能证明符合本项目对合格投标供应商的实质性要求。通过资格审查视作具备投标资格，</w:t>
      </w:r>
      <w:r>
        <w:rPr>
          <w:rFonts w:hint="eastAsia" w:ascii="宋体" w:hAnsi="宋体" w:cs="宋体"/>
          <w:b/>
          <w:sz w:val="22"/>
          <w:highlight w:val="none"/>
          <w:u w:val="single"/>
        </w:rPr>
        <w:t>▲</w:t>
      </w:r>
      <w:r>
        <w:rPr>
          <w:rFonts w:hint="eastAsia" w:ascii="宋体" w:hAnsi="宋体" w:cs="宋体"/>
          <w:b/>
          <w:kern w:val="1"/>
          <w:szCs w:val="21"/>
          <w:highlight w:val="none"/>
          <w:u w:val="single"/>
        </w:rPr>
        <w:t>审查不合格的投标文件将不予接受</w:t>
      </w:r>
      <w:r>
        <w:rPr>
          <w:rFonts w:hint="eastAsia" w:ascii="宋体" w:hAnsi="宋体" w:cs="宋体"/>
          <w:b/>
          <w:kern w:val="1"/>
          <w:szCs w:val="21"/>
          <w:highlight w:val="none"/>
        </w:rPr>
        <w:t>。</w:t>
      </w:r>
    </w:p>
    <w:p w14:paraId="059BD663">
      <w:pPr>
        <w:tabs>
          <w:tab w:val="left" w:pos="525"/>
        </w:tabs>
        <w:spacing w:line="440" w:lineRule="exact"/>
        <w:ind w:firstLine="420" w:firstLineChars="200"/>
        <w:rPr>
          <w:rFonts w:hint="eastAsia" w:ascii="宋体" w:hAnsi="宋体" w:cs="宋体"/>
          <w:b/>
          <w:sz w:val="22"/>
          <w:highlight w:val="none"/>
          <w:u w:val="single"/>
        </w:rPr>
      </w:pPr>
      <w:r>
        <w:rPr>
          <w:rFonts w:hint="eastAsia" w:ascii="宋体" w:hAnsi="宋体" w:cs="宋体"/>
          <w:kern w:val="1"/>
          <w:szCs w:val="21"/>
          <w:highlight w:val="none"/>
        </w:rPr>
        <w:t>（2）符合性检查。依据采购文件的规定，从投标文件中的有效性、完整性和对采购文件的响应程度进行审查，以确定是否对采购文件的实质性要求作出响应。</w:t>
      </w:r>
      <w:r>
        <w:rPr>
          <w:rFonts w:hint="eastAsia" w:ascii="宋体" w:hAnsi="宋体" w:cs="宋体"/>
          <w:b/>
          <w:sz w:val="22"/>
          <w:highlight w:val="none"/>
          <w:u w:val="single"/>
        </w:rPr>
        <w:t>▲审查不合格的投标文件将作无效标处理。</w:t>
      </w:r>
    </w:p>
    <w:p w14:paraId="412CE552">
      <w:pPr>
        <w:tabs>
          <w:tab w:val="left" w:pos="525"/>
        </w:tabs>
        <w:spacing w:line="440" w:lineRule="exact"/>
        <w:rPr>
          <w:rFonts w:hint="eastAsia" w:ascii="宋体" w:hAnsi="宋体" w:cs="宋体"/>
          <w:b/>
          <w:kern w:val="1"/>
          <w:szCs w:val="21"/>
          <w:highlight w:val="none"/>
          <w:u w:val="single"/>
        </w:rPr>
      </w:pPr>
      <w:r>
        <w:rPr>
          <w:rFonts w:hint="eastAsia" w:ascii="宋体" w:hAnsi="宋体" w:cs="宋体"/>
          <w:b/>
          <w:kern w:val="1"/>
          <w:szCs w:val="21"/>
          <w:highlight w:val="none"/>
          <w:u w:val="single"/>
        </w:rPr>
        <w:t>21.4▲在对各投标供应商的投标文件进行综合评审时，投标文件有下列情况之一的，经评标委员会认定后按无效标处理：</w:t>
      </w:r>
    </w:p>
    <w:p w14:paraId="73B57EC0">
      <w:pPr>
        <w:tabs>
          <w:tab w:val="left" w:pos="420"/>
        </w:tabs>
        <w:spacing w:line="440" w:lineRule="exact"/>
        <w:rPr>
          <w:rFonts w:hint="eastAsia" w:ascii="宋体" w:hAnsi="宋体" w:cs="宋体"/>
          <w:b/>
          <w:kern w:val="1"/>
          <w:szCs w:val="21"/>
          <w:highlight w:val="none"/>
        </w:rPr>
      </w:pPr>
      <w:r>
        <w:rPr>
          <w:rFonts w:hint="eastAsia" w:ascii="宋体" w:hAnsi="宋体" w:cs="宋体"/>
          <w:b/>
          <w:kern w:val="1"/>
          <w:szCs w:val="21"/>
          <w:highlight w:val="none"/>
        </w:rPr>
        <w:t>（1）投标文件未按采购文件规定签字、盖章的；</w:t>
      </w:r>
    </w:p>
    <w:p w14:paraId="6EBADDDC">
      <w:pPr>
        <w:tabs>
          <w:tab w:val="left" w:pos="420"/>
        </w:tabs>
        <w:spacing w:line="440" w:lineRule="exact"/>
        <w:rPr>
          <w:rFonts w:hint="eastAsia" w:ascii="宋体" w:hAnsi="宋体" w:cs="宋体"/>
          <w:b/>
          <w:kern w:val="1"/>
          <w:szCs w:val="21"/>
          <w:highlight w:val="none"/>
        </w:rPr>
      </w:pPr>
      <w:r>
        <w:rPr>
          <w:rFonts w:hint="eastAsia" w:ascii="宋体" w:hAnsi="宋体" w:cs="宋体"/>
          <w:b/>
          <w:kern w:val="1"/>
          <w:szCs w:val="21"/>
          <w:highlight w:val="none"/>
        </w:rPr>
        <w:t>（2）明显不符合采购文件中主要技术规格、技术标准的；</w:t>
      </w:r>
    </w:p>
    <w:p w14:paraId="5943B276">
      <w:pPr>
        <w:tabs>
          <w:tab w:val="left" w:pos="420"/>
        </w:tabs>
        <w:spacing w:line="440" w:lineRule="exact"/>
        <w:rPr>
          <w:rFonts w:hint="eastAsia" w:ascii="宋体" w:hAnsi="宋体" w:cs="宋体"/>
          <w:b/>
          <w:kern w:val="1"/>
          <w:szCs w:val="21"/>
          <w:highlight w:val="none"/>
        </w:rPr>
      </w:pPr>
      <w:r>
        <w:rPr>
          <w:rFonts w:hint="eastAsia" w:ascii="宋体" w:hAnsi="宋体" w:cs="宋体"/>
          <w:b/>
          <w:kern w:val="1"/>
          <w:szCs w:val="21"/>
          <w:highlight w:val="none"/>
        </w:rPr>
        <w:t>（3）投标文件内容不全或关键字迹模糊无法辨认的；</w:t>
      </w:r>
    </w:p>
    <w:p w14:paraId="1C1FC1F7">
      <w:pPr>
        <w:tabs>
          <w:tab w:val="left" w:pos="420"/>
        </w:tabs>
        <w:spacing w:line="440" w:lineRule="exact"/>
        <w:rPr>
          <w:rFonts w:hint="eastAsia" w:ascii="宋体" w:hAnsi="宋体" w:cs="宋体"/>
          <w:b/>
          <w:kern w:val="1"/>
          <w:szCs w:val="21"/>
          <w:highlight w:val="none"/>
        </w:rPr>
      </w:pPr>
      <w:r>
        <w:rPr>
          <w:rFonts w:hint="eastAsia" w:ascii="宋体" w:hAnsi="宋体" w:cs="宋体"/>
          <w:b/>
          <w:kern w:val="1"/>
          <w:szCs w:val="21"/>
          <w:highlight w:val="none"/>
        </w:rPr>
        <w:t>（4）投标供应商投标总报价超过采购预算金额的；</w:t>
      </w:r>
    </w:p>
    <w:p w14:paraId="1DD43F34">
      <w:pPr>
        <w:tabs>
          <w:tab w:val="left" w:pos="420"/>
        </w:tabs>
        <w:spacing w:line="440" w:lineRule="exact"/>
        <w:rPr>
          <w:rFonts w:hint="eastAsia" w:ascii="宋体" w:hAnsi="宋体" w:cs="宋体"/>
          <w:b/>
          <w:kern w:val="1"/>
          <w:szCs w:val="21"/>
          <w:highlight w:val="none"/>
        </w:rPr>
      </w:pPr>
      <w:r>
        <w:rPr>
          <w:rFonts w:hint="eastAsia" w:ascii="宋体" w:hAnsi="宋体" w:cs="宋体"/>
          <w:b/>
          <w:kern w:val="1"/>
          <w:szCs w:val="21"/>
          <w:highlight w:val="none"/>
        </w:rPr>
        <w:t>（5）资格证明文件、商务技术文件中出现投标报价的；</w:t>
      </w:r>
    </w:p>
    <w:p w14:paraId="61DD4EBB">
      <w:pPr>
        <w:tabs>
          <w:tab w:val="left" w:pos="420"/>
        </w:tabs>
        <w:spacing w:line="440" w:lineRule="exact"/>
        <w:rPr>
          <w:rFonts w:hint="eastAsia" w:ascii="宋体" w:hAnsi="宋体" w:cs="宋体"/>
          <w:b/>
          <w:kern w:val="1"/>
          <w:szCs w:val="21"/>
          <w:highlight w:val="none"/>
        </w:rPr>
      </w:pPr>
      <w:r>
        <w:rPr>
          <w:rFonts w:hint="eastAsia" w:ascii="宋体" w:hAnsi="宋体" w:cs="宋体"/>
          <w:b/>
          <w:kern w:val="1"/>
          <w:szCs w:val="21"/>
          <w:highlight w:val="none"/>
        </w:rPr>
        <w:t>（6）投标文件附有采购人不能接受的条件；</w:t>
      </w:r>
    </w:p>
    <w:p w14:paraId="19EE55B7">
      <w:pPr>
        <w:tabs>
          <w:tab w:val="left" w:pos="420"/>
        </w:tabs>
        <w:spacing w:line="440" w:lineRule="exact"/>
        <w:rPr>
          <w:rFonts w:hint="eastAsia" w:ascii="宋体" w:hAnsi="宋体" w:cs="宋体"/>
          <w:b/>
          <w:kern w:val="1"/>
          <w:szCs w:val="21"/>
          <w:highlight w:val="none"/>
        </w:rPr>
      </w:pPr>
      <w:r>
        <w:rPr>
          <w:rFonts w:hint="eastAsia" w:ascii="宋体" w:hAnsi="宋体" w:cs="宋体"/>
          <w:b/>
          <w:kern w:val="1"/>
          <w:szCs w:val="21"/>
          <w:highlight w:val="none"/>
        </w:rPr>
        <w:t>（7）授权代表没有法定代表人合法、有效委托的；</w:t>
      </w:r>
    </w:p>
    <w:p w14:paraId="14992749">
      <w:pPr>
        <w:tabs>
          <w:tab w:val="left" w:pos="420"/>
        </w:tabs>
        <w:spacing w:line="440" w:lineRule="exact"/>
        <w:rPr>
          <w:rFonts w:hint="eastAsia" w:ascii="宋体" w:hAnsi="宋体" w:cs="宋体"/>
          <w:b/>
          <w:kern w:val="1"/>
          <w:szCs w:val="21"/>
          <w:highlight w:val="none"/>
        </w:rPr>
      </w:pPr>
      <w:r>
        <w:rPr>
          <w:rFonts w:hint="eastAsia" w:ascii="宋体" w:hAnsi="宋体" w:cs="宋体"/>
          <w:b/>
          <w:kern w:val="1"/>
          <w:szCs w:val="21"/>
          <w:highlight w:val="none"/>
        </w:rPr>
        <w:t>（8）未实质性响应采购文件中加“▲”同时加下划线的条款；</w:t>
      </w:r>
    </w:p>
    <w:p w14:paraId="056B49B3">
      <w:pPr>
        <w:tabs>
          <w:tab w:val="left" w:pos="420"/>
        </w:tabs>
        <w:spacing w:line="440" w:lineRule="exact"/>
        <w:rPr>
          <w:rFonts w:hint="eastAsia" w:ascii="宋体" w:hAnsi="宋体" w:cs="宋体"/>
          <w:b/>
          <w:kern w:val="1"/>
          <w:szCs w:val="21"/>
          <w:highlight w:val="none"/>
        </w:rPr>
      </w:pPr>
      <w:r>
        <w:rPr>
          <w:rFonts w:hint="eastAsia" w:ascii="宋体" w:hAnsi="宋体" w:cs="宋体"/>
          <w:b/>
          <w:kern w:val="1"/>
          <w:szCs w:val="21"/>
          <w:highlight w:val="none"/>
        </w:rPr>
        <w:t>（9）评审中出现下列情形之一的，评审委员会应当启动异常低价投标（响应）审查程序：</w:t>
      </w:r>
    </w:p>
    <w:p w14:paraId="3BFC10C5">
      <w:pPr>
        <w:tabs>
          <w:tab w:val="left" w:pos="420"/>
        </w:tabs>
        <w:spacing w:line="440" w:lineRule="exact"/>
        <w:ind w:firstLine="422" w:firstLineChars="200"/>
        <w:rPr>
          <w:rFonts w:hint="eastAsia" w:ascii="宋体" w:hAnsi="宋体" w:cs="宋体"/>
          <w:b/>
          <w:kern w:val="1"/>
          <w:szCs w:val="21"/>
          <w:highlight w:val="none"/>
        </w:rPr>
      </w:pPr>
      <w:r>
        <w:rPr>
          <w:rFonts w:hint="eastAsia" w:ascii="宋体" w:hAnsi="宋体" w:cs="宋体"/>
          <w:b/>
          <w:kern w:val="1"/>
          <w:szCs w:val="21"/>
          <w:highlight w:val="none"/>
        </w:rPr>
        <w:t>1)投标（响应）报价低于全部通过符合性审查供应商投标（响应）报价平均值50%的，即投标（响应）报价〈全部通过符合性审查供应商投标（响应）报价平均值×50%；</w:t>
      </w:r>
    </w:p>
    <w:p w14:paraId="215DD7D7">
      <w:pPr>
        <w:tabs>
          <w:tab w:val="left" w:pos="420"/>
        </w:tabs>
        <w:spacing w:line="440" w:lineRule="exact"/>
        <w:ind w:firstLine="422" w:firstLineChars="200"/>
        <w:rPr>
          <w:rFonts w:hint="eastAsia" w:ascii="宋体" w:hAnsi="宋体" w:cs="宋体"/>
          <w:b/>
          <w:kern w:val="1"/>
          <w:szCs w:val="21"/>
          <w:highlight w:val="none"/>
        </w:rPr>
      </w:pPr>
      <w:r>
        <w:rPr>
          <w:rFonts w:hint="eastAsia" w:ascii="宋体" w:hAnsi="宋体" w:cs="宋体"/>
          <w:b/>
          <w:kern w:val="1"/>
          <w:szCs w:val="21"/>
          <w:highlight w:val="none"/>
        </w:rPr>
        <w:t>2)投标（响应）报价低于通过符合性审查的次低报价供应商投标（响应）报价50%的，即投标（响应）报价〈通过符合性审查的次低报价供应商投标（响应）报价×50%；</w:t>
      </w:r>
    </w:p>
    <w:p w14:paraId="0BD91125">
      <w:pPr>
        <w:tabs>
          <w:tab w:val="left" w:pos="420"/>
        </w:tabs>
        <w:spacing w:line="440" w:lineRule="exact"/>
        <w:ind w:firstLine="422" w:firstLineChars="200"/>
        <w:rPr>
          <w:rFonts w:hint="eastAsia" w:ascii="宋体" w:hAnsi="宋体" w:cs="宋体"/>
          <w:b/>
          <w:kern w:val="1"/>
          <w:szCs w:val="21"/>
          <w:highlight w:val="none"/>
        </w:rPr>
      </w:pPr>
      <w:r>
        <w:rPr>
          <w:rFonts w:hint="eastAsia" w:ascii="宋体" w:hAnsi="宋体" w:cs="宋体"/>
          <w:b/>
          <w:kern w:val="1"/>
          <w:szCs w:val="21"/>
          <w:highlight w:val="none"/>
        </w:rPr>
        <w:t>3)投标（响应）报价低于采购项目最高限价（即采购预算金额）45%的，即投标（响应）报价〈采购项目（即采购预算金额）×45%；</w:t>
      </w:r>
    </w:p>
    <w:p w14:paraId="425617E6">
      <w:pPr>
        <w:tabs>
          <w:tab w:val="left" w:pos="420"/>
        </w:tabs>
        <w:spacing w:line="440" w:lineRule="exact"/>
        <w:ind w:firstLine="422" w:firstLineChars="200"/>
        <w:rPr>
          <w:rFonts w:hint="eastAsia" w:ascii="宋体" w:hAnsi="宋体" w:cs="宋体"/>
          <w:b/>
          <w:kern w:val="1"/>
          <w:szCs w:val="21"/>
          <w:highlight w:val="none"/>
        </w:rPr>
      </w:pPr>
      <w:r>
        <w:rPr>
          <w:rFonts w:hint="eastAsia" w:ascii="宋体" w:hAnsi="宋体" w:cs="宋体"/>
          <w:b/>
          <w:kern w:val="1"/>
          <w:szCs w:val="21"/>
          <w:highlight w:val="none"/>
        </w:rPr>
        <w:t>4)评审委员会基于专业判断，认为供应商报价过低，有可能影响产品质量或者不能诚信履约的其他情形。</w:t>
      </w:r>
    </w:p>
    <w:p w14:paraId="51B8B423">
      <w:pPr>
        <w:tabs>
          <w:tab w:val="left" w:pos="420"/>
        </w:tabs>
        <w:spacing w:line="440" w:lineRule="exact"/>
        <w:ind w:firstLine="422" w:firstLineChars="200"/>
        <w:rPr>
          <w:rFonts w:ascii="宋体" w:hAnsi="宋体" w:cs="宋体"/>
          <w:b/>
          <w:kern w:val="1"/>
          <w:szCs w:val="21"/>
          <w:highlight w:val="none"/>
        </w:rPr>
      </w:pPr>
      <w:r>
        <w:rPr>
          <w:rFonts w:hint="eastAsia" w:ascii="宋体" w:hAnsi="宋体" w:cs="宋体"/>
          <w:b/>
          <w:kern w:val="1"/>
          <w:szCs w:val="21"/>
          <w:highlight w:val="none"/>
        </w:rPr>
        <w:t>评审委员会启动异常低价投标（响应）审查后，相关供应商须在评审现场合理的时间（30分钟）内对投标（响应）价格作出解释，并提供项目具体成本测算等与报价合理性相关的书面说明及必要的证明材料，投标供应商代表不能在评标现场规定的合理时间内（在半个小时以内，具体要求将根据实际情况约定）书面证明其报价合理性的，评标委员会将其作为投标无效处理。</w:t>
      </w:r>
    </w:p>
    <w:p w14:paraId="1145F3DA">
      <w:pPr>
        <w:tabs>
          <w:tab w:val="left" w:pos="420"/>
        </w:tabs>
        <w:spacing w:line="440" w:lineRule="exact"/>
        <w:rPr>
          <w:rFonts w:hint="eastAsia" w:ascii="宋体" w:hAnsi="宋体" w:cs="宋体"/>
          <w:b/>
          <w:kern w:val="1"/>
          <w:szCs w:val="21"/>
          <w:highlight w:val="none"/>
        </w:rPr>
      </w:pPr>
      <w:r>
        <w:rPr>
          <w:rFonts w:hint="eastAsia" w:ascii="宋体" w:hAnsi="宋体" w:cs="宋体"/>
          <w:b/>
          <w:kern w:val="1"/>
          <w:szCs w:val="21"/>
          <w:highlight w:val="none"/>
        </w:rPr>
        <w:t>（10）投标供应商提交的投标文件相关证书、材料经评标委员会认定有弄虚作假情况的；</w:t>
      </w:r>
    </w:p>
    <w:p w14:paraId="6E247D65">
      <w:pPr>
        <w:tabs>
          <w:tab w:val="left" w:pos="420"/>
        </w:tabs>
        <w:spacing w:line="440" w:lineRule="exact"/>
        <w:rPr>
          <w:rFonts w:hint="eastAsia" w:ascii="宋体" w:hAnsi="宋体" w:eastAsia="宋体" w:cs="宋体"/>
          <w:b/>
          <w:kern w:val="1"/>
          <w:szCs w:val="21"/>
          <w:highlight w:val="none"/>
          <w:lang w:eastAsia="zh-CN"/>
        </w:rPr>
      </w:pPr>
      <w:r>
        <w:rPr>
          <w:rFonts w:hint="eastAsia" w:ascii="宋体" w:hAnsi="宋体" w:cs="宋体"/>
          <w:b/>
          <w:kern w:val="1"/>
          <w:szCs w:val="21"/>
          <w:highlight w:val="none"/>
          <w:lang w:eastAsia="zh-CN"/>
        </w:rPr>
        <w:t>（</w:t>
      </w:r>
      <w:r>
        <w:rPr>
          <w:rFonts w:hint="eastAsia" w:ascii="宋体" w:hAnsi="宋体" w:cs="宋体"/>
          <w:b/>
          <w:kern w:val="1"/>
          <w:szCs w:val="21"/>
          <w:highlight w:val="none"/>
          <w:lang w:val="en-US" w:eastAsia="zh-CN"/>
        </w:rPr>
        <w:t>11</w:t>
      </w:r>
      <w:r>
        <w:rPr>
          <w:rFonts w:hint="eastAsia" w:ascii="宋体" w:hAnsi="宋体" w:cs="宋体"/>
          <w:b/>
          <w:kern w:val="1"/>
          <w:szCs w:val="21"/>
          <w:highlight w:val="none"/>
          <w:lang w:eastAsia="zh-CN"/>
        </w:rPr>
        <w:t>）不同投标供应商的电子投标文件发现上传投标文件IP 地址、下载招标文件IP 地址、投标文件解密IP 地址的三项相同或文件制作机器码相同，或文件创建标识码相同，或计价加密器号一致，评标委员会应当否决其投标。</w:t>
      </w:r>
    </w:p>
    <w:p w14:paraId="75D17A31">
      <w:pPr>
        <w:tabs>
          <w:tab w:val="left" w:pos="420"/>
        </w:tabs>
        <w:spacing w:line="440" w:lineRule="exact"/>
        <w:rPr>
          <w:rFonts w:hint="eastAsia" w:ascii="宋体" w:hAnsi="宋体" w:cs="宋体"/>
          <w:b/>
          <w:kern w:val="1"/>
          <w:szCs w:val="21"/>
          <w:highlight w:val="none"/>
        </w:rPr>
      </w:pPr>
      <w:r>
        <w:rPr>
          <w:rFonts w:hint="eastAsia" w:ascii="宋体" w:hAnsi="宋体" w:cs="宋体"/>
          <w:b/>
          <w:kern w:val="1"/>
          <w:szCs w:val="21"/>
          <w:highlight w:val="none"/>
        </w:rPr>
        <w:t>（1</w:t>
      </w:r>
      <w:r>
        <w:rPr>
          <w:rFonts w:hint="eastAsia" w:ascii="宋体" w:hAnsi="宋体" w:cs="宋体"/>
          <w:b/>
          <w:kern w:val="1"/>
          <w:szCs w:val="21"/>
          <w:highlight w:val="none"/>
          <w:lang w:val="en-US" w:eastAsia="zh-CN"/>
        </w:rPr>
        <w:t>2</w:t>
      </w:r>
      <w:r>
        <w:rPr>
          <w:rFonts w:hint="eastAsia" w:ascii="宋体" w:hAnsi="宋体" w:cs="宋体"/>
          <w:b/>
          <w:kern w:val="1"/>
          <w:szCs w:val="21"/>
          <w:highlight w:val="none"/>
        </w:rPr>
        <w:t>）评标委员会认定不符合法律法规和采购文件中规定的其他实质性要求的。</w:t>
      </w:r>
    </w:p>
    <w:p w14:paraId="54FC07E1">
      <w:pPr>
        <w:tabs>
          <w:tab w:val="left" w:pos="540"/>
        </w:tabs>
        <w:spacing w:line="440" w:lineRule="exact"/>
        <w:rPr>
          <w:rFonts w:hint="eastAsia" w:ascii="宋体" w:hAnsi="宋体" w:cs="宋体"/>
          <w:b/>
          <w:kern w:val="1"/>
          <w:szCs w:val="21"/>
          <w:highlight w:val="none"/>
          <w:u w:val="single"/>
        </w:rPr>
      </w:pPr>
      <w:r>
        <w:rPr>
          <w:rFonts w:hint="eastAsia" w:ascii="宋体" w:hAnsi="宋体" w:cs="宋体"/>
          <w:b/>
          <w:kern w:val="1"/>
          <w:szCs w:val="21"/>
          <w:highlight w:val="none"/>
          <w:u w:val="single"/>
        </w:rPr>
        <w:t>21.5▲有下列情形之一的，视为投标供应商串通投标，其投标无效：</w:t>
      </w:r>
    </w:p>
    <w:p w14:paraId="20F06F7C">
      <w:pPr>
        <w:tabs>
          <w:tab w:val="left" w:pos="420"/>
        </w:tabs>
        <w:spacing w:line="440" w:lineRule="exact"/>
        <w:rPr>
          <w:rFonts w:hint="eastAsia" w:ascii="宋体" w:hAnsi="宋体" w:cs="宋体"/>
          <w:b/>
          <w:kern w:val="1"/>
          <w:szCs w:val="21"/>
          <w:highlight w:val="none"/>
        </w:rPr>
      </w:pPr>
      <w:r>
        <w:rPr>
          <w:rFonts w:hint="eastAsia" w:ascii="宋体" w:hAnsi="宋体" w:cs="宋体"/>
          <w:b/>
          <w:kern w:val="1"/>
          <w:szCs w:val="21"/>
          <w:highlight w:val="none"/>
        </w:rPr>
        <w:t>（1）不同投标供应商的投标文件由同一单位或者个人编制；</w:t>
      </w:r>
    </w:p>
    <w:p w14:paraId="29975325">
      <w:pPr>
        <w:tabs>
          <w:tab w:val="left" w:pos="420"/>
        </w:tabs>
        <w:spacing w:line="440" w:lineRule="exact"/>
        <w:rPr>
          <w:rFonts w:hint="eastAsia" w:ascii="宋体" w:hAnsi="宋体" w:cs="宋体"/>
          <w:b/>
          <w:kern w:val="1"/>
          <w:szCs w:val="21"/>
          <w:highlight w:val="none"/>
        </w:rPr>
      </w:pPr>
      <w:r>
        <w:rPr>
          <w:rFonts w:hint="eastAsia" w:ascii="宋体" w:hAnsi="宋体" w:cs="宋体"/>
          <w:b/>
          <w:kern w:val="1"/>
          <w:szCs w:val="21"/>
          <w:highlight w:val="none"/>
        </w:rPr>
        <w:t>（2）不同投标供应商委托同一单位或者个人办理投标事宜；</w:t>
      </w:r>
    </w:p>
    <w:p w14:paraId="0F5C4159">
      <w:pPr>
        <w:tabs>
          <w:tab w:val="left" w:pos="420"/>
        </w:tabs>
        <w:spacing w:line="440" w:lineRule="exact"/>
        <w:rPr>
          <w:rFonts w:hint="eastAsia" w:ascii="宋体" w:hAnsi="宋体" w:cs="宋体"/>
          <w:b/>
          <w:kern w:val="1"/>
          <w:szCs w:val="21"/>
          <w:highlight w:val="none"/>
        </w:rPr>
      </w:pPr>
      <w:r>
        <w:rPr>
          <w:rFonts w:hint="eastAsia" w:ascii="宋体" w:hAnsi="宋体" w:cs="宋体"/>
          <w:b/>
          <w:kern w:val="1"/>
          <w:szCs w:val="21"/>
          <w:highlight w:val="none"/>
        </w:rPr>
        <w:t>（3）不同投标供应商的投标文件载明的项目管理成员或者联系人员为同一人；</w:t>
      </w:r>
    </w:p>
    <w:p w14:paraId="2179F0C5">
      <w:pPr>
        <w:tabs>
          <w:tab w:val="left" w:pos="420"/>
        </w:tabs>
        <w:spacing w:line="440" w:lineRule="exact"/>
        <w:rPr>
          <w:rFonts w:hint="eastAsia" w:ascii="宋体" w:hAnsi="宋体" w:cs="宋体"/>
          <w:b/>
          <w:kern w:val="1"/>
          <w:szCs w:val="21"/>
          <w:highlight w:val="none"/>
        </w:rPr>
      </w:pPr>
      <w:r>
        <w:rPr>
          <w:rFonts w:hint="eastAsia" w:ascii="宋体" w:hAnsi="宋体" w:cs="宋体"/>
          <w:b/>
          <w:kern w:val="1"/>
          <w:szCs w:val="21"/>
          <w:highlight w:val="none"/>
        </w:rPr>
        <w:t>（4）不同投标供应商的投标文件异常一致或者投标报价呈规律性差异；</w:t>
      </w:r>
    </w:p>
    <w:p w14:paraId="0FA00526">
      <w:pPr>
        <w:tabs>
          <w:tab w:val="left" w:pos="420"/>
        </w:tabs>
        <w:spacing w:line="440" w:lineRule="exact"/>
        <w:rPr>
          <w:rFonts w:hint="eastAsia" w:ascii="宋体" w:hAnsi="宋体" w:cs="宋体"/>
          <w:b/>
          <w:kern w:val="1"/>
          <w:szCs w:val="21"/>
          <w:highlight w:val="none"/>
        </w:rPr>
      </w:pPr>
      <w:r>
        <w:rPr>
          <w:rFonts w:hint="eastAsia" w:ascii="宋体" w:hAnsi="宋体" w:cs="宋体"/>
          <w:b/>
          <w:kern w:val="1"/>
          <w:szCs w:val="21"/>
          <w:highlight w:val="none"/>
        </w:rPr>
        <w:t>（5）不同投标供应商的投标文件相互混装；</w:t>
      </w:r>
    </w:p>
    <w:p w14:paraId="182726EB">
      <w:pPr>
        <w:tabs>
          <w:tab w:val="left" w:pos="420"/>
        </w:tabs>
        <w:spacing w:line="440" w:lineRule="exact"/>
        <w:rPr>
          <w:rFonts w:hint="eastAsia" w:ascii="宋体" w:hAnsi="宋体" w:eastAsia="宋体" w:cs="宋体"/>
          <w:b/>
          <w:kern w:val="1"/>
          <w:szCs w:val="21"/>
          <w:highlight w:val="none"/>
        </w:rPr>
      </w:pPr>
      <w:r>
        <w:rPr>
          <w:rFonts w:hint="eastAsia" w:ascii="宋体" w:hAnsi="宋体" w:eastAsia="宋体" w:cs="宋体"/>
          <w:b/>
          <w:kern w:val="1"/>
          <w:szCs w:val="21"/>
          <w:highlight w:val="none"/>
        </w:rPr>
        <w:t>（6）不同投标供应商的投标保证金从同一单位或者个人的账户转出。</w:t>
      </w:r>
    </w:p>
    <w:p w14:paraId="69735E96">
      <w:pPr>
        <w:tabs>
          <w:tab w:val="left" w:pos="540"/>
        </w:tabs>
        <w:spacing w:line="440" w:lineRule="exact"/>
        <w:rPr>
          <w:rFonts w:hint="eastAsia" w:ascii="宋体" w:hAnsi="宋体" w:cs="宋体"/>
          <w:bCs/>
          <w:kern w:val="1"/>
          <w:szCs w:val="21"/>
          <w:highlight w:val="none"/>
        </w:rPr>
      </w:pPr>
      <w:r>
        <w:rPr>
          <w:rFonts w:hint="eastAsia" w:ascii="宋体" w:hAnsi="宋体" w:cs="宋体"/>
          <w:bCs/>
          <w:kern w:val="1"/>
          <w:szCs w:val="21"/>
          <w:highlight w:val="none"/>
        </w:rPr>
        <w:t>21.6“商务技术文件”评审结束后，由评标委员会对各投标人的报价进行核查，核查时发现投标报价内容不清楚可要求投标人书面澄清，计算上的错误，可按下面方法修正：</w:t>
      </w:r>
    </w:p>
    <w:p w14:paraId="10AE82BE">
      <w:pPr>
        <w:tabs>
          <w:tab w:val="left" w:pos="540"/>
        </w:tabs>
        <w:spacing w:line="440" w:lineRule="exact"/>
        <w:rPr>
          <w:rFonts w:hint="eastAsia" w:ascii="宋体" w:hAnsi="宋体" w:cs="宋体"/>
          <w:bCs/>
          <w:kern w:val="1"/>
          <w:szCs w:val="21"/>
          <w:highlight w:val="none"/>
        </w:rPr>
      </w:pPr>
      <w:r>
        <w:rPr>
          <w:rFonts w:hint="eastAsia" w:ascii="宋体" w:hAnsi="宋体" w:cs="宋体"/>
          <w:bCs/>
          <w:kern w:val="1"/>
          <w:szCs w:val="21"/>
          <w:highlight w:val="none"/>
        </w:rPr>
        <w:t>（1）投标文件中开标一览表(报价表)内容与投标文件中相应内容不一致的，以开标一览表(报价表)为准；</w:t>
      </w:r>
    </w:p>
    <w:p w14:paraId="43599C54">
      <w:pPr>
        <w:tabs>
          <w:tab w:val="left" w:pos="540"/>
        </w:tabs>
        <w:spacing w:line="440" w:lineRule="exact"/>
        <w:rPr>
          <w:rFonts w:hint="eastAsia" w:ascii="宋体" w:hAnsi="宋体" w:cs="宋体"/>
          <w:bCs/>
          <w:kern w:val="1"/>
          <w:szCs w:val="21"/>
          <w:highlight w:val="none"/>
        </w:rPr>
      </w:pPr>
      <w:r>
        <w:rPr>
          <w:rFonts w:hint="eastAsia" w:ascii="宋体" w:hAnsi="宋体" w:cs="宋体"/>
          <w:bCs/>
          <w:kern w:val="1"/>
          <w:szCs w:val="21"/>
          <w:highlight w:val="none"/>
        </w:rPr>
        <w:t>（2）大写金额和小写金额不一致的，以大写金额为准；</w:t>
      </w:r>
    </w:p>
    <w:p w14:paraId="7149B330">
      <w:pPr>
        <w:tabs>
          <w:tab w:val="left" w:pos="540"/>
        </w:tabs>
        <w:spacing w:line="440" w:lineRule="exact"/>
        <w:rPr>
          <w:rFonts w:hint="eastAsia" w:ascii="宋体" w:hAnsi="宋体" w:cs="宋体"/>
          <w:bCs/>
          <w:kern w:val="1"/>
          <w:szCs w:val="21"/>
          <w:highlight w:val="none"/>
        </w:rPr>
      </w:pPr>
      <w:r>
        <w:rPr>
          <w:rFonts w:hint="eastAsia" w:ascii="宋体" w:hAnsi="宋体" w:cs="宋体"/>
          <w:bCs/>
          <w:kern w:val="1"/>
          <w:szCs w:val="21"/>
          <w:highlight w:val="none"/>
        </w:rPr>
        <w:t>（3）单价金额小数点或者百分比有明显错位的，以开标一览表的总价为准，并修改单价；</w:t>
      </w:r>
    </w:p>
    <w:p w14:paraId="48D42269">
      <w:pPr>
        <w:tabs>
          <w:tab w:val="left" w:pos="540"/>
        </w:tabs>
        <w:spacing w:line="440" w:lineRule="exact"/>
        <w:rPr>
          <w:rFonts w:hint="eastAsia" w:ascii="宋体" w:hAnsi="宋体" w:cs="宋体"/>
          <w:bCs/>
          <w:kern w:val="1"/>
          <w:szCs w:val="21"/>
          <w:highlight w:val="none"/>
        </w:rPr>
      </w:pPr>
      <w:r>
        <w:rPr>
          <w:rFonts w:hint="eastAsia" w:ascii="宋体" w:hAnsi="宋体" w:cs="宋体"/>
          <w:bCs/>
          <w:kern w:val="1"/>
          <w:szCs w:val="21"/>
          <w:highlight w:val="none"/>
        </w:rPr>
        <w:t>（4）总价金额与按单价汇总金额不一致的，以单价金额计算结果为准。同时出现两种以上不一致的，按照前款规定的顺序修正（前款优先顺序为1）→2）→3）→4））。</w:t>
      </w:r>
    </w:p>
    <w:p w14:paraId="07BD96CD">
      <w:pPr>
        <w:tabs>
          <w:tab w:val="left" w:pos="540"/>
        </w:tabs>
        <w:spacing w:line="440" w:lineRule="exact"/>
        <w:ind w:firstLine="420" w:firstLineChars="200"/>
        <w:rPr>
          <w:rFonts w:hint="eastAsia" w:ascii="宋体" w:hAnsi="宋体" w:cs="宋体"/>
          <w:bCs/>
          <w:kern w:val="1"/>
          <w:szCs w:val="21"/>
          <w:highlight w:val="none"/>
        </w:rPr>
      </w:pPr>
      <w:r>
        <w:rPr>
          <w:rFonts w:hint="eastAsia" w:ascii="宋体" w:hAnsi="宋体" w:cs="宋体"/>
          <w:bCs/>
          <w:kern w:val="1"/>
          <w:szCs w:val="21"/>
          <w:highlight w:val="none"/>
        </w:rPr>
        <w:t>修正后的报价按照本投标须知第23.1条的规定经投标人确认后产生约束力，投标人不确认的，其投标无效。</w:t>
      </w:r>
    </w:p>
    <w:p w14:paraId="3887E1D5">
      <w:pPr>
        <w:tabs>
          <w:tab w:val="left" w:pos="540"/>
        </w:tabs>
        <w:spacing w:line="440" w:lineRule="exact"/>
        <w:rPr>
          <w:rFonts w:ascii="宋体" w:hAnsi="宋体" w:cs="宋体"/>
          <w:bCs/>
          <w:kern w:val="1"/>
          <w:szCs w:val="21"/>
          <w:highlight w:val="none"/>
        </w:rPr>
      </w:pPr>
      <w:r>
        <w:rPr>
          <w:rFonts w:hint="eastAsia" w:ascii="宋体" w:hAnsi="宋体" w:cs="宋体"/>
          <w:bCs/>
          <w:kern w:val="1"/>
          <w:szCs w:val="21"/>
          <w:highlight w:val="none"/>
        </w:rPr>
        <w:t>21.7在详细评标之前，评标委员会要审查每份投标文件是否实质上响应了采购文件的要求。实质上响应的投标应该是与采购文件要求的全部条款、条件和规格基本相符，没有重大偏离。评标委员会决定投标的响应性只根据投标文件本身的内容，而不寻求外部的证据。</w:t>
      </w:r>
    </w:p>
    <w:p w14:paraId="1C164EEA">
      <w:pPr>
        <w:tabs>
          <w:tab w:val="left" w:pos="540"/>
        </w:tabs>
        <w:spacing w:line="440" w:lineRule="exact"/>
        <w:rPr>
          <w:rFonts w:hint="eastAsia" w:ascii="宋体" w:hAnsi="宋体" w:cs="宋体"/>
          <w:bCs/>
          <w:kern w:val="1"/>
          <w:szCs w:val="21"/>
          <w:highlight w:val="none"/>
        </w:rPr>
      </w:pPr>
      <w:r>
        <w:rPr>
          <w:rFonts w:hint="eastAsia" w:ascii="宋体" w:hAnsi="宋体" w:cs="宋体"/>
          <w:bCs/>
          <w:kern w:val="1"/>
          <w:szCs w:val="21"/>
          <w:highlight w:val="none"/>
        </w:rPr>
        <w:t>21.8 实质上没有响应采购文件要求的投标将被拒绝，投标人不得通过修正或撤消不合要求的偏离或保留从而使其投标成为实质上响应的投标。</w:t>
      </w:r>
    </w:p>
    <w:p w14:paraId="2DF4E0A8">
      <w:pPr>
        <w:tabs>
          <w:tab w:val="left" w:pos="540"/>
        </w:tabs>
        <w:spacing w:line="440" w:lineRule="exact"/>
        <w:rPr>
          <w:rFonts w:hint="eastAsia" w:ascii="宋体" w:hAnsi="宋体" w:cs="宋体"/>
          <w:kern w:val="1"/>
          <w:szCs w:val="21"/>
          <w:highlight w:val="none"/>
        </w:rPr>
      </w:pPr>
      <w:r>
        <w:rPr>
          <w:rFonts w:hint="eastAsia" w:ascii="宋体" w:hAnsi="宋体" w:cs="宋体"/>
          <w:bCs/>
          <w:kern w:val="1"/>
          <w:szCs w:val="21"/>
          <w:highlight w:val="none"/>
        </w:rPr>
        <w:t>21.9</w:t>
      </w:r>
      <w:r>
        <w:rPr>
          <w:rFonts w:hint="eastAsia" w:ascii="宋体" w:hAnsi="宋体" w:cs="宋体"/>
          <w:kern w:val="1"/>
          <w:szCs w:val="21"/>
          <w:highlight w:val="none"/>
        </w:rPr>
        <w:t>评标委员会对资格审查合格的投标文件按照采购文件中制订的评标方法进行综合评定打分。</w:t>
      </w:r>
    </w:p>
    <w:p w14:paraId="0EEFC5CE">
      <w:pPr>
        <w:tabs>
          <w:tab w:val="left" w:pos="540"/>
        </w:tabs>
        <w:spacing w:line="440" w:lineRule="exact"/>
        <w:rPr>
          <w:rFonts w:hint="eastAsia" w:ascii="宋体" w:hAnsi="宋体" w:cs="宋体"/>
          <w:kern w:val="1"/>
          <w:szCs w:val="21"/>
          <w:highlight w:val="none"/>
        </w:rPr>
      </w:pPr>
      <w:r>
        <w:rPr>
          <w:rFonts w:hint="eastAsia" w:ascii="宋体" w:hAnsi="宋体" w:cs="宋体"/>
          <w:kern w:val="1"/>
          <w:szCs w:val="21"/>
          <w:highlight w:val="none"/>
        </w:rPr>
        <w:t>21.10评标过程中遇到特殊情况，由评标委员会遵循公开、公正原则，采取投票方式按照少数服从多数原则决定。</w:t>
      </w:r>
    </w:p>
    <w:p w14:paraId="327DF0A1">
      <w:pPr>
        <w:tabs>
          <w:tab w:val="left" w:pos="420"/>
          <w:tab w:val="left" w:pos="540"/>
        </w:tabs>
        <w:spacing w:line="440" w:lineRule="exact"/>
        <w:rPr>
          <w:rFonts w:hint="eastAsia" w:ascii="宋体" w:hAnsi="宋体" w:cs="宋体"/>
          <w:kern w:val="1"/>
          <w:szCs w:val="21"/>
          <w:highlight w:val="none"/>
        </w:rPr>
      </w:pPr>
      <w:r>
        <w:rPr>
          <w:rFonts w:hint="eastAsia" w:ascii="宋体" w:hAnsi="宋体" w:cs="宋体"/>
          <w:szCs w:val="21"/>
          <w:highlight w:val="none"/>
        </w:rPr>
        <w:t>22.如本项目第一次采购因有效投标供应商数量不足3家作流（废）标处理。根据《温州市市属国有企业采购管理办法》相关条款规定，采购人将重新组织采购。本项目属于国有企业采购项目，投标截止时间止及评审期间，出现有效供应商不足三家的情形，如采购文件事先已在指定媒体公开征求了供应商意见且无重大异议，或经专家论证且出具了“供应商资格条件和项目技术指标等没有歧视性和倾向性”意见的，同时采购信息已在本办法规定的媒体上公告，采购文件的发售和截止时间符合法定或《温州市市属国有企业采购管理办法》规定，由实质性响应的供应商认可后，可以按原采购方式继续进行采购活动，但采购项目第一次评审活动除外。</w:t>
      </w:r>
    </w:p>
    <w:p w14:paraId="77DC322C">
      <w:pPr>
        <w:tabs>
          <w:tab w:val="left" w:pos="420"/>
          <w:tab w:val="left" w:pos="540"/>
        </w:tabs>
        <w:spacing w:line="440" w:lineRule="exact"/>
        <w:rPr>
          <w:rFonts w:hint="eastAsia" w:ascii="宋体" w:hAnsi="宋体" w:cs="宋体"/>
          <w:kern w:val="1"/>
          <w:szCs w:val="21"/>
          <w:highlight w:val="none"/>
        </w:rPr>
      </w:pPr>
      <w:r>
        <w:rPr>
          <w:rFonts w:hint="eastAsia" w:ascii="宋体" w:hAnsi="宋体" w:cs="宋体"/>
          <w:kern w:val="1"/>
          <w:szCs w:val="21"/>
          <w:highlight w:val="none"/>
        </w:rPr>
        <w:t>23.投标文件的澄清</w:t>
      </w:r>
    </w:p>
    <w:p w14:paraId="79BAA1DA">
      <w:pPr>
        <w:tabs>
          <w:tab w:val="left" w:pos="540"/>
        </w:tabs>
        <w:spacing w:line="440" w:lineRule="exact"/>
        <w:rPr>
          <w:rFonts w:hint="eastAsia" w:ascii="宋体" w:hAnsi="宋体" w:cs="宋体"/>
          <w:b/>
          <w:kern w:val="1"/>
          <w:szCs w:val="21"/>
          <w:highlight w:val="none"/>
        </w:rPr>
      </w:pPr>
      <w:r>
        <w:rPr>
          <w:rFonts w:hint="eastAsia" w:ascii="宋体" w:hAnsi="宋体" w:cs="宋体"/>
          <w:bCs/>
          <w:kern w:val="1"/>
          <w:szCs w:val="21"/>
          <w:highlight w:val="none"/>
        </w:rPr>
        <w:t>23.1</w:t>
      </w:r>
      <w:r>
        <w:rPr>
          <w:rFonts w:hint="eastAsia" w:ascii="宋体" w:hAnsi="宋体" w:cs="宋体"/>
          <w:b/>
          <w:kern w:val="1"/>
          <w:szCs w:val="21"/>
          <w:highlight w:val="none"/>
          <w:u w:val="single"/>
        </w:rPr>
        <w:t>▲</w:t>
      </w:r>
      <w:r>
        <w:rPr>
          <w:rFonts w:hint="eastAsia" w:ascii="宋体" w:hAnsi="宋体" w:cs="宋体"/>
          <w:bCs/>
          <w:kern w:val="1"/>
          <w:szCs w:val="21"/>
          <w:highlight w:val="none"/>
          <w:u w:val="single"/>
        </w:rPr>
        <w:t>在评标期间，评标委员会可以书面方式要求投标供应商对投标文件中含义不明确、对同类问题表述不一致或者有明显文字和计算错误的内容作必要的澄清、说明或补正。澄清、说明或补正应以书面形式并由授权代表签署（或盖章），但澄清内容不得超出投标文件的范围或者改变投标文件的实质性内容。拒不按要求对其投标文件进行澄清，说明或补正的投标供应商，评标委员会可以否决其投标。</w:t>
      </w:r>
    </w:p>
    <w:p w14:paraId="570B5775">
      <w:pPr>
        <w:tabs>
          <w:tab w:val="left" w:pos="540"/>
        </w:tabs>
        <w:spacing w:line="440" w:lineRule="exact"/>
        <w:rPr>
          <w:rFonts w:hint="eastAsia" w:ascii="宋体" w:hAnsi="宋体" w:cs="宋体"/>
          <w:b/>
          <w:kern w:val="1"/>
          <w:szCs w:val="21"/>
          <w:highlight w:val="none"/>
        </w:rPr>
      </w:pPr>
      <w:r>
        <w:rPr>
          <w:rFonts w:hint="eastAsia" w:ascii="宋体" w:hAnsi="宋体" w:cs="宋体"/>
          <w:b/>
          <w:kern w:val="1"/>
          <w:szCs w:val="21"/>
          <w:highlight w:val="none"/>
        </w:rPr>
        <w:t>23.2</w:t>
      </w:r>
      <w:r>
        <w:rPr>
          <w:rFonts w:hint="eastAsia" w:ascii="宋体" w:hAnsi="宋体" w:cs="宋体"/>
          <w:b/>
          <w:kern w:val="1"/>
          <w:szCs w:val="21"/>
          <w:highlight w:val="none"/>
          <w:u w:val="single"/>
        </w:rPr>
        <w:t>▲经澄清后，若偏差仍存在，且不可接受，投标供应商则被认为是“没有实质性响应采购文件要求”，其投标不进入下一步评审。</w:t>
      </w:r>
    </w:p>
    <w:p w14:paraId="3B780159">
      <w:pPr>
        <w:tabs>
          <w:tab w:val="left" w:pos="420"/>
        </w:tabs>
        <w:spacing w:line="440" w:lineRule="exact"/>
        <w:rPr>
          <w:rFonts w:ascii="宋体" w:hAnsi="宋体" w:cs="宋体"/>
          <w:kern w:val="1"/>
          <w:szCs w:val="21"/>
          <w:highlight w:val="none"/>
        </w:rPr>
      </w:pPr>
      <w:bookmarkStart w:id="108" w:name="_Toc221356889"/>
      <w:bookmarkEnd w:id="108"/>
      <w:bookmarkStart w:id="109" w:name="_Toc221356953"/>
      <w:bookmarkEnd w:id="109"/>
      <w:bookmarkStart w:id="110" w:name="_Toc221423621"/>
      <w:bookmarkEnd w:id="110"/>
      <w:bookmarkStart w:id="111" w:name="_Toc239145356"/>
      <w:bookmarkEnd w:id="111"/>
      <w:bookmarkStart w:id="112" w:name="_Toc221374628"/>
      <w:bookmarkEnd w:id="112"/>
      <w:bookmarkStart w:id="113" w:name="_Toc265529385"/>
      <w:bookmarkEnd w:id="113"/>
      <w:bookmarkStart w:id="114" w:name="_Toc241404204"/>
      <w:bookmarkEnd w:id="114"/>
      <w:bookmarkStart w:id="115" w:name="_Toc222114881"/>
      <w:bookmarkEnd w:id="115"/>
      <w:bookmarkStart w:id="116" w:name="_Toc223716000"/>
      <w:bookmarkEnd w:id="116"/>
      <w:r>
        <w:rPr>
          <w:rFonts w:hint="eastAsia" w:ascii="宋体" w:hAnsi="宋体" w:cs="宋体"/>
          <w:bCs/>
          <w:kern w:val="1"/>
          <w:szCs w:val="21"/>
          <w:highlight w:val="none"/>
        </w:rPr>
        <w:t>24.确定中标供应商</w:t>
      </w:r>
    </w:p>
    <w:p w14:paraId="71293AC0">
      <w:pPr>
        <w:tabs>
          <w:tab w:val="left" w:pos="540"/>
        </w:tabs>
        <w:spacing w:line="440" w:lineRule="exact"/>
        <w:rPr>
          <w:rFonts w:hint="eastAsia" w:ascii="宋体" w:hAnsi="宋体" w:cs="宋体"/>
          <w:kern w:val="1"/>
          <w:szCs w:val="21"/>
          <w:highlight w:val="none"/>
        </w:rPr>
      </w:pPr>
      <w:r>
        <w:rPr>
          <w:rFonts w:hint="eastAsia" w:ascii="宋体" w:hAnsi="宋体" w:cs="宋体"/>
          <w:kern w:val="1"/>
          <w:szCs w:val="21"/>
          <w:highlight w:val="none"/>
        </w:rPr>
        <w:t>24.1本次采购由评标委员会推荐一名中标候选供应商，并编写评审报告。评标委员会依据法律法规及采购文件有关规定在有效标中按投标供应商的综合得分（即商务技术分与报价分之和）高低进行排序，综合得分第一名的投标供应商推荐为中标候选供应商（综合得分相同的，按投标报价由低到高顺序排列；综合得分相同且报价相同的，则由评标委员会以少数服从多数的原则投票选择其中一名为名次优先者）。</w:t>
      </w:r>
    </w:p>
    <w:p w14:paraId="76104094">
      <w:pPr>
        <w:tabs>
          <w:tab w:val="left" w:pos="540"/>
        </w:tabs>
        <w:spacing w:line="440" w:lineRule="exact"/>
        <w:rPr>
          <w:rFonts w:hint="eastAsia" w:ascii="宋体" w:hAnsi="宋体" w:cs="宋体"/>
          <w:kern w:val="1"/>
          <w:szCs w:val="21"/>
          <w:highlight w:val="none"/>
        </w:rPr>
      </w:pPr>
      <w:r>
        <w:rPr>
          <w:rFonts w:hint="eastAsia" w:ascii="宋体" w:hAnsi="宋体" w:cs="宋体"/>
          <w:kern w:val="1"/>
          <w:szCs w:val="21"/>
          <w:highlight w:val="none"/>
        </w:rPr>
        <w:t>24.2采购人根据评标委员会的推荐结果进行最终确认一名中标供应商（即中标人）。采购人或者采购代理机构应当自中标人确定之日起2个工作日内在温州市阳光采购服务平台及温州市交通发展集团有限公司网站等发布中标公告，公告期为3日。供应商有质疑（异议）的应在公告期内提出（以书面形式向采购人或受其委托的采购代理机构提出质疑（异议）），对质疑答复不满的，可以在答复期满后15个工作日内向温州市交通发展集团有限公司纪检监察室投诉。公告期内无供应商提出质疑（异议）的，采购人应当向中标人发出中标通知书，并在30日内按照采购文件和中标人投标文件的约定签订合同。</w:t>
      </w:r>
    </w:p>
    <w:p w14:paraId="35127C44">
      <w:pPr>
        <w:tabs>
          <w:tab w:val="left" w:pos="540"/>
        </w:tabs>
        <w:spacing w:line="440" w:lineRule="exact"/>
        <w:rPr>
          <w:rFonts w:hint="eastAsia" w:ascii="宋体" w:hAnsi="宋体" w:cs="宋体"/>
          <w:kern w:val="1"/>
          <w:szCs w:val="21"/>
          <w:highlight w:val="none"/>
        </w:rPr>
      </w:pPr>
      <w:r>
        <w:rPr>
          <w:rFonts w:hint="eastAsia" w:ascii="宋体" w:hAnsi="宋体" w:cs="宋体"/>
          <w:kern w:val="1"/>
          <w:szCs w:val="21"/>
          <w:highlight w:val="none"/>
        </w:rPr>
        <w:t>24.3排名第一的中标候选供应商放弃中标；因不可抗力提出不能履行合同；或者采购文件规定应当提交履约保证金而在规定的期限内未能提交的；或未能在规定时间内与采购单位签订合同的；或者经质疑，采购人审查后，确因排名第一的候选供应商在本次采购活动中存在违法违规行为或其他原因使质疑成立的，采购人可以直接确定排名第二的中标候选供应商为中标供应商或重新招标。</w:t>
      </w:r>
    </w:p>
    <w:p w14:paraId="035A6D87">
      <w:pPr>
        <w:tabs>
          <w:tab w:val="left" w:pos="540"/>
        </w:tabs>
        <w:spacing w:line="440" w:lineRule="exact"/>
        <w:rPr>
          <w:rFonts w:hint="eastAsia" w:ascii="宋体" w:hAnsi="宋体" w:cs="宋体"/>
          <w:kern w:val="1"/>
          <w:szCs w:val="21"/>
          <w:highlight w:val="none"/>
        </w:rPr>
      </w:pPr>
      <w:r>
        <w:rPr>
          <w:rFonts w:hint="eastAsia" w:ascii="宋体" w:hAnsi="宋体" w:cs="宋体"/>
          <w:kern w:val="1"/>
          <w:szCs w:val="21"/>
          <w:highlight w:val="none"/>
        </w:rPr>
        <w:t>24.4采购人对决标结果不作任何解释，也不保证最低价中标。</w:t>
      </w:r>
    </w:p>
    <w:p w14:paraId="2057D6B3">
      <w:pPr>
        <w:tabs>
          <w:tab w:val="left" w:pos="420"/>
        </w:tabs>
        <w:spacing w:line="440" w:lineRule="exact"/>
        <w:rPr>
          <w:rFonts w:hint="eastAsia" w:ascii="宋体" w:hAnsi="宋体" w:cs="宋体"/>
          <w:kern w:val="1"/>
          <w:szCs w:val="21"/>
          <w:highlight w:val="none"/>
        </w:rPr>
      </w:pPr>
      <w:r>
        <w:rPr>
          <w:rFonts w:hint="eastAsia" w:ascii="宋体" w:hAnsi="宋体" w:cs="宋体"/>
          <w:kern w:val="1"/>
          <w:szCs w:val="21"/>
          <w:highlight w:val="none"/>
        </w:rPr>
        <w:t>25.评标细则详见“评标原则及方法”。</w:t>
      </w:r>
    </w:p>
    <w:p w14:paraId="4F242D01">
      <w:pPr>
        <w:spacing w:before="100" w:beforeAutospacing="1" w:after="100" w:afterAutospacing="1" w:line="440" w:lineRule="exact"/>
        <w:ind w:left="-6"/>
        <w:jc w:val="center"/>
        <w:rPr>
          <w:rFonts w:hint="eastAsia" w:ascii="宋体" w:hAnsi="宋体" w:cs="宋体"/>
          <w:b/>
          <w:kern w:val="1"/>
          <w:szCs w:val="21"/>
          <w:highlight w:val="none"/>
        </w:rPr>
      </w:pPr>
      <w:bookmarkStart w:id="117" w:name="_Toc458603466"/>
      <w:bookmarkEnd w:id="117"/>
      <w:bookmarkStart w:id="118" w:name="_Toc19318"/>
      <w:bookmarkStart w:id="119" w:name="_Toc10395"/>
      <w:bookmarkStart w:id="120" w:name="_Toc16279"/>
      <w:r>
        <w:rPr>
          <w:rFonts w:hint="eastAsia" w:ascii="宋体" w:hAnsi="宋体" w:cs="宋体"/>
          <w:b/>
          <w:kern w:val="1"/>
          <w:szCs w:val="21"/>
          <w:highlight w:val="none"/>
        </w:rPr>
        <w:t>六、 授予合同</w:t>
      </w:r>
      <w:bookmarkEnd w:id="118"/>
      <w:bookmarkEnd w:id="119"/>
      <w:bookmarkEnd w:id="120"/>
    </w:p>
    <w:p w14:paraId="24F841D1">
      <w:pPr>
        <w:tabs>
          <w:tab w:val="left" w:pos="420"/>
        </w:tabs>
        <w:spacing w:line="440" w:lineRule="exact"/>
        <w:rPr>
          <w:rFonts w:hint="eastAsia" w:ascii="宋体" w:hAnsi="宋体" w:cs="宋体"/>
          <w:kern w:val="1"/>
          <w:szCs w:val="21"/>
          <w:highlight w:val="none"/>
        </w:rPr>
      </w:pPr>
      <w:r>
        <w:rPr>
          <w:rFonts w:hint="eastAsia" w:ascii="宋体" w:hAnsi="宋体" w:cs="宋体"/>
          <w:kern w:val="1"/>
          <w:szCs w:val="21"/>
          <w:highlight w:val="none"/>
        </w:rPr>
        <w:t>26.评标委员会推荐的中标候选供应商经采购人确认后在发布项目采购公告的网站上公示，各投标供应商对评标结果如有异议，可在规定时间内以书面形式向采购人进行署名投诉或提出质疑，但需对投诉或质疑内容的真实性承担法律责任。公示期结束后，采购人将根据评标委员会提交的书面评标报告和评审结果最后确定中标供应商。</w:t>
      </w:r>
    </w:p>
    <w:p w14:paraId="1D87CFE5">
      <w:pPr>
        <w:tabs>
          <w:tab w:val="left" w:pos="420"/>
        </w:tabs>
        <w:spacing w:line="440" w:lineRule="exact"/>
        <w:rPr>
          <w:rFonts w:hint="eastAsia" w:ascii="宋体" w:hAnsi="宋体" w:cs="宋体"/>
          <w:kern w:val="1"/>
          <w:szCs w:val="21"/>
          <w:highlight w:val="none"/>
        </w:rPr>
      </w:pPr>
      <w:r>
        <w:rPr>
          <w:rFonts w:hint="eastAsia" w:ascii="宋体" w:hAnsi="宋体" w:cs="宋体"/>
          <w:kern w:val="1"/>
          <w:szCs w:val="21"/>
          <w:highlight w:val="none"/>
        </w:rPr>
        <w:t>27.中标通知书</w:t>
      </w:r>
    </w:p>
    <w:p w14:paraId="44D5F70A">
      <w:pPr>
        <w:tabs>
          <w:tab w:val="left" w:pos="540"/>
        </w:tabs>
        <w:spacing w:line="460" w:lineRule="exact"/>
        <w:rPr>
          <w:rFonts w:hint="eastAsia" w:ascii="宋体" w:hAnsi="宋体" w:cs="宋体"/>
          <w:kern w:val="1"/>
          <w:szCs w:val="21"/>
          <w:highlight w:val="none"/>
        </w:rPr>
      </w:pPr>
      <w:r>
        <w:rPr>
          <w:rFonts w:hint="eastAsia" w:ascii="宋体" w:hAnsi="宋体" w:cs="宋体"/>
          <w:kern w:val="1"/>
          <w:szCs w:val="21"/>
          <w:highlight w:val="none"/>
        </w:rPr>
        <w:t xml:space="preserve">27.1中标供应商确定后且公告期内无供应商提出质疑（异议）的，采购人将向中标供应商发出中标通知书。 </w:t>
      </w:r>
    </w:p>
    <w:p w14:paraId="19610A90">
      <w:pPr>
        <w:tabs>
          <w:tab w:val="left" w:pos="540"/>
        </w:tabs>
        <w:spacing w:line="460" w:lineRule="exact"/>
        <w:rPr>
          <w:rFonts w:hint="eastAsia" w:ascii="宋体" w:hAnsi="宋体" w:cs="宋体"/>
          <w:kern w:val="1"/>
          <w:szCs w:val="21"/>
          <w:highlight w:val="none"/>
        </w:rPr>
      </w:pPr>
      <w:r>
        <w:rPr>
          <w:rFonts w:hint="eastAsia" w:ascii="宋体" w:hAnsi="宋体" w:cs="宋体"/>
          <w:kern w:val="1"/>
          <w:szCs w:val="21"/>
          <w:highlight w:val="none"/>
        </w:rPr>
        <w:t>27.2中标通知书是合同的一个组成部分,对采购人（或合同甲方）和中标供应商均具有同等法律效力。</w:t>
      </w:r>
    </w:p>
    <w:p w14:paraId="7689A869">
      <w:pPr>
        <w:tabs>
          <w:tab w:val="left" w:pos="420"/>
        </w:tabs>
        <w:spacing w:line="440" w:lineRule="exact"/>
        <w:rPr>
          <w:rFonts w:hint="eastAsia" w:ascii="宋体" w:hAnsi="宋体" w:cs="宋体"/>
          <w:kern w:val="1"/>
          <w:szCs w:val="21"/>
          <w:highlight w:val="none"/>
        </w:rPr>
      </w:pPr>
      <w:r>
        <w:rPr>
          <w:rFonts w:hint="eastAsia" w:ascii="宋体" w:hAnsi="宋体" w:cs="宋体"/>
          <w:bCs/>
          <w:kern w:val="1"/>
          <w:szCs w:val="21"/>
          <w:highlight w:val="none"/>
        </w:rPr>
        <w:t>28.签订合同</w:t>
      </w:r>
    </w:p>
    <w:p w14:paraId="2F40D365">
      <w:pPr>
        <w:tabs>
          <w:tab w:val="left" w:pos="540"/>
        </w:tabs>
        <w:spacing w:line="460" w:lineRule="exact"/>
        <w:rPr>
          <w:rFonts w:hint="eastAsia" w:ascii="宋体" w:hAnsi="宋体" w:cs="宋体"/>
          <w:kern w:val="1"/>
          <w:szCs w:val="21"/>
          <w:highlight w:val="none"/>
        </w:rPr>
      </w:pPr>
      <w:r>
        <w:rPr>
          <w:rFonts w:hint="eastAsia" w:ascii="宋体" w:hAnsi="宋体" w:cs="宋体"/>
          <w:kern w:val="1"/>
          <w:szCs w:val="21"/>
          <w:highlight w:val="none"/>
        </w:rPr>
        <w:t>28.1采购人（或合同甲方）与中标供应商应在中标通知书发出后30日内在中标通知书规定的地点按照采购文件和中标人投标文件的约定签订合同。</w:t>
      </w:r>
    </w:p>
    <w:p w14:paraId="04C1D799">
      <w:pPr>
        <w:tabs>
          <w:tab w:val="left" w:pos="540"/>
        </w:tabs>
        <w:spacing w:line="460" w:lineRule="exact"/>
        <w:rPr>
          <w:rFonts w:hint="eastAsia" w:ascii="宋体" w:hAnsi="宋体" w:cs="宋体"/>
          <w:kern w:val="1"/>
          <w:szCs w:val="21"/>
          <w:highlight w:val="none"/>
        </w:rPr>
      </w:pPr>
      <w:r>
        <w:rPr>
          <w:rFonts w:hint="eastAsia" w:ascii="宋体" w:hAnsi="宋体" w:cs="宋体"/>
          <w:spacing w:val="5"/>
          <w:kern w:val="1"/>
          <w:szCs w:val="21"/>
          <w:highlight w:val="none"/>
        </w:rPr>
        <w:t>28.2在签订合同前，采购人有权在中标总价不变的前提下要求中标供应商对报价中的不平衡报价和缺漏项进行调整，如果中标供应商无合理理由拒绝调整，其中标资格将被取消，保证金将被不予退还，且将导致其它进一步的赔偿和处罚。中标供应商因不可抗力或自身原因不能履行采购合同的，采购人可以与排位在中标供应商之后的第一位的中标候选供应商签订合同。</w:t>
      </w:r>
    </w:p>
    <w:p w14:paraId="20ABC9FF">
      <w:pPr>
        <w:tabs>
          <w:tab w:val="left" w:pos="540"/>
        </w:tabs>
        <w:spacing w:line="460" w:lineRule="exact"/>
        <w:rPr>
          <w:rFonts w:hint="eastAsia" w:ascii="宋体" w:hAnsi="宋体" w:cs="宋体"/>
          <w:kern w:val="1"/>
          <w:szCs w:val="21"/>
          <w:highlight w:val="none"/>
        </w:rPr>
      </w:pPr>
      <w:r>
        <w:rPr>
          <w:rFonts w:hint="eastAsia" w:ascii="宋体" w:hAnsi="宋体" w:cs="宋体"/>
          <w:kern w:val="1"/>
          <w:szCs w:val="21"/>
          <w:highlight w:val="none"/>
        </w:rPr>
        <w:t>28.3采购文件、中标供应商的投标文件、投标修改文件、评标过程中有关澄清文件及经投标供应商和评标委员会双方签字的询标纪要和中标通知书均作为合同附件。</w:t>
      </w:r>
    </w:p>
    <w:p w14:paraId="5ED0F5D2">
      <w:pPr>
        <w:tabs>
          <w:tab w:val="left" w:pos="540"/>
        </w:tabs>
        <w:spacing w:line="460" w:lineRule="exact"/>
        <w:rPr>
          <w:rFonts w:hint="eastAsia" w:ascii="宋体" w:hAnsi="宋体" w:cs="宋体"/>
          <w:kern w:val="1"/>
          <w:szCs w:val="21"/>
          <w:highlight w:val="none"/>
        </w:rPr>
      </w:pPr>
      <w:r>
        <w:rPr>
          <w:rFonts w:hint="eastAsia" w:ascii="宋体" w:hAnsi="宋体" w:cs="宋体"/>
          <w:kern w:val="1"/>
          <w:szCs w:val="21"/>
          <w:highlight w:val="none"/>
        </w:rPr>
        <w:t>28.4拒签合同的违约责任</w:t>
      </w:r>
    </w:p>
    <w:p w14:paraId="7690B49B">
      <w:pPr>
        <w:spacing w:line="440" w:lineRule="exact"/>
        <w:ind w:left="538"/>
        <w:rPr>
          <w:rFonts w:hint="eastAsia" w:ascii="宋体" w:hAnsi="宋体" w:cs="宋体"/>
          <w:b/>
          <w:kern w:val="1"/>
          <w:szCs w:val="21"/>
          <w:highlight w:val="none"/>
        </w:rPr>
      </w:pPr>
      <w:r>
        <w:rPr>
          <w:rFonts w:hint="eastAsia" w:ascii="宋体" w:hAnsi="宋体" w:cs="宋体"/>
          <w:b/>
          <w:kern w:val="1"/>
          <w:szCs w:val="21"/>
          <w:highlight w:val="none"/>
        </w:rPr>
        <w:t>中标供应商接到中标通知书后，在规定时间内借故否认已经承诺的条件而拒签合同的，以违约处</w:t>
      </w:r>
    </w:p>
    <w:p w14:paraId="0342C35A">
      <w:pPr>
        <w:spacing w:line="440" w:lineRule="exact"/>
        <w:rPr>
          <w:rFonts w:hint="eastAsia" w:ascii="宋体" w:hAnsi="宋体" w:cs="宋体"/>
          <w:b/>
          <w:kern w:val="1"/>
          <w:szCs w:val="21"/>
          <w:highlight w:val="none"/>
        </w:rPr>
      </w:pPr>
      <w:r>
        <w:rPr>
          <w:rFonts w:hint="eastAsia" w:ascii="宋体" w:hAnsi="宋体" w:cs="宋体"/>
          <w:b/>
          <w:kern w:val="1"/>
          <w:szCs w:val="21"/>
          <w:highlight w:val="none"/>
        </w:rPr>
        <w:t>理，其投标保证金将被不予退还。</w:t>
      </w:r>
    </w:p>
    <w:p w14:paraId="2274EBAC">
      <w:pPr>
        <w:tabs>
          <w:tab w:val="left" w:pos="540"/>
        </w:tabs>
        <w:spacing w:line="460" w:lineRule="exact"/>
        <w:rPr>
          <w:rFonts w:hint="eastAsia" w:ascii="宋体" w:hAnsi="宋体" w:cs="宋体"/>
          <w:b/>
          <w:kern w:val="1"/>
          <w:szCs w:val="21"/>
          <w:highlight w:val="none"/>
          <w:u w:val="single"/>
        </w:rPr>
      </w:pPr>
      <w:r>
        <w:rPr>
          <w:rFonts w:hint="eastAsia" w:ascii="宋体" w:hAnsi="宋体" w:cs="宋体"/>
          <w:b/>
          <w:kern w:val="1"/>
          <w:szCs w:val="21"/>
          <w:highlight w:val="none"/>
          <w:u w:val="single"/>
        </w:rPr>
        <w:t>28.5中标供应商应在合同签订后五个工作日内提交一份合同文本原件报采购代理机构备案，以免耽误投标保证金的退付。</w:t>
      </w:r>
    </w:p>
    <w:p w14:paraId="59938E4D">
      <w:pPr>
        <w:tabs>
          <w:tab w:val="left" w:pos="420"/>
        </w:tabs>
        <w:spacing w:line="440" w:lineRule="exact"/>
        <w:rPr>
          <w:rFonts w:hint="eastAsia" w:ascii="宋体" w:hAnsi="宋体" w:cs="宋体"/>
          <w:b/>
          <w:kern w:val="1"/>
          <w:szCs w:val="21"/>
          <w:highlight w:val="none"/>
        </w:rPr>
      </w:pPr>
      <w:r>
        <w:rPr>
          <w:rFonts w:hint="eastAsia" w:ascii="宋体" w:hAnsi="宋体" w:cs="宋体"/>
          <w:b/>
          <w:kern w:val="1"/>
          <w:szCs w:val="21"/>
          <w:highlight w:val="none"/>
        </w:rPr>
        <w:t>29.采购代理服务费及温州市阳光采购服务平台费用</w:t>
      </w:r>
    </w:p>
    <w:p w14:paraId="29E8BBE2">
      <w:pPr>
        <w:tabs>
          <w:tab w:val="left" w:pos="540"/>
        </w:tabs>
        <w:spacing w:line="440" w:lineRule="exact"/>
        <w:rPr>
          <w:rFonts w:hint="eastAsia" w:ascii="宋体" w:hAnsi="宋体" w:cs="宋体"/>
          <w:kern w:val="1"/>
          <w:szCs w:val="21"/>
          <w:highlight w:val="none"/>
        </w:rPr>
      </w:pPr>
      <w:r>
        <w:rPr>
          <w:rFonts w:hint="eastAsia" w:ascii="宋体" w:hAnsi="宋体" w:cs="宋体"/>
          <w:kern w:val="1"/>
          <w:szCs w:val="21"/>
          <w:highlight w:val="none"/>
        </w:rPr>
        <w:t>29.1本次采购代理服务费按固定金额8500元计取，请投标供应商在投标报价中综合考虑，由中标供应商在领取中标（成交）通知书之前支付给采购代理机构。</w:t>
      </w:r>
    </w:p>
    <w:p w14:paraId="0F4EB063">
      <w:pPr>
        <w:tabs>
          <w:tab w:val="left" w:pos="540"/>
        </w:tabs>
        <w:spacing w:line="440" w:lineRule="exact"/>
        <w:rPr>
          <w:rFonts w:hint="eastAsia" w:ascii="宋体" w:hAnsi="宋体" w:cs="宋体"/>
          <w:kern w:val="1"/>
          <w:szCs w:val="21"/>
          <w:highlight w:val="none"/>
        </w:rPr>
      </w:pPr>
      <w:r>
        <w:rPr>
          <w:rFonts w:hint="eastAsia" w:ascii="宋体" w:hAnsi="宋体" w:cs="宋体"/>
          <w:kern w:val="1"/>
          <w:szCs w:val="21"/>
          <w:highlight w:val="none"/>
        </w:rPr>
        <w:t>29.2采购代理服务费可以是现金、支票或汇票。</w:t>
      </w:r>
    </w:p>
    <w:p w14:paraId="2119165B">
      <w:pPr>
        <w:tabs>
          <w:tab w:val="left" w:pos="540"/>
        </w:tabs>
        <w:spacing w:line="440" w:lineRule="exact"/>
        <w:rPr>
          <w:rFonts w:hint="eastAsia" w:ascii="宋体" w:hAnsi="宋体" w:cs="宋体"/>
          <w:kern w:val="1"/>
          <w:szCs w:val="21"/>
          <w:highlight w:val="none"/>
        </w:rPr>
      </w:pPr>
      <w:r>
        <w:rPr>
          <w:rFonts w:hint="eastAsia" w:ascii="宋体" w:hAnsi="宋体" w:cs="宋体"/>
          <w:kern w:val="1"/>
          <w:szCs w:val="21"/>
          <w:highlight w:val="none"/>
        </w:rPr>
        <w:t>账号信息：</w:t>
      </w:r>
    </w:p>
    <w:p w14:paraId="59852A5A">
      <w:pPr>
        <w:tabs>
          <w:tab w:val="left" w:pos="540"/>
        </w:tabs>
        <w:spacing w:line="440" w:lineRule="exact"/>
        <w:rPr>
          <w:rFonts w:hint="eastAsia" w:ascii="宋体" w:hAnsi="宋体" w:cs="宋体"/>
          <w:kern w:val="1"/>
          <w:szCs w:val="21"/>
          <w:highlight w:val="none"/>
        </w:rPr>
      </w:pPr>
      <w:r>
        <w:rPr>
          <w:rFonts w:hint="eastAsia" w:ascii="宋体" w:hAnsi="宋体" w:cs="宋体"/>
          <w:kern w:val="1"/>
          <w:szCs w:val="21"/>
          <w:highlight w:val="none"/>
        </w:rPr>
        <w:t>户名：大地工程咨询有限公司温州第一分公司</w:t>
      </w:r>
    </w:p>
    <w:p w14:paraId="4E6D3334">
      <w:pPr>
        <w:tabs>
          <w:tab w:val="left" w:pos="540"/>
        </w:tabs>
        <w:spacing w:line="440" w:lineRule="exact"/>
        <w:rPr>
          <w:rFonts w:hint="eastAsia" w:ascii="宋体" w:hAnsi="宋体" w:cs="宋体"/>
          <w:kern w:val="1"/>
          <w:szCs w:val="21"/>
          <w:highlight w:val="none"/>
        </w:rPr>
      </w:pPr>
      <w:r>
        <w:rPr>
          <w:rFonts w:hint="eastAsia" w:ascii="宋体" w:hAnsi="宋体" w:cs="宋体"/>
          <w:kern w:val="1"/>
          <w:szCs w:val="21"/>
          <w:highlight w:val="none"/>
        </w:rPr>
        <w:t xml:space="preserve">账号：33050162870500000188 </w:t>
      </w:r>
    </w:p>
    <w:p w14:paraId="68975BE0">
      <w:pPr>
        <w:tabs>
          <w:tab w:val="left" w:pos="540"/>
        </w:tabs>
        <w:spacing w:line="440" w:lineRule="exact"/>
        <w:rPr>
          <w:rFonts w:hint="eastAsia" w:ascii="宋体" w:hAnsi="宋体" w:cs="宋体"/>
          <w:kern w:val="1"/>
          <w:szCs w:val="21"/>
          <w:highlight w:val="none"/>
        </w:rPr>
      </w:pPr>
      <w:r>
        <w:rPr>
          <w:rFonts w:hint="eastAsia" w:ascii="宋体" w:hAnsi="宋体" w:cs="宋体"/>
          <w:kern w:val="1"/>
          <w:szCs w:val="21"/>
          <w:highlight w:val="none"/>
        </w:rPr>
        <w:t>开户行：中国建设银行温州双龙支行</w:t>
      </w:r>
    </w:p>
    <w:p w14:paraId="5380D0EC">
      <w:pPr>
        <w:tabs>
          <w:tab w:val="left" w:pos="540"/>
        </w:tabs>
        <w:spacing w:line="440" w:lineRule="exact"/>
        <w:rPr>
          <w:rFonts w:hint="eastAsia" w:ascii="宋体" w:hAnsi="宋体" w:cs="宋体"/>
          <w:kern w:val="1"/>
          <w:szCs w:val="21"/>
          <w:highlight w:val="none"/>
        </w:rPr>
      </w:pPr>
      <w:r>
        <w:rPr>
          <w:rFonts w:hint="eastAsia" w:ascii="宋体" w:hAnsi="宋体" w:cs="宋体"/>
          <w:kern w:val="1"/>
          <w:szCs w:val="21"/>
          <w:highlight w:val="none"/>
        </w:rPr>
        <w:t>29.3温州市阳光采购服务平台费用</w:t>
      </w:r>
    </w:p>
    <w:tbl>
      <w:tblPr>
        <w:tblStyle w:val="35"/>
        <w:tblpPr w:leftFromText="180" w:rightFromText="180" w:vertAnchor="text" w:horzAnchor="page" w:tblpX="1516" w:tblpY="422"/>
        <w:tblOverlap w:val="never"/>
        <w:tblW w:w="9323"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708"/>
        <w:gridCol w:w="2729"/>
        <w:gridCol w:w="3886"/>
      </w:tblGrid>
      <w:tr w14:paraId="482388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2708" w:type="dxa"/>
            <w:tcBorders>
              <w:top w:val="single" w:color="000000" w:sz="2" w:space="0"/>
              <w:left w:val="single" w:color="000000" w:sz="2" w:space="0"/>
              <w:bottom w:val="single" w:color="000000" w:sz="2" w:space="0"/>
              <w:right w:val="single" w:color="000000" w:sz="2" w:space="0"/>
            </w:tcBorders>
            <w:noWrap w:val="0"/>
            <w:vAlign w:val="center"/>
          </w:tcPr>
          <w:p w14:paraId="26A32077">
            <w:pPr>
              <w:tabs>
                <w:tab w:val="left" w:pos="540"/>
                <w:tab w:val="left" w:pos="630"/>
              </w:tabs>
              <w:wordWrap w:val="0"/>
              <w:spacing w:line="360" w:lineRule="auto"/>
              <w:jc w:val="center"/>
              <w:rPr>
                <w:rFonts w:hint="eastAsia" w:ascii="宋体" w:hAnsi="宋体" w:eastAsia="宋体" w:cs="宋体"/>
                <w:szCs w:val="21"/>
                <w:highlight w:val="none"/>
              </w:rPr>
            </w:pPr>
            <w:bookmarkStart w:id="121" w:name="OLE_LINK5"/>
            <w:r>
              <w:rPr>
                <w:rFonts w:hint="eastAsia" w:ascii="宋体" w:hAnsi="宋体" w:eastAsia="宋体" w:cs="宋体"/>
                <w:szCs w:val="21"/>
                <w:highlight w:val="none"/>
              </w:rPr>
              <w:t>中标价 （元）</w:t>
            </w:r>
          </w:p>
        </w:tc>
        <w:tc>
          <w:tcPr>
            <w:tcW w:w="2729" w:type="dxa"/>
            <w:tcBorders>
              <w:top w:val="single" w:color="000000" w:sz="2" w:space="0"/>
              <w:left w:val="single" w:color="000000" w:sz="2" w:space="0"/>
              <w:bottom w:val="single" w:color="000000" w:sz="2" w:space="0"/>
              <w:right w:val="single" w:color="000000" w:sz="2" w:space="0"/>
            </w:tcBorders>
            <w:noWrap w:val="0"/>
            <w:vAlign w:val="center"/>
          </w:tcPr>
          <w:p w14:paraId="320002D4">
            <w:pPr>
              <w:tabs>
                <w:tab w:val="left" w:pos="540"/>
                <w:tab w:val="left" w:pos="630"/>
              </w:tabs>
              <w:wordWrap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收费标准</w:t>
            </w:r>
          </w:p>
        </w:tc>
        <w:tc>
          <w:tcPr>
            <w:tcW w:w="3886" w:type="dxa"/>
            <w:tcBorders>
              <w:top w:val="single" w:color="000000" w:sz="2" w:space="0"/>
              <w:left w:val="single" w:color="000000" w:sz="2" w:space="0"/>
              <w:bottom w:val="single" w:color="000000" w:sz="2" w:space="0"/>
              <w:right w:val="single" w:color="000000" w:sz="2" w:space="0"/>
            </w:tcBorders>
            <w:noWrap w:val="0"/>
            <w:vAlign w:val="center"/>
          </w:tcPr>
          <w:p w14:paraId="19F626E1">
            <w:pPr>
              <w:tabs>
                <w:tab w:val="left" w:pos="540"/>
                <w:tab w:val="left" w:pos="630"/>
              </w:tabs>
              <w:wordWrap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备注</w:t>
            </w:r>
          </w:p>
        </w:tc>
      </w:tr>
      <w:tr w14:paraId="1D8BC7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 w:hRule="atLeast"/>
        </w:trPr>
        <w:tc>
          <w:tcPr>
            <w:tcW w:w="2708" w:type="dxa"/>
            <w:tcBorders>
              <w:top w:val="single" w:color="000000" w:sz="2" w:space="0"/>
              <w:left w:val="single" w:color="000000" w:sz="2" w:space="0"/>
              <w:bottom w:val="single" w:color="000000" w:sz="2" w:space="0"/>
              <w:right w:val="single" w:color="000000" w:sz="2" w:space="0"/>
            </w:tcBorders>
            <w:noWrap w:val="0"/>
            <w:vAlign w:val="center"/>
          </w:tcPr>
          <w:p w14:paraId="2A0FE54E">
            <w:pPr>
              <w:tabs>
                <w:tab w:val="left" w:pos="540"/>
                <w:tab w:val="left" w:pos="630"/>
              </w:tabs>
              <w:wordWrap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10万（含）以下</w:t>
            </w:r>
          </w:p>
        </w:tc>
        <w:tc>
          <w:tcPr>
            <w:tcW w:w="2729" w:type="dxa"/>
            <w:tcBorders>
              <w:top w:val="single" w:color="000000" w:sz="2" w:space="0"/>
              <w:left w:val="single" w:color="000000" w:sz="2" w:space="0"/>
              <w:bottom w:val="single" w:color="000000" w:sz="2" w:space="0"/>
              <w:right w:val="single" w:color="000000" w:sz="2" w:space="0"/>
            </w:tcBorders>
            <w:noWrap w:val="0"/>
            <w:vAlign w:val="center"/>
          </w:tcPr>
          <w:p w14:paraId="56ACB417">
            <w:pPr>
              <w:tabs>
                <w:tab w:val="left" w:pos="540"/>
                <w:tab w:val="left" w:pos="630"/>
              </w:tabs>
              <w:wordWrap w:val="0"/>
              <w:spacing w:line="360" w:lineRule="auto"/>
              <w:ind w:left="420" w:leftChars="200"/>
              <w:jc w:val="center"/>
              <w:rPr>
                <w:rFonts w:hint="eastAsia" w:ascii="宋体" w:hAnsi="宋体" w:eastAsia="宋体" w:cs="宋体"/>
                <w:szCs w:val="21"/>
                <w:highlight w:val="none"/>
              </w:rPr>
            </w:pPr>
            <w:r>
              <w:rPr>
                <w:rFonts w:hint="eastAsia" w:ascii="宋体" w:hAnsi="宋体" w:eastAsia="宋体" w:cs="宋体"/>
                <w:szCs w:val="21"/>
                <w:highlight w:val="none"/>
              </w:rPr>
              <w:t>免收</w:t>
            </w:r>
          </w:p>
        </w:tc>
        <w:tc>
          <w:tcPr>
            <w:tcW w:w="3886" w:type="dxa"/>
            <w:vMerge w:val="restart"/>
            <w:tcBorders>
              <w:top w:val="single" w:color="000000" w:sz="2" w:space="0"/>
              <w:left w:val="single" w:color="000000" w:sz="2" w:space="0"/>
              <w:bottom w:val="single" w:color="000000" w:sz="2" w:space="0"/>
              <w:right w:val="single" w:color="000000" w:sz="2" w:space="0"/>
            </w:tcBorders>
            <w:noWrap w:val="0"/>
            <w:vAlign w:val="center"/>
          </w:tcPr>
          <w:p w14:paraId="6730F976">
            <w:pPr>
              <w:tabs>
                <w:tab w:val="left" w:pos="540"/>
                <w:tab w:val="left" w:pos="630"/>
              </w:tabs>
              <w:wordWrap w:val="0"/>
              <w:spacing w:line="360" w:lineRule="auto"/>
              <w:jc w:val="center"/>
              <w:rPr>
                <w:rFonts w:hint="eastAsia" w:ascii="宋体" w:hAnsi="宋体" w:eastAsia="宋体" w:cs="宋体"/>
                <w:szCs w:val="21"/>
                <w:highlight w:val="none"/>
              </w:rPr>
            </w:pPr>
            <w:bookmarkStart w:id="122" w:name="OLE_LINK4"/>
            <w:r>
              <w:rPr>
                <w:rFonts w:hint="eastAsia" w:ascii="宋体" w:hAnsi="宋体" w:eastAsia="宋体" w:cs="宋体"/>
                <w:szCs w:val="21"/>
                <w:highlight w:val="none"/>
              </w:rPr>
              <w:t>交</w:t>
            </w:r>
            <w:bookmarkStart w:id="123" w:name="OLE_LINK3"/>
            <w:r>
              <w:rPr>
                <w:rFonts w:hint="eastAsia" w:ascii="宋体" w:hAnsi="宋体" w:eastAsia="宋体" w:cs="宋体"/>
                <w:szCs w:val="21"/>
                <w:highlight w:val="none"/>
              </w:rPr>
              <w:t>易服务费由中标供应商承担</w:t>
            </w:r>
            <w:bookmarkEnd w:id="123"/>
            <w:r>
              <w:rPr>
                <w:rFonts w:hint="eastAsia" w:ascii="宋体" w:hAnsi="宋体" w:eastAsia="宋体" w:cs="宋体"/>
                <w:szCs w:val="21"/>
                <w:highlight w:val="none"/>
              </w:rPr>
              <w:t>，单项收费最高不超过20000元。</w:t>
            </w:r>
            <w:bookmarkEnd w:id="122"/>
          </w:p>
        </w:tc>
      </w:tr>
      <w:tr w14:paraId="48DBE6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 w:hRule="atLeast"/>
        </w:trPr>
        <w:tc>
          <w:tcPr>
            <w:tcW w:w="2708" w:type="dxa"/>
            <w:tcBorders>
              <w:top w:val="single" w:color="000000" w:sz="2" w:space="0"/>
              <w:left w:val="single" w:color="000000" w:sz="2" w:space="0"/>
              <w:bottom w:val="single" w:color="000000" w:sz="2" w:space="0"/>
              <w:right w:val="single" w:color="000000" w:sz="2" w:space="0"/>
            </w:tcBorders>
            <w:noWrap w:val="0"/>
            <w:vAlign w:val="center"/>
          </w:tcPr>
          <w:p w14:paraId="6680A00A">
            <w:pPr>
              <w:tabs>
                <w:tab w:val="left" w:pos="540"/>
                <w:tab w:val="left" w:pos="630"/>
              </w:tabs>
              <w:wordWrap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10万—80万（含）</w:t>
            </w:r>
          </w:p>
        </w:tc>
        <w:tc>
          <w:tcPr>
            <w:tcW w:w="2729" w:type="dxa"/>
            <w:tcBorders>
              <w:top w:val="single" w:color="000000" w:sz="2" w:space="0"/>
              <w:left w:val="single" w:color="000000" w:sz="2" w:space="0"/>
              <w:bottom w:val="single" w:color="000000" w:sz="2" w:space="0"/>
              <w:right w:val="single" w:color="000000" w:sz="2" w:space="0"/>
            </w:tcBorders>
            <w:noWrap w:val="0"/>
            <w:vAlign w:val="center"/>
          </w:tcPr>
          <w:p w14:paraId="5E5139C4">
            <w:pPr>
              <w:tabs>
                <w:tab w:val="left" w:pos="540"/>
                <w:tab w:val="left" w:pos="630"/>
              </w:tabs>
              <w:wordWrap w:val="0"/>
              <w:spacing w:line="360" w:lineRule="auto"/>
              <w:jc w:val="center"/>
              <w:rPr>
                <w:rFonts w:hint="eastAsia" w:ascii="宋体" w:hAnsi="宋体" w:eastAsia="宋体" w:cs="宋体"/>
                <w:szCs w:val="21"/>
                <w:highlight w:val="none"/>
              </w:rPr>
            </w:pPr>
            <w:bookmarkStart w:id="124" w:name="OLE_LINK1"/>
            <w:r>
              <w:rPr>
                <w:rFonts w:hint="eastAsia" w:ascii="宋体" w:hAnsi="宋体" w:eastAsia="宋体" w:cs="宋体"/>
                <w:szCs w:val="21"/>
                <w:highlight w:val="none"/>
              </w:rPr>
              <w:t>800元</w:t>
            </w:r>
            <w:bookmarkEnd w:id="124"/>
          </w:p>
        </w:tc>
        <w:tc>
          <w:tcPr>
            <w:tcW w:w="3886" w:type="dxa"/>
            <w:vMerge w:val="continue"/>
            <w:tcBorders>
              <w:top w:val="single" w:color="000000" w:sz="2" w:space="0"/>
              <w:left w:val="single" w:color="000000" w:sz="2" w:space="0"/>
              <w:bottom w:val="single" w:color="000000" w:sz="2" w:space="0"/>
              <w:right w:val="single" w:color="000000" w:sz="2" w:space="0"/>
            </w:tcBorders>
            <w:noWrap w:val="0"/>
            <w:vAlign w:val="center"/>
          </w:tcPr>
          <w:p w14:paraId="747C224B">
            <w:pPr>
              <w:numPr>
                <w:ilvl w:val="1"/>
                <w:numId w:val="7"/>
              </w:numPr>
              <w:tabs>
                <w:tab w:val="left" w:pos="540"/>
                <w:tab w:val="left" w:pos="630"/>
              </w:tabs>
              <w:wordWrap w:val="0"/>
              <w:spacing w:line="360" w:lineRule="auto"/>
              <w:ind w:left="0" w:firstLine="420" w:firstLineChars="200"/>
              <w:jc w:val="center"/>
              <w:rPr>
                <w:rFonts w:hint="eastAsia" w:ascii="宋体" w:hAnsi="宋体" w:eastAsia="宋体" w:cs="宋体"/>
                <w:szCs w:val="21"/>
                <w:highlight w:val="none"/>
              </w:rPr>
            </w:pPr>
          </w:p>
        </w:tc>
      </w:tr>
      <w:tr w14:paraId="6476D1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 w:hRule="atLeast"/>
        </w:trPr>
        <w:tc>
          <w:tcPr>
            <w:tcW w:w="2708" w:type="dxa"/>
            <w:tcBorders>
              <w:top w:val="single" w:color="000000" w:sz="2" w:space="0"/>
              <w:left w:val="single" w:color="000000" w:sz="2" w:space="0"/>
              <w:bottom w:val="single" w:color="000000" w:sz="2" w:space="0"/>
              <w:right w:val="single" w:color="000000" w:sz="2" w:space="0"/>
            </w:tcBorders>
            <w:noWrap w:val="0"/>
            <w:vAlign w:val="center"/>
          </w:tcPr>
          <w:p w14:paraId="1FECCC6F">
            <w:pPr>
              <w:tabs>
                <w:tab w:val="left" w:pos="540"/>
                <w:tab w:val="left" w:pos="630"/>
              </w:tabs>
              <w:wordWrap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80万以上</w:t>
            </w:r>
          </w:p>
        </w:tc>
        <w:tc>
          <w:tcPr>
            <w:tcW w:w="2729" w:type="dxa"/>
            <w:tcBorders>
              <w:top w:val="single" w:color="000000" w:sz="2" w:space="0"/>
              <w:left w:val="single" w:color="000000" w:sz="2" w:space="0"/>
              <w:bottom w:val="single" w:color="000000" w:sz="2" w:space="0"/>
              <w:right w:val="single" w:color="000000" w:sz="2" w:space="0"/>
            </w:tcBorders>
            <w:noWrap w:val="0"/>
            <w:vAlign w:val="center"/>
          </w:tcPr>
          <w:p w14:paraId="553D09E5">
            <w:pPr>
              <w:tabs>
                <w:tab w:val="left" w:pos="540"/>
                <w:tab w:val="left" w:pos="630"/>
              </w:tabs>
              <w:wordWrap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按中标金额1‰收取</w:t>
            </w:r>
          </w:p>
        </w:tc>
        <w:tc>
          <w:tcPr>
            <w:tcW w:w="3886" w:type="dxa"/>
            <w:vMerge w:val="continue"/>
            <w:tcBorders>
              <w:top w:val="single" w:color="000000" w:sz="2" w:space="0"/>
              <w:left w:val="single" w:color="000000" w:sz="2" w:space="0"/>
              <w:bottom w:val="single" w:color="000000" w:sz="2" w:space="0"/>
              <w:right w:val="single" w:color="000000" w:sz="2" w:space="0"/>
            </w:tcBorders>
            <w:noWrap w:val="0"/>
            <w:vAlign w:val="center"/>
          </w:tcPr>
          <w:p w14:paraId="065EB1EB">
            <w:pPr>
              <w:numPr>
                <w:ilvl w:val="1"/>
                <w:numId w:val="7"/>
              </w:numPr>
              <w:tabs>
                <w:tab w:val="left" w:pos="540"/>
                <w:tab w:val="left" w:pos="630"/>
              </w:tabs>
              <w:wordWrap w:val="0"/>
              <w:spacing w:line="360" w:lineRule="auto"/>
              <w:ind w:left="0" w:firstLine="420" w:firstLineChars="200"/>
              <w:jc w:val="center"/>
              <w:rPr>
                <w:rFonts w:hint="eastAsia" w:ascii="宋体" w:hAnsi="宋体" w:eastAsia="宋体" w:cs="宋体"/>
                <w:szCs w:val="21"/>
                <w:highlight w:val="none"/>
              </w:rPr>
            </w:pPr>
          </w:p>
        </w:tc>
      </w:tr>
      <w:bookmarkEnd w:id="121"/>
    </w:tbl>
    <w:p w14:paraId="77F836B1">
      <w:pPr>
        <w:tabs>
          <w:tab w:val="left" w:pos="540"/>
        </w:tabs>
        <w:spacing w:line="440" w:lineRule="exact"/>
        <w:ind w:firstLine="420" w:firstLineChars="200"/>
        <w:rPr>
          <w:rFonts w:hint="eastAsia" w:ascii="宋体" w:hAnsi="宋体" w:cs="宋体"/>
          <w:kern w:val="1"/>
          <w:szCs w:val="21"/>
          <w:highlight w:val="none"/>
        </w:rPr>
      </w:pPr>
      <w:r>
        <w:rPr>
          <w:rFonts w:hint="eastAsia" w:ascii="宋体" w:hAnsi="宋体" w:cs="宋体"/>
          <w:kern w:val="1"/>
          <w:szCs w:val="21"/>
          <w:highlight w:val="none"/>
        </w:rPr>
        <w:t>数据产品、货物类、服务类、非依法必须招标的工程建设项目交易服务费，具体标准如下：</w:t>
      </w:r>
    </w:p>
    <w:p w14:paraId="55DFD596">
      <w:pPr>
        <w:tabs>
          <w:tab w:val="left" w:pos="540"/>
        </w:tabs>
        <w:spacing w:line="440" w:lineRule="exact"/>
        <w:rPr>
          <w:rFonts w:hint="eastAsia" w:ascii="宋体" w:hAnsi="宋体" w:cs="宋体"/>
          <w:kern w:val="1"/>
          <w:szCs w:val="21"/>
          <w:highlight w:val="none"/>
        </w:rPr>
      </w:pPr>
      <w:r>
        <w:rPr>
          <w:rFonts w:hint="eastAsia" w:ascii="宋体" w:hAnsi="宋体" w:cs="宋体"/>
          <w:kern w:val="1"/>
          <w:szCs w:val="21"/>
          <w:highlight w:val="none"/>
        </w:rPr>
        <w:t>29.4无交易金额的项目，向中标供应商收取交易服务费800元。</w:t>
      </w:r>
    </w:p>
    <w:p w14:paraId="0E6084B9">
      <w:pPr>
        <w:tabs>
          <w:tab w:val="left" w:pos="540"/>
        </w:tabs>
        <w:spacing w:line="440" w:lineRule="exact"/>
        <w:rPr>
          <w:rFonts w:hint="eastAsia" w:ascii="宋体" w:hAnsi="宋体" w:cs="宋体"/>
          <w:kern w:val="1"/>
          <w:szCs w:val="21"/>
          <w:highlight w:val="none"/>
        </w:rPr>
      </w:pPr>
      <w:r>
        <w:rPr>
          <w:rFonts w:hint="eastAsia" w:ascii="宋体" w:hAnsi="宋体" w:cs="宋体"/>
          <w:kern w:val="1"/>
          <w:szCs w:val="21"/>
          <w:highlight w:val="none"/>
        </w:rPr>
        <w:t>29.5资金竞争性存放、金融机构承销服务项目，向中标供应商收取交易服务费800元。</w:t>
      </w:r>
    </w:p>
    <w:p w14:paraId="36E379B0">
      <w:pPr>
        <w:tabs>
          <w:tab w:val="left" w:pos="540"/>
        </w:tabs>
        <w:spacing w:line="440" w:lineRule="exact"/>
        <w:rPr>
          <w:rFonts w:hint="eastAsia" w:ascii="宋体" w:hAnsi="宋体" w:cs="宋体"/>
          <w:kern w:val="1"/>
          <w:szCs w:val="21"/>
          <w:highlight w:val="none"/>
        </w:rPr>
      </w:pPr>
      <w:r>
        <w:rPr>
          <w:rFonts w:hint="eastAsia" w:ascii="宋体" w:hAnsi="宋体" w:cs="宋体"/>
          <w:kern w:val="1"/>
          <w:szCs w:val="21"/>
          <w:highlight w:val="none"/>
        </w:rPr>
        <w:t>29.6多标段项目，向中标供应商按实际中标数（多人中标或一人中多标段）收取对应交易服务费。</w:t>
      </w:r>
    </w:p>
    <w:p w14:paraId="29994357">
      <w:pPr>
        <w:tabs>
          <w:tab w:val="left" w:pos="540"/>
        </w:tabs>
        <w:spacing w:line="440" w:lineRule="exact"/>
        <w:rPr>
          <w:rFonts w:hint="eastAsia" w:ascii="宋体" w:hAnsi="宋体" w:cs="宋体"/>
          <w:kern w:val="1"/>
          <w:szCs w:val="21"/>
          <w:highlight w:val="none"/>
        </w:rPr>
      </w:pPr>
      <w:r>
        <w:rPr>
          <w:rFonts w:hint="eastAsia" w:ascii="宋体" w:hAnsi="宋体" w:cs="宋体"/>
          <w:kern w:val="1"/>
          <w:szCs w:val="21"/>
          <w:highlight w:val="none"/>
        </w:rPr>
        <w:t>29.7项目废标后再次进场交易的由最终的中标供应商承担或按采购文件约定的承担比例执行，废标后不再进场交易的项目由采购单位按照最低的收费标准承担800元。</w:t>
      </w:r>
    </w:p>
    <w:p w14:paraId="3E5DA175">
      <w:pPr>
        <w:tabs>
          <w:tab w:val="left" w:pos="540"/>
        </w:tabs>
        <w:spacing w:line="440" w:lineRule="exact"/>
        <w:rPr>
          <w:rFonts w:hint="eastAsia" w:ascii="宋体" w:hAnsi="宋体" w:cs="宋体"/>
          <w:kern w:val="1"/>
          <w:szCs w:val="21"/>
          <w:highlight w:val="none"/>
        </w:rPr>
      </w:pPr>
      <w:r>
        <w:rPr>
          <w:rFonts w:hint="eastAsia" w:ascii="宋体" w:hAnsi="宋体" w:cs="宋体"/>
          <w:kern w:val="1"/>
          <w:szCs w:val="21"/>
          <w:highlight w:val="none"/>
        </w:rPr>
        <w:t>29.8投标供应商报名时均需交纳150元平台系统使用费。</w:t>
      </w:r>
    </w:p>
    <w:p w14:paraId="6CFF01F5">
      <w:pPr>
        <w:spacing w:before="100" w:beforeAutospacing="1" w:after="100" w:afterAutospacing="1" w:line="440" w:lineRule="exact"/>
        <w:ind w:left="-6"/>
        <w:jc w:val="center"/>
        <w:rPr>
          <w:rFonts w:hint="eastAsia" w:ascii="宋体" w:hAnsi="宋体" w:cs="宋体"/>
          <w:b/>
          <w:kern w:val="1"/>
          <w:szCs w:val="21"/>
          <w:highlight w:val="none"/>
        </w:rPr>
      </w:pPr>
      <w:r>
        <w:rPr>
          <w:rFonts w:hint="eastAsia" w:ascii="宋体" w:hAnsi="宋体" w:cs="宋体"/>
          <w:b/>
          <w:kern w:val="1"/>
          <w:szCs w:val="21"/>
          <w:highlight w:val="none"/>
        </w:rPr>
        <w:t>七、投诉与质疑</w:t>
      </w:r>
    </w:p>
    <w:p w14:paraId="1A39A333">
      <w:pPr>
        <w:tabs>
          <w:tab w:val="left" w:pos="540"/>
        </w:tabs>
        <w:spacing w:line="440" w:lineRule="exact"/>
        <w:rPr>
          <w:rFonts w:hint="eastAsia" w:ascii="宋体" w:hAnsi="宋体" w:cs="宋体"/>
          <w:kern w:val="1"/>
          <w:szCs w:val="21"/>
          <w:highlight w:val="none"/>
          <w:lang w:val="zh-CN"/>
        </w:rPr>
      </w:pPr>
      <w:r>
        <w:rPr>
          <w:rFonts w:hint="eastAsia" w:ascii="宋体" w:hAnsi="宋体" w:cs="宋体"/>
          <w:kern w:val="1"/>
          <w:szCs w:val="21"/>
          <w:highlight w:val="none"/>
        </w:rPr>
        <w:t>30.</w:t>
      </w:r>
      <w:r>
        <w:rPr>
          <w:rFonts w:hint="eastAsia" w:ascii="宋体" w:hAnsi="宋体" w:cs="宋体"/>
          <w:kern w:val="1"/>
          <w:szCs w:val="21"/>
          <w:highlight w:val="none"/>
          <w:lang w:val="zh-CN"/>
        </w:rPr>
        <w:t>供应商质疑</w:t>
      </w:r>
    </w:p>
    <w:p w14:paraId="578AB1E6">
      <w:pPr>
        <w:tabs>
          <w:tab w:val="left" w:pos="540"/>
        </w:tabs>
        <w:spacing w:line="440" w:lineRule="exact"/>
        <w:ind w:firstLine="420" w:firstLineChars="200"/>
        <w:rPr>
          <w:rFonts w:hint="eastAsia" w:ascii="宋体" w:hAnsi="宋体" w:cs="宋体"/>
          <w:kern w:val="1"/>
          <w:szCs w:val="21"/>
          <w:highlight w:val="none"/>
          <w:lang w:val="zh-CN"/>
        </w:rPr>
      </w:pPr>
      <w:r>
        <w:rPr>
          <w:rFonts w:hint="eastAsia" w:ascii="宋体" w:hAnsi="宋体" w:cs="宋体"/>
          <w:kern w:val="1"/>
          <w:szCs w:val="21"/>
          <w:highlight w:val="none"/>
        </w:rPr>
        <w:t>30.1</w:t>
      </w:r>
      <w:r>
        <w:rPr>
          <w:rFonts w:hint="eastAsia" w:ascii="宋体" w:hAnsi="宋体" w:cs="宋体"/>
          <w:kern w:val="1"/>
          <w:szCs w:val="21"/>
          <w:highlight w:val="none"/>
          <w:lang w:val="zh-CN"/>
        </w:rPr>
        <w:t>提出质疑的供应商应当是参与所质疑项目采购活动的供应商。潜在供应商已依法获取其可质疑的采购文件的，可以对该文件提出质疑。</w:t>
      </w:r>
    </w:p>
    <w:p w14:paraId="4494459D">
      <w:pPr>
        <w:tabs>
          <w:tab w:val="left" w:pos="540"/>
        </w:tabs>
        <w:spacing w:line="440" w:lineRule="exact"/>
        <w:ind w:firstLine="420" w:firstLineChars="200"/>
        <w:rPr>
          <w:rFonts w:hint="eastAsia" w:ascii="宋体" w:hAnsi="宋体" w:cs="宋体"/>
          <w:kern w:val="1"/>
          <w:szCs w:val="21"/>
          <w:highlight w:val="none"/>
          <w:lang w:val="zh-CN"/>
        </w:rPr>
      </w:pPr>
      <w:r>
        <w:rPr>
          <w:rFonts w:hint="eastAsia" w:ascii="宋体" w:hAnsi="宋体" w:cs="宋体"/>
          <w:kern w:val="1"/>
          <w:szCs w:val="21"/>
          <w:highlight w:val="none"/>
        </w:rPr>
        <w:t>30.2投标供应商对中标公告有质疑的，可以在规定时间内以书面形式向采购人和采购代理机构提出质疑，但需对质疑内容的真实性承担责任。</w:t>
      </w:r>
    </w:p>
    <w:p w14:paraId="6E5BC9C0">
      <w:pPr>
        <w:tabs>
          <w:tab w:val="left" w:pos="540"/>
        </w:tabs>
        <w:spacing w:line="440" w:lineRule="exact"/>
        <w:ind w:firstLine="420" w:firstLineChars="200"/>
        <w:rPr>
          <w:rFonts w:hint="eastAsia" w:ascii="宋体" w:hAnsi="宋体" w:cs="宋体"/>
          <w:kern w:val="1"/>
          <w:szCs w:val="21"/>
          <w:highlight w:val="none"/>
          <w:lang w:val="zh-CN"/>
        </w:rPr>
      </w:pPr>
      <w:r>
        <w:rPr>
          <w:rFonts w:hint="eastAsia" w:ascii="宋体" w:hAnsi="宋体" w:cs="宋体"/>
          <w:kern w:val="1"/>
          <w:szCs w:val="21"/>
          <w:highlight w:val="none"/>
        </w:rPr>
        <w:t>30.3</w:t>
      </w:r>
      <w:r>
        <w:rPr>
          <w:rFonts w:hint="eastAsia" w:ascii="宋体" w:hAnsi="宋体" w:cs="宋体"/>
          <w:kern w:val="1"/>
          <w:szCs w:val="21"/>
          <w:highlight w:val="none"/>
          <w:lang w:val="zh-CN"/>
        </w:rPr>
        <w:t>供应商认为采购文件、采购过程和中标结果使自己的权益受到损害的，可以在</w:t>
      </w:r>
      <w:r>
        <w:rPr>
          <w:rFonts w:hint="eastAsia" w:ascii="宋体" w:hAnsi="宋体" w:cs="宋体"/>
          <w:kern w:val="1"/>
          <w:szCs w:val="21"/>
          <w:highlight w:val="none"/>
        </w:rPr>
        <w:t>采购文件</w:t>
      </w:r>
      <w:r>
        <w:rPr>
          <w:rFonts w:hint="eastAsia" w:ascii="宋体" w:hAnsi="宋体" w:cs="宋体"/>
          <w:kern w:val="1"/>
          <w:szCs w:val="21"/>
          <w:highlight w:val="none"/>
          <w:lang w:val="zh-CN"/>
        </w:rPr>
        <w:t>规定的时间内，以书面形式向采购人或者采购代理机构提出质疑，否则，采购人或者采购代理机构不予受理：</w:t>
      </w:r>
    </w:p>
    <w:p w14:paraId="06B187F1">
      <w:pPr>
        <w:tabs>
          <w:tab w:val="left" w:pos="540"/>
        </w:tabs>
        <w:spacing w:line="440" w:lineRule="exact"/>
        <w:ind w:firstLine="420" w:firstLineChars="200"/>
        <w:rPr>
          <w:rFonts w:hint="eastAsia" w:ascii="宋体" w:hAnsi="宋体" w:cs="宋体"/>
          <w:kern w:val="1"/>
          <w:szCs w:val="21"/>
          <w:highlight w:val="none"/>
          <w:lang w:val="zh-CN"/>
        </w:rPr>
      </w:pPr>
      <w:r>
        <w:rPr>
          <w:rFonts w:hint="eastAsia" w:ascii="宋体" w:hAnsi="宋体" w:cs="宋体"/>
          <w:kern w:val="1"/>
          <w:szCs w:val="21"/>
          <w:highlight w:val="none"/>
          <w:lang w:val="zh-CN"/>
        </w:rPr>
        <w:t>1)对采购文件提出质疑的，</w:t>
      </w:r>
      <w:r>
        <w:rPr>
          <w:rFonts w:hint="eastAsia" w:ascii="宋体" w:hAnsi="宋体" w:cs="宋体"/>
          <w:kern w:val="1"/>
          <w:szCs w:val="21"/>
          <w:highlight w:val="none"/>
        </w:rPr>
        <w:t>在采购公告规定的期限内提出</w:t>
      </w:r>
      <w:r>
        <w:rPr>
          <w:rFonts w:hint="eastAsia" w:ascii="宋体" w:hAnsi="宋体" w:cs="宋体"/>
          <w:kern w:val="1"/>
          <w:szCs w:val="21"/>
          <w:highlight w:val="none"/>
          <w:lang w:val="zh-CN"/>
        </w:rPr>
        <w:t>。</w:t>
      </w:r>
    </w:p>
    <w:p w14:paraId="74E21124">
      <w:pPr>
        <w:tabs>
          <w:tab w:val="left" w:pos="540"/>
        </w:tabs>
        <w:spacing w:line="440" w:lineRule="exact"/>
        <w:ind w:firstLine="420" w:firstLineChars="200"/>
        <w:rPr>
          <w:rFonts w:hint="eastAsia" w:ascii="宋体" w:hAnsi="宋体" w:cs="宋体"/>
          <w:kern w:val="1"/>
          <w:szCs w:val="21"/>
          <w:highlight w:val="none"/>
          <w:lang w:val="zh-CN"/>
        </w:rPr>
      </w:pPr>
      <w:r>
        <w:rPr>
          <w:rFonts w:hint="eastAsia" w:ascii="宋体" w:hAnsi="宋体" w:cs="宋体"/>
          <w:kern w:val="1"/>
          <w:szCs w:val="21"/>
          <w:highlight w:val="none"/>
          <w:lang w:val="zh-CN"/>
        </w:rPr>
        <w:t>2)对采购过程提出质疑的，</w:t>
      </w:r>
      <w:r>
        <w:rPr>
          <w:rFonts w:hint="eastAsia" w:ascii="宋体" w:hAnsi="宋体" w:cs="宋体"/>
          <w:kern w:val="1"/>
          <w:szCs w:val="21"/>
          <w:highlight w:val="none"/>
        </w:rPr>
        <w:t>在采购结果公告期内提出</w:t>
      </w:r>
      <w:r>
        <w:rPr>
          <w:rFonts w:hint="eastAsia" w:ascii="宋体" w:hAnsi="宋体" w:cs="宋体"/>
          <w:kern w:val="1"/>
          <w:szCs w:val="21"/>
          <w:highlight w:val="none"/>
          <w:lang w:val="zh-CN"/>
        </w:rPr>
        <w:t>。</w:t>
      </w:r>
    </w:p>
    <w:p w14:paraId="1DD142AA">
      <w:pPr>
        <w:tabs>
          <w:tab w:val="left" w:pos="540"/>
        </w:tabs>
        <w:spacing w:line="440" w:lineRule="exact"/>
        <w:ind w:firstLine="420" w:firstLineChars="200"/>
        <w:rPr>
          <w:rFonts w:hint="eastAsia" w:ascii="宋体" w:hAnsi="宋体" w:cs="宋体"/>
          <w:kern w:val="1"/>
          <w:szCs w:val="21"/>
          <w:highlight w:val="none"/>
          <w:lang w:val="zh-CN"/>
        </w:rPr>
      </w:pPr>
      <w:r>
        <w:rPr>
          <w:rFonts w:hint="eastAsia" w:ascii="宋体" w:hAnsi="宋体" w:cs="宋体"/>
          <w:kern w:val="1"/>
          <w:szCs w:val="21"/>
          <w:highlight w:val="none"/>
          <w:lang w:val="zh-CN"/>
        </w:rPr>
        <w:t>3)对采购结果提出质疑的，</w:t>
      </w:r>
      <w:r>
        <w:rPr>
          <w:rFonts w:hint="eastAsia" w:ascii="宋体" w:hAnsi="宋体" w:cs="宋体"/>
          <w:kern w:val="1"/>
          <w:szCs w:val="21"/>
          <w:highlight w:val="none"/>
        </w:rPr>
        <w:t>在采购结果公告期内提出</w:t>
      </w:r>
      <w:r>
        <w:rPr>
          <w:rFonts w:hint="eastAsia" w:ascii="宋体" w:hAnsi="宋体" w:cs="宋体"/>
          <w:kern w:val="1"/>
          <w:szCs w:val="21"/>
          <w:highlight w:val="none"/>
          <w:lang w:val="zh-CN"/>
        </w:rPr>
        <w:t>。</w:t>
      </w:r>
    </w:p>
    <w:p w14:paraId="043A7CB8">
      <w:pPr>
        <w:tabs>
          <w:tab w:val="left" w:pos="540"/>
        </w:tabs>
        <w:spacing w:line="440" w:lineRule="exact"/>
        <w:ind w:firstLine="420" w:firstLineChars="200"/>
        <w:rPr>
          <w:rFonts w:hint="eastAsia" w:ascii="宋体" w:hAnsi="宋体" w:cs="宋体"/>
          <w:kern w:val="1"/>
          <w:szCs w:val="21"/>
          <w:highlight w:val="none"/>
          <w:lang w:val="zh-CN"/>
        </w:rPr>
      </w:pPr>
      <w:r>
        <w:rPr>
          <w:rFonts w:hint="eastAsia" w:ascii="宋体" w:hAnsi="宋体" w:cs="宋体"/>
          <w:kern w:val="1"/>
          <w:szCs w:val="21"/>
          <w:highlight w:val="none"/>
          <w:lang w:val="zh-CN"/>
        </w:rPr>
        <w:t>30.4供应商提出质疑应当提交质疑函和必要的证明材料。质疑函应当包括下列内容：</w:t>
      </w:r>
    </w:p>
    <w:p w14:paraId="6F897C83">
      <w:pPr>
        <w:tabs>
          <w:tab w:val="left" w:pos="540"/>
        </w:tabs>
        <w:spacing w:line="440" w:lineRule="exact"/>
        <w:ind w:firstLine="420" w:firstLineChars="200"/>
        <w:rPr>
          <w:rFonts w:hint="eastAsia" w:ascii="宋体" w:hAnsi="宋体" w:cs="宋体"/>
          <w:kern w:val="1"/>
          <w:szCs w:val="21"/>
          <w:highlight w:val="none"/>
          <w:lang w:val="zh-CN"/>
        </w:rPr>
      </w:pPr>
      <w:r>
        <w:rPr>
          <w:rFonts w:hint="eastAsia" w:ascii="宋体" w:hAnsi="宋体" w:cs="宋体"/>
          <w:kern w:val="1"/>
          <w:szCs w:val="21"/>
          <w:highlight w:val="none"/>
          <w:lang w:val="zh-CN"/>
        </w:rPr>
        <w:t>1)供应商的姓名或者名称、地址、邮编、联系人及联系电话；</w:t>
      </w:r>
    </w:p>
    <w:p w14:paraId="1A309138">
      <w:pPr>
        <w:tabs>
          <w:tab w:val="left" w:pos="540"/>
        </w:tabs>
        <w:spacing w:line="440" w:lineRule="exact"/>
        <w:ind w:firstLine="420" w:firstLineChars="200"/>
        <w:rPr>
          <w:rFonts w:hint="eastAsia" w:ascii="宋体" w:hAnsi="宋体" w:cs="宋体"/>
          <w:kern w:val="1"/>
          <w:szCs w:val="21"/>
          <w:highlight w:val="none"/>
          <w:lang w:val="zh-CN"/>
        </w:rPr>
      </w:pPr>
      <w:r>
        <w:rPr>
          <w:rFonts w:hint="eastAsia" w:ascii="宋体" w:hAnsi="宋体" w:cs="宋体"/>
          <w:kern w:val="1"/>
          <w:szCs w:val="21"/>
          <w:highlight w:val="none"/>
          <w:lang w:val="zh-CN"/>
        </w:rPr>
        <w:t>2)质疑项目的名称、编号；</w:t>
      </w:r>
    </w:p>
    <w:p w14:paraId="60398578">
      <w:pPr>
        <w:tabs>
          <w:tab w:val="left" w:pos="540"/>
        </w:tabs>
        <w:spacing w:line="440" w:lineRule="exact"/>
        <w:ind w:firstLine="420" w:firstLineChars="200"/>
        <w:rPr>
          <w:rFonts w:hint="eastAsia" w:ascii="宋体" w:hAnsi="宋体" w:cs="宋体"/>
          <w:kern w:val="1"/>
          <w:szCs w:val="21"/>
          <w:highlight w:val="none"/>
          <w:lang w:val="zh-CN"/>
        </w:rPr>
      </w:pPr>
      <w:r>
        <w:rPr>
          <w:rFonts w:hint="eastAsia" w:ascii="宋体" w:hAnsi="宋体" w:cs="宋体"/>
          <w:kern w:val="1"/>
          <w:szCs w:val="21"/>
          <w:highlight w:val="none"/>
          <w:lang w:val="zh-CN"/>
        </w:rPr>
        <w:t>3)具体、明确的质疑事项和与质疑事项相关的请求；</w:t>
      </w:r>
    </w:p>
    <w:p w14:paraId="50F95752">
      <w:pPr>
        <w:tabs>
          <w:tab w:val="left" w:pos="540"/>
        </w:tabs>
        <w:spacing w:line="440" w:lineRule="exact"/>
        <w:ind w:firstLine="420" w:firstLineChars="200"/>
        <w:rPr>
          <w:rFonts w:hint="eastAsia" w:ascii="宋体" w:hAnsi="宋体" w:cs="宋体"/>
          <w:kern w:val="1"/>
          <w:szCs w:val="21"/>
          <w:highlight w:val="none"/>
          <w:lang w:val="zh-CN"/>
        </w:rPr>
      </w:pPr>
      <w:r>
        <w:rPr>
          <w:rFonts w:hint="eastAsia" w:ascii="宋体" w:hAnsi="宋体" w:cs="宋体"/>
          <w:kern w:val="1"/>
          <w:szCs w:val="21"/>
          <w:highlight w:val="none"/>
          <w:lang w:val="zh-CN"/>
        </w:rPr>
        <w:t>4)事实依据；</w:t>
      </w:r>
    </w:p>
    <w:p w14:paraId="5F9A455D">
      <w:pPr>
        <w:tabs>
          <w:tab w:val="left" w:pos="540"/>
        </w:tabs>
        <w:spacing w:line="440" w:lineRule="exact"/>
        <w:ind w:firstLine="420" w:firstLineChars="200"/>
        <w:rPr>
          <w:rFonts w:hint="eastAsia" w:ascii="宋体" w:hAnsi="宋体" w:cs="宋体"/>
          <w:kern w:val="1"/>
          <w:szCs w:val="21"/>
          <w:highlight w:val="none"/>
          <w:lang w:val="zh-CN"/>
        </w:rPr>
      </w:pPr>
      <w:r>
        <w:rPr>
          <w:rFonts w:hint="eastAsia" w:ascii="宋体" w:hAnsi="宋体" w:cs="宋体"/>
          <w:kern w:val="1"/>
          <w:szCs w:val="21"/>
          <w:highlight w:val="none"/>
          <w:lang w:val="zh-CN"/>
        </w:rPr>
        <w:t>5)必要的法律依据；</w:t>
      </w:r>
    </w:p>
    <w:p w14:paraId="6A7DCFAD">
      <w:pPr>
        <w:tabs>
          <w:tab w:val="left" w:pos="540"/>
        </w:tabs>
        <w:spacing w:line="440" w:lineRule="exact"/>
        <w:ind w:firstLine="420" w:firstLineChars="200"/>
        <w:rPr>
          <w:rFonts w:hint="eastAsia" w:ascii="宋体" w:hAnsi="宋体" w:cs="宋体"/>
          <w:kern w:val="1"/>
          <w:szCs w:val="21"/>
          <w:highlight w:val="none"/>
          <w:lang w:val="zh-CN"/>
        </w:rPr>
      </w:pPr>
      <w:r>
        <w:rPr>
          <w:rFonts w:hint="eastAsia" w:ascii="宋体" w:hAnsi="宋体" w:cs="宋体"/>
          <w:kern w:val="1"/>
          <w:szCs w:val="21"/>
          <w:highlight w:val="none"/>
          <w:lang w:val="zh-CN"/>
        </w:rPr>
        <w:t>6)提出质疑的日期。</w:t>
      </w:r>
    </w:p>
    <w:p w14:paraId="71B6370C">
      <w:pPr>
        <w:tabs>
          <w:tab w:val="left" w:pos="540"/>
        </w:tabs>
        <w:spacing w:line="440" w:lineRule="exact"/>
        <w:ind w:firstLine="420" w:firstLineChars="200"/>
        <w:rPr>
          <w:rFonts w:hint="eastAsia" w:ascii="宋体" w:hAnsi="宋体" w:cs="宋体"/>
          <w:kern w:val="1"/>
          <w:szCs w:val="21"/>
          <w:highlight w:val="none"/>
          <w:lang w:val="zh-CN"/>
        </w:rPr>
      </w:pPr>
      <w:r>
        <w:rPr>
          <w:rFonts w:hint="eastAsia" w:ascii="宋体" w:hAnsi="宋体" w:cs="宋体"/>
          <w:kern w:val="1"/>
          <w:szCs w:val="21"/>
          <w:highlight w:val="none"/>
          <w:lang w:val="zh-CN"/>
        </w:rPr>
        <w:t>如有发现不实的质疑投诉（包括但不限于未提供证据、证据与质疑内容无关联、虚假证据等），采购人有权视其为不实的质疑投诉，并有权将该供应商纳入集团黑名单，同时在开标之日起三年内拒绝该供应商的投标，同时保留对外公布的权利。</w:t>
      </w:r>
    </w:p>
    <w:p w14:paraId="1537D43A">
      <w:pPr>
        <w:tabs>
          <w:tab w:val="left" w:pos="540"/>
        </w:tabs>
        <w:spacing w:line="440" w:lineRule="exact"/>
        <w:ind w:firstLine="420" w:firstLineChars="200"/>
        <w:rPr>
          <w:rFonts w:hint="eastAsia" w:ascii="宋体" w:hAnsi="宋体" w:cs="宋体"/>
          <w:kern w:val="1"/>
          <w:szCs w:val="21"/>
          <w:highlight w:val="none"/>
          <w:lang w:val="zh-CN"/>
        </w:rPr>
      </w:pPr>
      <w:r>
        <w:rPr>
          <w:rFonts w:hint="eastAsia" w:ascii="宋体" w:hAnsi="宋体" w:cs="宋体"/>
          <w:kern w:val="1"/>
          <w:szCs w:val="21"/>
          <w:highlight w:val="none"/>
          <w:lang w:val="zh-CN"/>
        </w:rPr>
        <w:t>供应商提交的质疑应当署名。供应商为自然人的，应当由本人签字；供应商为法人或者其他组织的，应当由法定代表人、主要负责人，或者其授权代表签字或者盖章，并加盖公章。《质疑函》范本请到:“https://sitecdn.zcycdn.com/site_group/prod/site_1/2018/06/12/15-22-570613413750772.docx”下载编制。供应商可以先发电子版质疑函，但质疑函的收到日期以招标代理或采购人收到纸质原件的日期为准。</w:t>
      </w:r>
    </w:p>
    <w:p w14:paraId="7D645F1F">
      <w:pPr>
        <w:tabs>
          <w:tab w:val="left" w:pos="540"/>
        </w:tabs>
        <w:spacing w:line="440" w:lineRule="exact"/>
        <w:ind w:firstLine="422" w:firstLineChars="200"/>
        <w:rPr>
          <w:rFonts w:hint="eastAsia" w:ascii="宋体" w:hAnsi="宋体" w:cs="宋体"/>
          <w:b/>
          <w:bCs/>
          <w:kern w:val="1"/>
          <w:szCs w:val="21"/>
          <w:highlight w:val="none"/>
          <w:u w:val="single"/>
          <w:lang w:val="zh-CN"/>
        </w:rPr>
      </w:pPr>
      <w:r>
        <w:rPr>
          <w:rFonts w:hint="eastAsia" w:ascii="宋体" w:hAnsi="宋体" w:cs="宋体"/>
          <w:b/>
          <w:bCs/>
          <w:kern w:val="1"/>
          <w:szCs w:val="21"/>
          <w:highlight w:val="none"/>
          <w:u w:val="single"/>
          <w:lang w:val="zh-CN"/>
        </w:rPr>
        <w:t>30.5对同一采购程序环节的质疑，供应商须在法定质疑期内一次性提出，已经提出过质疑的投标供应商在质疑期内不能提出新的质疑。</w:t>
      </w:r>
    </w:p>
    <w:p w14:paraId="48E771A6">
      <w:pPr>
        <w:tabs>
          <w:tab w:val="left" w:pos="540"/>
        </w:tabs>
        <w:spacing w:line="440" w:lineRule="exact"/>
        <w:ind w:firstLine="420" w:firstLineChars="200"/>
        <w:rPr>
          <w:rFonts w:hint="eastAsia" w:ascii="宋体" w:hAnsi="宋体" w:cs="宋体"/>
          <w:kern w:val="1"/>
          <w:szCs w:val="21"/>
          <w:highlight w:val="none"/>
          <w:lang w:val="zh-CN"/>
        </w:rPr>
      </w:pPr>
      <w:r>
        <w:rPr>
          <w:rFonts w:hint="eastAsia" w:ascii="宋体" w:hAnsi="宋体" w:cs="宋体"/>
          <w:kern w:val="1"/>
          <w:szCs w:val="21"/>
          <w:highlight w:val="none"/>
          <w:lang w:val="zh-CN"/>
        </w:rPr>
        <w:t>30.6采购人负责供应商质疑答复。采购人可委托采购代理机构对质疑事项作出答复。</w:t>
      </w:r>
    </w:p>
    <w:p w14:paraId="61454917">
      <w:pPr>
        <w:tabs>
          <w:tab w:val="left" w:pos="540"/>
        </w:tabs>
        <w:spacing w:line="440" w:lineRule="exact"/>
        <w:ind w:firstLine="420" w:firstLineChars="200"/>
        <w:rPr>
          <w:rFonts w:hint="eastAsia" w:ascii="宋体" w:hAnsi="宋体" w:cs="宋体"/>
          <w:kern w:val="1"/>
          <w:szCs w:val="21"/>
          <w:highlight w:val="none"/>
          <w:lang w:val="zh-CN"/>
        </w:rPr>
      </w:pPr>
      <w:r>
        <w:rPr>
          <w:rFonts w:hint="eastAsia" w:ascii="宋体" w:hAnsi="宋体" w:cs="宋体"/>
          <w:kern w:val="1"/>
          <w:szCs w:val="21"/>
          <w:highlight w:val="none"/>
          <w:lang w:val="zh-CN"/>
        </w:rPr>
        <w:t>30.7采购人或者采购代理机构应当在收到供应商的书面质疑后七个工作日内作出答复，但答复的内容涉及商业秘密的除外。</w:t>
      </w:r>
    </w:p>
    <w:p w14:paraId="46ACC3B9">
      <w:pPr>
        <w:tabs>
          <w:tab w:val="left" w:pos="540"/>
        </w:tabs>
        <w:spacing w:line="440" w:lineRule="exact"/>
        <w:ind w:firstLine="420" w:firstLineChars="200"/>
        <w:rPr>
          <w:rFonts w:hint="eastAsia" w:ascii="宋体" w:hAnsi="宋体" w:cs="宋体"/>
          <w:kern w:val="1"/>
          <w:szCs w:val="21"/>
          <w:highlight w:val="none"/>
          <w:lang w:val="zh-CN"/>
        </w:rPr>
      </w:pPr>
      <w:r>
        <w:rPr>
          <w:rFonts w:hint="eastAsia" w:ascii="宋体" w:hAnsi="宋体" w:cs="宋体"/>
          <w:kern w:val="1"/>
          <w:szCs w:val="21"/>
          <w:highlight w:val="none"/>
          <w:lang w:val="zh-CN"/>
        </w:rPr>
        <w:t>31.供应商投诉</w:t>
      </w:r>
    </w:p>
    <w:p w14:paraId="72789CC2">
      <w:pPr>
        <w:tabs>
          <w:tab w:val="left" w:pos="540"/>
        </w:tabs>
        <w:spacing w:line="440" w:lineRule="exact"/>
        <w:ind w:firstLine="420" w:firstLineChars="200"/>
        <w:rPr>
          <w:rFonts w:hint="eastAsia" w:ascii="宋体" w:hAnsi="宋体" w:cs="宋体"/>
          <w:kern w:val="1"/>
          <w:szCs w:val="21"/>
          <w:highlight w:val="none"/>
          <w:lang w:val="zh-CN"/>
        </w:rPr>
      </w:pPr>
      <w:r>
        <w:rPr>
          <w:rFonts w:hint="eastAsia" w:ascii="宋体" w:hAnsi="宋体" w:cs="宋体"/>
          <w:kern w:val="1"/>
          <w:szCs w:val="21"/>
          <w:highlight w:val="none"/>
          <w:lang w:val="zh-CN"/>
        </w:rPr>
        <w:t>31.1投标供应商对采购人、采购代理机构的答复不满意或者采购人、采购代理机构未在规定的时间内作出答复的，可以在答复期满后15个工作日内向温州市交通发展集团有限公司纪检监察室投诉。</w:t>
      </w:r>
    </w:p>
    <w:p w14:paraId="57E7A76C">
      <w:pPr>
        <w:tabs>
          <w:tab w:val="left" w:pos="540"/>
        </w:tabs>
        <w:spacing w:line="440" w:lineRule="exact"/>
        <w:ind w:firstLine="420" w:firstLineChars="200"/>
        <w:rPr>
          <w:rFonts w:hint="eastAsia" w:ascii="宋体" w:hAnsi="宋体" w:cs="宋体"/>
          <w:kern w:val="1"/>
          <w:szCs w:val="21"/>
          <w:highlight w:val="none"/>
          <w:lang w:val="zh-CN"/>
        </w:rPr>
      </w:pPr>
      <w:r>
        <w:rPr>
          <w:rFonts w:hint="eastAsia" w:ascii="宋体" w:hAnsi="宋体" w:cs="宋体"/>
          <w:kern w:val="1"/>
          <w:szCs w:val="21"/>
          <w:highlight w:val="none"/>
          <w:lang w:val="zh-CN"/>
        </w:rPr>
        <w:t>31.2供应商投诉的事项不得超出已质疑事项的范围，基于质疑答复内容提出的投诉事项除外。</w:t>
      </w:r>
    </w:p>
    <w:p w14:paraId="3AAE20FE">
      <w:pPr>
        <w:tabs>
          <w:tab w:val="left" w:pos="540"/>
        </w:tabs>
        <w:spacing w:line="440" w:lineRule="exact"/>
        <w:ind w:firstLine="420" w:firstLineChars="200"/>
        <w:rPr>
          <w:rFonts w:hint="eastAsia" w:ascii="宋体" w:hAnsi="宋体" w:cs="宋体"/>
          <w:kern w:val="1"/>
          <w:szCs w:val="21"/>
          <w:highlight w:val="none"/>
          <w:lang w:val="zh-CN"/>
        </w:rPr>
      </w:pPr>
      <w:r>
        <w:rPr>
          <w:rFonts w:hint="eastAsia" w:ascii="宋体" w:hAnsi="宋体" w:cs="宋体"/>
          <w:kern w:val="1"/>
          <w:szCs w:val="21"/>
          <w:highlight w:val="none"/>
          <w:lang w:val="zh-CN"/>
        </w:rPr>
        <w:t>31.3供应商投诉应当有明确的请求和必要的证明材料。</w:t>
      </w:r>
    </w:p>
    <w:p w14:paraId="73E5E07A">
      <w:pPr>
        <w:tabs>
          <w:tab w:val="left" w:pos="540"/>
        </w:tabs>
        <w:spacing w:line="440" w:lineRule="exact"/>
        <w:ind w:firstLine="420" w:firstLineChars="200"/>
        <w:rPr>
          <w:rFonts w:hint="eastAsia" w:ascii="宋体" w:hAnsi="宋体" w:cs="宋体"/>
          <w:kern w:val="1"/>
          <w:szCs w:val="21"/>
          <w:highlight w:val="none"/>
          <w:lang w:val="zh-CN"/>
        </w:rPr>
      </w:pPr>
      <w:r>
        <w:rPr>
          <w:rFonts w:hint="eastAsia" w:ascii="宋体" w:hAnsi="宋体" w:cs="宋体"/>
          <w:kern w:val="1"/>
          <w:szCs w:val="21"/>
          <w:highlight w:val="none"/>
          <w:lang w:val="zh-CN"/>
        </w:rPr>
        <w:t>31.4以联合体形式参加采购活动的，其投诉应当由组成联合体的所有供应商共同提出。</w:t>
      </w:r>
    </w:p>
    <w:p w14:paraId="15ED5E05">
      <w:pPr>
        <w:tabs>
          <w:tab w:val="left" w:pos="540"/>
        </w:tabs>
        <w:spacing w:line="440" w:lineRule="exact"/>
        <w:ind w:firstLine="420" w:firstLineChars="200"/>
        <w:rPr>
          <w:rFonts w:hint="eastAsia" w:ascii="宋体" w:hAnsi="宋体" w:cs="宋体"/>
          <w:kern w:val="1"/>
          <w:szCs w:val="21"/>
          <w:highlight w:val="none"/>
          <w:lang w:val="zh-CN"/>
        </w:rPr>
      </w:pPr>
      <w:r>
        <w:rPr>
          <w:rFonts w:hint="eastAsia" w:ascii="宋体" w:hAnsi="宋体" w:cs="宋体"/>
          <w:kern w:val="1"/>
          <w:szCs w:val="21"/>
          <w:highlight w:val="none"/>
          <w:lang w:val="zh-CN"/>
        </w:rPr>
        <w:t>31.5投标供应商认为投诉回复处理结果不合法的，可以依法向采购人所在地人民法院提起诉讼。</w:t>
      </w:r>
    </w:p>
    <w:p w14:paraId="00A8E7C0">
      <w:pPr>
        <w:tabs>
          <w:tab w:val="left" w:pos="540"/>
        </w:tabs>
        <w:spacing w:line="440" w:lineRule="exact"/>
        <w:rPr>
          <w:rFonts w:ascii="Arial" w:hAnsi="Arial" w:cs="Arial"/>
          <w:b/>
          <w:bCs/>
          <w:sz w:val="28"/>
          <w:szCs w:val="28"/>
          <w:highlight w:val="none"/>
        </w:rPr>
        <w:sectPr>
          <w:headerReference r:id="rId4" w:type="first"/>
          <w:headerReference r:id="rId3" w:type="default"/>
          <w:footerReference r:id="rId5" w:type="default"/>
          <w:pgSz w:w="11906" w:h="16838"/>
          <w:pgMar w:top="1134" w:right="1134" w:bottom="1134" w:left="1417" w:header="851" w:footer="567" w:gutter="0"/>
          <w:cols w:space="720" w:num="1"/>
          <w:docGrid w:linePitch="312" w:charSpace="0"/>
        </w:sectPr>
      </w:pPr>
      <w:r>
        <w:rPr>
          <w:rFonts w:ascii="Arial" w:hAnsi="Arial" w:cs="Arial"/>
          <w:b/>
          <w:bCs/>
          <w:sz w:val="28"/>
          <w:szCs w:val="28"/>
          <w:highlight w:val="none"/>
        </w:rPr>
        <w:br w:type="textWrapping"/>
      </w:r>
    </w:p>
    <w:p w14:paraId="3091B0B4">
      <w:pPr>
        <w:tabs>
          <w:tab w:val="left" w:pos="540"/>
        </w:tabs>
        <w:spacing w:line="440" w:lineRule="exact"/>
        <w:jc w:val="center"/>
        <w:outlineLvl w:val="0"/>
        <w:rPr>
          <w:rFonts w:hint="eastAsia" w:ascii="Arial" w:hAnsi="Arial" w:cs="Arial"/>
          <w:sz w:val="32"/>
          <w:szCs w:val="32"/>
          <w:highlight w:val="none"/>
        </w:rPr>
      </w:pPr>
      <w:bookmarkStart w:id="125" w:name="_Toc2255"/>
      <w:r>
        <w:rPr>
          <w:rFonts w:ascii="Arial" w:hAnsi="Arial" w:cs="Arial"/>
          <w:b/>
          <w:bCs/>
          <w:sz w:val="28"/>
          <w:szCs w:val="28"/>
          <w:highlight w:val="none"/>
        </w:rPr>
        <w:t>第二部分</w:t>
      </w:r>
      <w:bookmarkStart w:id="126" w:name="_Toc346043709"/>
      <w:r>
        <w:rPr>
          <w:rFonts w:hint="eastAsia" w:ascii="Arial" w:hAnsi="Arial" w:cs="Arial"/>
          <w:b/>
          <w:bCs/>
          <w:sz w:val="28"/>
          <w:szCs w:val="28"/>
          <w:highlight w:val="none"/>
        </w:rPr>
        <w:t xml:space="preserve">  合同条款</w:t>
      </w:r>
      <w:bookmarkEnd w:id="125"/>
    </w:p>
    <w:bookmarkEnd w:id="126"/>
    <w:p w14:paraId="3AF2B52B">
      <w:pPr>
        <w:spacing w:line="360" w:lineRule="auto"/>
        <w:ind w:firstLine="440" w:firstLineChars="200"/>
        <w:rPr>
          <w:rFonts w:hint="eastAsia" w:ascii="宋体" w:hAnsi="宋体" w:cs="宋体"/>
          <w:kern w:val="0"/>
          <w:sz w:val="22"/>
          <w:szCs w:val="22"/>
          <w:highlight w:val="none"/>
        </w:rPr>
      </w:pPr>
      <w:bookmarkStart w:id="127" w:name="_Toc245191319"/>
      <w:bookmarkStart w:id="128" w:name="_Toc241404207"/>
      <w:bookmarkStart w:id="129" w:name="_Toc389760268"/>
      <w:bookmarkStart w:id="130" w:name="_Toc262105509"/>
      <w:bookmarkStart w:id="131" w:name="_Toc249758718"/>
      <w:bookmarkStart w:id="132" w:name="_Toc221423624"/>
      <w:bookmarkStart w:id="133" w:name="_Toc221356892"/>
      <w:bookmarkStart w:id="134" w:name="_Toc249758719"/>
      <w:bookmarkStart w:id="135" w:name="_Toc221356956"/>
      <w:bookmarkStart w:id="136" w:name="_Toc246261270"/>
      <w:bookmarkStart w:id="137" w:name="_Toc239145359"/>
      <w:bookmarkStart w:id="138" w:name="_Toc262049424"/>
      <w:bookmarkStart w:id="139" w:name="_Toc223716003"/>
      <w:bookmarkStart w:id="140" w:name="_Toc221374631"/>
      <w:bookmarkStart w:id="141" w:name="_Toc245722286"/>
      <w:bookmarkStart w:id="142" w:name="_Toc249758870"/>
      <w:bookmarkStart w:id="143" w:name="_Toc222114884"/>
    </w:p>
    <w:p w14:paraId="539E5F7F">
      <w:pPr>
        <w:spacing w:line="360" w:lineRule="auto"/>
        <w:ind w:firstLine="440" w:firstLineChars="200"/>
        <w:rPr>
          <w:rFonts w:ascii="宋体" w:hAnsi="宋体" w:cs="宋体"/>
          <w:kern w:val="1"/>
          <w:sz w:val="22"/>
          <w:szCs w:val="22"/>
          <w:highlight w:val="none"/>
        </w:rPr>
      </w:pPr>
      <w:r>
        <w:rPr>
          <w:rFonts w:hint="eastAsia" w:ascii="宋体" w:hAnsi="宋体" w:cs="宋体"/>
          <w:kern w:val="0"/>
          <w:sz w:val="22"/>
          <w:szCs w:val="22"/>
          <w:highlight w:val="none"/>
        </w:rPr>
        <w:t>说明：本合同签订依据《中华人民共和国民法典》。</w:t>
      </w:r>
    </w:p>
    <w:p w14:paraId="7DE8F5E4">
      <w:pPr>
        <w:spacing w:line="360" w:lineRule="auto"/>
        <w:rPr>
          <w:rFonts w:ascii="宋体" w:hAnsi="宋体" w:cs="宋体"/>
          <w:sz w:val="22"/>
          <w:szCs w:val="22"/>
          <w:highlight w:val="none"/>
        </w:rPr>
      </w:pPr>
    </w:p>
    <w:p w14:paraId="4BC1CE01">
      <w:pPr>
        <w:spacing w:line="440" w:lineRule="exact"/>
        <w:ind w:firstLine="2380" w:firstLineChars="850"/>
        <w:rPr>
          <w:rFonts w:ascii="新宋体" w:hAnsi="新宋体" w:eastAsia="新宋体"/>
          <w:sz w:val="28"/>
          <w:highlight w:val="none"/>
        </w:rPr>
      </w:pPr>
    </w:p>
    <w:p w14:paraId="165A7048">
      <w:pPr>
        <w:spacing w:line="440" w:lineRule="exact"/>
        <w:ind w:firstLine="2380" w:firstLineChars="850"/>
        <w:rPr>
          <w:rFonts w:hint="eastAsia" w:ascii="新宋体" w:hAnsi="新宋体" w:eastAsia="新宋体"/>
          <w:sz w:val="28"/>
          <w:highlight w:val="none"/>
        </w:rPr>
      </w:pPr>
    </w:p>
    <w:tbl>
      <w:tblPr>
        <w:tblStyle w:val="35"/>
        <w:tblW w:w="0" w:type="auto"/>
        <w:tblInd w:w="7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3"/>
        <w:gridCol w:w="5454"/>
      </w:tblGrid>
      <w:tr w14:paraId="7FC82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atLeast"/>
        </w:trPr>
        <w:tc>
          <w:tcPr>
            <w:tcW w:w="2643" w:type="dxa"/>
            <w:tcBorders>
              <w:top w:val="nil"/>
              <w:left w:val="nil"/>
              <w:bottom w:val="nil"/>
              <w:right w:val="nil"/>
            </w:tcBorders>
            <w:noWrap w:val="0"/>
            <w:vAlign w:val="center"/>
          </w:tcPr>
          <w:p w14:paraId="1513DE65">
            <w:pPr>
              <w:spacing w:line="400" w:lineRule="atLeast"/>
              <w:jc w:val="right"/>
              <w:rPr>
                <w:rFonts w:ascii="Arial" w:hAnsi="Arial" w:eastAsia="宋体" w:cs="Arial"/>
                <w:b/>
                <w:sz w:val="30"/>
                <w:szCs w:val="30"/>
                <w:highlight w:val="none"/>
              </w:rPr>
            </w:pPr>
            <w:r>
              <w:rPr>
                <w:rFonts w:hint="eastAsia" w:ascii="Arial" w:hAnsi="Arial" w:eastAsia="宋体" w:cs="Arial"/>
                <w:b/>
                <w:spacing w:val="40"/>
                <w:sz w:val="30"/>
                <w:szCs w:val="30"/>
                <w:highlight w:val="none"/>
              </w:rPr>
              <w:t>项目编号</w:t>
            </w:r>
            <w:r>
              <w:rPr>
                <w:rFonts w:ascii="Arial" w:hAnsi="Arial" w:eastAsia="宋体" w:cs="Arial"/>
                <w:b/>
                <w:sz w:val="30"/>
                <w:szCs w:val="30"/>
                <w:highlight w:val="none"/>
              </w:rPr>
              <w:t>：</w:t>
            </w:r>
          </w:p>
        </w:tc>
        <w:tc>
          <w:tcPr>
            <w:tcW w:w="5454" w:type="dxa"/>
            <w:tcBorders>
              <w:top w:val="nil"/>
              <w:left w:val="nil"/>
              <w:bottom w:val="nil"/>
              <w:right w:val="nil"/>
            </w:tcBorders>
            <w:noWrap w:val="0"/>
            <w:vAlign w:val="center"/>
          </w:tcPr>
          <w:p w14:paraId="6E0FA19A">
            <w:pPr>
              <w:spacing w:line="400" w:lineRule="atLeast"/>
              <w:jc w:val="left"/>
              <w:rPr>
                <w:rFonts w:hint="eastAsia" w:ascii="Arial" w:hAnsi="Arial" w:eastAsia="宋体" w:cs="Arial"/>
                <w:b/>
                <w:sz w:val="30"/>
                <w:szCs w:val="30"/>
                <w:highlight w:val="none"/>
              </w:rPr>
            </w:pPr>
            <w:r>
              <w:rPr>
                <w:rFonts w:hint="eastAsia" w:ascii="Arial" w:hAnsi="Arial" w:eastAsia="宋体" w:cs="Arial"/>
                <w:b/>
                <w:spacing w:val="12"/>
                <w:sz w:val="30"/>
                <w:szCs w:val="30"/>
                <w:highlight w:val="none"/>
              </w:rPr>
              <w:t>WGSS-JFJT-ZS-2026004</w:t>
            </w:r>
          </w:p>
        </w:tc>
      </w:tr>
      <w:tr w14:paraId="7B691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2643" w:type="dxa"/>
            <w:tcBorders>
              <w:top w:val="nil"/>
              <w:left w:val="nil"/>
              <w:bottom w:val="nil"/>
              <w:right w:val="nil"/>
            </w:tcBorders>
            <w:noWrap w:val="0"/>
            <w:vAlign w:val="center"/>
          </w:tcPr>
          <w:p w14:paraId="7C3A2ACE">
            <w:pPr>
              <w:spacing w:line="400" w:lineRule="atLeast"/>
              <w:jc w:val="right"/>
              <w:rPr>
                <w:rFonts w:ascii="Arial" w:hAnsi="Arial" w:eastAsia="宋体" w:cs="Arial"/>
                <w:b/>
                <w:sz w:val="30"/>
                <w:szCs w:val="30"/>
                <w:highlight w:val="none"/>
              </w:rPr>
            </w:pPr>
            <w:r>
              <w:rPr>
                <w:rFonts w:ascii="Arial" w:hAnsi="Arial" w:eastAsia="宋体" w:cs="Arial"/>
                <w:b/>
                <w:spacing w:val="40"/>
                <w:sz w:val="30"/>
                <w:szCs w:val="30"/>
                <w:highlight w:val="none"/>
              </w:rPr>
              <w:t>项目名称</w:t>
            </w:r>
            <w:r>
              <w:rPr>
                <w:rFonts w:ascii="Arial" w:hAnsi="Arial" w:eastAsia="宋体" w:cs="Arial"/>
                <w:b/>
                <w:sz w:val="30"/>
                <w:szCs w:val="30"/>
                <w:highlight w:val="none"/>
              </w:rPr>
              <w:t>：</w:t>
            </w:r>
          </w:p>
        </w:tc>
        <w:tc>
          <w:tcPr>
            <w:tcW w:w="5454" w:type="dxa"/>
            <w:tcBorders>
              <w:top w:val="nil"/>
              <w:left w:val="nil"/>
              <w:bottom w:val="nil"/>
              <w:right w:val="nil"/>
            </w:tcBorders>
            <w:noWrap w:val="0"/>
            <w:vAlign w:val="center"/>
          </w:tcPr>
          <w:p w14:paraId="7D42F8D6">
            <w:pPr>
              <w:spacing w:line="400" w:lineRule="atLeast"/>
              <w:jc w:val="left"/>
              <w:rPr>
                <w:rFonts w:ascii="Arial" w:hAnsi="Arial" w:eastAsia="宋体" w:cs="Arial"/>
                <w:b/>
                <w:sz w:val="30"/>
                <w:szCs w:val="30"/>
                <w:highlight w:val="none"/>
              </w:rPr>
            </w:pPr>
            <w:r>
              <w:rPr>
                <w:rFonts w:hint="eastAsia" w:ascii="Arial" w:hAnsi="Arial" w:eastAsia="宋体" w:cs="Arial"/>
                <w:b/>
                <w:spacing w:val="12"/>
                <w:sz w:val="30"/>
                <w:szCs w:val="30"/>
                <w:highlight w:val="none"/>
              </w:rPr>
              <w:t>金海湖信息化展厅网络环境设备</w:t>
            </w:r>
          </w:p>
        </w:tc>
      </w:tr>
    </w:tbl>
    <w:p w14:paraId="225B57A1">
      <w:pPr>
        <w:spacing w:line="440" w:lineRule="exact"/>
        <w:ind w:firstLine="2413" w:firstLineChars="862"/>
        <w:rPr>
          <w:rFonts w:ascii="新宋体" w:hAnsi="新宋体" w:eastAsia="新宋体"/>
          <w:sz w:val="28"/>
          <w:highlight w:val="none"/>
        </w:rPr>
      </w:pPr>
    </w:p>
    <w:p w14:paraId="6711B09C">
      <w:pPr>
        <w:spacing w:line="440" w:lineRule="exact"/>
        <w:ind w:firstLine="2413" w:firstLineChars="862"/>
        <w:rPr>
          <w:rFonts w:ascii="新宋体" w:hAnsi="新宋体" w:eastAsia="新宋体"/>
          <w:sz w:val="28"/>
          <w:highlight w:val="none"/>
        </w:rPr>
      </w:pPr>
    </w:p>
    <w:p w14:paraId="7DFDE04A">
      <w:pPr>
        <w:spacing w:line="440" w:lineRule="exact"/>
        <w:ind w:firstLine="2413" w:firstLineChars="862"/>
        <w:rPr>
          <w:rFonts w:ascii="新宋体" w:hAnsi="新宋体" w:eastAsia="新宋体"/>
          <w:sz w:val="28"/>
          <w:highlight w:val="none"/>
        </w:rPr>
      </w:pPr>
    </w:p>
    <w:p w14:paraId="3DEF9B59">
      <w:pPr>
        <w:rPr>
          <w:rFonts w:ascii="新宋体" w:hAnsi="新宋体" w:eastAsia="新宋体"/>
          <w:sz w:val="28"/>
          <w:highlight w:val="none"/>
        </w:rPr>
      </w:pPr>
    </w:p>
    <w:p w14:paraId="706E2BB5">
      <w:pPr>
        <w:rPr>
          <w:highlight w:val="none"/>
        </w:rPr>
      </w:pPr>
    </w:p>
    <w:tbl>
      <w:tblPr>
        <w:tblStyle w:val="35"/>
        <w:tblpPr w:leftFromText="180" w:rightFromText="180" w:vertAnchor="text" w:horzAnchor="page" w:tblpXSpec="center" w:tblpY="132"/>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25"/>
        <w:gridCol w:w="5430"/>
      </w:tblGrid>
      <w:tr w14:paraId="16AFE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2625" w:type="dxa"/>
            <w:tcBorders>
              <w:top w:val="nil"/>
              <w:left w:val="nil"/>
              <w:bottom w:val="nil"/>
              <w:right w:val="nil"/>
            </w:tcBorders>
            <w:noWrap w:val="0"/>
            <w:vAlign w:val="center"/>
          </w:tcPr>
          <w:p w14:paraId="72F9A540">
            <w:pPr>
              <w:spacing w:line="400" w:lineRule="atLeast"/>
              <w:jc w:val="distribute"/>
              <w:rPr>
                <w:rFonts w:ascii="Arial" w:hAnsi="Arial" w:eastAsia="宋体" w:cs="Arial"/>
                <w:b/>
                <w:spacing w:val="40"/>
                <w:sz w:val="28"/>
                <w:szCs w:val="28"/>
                <w:highlight w:val="none"/>
              </w:rPr>
            </w:pPr>
            <w:r>
              <w:rPr>
                <w:rFonts w:ascii="Arial" w:hAnsi="Arial" w:eastAsia="宋体" w:cs="Arial"/>
                <w:b/>
                <w:sz w:val="28"/>
                <w:szCs w:val="28"/>
                <w:highlight w:val="none"/>
              </w:rPr>
              <w:t>采购人</w:t>
            </w:r>
            <w:r>
              <w:rPr>
                <w:rFonts w:hint="eastAsia" w:ascii="Arial" w:hAnsi="Arial" w:eastAsia="宋体" w:cs="Arial"/>
                <w:b/>
                <w:sz w:val="28"/>
                <w:szCs w:val="28"/>
                <w:highlight w:val="none"/>
              </w:rPr>
              <w:t>（甲方）</w:t>
            </w:r>
            <w:r>
              <w:rPr>
                <w:rFonts w:ascii="Arial" w:hAnsi="Arial" w:eastAsia="宋体" w:cs="Arial"/>
                <w:b/>
                <w:sz w:val="28"/>
                <w:szCs w:val="28"/>
                <w:highlight w:val="none"/>
              </w:rPr>
              <w:t>：</w:t>
            </w:r>
          </w:p>
        </w:tc>
        <w:tc>
          <w:tcPr>
            <w:tcW w:w="5430" w:type="dxa"/>
            <w:tcBorders>
              <w:top w:val="nil"/>
              <w:left w:val="nil"/>
              <w:bottom w:val="nil"/>
              <w:right w:val="nil"/>
            </w:tcBorders>
            <w:noWrap w:val="0"/>
            <w:vAlign w:val="center"/>
          </w:tcPr>
          <w:p w14:paraId="58B20BD1">
            <w:pPr>
              <w:spacing w:line="400" w:lineRule="atLeast"/>
              <w:jc w:val="left"/>
              <w:rPr>
                <w:rFonts w:ascii="Arial" w:hAnsi="Arial" w:eastAsia="宋体" w:cs="Arial"/>
                <w:b/>
                <w:sz w:val="28"/>
                <w:szCs w:val="28"/>
                <w:highlight w:val="none"/>
              </w:rPr>
            </w:pPr>
            <w:r>
              <w:rPr>
                <w:rFonts w:hint="eastAsia" w:ascii="Arial" w:hAnsi="Arial" w:eastAsia="宋体" w:cs="Arial"/>
                <w:b/>
                <w:spacing w:val="12"/>
                <w:sz w:val="28"/>
                <w:szCs w:val="28"/>
                <w:highlight w:val="none"/>
              </w:rPr>
              <w:t>温州信达交通工程试验检测有限公司</w:t>
            </w:r>
          </w:p>
        </w:tc>
      </w:tr>
      <w:tr w14:paraId="6D912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625" w:type="dxa"/>
            <w:tcBorders>
              <w:top w:val="nil"/>
              <w:left w:val="nil"/>
              <w:bottom w:val="nil"/>
              <w:right w:val="nil"/>
            </w:tcBorders>
            <w:noWrap w:val="0"/>
            <w:vAlign w:val="center"/>
          </w:tcPr>
          <w:p w14:paraId="25D2C177">
            <w:pPr>
              <w:spacing w:line="400" w:lineRule="atLeast"/>
              <w:jc w:val="distribute"/>
              <w:rPr>
                <w:rFonts w:ascii="Arial" w:hAnsi="Arial" w:eastAsia="宋体" w:cs="Arial"/>
                <w:b/>
                <w:spacing w:val="40"/>
                <w:sz w:val="28"/>
                <w:szCs w:val="28"/>
                <w:highlight w:val="none"/>
              </w:rPr>
            </w:pPr>
            <w:r>
              <w:rPr>
                <w:rFonts w:ascii="Arial" w:hAnsi="Arial" w:eastAsia="宋体" w:cs="Arial"/>
                <w:b/>
                <w:sz w:val="28"/>
                <w:szCs w:val="28"/>
                <w:highlight w:val="none"/>
              </w:rPr>
              <w:t>中标人（乙方）：</w:t>
            </w:r>
          </w:p>
        </w:tc>
        <w:tc>
          <w:tcPr>
            <w:tcW w:w="5430" w:type="dxa"/>
            <w:tcBorders>
              <w:top w:val="nil"/>
              <w:left w:val="nil"/>
              <w:bottom w:val="nil"/>
              <w:right w:val="nil"/>
            </w:tcBorders>
            <w:noWrap w:val="0"/>
            <w:vAlign w:val="center"/>
          </w:tcPr>
          <w:p w14:paraId="22F8DDA1">
            <w:pPr>
              <w:spacing w:line="600" w:lineRule="exact"/>
              <w:rPr>
                <w:rFonts w:hint="eastAsia" w:ascii="Arial" w:hAnsi="Arial" w:eastAsia="宋体" w:cs="Arial"/>
                <w:b/>
                <w:sz w:val="28"/>
                <w:szCs w:val="28"/>
                <w:highlight w:val="none"/>
              </w:rPr>
            </w:pPr>
          </w:p>
        </w:tc>
      </w:tr>
      <w:tr w14:paraId="20C88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0" w:hRule="atLeast"/>
          <w:jc w:val="center"/>
        </w:trPr>
        <w:tc>
          <w:tcPr>
            <w:tcW w:w="2625" w:type="dxa"/>
            <w:tcBorders>
              <w:top w:val="nil"/>
              <w:left w:val="nil"/>
              <w:bottom w:val="nil"/>
              <w:right w:val="nil"/>
            </w:tcBorders>
            <w:noWrap w:val="0"/>
            <w:vAlign w:val="center"/>
          </w:tcPr>
          <w:p w14:paraId="72A67B81">
            <w:pPr>
              <w:spacing w:line="400" w:lineRule="atLeast"/>
              <w:jc w:val="distribute"/>
              <w:rPr>
                <w:rFonts w:ascii="Arial" w:hAnsi="Arial" w:eastAsia="宋体" w:cs="Arial"/>
                <w:b/>
                <w:sz w:val="28"/>
                <w:szCs w:val="28"/>
                <w:highlight w:val="none"/>
              </w:rPr>
            </w:pPr>
          </w:p>
        </w:tc>
        <w:tc>
          <w:tcPr>
            <w:tcW w:w="5430" w:type="dxa"/>
            <w:tcBorders>
              <w:top w:val="nil"/>
              <w:left w:val="nil"/>
              <w:bottom w:val="nil"/>
              <w:right w:val="nil"/>
            </w:tcBorders>
            <w:noWrap w:val="0"/>
            <w:vAlign w:val="center"/>
          </w:tcPr>
          <w:p w14:paraId="79F9FE6E">
            <w:pPr>
              <w:spacing w:line="600" w:lineRule="exact"/>
              <w:rPr>
                <w:rFonts w:hint="eastAsia" w:ascii="Arial" w:hAnsi="Arial" w:eastAsia="宋体" w:cs="Arial"/>
                <w:b/>
                <w:sz w:val="28"/>
                <w:szCs w:val="28"/>
                <w:highlight w:val="none"/>
              </w:rPr>
            </w:pPr>
          </w:p>
        </w:tc>
      </w:tr>
      <w:tr w14:paraId="5BA35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625" w:type="dxa"/>
            <w:tcBorders>
              <w:top w:val="nil"/>
              <w:left w:val="nil"/>
              <w:bottom w:val="nil"/>
              <w:right w:val="nil"/>
            </w:tcBorders>
            <w:noWrap w:val="0"/>
            <w:vAlign w:val="center"/>
          </w:tcPr>
          <w:p w14:paraId="7871E91C">
            <w:pPr>
              <w:spacing w:line="400" w:lineRule="atLeast"/>
              <w:jc w:val="distribute"/>
              <w:rPr>
                <w:rFonts w:ascii="Arial" w:hAnsi="Arial" w:eastAsia="宋体" w:cs="Arial"/>
                <w:b/>
                <w:sz w:val="28"/>
                <w:szCs w:val="28"/>
                <w:highlight w:val="none"/>
              </w:rPr>
            </w:pPr>
            <w:r>
              <w:rPr>
                <w:rFonts w:hint="eastAsia" w:ascii="Arial" w:hAnsi="Arial" w:eastAsia="宋体" w:cs="Arial"/>
                <w:b/>
                <w:sz w:val="28"/>
                <w:szCs w:val="28"/>
                <w:highlight w:val="none"/>
              </w:rPr>
              <w:t>签订地点：</w:t>
            </w:r>
          </w:p>
        </w:tc>
        <w:tc>
          <w:tcPr>
            <w:tcW w:w="5430" w:type="dxa"/>
            <w:tcBorders>
              <w:top w:val="nil"/>
              <w:left w:val="nil"/>
              <w:bottom w:val="nil"/>
              <w:right w:val="nil"/>
            </w:tcBorders>
            <w:noWrap w:val="0"/>
            <w:vAlign w:val="center"/>
          </w:tcPr>
          <w:p w14:paraId="2A27BA52">
            <w:pPr>
              <w:spacing w:line="600" w:lineRule="exact"/>
              <w:rPr>
                <w:rFonts w:ascii="Arial" w:hAnsi="Arial" w:eastAsia="宋体" w:cs="Arial"/>
                <w:b/>
                <w:sz w:val="28"/>
                <w:szCs w:val="28"/>
                <w:highlight w:val="none"/>
              </w:rPr>
            </w:pPr>
            <w:r>
              <w:rPr>
                <w:rFonts w:hint="eastAsia" w:ascii="Arial" w:hAnsi="Arial" w:eastAsia="宋体" w:cs="Arial"/>
                <w:b/>
                <w:sz w:val="28"/>
                <w:szCs w:val="28"/>
                <w:highlight w:val="none"/>
              </w:rPr>
              <w:t>浙江省温州市</w:t>
            </w:r>
            <w:r>
              <w:rPr>
                <w:rFonts w:hint="eastAsia" w:ascii="Arial" w:hAnsi="Arial" w:eastAsia="宋体" w:cs="Arial"/>
                <w:bCs/>
                <w:sz w:val="28"/>
                <w:szCs w:val="28"/>
                <w:highlight w:val="none"/>
                <w:u w:val="single"/>
              </w:rPr>
              <w:t xml:space="preserve">     </w:t>
            </w:r>
            <w:r>
              <w:rPr>
                <w:rFonts w:hint="eastAsia" w:ascii="Arial" w:hAnsi="Arial" w:eastAsia="宋体" w:cs="Arial"/>
                <w:b/>
                <w:sz w:val="28"/>
                <w:szCs w:val="28"/>
                <w:highlight w:val="none"/>
              </w:rPr>
              <w:t>区（县）</w:t>
            </w:r>
            <w:r>
              <w:rPr>
                <w:rFonts w:hint="eastAsia" w:ascii="Arial" w:hAnsi="Arial" w:eastAsia="宋体" w:cs="Arial"/>
                <w:bCs/>
                <w:sz w:val="28"/>
                <w:szCs w:val="28"/>
                <w:highlight w:val="none"/>
                <w:u w:val="single"/>
              </w:rPr>
              <w:t xml:space="preserve"> </w:t>
            </w:r>
            <w:r>
              <w:rPr>
                <w:rFonts w:hint="eastAsia" w:ascii="Arial" w:hAnsi="Arial" w:eastAsia="宋体" w:cs="Arial"/>
                <w:b/>
                <w:sz w:val="28"/>
                <w:szCs w:val="28"/>
                <w:highlight w:val="none"/>
                <w:u w:val="single"/>
              </w:rPr>
              <w:t>（具体地点）</w:t>
            </w:r>
          </w:p>
        </w:tc>
      </w:tr>
      <w:tr w14:paraId="724C6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625" w:type="dxa"/>
            <w:tcBorders>
              <w:top w:val="nil"/>
              <w:left w:val="nil"/>
              <w:bottom w:val="nil"/>
              <w:right w:val="nil"/>
            </w:tcBorders>
            <w:noWrap w:val="0"/>
            <w:vAlign w:val="center"/>
          </w:tcPr>
          <w:p w14:paraId="7DD97A20">
            <w:pPr>
              <w:spacing w:line="400" w:lineRule="atLeast"/>
              <w:jc w:val="distribute"/>
              <w:rPr>
                <w:rFonts w:ascii="Arial" w:hAnsi="Arial" w:eastAsia="宋体" w:cs="Arial"/>
                <w:b/>
                <w:sz w:val="28"/>
                <w:szCs w:val="28"/>
                <w:highlight w:val="none"/>
              </w:rPr>
            </w:pPr>
            <w:r>
              <w:rPr>
                <w:rFonts w:hint="eastAsia" w:ascii="Arial" w:hAnsi="Arial" w:eastAsia="宋体" w:cs="Arial"/>
                <w:b/>
                <w:sz w:val="28"/>
                <w:szCs w:val="28"/>
                <w:highlight w:val="none"/>
              </w:rPr>
              <w:t>签订时间：</w:t>
            </w:r>
          </w:p>
        </w:tc>
        <w:tc>
          <w:tcPr>
            <w:tcW w:w="5430" w:type="dxa"/>
            <w:tcBorders>
              <w:top w:val="nil"/>
              <w:left w:val="nil"/>
              <w:bottom w:val="nil"/>
              <w:right w:val="nil"/>
            </w:tcBorders>
            <w:noWrap w:val="0"/>
            <w:vAlign w:val="center"/>
          </w:tcPr>
          <w:p w14:paraId="00E56016">
            <w:pPr>
              <w:spacing w:line="600" w:lineRule="exact"/>
              <w:rPr>
                <w:rFonts w:ascii="Arial" w:hAnsi="Arial" w:eastAsia="宋体" w:cs="Arial"/>
                <w:b/>
                <w:sz w:val="28"/>
                <w:szCs w:val="28"/>
                <w:highlight w:val="none"/>
                <w:u w:val="single"/>
              </w:rPr>
            </w:pPr>
            <w:r>
              <w:rPr>
                <w:rFonts w:hint="eastAsia" w:ascii="Arial" w:hAnsi="Arial" w:eastAsia="宋体" w:cs="Arial"/>
                <w:b/>
                <w:sz w:val="28"/>
                <w:szCs w:val="28"/>
                <w:highlight w:val="none"/>
              </w:rPr>
              <w:t>二〇二六年</w:t>
            </w:r>
            <w:r>
              <w:rPr>
                <w:rFonts w:hint="eastAsia" w:ascii="Arial" w:hAnsi="Arial" w:eastAsia="宋体" w:cs="Arial"/>
                <w:bCs/>
                <w:sz w:val="28"/>
                <w:szCs w:val="28"/>
                <w:highlight w:val="none"/>
                <w:u w:val="single"/>
              </w:rPr>
              <w:t xml:space="preserve">    </w:t>
            </w:r>
            <w:r>
              <w:rPr>
                <w:rFonts w:hint="eastAsia" w:ascii="Arial" w:hAnsi="Arial" w:eastAsia="宋体" w:cs="Arial"/>
                <w:b/>
                <w:sz w:val="28"/>
                <w:szCs w:val="28"/>
                <w:highlight w:val="none"/>
              </w:rPr>
              <w:t>月</w:t>
            </w:r>
            <w:r>
              <w:rPr>
                <w:rFonts w:hint="eastAsia" w:ascii="Arial" w:hAnsi="Arial" w:eastAsia="宋体" w:cs="Arial"/>
                <w:bCs/>
                <w:sz w:val="28"/>
                <w:szCs w:val="28"/>
                <w:highlight w:val="none"/>
                <w:u w:val="single"/>
              </w:rPr>
              <w:t xml:space="preserve">   </w:t>
            </w:r>
            <w:r>
              <w:rPr>
                <w:rFonts w:hint="eastAsia" w:ascii="Arial" w:hAnsi="Arial" w:eastAsia="宋体" w:cs="Arial"/>
                <w:b/>
                <w:sz w:val="28"/>
                <w:szCs w:val="28"/>
                <w:highlight w:val="none"/>
              </w:rPr>
              <w:t>日</w:t>
            </w:r>
          </w:p>
        </w:tc>
      </w:tr>
    </w:tbl>
    <w:p w14:paraId="5F1977C0">
      <w:pPr>
        <w:spacing w:line="400" w:lineRule="exact"/>
        <w:rPr>
          <w:rFonts w:ascii="新宋体" w:hAnsi="新宋体" w:eastAsia="新宋体"/>
          <w:b/>
          <w:bCs/>
          <w:sz w:val="22"/>
          <w:szCs w:val="22"/>
          <w:highlight w:val="none"/>
        </w:rPr>
      </w:pPr>
    </w:p>
    <w:p w14:paraId="0E6BF10F">
      <w:pPr>
        <w:spacing w:line="400" w:lineRule="exact"/>
        <w:rPr>
          <w:rFonts w:ascii="新宋体" w:hAnsi="新宋体" w:eastAsia="新宋体"/>
          <w:b/>
          <w:bCs/>
          <w:sz w:val="22"/>
          <w:szCs w:val="22"/>
          <w:highlight w:val="none"/>
        </w:rPr>
      </w:pPr>
    </w:p>
    <w:p w14:paraId="6B6F6E7B">
      <w:pPr>
        <w:spacing w:line="400" w:lineRule="exact"/>
        <w:rPr>
          <w:rFonts w:ascii="新宋体" w:hAnsi="新宋体" w:eastAsia="新宋体"/>
          <w:b/>
          <w:bCs/>
          <w:sz w:val="22"/>
          <w:szCs w:val="22"/>
          <w:highlight w:val="none"/>
        </w:rPr>
      </w:pPr>
    </w:p>
    <w:p w14:paraId="26E113E2">
      <w:pPr>
        <w:tabs>
          <w:tab w:val="left" w:pos="360"/>
        </w:tabs>
        <w:spacing w:line="460" w:lineRule="exact"/>
        <w:ind w:firstLine="550"/>
        <w:rPr>
          <w:rFonts w:ascii="宋体" w:hAnsi="宋体" w:cs="宋体"/>
          <w:kern w:val="1"/>
          <w:sz w:val="22"/>
          <w:szCs w:val="22"/>
          <w:highlight w:val="none"/>
        </w:rPr>
      </w:pPr>
      <w:r>
        <w:rPr>
          <w:rFonts w:hint="eastAsia" w:ascii="宋体" w:hAnsi="宋体"/>
          <w:bCs/>
          <w:sz w:val="22"/>
          <w:szCs w:val="22"/>
          <w:highlight w:val="none"/>
        </w:rPr>
        <w:br w:type="page"/>
      </w:r>
      <w:r>
        <w:rPr>
          <w:rFonts w:hint="eastAsia" w:ascii="宋体" w:hAnsi="宋体" w:cs="宋体"/>
          <w:kern w:val="1"/>
          <w:sz w:val="22"/>
          <w:szCs w:val="22"/>
          <w:highlight w:val="none"/>
        </w:rPr>
        <w:t>甲方：</w:t>
      </w:r>
      <w:r>
        <w:rPr>
          <w:rFonts w:hint="eastAsia" w:ascii="宋体" w:hAnsi="宋体" w:cs="宋体"/>
          <w:kern w:val="1"/>
          <w:sz w:val="22"/>
          <w:szCs w:val="22"/>
          <w:highlight w:val="none"/>
          <w:u w:val="single"/>
        </w:rPr>
        <w:t>温州信达交通工程试验检测有限公司</w:t>
      </w:r>
      <w:r>
        <w:rPr>
          <w:rFonts w:hint="eastAsia" w:ascii="宋体" w:hAnsi="宋体" w:cs="宋体"/>
          <w:kern w:val="1"/>
          <w:sz w:val="22"/>
          <w:szCs w:val="22"/>
          <w:highlight w:val="none"/>
        </w:rPr>
        <w:t xml:space="preserve"> （采购人）</w:t>
      </w:r>
    </w:p>
    <w:p w14:paraId="43FB2C98">
      <w:pPr>
        <w:tabs>
          <w:tab w:val="left" w:pos="360"/>
        </w:tabs>
        <w:spacing w:line="460" w:lineRule="exact"/>
        <w:ind w:firstLine="550"/>
        <w:rPr>
          <w:rFonts w:ascii="宋体" w:hAnsi="宋体" w:cs="宋体"/>
          <w:kern w:val="1"/>
          <w:sz w:val="22"/>
          <w:szCs w:val="22"/>
          <w:highlight w:val="none"/>
        </w:rPr>
      </w:pPr>
      <w:r>
        <w:rPr>
          <w:rFonts w:hint="eastAsia" w:ascii="宋体" w:hAnsi="宋体" w:cs="宋体"/>
          <w:kern w:val="1"/>
          <w:sz w:val="22"/>
          <w:szCs w:val="22"/>
          <w:highlight w:val="none"/>
        </w:rPr>
        <w:t>乙方：</w:t>
      </w:r>
      <w:r>
        <w:rPr>
          <w:rFonts w:hint="eastAsia" w:ascii="宋体" w:hAnsi="宋体" w:cs="宋体"/>
          <w:kern w:val="1"/>
          <w:sz w:val="22"/>
          <w:szCs w:val="22"/>
          <w:highlight w:val="none"/>
          <w:u w:val="single"/>
        </w:rPr>
        <w:t xml:space="preserve">                                </w:t>
      </w:r>
      <w:r>
        <w:rPr>
          <w:rFonts w:hint="eastAsia" w:ascii="宋体" w:hAnsi="宋体" w:cs="宋体"/>
          <w:kern w:val="1"/>
          <w:sz w:val="22"/>
          <w:szCs w:val="22"/>
          <w:highlight w:val="none"/>
        </w:rPr>
        <w:t>（中标人）</w:t>
      </w:r>
    </w:p>
    <w:p w14:paraId="3F2D41C5">
      <w:pPr>
        <w:tabs>
          <w:tab w:val="left" w:pos="360"/>
        </w:tabs>
        <w:spacing w:line="360" w:lineRule="auto"/>
        <w:ind w:firstLine="550"/>
        <w:rPr>
          <w:rFonts w:ascii="宋体" w:hAnsi="宋体" w:cs="宋体"/>
          <w:kern w:val="1"/>
          <w:sz w:val="22"/>
          <w:szCs w:val="22"/>
          <w:highlight w:val="none"/>
        </w:rPr>
      </w:pPr>
      <w:r>
        <w:rPr>
          <w:rFonts w:hint="eastAsia" w:ascii="宋体" w:hAnsi="宋体" w:cs="宋体"/>
          <w:kern w:val="1"/>
          <w:sz w:val="22"/>
          <w:szCs w:val="22"/>
          <w:highlight w:val="none"/>
        </w:rPr>
        <w:t>鉴于甲方于</w:t>
      </w:r>
      <w:r>
        <w:rPr>
          <w:rFonts w:hint="eastAsia" w:ascii="宋体" w:hAnsi="宋体" w:cs="宋体"/>
          <w:kern w:val="1"/>
          <w:sz w:val="22"/>
          <w:szCs w:val="22"/>
          <w:highlight w:val="none"/>
          <w:u w:val="single"/>
        </w:rPr>
        <w:t xml:space="preserve">    </w:t>
      </w:r>
      <w:r>
        <w:rPr>
          <w:rFonts w:hint="eastAsia" w:ascii="宋体" w:hAnsi="宋体" w:cs="宋体"/>
          <w:kern w:val="1"/>
          <w:sz w:val="22"/>
          <w:szCs w:val="22"/>
          <w:highlight w:val="none"/>
        </w:rPr>
        <w:t>年</w:t>
      </w:r>
      <w:r>
        <w:rPr>
          <w:rFonts w:hint="eastAsia" w:ascii="宋体" w:hAnsi="宋体" w:cs="宋体"/>
          <w:kern w:val="1"/>
          <w:sz w:val="22"/>
          <w:szCs w:val="22"/>
          <w:highlight w:val="none"/>
          <w:u w:val="single"/>
        </w:rPr>
        <w:t xml:space="preserve">    </w:t>
      </w:r>
      <w:r>
        <w:rPr>
          <w:rFonts w:hint="eastAsia" w:ascii="宋体" w:hAnsi="宋体" w:cs="宋体"/>
          <w:kern w:val="1"/>
          <w:sz w:val="22"/>
          <w:szCs w:val="22"/>
          <w:highlight w:val="none"/>
        </w:rPr>
        <w:t>月</w:t>
      </w:r>
      <w:r>
        <w:rPr>
          <w:rFonts w:hint="eastAsia" w:ascii="宋体" w:hAnsi="宋体" w:cs="宋体"/>
          <w:kern w:val="1"/>
          <w:sz w:val="22"/>
          <w:szCs w:val="22"/>
          <w:highlight w:val="none"/>
          <w:u w:val="single"/>
        </w:rPr>
        <w:t xml:space="preserve">    </w:t>
      </w:r>
      <w:r>
        <w:rPr>
          <w:rFonts w:hint="eastAsia" w:ascii="宋体" w:hAnsi="宋体" w:cs="宋体"/>
          <w:kern w:val="1"/>
          <w:sz w:val="22"/>
          <w:szCs w:val="22"/>
          <w:highlight w:val="none"/>
        </w:rPr>
        <w:t>日接受乙方对</w:t>
      </w:r>
      <w:r>
        <w:rPr>
          <w:rFonts w:hint="eastAsia" w:ascii="宋体" w:hAnsi="宋体" w:cs="宋体"/>
          <w:kern w:val="1"/>
          <w:sz w:val="22"/>
          <w:szCs w:val="22"/>
          <w:highlight w:val="none"/>
          <w:u w:val="single"/>
        </w:rPr>
        <w:t xml:space="preserve">                      </w:t>
      </w:r>
      <w:r>
        <w:rPr>
          <w:rFonts w:hint="eastAsia" w:ascii="宋体" w:hAnsi="宋体" w:cs="宋体"/>
          <w:kern w:val="1"/>
          <w:sz w:val="22"/>
          <w:szCs w:val="22"/>
          <w:highlight w:val="none"/>
        </w:rPr>
        <w:t>的投标，双方根据《中华人民共和国民法典》和本项目的采购文件、投标文件及其投标中的承诺，经双方友好协商，同意签订本合同，共同遵守：</w:t>
      </w:r>
    </w:p>
    <w:p w14:paraId="62B5C76D">
      <w:pPr>
        <w:pStyle w:val="20"/>
        <w:snapToGrid w:val="0"/>
        <w:spacing w:line="360" w:lineRule="auto"/>
        <w:rPr>
          <w:rFonts w:hint="eastAsia" w:hAnsi="宋体" w:cs="宋体"/>
          <w:b/>
          <w:bCs/>
          <w:sz w:val="22"/>
          <w:szCs w:val="22"/>
          <w:highlight w:val="none"/>
        </w:rPr>
      </w:pPr>
      <w:r>
        <w:rPr>
          <w:rFonts w:hint="eastAsia" w:hAnsi="宋体" w:cs="宋体"/>
          <w:b/>
          <w:bCs/>
          <w:sz w:val="22"/>
          <w:szCs w:val="22"/>
          <w:highlight w:val="none"/>
        </w:rPr>
        <w:t>第一条：采购商品清单及合同价格</w:t>
      </w:r>
    </w:p>
    <w:p w14:paraId="56EB419A">
      <w:pPr>
        <w:snapToGrid w:val="0"/>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乙方提供如下内容的合格产品：                                   金额单位：人民币元</w:t>
      </w:r>
    </w:p>
    <w:tbl>
      <w:tblPr>
        <w:tblStyle w:val="35"/>
        <w:tblW w:w="9747"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
        <w:gridCol w:w="1146"/>
        <w:gridCol w:w="817"/>
        <w:gridCol w:w="720"/>
        <w:gridCol w:w="1524"/>
        <w:gridCol w:w="1244"/>
        <w:gridCol w:w="2146"/>
        <w:gridCol w:w="786"/>
        <w:gridCol w:w="686"/>
      </w:tblGrid>
      <w:tr w14:paraId="20931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678" w:type="dxa"/>
            <w:noWrap w:val="0"/>
            <w:vAlign w:val="center"/>
          </w:tcPr>
          <w:p w14:paraId="4A2FC08A">
            <w:pPr>
              <w:snapToGrid w:val="0"/>
              <w:jc w:val="center"/>
              <w:rPr>
                <w:rFonts w:hint="eastAsia" w:ascii="宋体" w:hAnsi="宋体" w:eastAsia="宋体" w:cs="宋体"/>
                <w:szCs w:val="21"/>
                <w:highlight w:val="none"/>
              </w:rPr>
            </w:pPr>
            <w:r>
              <w:rPr>
                <w:rFonts w:hint="eastAsia" w:ascii="宋体" w:hAnsi="宋体" w:eastAsia="宋体" w:cs="宋体"/>
                <w:szCs w:val="21"/>
                <w:highlight w:val="none"/>
              </w:rPr>
              <w:t>序号</w:t>
            </w:r>
          </w:p>
        </w:tc>
        <w:tc>
          <w:tcPr>
            <w:tcW w:w="1146" w:type="dxa"/>
            <w:noWrap w:val="0"/>
            <w:vAlign w:val="center"/>
          </w:tcPr>
          <w:p w14:paraId="249C45B1">
            <w:pPr>
              <w:snapToGrid w:val="0"/>
              <w:jc w:val="center"/>
              <w:rPr>
                <w:rFonts w:hint="eastAsia" w:ascii="宋体" w:hAnsi="宋体" w:eastAsia="宋体" w:cs="宋体"/>
                <w:szCs w:val="21"/>
                <w:highlight w:val="none"/>
              </w:rPr>
            </w:pPr>
            <w:r>
              <w:rPr>
                <w:rFonts w:hint="eastAsia" w:ascii="宋体" w:hAnsi="宋体" w:eastAsia="宋体" w:cs="宋体"/>
                <w:szCs w:val="21"/>
                <w:highlight w:val="none"/>
              </w:rPr>
              <w:t>产品名称</w:t>
            </w:r>
          </w:p>
        </w:tc>
        <w:tc>
          <w:tcPr>
            <w:tcW w:w="817" w:type="dxa"/>
            <w:noWrap w:val="0"/>
            <w:vAlign w:val="center"/>
          </w:tcPr>
          <w:p w14:paraId="2CA90A0D">
            <w:pPr>
              <w:jc w:val="center"/>
              <w:rPr>
                <w:rFonts w:hint="eastAsia" w:ascii="宋体" w:hAnsi="宋体" w:eastAsia="宋体" w:cs="宋体"/>
                <w:szCs w:val="21"/>
                <w:highlight w:val="none"/>
              </w:rPr>
            </w:pPr>
            <w:r>
              <w:rPr>
                <w:rFonts w:hint="eastAsia" w:ascii="宋体" w:hAnsi="宋体" w:eastAsia="宋体" w:cs="宋体"/>
                <w:sz w:val="18"/>
                <w:szCs w:val="18"/>
                <w:highlight w:val="none"/>
              </w:rPr>
              <w:t>数量</w:t>
            </w:r>
          </w:p>
        </w:tc>
        <w:tc>
          <w:tcPr>
            <w:tcW w:w="720" w:type="dxa"/>
            <w:noWrap w:val="0"/>
            <w:vAlign w:val="center"/>
          </w:tcPr>
          <w:p w14:paraId="46AB5D41">
            <w:pPr>
              <w:jc w:val="center"/>
              <w:rPr>
                <w:rFonts w:hint="eastAsia" w:ascii="宋体" w:hAnsi="宋体" w:eastAsia="宋体" w:cs="宋体"/>
                <w:szCs w:val="21"/>
                <w:highlight w:val="none"/>
              </w:rPr>
            </w:pPr>
            <w:r>
              <w:rPr>
                <w:rFonts w:hint="eastAsia" w:ascii="宋体" w:hAnsi="宋体" w:eastAsia="宋体" w:cs="宋体"/>
                <w:sz w:val="18"/>
                <w:szCs w:val="18"/>
                <w:highlight w:val="none"/>
              </w:rPr>
              <w:t>单位</w:t>
            </w:r>
          </w:p>
        </w:tc>
        <w:tc>
          <w:tcPr>
            <w:tcW w:w="1524" w:type="dxa"/>
            <w:noWrap w:val="0"/>
            <w:vAlign w:val="center"/>
          </w:tcPr>
          <w:p w14:paraId="5A4AE828">
            <w:pPr>
              <w:jc w:val="center"/>
              <w:rPr>
                <w:rFonts w:ascii="宋体" w:hAnsi="宋体" w:eastAsia="宋体" w:cs="宋体"/>
                <w:szCs w:val="21"/>
                <w:highlight w:val="none"/>
              </w:rPr>
            </w:pPr>
            <w:r>
              <w:rPr>
                <w:rFonts w:hint="eastAsia" w:ascii="宋体" w:hAnsi="宋体" w:eastAsia="宋体" w:cs="宋体"/>
                <w:sz w:val="18"/>
                <w:szCs w:val="18"/>
                <w:highlight w:val="none"/>
              </w:rPr>
              <w:t>技术参数/规格</w:t>
            </w:r>
          </w:p>
        </w:tc>
        <w:tc>
          <w:tcPr>
            <w:tcW w:w="1244" w:type="dxa"/>
            <w:noWrap w:val="0"/>
            <w:vAlign w:val="center"/>
          </w:tcPr>
          <w:p w14:paraId="7958AE39">
            <w:pPr>
              <w:snapToGrid w:val="0"/>
              <w:jc w:val="center"/>
              <w:rPr>
                <w:rFonts w:ascii="宋体" w:hAnsi="宋体" w:eastAsia="宋体" w:cs="宋体"/>
                <w:szCs w:val="21"/>
                <w:highlight w:val="none"/>
              </w:rPr>
            </w:pPr>
            <w:r>
              <w:rPr>
                <w:rFonts w:hint="eastAsia" w:ascii="宋体" w:hAnsi="宋体" w:eastAsia="宋体" w:cs="宋体"/>
                <w:szCs w:val="21"/>
                <w:highlight w:val="none"/>
              </w:rPr>
              <w:t>单价</w:t>
            </w:r>
          </w:p>
        </w:tc>
        <w:tc>
          <w:tcPr>
            <w:tcW w:w="2146" w:type="dxa"/>
            <w:noWrap w:val="0"/>
            <w:vAlign w:val="center"/>
          </w:tcPr>
          <w:p w14:paraId="5CB41A2D">
            <w:pPr>
              <w:snapToGrid w:val="0"/>
              <w:jc w:val="center"/>
              <w:rPr>
                <w:rFonts w:ascii="宋体" w:hAnsi="宋体" w:eastAsia="宋体" w:cs="宋体"/>
                <w:szCs w:val="21"/>
                <w:highlight w:val="none"/>
              </w:rPr>
            </w:pPr>
            <w:r>
              <w:rPr>
                <w:rFonts w:hint="eastAsia" w:ascii="宋体" w:hAnsi="宋体" w:eastAsia="宋体" w:cs="宋体"/>
                <w:szCs w:val="21"/>
                <w:highlight w:val="none"/>
              </w:rPr>
              <w:t>合计</w:t>
            </w:r>
          </w:p>
        </w:tc>
        <w:tc>
          <w:tcPr>
            <w:tcW w:w="786" w:type="dxa"/>
            <w:noWrap w:val="0"/>
            <w:vAlign w:val="center"/>
          </w:tcPr>
          <w:p w14:paraId="5700583E">
            <w:pPr>
              <w:snapToGrid w:val="0"/>
              <w:jc w:val="center"/>
              <w:rPr>
                <w:rFonts w:ascii="宋体" w:hAnsi="宋体" w:eastAsia="宋体" w:cs="宋体"/>
                <w:szCs w:val="21"/>
                <w:highlight w:val="none"/>
              </w:rPr>
            </w:pPr>
            <w:r>
              <w:rPr>
                <w:rFonts w:hint="eastAsia" w:ascii="宋体" w:hAnsi="宋体" w:eastAsia="宋体" w:cs="宋体"/>
                <w:szCs w:val="21"/>
                <w:highlight w:val="none"/>
              </w:rPr>
              <w:t>是否进口</w:t>
            </w:r>
          </w:p>
        </w:tc>
        <w:tc>
          <w:tcPr>
            <w:tcW w:w="686" w:type="dxa"/>
            <w:noWrap w:val="0"/>
            <w:vAlign w:val="center"/>
          </w:tcPr>
          <w:p w14:paraId="7521C3EC">
            <w:pPr>
              <w:snapToGrid w:val="0"/>
              <w:jc w:val="center"/>
              <w:rPr>
                <w:rFonts w:hint="eastAsia" w:ascii="宋体" w:hAnsi="宋体" w:eastAsia="宋体" w:cs="宋体"/>
                <w:szCs w:val="21"/>
                <w:highlight w:val="none"/>
              </w:rPr>
            </w:pPr>
            <w:r>
              <w:rPr>
                <w:rFonts w:hint="eastAsia" w:ascii="宋体" w:hAnsi="宋体" w:eastAsia="宋体" w:cs="宋体"/>
                <w:szCs w:val="21"/>
                <w:highlight w:val="none"/>
              </w:rPr>
              <w:t>备注</w:t>
            </w:r>
          </w:p>
        </w:tc>
      </w:tr>
      <w:tr w14:paraId="52CC2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9" w:hRule="atLeast"/>
        </w:trPr>
        <w:tc>
          <w:tcPr>
            <w:tcW w:w="678" w:type="dxa"/>
            <w:noWrap w:val="0"/>
            <w:vAlign w:val="center"/>
          </w:tcPr>
          <w:p w14:paraId="4FC246B8">
            <w:pPr>
              <w:snapToGrid w:val="0"/>
              <w:jc w:val="center"/>
              <w:rPr>
                <w:rFonts w:hint="eastAsia" w:ascii="宋体" w:hAnsi="宋体" w:eastAsia="宋体" w:cs="宋体"/>
                <w:sz w:val="22"/>
                <w:szCs w:val="22"/>
                <w:highlight w:val="none"/>
              </w:rPr>
            </w:pPr>
          </w:p>
        </w:tc>
        <w:tc>
          <w:tcPr>
            <w:tcW w:w="1146" w:type="dxa"/>
            <w:noWrap w:val="0"/>
            <w:vAlign w:val="center"/>
          </w:tcPr>
          <w:p w14:paraId="68874100">
            <w:pPr>
              <w:snapToGrid w:val="0"/>
              <w:jc w:val="center"/>
              <w:rPr>
                <w:rFonts w:hint="eastAsia" w:ascii="宋体" w:hAnsi="宋体" w:eastAsia="宋体" w:cs="宋体"/>
                <w:sz w:val="22"/>
                <w:szCs w:val="22"/>
                <w:highlight w:val="none"/>
              </w:rPr>
            </w:pPr>
          </w:p>
        </w:tc>
        <w:tc>
          <w:tcPr>
            <w:tcW w:w="817" w:type="dxa"/>
            <w:noWrap w:val="0"/>
            <w:vAlign w:val="center"/>
          </w:tcPr>
          <w:p w14:paraId="05EAB23F">
            <w:pPr>
              <w:snapToGrid w:val="0"/>
              <w:jc w:val="center"/>
              <w:rPr>
                <w:rFonts w:hint="eastAsia" w:ascii="宋体" w:hAnsi="宋体" w:eastAsia="宋体" w:cs="宋体"/>
                <w:sz w:val="22"/>
                <w:szCs w:val="22"/>
                <w:highlight w:val="none"/>
              </w:rPr>
            </w:pPr>
          </w:p>
        </w:tc>
        <w:tc>
          <w:tcPr>
            <w:tcW w:w="720" w:type="dxa"/>
            <w:noWrap w:val="0"/>
            <w:vAlign w:val="center"/>
          </w:tcPr>
          <w:p w14:paraId="527B79CC">
            <w:pPr>
              <w:snapToGrid w:val="0"/>
              <w:jc w:val="center"/>
              <w:rPr>
                <w:rFonts w:hint="eastAsia" w:ascii="宋体" w:hAnsi="宋体" w:eastAsia="宋体" w:cs="宋体"/>
                <w:sz w:val="22"/>
                <w:szCs w:val="22"/>
                <w:highlight w:val="none"/>
              </w:rPr>
            </w:pPr>
          </w:p>
        </w:tc>
        <w:tc>
          <w:tcPr>
            <w:tcW w:w="1524" w:type="dxa"/>
            <w:noWrap w:val="0"/>
            <w:vAlign w:val="center"/>
          </w:tcPr>
          <w:p w14:paraId="4D9B24F1">
            <w:pPr>
              <w:snapToGrid w:val="0"/>
              <w:jc w:val="center"/>
              <w:rPr>
                <w:rFonts w:hint="eastAsia" w:ascii="宋体" w:hAnsi="宋体" w:eastAsia="宋体" w:cs="宋体"/>
                <w:sz w:val="22"/>
                <w:szCs w:val="22"/>
                <w:highlight w:val="none"/>
              </w:rPr>
            </w:pPr>
          </w:p>
        </w:tc>
        <w:tc>
          <w:tcPr>
            <w:tcW w:w="1244" w:type="dxa"/>
            <w:noWrap w:val="0"/>
            <w:vAlign w:val="center"/>
          </w:tcPr>
          <w:p w14:paraId="02B1CD76">
            <w:pPr>
              <w:snapToGrid w:val="0"/>
              <w:jc w:val="center"/>
              <w:rPr>
                <w:rFonts w:hint="eastAsia" w:ascii="宋体" w:hAnsi="宋体" w:eastAsia="宋体" w:cs="宋体"/>
                <w:sz w:val="22"/>
                <w:szCs w:val="22"/>
                <w:highlight w:val="none"/>
              </w:rPr>
            </w:pPr>
          </w:p>
        </w:tc>
        <w:tc>
          <w:tcPr>
            <w:tcW w:w="2146" w:type="dxa"/>
            <w:noWrap w:val="0"/>
            <w:vAlign w:val="center"/>
          </w:tcPr>
          <w:p w14:paraId="415FBBB0">
            <w:pPr>
              <w:snapToGrid w:val="0"/>
              <w:jc w:val="center"/>
              <w:rPr>
                <w:rFonts w:hint="eastAsia" w:ascii="宋体" w:hAnsi="宋体" w:eastAsia="宋体" w:cs="宋体"/>
                <w:sz w:val="22"/>
                <w:szCs w:val="22"/>
                <w:highlight w:val="none"/>
              </w:rPr>
            </w:pPr>
          </w:p>
        </w:tc>
        <w:tc>
          <w:tcPr>
            <w:tcW w:w="786" w:type="dxa"/>
            <w:noWrap w:val="0"/>
            <w:vAlign w:val="center"/>
          </w:tcPr>
          <w:p w14:paraId="10D90758">
            <w:pPr>
              <w:snapToGrid w:val="0"/>
              <w:jc w:val="center"/>
              <w:rPr>
                <w:rFonts w:hint="eastAsia" w:ascii="宋体" w:hAnsi="宋体" w:eastAsia="宋体" w:cs="宋体"/>
                <w:sz w:val="22"/>
                <w:szCs w:val="22"/>
                <w:highlight w:val="none"/>
              </w:rPr>
            </w:pPr>
          </w:p>
        </w:tc>
        <w:tc>
          <w:tcPr>
            <w:tcW w:w="686" w:type="dxa"/>
            <w:noWrap w:val="0"/>
            <w:vAlign w:val="center"/>
          </w:tcPr>
          <w:p w14:paraId="6087BB14">
            <w:pPr>
              <w:snapToGrid w:val="0"/>
              <w:jc w:val="center"/>
              <w:rPr>
                <w:rFonts w:hint="eastAsia" w:ascii="宋体" w:hAnsi="宋体" w:eastAsia="宋体" w:cs="宋体"/>
                <w:sz w:val="22"/>
                <w:szCs w:val="22"/>
                <w:highlight w:val="none"/>
              </w:rPr>
            </w:pPr>
          </w:p>
        </w:tc>
      </w:tr>
      <w:tr w14:paraId="6413F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9" w:hRule="atLeast"/>
        </w:trPr>
        <w:tc>
          <w:tcPr>
            <w:tcW w:w="678" w:type="dxa"/>
            <w:noWrap w:val="0"/>
            <w:vAlign w:val="center"/>
          </w:tcPr>
          <w:p w14:paraId="0808930C">
            <w:pPr>
              <w:snapToGrid w:val="0"/>
              <w:jc w:val="center"/>
              <w:rPr>
                <w:rFonts w:hint="eastAsia" w:ascii="宋体" w:hAnsi="宋体" w:eastAsia="宋体" w:cs="宋体"/>
                <w:szCs w:val="21"/>
                <w:highlight w:val="none"/>
              </w:rPr>
            </w:pPr>
          </w:p>
        </w:tc>
        <w:tc>
          <w:tcPr>
            <w:tcW w:w="1146" w:type="dxa"/>
            <w:noWrap w:val="0"/>
            <w:vAlign w:val="center"/>
          </w:tcPr>
          <w:p w14:paraId="362101A8">
            <w:pPr>
              <w:snapToGrid w:val="0"/>
              <w:jc w:val="center"/>
              <w:rPr>
                <w:rFonts w:hint="eastAsia" w:ascii="宋体" w:hAnsi="宋体" w:eastAsia="宋体" w:cs="宋体"/>
                <w:szCs w:val="21"/>
                <w:highlight w:val="none"/>
              </w:rPr>
            </w:pPr>
          </w:p>
        </w:tc>
        <w:tc>
          <w:tcPr>
            <w:tcW w:w="817" w:type="dxa"/>
            <w:noWrap w:val="0"/>
            <w:vAlign w:val="center"/>
          </w:tcPr>
          <w:p w14:paraId="612AE1CF">
            <w:pPr>
              <w:snapToGrid w:val="0"/>
              <w:jc w:val="center"/>
              <w:rPr>
                <w:rFonts w:hint="eastAsia" w:ascii="宋体" w:hAnsi="宋体" w:eastAsia="宋体" w:cs="宋体"/>
                <w:szCs w:val="21"/>
                <w:highlight w:val="none"/>
              </w:rPr>
            </w:pPr>
          </w:p>
        </w:tc>
        <w:tc>
          <w:tcPr>
            <w:tcW w:w="720" w:type="dxa"/>
            <w:noWrap w:val="0"/>
            <w:vAlign w:val="center"/>
          </w:tcPr>
          <w:p w14:paraId="1CC0322E">
            <w:pPr>
              <w:snapToGrid w:val="0"/>
              <w:jc w:val="center"/>
              <w:rPr>
                <w:rFonts w:hint="eastAsia" w:ascii="宋体" w:hAnsi="宋体" w:eastAsia="宋体" w:cs="宋体"/>
                <w:szCs w:val="21"/>
                <w:highlight w:val="none"/>
              </w:rPr>
            </w:pPr>
          </w:p>
        </w:tc>
        <w:tc>
          <w:tcPr>
            <w:tcW w:w="1524" w:type="dxa"/>
            <w:noWrap w:val="0"/>
            <w:vAlign w:val="center"/>
          </w:tcPr>
          <w:p w14:paraId="1451B1B0">
            <w:pPr>
              <w:snapToGrid w:val="0"/>
              <w:jc w:val="center"/>
              <w:rPr>
                <w:rFonts w:hint="eastAsia" w:ascii="宋体" w:hAnsi="宋体" w:eastAsia="宋体" w:cs="宋体"/>
                <w:szCs w:val="21"/>
                <w:highlight w:val="none"/>
              </w:rPr>
            </w:pPr>
          </w:p>
        </w:tc>
        <w:tc>
          <w:tcPr>
            <w:tcW w:w="1244" w:type="dxa"/>
            <w:noWrap w:val="0"/>
            <w:vAlign w:val="center"/>
          </w:tcPr>
          <w:p w14:paraId="67B0956B">
            <w:pPr>
              <w:snapToGrid w:val="0"/>
              <w:jc w:val="center"/>
              <w:rPr>
                <w:rFonts w:hint="eastAsia" w:ascii="宋体" w:hAnsi="宋体" w:eastAsia="宋体" w:cs="宋体"/>
                <w:szCs w:val="21"/>
                <w:highlight w:val="none"/>
              </w:rPr>
            </w:pPr>
          </w:p>
        </w:tc>
        <w:tc>
          <w:tcPr>
            <w:tcW w:w="2146" w:type="dxa"/>
            <w:noWrap w:val="0"/>
            <w:vAlign w:val="center"/>
          </w:tcPr>
          <w:p w14:paraId="4DFE747C">
            <w:pPr>
              <w:snapToGrid w:val="0"/>
              <w:jc w:val="center"/>
              <w:rPr>
                <w:rFonts w:hint="eastAsia" w:ascii="宋体" w:hAnsi="宋体" w:eastAsia="宋体" w:cs="宋体"/>
                <w:sz w:val="22"/>
                <w:szCs w:val="22"/>
                <w:highlight w:val="none"/>
              </w:rPr>
            </w:pPr>
          </w:p>
        </w:tc>
        <w:tc>
          <w:tcPr>
            <w:tcW w:w="786" w:type="dxa"/>
            <w:noWrap w:val="0"/>
            <w:vAlign w:val="center"/>
          </w:tcPr>
          <w:p w14:paraId="185F35EA">
            <w:pPr>
              <w:snapToGrid w:val="0"/>
              <w:jc w:val="center"/>
              <w:rPr>
                <w:rFonts w:hint="eastAsia" w:ascii="宋体" w:hAnsi="宋体" w:eastAsia="宋体" w:cs="宋体"/>
                <w:sz w:val="22"/>
                <w:szCs w:val="22"/>
                <w:highlight w:val="none"/>
              </w:rPr>
            </w:pPr>
          </w:p>
        </w:tc>
        <w:tc>
          <w:tcPr>
            <w:tcW w:w="686" w:type="dxa"/>
            <w:noWrap w:val="0"/>
            <w:vAlign w:val="center"/>
          </w:tcPr>
          <w:p w14:paraId="4D875098">
            <w:pPr>
              <w:snapToGrid w:val="0"/>
              <w:jc w:val="center"/>
              <w:rPr>
                <w:rFonts w:hint="eastAsia" w:ascii="宋体" w:hAnsi="宋体" w:eastAsia="宋体" w:cs="宋体"/>
                <w:sz w:val="22"/>
                <w:szCs w:val="22"/>
                <w:highlight w:val="none"/>
              </w:rPr>
            </w:pPr>
          </w:p>
        </w:tc>
      </w:tr>
      <w:tr w14:paraId="709D7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trPr>
        <w:tc>
          <w:tcPr>
            <w:tcW w:w="6129" w:type="dxa"/>
            <w:gridSpan w:val="6"/>
            <w:noWrap w:val="0"/>
            <w:vAlign w:val="center"/>
          </w:tcPr>
          <w:p w14:paraId="57234A88">
            <w:pPr>
              <w:snapToGrid w:val="0"/>
              <w:jc w:val="right"/>
              <w:rPr>
                <w:rFonts w:hint="eastAsia" w:ascii="宋体" w:hAnsi="宋体" w:eastAsia="宋体" w:cs="宋体"/>
                <w:szCs w:val="21"/>
                <w:highlight w:val="none"/>
              </w:rPr>
            </w:pPr>
            <w:r>
              <w:rPr>
                <w:rFonts w:hint="eastAsia" w:ascii="宋体" w:hAnsi="宋体" w:eastAsia="宋体" w:cs="宋体"/>
                <w:szCs w:val="21"/>
                <w:highlight w:val="none"/>
              </w:rPr>
              <w:t>合同总价</w:t>
            </w:r>
          </w:p>
        </w:tc>
        <w:tc>
          <w:tcPr>
            <w:tcW w:w="3618" w:type="dxa"/>
            <w:gridSpan w:val="3"/>
            <w:noWrap w:val="0"/>
            <w:vAlign w:val="center"/>
          </w:tcPr>
          <w:p w14:paraId="316FFDF1">
            <w:pPr>
              <w:snapToGrid w:val="0"/>
              <w:spacing w:line="360" w:lineRule="auto"/>
              <w:jc w:val="center"/>
              <w:rPr>
                <w:rFonts w:hint="eastAsia" w:ascii="宋体" w:hAnsi="宋体" w:eastAsia="宋体" w:cs="宋体"/>
                <w:sz w:val="22"/>
                <w:szCs w:val="22"/>
                <w:highlight w:val="none"/>
              </w:rPr>
            </w:pPr>
          </w:p>
        </w:tc>
      </w:tr>
    </w:tbl>
    <w:p w14:paraId="471329A3">
      <w:pPr>
        <w:pStyle w:val="20"/>
        <w:snapToGrid w:val="0"/>
        <w:spacing w:line="360" w:lineRule="auto"/>
        <w:ind w:firstLine="440" w:firstLineChars="200"/>
        <w:rPr>
          <w:rFonts w:hint="eastAsia" w:hAnsi="宋体" w:cs="宋体"/>
          <w:sz w:val="22"/>
          <w:szCs w:val="22"/>
          <w:highlight w:val="none"/>
        </w:rPr>
      </w:pPr>
      <w:r>
        <w:rPr>
          <w:rFonts w:hint="eastAsia" w:hAnsi="宋体" w:cs="宋体"/>
          <w:sz w:val="22"/>
          <w:szCs w:val="22"/>
          <w:highlight w:val="none"/>
        </w:rPr>
        <w:t>合同总价是指乙方在正确地完全履行合同义务后合同甲方应支付给中标供应商所有的价款，即完成上述范围工作任务所发生的一切费用（应包括但不限于设计、制造、货物款、质保期内所需耗材、专用工具、包装、运输装卸就位、安装、调试、试运行、保险、验收、交付使用、技术服务、培训、售后服务、质保期保障、采购代理服务费、税金、利润等及完成合同所需的一切本身和不可或缺的所有工作开支、政策性文件规定及合同包含的所有风险、责任等各项全部费用，并承担一切风险责任。）</w:t>
      </w:r>
    </w:p>
    <w:p w14:paraId="1EF34F0C">
      <w:pPr>
        <w:pStyle w:val="20"/>
        <w:snapToGrid w:val="0"/>
        <w:spacing w:line="360" w:lineRule="auto"/>
        <w:rPr>
          <w:rFonts w:hint="eastAsia" w:hAnsi="宋体" w:cs="宋体"/>
          <w:b/>
          <w:bCs/>
          <w:sz w:val="22"/>
          <w:szCs w:val="22"/>
          <w:highlight w:val="none"/>
        </w:rPr>
      </w:pPr>
      <w:r>
        <w:rPr>
          <w:rFonts w:hint="eastAsia" w:hAnsi="宋体" w:cs="宋体"/>
          <w:b/>
          <w:bCs/>
          <w:sz w:val="22"/>
          <w:szCs w:val="22"/>
          <w:highlight w:val="none"/>
        </w:rPr>
        <w:t>第二条：质量标准和要求</w:t>
      </w:r>
    </w:p>
    <w:p w14:paraId="6D2AC4EE">
      <w:pPr>
        <w:pStyle w:val="20"/>
        <w:snapToGrid w:val="0"/>
        <w:spacing w:line="360" w:lineRule="auto"/>
        <w:ind w:firstLine="440" w:firstLineChars="200"/>
        <w:rPr>
          <w:rFonts w:hint="eastAsia" w:hAnsi="宋体" w:cs="宋体"/>
          <w:sz w:val="22"/>
          <w:szCs w:val="22"/>
          <w:highlight w:val="none"/>
        </w:rPr>
      </w:pPr>
      <w:r>
        <w:rPr>
          <w:rFonts w:hint="eastAsia" w:hAnsi="宋体" w:cs="宋体"/>
          <w:sz w:val="22"/>
          <w:szCs w:val="22"/>
          <w:highlight w:val="none"/>
        </w:rPr>
        <w:t>1、乙方须按国家有关规定及标准完成本次采购设备的供货、运输、装卸、安装、调试、检验、通过有关部门验收、质保期上门服务、设备终身维修等各项工作，并保证设备使用的安全性能与检测结果的可靠性。货物验收过程中，由于质量不合格或运输等原因所造成的一切费用均由乙方负责。</w:t>
      </w:r>
    </w:p>
    <w:p w14:paraId="3E85AB02">
      <w:pPr>
        <w:pStyle w:val="20"/>
        <w:snapToGrid w:val="0"/>
        <w:spacing w:line="360" w:lineRule="auto"/>
        <w:ind w:firstLine="440" w:firstLineChars="200"/>
        <w:rPr>
          <w:rFonts w:hint="eastAsia" w:hAnsi="宋体" w:cs="宋体"/>
          <w:sz w:val="22"/>
          <w:szCs w:val="22"/>
          <w:highlight w:val="none"/>
        </w:rPr>
      </w:pPr>
      <w:r>
        <w:rPr>
          <w:rFonts w:hint="eastAsia" w:hAnsi="宋体" w:cs="宋体"/>
          <w:sz w:val="22"/>
          <w:szCs w:val="22"/>
          <w:highlight w:val="none"/>
        </w:rPr>
        <w:t>2、乙方所提供的产品必须符合行业的国家标准和我国现行的产品认证制度规定，并满足采购人提出的产品技术要求。</w:t>
      </w:r>
    </w:p>
    <w:p w14:paraId="48E8BB02">
      <w:pPr>
        <w:pStyle w:val="20"/>
        <w:snapToGrid w:val="0"/>
        <w:spacing w:line="360" w:lineRule="auto"/>
        <w:ind w:firstLine="440" w:firstLineChars="200"/>
        <w:rPr>
          <w:rFonts w:hint="eastAsia" w:hAnsi="宋体" w:cs="宋体"/>
          <w:sz w:val="22"/>
          <w:szCs w:val="22"/>
          <w:highlight w:val="none"/>
        </w:rPr>
      </w:pPr>
      <w:r>
        <w:rPr>
          <w:rFonts w:hint="eastAsia" w:hAnsi="宋体" w:cs="宋体"/>
          <w:sz w:val="22"/>
          <w:szCs w:val="22"/>
          <w:highlight w:val="none"/>
        </w:rPr>
        <w:t>3、乙方所提供的货物应保证是全新的和未使用过的且原装合格正品。</w:t>
      </w:r>
    </w:p>
    <w:p w14:paraId="5E026AB6">
      <w:pPr>
        <w:pStyle w:val="20"/>
        <w:snapToGrid w:val="0"/>
        <w:spacing w:line="360" w:lineRule="auto"/>
        <w:ind w:firstLine="440" w:firstLineChars="200"/>
        <w:rPr>
          <w:rFonts w:hint="eastAsia" w:hAnsi="宋体" w:cs="宋体"/>
          <w:sz w:val="22"/>
          <w:szCs w:val="22"/>
          <w:highlight w:val="none"/>
        </w:rPr>
      </w:pPr>
      <w:r>
        <w:rPr>
          <w:rFonts w:hint="eastAsia" w:hAnsi="宋体" w:cs="宋体"/>
          <w:sz w:val="22"/>
          <w:szCs w:val="22"/>
          <w:highlight w:val="none"/>
        </w:rPr>
        <w:t>4、乙方对成交产品使用的安全性能与可靠性负全部责任。</w:t>
      </w:r>
    </w:p>
    <w:p w14:paraId="5F9B099F">
      <w:pPr>
        <w:snapToGrid w:val="0"/>
        <w:spacing w:line="360" w:lineRule="auto"/>
        <w:rPr>
          <w:rFonts w:hint="eastAsia" w:ascii="宋体" w:hAnsi="宋体" w:cs="宋体"/>
          <w:b/>
          <w:bCs/>
          <w:sz w:val="22"/>
          <w:szCs w:val="22"/>
          <w:highlight w:val="none"/>
        </w:rPr>
      </w:pPr>
      <w:r>
        <w:rPr>
          <w:rFonts w:hint="eastAsia" w:ascii="宋体" w:hAnsi="宋体" w:cs="宋体"/>
          <w:b/>
          <w:bCs/>
          <w:sz w:val="22"/>
          <w:szCs w:val="22"/>
          <w:highlight w:val="none"/>
        </w:rPr>
        <w:t>第三条：权利瑕疵担保</w:t>
      </w:r>
    </w:p>
    <w:p w14:paraId="5118DAC5">
      <w:pPr>
        <w:snapToGrid w:val="0"/>
        <w:spacing w:line="360" w:lineRule="auto"/>
        <w:ind w:firstLine="420"/>
        <w:rPr>
          <w:rFonts w:hint="eastAsia" w:ascii="宋体" w:hAnsi="宋体" w:cs="宋体"/>
          <w:sz w:val="22"/>
          <w:szCs w:val="22"/>
          <w:highlight w:val="none"/>
        </w:rPr>
      </w:pPr>
      <w:r>
        <w:rPr>
          <w:rFonts w:hint="eastAsia" w:ascii="宋体" w:hAnsi="宋体" w:cs="宋体"/>
          <w:sz w:val="22"/>
          <w:szCs w:val="22"/>
          <w:highlight w:val="none"/>
        </w:rPr>
        <w:t>1、乙方保证对其出售的货物享有合法的权利。</w:t>
      </w:r>
    </w:p>
    <w:p w14:paraId="6CB758AD">
      <w:pPr>
        <w:snapToGrid w:val="0"/>
        <w:spacing w:line="360" w:lineRule="auto"/>
        <w:ind w:firstLine="420"/>
        <w:rPr>
          <w:rFonts w:hint="eastAsia" w:ascii="宋体" w:hAnsi="宋体" w:cs="宋体"/>
          <w:sz w:val="22"/>
          <w:szCs w:val="22"/>
          <w:highlight w:val="none"/>
        </w:rPr>
      </w:pPr>
      <w:r>
        <w:rPr>
          <w:rFonts w:hint="eastAsia" w:ascii="宋体" w:hAnsi="宋体" w:cs="宋体"/>
          <w:sz w:val="22"/>
          <w:szCs w:val="22"/>
          <w:highlight w:val="none"/>
        </w:rPr>
        <w:t>2、乙方保证在其出售的货物上不存在任何未曾向甲方透露的担保物权，如抵押权、质押权、留置权等。</w:t>
      </w:r>
    </w:p>
    <w:p w14:paraId="6CAF21B9">
      <w:pPr>
        <w:snapToGrid w:val="0"/>
        <w:spacing w:line="360" w:lineRule="auto"/>
        <w:ind w:firstLine="420"/>
        <w:rPr>
          <w:rFonts w:hint="eastAsia" w:ascii="宋体" w:hAnsi="宋体" w:cs="宋体"/>
          <w:sz w:val="22"/>
          <w:szCs w:val="22"/>
          <w:highlight w:val="none"/>
        </w:rPr>
      </w:pPr>
      <w:r>
        <w:rPr>
          <w:rFonts w:hint="eastAsia" w:ascii="宋体" w:hAnsi="宋体" w:cs="宋体"/>
          <w:sz w:val="22"/>
          <w:szCs w:val="22"/>
          <w:highlight w:val="none"/>
        </w:rPr>
        <w:t>3、乙方保证其所出售的货物没有侵犯任何第三人的知识产权和商业秘密等权利。</w:t>
      </w:r>
    </w:p>
    <w:p w14:paraId="7FE64D6F">
      <w:pPr>
        <w:snapToGrid w:val="0"/>
        <w:spacing w:line="360" w:lineRule="auto"/>
        <w:ind w:firstLine="420"/>
        <w:rPr>
          <w:rFonts w:hint="eastAsia" w:ascii="宋体" w:hAnsi="宋体" w:cs="宋体"/>
          <w:sz w:val="22"/>
          <w:szCs w:val="22"/>
          <w:highlight w:val="none"/>
        </w:rPr>
      </w:pPr>
      <w:r>
        <w:rPr>
          <w:rFonts w:hint="eastAsia" w:ascii="宋体" w:hAnsi="宋体" w:cs="宋体"/>
          <w:sz w:val="22"/>
          <w:szCs w:val="22"/>
          <w:highlight w:val="none"/>
        </w:rPr>
        <w:t>4、如甲方使用该货物存在上述权利瑕疵或构成侵权的，则由乙方承担全部责任。</w:t>
      </w:r>
    </w:p>
    <w:p w14:paraId="124C8F93">
      <w:pPr>
        <w:snapToGrid w:val="0"/>
        <w:spacing w:line="360" w:lineRule="auto"/>
        <w:rPr>
          <w:rFonts w:hint="eastAsia" w:ascii="宋体" w:hAnsi="宋体" w:cs="宋体"/>
          <w:b/>
          <w:bCs/>
          <w:sz w:val="22"/>
          <w:szCs w:val="22"/>
          <w:highlight w:val="none"/>
        </w:rPr>
      </w:pPr>
      <w:r>
        <w:rPr>
          <w:rFonts w:hint="eastAsia" w:ascii="宋体" w:hAnsi="宋体" w:cs="宋体"/>
          <w:b/>
          <w:bCs/>
          <w:sz w:val="22"/>
          <w:szCs w:val="22"/>
          <w:highlight w:val="none"/>
        </w:rPr>
        <w:t>第四条：包装要求</w:t>
      </w:r>
    </w:p>
    <w:p w14:paraId="7DAB4FF6">
      <w:pPr>
        <w:snapToGrid w:val="0"/>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1、乙方所出售的全部货物均应按标准保护措施进行包装，这类包装应适应于远距离运输、防潮、防震、防锈和防野蛮装卸等要求，以确保货物安全无损地运抵指定现场。</w:t>
      </w:r>
    </w:p>
    <w:p w14:paraId="298EC037">
      <w:pPr>
        <w:pStyle w:val="20"/>
        <w:snapToGrid w:val="0"/>
        <w:spacing w:line="360" w:lineRule="auto"/>
        <w:ind w:firstLine="440" w:firstLineChars="200"/>
        <w:rPr>
          <w:rFonts w:hint="eastAsia" w:hAnsi="宋体" w:cs="宋体"/>
          <w:sz w:val="22"/>
          <w:szCs w:val="22"/>
          <w:highlight w:val="none"/>
        </w:rPr>
      </w:pPr>
      <w:r>
        <w:rPr>
          <w:rFonts w:hint="eastAsia" w:hAnsi="宋体" w:cs="宋体"/>
          <w:sz w:val="22"/>
          <w:szCs w:val="22"/>
          <w:highlight w:val="none"/>
        </w:rPr>
        <w:t>2、每一个包装箱内应附一份详细装箱单和质量证书。</w:t>
      </w:r>
    </w:p>
    <w:p w14:paraId="2D5291B3">
      <w:pPr>
        <w:snapToGrid w:val="0"/>
        <w:spacing w:line="360" w:lineRule="auto"/>
        <w:rPr>
          <w:rFonts w:hint="eastAsia" w:ascii="宋体" w:hAnsi="宋体" w:cs="宋体"/>
          <w:b/>
          <w:bCs/>
          <w:sz w:val="22"/>
          <w:szCs w:val="22"/>
          <w:highlight w:val="none"/>
        </w:rPr>
      </w:pPr>
      <w:r>
        <w:rPr>
          <w:rFonts w:hint="eastAsia" w:ascii="宋体" w:hAnsi="宋体" w:cs="宋体"/>
          <w:b/>
          <w:bCs/>
          <w:sz w:val="22"/>
          <w:szCs w:val="22"/>
          <w:highlight w:val="none"/>
        </w:rPr>
        <w:t>第五条：交货时间及地点</w:t>
      </w:r>
    </w:p>
    <w:p w14:paraId="4CF1328B">
      <w:pPr>
        <w:pStyle w:val="20"/>
        <w:numPr>
          <w:ilvl w:val="0"/>
          <w:numId w:val="8"/>
        </w:numPr>
        <w:snapToGrid w:val="0"/>
        <w:spacing w:line="360" w:lineRule="auto"/>
        <w:ind w:firstLine="440" w:firstLineChars="200"/>
        <w:rPr>
          <w:rFonts w:hint="eastAsia" w:hAnsi="宋体" w:cs="宋体"/>
          <w:bCs/>
          <w:sz w:val="22"/>
          <w:szCs w:val="22"/>
          <w:highlight w:val="none"/>
        </w:rPr>
      </w:pPr>
      <w:r>
        <w:rPr>
          <w:rFonts w:hint="eastAsia" w:hAnsi="宋体" w:cs="宋体"/>
          <w:bCs/>
          <w:sz w:val="22"/>
          <w:szCs w:val="22"/>
          <w:highlight w:val="none"/>
        </w:rPr>
        <w:t>交货时间：采购人发出通知后</w:t>
      </w:r>
      <w:r>
        <w:rPr>
          <w:rFonts w:hint="eastAsia" w:hAnsi="宋体" w:cs="宋体"/>
          <w:bCs/>
          <w:sz w:val="22"/>
          <w:szCs w:val="22"/>
          <w:highlight w:val="none"/>
          <w:u w:val="single"/>
        </w:rPr>
        <w:t xml:space="preserve">   </w:t>
      </w:r>
      <w:r>
        <w:rPr>
          <w:rFonts w:hint="eastAsia" w:hAnsi="宋体" w:cs="宋体"/>
          <w:bCs/>
          <w:sz w:val="22"/>
          <w:szCs w:val="22"/>
          <w:highlight w:val="none"/>
        </w:rPr>
        <w:t>个日历天内供应商须完成货物的供货、安装、调试。试运行期1个月。</w:t>
      </w:r>
    </w:p>
    <w:p w14:paraId="17686881">
      <w:pPr>
        <w:pStyle w:val="20"/>
        <w:numPr>
          <w:ilvl w:val="0"/>
          <w:numId w:val="8"/>
        </w:numPr>
        <w:snapToGrid w:val="0"/>
        <w:spacing w:line="360" w:lineRule="auto"/>
        <w:ind w:firstLine="440" w:firstLineChars="200"/>
        <w:rPr>
          <w:rFonts w:hint="eastAsia" w:hAnsi="宋体" w:cs="宋体"/>
          <w:bCs/>
          <w:sz w:val="22"/>
          <w:szCs w:val="22"/>
          <w:highlight w:val="none"/>
        </w:rPr>
      </w:pPr>
      <w:r>
        <w:rPr>
          <w:rFonts w:hint="eastAsia" w:hAnsi="宋体" w:cs="宋体"/>
          <w:bCs/>
          <w:sz w:val="22"/>
          <w:szCs w:val="22"/>
          <w:highlight w:val="none"/>
        </w:rPr>
        <w:t>交货地点及方式：由乙方负责将货物运送至甲方指定地点（温州市范围内）</w:t>
      </w:r>
    </w:p>
    <w:p w14:paraId="7C630A6A">
      <w:pPr>
        <w:pStyle w:val="20"/>
        <w:numPr>
          <w:ilvl w:val="0"/>
          <w:numId w:val="8"/>
        </w:numPr>
        <w:snapToGrid w:val="0"/>
        <w:spacing w:line="360" w:lineRule="auto"/>
        <w:ind w:firstLine="440" w:firstLineChars="200"/>
        <w:rPr>
          <w:rFonts w:hint="eastAsia" w:hAnsi="宋体" w:cs="宋体"/>
          <w:bCs/>
          <w:sz w:val="22"/>
          <w:szCs w:val="22"/>
          <w:highlight w:val="none"/>
        </w:rPr>
      </w:pPr>
      <w:r>
        <w:rPr>
          <w:rFonts w:hint="eastAsia" w:hAnsi="宋体" w:cs="宋体"/>
          <w:sz w:val="22"/>
          <w:szCs w:val="22"/>
          <w:highlight w:val="none"/>
        </w:rPr>
        <w:t>乙方将产品送至采购单位指定的地点。无论采用何种运输方式，采取何种包装，产品必须完整安全按时到达交货地点。在运输过程中，需办理道路通行证或夜间运输的由乙方办理并承担费用，在运输途中、卸货中发生人身伤亡事故及货物损坏由乙方承担一切经济损失和法律责任。</w:t>
      </w:r>
    </w:p>
    <w:p w14:paraId="19D65CEC">
      <w:pPr>
        <w:snapToGrid w:val="0"/>
        <w:spacing w:line="360" w:lineRule="auto"/>
        <w:rPr>
          <w:rFonts w:hint="eastAsia" w:ascii="宋体" w:hAnsi="宋体" w:cs="宋体"/>
          <w:b/>
          <w:bCs/>
          <w:sz w:val="22"/>
          <w:szCs w:val="22"/>
          <w:highlight w:val="none"/>
        </w:rPr>
      </w:pPr>
      <w:r>
        <w:rPr>
          <w:rFonts w:hint="eastAsia" w:ascii="宋体" w:hAnsi="宋体" w:cs="宋体"/>
          <w:b/>
          <w:bCs/>
          <w:sz w:val="22"/>
          <w:szCs w:val="22"/>
          <w:highlight w:val="none"/>
        </w:rPr>
        <w:t>第六条：到货、安装</w:t>
      </w:r>
    </w:p>
    <w:p w14:paraId="44AAB3F3">
      <w:pPr>
        <w:snapToGrid w:val="0"/>
        <w:spacing w:line="360" w:lineRule="auto"/>
        <w:ind w:firstLine="440" w:firstLineChars="200"/>
        <w:rPr>
          <w:rFonts w:hint="eastAsia" w:ascii="宋体" w:hAnsi="宋体" w:cs="宋体"/>
          <w:bCs/>
          <w:kern w:val="0"/>
          <w:sz w:val="22"/>
          <w:szCs w:val="22"/>
          <w:highlight w:val="none"/>
        </w:rPr>
      </w:pPr>
      <w:r>
        <w:rPr>
          <w:rFonts w:hint="eastAsia" w:ascii="宋体" w:hAnsi="宋体" w:cs="宋体"/>
          <w:bCs/>
          <w:kern w:val="0"/>
          <w:sz w:val="22"/>
          <w:szCs w:val="22"/>
          <w:highlight w:val="none"/>
        </w:rPr>
        <w:t>1、乙方送货至指定地点后，由甲方对货物进行初步验收，若有缺少或损坏的乙方应负责按照甲方的要求采取补足、更换或退货等处理措施，并承担由此发生的一切费用和损失。</w:t>
      </w:r>
    </w:p>
    <w:p w14:paraId="4A4FBFD7">
      <w:pPr>
        <w:snapToGrid w:val="0"/>
        <w:spacing w:line="360" w:lineRule="auto"/>
        <w:ind w:firstLine="440" w:firstLineChars="200"/>
        <w:rPr>
          <w:rFonts w:hint="eastAsia" w:ascii="宋体" w:hAnsi="宋体" w:cs="宋体"/>
          <w:bCs/>
          <w:kern w:val="0"/>
          <w:sz w:val="22"/>
          <w:szCs w:val="22"/>
          <w:highlight w:val="none"/>
        </w:rPr>
      </w:pPr>
      <w:r>
        <w:rPr>
          <w:rFonts w:hint="eastAsia" w:ascii="宋体" w:hAnsi="宋体" w:cs="宋体"/>
          <w:bCs/>
          <w:kern w:val="0"/>
          <w:sz w:val="22"/>
          <w:szCs w:val="22"/>
          <w:highlight w:val="none"/>
        </w:rPr>
        <w:t>2、货物安装、调试、试运行（试运行1个月后所有功能运行正常）完毕后，如未发现设备质量问题，乙方可申请最终验收。</w:t>
      </w:r>
    </w:p>
    <w:p w14:paraId="452AFA7B">
      <w:pPr>
        <w:snapToGrid w:val="0"/>
        <w:spacing w:line="360" w:lineRule="auto"/>
        <w:ind w:firstLine="440" w:firstLineChars="200"/>
        <w:rPr>
          <w:rFonts w:hint="eastAsia" w:ascii="宋体" w:hAnsi="宋体" w:cs="宋体"/>
          <w:bCs/>
          <w:kern w:val="0"/>
          <w:sz w:val="22"/>
          <w:szCs w:val="22"/>
          <w:highlight w:val="none"/>
        </w:rPr>
      </w:pPr>
      <w:r>
        <w:rPr>
          <w:rFonts w:hint="eastAsia" w:ascii="宋体" w:hAnsi="宋体" w:cs="宋体"/>
          <w:bCs/>
          <w:kern w:val="0"/>
          <w:sz w:val="22"/>
          <w:szCs w:val="22"/>
          <w:highlight w:val="none"/>
        </w:rPr>
        <w:t>3、乙方在所有货物的到货、验收期间应接受甲方的协调和管理，乙方应采取严格的安全措施，承担由于自身原因所造成的事故责任及其发生的一切费用。</w:t>
      </w:r>
    </w:p>
    <w:p w14:paraId="79AC02E2">
      <w:pPr>
        <w:snapToGrid w:val="0"/>
        <w:spacing w:line="360" w:lineRule="auto"/>
        <w:rPr>
          <w:rFonts w:hint="eastAsia" w:ascii="宋体" w:hAnsi="宋体" w:cs="宋体"/>
          <w:b/>
          <w:bCs/>
          <w:sz w:val="22"/>
          <w:szCs w:val="22"/>
          <w:highlight w:val="none"/>
        </w:rPr>
      </w:pPr>
      <w:r>
        <w:rPr>
          <w:rFonts w:hint="eastAsia" w:ascii="宋体" w:hAnsi="宋体" w:cs="宋体"/>
          <w:b/>
          <w:bCs/>
          <w:sz w:val="22"/>
          <w:szCs w:val="22"/>
          <w:highlight w:val="none"/>
        </w:rPr>
        <w:t>第七条：售后服务</w:t>
      </w:r>
    </w:p>
    <w:p w14:paraId="59E17F10">
      <w:pPr>
        <w:snapToGrid w:val="0"/>
        <w:spacing w:line="360" w:lineRule="auto"/>
        <w:ind w:firstLine="663" w:firstLineChars="300"/>
        <w:rPr>
          <w:rFonts w:hint="eastAsia" w:ascii="宋体" w:hAnsi="宋体" w:cs="宋体"/>
          <w:b/>
          <w:sz w:val="22"/>
          <w:szCs w:val="22"/>
          <w:highlight w:val="none"/>
        </w:rPr>
      </w:pPr>
      <w:r>
        <w:rPr>
          <w:rFonts w:hint="eastAsia" w:ascii="宋体" w:hAnsi="宋体" w:cs="宋体"/>
          <w:b/>
          <w:sz w:val="22"/>
          <w:szCs w:val="22"/>
          <w:highlight w:val="none"/>
        </w:rPr>
        <w:t>见甲方采购文件要求和乙方投标文件承诺。(当不一致时以两者中较高服务条款优先)。</w:t>
      </w:r>
    </w:p>
    <w:p w14:paraId="74B07801">
      <w:pPr>
        <w:snapToGrid w:val="0"/>
        <w:spacing w:line="360" w:lineRule="auto"/>
        <w:rPr>
          <w:rFonts w:ascii="宋体" w:hAnsi="宋体" w:cs="宋体"/>
          <w:b/>
          <w:bCs/>
          <w:sz w:val="22"/>
          <w:szCs w:val="22"/>
          <w:highlight w:val="none"/>
        </w:rPr>
      </w:pPr>
      <w:r>
        <w:rPr>
          <w:rFonts w:hint="eastAsia" w:ascii="宋体" w:hAnsi="宋体" w:cs="宋体"/>
          <w:b/>
          <w:bCs/>
          <w:sz w:val="22"/>
          <w:szCs w:val="22"/>
          <w:highlight w:val="none"/>
        </w:rPr>
        <w:t>第八条：合同价款的支付、结算</w:t>
      </w:r>
    </w:p>
    <w:p w14:paraId="68DEC906">
      <w:pPr>
        <w:snapToGrid w:val="0"/>
        <w:spacing w:line="360" w:lineRule="auto"/>
        <w:ind w:firstLine="440" w:firstLineChars="200"/>
        <w:rPr>
          <w:rFonts w:hint="eastAsia" w:ascii="宋体" w:hAnsi="宋体" w:cs="宋体"/>
          <w:bCs/>
          <w:sz w:val="22"/>
          <w:szCs w:val="22"/>
          <w:highlight w:val="none"/>
        </w:rPr>
      </w:pPr>
      <w:r>
        <w:rPr>
          <w:rFonts w:hint="eastAsia" w:ascii="宋体" w:hAnsi="宋体" w:cs="宋体"/>
          <w:bCs/>
          <w:sz w:val="22"/>
          <w:szCs w:val="22"/>
          <w:highlight w:val="none"/>
        </w:rPr>
        <w:t>（一）合同价款的支付：</w:t>
      </w:r>
    </w:p>
    <w:p w14:paraId="67140BC0">
      <w:pPr>
        <w:snapToGrid w:val="0"/>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1、中标供应商在签订合同后5个工作日内须向甲方提交履约担保，履约担保的金额为合同总价的5%；履约担保在质量保证期满后15个工作日内无息退还。</w:t>
      </w:r>
    </w:p>
    <w:p w14:paraId="0759351B">
      <w:pPr>
        <w:snapToGrid w:val="0"/>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2、签订采购合同后15个工作日之内甲方向乙方支付合同总价款的30%，乙方将所有设备安装调试完成，由甲方初验合格后向乙方支付至合同总价款的70%，所有设备试运行1个月，待最终验收合格并办理工程结算（委托第三方审核）后并上交全部资料，甲方支付至工程结算价的100%。</w:t>
      </w:r>
    </w:p>
    <w:p w14:paraId="461D7638">
      <w:pPr>
        <w:snapToGrid w:val="0"/>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3、乙方根据甲方要求提供增值税专用发票。</w:t>
      </w:r>
    </w:p>
    <w:p w14:paraId="618D4484">
      <w:pPr>
        <w:snapToGrid w:val="0"/>
        <w:spacing w:line="360" w:lineRule="auto"/>
        <w:ind w:firstLine="442" w:firstLineChars="200"/>
        <w:rPr>
          <w:rFonts w:ascii="宋体" w:hAnsi="宋体" w:cs="宋体"/>
          <w:b/>
          <w:bCs/>
          <w:sz w:val="22"/>
          <w:szCs w:val="22"/>
          <w:highlight w:val="none"/>
        </w:rPr>
      </w:pPr>
      <w:r>
        <w:rPr>
          <w:rFonts w:hint="eastAsia" w:ascii="宋体" w:hAnsi="宋体" w:cs="宋体"/>
          <w:b/>
          <w:bCs/>
          <w:sz w:val="22"/>
          <w:szCs w:val="22"/>
          <w:highlight w:val="none"/>
        </w:rPr>
        <w:t>（二）合同价款的结算：合同结算价=乙方实际供货且通过甲方验收的货物数量</w:t>
      </w:r>
      <w:r>
        <w:rPr>
          <w:rFonts w:ascii="Arial" w:hAnsi="Arial" w:cs="Arial"/>
          <w:b/>
          <w:bCs/>
          <w:sz w:val="22"/>
          <w:szCs w:val="22"/>
          <w:highlight w:val="none"/>
        </w:rPr>
        <w:t>×合同单价</w:t>
      </w:r>
      <w:r>
        <w:rPr>
          <w:rFonts w:hint="eastAsia" w:ascii="Arial" w:hAnsi="Arial" w:cs="Arial"/>
          <w:b/>
          <w:bCs/>
          <w:sz w:val="22"/>
          <w:szCs w:val="22"/>
          <w:highlight w:val="none"/>
        </w:rPr>
        <w:t>。</w:t>
      </w:r>
    </w:p>
    <w:p w14:paraId="3D053B49">
      <w:pPr>
        <w:snapToGrid w:val="0"/>
        <w:spacing w:line="360" w:lineRule="auto"/>
        <w:rPr>
          <w:rFonts w:hint="eastAsia" w:ascii="宋体" w:hAnsi="宋体" w:cs="宋体"/>
          <w:b/>
          <w:bCs/>
          <w:sz w:val="22"/>
          <w:szCs w:val="22"/>
          <w:highlight w:val="none"/>
        </w:rPr>
      </w:pPr>
      <w:r>
        <w:rPr>
          <w:rFonts w:hint="eastAsia" w:ascii="宋体" w:hAnsi="宋体" w:cs="宋体"/>
          <w:b/>
          <w:bCs/>
          <w:sz w:val="22"/>
          <w:szCs w:val="22"/>
          <w:highlight w:val="none"/>
        </w:rPr>
        <w:t>第九条：验收</w:t>
      </w:r>
    </w:p>
    <w:p w14:paraId="29C637BF">
      <w:pPr>
        <w:snapToGrid w:val="0"/>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1、项目竣工后，乙方必须向使用方提交二套完整的竣工资料。</w:t>
      </w:r>
    </w:p>
    <w:p w14:paraId="00A9E47A">
      <w:pPr>
        <w:snapToGrid w:val="0"/>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2、工程整体完工且通过初验，甲方将会同有关部门、监理单位以及聘请技术顾问进行最终验收。</w:t>
      </w:r>
    </w:p>
    <w:p w14:paraId="7F3E2556">
      <w:pPr>
        <w:snapToGrid w:val="0"/>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3、乙方应在验收中提供用户认可的相应检测手段，验收标准应符合中国有关国家、地方、行业的标准，如若中标，经用户方确认后作为验收的依据。</w:t>
      </w:r>
    </w:p>
    <w:p w14:paraId="17CB7AE6">
      <w:pPr>
        <w:snapToGrid w:val="0"/>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4、系统验收前要通过有资质的第三方检测，费用由中标人支付。</w:t>
      </w:r>
    </w:p>
    <w:p w14:paraId="127DD1FF">
      <w:pPr>
        <w:snapToGrid w:val="0"/>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5、乙方应按有关要求供货，并提供货物质量检验证明文件、设备校准/检定证书、测试方法和验收标准。提供的质量检验证明文件、设备校准/检定证书、测试方法和验收标准经甲方认可后与合同一起作为项目验收标准的组成。</w:t>
      </w:r>
    </w:p>
    <w:p w14:paraId="36163AF4">
      <w:pPr>
        <w:snapToGrid w:val="0"/>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6、中标供应商将所有货物运抵安装地点后，由甲方按照装箱列表单、采购文件要求、投标文件等进行现场开箱初验。甲方应对所购产品外观和基本使用功能等进行认真检查、确认。如对外观有异议，应当场向乙方提出。若因乙方制造工艺、质量问题等导致验收不合格，乙方应及时予以处理，直至验收合格，期间发生的一切费用由乙方承担，甲方保留向乙方索赔的权利。</w:t>
      </w:r>
    </w:p>
    <w:p w14:paraId="24C2705F">
      <w:pPr>
        <w:snapToGrid w:val="0"/>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7、具体验收要求和标准：根据《温州市市属国有企业采购管理办法》及温州市等有关规定由甲方组织验收。</w:t>
      </w:r>
    </w:p>
    <w:p w14:paraId="1502AC3B">
      <w:pPr>
        <w:widowControl/>
        <w:autoSpaceDE w:val="0"/>
        <w:autoSpaceDN w:val="0"/>
        <w:adjustRightInd w:val="0"/>
        <w:spacing w:line="360" w:lineRule="auto"/>
        <w:textAlignment w:val="bottom"/>
        <w:rPr>
          <w:rFonts w:hint="eastAsia" w:ascii="宋体" w:hAnsi="宋体" w:cs="宋体"/>
          <w:b/>
          <w:bCs/>
          <w:sz w:val="22"/>
          <w:szCs w:val="22"/>
          <w:highlight w:val="none"/>
        </w:rPr>
      </w:pPr>
      <w:r>
        <w:rPr>
          <w:rFonts w:hint="eastAsia" w:ascii="宋体" w:hAnsi="宋体" w:cs="宋体"/>
          <w:b/>
          <w:bCs/>
          <w:sz w:val="22"/>
          <w:szCs w:val="22"/>
          <w:highlight w:val="none"/>
        </w:rPr>
        <w:t xml:space="preserve"> 第十条：辅助服务</w:t>
      </w:r>
    </w:p>
    <w:p w14:paraId="0ABB3F9A">
      <w:pPr>
        <w:snapToGrid w:val="0"/>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乙方应提交所提供货物的技术文件，包括相应的每一套设备的中文技术文件，例如：产品目录、使用说明、维护手册和/或服务指南。这些文件应包装好随同货物一起发运。</w:t>
      </w:r>
    </w:p>
    <w:p w14:paraId="60042AE6">
      <w:pPr>
        <w:snapToGrid w:val="0"/>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乙方还应提供下列服务：</w:t>
      </w:r>
    </w:p>
    <w:p w14:paraId="699BEFE2">
      <w:pPr>
        <w:snapToGrid w:val="0"/>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（1）货物的现场安装、调试、试运行及技术支持；</w:t>
      </w:r>
    </w:p>
    <w:p w14:paraId="389DBA8B">
      <w:pPr>
        <w:snapToGrid w:val="0"/>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2）在项目现场就货物的安装、启动、运营、维护及对甲方操作人员进行培训，后续解答甲方的技术咨询。免费提供操作培训服务，并提供详细的培训计划及方案。投标供应商提供培训场所与设备进行本地化培训，培训内容应包括产品使用，维护管理等，并提供培训手册。乙方提供的培训次数不少于2次，培训期间乙方人员产生的相关费用自行支付。</w:t>
      </w:r>
    </w:p>
    <w:p w14:paraId="30B0EF01">
      <w:pPr>
        <w:snapToGrid w:val="0"/>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（3）辅助服务的费用包含在合同价中，甲方不再另行支付。</w:t>
      </w:r>
    </w:p>
    <w:p w14:paraId="44B4C2B4">
      <w:pPr>
        <w:pStyle w:val="20"/>
        <w:snapToGrid w:val="0"/>
        <w:spacing w:line="360" w:lineRule="auto"/>
        <w:rPr>
          <w:rFonts w:hint="eastAsia" w:hAnsi="宋体" w:cs="宋体"/>
          <w:b/>
          <w:bCs/>
          <w:sz w:val="22"/>
          <w:szCs w:val="22"/>
          <w:highlight w:val="none"/>
        </w:rPr>
      </w:pPr>
      <w:r>
        <w:rPr>
          <w:rFonts w:hint="eastAsia" w:hAnsi="宋体" w:cs="宋体"/>
          <w:b/>
          <w:bCs/>
          <w:sz w:val="22"/>
          <w:szCs w:val="22"/>
          <w:highlight w:val="none"/>
        </w:rPr>
        <w:t>第十一条：质量保证</w:t>
      </w:r>
    </w:p>
    <w:p w14:paraId="74091958">
      <w:pPr>
        <w:snapToGrid w:val="0"/>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质量保证期：本项目所有产品的免费质保期为</w:t>
      </w:r>
      <w:r>
        <w:rPr>
          <w:rFonts w:hint="eastAsia" w:ascii="宋体" w:hAnsi="宋体" w:cs="宋体"/>
          <w:sz w:val="22"/>
          <w:szCs w:val="22"/>
          <w:highlight w:val="none"/>
          <w:u w:val="single"/>
        </w:rPr>
        <w:t xml:space="preserve">    </w:t>
      </w:r>
      <w:r>
        <w:rPr>
          <w:rFonts w:hint="eastAsia" w:ascii="宋体" w:hAnsi="宋体" w:cs="宋体"/>
          <w:sz w:val="22"/>
          <w:szCs w:val="22"/>
          <w:highlight w:val="none"/>
        </w:rPr>
        <w:t>年（含系统维护），自最终验收合格次日起计算。若货物另有高于合同约定的质保期期限或卖方投标文件另有承诺的按就高原则执行。</w:t>
      </w:r>
    </w:p>
    <w:p w14:paraId="3F7A3856">
      <w:pPr>
        <w:snapToGrid w:val="0"/>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在质量保证期内，如果货物的质量或规格与合同不符，或证实货物是有缺陷的，包括潜在的缺陷或使用不符合要求的材料等，甲方可以根据本合同第十二条规定以书面形式向乙方提出补救措施或索赔。</w:t>
      </w:r>
    </w:p>
    <w:p w14:paraId="55FC0D56">
      <w:pPr>
        <w:snapToGrid w:val="0"/>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乙方在约定的时间内未能弥补缺陷，甲方可采取必要的补救措施，但其风险和费用将由乙方承担，甲方根据合同规定对乙方行使的其他权利不受影响。</w:t>
      </w:r>
    </w:p>
    <w:p w14:paraId="76417D1A">
      <w:pPr>
        <w:snapToGrid w:val="0"/>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甲方验收合格不免除乙方对货物的质量保证责任。</w:t>
      </w:r>
    </w:p>
    <w:p w14:paraId="711F0017">
      <w:pPr>
        <w:snapToGrid w:val="0"/>
        <w:spacing w:line="360" w:lineRule="auto"/>
        <w:rPr>
          <w:rFonts w:hint="eastAsia" w:ascii="宋体" w:hAnsi="宋体" w:cs="宋体"/>
          <w:b/>
          <w:bCs/>
          <w:sz w:val="22"/>
          <w:szCs w:val="22"/>
          <w:highlight w:val="none"/>
        </w:rPr>
      </w:pPr>
      <w:r>
        <w:rPr>
          <w:rFonts w:hint="eastAsia" w:ascii="宋体" w:hAnsi="宋体" w:cs="宋体"/>
          <w:b/>
          <w:bCs/>
          <w:sz w:val="22"/>
          <w:szCs w:val="22"/>
          <w:highlight w:val="none"/>
        </w:rPr>
        <w:t>第十二条：补救措施和索赔</w:t>
      </w:r>
    </w:p>
    <w:p w14:paraId="581E9C49">
      <w:pPr>
        <w:snapToGrid w:val="0"/>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1、甲方有权根据权威质量检测部门出具的检验报告向乙方提出索赔。</w:t>
      </w:r>
    </w:p>
    <w:p w14:paraId="54D4A9A9">
      <w:pPr>
        <w:snapToGrid w:val="0"/>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2、在质量保证期内，因乙方产品存在缺陷的，甲方有权按照下列一种或多种方式要求乙方承担违约责任，并同时有权收取乙方合同总价10%作为违约金，乙方同意无条件接受：</w:t>
      </w:r>
    </w:p>
    <w:p w14:paraId="6C6EED32">
      <w:pPr>
        <w:snapToGrid w:val="0"/>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（1）甲方退还货物，乙方退还货款，由此发生的一切费用和损失由乙方承担。</w:t>
      </w:r>
    </w:p>
    <w:p w14:paraId="52B0A753">
      <w:pPr>
        <w:snapToGrid w:val="0"/>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（2）根据货物的质量状况以及甲方所遭受的损失，经过甲乙双方商定降低货物的价格，协商（协商期限为发生该事件后7个工作日内）不成的，按上述第（1）项处理。</w:t>
      </w:r>
    </w:p>
    <w:p w14:paraId="3D0EEE05">
      <w:pPr>
        <w:snapToGrid w:val="0"/>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3）甲方通知乙方采用符合合同规定的规格、质量和性能要求的新零件、部件和设备来更换有缺陷的部分或修补缺陷部分，乙方自收到通知之日起7日内更换或修补完成，相应产生的费用由乙方承担。同时，乙方应在约定的质量保证期基础上相应延长修补和/或更换件的质量保证期。若乙方在7天内未完成的，甲方有权直接按上述第（1）项处理。</w:t>
      </w:r>
    </w:p>
    <w:p w14:paraId="617456BA">
      <w:pPr>
        <w:snapToGrid w:val="0"/>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甲方在采取以上一种或多种方式时，有权从应付货款中扣除索赔金额，如不足以弥补甲方损失的，甲方有权进一步要求乙方赔偿。</w:t>
      </w:r>
    </w:p>
    <w:p w14:paraId="4639440F">
      <w:pPr>
        <w:snapToGrid w:val="0"/>
        <w:spacing w:line="360" w:lineRule="auto"/>
        <w:rPr>
          <w:rFonts w:hint="eastAsia" w:ascii="宋体" w:hAnsi="宋体" w:cs="宋体"/>
          <w:b/>
          <w:bCs/>
          <w:sz w:val="22"/>
          <w:szCs w:val="22"/>
          <w:highlight w:val="none"/>
        </w:rPr>
      </w:pPr>
      <w:r>
        <w:rPr>
          <w:rFonts w:hint="eastAsia" w:ascii="宋体" w:hAnsi="宋体" w:cs="宋体"/>
          <w:b/>
          <w:bCs/>
          <w:sz w:val="22"/>
          <w:szCs w:val="22"/>
          <w:highlight w:val="none"/>
        </w:rPr>
        <w:t>第十三条：履约延误</w:t>
      </w:r>
    </w:p>
    <w:p w14:paraId="773315D5">
      <w:pPr>
        <w:snapToGrid w:val="0"/>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1、乙方应按照《合同》规定的时间、地点交货和提供服务。</w:t>
      </w:r>
    </w:p>
    <w:p w14:paraId="47B555B4">
      <w:pPr>
        <w:snapToGrid w:val="0"/>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2、在履行《合同》过程中，如果乙方可能遇到妨碍按时交货和提供服务的情况时，应及时将拖延的事实、可能拖延的期限和理由通知甲方。甲方在收到乙方通知后，应尽快对情况进行评价，并确定是否同意延长交货时间或延期提供服务。</w:t>
      </w:r>
    </w:p>
    <w:p w14:paraId="7F251E33">
      <w:pPr>
        <w:snapToGrid w:val="0"/>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3、如乙方在规定时间内无法交货，将处于每逾期一天，按合同总价的0.5%罚款。逾期的违约赔偿最高限度为合同总价的5%，如违约金达到最高限额时乙方仍不能交货，甲方可终止合同。</w:t>
      </w:r>
    </w:p>
    <w:p w14:paraId="39AF2E5D">
      <w:pPr>
        <w:snapToGrid w:val="0"/>
        <w:spacing w:line="360" w:lineRule="auto"/>
        <w:rPr>
          <w:rFonts w:hint="eastAsia" w:ascii="宋体" w:hAnsi="宋体" w:cs="宋体"/>
          <w:b/>
          <w:bCs/>
          <w:sz w:val="22"/>
          <w:szCs w:val="22"/>
          <w:highlight w:val="none"/>
        </w:rPr>
      </w:pPr>
      <w:r>
        <w:rPr>
          <w:rFonts w:hint="eastAsia" w:ascii="宋体" w:hAnsi="宋体" w:cs="宋体"/>
          <w:b/>
          <w:bCs/>
          <w:sz w:val="22"/>
          <w:szCs w:val="22"/>
          <w:highlight w:val="none"/>
        </w:rPr>
        <w:t>第十四条：不可抗力</w:t>
      </w:r>
    </w:p>
    <w:p w14:paraId="63D3FB30">
      <w:pPr>
        <w:snapToGrid w:val="0"/>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1、如果合同各方因不可抗力而导致合同实施延误或不能履行合同义务的话，不应该承担误期赔偿或不能履行合同义务的责任。</w:t>
      </w:r>
    </w:p>
    <w:p w14:paraId="56A1DA35">
      <w:pPr>
        <w:snapToGrid w:val="0"/>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2、本条所述的“不可抗力”系指那些双方不可预见、不可避免、不可克服的事件，但不包括双方的违约或疏忽。这些事件包括但不限于：战争、严重火灾、洪水、台风、地震、国家政策的重大变化，以及双方商定的其他事件。</w:t>
      </w:r>
    </w:p>
    <w:p w14:paraId="065911F3">
      <w:pPr>
        <w:snapToGrid w:val="0"/>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3、在不可抗力事件发生后，当事方应尽快以书面形式将不可抗力的情况和原因通知对方。合同各方应尽可能继续履行合同义务，并积极寻求采取合理的措施履行不受不可抗力影响的其他事项。合同各方应通过友好协商在合理的时间内达成进一步履行合同。</w:t>
      </w:r>
    </w:p>
    <w:p w14:paraId="1414D81D">
      <w:pPr>
        <w:pStyle w:val="20"/>
        <w:snapToGrid w:val="0"/>
        <w:spacing w:line="360" w:lineRule="auto"/>
        <w:rPr>
          <w:rFonts w:hint="eastAsia" w:hAnsi="宋体" w:cs="宋体"/>
          <w:b/>
          <w:bCs/>
          <w:sz w:val="22"/>
          <w:szCs w:val="22"/>
          <w:highlight w:val="none"/>
        </w:rPr>
      </w:pPr>
      <w:r>
        <w:rPr>
          <w:rFonts w:hint="eastAsia" w:hAnsi="宋体" w:cs="宋体"/>
          <w:b/>
          <w:bCs/>
          <w:sz w:val="22"/>
          <w:szCs w:val="22"/>
          <w:highlight w:val="none"/>
        </w:rPr>
        <w:t>第十五条：争议的解决</w:t>
      </w:r>
    </w:p>
    <w:p w14:paraId="2B256B74">
      <w:pPr>
        <w:pStyle w:val="20"/>
        <w:snapToGrid w:val="0"/>
        <w:spacing w:line="360" w:lineRule="auto"/>
        <w:ind w:firstLine="440" w:firstLineChars="200"/>
        <w:rPr>
          <w:rFonts w:hint="eastAsia" w:hAnsi="宋体" w:cs="宋体"/>
          <w:sz w:val="22"/>
          <w:szCs w:val="22"/>
          <w:highlight w:val="none"/>
        </w:rPr>
      </w:pPr>
      <w:r>
        <w:rPr>
          <w:rFonts w:hint="eastAsia" w:hAnsi="宋体" w:cs="宋体"/>
          <w:sz w:val="22"/>
          <w:szCs w:val="22"/>
          <w:highlight w:val="none"/>
        </w:rPr>
        <w:t>在发生所供商品的质量、售后服务等问题时，甲方有权直接向乙方索赔，签订必要的书面处理合同。协商不能解决的，任何一方有权在</w:t>
      </w:r>
      <w:r>
        <w:rPr>
          <w:rFonts w:hint="eastAsia" w:hAnsi="宋体" w:cs="宋体"/>
          <w:sz w:val="22"/>
          <w:szCs w:val="22"/>
          <w:highlight w:val="none"/>
          <w:u w:val="single"/>
        </w:rPr>
        <w:t>甲方所在地人民法院起诉</w:t>
      </w:r>
      <w:r>
        <w:rPr>
          <w:rFonts w:hint="eastAsia" w:hAnsi="宋体" w:cs="宋体"/>
          <w:sz w:val="22"/>
          <w:szCs w:val="22"/>
          <w:highlight w:val="none"/>
        </w:rPr>
        <w:t>的途径解决。</w:t>
      </w:r>
    </w:p>
    <w:p w14:paraId="5929677B">
      <w:pPr>
        <w:snapToGrid w:val="0"/>
        <w:spacing w:line="360" w:lineRule="auto"/>
        <w:rPr>
          <w:rFonts w:hint="eastAsia" w:ascii="宋体" w:hAnsi="宋体" w:cs="宋体"/>
          <w:b/>
          <w:bCs/>
          <w:sz w:val="22"/>
          <w:szCs w:val="22"/>
          <w:highlight w:val="none"/>
        </w:rPr>
      </w:pPr>
      <w:r>
        <w:rPr>
          <w:rFonts w:hint="eastAsia" w:ascii="宋体" w:hAnsi="宋体" w:cs="宋体"/>
          <w:b/>
          <w:bCs/>
          <w:sz w:val="22"/>
          <w:szCs w:val="22"/>
          <w:highlight w:val="none"/>
        </w:rPr>
        <w:t>第十六条：违约处理</w:t>
      </w:r>
    </w:p>
    <w:p w14:paraId="4B370563">
      <w:pPr>
        <w:numPr>
          <w:ilvl w:val="0"/>
          <w:numId w:val="9"/>
        </w:numPr>
        <w:snapToGrid w:val="0"/>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由于乙方发生违约事件，未能及时采取补救措施的（或采取补救措施后仍无法补救的），甲方有权出解除部分或全部合同。</w:t>
      </w:r>
    </w:p>
    <w:p w14:paraId="5B9723F9">
      <w:pPr>
        <w:numPr>
          <w:ilvl w:val="0"/>
          <w:numId w:val="9"/>
        </w:numPr>
        <w:snapToGrid w:val="0"/>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若由于乙方原因导致终止了全部或部分合同，甲方可以依其认为适当的条件和方法购买与</w:t>
      </w:r>
    </w:p>
    <w:p w14:paraId="3BF3DD68">
      <w:pPr>
        <w:snapToGrid w:val="0"/>
        <w:spacing w:line="360" w:lineRule="auto"/>
        <w:rPr>
          <w:rFonts w:hint="eastAsia" w:ascii="宋体" w:hAnsi="宋体" w:cs="宋体"/>
          <w:sz w:val="22"/>
          <w:szCs w:val="22"/>
          <w:highlight w:val="none"/>
        </w:rPr>
      </w:pPr>
      <w:r>
        <w:rPr>
          <w:rFonts w:hint="eastAsia" w:ascii="宋体" w:hAnsi="宋体" w:cs="宋体"/>
          <w:sz w:val="22"/>
          <w:szCs w:val="22"/>
          <w:highlight w:val="none"/>
        </w:rPr>
        <w:t>本合同约定货物类似的货物，甲方购买类似货物所超出的那部分费用由乙方承担。但是，乙方应继续执行合同中未终止的部分。</w:t>
      </w:r>
    </w:p>
    <w:p w14:paraId="4EF6656C">
      <w:pPr>
        <w:snapToGrid w:val="0"/>
        <w:spacing w:line="360" w:lineRule="auto"/>
        <w:rPr>
          <w:rFonts w:hint="eastAsia" w:ascii="宋体" w:hAnsi="宋体" w:cs="宋体"/>
          <w:b/>
          <w:bCs/>
          <w:sz w:val="22"/>
          <w:szCs w:val="22"/>
          <w:highlight w:val="none"/>
        </w:rPr>
      </w:pPr>
      <w:r>
        <w:rPr>
          <w:rFonts w:hint="eastAsia" w:ascii="宋体" w:hAnsi="宋体" w:cs="宋体"/>
          <w:b/>
          <w:bCs/>
          <w:sz w:val="22"/>
          <w:szCs w:val="22"/>
          <w:highlight w:val="none"/>
        </w:rPr>
        <w:t>第十七条：合同转让和分包</w:t>
      </w:r>
    </w:p>
    <w:p w14:paraId="51F0E009">
      <w:pPr>
        <w:snapToGrid w:val="0"/>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除甲方事先书面同意外，乙方不得转让和分包其应履行的合同义务。</w:t>
      </w:r>
    </w:p>
    <w:p w14:paraId="0D716382">
      <w:pPr>
        <w:snapToGrid w:val="0"/>
        <w:spacing w:line="360" w:lineRule="auto"/>
        <w:rPr>
          <w:rFonts w:hint="eastAsia" w:ascii="宋体" w:hAnsi="宋体" w:cs="宋体"/>
          <w:b/>
          <w:bCs/>
          <w:sz w:val="22"/>
          <w:szCs w:val="22"/>
          <w:highlight w:val="none"/>
        </w:rPr>
      </w:pPr>
      <w:r>
        <w:rPr>
          <w:rFonts w:hint="eastAsia" w:ascii="宋体" w:hAnsi="宋体" w:cs="宋体"/>
          <w:b/>
          <w:bCs/>
          <w:sz w:val="22"/>
          <w:szCs w:val="22"/>
          <w:highlight w:val="none"/>
        </w:rPr>
        <w:t>第十八条：合同文件</w:t>
      </w:r>
    </w:p>
    <w:p w14:paraId="29BA7669">
      <w:pPr>
        <w:snapToGrid w:val="0"/>
        <w:spacing w:line="360" w:lineRule="auto"/>
        <w:ind w:firstLine="330" w:firstLineChars="150"/>
        <w:rPr>
          <w:rFonts w:hint="eastAsia" w:ascii="宋体" w:hAnsi="宋体" w:cs="宋体"/>
          <w:sz w:val="22"/>
          <w:szCs w:val="22"/>
          <w:highlight w:val="none"/>
        </w:rPr>
      </w:pPr>
      <w:r>
        <w:rPr>
          <w:rFonts w:hint="eastAsia" w:ascii="宋体" w:hAnsi="宋体" w:cs="宋体"/>
          <w:sz w:val="22"/>
          <w:szCs w:val="22"/>
          <w:highlight w:val="none"/>
        </w:rPr>
        <w:t>下列文件构成本合同的组成部分：</w:t>
      </w:r>
    </w:p>
    <w:p w14:paraId="6065D636">
      <w:pPr>
        <w:snapToGrid w:val="0"/>
        <w:spacing w:line="360" w:lineRule="auto"/>
        <w:ind w:firstLine="330" w:firstLineChars="150"/>
        <w:rPr>
          <w:rFonts w:hint="eastAsia" w:ascii="宋体" w:hAnsi="宋体" w:cs="宋体"/>
          <w:sz w:val="22"/>
          <w:szCs w:val="22"/>
          <w:highlight w:val="none"/>
        </w:rPr>
      </w:pPr>
      <w:r>
        <w:rPr>
          <w:rFonts w:hint="eastAsia" w:ascii="宋体" w:hAnsi="宋体" w:cs="宋体"/>
          <w:sz w:val="22"/>
          <w:szCs w:val="22"/>
          <w:highlight w:val="none"/>
        </w:rPr>
        <w:t>（1）补充协议（如有）；</w:t>
      </w:r>
    </w:p>
    <w:p w14:paraId="7B94B295">
      <w:pPr>
        <w:snapToGrid w:val="0"/>
        <w:spacing w:line="360" w:lineRule="auto"/>
        <w:ind w:firstLine="330" w:firstLineChars="150"/>
        <w:rPr>
          <w:rFonts w:hint="eastAsia" w:ascii="宋体" w:hAnsi="宋体" w:cs="宋体"/>
          <w:sz w:val="22"/>
          <w:szCs w:val="22"/>
          <w:highlight w:val="none"/>
        </w:rPr>
      </w:pPr>
      <w:r>
        <w:rPr>
          <w:rFonts w:hint="eastAsia" w:ascii="宋体" w:hAnsi="宋体" w:cs="宋体"/>
          <w:sz w:val="22"/>
          <w:szCs w:val="22"/>
          <w:highlight w:val="none"/>
        </w:rPr>
        <w:t>（2）合同</w:t>
      </w:r>
    </w:p>
    <w:p w14:paraId="380B6CD7">
      <w:pPr>
        <w:snapToGrid w:val="0"/>
        <w:spacing w:line="360" w:lineRule="auto"/>
        <w:ind w:firstLine="330" w:firstLineChars="150"/>
        <w:rPr>
          <w:rFonts w:hint="eastAsia" w:ascii="宋体" w:hAnsi="宋体" w:cs="宋体"/>
          <w:sz w:val="22"/>
          <w:szCs w:val="22"/>
          <w:highlight w:val="none"/>
        </w:rPr>
      </w:pPr>
      <w:r>
        <w:rPr>
          <w:rFonts w:hint="eastAsia" w:ascii="宋体" w:hAnsi="宋体" w:cs="宋体"/>
          <w:sz w:val="22"/>
          <w:szCs w:val="22"/>
          <w:highlight w:val="none"/>
        </w:rPr>
        <w:t>（3）中标（成交）通知书；</w:t>
      </w:r>
    </w:p>
    <w:p w14:paraId="77DE717C">
      <w:pPr>
        <w:snapToGrid w:val="0"/>
        <w:spacing w:line="360" w:lineRule="auto"/>
        <w:ind w:firstLine="330" w:firstLineChars="150"/>
        <w:rPr>
          <w:rFonts w:hint="eastAsia" w:ascii="宋体" w:hAnsi="宋体" w:cs="宋体"/>
          <w:sz w:val="22"/>
          <w:szCs w:val="22"/>
          <w:highlight w:val="none"/>
        </w:rPr>
      </w:pPr>
      <w:r>
        <w:rPr>
          <w:rFonts w:hint="eastAsia" w:ascii="宋体" w:hAnsi="宋体" w:cs="宋体"/>
          <w:sz w:val="22"/>
          <w:szCs w:val="22"/>
          <w:highlight w:val="none"/>
        </w:rPr>
        <w:t xml:space="preserve">（4）采购文件；             </w:t>
      </w:r>
    </w:p>
    <w:p w14:paraId="1AB2322B">
      <w:pPr>
        <w:snapToGrid w:val="0"/>
        <w:spacing w:line="360" w:lineRule="auto"/>
        <w:ind w:firstLine="330" w:firstLineChars="150"/>
        <w:rPr>
          <w:rFonts w:hint="eastAsia" w:ascii="宋体" w:hAnsi="宋体" w:cs="宋体"/>
          <w:sz w:val="22"/>
          <w:szCs w:val="22"/>
          <w:highlight w:val="none"/>
        </w:rPr>
      </w:pPr>
      <w:r>
        <w:rPr>
          <w:rFonts w:hint="eastAsia" w:ascii="宋体" w:hAnsi="宋体" w:cs="宋体"/>
          <w:sz w:val="22"/>
          <w:szCs w:val="22"/>
          <w:highlight w:val="none"/>
        </w:rPr>
        <w:t>（5）投标文件；</w:t>
      </w:r>
    </w:p>
    <w:p w14:paraId="6F337A6B">
      <w:pPr>
        <w:snapToGrid w:val="0"/>
        <w:spacing w:line="360" w:lineRule="auto"/>
        <w:ind w:firstLine="330" w:firstLineChars="150"/>
        <w:rPr>
          <w:rFonts w:hint="eastAsia" w:ascii="宋体" w:hAnsi="宋体" w:cs="宋体"/>
          <w:sz w:val="22"/>
          <w:szCs w:val="22"/>
          <w:highlight w:val="none"/>
        </w:rPr>
      </w:pPr>
      <w:r>
        <w:rPr>
          <w:rFonts w:hint="eastAsia" w:ascii="宋体" w:hAnsi="宋体" w:cs="宋体"/>
          <w:sz w:val="22"/>
          <w:szCs w:val="22"/>
          <w:highlight w:val="none"/>
        </w:rPr>
        <w:t>（6）其他合同文件。</w:t>
      </w:r>
    </w:p>
    <w:p w14:paraId="7D6D7285">
      <w:pPr>
        <w:snapToGrid w:val="0"/>
        <w:spacing w:line="360" w:lineRule="auto"/>
        <w:ind w:firstLine="330" w:firstLineChars="150"/>
        <w:rPr>
          <w:rFonts w:ascii="宋体" w:hAnsi="宋体" w:cs="宋体"/>
          <w:sz w:val="22"/>
          <w:szCs w:val="22"/>
          <w:highlight w:val="none"/>
        </w:rPr>
      </w:pPr>
      <w:r>
        <w:rPr>
          <w:rFonts w:hint="eastAsia" w:ascii="宋体" w:hAnsi="宋体" w:cs="宋体"/>
          <w:sz w:val="22"/>
          <w:szCs w:val="22"/>
          <w:highlight w:val="none"/>
        </w:rPr>
        <w:t>注：若投标文件中乙方承诺的标准高于采购文件要求的，则以投标文件中相关条款为准。</w:t>
      </w:r>
    </w:p>
    <w:p w14:paraId="651F6C09">
      <w:pPr>
        <w:snapToGrid w:val="0"/>
        <w:spacing w:line="360" w:lineRule="auto"/>
        <w:ind w:firstLine="330" w:firstLineChars="150"/>
        <w:rPr>
          <w:rFonts w:hint="eastAsia" w:ascii="宋体" w:hAnsi="宋体" w:cs="宋体"/>
          <w:sz w:val="22"/>
          <w:szCs w:val="22"/>
          <w:highlight w:val="none"/>
        </w:rPr>
      </w:pPr>
      <w:r>
        <w:rPr>
          <w:rFonts w:hint="eastAsia" w:ascii="宋体" w:hAnsi="宋体" w:cs="宋体"/>
          <w:sz w:val="22"/>
          <w:szCs w:val="22"/>
          <w:highlight w:val="none"/>
        </w:rPr>
        <w:t>在合同订立及履行过程中形成的与合同有关的文件均构成合同文件组成部分。</w:t>
      </w:r>
    </w:p>
    <w:p w14:paraId="6FC7C130">
      <w:pPr>
        <w:snapToGrid w:val="0"/>
        <w:spacing w:line="360" w:lineRule="auto"/>
        <w:ind w:firstLine="330" w:firstLineChars="150"/>
        <w:rPr>
          <w:rFonts w:hint="eastAsia" w:ascii="宋体" w:hAnsi="宋体" w:cs="宋体"/>
          <w:sz w:val="22"/>
          <w:szCs w:val="22"/>
          <w:highlight w:val="none"/>
        </w:rPr>
      </w:pPr>
      <w:r>
        <w:rPr>
          <w:rFonts w:hint="eastAsia" w:ascii="宋体" w:hAnsi="宋体" w:cs="宋体"/>
          <w:sz w:val="22"/>
          <w:szCs w:val="22"/>
          <w:highlight w:val="none"/>
        </w:rPr>
        <w:t>上述文件相互补充和解释，如有不明确或不一致之处，以上述次序在先者为准；双方关于合同内容的会议纪要等书面文本视为本合同的组成部分。合同签订后，双方签订的补充协议也是本合同的组成部分。如双方签订的补充协议与其他文件发生矛盾或歧义时，属于同一类内容的文件，应以最新签署的为准。</w:t>
      </w:r>
    </w:p>
    <w:p w14:paraId="4C632A21">
      <w:pPr>
        <w:snapToGrid w:val="0"/>
        <w:spacing w:line="360" w:lineRule="auto"/>
        <w:rPr>
          <w:rFonts w:hint="eastAsia" w:ascii="宋体" w:hAnsi="宋体" w:cs="宋体"/>
          <w:b/>
          <w:bCs/>
          <w:sz w:val="22"/>
          <w:szCs w:val="22"/>
          <w:highlight w:val="none"/>
        </w:rPr>
      </w:pPr>
      <w:r>
        <w:rPr>
          <w:rFonts w:hint="eastAsia" w:ascii="宋体" w:hAnsi="宋体" w:cs="宋体"/>
          <w:b/>
          <w:bCs/>
          <w:sz w:val="22"/>
          <w:szCs w:val="22"/>
          <w:highlight w:val="none"/>
        </w:rPr>
        <w:t>第十九条：合同生效</w:t>
      </w:r>
    </w:p>
    <w:p w14:paraId="7DD22D1C">
      <w:pPr>
        <w:pStyle w:val="20"/>
        <w:snapToGrid w:val="0"/>
        <w:spacing w:line="360" w:lineRule="auto"/>
        <w:ind w:firstLine="480"/>
        <w:rPr>
          <w:rFonts w:hint="eastAsia" w:hAnsi="宋体" w:cs="宋体"/>
          <w:sz w:val="22"/>
          <w:szCs w:val="22"/>
          <w:highlight w:val="none"/>
        </w:rPr>
      </w:pPr>
      <w:r>
        <w:rPr>
          <w:rFonts w:hint="eastAsia" w:hAnsi="宋体" w:cs="宋体"/>
          <w:sz w:val="22"/>
          <w:szCs w:val="22"/>
          <w:highlight w:val="none"/>
        </w:rPr>
        <w:t>1、本合同一式五份，合同双方各执两份，采购代理机构一份，在双方法定代表人或授权代表签署加盖印章后生效。</w:t>
      </w:r>
    </w:p>
    <w:p w14:paraId="4FC28A8C">
      <w:pPr>
        <w:spacing w:line="460" w:lineRule="exact"/>
        <w:ind w:left="27" w:leftChars="13" w:firstLine="440" w:firstLineChars="200"/>
        <w:rPr>
          <w:rFonts w:hint="eastAsia" w:ascii="新宋体" w:hAnsi="新宋体" w:eastAsia="新宋体" w:cs="新宋体"/>
          <w:sz w:val="22"/>
          <w:szCs w:val="22"/>
          <w:highlight w:val="none"/>
        </w:rPr>
      </w:pPr>
      <w:r>
        <w:rPr>
          <w:rFonts w:hint="eastAsia" w:ascii="新宋体" w:hAnsi="新宋体" w:eastAsia="新宋体" w:cs="新宋体"/>
          <w:sz w:val="22"/>
          <w:szCs w:val="22"/>
          <w:highlight w:val="none"/>
        </w:rPr>
        <w:t xml:space="preserve">甲方：                                        乙方： </w:t>
      </w:r>
    </w:p>
    <w:p w14:paraId="0D4D3F3D">
      <w:pPr>
        <w:spacing w:line="460" w:lineRule="exact"/>
        <w:ind w:left="27" w:leftChars="13" w:firstLine="440" w:firstLineChars="200"/>
        <w:rPr>
          <w:rFonts w:hint="eastAsia" w:ascii="新宋体" w:hAnsi="新宋体" w:eastAsia="新宋体" w:cs="新宋体"/>
          <w:sz w:val="22"/>
          <w:szCs w:val="22"/>
          <w:highlight w:val="none"/>
        </w:rPr>
      </w:pPr>
      <w:r>
        <w:rPr>
          <w:rFonts w:hint="eastAsia" w:ascii="新宋体" w:hAnsi="新宋体" w:eastAsia="新宋体" w:cs="新宋体"/>
          <w:sz w:val="22"/>
          <w:szCs w:val="22"/>
          <w:highlight w:val="none"/>
        </w:rPr>
        <w:t>（盖章）                                      （盖章）</w:t>
      </w:r>
    </w:p>
    <w:p w14:paraId="0D3655E4">
      <w:pPr>
        <w:spacing w:line="460" w:lineRule="exact"/>
        <w:ind w:firstLine="440" w:firstLineChars="200"/>
        <w:rPr>
          <w:rFonts w:hint="eastAsia" w:ascii="新宋体" w:hAnsi="新宋体" w:eastAsia="新宋体" w:cs="新宋体"/>
          <w:sz w:val="22"/>
          <w:szCs w:val="22"/>
          <w:highlight w:val="none"/>
        </w:rPr>
      </w:pPr>
      <w:r>
        <w:rPr>
          <w:rFonts w:hint="eastAsia" w:ascii="新宋体" w:hAnsi="新宋体" w:eastAsia="新宋体" w:cs="新宋体"/>
          <w:sz w:val="22"/>
          <w:szCs w:val="22"/>
          <w:highlight w:val="none"/>
        </w:rPr>
        <w:t>法定代表或授权人：                            法定代表或授权人：</w:t>
      </w:r>
    </w:p>
    <w:p w14:paraId="3E5DDE95">
      <w:pPr>
        <w:spacing w:line="460" w:lineRule="exact"/>
        <w:ind w:left="6597" w:leftChars="208" w:hanging="6160" w:hangingChars="2800"/>
        <w:rPr>
          <w:rFonts w:ascii="新宋体" w:hAnsi="新宋体" w:eastAsia="新宋体" w:cs="新宋体"/>
          <w:sz w:val="22"/>
          <w:szCs w:val="22"/>
          <w:highlight w:val="none"/>
        </w:rPr>
      </w:pPr>
      <w:r>
        <w:rPr>
          <w:rFonts w:hint="eastAsia" w:ascii="新宋体" w:hAnsi="新宋体" w:eastAsia="新宋体" w:cs="新宋体"/>
          <w:sz w:val="22"/>
          <w:szCs w:val="22"/>
          <w:highlight w:val="none"/>
        </w:rPr>
        <w:t>日期：</w:t>
      </w:r>
      <w:r>
        <w:rPr>
          <w:rFonts w:hint="eastAsia" w:ascii="新宋体" w:hAnsi="新宋体" w:eastAsia="新宋体" w:cs="新宋体"/>
          <w:sz w:val="22"/>
          <w:szCs w:val="22"/>
          <w:highlight w:val="none"/>
          <w:u w:val="single"/>
        </w:rPr>
        <w:t xml:space="preserve">      </w:t>
      </w:r>
      <w:r>
        <w:rPr>
          <w:rFonts w:hint="eastAsia" w:ascii="新宋体" w:hAnsi="新宋体" w:eastAsia="新宋体" w:cs="新宋体"/>
          <w:sz w:val="22"/>
          <w:szCs w:val="22"/>
          <w:highlight w:val="none"/>
        </w:rPr>
        <w:t>年</w:t>
      </w:r>
      <w:r>
        <w:rPr>
          <w:rFonts w:hint="eastAsia" w:ascii="新宋体" w:hAnsi="新宋体" w:eastAsia="新宋体" w:cs="新宋体"/>
          <w:sz w:val="22"/>
          <w:szCs w:val="22"/>
          <w:highlight w:val="none"/>
          <w:u w:val="single"/>
        </w:rPr>
        <w:t xml:space="preserve">   </w:t>
      </w:r>
      <w:r>
        <w:rPr>
          <w:rFonts w:hint="eastAsia" w:ascii="新宋体" w:hAnsi="新宋体" w:eastAsia="新宋体" w:cs="新宋体"/>
          <w:sz w:val="22"/>
          <w:szCs w:val="22"/>
          <w:highlight w:val="none"/>
        </w:rPr>
        <w:t>月</w:t>
      </w:r>
      <w:r>
        <w:rPr>
          <w:rFonts w:hint="eastAsia" w:ascii="新宋体" w:hAnsi="新宋体" w:eastAsia="新宋体" w:cs="新宋体"/>
          <w:sz w:val="22"/>
          <w:szCs w:val="22"/>
          <w:highlight w:val="none"/>
          <w:u w:val="single"/>
        </w:rPr>
        <w:t xml:space="preserve">   </w:t>
      </w:r>
      <w:r>
        <w:rPr>
          <w:rFonts w:hint="eastAsia" w:ascii="新宋体" w:hAnsi="新宋体" w:eastAsia="新宋体" w:cs="新宋体"/>
          <w:sz w:val="22"/>
          <w:szCs w:val="22"/>
          <w:highlight w:val="none"/>
        </w:rPr>
        <w:t>日                      日期：</w:t>
      </w:r>
      <w:r>
        <w:rPr>
          <w:rFonts w:hint="eastAsia" w:ascii="新宋体" w:hAnsi="新宋体" w:eastAsia="新宋体" w:cs="新宋体"/>
          <w:sz w:val="22"/>
          <w:szCs w:val="22"/>
          <w:highlight w:val="none"/>
          <w:u w:val="single"/>
        </w:rPr>
        <w:t xml:space="preserve">      </w:t>
      </w:r>
      <w:r>
        <w:rPr>
          <w:rFonts w:hint="eastAsia" w:ascii="新宋体" w:hAnsi="新宋体" w:eastAsia="新宋体" w:cs="新宋体"/>
          <w:sz w:val="22"/>
          <w:szCs w:val="22"/>
          <w:highlight w:val="none"/>
        </w:rPr>
        <w:t>年</w:t>
      </w:r>
      <w:r>
        <w:rPr>
          <w:rFonts w:hint="eastAsia" w:ascii="新宋体" w:hAnsi="新宋体" w:eastAsia="新宋体" w:cs="新宋体"/>
          <w:sz w:val="22"/>
          <w:szCs w:val="22"/>
          <w:highlight w:val="none"/>
          <w:u w:val="single"/>
        </w:rPr>
        <w:t xml:space="preserve">   </w:t>
      </w:r>
      <w:r>
        <w:rPr>
          <w:rFonts w:hint="eastAsia" w:ascii="新宋体" w:hAnsi="新宋体" w:eastAsia="新宋体" w:cs="新宋体"/>
          <w:sz w:val="22"/>
          <w:szCs w:val="22"/>
          <w:highlight w:val="none"/>
        </w:rPr>
        <w:t>月</w:t>
      </w:r>
      <w:r>
        <w:rPr>
          <w:rFonts w:hint="eastAsia" w:ascii="新宋体" w:hAnsi="新宋体" w:eastAsia="新宋体" w:cs="新宋体"/>
          <w:sz w:val="22"/>
          <w:szCs w:val="22"/>
          <w:highlight w:val="none"/>
          <w:u w:val="single"/>
        </w:rPr>
        <w:t xml:space="preserve">   </w:t>
      </w:r>
      <w:r>
        <w:rPr>
          <w:rFonts w:hint="eastAsia" w:ascii="新宋体" w:hAnsi="新宋体" w:eastAsia="新宋体" w:cs="新宋体"/>
          <w:sz w:val="22"/>
          <w:szCs w:val="22"/>
          <w:highlight w:val="none"/>
        </w:rPr>
        <w:t>日</w:t>
      </w:r>
    </w:p>
    <w:p w14:paraId="7973AE3E">
      <w:pPr>
        <w:spacing w:line="440" w:lineRule="exact"/>
        <w:jc w:val="center"/>
        <w:rPr>
          <w:rFonts w:hint="eastAsia" w:ascii="宋体" w:hAnsi="宋体" w:cs="宋体"/>
          <w:b/>
          <w:kern w:val="1"/>
          <w:sz w:val="22"/>
          <w:szCs w:val="22"/>
          <w:highlight w:val="none"/>
        </w:rPr>
      </w:pPr>
      <w:r>
        <w:rPr>
          <w:rFonts w:hint="eastAsia"/>
          <w:b/>
          <w:bCs/>
          <w:sz w:val="22"/>
          <w:szCs w:val="22"/>
          <w:highlight w:val="none"/>
          <w:u w:val="single"/>
        </w:rPr>
        <w:t>注：本合同为范本合同，最终以双方签订的合同为准。</w:t>
      </w:r>
    </w:p>
    <w:p w14:paraId="45C57A81">
      <w:pPr>
        <w:rPr>
          <w:rFonts w:hint="eastAsia" w:ascii="宋体" w:hAnsi="宋体" w:cs="宋体"/>
          <w:sz w:val="22"/>
          <w:szCs w:val="22"/>
          <w:highlight w:val="none"/>
        </w:rPr>
      </w:pPr>
      <w:r>
        <w:rPr>
          <w:rFonts w:hint="eastAsia" w:ascii="宋体" w:hAnsi="宋体" w:cs="宋体"/>
          <w:sz w:val="22"/>
          <w:szCs w:val="22"/>
          <w:highlight w:val="none"/>
        </w:rPr>
        <w:br w:type="page"/>
      </w:r>
      <w:r>
        <w:rPr>
          <w:rFonts w:hint="eastAsia" w:ascii="宋体" w:hAnsi="宋体" w:cs="宋体"/>
          <w:sz w:val="22"/>
          <w:szCs w:val="22"/>
          <w:highlight w:val="none"/>
        </w:rPr>
        <w:t xml:space="preserve">合同附件一 </w:t>
      </w:r>
    </w:p>
    <w:p w14:paraId="25F282B7">
      <w:pPr>
        <w:autoSpaceDE w:val="0"/>
        <w:autoSpaceDN w:val="0"/>
        <w:adjustRightInd w:val="0"/>
        <w:jc w:val="center"/>
        <w:rPr>
          <w:rFonts w:ascii="Arial" w:hAnsi="Arial" w:cs="Arial"/>
          <w:bCs/>
          <w:sz w:val="36"/>
          <w:szCs w:val="36"/>
          <w:highlight w:val="none"/>
          <w:lang w:val="zh-CN"/>
        </w:rPr>
      </w:pPr>
      <w:r>
        <w:rPr>
          <w:rFonts w:ascii="Arial" w:hAnsi="Arial" w:cs="Arial"/>
          <w:bCs/>
          <w:sz w:val="36"/>
          <w:szCs w:val="36"/>
          <w:highlight w:val="none"/>
          <w:lang w:val="zh-CN"/>
        </w:rPr>
        <w:t>廉政合同</w:t>
      </w:r>
    </w:p>
    <w:p w14:paraId="11D36A9C">
      <w:pPr>
        <w:spacing w:line="500" w:lineRule="exact"/>
        <w:jc w:val="center"/>
        <w:rPr>
          <w:rFonts w:ascii="Arial" w:hAnsi="Arial" w:cs="Arial"/>
          <w:b/>
          <w:szCs w:val="21"/>
          <w:highlight w:val="none"/>
        </w:rPr>
      </w:pPr>
    </w:p>
    <w:p w14:paraId="1535659F">
      <w:pPr>
        <w:spacing w:line="500" w:lineRule="exact"/>
        <w:ind w:firstLine="420" w:firstLineChars="200"/>
        <w:rPr>
          <w:rFonts w:hint="eastAsia" w:ascii="宋体" w:hAnsi="宋体" w:cs="宋体"/>
          <w:szCs w:val="21"/>
          <w:highlight w:val="none"/>
        </w:rPr>
      </w:pPr>
      <w:r>
        <w:rPr>
          <w:rFonts w:hint="eastAsia" w:ascii="宋体" w:hAnsi="宋体" w:cs="宋体"/>
          <w:szCs w:val="21"/>
          <w:highlight w:val="none"/>
        </w:rPr>
        <w:t>根据有关廉政建设的规定，为做好</w:t>
      </w:r>
      <w:r>
        <w:rPr>
          <w:rFonts w:hint="eastAsia" w:ascii="宋体" w:hAnsi="宋体" w:cs="宋体"/>
          <w:szCs w:val="21"/>
          <w:highlight w:val="none"/>
          <w:u w:val="single"/>
        </w:rPr>
        <w:t>金海湖信息化展厅网络环境设备项目</w:t>
      </w:r>
      <w:r>
        <w:rPr>
          <w:rFonts w:hint="eastAsia" w:ascii="宋体" w:hAnsi="宋体" w:cs="宋体"/>
          <w:szCs w:val="21"/>
          <w:highlight w:val="none"/>
        </w:rPr>
        <w:t>的党风廉政建设，保证严格管理、规范服务，保证项目高效优质，保证资金的安全和有效使用以及投资效益，</w:t>
      </w:r>
      <w:r>
        <w:rPr>
          <w:rFonts w:hint="eastAsia" w:ascii="宋体" w:hAnsi="宋体" w:cs="宋体"/>
          <w:szCs w:val="21"/>
          <w:highlight w:val="none"/>
          <w:u w:val="single"/>
        </w:rPr>
        <w:t xml:space="preserve">           </w:t>
      </w:r>
      <w:r>
        <w:rPr>
          <w:rFonts w:hint="eastAsia" w:ascii="宋体" w:hAnsi="宋体" w:cs="宋体"/>
          <w:szCs w:val="21"/>
          <w:highlight w:val="none"/>
        </w:rPr>
        <w:t>(以下称甲方)与</w:t>
      </w:r>
      <w:r>
        <w:rPr>
          <w:rFonts w:hint="eastAsia" w:ascii="宋体" w:hAnsi="宋体" w:cs="宋体"/>
          <w:szCs w:val="21"/>
          <w:highlight w:val="none"/>
          <w:u w:val="single"/>
        </w:rPr>
        <w:t xml:space="preserve">       </w:t>
      </w:r>
      <w:r>
        <w:rPr>
          <w:rFonts w:hint="eastAsia" w:ascii="宋体" w:hAnsi="宋体" w:cs="宋体"/>
          <w:szCs w:val="21"/>
          <w:highlight w:val="none"/>
        </w:rPr>
        <w:t>(以下称乙方)，特订立以下合同。</w:t>
      </w:r>
    </w:p>
    <w:p w14:paraId="240DE87A">
      <w:pPr>
        <w:spacing w:line="500" w:lineRule="exact"/>
        <w:ind w:firstLine="420" w:firstLineChars="200"/>
        <w:rPr>
          <w:rFonts w:hint="eastAsia" w:ascii="宋体" w:hAnsi="宋体" w:cs="宋体"/>
          <w:szCs w:val="21"/>
          <w:highlight w:val="none"/>
        </w:rPr>
      </w:pPr>
      <w:r>
        <w:rPr>
          <w:rFonts w:hint="eastAsia" w:ascii="宋体" w:hAnsi="宋体" w:cs="宋体"/>
          <w:szCs w:val="21"/>
          <w:highlight w:val="none"/>
        </w:rPr>
        <w:t>1.甲乙双方的权利和义务</w:t>
      </w:r>
    </w:p>
    <w:p w14:paraId="4F646091">
      <w:pPr>
        <w:spacing w:line="500" w:lineRule="exact"/>
        <w:ind w:firstLine="420" w:firstLineChars="200"/>
        <w:rPr>
          <w:rFonts w:hint="eastAsia" w:ascii="宋体" w:hAnsi="宋体" w:cs="宋体"/>
          <w:szCs w:val="21"/>
          <w:highlight w:val="none"/>
        </w:rPr>
      </w:pPr>
      <w:r>
        <w:rPr>
          <w:rFonts w:hint="eastAsia" w:ascii="宋体" w:hAnsi="宋体" w:cs="宋体"/>
          <w:szCs w:val="21"/>
          <w:highlight w:val="none"/>
        </w:rPr>
        <w:t>(1) 严格遵守党和国家有关法律法规及交通行业主管部门的有关廉政规定。</w:t>
      </w:r>
    </w:p>
    <w:p w14:paraId="126136B2">
      <w:pPr>
        <w:spacing w:line="500" w:lineRule="exact"/>
        <w:ind w:firstLine="420" w:firstLineChars="200"/>
        <w:rPr>
          <w:rFonts w:hint="eastAsia" w:ascii="宋体" w:hAnsi="宋体" w:cs="宋体"/>
          <w:szCs w:val="21"/>
          <w:highlight w:val="none"/>
        </w:rPr>
      </w:pPr>
      <w:r>
        <w:rPr>
          <w:rFonts w:hint="eastAsia" w:ascii="宋体" w:hAnsi="宋体" w:cs="宋体"/>
          <w:szCs w:val="21"/>
          <w:highlight w:val="none"/>
        </w:rPr>
        <w:t>(2) 严格执行</w:t>
      </w:r>
      <w:r>
        <w:rPr>
          <w:rFonts w:hint="eastAsia" w:ascii="宋体" w:hAnsi="宋体" w:cs="宋体"/>
          <w:szCs w:val="21"/>
          <w:highlight w:val="none"/>
          <w:u w:val="single"/>
        </w:rPr>
        <w:t>金海湖信息化展厅网络环境设备项目</w:t>
      </w:r>
      <w:r>
        <w:rPr>
          <w:rFonts w:hint="eastAsia" w:ascii="宋体" w:hAnsi="宋体" w:cs="宋体"/>
          <w:szCs w:val="21"/>
          <w:highlight w:val="none"/>
        </w:rPr>
        <w:t>合同，自觉按合同办事。</w:t>
      </w:r>
    </w:p>
    <w:p w14:paraId="2CAAB492">
      <w:pPr>
        <w:spacing w:line="500" w:lineRule="exact"/>
        <w:ind w:firstLine="420" w:firstLineChars="200"/>
        <w:rPr>
          <w:rFonts w:hint="eastAsia" w:ascii="宋体" w:hAnsi="宋体" w:cs="宋体"/>
          <w:szCs w:val="21"/>
          <w:highlight w:val="none"/>
        </w:rPr>
      </w:pPr>
      <w:r>
        <w:rPr>
          <w:rFonts w:hint="eastAsia" w:ascii="宋体" w:hAnsi="宋体" w:cs="宋体"/>
          <w:szCs w:val="21"/>
          <w:highlight w:val="none"/>
        </w:rPr>
        <w:t>(3) 双方的业务活动坚持公开、公正、诚信、透明的原则，不得损害国家和集体的利益，不得违反相关的规章制度。</w:t>
      </w:r>
    </w:p>
    <w:p w14:paraId="02280CC5">
      <w:pPr>
        <w:spacing w:line="500" w:lineRule="exact"/>
        <w:ind w:firstLine="420" w:firstLineChars="200"/>
        <w:rPr>
          <w:rFonts w:hint="eastAsia" w:ascii="宋体" w:hAnsi="宋体" w:cs="宋体"/>
          <w:szCs w:val="21"/>
          <w:highlight w:val="none"/>
        </w:rPr>
      </w:pPr>
      <w:r>
        <w:rPr>
          <w:rFonts w:hint="eastAsia" w:ascii="宋体" w:hAnsi="宋体" w:cs="宋体"/>
          <w:szCs w:val="21"/>
          <w:highlight w:val="none"/>
        </w:rPr>
        <w:t>(4) 建立健全廉政制度，开展廉政教育，公布监督电话，监督并认真查处违法违纪行为。</w:t>
      </w:r>
    </w:p>
    <w:p w14:paraId="3836BCDA">
      <w:pPr>
        <w:spacing w:line="500" w:lineRule="exact"/>
        <w:ind w:firstLine="420" w:firstLineChars="200"/>
        <w:rPr>
          <w:rFonts w:hint="eastAsia" w:ascii="宋体" w:hAnsi="宋体" w:cs="宋体"/>
          <w:szCs w:val="21"/>
          <w:highlight w:val="none"/>
        </w:rPr>
      </w:pPr>
      <w:r>
        <w:rPr>
          <w:rFonts w:hint="eastAsia" w:ascii="宋体" w:hAnsi="宋体" w:cs="宋体"/>
          <w:szCs w:val="21"/>
          <w:highlight w:val="none"/>
        </w:rPr>
        <w:t>(5) 发现对方在业务活动中有违反廉政规定的行为，有及时提醒对方纠正的权利和义务。</w:t>
      </w:r>
    </w:p>
    <w:p w14:paraId="24BF06C5">
      <w:pPr>
        <w:spacing w:line="500" w:lineRule="exact"/>
        <w:ind w:firstLine="420" w:firstLineChars="200"/>
        <w:rPr>
          <w:rFonts w:hint="eastAsia" w:ascii="宋体" w:hAnsi="宋体" w:cs="宋体"/>
          <w:szCs w:val="21"/>
          <w:highlight w:val="none"/>
        </w:rPr>
      </w:pPr>
      <w:r>
        <w:rPr>
          <w:rFonts w:hint="eastAsia" w:ascii="宋体" w:hAnsi="宋体" w:cs="宋体"/>
          <w:szCs w:val="21"/>
          <w:highlight w:val="none"/>
        </w:rPr>
        <w:t>(6) 发现对方严重违反本合同义务条款的行为，有向其上级有关部门举报、建议给予处理并要求告知处理结果的权利。</w:t>
      </w:r>
    </w:p>
    <w:p w14:paraId="6CFB2B80">
      <w:pPr>
        <w:spacing w:line="500" w:lineRule="exact"/>
        <w:ind w:firstLine="420" w:firstLineChars="200"/>
        <w:rPr>
          <w:rFonts w:hint="eastAsia" w:ascii="宋体" w:hAnsi="宋体" w:cs="宋体"/>
          <w:szCs w:val="21"/>
          <w:highlight w:val="none"/>
        </w:rPr>
      </w:pPr>
      <w:r>
        <w:rPr>
          <w:rFonts w:hint="eastAsia" w:ascii="宋体" w:hAnsi="宋体" w:cs="宋体"/>
          <w:szCs w:val="21"/>
          <w:highlight w:val="none"/>
        </w:rPr>
        <w:t>2.甲方的义务</w:t>
      </w:r>
    </w:p>
    <w:p w14:paraId="7FA22025">
      <w:pPr>
        <w:spacing w:line="500" w:lineRule="exact"/>
        <w:ind w:firstLine="420" w:firstLineChars="200"/>
        <w:rPr>
          <w:rFonts w:hint="eastAsia" w:ascii="宋体" w:hAnsi="宋体" w:cs="宋体"/>
          <w:szCs w:val="21"/>
          <w:highlight w:val="none"/>
        </w:rPr>
      </w:pPr>
      <w:r>
        <w:rPr>
          <w:rFonts w:hint="eastAsia" w:ascii="宋体" w:hAnsi="宋体" w:cs="宋体"/>
          <w:szCs w:val="21"/>
          <w:highlight w:val="none"/>
        </w:rPr>
        <w:t>(1) 甲方及其工作人员不得索要或接受乙方的礼金、有价证券和贵重物品，不得在乙方报销任何应由甲方或个人支付的费用。</w:t>
      </w:r>
    </w:p>
    <w:p w14:paraId="63918B40">
      <w:pPr>
        <w:spacing w:line="500" w:lineRule="exact"/>
        <w:ind w:firstLine="420" w:firstLineChars="200"/>
        <w:rPr>
          <w:rFonts w:hint="eastAsia" w:ascii="宋体" w:hAnsi="宋体" w:cs="宋体"/>
          <w:szCs w:val="21"/>
          <w:highlight w:val="none"/>
        </w:rPr>
      </w:pPr>
      <w:r>
        <w:rPr>
          <w:rFonts w:hint="eastAsia" w:ascii="宋体" w:hAnsi="宋体" w:cs="宋体"/>
          <w:szCs w:val="21"/>
          <w:highlight w:val="none"/>
        </w:rPr>
        <w:t>(2) 甲方工作人员不得参加乙方安排的超标准宴请和娱乐活动，不得接受乙方提供的通讯、交通工具和高档办公用品。</w:t>
      </w:r>
    </w:p>
    <w:p w14:paraId="0B015E31">
      <w:pPr>
        <w:spacing w:line="500" w:lineRule="exact"/>
        <w:ind w:firstLine="420" w:firstLineChars="200"/>
        <w:rPr>
          <w:rFonts w:hint="eastAsia" w:ascii="宋体" w:hAnsi="宋体" w:cs="宋体"/>
          <w:szCs w:val="21"/>
          <w:highlight w:val="none"/>
        </w:rPr>
      </w:pPr>
      <w:r>
        <w:rPr>
          <w:rFonts w:hint="eastAsia" w:ascii="宋体" w:hAnsi="宋体" w:cs="宋体"/>
          <w:szCs w:val="21"/>
          <w:highlight w:val="none"/>
        </w:rPr>
        <w:t>(3) 甲方及其工作人员不得要求或者接受乙方为其住房装修、婚丧嫁娶活动、配偶子女的工作安排以及出国出境、旅游等提供方便。</w:t>
      </w:r>
    </w:p>
    <w:p w14:paraId="4B1F418C">
      <w:pPr>
        <w:spacing w:line="500" w:lineRule="exact"/>
        <w:ind w:firstLine="420" w:firstLineChars="200"/>
        <w:rPr>
          <w:rFonts w:hint="eastAsia" w:ascii="宋体" w:hAnsi="宋体" w:cs="宋体"/>
          <w:szCs w:val="21"/>
          <w:highlight w:val="none"/>
        </w:rPr>
      </w:pPr>
      <w:r>
        <w:rPr>
          <w:rFonts w:hint="eastAsia" w:ascii="宋体" w:hAnsi="宋体" w:cs="宋体"/>
          <w:szCs w:val="21"/>
          <w:highlight w:val="none"/>
        </w:rPr>
        <w:t>(4) 甲方工作人员及其配偶、子女不得从事与甲方</w:t>
      </w:r>
      <w:r>
        <w:rPr>
          <w:rFonts w:hint="eastAsia" w:ascii="宋体" w:hAnsi="宋体" w:cs="宋体"/>
          <w:szCs w:val="21"/>
          <w:highlight w:val="none"/>
          <w:u w:val="single"/>
        </w:rPr>
        <w:t>金海湖信息化展厅网络环境设备</w:t>
      </w:r>
      <w:r>
        <w:rPr>
          <w:rFonts w:hint="eastAsia" w:ascii="宋体" w:hAnsi="宋体" w:cs="宋体"/>
          <w:szCs w:val="21"/>
          <w:highlight w:val="none"/>
        </w:rPr>
        <w:t>项目有关的服务分包、劳务等经济活动。</w:t>
      </w:r>
    </w:p>
    <w:p w14:paraId="3635B9E9">
      <w:pPr>
        <w:spacing w:line="500" w:lineRule="exact"/>
        <w:ind w:firstLine="420" w:firstLineChars="200"/>
        <w:rPr>
          <w:rFonts w:hint="eastAsia" w:ascii="宋体" w:hAnsi="宋体" w:cs="宋体"/>
          <w:szCs w:val="21"/>
          <w:highlight w:val="none"/>
        </w:rPr>
      </w:pPr>
      <w:r>
        <w:rPr>
          <w:rFonts w:hint="eastAsia" w:ascii="宋体" w:hAnsi="宋体" w:cs="宋体"/>
          <w:szCs w:val="21"/>
          <w:highlight w:val="none"/>
        </w:rPr>
        <w:t>3.乙方义务</w:t>
      </w:r>
    </w:p>
    <w:p w14:paraId="5FBE4EAB">
      <w:pPr>
        <w:spacing w:line="500" w:lineRule="exact"/>
        <w:ind w:firstLine="420" w:firstLineChars="200"/>
        <w:rPr>
          <w:rFonts w:hint="eastAsia" w:ascii="宋体" w:hAnsi="宋体" w:cs="宋体"/>
          <w:szCs w:val="21"/>
          <w:highlight w:val="none"/>
        </w:rPr>
      </w:pPr>
      <w:r>
        <w:rPr>
          <w:rFonts w:hint="eastAsia" w:ascii="宋体" w:hAnsi="宋体" w:cs="宋体"/>
          <w:szCs w:val="21"/>
          <w:highlight w:val="none"/>
        </w:rPr>
        <w:t>(1)乙方不得以任何名义向甲方及其工作人员馈赠礼金、有价证券、贵重礼品。</w:t>
      </w:r>
    </w:p>
    <w:p w14:paraId="7EEAEC2B">
      <w:pPr>
        <w:spacing w:line="500" w:lineRule="exact"/>
        <w:ind w:firstLine="420" w:firstLineChars="200"/>
        <w:rPr>
          <w:rFonts w:hint="eastAsia" w:ascii="宋体" w:hAnsi="宋体" w:cs="宋体"/>
          <w:szCs w:val="21"/>
          <w:highlight w:val="none"/>
        </w:rPr>
      </w:pPr>
      <w:r>
        <w:rPr>
          <w:rFonts w:hint="eastAsia" w:ascii="宋体" w:hAnsi="宋体" w:cs="宋体"/>
          <w:szCs w:val="21"/>
          <w:highlight w:val="none"/>
        </w:rPr>
        <w:t>(2)乙方不得以任何名义为甲方及其工作人员报销由甲方单位或个人支付的费用。</w:t>
      </w:r>
    </w:p>
    <w:p w14:paraId="526578B8">
      <w:pPr>
        <w:spacing w:line="500" w:lineRule="exact"/>
        <w:ind w:firstLine="420" w:firstLineChars="200"/>
        <w:rPr>
          <w:rFonts w:hint="eastAsia" w:ascii="宋体" w:hAnsi="宋体" w:cs="宋体"/>
          <w:szCs w:val="21"/>
          <w:highlight w:val="none"/>
        </w:rPr>
      </w:pPr>
      <w:r>
        <w:rPr>
          <w:rFonts w:hint="eastAsia" w:ascii="宋体" w:hAnsi="宋体" w:cs="宋体"/>
          <w:szCs w:val="21"/>
          <w:highlight w:val="none"/>
        </w:rPr>
        <w:t>(3)乙方不得以任何理由安排甲方工作人员参加超标准宴请及娱乐活动。</w:t>
      </w:r>
    </w:p>
    <w:p w14:paraId="22FDE0B8">
      <w:pPr>
        <w:spacing w:line="500" w:lineRule="exact"/>
        <w:ind w:firstLine="420" w:firstLineChars="200"/>
        <w:rPr>
          <w:rFonts w:hint="eastAsia" w:ascii="宋体" w:hAnsi="宋体" w:cs="宋体"/>
          <w:szCs w:val="21"/>
          <w:highlight w:val="none"/>
        </w:rPr>
      </w:pPr>
      <w:r>
        <w:rPr>
          <w:rFonts w:hint="eastAsia" w:ascii="宋体" w:hAnsi="宋体" w:cs="宋体"/>
          <w:szCs w:val="21"/>
          <w:highlight w:val="none"/>
        </w:rPr>
        <w:t>(4)乙方不得为甲方单位和个人购置或提供通讯工具、交通工具和高档办公用品。</w:t>
      </w:r>
    </w:p>
    <w:p w14:paraId="3814EF76">
      <w:pPr>
        <w:spacing w:line="500" w:lineRule="exact"/>
        <w:ind w:firstLine="420" w:firstLineChars="200"/>
        <w:rPr>
          <w:rFonts w:hint="eastAsia" w:ascii="宋体" w:hAnsi="宋体" w:cs="宋体"/>
          <w:szCs w:val="21"/>
          <w:highlight w:val="none"/>
        </w:rPr>
      </w:pPr>
      <w:r>
        <w:rPr>
          <w:rFonts w:hint="eastAsia" w:ascii="宋体" w:hAnsi="宋体" w:cs="宋体"/>
          <w:szCs w:val="21"/>
          <w:highlight w:val="none"/>
        </w:rPr>
        <w:t>4.违约责任</w:t>
      </w:r>
    </w:p>
    <w:p w14:paraId="3C9DBF55">
      <w:pPr>
        <w:spacing w:line="500" w:lineRule="exact"/>
        <w:ind w:firstLine="420" w:firstLineChars="200"/>
        <w:rPr>
          <w:rFonts w:hint="eastAsia" w:ascii="宋体" w:hAnsi="宋体" w:cs="宋体"/>
          <w:szCs w:val="21"/>
          <w:highlight w:val="none"/>
        </w:rPr>
      </w:pPr>
      <w:r>
        <w:rPr>
          <w:rFonts w:hint="eastAsia" w:ascii="宋体" w:hAnsi="宋体" w:cs="宋体"/>
          <w:szCs w:val="21"/>
          <w:highlight w:val="none"/>
        </w:rPr>
        <w:t>(1)甲方及其工作人员违反本合同第1、2条，按管理权限，依据有关规定给予党纪、政纪或组织处理；涉嫌犯罪的，移交司法机关追究刑事责任；给乙方单位造成经济损失的，应予以赔偿。</w:t>
      </w:r>
    </w:p>
    <w:p w14:paraId="379B7BE1">
      <w:pPr>
        <w:spacing w:line="500" w:lineRule="exact"/>
        <w:ind w:firstLine="420" w:firstLineChars="200"/>
        <w:rPr>
          <w:rFonts w:hint="eastAsia" w:ascii="宋体" w:hAnsi="宋体" w:cs="宋体"/>
          <w:szCs w:val="21"/>
          <w:highlight w:val="none"/>
        </w:rPr>
      </w:pPr>
      <w:r>
        <w:rPr>
          <w:rFonts w:hint="eastAsia" w:ascii="宋体" w:hAnsi="宋体" w:cs="宋体"/>
          <w:szCs w:val="21"/>
          <w:highlight w:val="none"/>
        </w:rPr>
        <w:t>(2)乙方及其工作人员违反本合同第1、3条，按管理权限，依据有关规定，建议给予党纪、政纪或组织处理；给甲方单位造成经济损失的应予以赔偿；情节严重的，甲方上报行业主管部门。</w:t>
      </w:r>
    </w:p>
    <w:p w14:paraId="1A79E82E">
      <w:pPr>
        <w:spacing w:line="500" w:lineRule="exact"/>
        <w:ind w:firstLine="420" w:firstLineChars="200"/>
        <w:rPr>
          <w:rFonts w:hint="eastAsia" w:ascii="宋体" w:hAnsi="宋体" w:cs="宋体"/>
          <w:szCs w:val="21"/>
          <w:highlight w:val="none"/>
        </w:rPr>
      </w:pPr>
      <w:r>
        <w:rPr>
          <w:rFonts w:hint="eastAsia" w:ascii="宋体" w:hAnsi="宋体" w:cs="宋体"/>
          <w:szCs w:val="21"/>
          <w:highlight w:val="none"/>
        </w:rPr>
        <w:t>5.双方约定：本合同由双方或双方上级单位的纪检监察机关负责监督。由甲方或甲方上级单位的纪检监察机关约请乙方或乙方上级单位纪检监察机关对本合同履行情况进行检查，提出在本合同规定范围内的裁定意见。</w:t>
      </w:r>
    </w:p>
    <w:p w14:paraId="27079D8A">
      <w:pPr>
        <w:spacing w:line="500" w:lineRule="exact"/>
        <w:ind w:firstLine="420" w:firstLineChars="200"/>
        <w:rPr>
          <w:rFonts w:hint="eastAsia" w:ascii="宋体" w:hAnsi="宋体" w:cs="宋体"/>
          <w:szCs w:val="21"/>
          <w:highlight w:val="none"/>
        </w:rPr>
      </w:pPr>
      <w:r>
        <w:rPr>
          <w:rFonts w:hint="eastAsia" w:ascii="宋体" w:hAnsi="宋体" w:cs="宋体"/>
          <w:szCs w:val="21"/>
          <w:highlight w:val="none"/>
        </w:rPr>
        <w:t>6.本合同有效期为甲乙双方签署之日起至合同履约完毕之日止。</w:t>
      </w:r>
    </w:p>
    <w:p w14:paraId="001C8D66">
      <w:pPr>
        <w:spacing w:line="500" w:lineRule="exact"/>
        <w:ind w:firstLine="420" w:firstLineChars="200"/>
        <w:rPr>
          <w:rFonts w:hint="eastAsia" w:ascii="宋体" w:hAnsi="宋体" w:cs="宋体"/>
          <w:szCs w:val="21"/>
          <w:highlight w:val="none"/>
        </w:rPr>
      </w:pPr>
      <w:r>
        <w:rPr>
          <w:rFonts w:hint="eastAsia" w:ascii="宋体" w:hAnsi="宋体" w:cs="宋体"/>
          <w:szCs w:val="21"/>
          <w:highlight w:val="none"/>
        </w:rPr>
        <w:t>7、本合同作为</w:t>
      </w:r>
      <w:r>
        <w:rPr>
          <w:rFonts w:hint="eastAsia" w:ascii="宋体" w:hAnsi="宋体" w:cs="宋体"/>
          <w:szCs w:val="21"/>
          <w:highlight w:val="none"/>
          <w:u w:val="single"/>
        </w:rPr>
        <w:t>金海湖信息化展厅网络环境设备项目</w:t>
      </w:r>
      <w:r>
        <w:rPr>
          <w:rFonts w:hint="eastAsia" w:ascii="宋体" w:hAnsi="宋体" w:cs="宋体"/>
          <w:szCs w:val="21"/>
          <w:highlight w:val="none"/>
        </w:rPr>
        <w:t>合同的附件，与该合同具有同等的法律效力，经合同双方签署立即生效。</w:t>
      </w:r>
    </w:p>
    <w:p w14:paraId="6975917C">
      <w:pPr>
        <w:spacing w:line="500" w:lineRule="exact"/>
        <w:ind w:firstLine="420" w:firstLineChars="200"/>
        <w:rPr>
          <w:rFonts w:hint="eastAsia" w:ascii="宋体" w:hAnsi="宋体" w:cs="宋体"/>
          <w:szCs w:val="21"/>
          <w:highlight w:val="none"/>
        </w:rPr>
      </w:pPr>
      <w:r>
        <w:rPr>
          <w:rFonts w:hint="eastAsia" w:ascii="宋体" w:hAnsi="宋体" w:cs="宋体"/>
          <w:szCs w:val="21"/>
          <w:highlight w:val="none"/>
        </w:rPr>
        <w:t>8．本合同一式六份，甲方执四份、乙方执二份，每份具有同等法律效力。</w:t>
      </w:r>
    </w:p>
    <w:p w14:paraId="2ECF2262">
      <w:pPr>
        <w:pStyle w:val="18"/>
        <w:spacing w:before="120" w:after="120"/>
        <w:rPr>
          <w:rFonts w:hint="eastAsia" w:ascii="宋体" w:hAnsi="宋体" w:eastAsia="宋体" w:cs="宋体"/>
          <w:szCs w:val="21"/>
          <w:highlight w:val="none"/>
        </w:rPr>
      </w:pPr>
    </w:p>
    <w:p w14:paraId="0B223764">
      <w:pPr>
        <w:pStyle w:val="18"/>
        <w:spacing w:before="120" w:after="120"/>
        <w:rPr>
          <w:rFonts w:hint="eastAsia" w:ascii="宋体" w:hAnsi="宋体" w:eastAsia="宋体" w:cs="宋体"/>
          <w:szCs w:val="21"/>
          <w:highlight w:val="none"/>
        </w:rPr>
      </w:pPr>
    </w:p>
    <w:p w14:paraId="656DE1AF">
      <w:pPr>
        <w:spacing w:line="460" w:lineRule="exact"/>
        <w:ind w:left="27" w:leftChars="13"/>
        <w:rPr>
          <w:rFonts w:hint="eastAsia" w:ascii="宋体" w:hAnsi="宋体" w:cs="宋体"/>
          <w:szCs w:val="21"/>
          <w:highlight w:val="none"/>
        </w:rPr>
      </w:pPr>
      <w:r>
        <w:rPr>
          <w:rFonts w:hint="eastAsia" w:ascii="宋体" w:hAnsi="宋体" w:cs="宋体"/>
          <w:szCs w:val="21"/>
          <w:highlight w:val="none"/>
        </w:rPr>
        <w:t xml:space="preserve">甲方：                                        乙方： </w:t>
      </w:r>
    </w:p>
    <w:p w14:paraId="478AA30D">
      <w:pPr>
        <w:spacing w:line="460" w:lineRule="exact"/>
        <w:ind w:left="27" w:leftChars="13"/>
        <w:rPr>
          <w:rFonts w:hint="eastAsia" w:ascii="宋体" w:hAnsi="宋体" w:cs="宋体"/>
          <w:szCs w:val="21"/>
          <w:highlight w:val="none"/>
        </w:rPr>
      </w:pPr>
      <w:r>
        <w:rPr>
          <w:rFonts w:hint="eastAsia" w:ascii="宋体" w:hAnsi="宋体" w:cs="宋体"/>
          <w:szCs w:val="21"/>
          <w:highlight w:val="none"/>
        </w:rPr>
        <w:t>（盖章）                                      （盖章）</w:t>
      </w:r>
    </w:p>
    <w:p w14:paraId="4865DC9E">
      <w:pPr>
        <w:spacing w:line="460" w:lineRule="exact"/>
        <w:rPr>
          <w:rFonts w:hint="eastAsia" w:ascii="宋体" w:hAnsi="宋体" w:cs="宋体"/>
          <w:szCs w:val="21"/>
          <w:highlight w:val="none"/>
        </w:rPr>
      </w:pPr>
      <w:r>
        <w:rPr>
          <w:rFonts w:hint="eastAsia" w:ascii="宋体" w:hAnsi="宋体" w:cs="宋体"/>
          <w:szCs w:val="21"/>
          <w:highlight w:val="none"/>
        </w:rPr>
        <w:t>法定代表或授权人：                            法定代表或授权人：</w:t>
      </w:r>
    </w:p>
    <w:p w14:paraId="75F1142A">
      <w:pPr>
        <w:spacing w:line="460" w:lineRule="exact"/>
        <w:ind w:left="6300" w:hanging="6300" w:hangingChars="3000"/>
        <w:rPr>
          <w:rFonts w:hint="eastAsia" w:ascii="宋体" w:hAnsi="宋体" w:cs="宋体"/>
          <w:b/>
          <w:kern w:val="1"/>
          <w:sz w:val="22"/>
          <w:szCs w:val="22"/>
          <w:highlight w:val="none"/>
        </w:rPr>
      </w:pPr>
      <w:r>
        <w:rPr>
          <w:rFonts w:hint="eastAsia" w:ascii="宋体" w:hAnsi="宋体" w:cs="宋体"/>
          <w:szCs w:val="21"/>
          <w:highlight w:val="none"/>
        </w:rPr>
        <w:t>日期：</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rPr>
        <w:t>日                      日期：</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rPr>
        <w:t>日</w:t>
      </w:r>
    </w:p>
    <w:p w14:paraId="6C2E8274">
      <w:pPr>
        <w:rPr>
          <w:rFonts w:hint="eastAsia" w:ascii="新宋体" w:hAnsi="新宋体" w:eastAsia="新宋体" w:cs="新宋体"/>
          <w:sz w:val="22"/>
          <w:szCs w:val="22"/>
          <w:highlight w:val="none"/>
        </w:rPr>
      </w:pPr>
      <w:r>
        <w:rPr>
          <w:rFonts w:hint="eastAsia" w:ascii="宋体" w:hAnsi="宋体" w:cs="宋体"/>
          <w:b/>
          <w:kern w:val="1"/>
          <w:sz w:val="22"/>
          <w:szCs w:val="22"/>
          <w:highlight w:val="none"/>
        </w:rPr>
        <w:br w:type="page"/>
      </w:r>
    </w:p>
    <w:p w14:paraId="58D5EC1B">
      <w:pPr>
        <w:spacing w:line="440" w:lineRule="exact"/>
        <w:jc w:val="center"/>
        <w:outlineLvl w:val="0"/>
        <w:rPr>
          <w:rFonts w:ascii="Arial" w:hAnsi="Arial" w:cs="Arial"/>
          <w:b/>
          <w:bCs/>
          <w:sz w:val="28"/>
          <w:szCs w:val="28"/>
          <w:highlight w:val="none"/>
        </w:rPr>
      </w:pPr>
      <w:bookmarkStart w:id="144" w:name="_Toc11147"/>
      <w:r>
        <w:rPr>
          <w:rFonts w:ascii="Arial" w:hAnsi="Arial" w:cs="Arial"/>
          <w:b/>
          <w:bCs/>
          <w:sz w:val="28"/>
          <w:szCs w:val="28"/>
          <w:highlight w:val="none"/>
        </w:rPr>
        <w:t>第三部分</w:t>
      </w:r>
      <w:r>
        <w:rPr>
          <w:rFonts w:hint="eastAsia" w:ascii="Arial" w:hAnsi="Arial" w:cs="Arial"/>
          <w:b/>
          <w:bCs/>
          <w:sz w:val="28"/>
          <w:szCs w:val="28"/>
          <w:highlight w:val="none"/>
        </w:rPr>
        <w:t xml:space="preserve">  </w:t>
      </w:r>
      <w:r>
        <w:rPr>
          <w:rFonts w:ascii="Arial" w:hAnsi="Arial" w:cs="Arial"/>
          <w:b/>
          <w:bCs/>
          <w:sz w:val="28"/>
          <w:szCs w:val="28"/>
          <w:highlight w:val="none"/>
        </w:rPr>
        <w:t>附件</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14:paraId="3FC8C559">
      <w:pPr>
        <w:spacing w:before="120" w:beforeLines="50" w:after="120" w:afterLines="50"/>
        <w:rPr>
          <w:rFonts w:ascii="宋体" w:hAnsi="宋体" w:cs="宋体"/>
          <w:sz w:val="22"/>
          <w:highlight w:val="none"/>
        </w:rPr>
      </w:pPr>
    </w:p>
    <w:p w14:paraId="35037AC8">
      <w:pPr>
        <w:spacing w:before="120" w:beforeLines="50" w:after="120" w:afterLines="50"/>
        <w:jc w:val="center"/>
        <w:rPr>
          <w:rFonts w:hint="eastAsia" w:ascii="宋体" w:hAnsi="宋体" w:cs="宋体"/>
          <w:sz w:val="22"/>
          <w:highlight w:val="none"/>
        </w:rPr>
      </w:pPr>
    </w:p>
    <w:p w14:paraId="22B06623">
      <w:pPr>
        <w:pStyle w:val="179"/>
        <w:widowControl w:val="0"/>
        <w:snapToGrid w:val="0"/>
        <w:spacing w:line="500" w:lineRule="exact"/>
        <w:jc w:val="center"/>
        <w:rPr>
          <w:rFonts w:hAnsi="宋体" w:cs="宋体"/>
          <w:color w:val="000000"/>
          <w:kern w:val="0"/>
          <w:sz w:val="32"/>
          <w:szCs w:val="32"/>
          <w:highlight w:val="none"/>
        </w:rPr>
      </w:pPr>
      <w:r>
        <w:rPr>
          <w:rFonts w:hAnsi="宋体" w:cs="宋体"/>
          <w:sz w:val="22"/>
          <w:highlight w:val="none"/>
        </w:rPr>
        <w:br w:type="page"/>
      </w:r>
      <w:r>
        <w:rPr>
          <w:rFonts w:hAnsi="宋体" w:cs="宋体"/>
          <w:color w:val="000000"/>
          <w:sz w:val="32"/>
          <w:szCs w:val="32"/>
          <w:highlight w:val="none"/>
        </w:rPr>
        <w:t>国企采购活动现场确认声明书</w:t>
      </w:r>
    </w:p>
    <w:p w14:paraId="0FBE3AD7">
      <w:pPr>
        <w:pStyle w:val="179"/>
        <w:widowControl w:val="0"/>
        <w:snapToGrid w:val="0"/>
        <w:spacing w:line="500" w:lineRule="exact"/>
        <w:jc w:val="both"/>
        <w:rPr>
          <w:rFonts w:hAnsi="宋体" w:cs="宋体"/>
          <w:b/>
          <w:color w:val="000000"/>
          <w:szCs w:val="21"/>
          <w:highlight w:val="none"/>
        </w:rPr>
      </w:pPr>
      <w:r>
        <w:rPr>
          <w:rFonts w:hAnsi="宋体" w:cs="宋体"/>
          <w:color w:val="000000"/>
          <w:kern w:val="0"/>
          <w:szCs w:val="21"/>
          <w:highlight w:val="none"/>
        </w:rPr>
        <w:t>温州信达交通工程试验检测有限公司：</w:t>
      </w:r>
    </w:p>
    <w:p w14:paraId="19924C97">
      <w:pPr>
        <w:pStyle w:val="179"/>
        <w:widowControl w:val="0"/>
        <w:snapToGrid w:val="0"/>
        <w:spacing w:line="500" w:lineRule="exact"/>
        <w:ind w:firstLine="444" w:firstLineChars="200"/>
        <w:jc w:val="both"/>
        <w:rPr>
          <w:rFonts w:hAnsi="宋体" w:cs="宋体"/>
          <w:color w:val="000000"/>
          <w:spacing w:val="6"/>
          <w:szCs w:val="21"/>
          <w:highlight w:val="none"/>
        </w:rPr>
      </w:pPr>
      <w:r>
        <w:rPr>
          <w:rFonts w:hAnsi="宋体" w:cs="宋体"/>
          <w:color w:val="000000"/>
          <w:spacing w:val="6"/>
          <w:szCs w:val="21"/>
          <w:highlight w:val="none"/>
        </w:rPr>
        <w:t>本人经由</w:t>
      </w:r>
      <w:r>
        <w:rPr>
          <w:rFonts w:hAnsi="宋体" w:cs="宋体"/>
          <w:color w:val="000000"/>
          <w:spacing w:val="6"/>
          <w:szCs w:val="21"/>
          <w:highlight w:val="none"/>
          <w:u w:val="single"/>
        </w:rPr>
        <w:t xml:space="preserve">                              （单位）</w:t>
      </w:r>
      <w:r>
        <w:rPr>
          <w:rFonts w:hAnsi="宋体" w:cs="宋体"/>
          <w:color w:val="000000"/>
          <w:spacing w:val="6"/>
          <w:szCs w:val="21"/>
          <w:highlight w:val="none"/>
        </w:rPr>
        <w:t>负责人</w:t>
      </w:r>
      <w:r>
        <w:rPr>
          <w:rFonts w:hAnsi="宋体" w:cs="宋体"/>
          <w:color w:val="000000"/>
          <w:spacing w:val="6"/>
          <w:szCs w:val="21"/>
          <w:highlight w:val="none"/>
          <w:u w:val="single"/>
        </w:rPr>
        <w:t xml:space="preserve">          （姓名）</w:t>
      </w:r>
      <w:r>
        <w:rPr>
          <w:rFonts w:hAnsi="宋体" w:cs="宋体"/>
          <w:color w:val="000000"/>
          <w:spacing w:val="6"/>
          <w:szCs w:val="21"/>
          <w:highlight w:val="none"/>
        </w:rPr>
        <w:t>合法授权参加</w:t>
      </w:r>
      <w:r>
        <w:rPr>
          <w:rFonts w:hAnsi="宋体" w:cs="宋体"/>
          <w:color w:val="000000"/>
          <w:spacing w:val="6"/>
          <w:szCs w:val="21"/>
          <w:highlight w:val="none"/>
          <w:u w:val="single"/>
        </w:rPr>
        <w:t>金海湖信息化展厅网络环境设备</w:t>
      </w:r>
      <w:r>
        <w:rPr>
          <w:rFonts w:hAnsi="宋体" w:cs="宋体"/>
          <w:color w:val="000000"/>
          <w:spacing w:val="6"/>
          <w:szCs w:val="21"/>
          <w:highlight w:val="none"/>
        </w:rPr>
        <w:t>项目（项目编号：</w:t>
      </w:r>
      <w:r>
        <w:rPr>
          <w:rFonts w:ascii="新宋体" w:hAnsi="新宋体" w:eastAsia="新宋体"/>
          <w:b/>
          <w:highlight w:val="none"/>
          <w:u w:val="single"/>
        </w:rPr>
        <w:t>WGSS-JFJT-ZS-2026004</w:t>
      </w:r>
      <w:r>
        <w:rPr>
          <w:rFonts w:ascii="新宋体" w:hAnsi="新宋体" w:eastAsia="新宋体"/>
          <w:bCs/>
          <w:highlight w:val="none"/>
        </w:rPr>
        <w:t>）</w:t>
      </w:r>
      <w:r>
        <w:rPr>
          <w:rFonts w:hAnsi="宋体" w:cs="宋体"/>
          <w:color w:val="000000"/>
          <w:spacing w:val="6"/>
          <w:szCs w:val="21"/>
          <w:highlight w:val="none"/>
        </w:rPr>
        <w:t xml:space="preserve">国企采购活动，经与本单位法人代表（负责人）联系确认，现就有关公平竞争事项郑重声明如下： </w:t>
      </w:r>
    </w:p>
    <w:p w14:paraId="47366707">
      <w:pPr>
        <w:pStyle w:val="180"/>
        <w:widowControl/>
        <w:numPr>
          <w:ilvl w:val="0"/>
          <w:numId w:val="10"/>
        </w:numPr>
        <w:snapToGrid w:val="0"/>
        <w:spacing w:line="500" w:lineRule="exact"/>
        <w:ind w:firstLine="396" w:firstLineChars="189"/>
        <w:rPr>
          <w:rFonts w:ascii="宋体" w:hAnsi="宋体" w:cs="宋体"/>
          <w:color w:val="000000"/>
          <w:kern w:val="0"/>
          <w:szCs w:val="21"/>
          <w:highlight w:val="none"/>
        </w:rPr>
      </w:pPr>
      <w:r>
        <w:rPr>
          <w:rFonts w:ascii="宋体" w:hAnsi="宋体" w:cs="宋体"/>
          <w:color w:val="000000"/>
          <w:kern w:val="0"/>
          <w:szCs w:val="21"/>
          <w:highlight w:val="none"/>
        </w:rPr>
        <w:t>本单位与采购人之间 □不存在利害关系 □存在下列利害关系</w:t>
      </w:r>
      <w:r>
        <w:rPr>
          <w:rFonts w:ascii="宋体" w:hAnsi="宋体" w:cs="宋体"/>
          <w:color w:val="000000"/>
          <w:kern w:val="0"/>
          <w:szCs w:val="21"/>
          <w:highlight w:val="none"/>
          <w:u w:val="single"/>
        </w:rPr>
        <w:t xml:space="preserve">           </w:t>
      </w:r>
      <w:r>
        <w:rPr>
          <w:rFonts w:ascii="宋体" w:hAnsi="宋体" w:cs="宋体"/>
          <w:color w:val="000000"/>
          <w:kern w:val="0"/>
          <w:szCs w:val="21"/>
          <w:highlight w:val="none"/>
        </w:rPr>
        <w:t>：</w:t>
      </w:r>
    </w:p>
    <w:p w14:paraId="033E4090">
      <w:pPr>
        <w:pStyle w:val="180"/>
        <w:widowControl/>
        <w:snapToGrid w:val="0"/>
        <w:spacing w:line="500" w:lineRule="exact"/>
        <w:rPr>
          <w:rFonts w:ascii="宋体" w:hAnsi="宋体" w:cs="宋体"/>
          <w:color w:val="000000"/>
          <w:kern w:val="0"/>
          <w:szCs w:val="21"/>
          <w:highlight w:val="none"/>
        </w:rPr>
      </w:pPr>
      <w:r>
        <w:rPr>
          <w:rFonts w:ascii="宋体" w:hAnsi="宋体" w:cs="宋体"/>
          <w:color w:val="000000"/>
          <w:kern w:val="0"/>
          <w:szCs w:val="21"/>
          <w:highlight w:val="none"/>
        </w:rPr>
        <w:t xml:space="preserve">  A.投资关系    B.行政隶属关系    C.业务指导关系</w:t>
      </w:r>
    </w:p>
    <w:p w14:paraId="1D987C95">
      <w:pPr>
        <w:pStyle w:val="180"/>
        <w:widowControl/>
        <w:snapToGrid w:val="0"/>
        <w:spacing w:line="500" w:lineRule="exact"/>
        <w:rPr>
          <w:rFonts w:ascii="宋体" w:hAnsi="宋体" w:cs="宋体"/>
          <w:color w:val="000000"/>
          <w:kern w:val="0"/>
          <w:szCs w:val="21"/>
          <w:highlight w:val="none"/>
        </w:rPr>
      </w:pPr>
      <w:r>
        <w:rPr>
          <w:rFonts w:ascii="宋体" w:hAnsi="宋体" w:cs="宋体"/>
          <w:color w:val="000000"/>
          <w:kern w:val="0"/>
          <w:szCs w:val="21"/>
          <w:highlight w:val="none"/>
        </w:rPr>
        <w:t xml:space="preserve">  D.其他可能</w:t>
      </w:r>
      <w:r>
        <w:rPr>
          <w:rFonts w:ascii="宋体" w:hAnsi="宋体" w:cs="宋体"/>
          <w:color w:val="000000"/>
          <w:szCs w:val="21"/>
          <w:highlight w:val="none"/>
        </w:rPr>
        <w:t>影响采购公正的</w:t>
      </w:r>
      <w:r>
        <w:rPr>
          <w:rFonts w:ascii="宋体" w:hAnsi="宋体" w:cs="宋体"/>
          <w:color w:val="000000"/>
          <w:kern w:val="0"/>
          <w:szCs w:val="21"/>
          <w:highlight w:val="none"/>
        </w:rPr>
        <w:t>利害关系</w:t>
      </w:r>
      <w:r>
        <w:rPr>
          <w:rFonts w:ascii="宋体" w:hAnsi="宋体" w:cs="宋体"/>
          <w:color w:val="000000"/>
          <w:kern w:val="0"/>
          <w:szCs w:val="21"/>
          <w:highlight w:val="none"/>
          <w:u w:val="single"/>
        </w:rPr>
        <w:t xml:space="preserve">（如有，请如实说明）                 </w:t>
      </w:r>
      <w:r>
        <w:rPr>
          <w:rFonts w:ascii="宋体" w:hAnsi="宋体" w:cs="宋体"/>
          <w:color w:val="000000"/>
          <w:kern w:val="0"/>
          <w:szCs w:val="21"/>
          <w:highlight w:val="none"/>
        </w:rPr>
        <w:t>。</w:t>
      </w:r>
    </w:p>
    <w:p w14:paraId="3E465B68">
      <w:pPr>
        <w:pStyle w:val="180"/>
        <w:widowControl/>
        <w:snapToGrid w:val="0"/>
        <w:spacing w:line="500" w:lineRule="exact"/>
        <w:rPr>
          <w:rFonts w:ascii="宋体" w:hAnsi="宋体" w:cs="宋体"/>
          <w:color w:val="000000"/>
          <w:kern w:val="0"/>
          <w:szCs w:val="21"/>
          <w:highlight w:val="none"/>
        </w:rPr>
      </w:pPr>
      <w:r>
        <w:rPr>
          <w:rFonts w:ascii="宋体" w:hAnsi="宋体" w:cs="宋体"/>
          <w:color w:val="000000"/>
          <w:spacing w:val="6"/>
          <w:szCs w:val="21"/>
          <w:highlight w:val="none"/>
        </w:rPr>
        <w:t xml:space="preserve">  二、</w:t>
      </w:r>
      <w:r>
        <w:rPr>
          <w:rFonts w:ascii="宋体" w:hAnsi="宋体" w:cs="宋体"/>
          <w:color w:val="000000"/>
          <w:kern w:val="0"/>
          <w:szCs w:val="21"/>
          <w:highlight w:val="none"/>
        </w:rPr>
        <w:t>现已清楚知道参加本项目采购活动的其他所有供应商名称，本单位 □与其他所有供应商之间均不存在利害关系 □与</w:t>
      </w:r>
      <w:r>
        <w:rPr>
          <w:rFonts w:ascii="宋体" w:hAnsi="宋体" w:cs="宋体"/>
          <w:color w:val="000000"/>
          <w:kern w:val="0"/>
          <w:szCs w:val="21"/>
          <w:highlight w:val="none"/>
          <w:u w:val="single"/>
        </w:rPr>
        <w:t xml:space="preserve">            （供应商名称）</w:t>
      </w:r>
      <w:r>
        <w:rPr>
          <w:rFonts w:ascii="宋体" w:hAnsi="宋体" w:cs="宋体"/>
          <w:color w:val="000000"/>
          <w:kern w:val="0"/>
          <w:szCs w:val="21"/>
          <w:highlight w:val="none"/>
        </w:rPr>
        <w:t>之间存在下列利害关系</w:t>
      </w:r>
      <w:r>
        <w:rPr>
          <w:rFonts w:ascii="宋体" w:hAnsi="宋体" w:cs="宋体"/>
          <w:color w:val="000000"/>
          <w:kern w:val="0"/>
          <w:szCs w:val="21"/>
          <w:highlight w:val="none"/>
          <w:u w:val="single"/>
        </w:rPr>
        <w:t xml:space="preserve">          </w:t>
      </w:r>
      <w:r>
        <w:rPr>
          <w:rFonts w:ascii="宋体" w:hAnsi="宋体" w:cs="宋体"/>
          <w:color w:val="000000"/>
          <w:kern w:val="0"/>
          <w:szCs w:val="21"/>
          <w:highlight w:val="none"/>
        </w:rPr>
        <w:t>：</w:t>
      </w:r>
    </w:p>
    <w:p w14:paraId="11D87844">
      <w:pPr>
        <w:pStyle w:val="179"/>
        <w:widowControl w:val="0"/>
        <w:snapToGrid w:val="0"/>
        <w:spacing w:line="500" w:lineRule="exact"/>
        <w:jc w:val="both"/>
        <w:rPr>
          <w:rFonts w:hAnsi="宋体" w:cs="宋体"/>
          <w:color w:val="000000"/>
          <w:kern w:val="0"/>
          <w:szCs w:val="21"/>
          <w:highlight w:val="none"/>
        </w:rPr>
      </w:pPr>
      <w:r>
        <w:rPr>
          <w:rFonts w:hAnsi="宋体" w:cs="宋体"/>
          <w:color w:val="000000"/>
          <w:kern w:val="0"/>
          <w:szCs w:val="21"/>
          <w:highlight w:val="none"/>
        </w:rPr>
        <w:t xml:space="preserve">  A.法定代表人或负责人或实际控制人是同一人</w:t>
      </w:r>
    </w:p>
    <w:p w14:paraId="6C1FD9B4">
      <w:pPr>
        <w:pStyle w:val="179"/>
        <w:widowControl w:val="0"/>
        <w:snapToGrid w:val="0"/>
        <w:spacing w:line="500" w:lineRule="exact"/>
        <w:jc w:val="both"/>
        <w:rPr>
          <w:rFonts w:hAnsi="宋体" w:cs="宋体"/>
          <w:color w:val="000000"/>
          <w:spacing w:val="6"/>
          <w:szCs w:val="21"/>
          <w:highlight w:val="none"/>
        </w:rPr>
      </w:pPr>
      <w:r>
        <w:rPr>
          <w:rFonts w:hAnsi="宋体" w:cs="宋体"/>
          <w:color w:val="000000"/>
          <w:kern w:val="0"/>
          <w:szCs w:val="21"/>
          <w:highlight w:val="none"/>
        </w:rPr>
        <w:t xml:space="preserve">  B.法定代表人或负责人或实际控制人是夫妻关系</w:t>
      </w:r>
    </w:p>
    <w:p w14:paraId="219706A4">
      <w:pPr>
        <w:pStyle w:val="179"/>
        <w:widowControl w:val="0"/>
        <w:snapToGrid w:val="0"/>
        <w:spacing w:line="500" w:lineRule="exact"/>
        <w:jc w:val="both"/>
        <w:rPr>
          <w:rFonts w:hAnsi="宋体" w:cs="宋体"/>
          <w:color w:val="000000"/>
          <w:spacing w:val="6"/>
          <w:szCs w:val="21"/>
          <w:highlight w:val="none"/>
        </w:rPr>
      </w:pPr>
      <w:r>
        <w:rPr>
          <w:rFonts w:hAnsi="宋体" w:cs="宋体"/>
          <w:color w:val="000000"/>
          <w:kern w:val="0"/>
          <w:szCs w:val="21"/>
          <w:highlight w:val="none"/>
        </w:rPr>
        <w:t xml:space="preserve">  C.法定代表人或负责人或实际控制人是直系血亲关系</w:t>
      </w:r>
    </w:p>
    <w:p w14:paraId="7182B21F">
      <w:pPr>
        <w:pStyle w:val="179"/>
        <w:widowControl w:val="0"/>
        <w:snapToGrid w:val="0"/>
        <w:spacing w:line="500" w:lineRule="exact"/>
        <w:jc w:val="both"/>
        <w:rPr>
          <w:rFonts w:hAnsi="宋体" w:cs="宋体"/>
          <w:color w:val="000000"/>
          <w:spacing w:val="6"/>
          <w:szCs w:val="21"/>
          <w:highlight w:val="none"/>
        </w:rPr>
      </w:pPr>
      <w:r>
        <w:rPr>
          <w:rFonts w:hAnsi="宋体" w:cs="宋体"/>
          <w:color w:val="000000"/>
          <w:kern w:val="0"/>
          <w:szCs w:val="21"/>
          <w:highlight w:val="none"/>
        </w:rPr>
        <w:t xml:space="preserve">  D.法定代表人或负责人或实际控制人存在三代以内旁系血亲关系</w:t>
      </w:r>
    </w:p>
    <w:p w14:paraId="6524FBD6">
      <w:pPr>
        <w:pStyle w:val="179"/>
        <w:widowControl w:val="0"/>
        <w:snapToGrid w:val="0"/>
        <w:spacing w:line="500" w:lineRule="exact"/>
        <w:jc w:val="both"/>
        <w:rPr>
          <w:rFonts w:hAnsi="宋体" w:cs="宋体"/>
          <w:color w:val="000000"/>
          <w:kern w:val="0"/>
          <w:szCs w:val="21"/>
          <w:highlight w:val="none"/>
        </w:rPr>
      </w:pPr>
      <w:r>
        <w:rPr>
          <w:rFonts w:hAnsi="宋体" w:cs="宋体"/>
          <w:color w:val="000000"/>
          <w:kern w:val="0"/>
          <w:szCs w:val="21"/>
          <w:highlight w:val="none"/>
        </w:rPr>
        <w:t xml:space="preserve">  E.法定代表人或负责人或实际控制人存在近姻亲关系</w:t>
      </w:r>
    </w:p>
    <w:p w14:paraId="082AAADE">
      <w:pPr>
        <w:pStyle w:val="179"/>
        <w:widowControl w:val="0"/>
        <w:snapToGrid w:val="0"/>
        <w:spacing w:line="500" w:lineRule="exact"/>
        <w:jc w:val="both"/>
        <w:rPr>
          <w:rFonts w:hAnsi="宋体" w:cs="宋体"/>
          <w:color w:val="000000"/>
          <w:kern w:val="0"/>
          <w:szCs w:val="21"/>
          <w:highlight w:val="none"/>
        </w:rPr>
      </w:pPr>
      <w:r>
        <w:rPr>
          <w:rFonts w:hAnsi="宋体" w:cs="宋体"/>
          <w:color w:val="000000"/>
          <w:kern w:val="0"/>
          <w:szCs w:val="21"/>
          <w:highlight w:val="none"/>
        </w:rPr>
        <w:t xml:space="preserve">  F.法定代表人或负责人或实际控制人存在股份控制或实际控制关系</w:t>
      </w:r>
    </w:p>
    <w:p w14:paraId="102F9767">
      <w:pPr>
        <w:pStyle w:val="179"/>
        <w:widowControl w:val="0"/>
        <w:snapToGrid w:val="0"/>
        <w:spacing w:line="500" w:lineRule="exact"/>
        <w:jc w:val="both"/>
        <w:outlineLvl w:val="0"/>
        <w:rPr>
          <w:rFonts w:hAnsi="宋体" w:cs="宋体"/>
          <w:color w:val="000000"/>
          <w:kern w:val="0"/>
          <w:szCs w:val="21"/>
          <w:highlight w:val="none"/>
        </w:rPr>
      </w:pPr>
      <w:r>
        <w:rPr>
          <w:rFonts w:hAnsi="宋体" w:cs="宋体"/>
          <w:color w:val="000000"/>
          <w:kern w:val="0"/>
          <w:szCs w:val="21"/>
          <w:highlight w:val="none"/>
        </w:rPr>
        <w:t xml:space="preserve">  G.存在共同直接或间接投资设立子公司、联营企业和合营企业情况</w:t>
      </w:r>
    </w:p>
    <w:p w14:paraId="6AD4276D">
      <w:pPr>
        <w:pStyle w:val="179"/>
        <w:widowControl w:val="0"/>
        <w:snapToGrid w:val="0"/>
        <w:spacing w:line="500" w:lineRule="exact"/>
        <w:jc w:val="both"/>
        <w:rPr>
          <w:rFonts w:hAnsi="宋体" w:cs="宋体"/>
          <w:color w:val="000000"/>
          <w:szCs w:val="21"/>
          <w:highlight w:val="none"/>
        </w:rPr>
      </w:pPr>
      <w:r>
        <w:rPr>
          <w:rFonts w:hAnsi="宋体" w:cs="宋体"/>
          <w:color w:val="000000"/>
          <w:kern w:val="0"/>
          <w:szCs w:val="21"/>
          <w:highlight w:val="none"/>
        </w:rPr>
        <w:t xml:space="preserve">  H.存在分级代理或代销关系、同一生产制造商关系、</w:t>
      </w:r>
      <w:r>
        <w:rPr>
          <w:rFonts w:hAnsi="宋体" w:cs="宋体"/>
          <w:color w:val="000000"/>
          <w:szCs w:val="21"/>
          <w:highlight w:val="none"/>
        </w:rPr>
        <w:t>管理关系、重要业务（占主营业务收入50%以上）或重要财务往来关系（如融资）等其他实质性控制关系</w:t>
      </w:r>
    </w:p>
    <w:p w14:paraId="7C8B3761">
      <w:pPr>
        <w:pStyle w:val="179"/>
        <w:widowControl w:val="0"/>
        <w:snapToGrid w:val="0"/>
        <w:spacing w:line="500" w:lineRule="exact"/>
        <w:jc w:val="both"/>
        <w:rPr>
          <w:rFonts w:hAnsi="宋体" w:cs="宋体"/>
          <w:color w:val="000000"/>
          <w:spacing w:val="6"/>
          <w:szCs w:val="21"/>
          <w:highlight w:val="none"/>
        </w:rPr>
      </w:pPr>
      <w:r>
        <w:rPr>
          <w:rFonts w:hAnsi="宋体" w:cs="宋体"/>
          <w:color w:val="000000"/>
          <w:szCs w:val="21"/>
          <w:highlight w:val="none"/>
        </w:rPr>
        <w:t xml:space="preserve">  I</w:t>
      </w:r>
      <w:r>
        <w:rPr>
          <w:rFonts w:hAnsi="宋体" w:cs="宋体"/>
          <w:color w:val="000000"/>
          <w:kern w:val="0"/>
          <w:szCs w:val="21"/>
          <w:highlight w:val="none"/>
        </w:rPr>
        <w:t>.</w:t>
      </w:r>
      <w:r>
        <w:rPr>
          <w:rFonts w:hAnsi="宋体" w:cs="宋体"/>
          <w:color w:val="000000"/>
          <w:szCs w:val="21"/>
          <w:highlight w:val="none"/>
        </w:rPr>
        <w:t>其他利害关系情况</w:t>
      </w:r>
      <w:r>
        <w:rPr>
          <w:rFonts w:hAnsi="宋体" w:cs="宋体"/>
          <w:color w:val="000000"/>
          <w:szCs w:val="21"/>
          <w:highlight w:val="none"/>
          <w:u w:val="single"/>
        </w:rPr>
        <w:t xml:space="preserve">                              </w:t>
      </w:r>
      <w:r>
        <w:rPr>
          <w:rFonts w:hAnsi="宋体" w:cs="宋体"/>
          <w:color w:val="000000"/>
          <w:kern w:val="0"/>
          <w:szCs w:val="21"/>
          <w:highlight w:val="none"/>
        </w:rPr>
        <w:t>。</w:t>
      </w:r>
    </w:p>
    <w:p w14:paraId="2065050C">
      <w:pPr>
        <w:pStyle w:val="180"/>
        <w:widowControl/>
        <w:numPr>
          <w:ilvl w:val="0"/>
          <w:numId w:val="11"/>
        </w:numPr>
        <w:snapToGrid w:val="0"/>
        <w:spacing w:line="500" w:lineRule="exact"/>
        <w:ind w:firstLine="396" w:firstLineChars="189"/>
        <w:rPr>
          <w:rFonts w:ascii="宋体" w:hAnsi="宋体" w:cs="宋体"/>
          <w:color w:val="000000"/>
          <w:kern w:val="0"/>
          <w:szCs w:val="21"/>
          <w:highlight w:val="none"/>
        </w:rPr>
      </w:pPr>
      <w:r>
        <w:rPr>
          <w:rFonts w:ascii="宋体" w:hAnsi="宋体" w:cs="宋体"/>
          <w:color w:val="000000"/>
          <w:szCs w:val="21"/>
          <w:highlight w:val="none"/>
        </w:rPr>
        <w:t>现已清楚知道并</w:t>
      </w:r>
      <w:r>
        <w:rPr>
          <w:rFonts w:ascii="宋体" w:hAnsi="宋体" w:cs="宋体"/>
          <w:color w:val="000000"/>
          <w:kern w:val="0"/>
          <w:szCs w:val="21"/>
          <w:highlight w:val="none"/>
        </w:rPr>
        <w:t>严格遵守国企采购法律法规和现场纪律。</w:t>
      </w:r>
    </w:p>
    <w:p w14:paraId="4A9E4F95">
      <w:pPr>
        <w:pStyle w:val="180"/>
        <w:widowControl/>
        <w:numPr>
          <w:ilvl w:val="0"/>
          <w:numId w:val="11"/>
        </w:numPr>
        <w:snapToGrid w:val="0"/>
        <w:spacing w:line="500" w:lineRule="exact"/>
        <w:ind w:firstLine="396" w:firstLineChars="189"/>
        <w:rPr>
          <w:rFonts w:ascii="宋体" w:hAnsi="宋体" w:cs="宋体"/>
          <w:color w:val="000000"/>
          <w:kern w:val="0"/>
          <w:szCs w:val="21"/>
          <w:highlight w:val="none"/>
        </w:rPr>
      </w:pPr>
      <w:r>
        <w:rPr>
          <w:rFonts w:ascii="宋体" w:hAnsi="宋体" w:cs="宋体"/>
          <w:color w:val="000000"/>
          <w:kern w:val="0"/>
          <w:szCs w:val="21"/>
          <w:highlight w:val="none"/>
        </w:rPr>
        <w:t>我发现</w:t>
      </w:r>
      <w:r>
        <w:rPr>
          <w:rFonts w:ascii="宋体" w:hAnsi="宋体" w:cs="宋体"/>
          <w:color w:val="000000"/>
          <w:kern w:val="0"/>
          <w:szCs w:val="21"/>
          <w:highlight w:val="none"/>
          <w:u w:val="single"/>
        </w:rPr>
        <w:t xml:space="preserve">                    </w:t>
      </w:r>
      <w:r>
        <w:rPr>
          <w:rFonts w:ascii="宋体" w:hAnsi="宋体" w:cs="宋体"/>
          <w:color w:val="000000"/>
          <w:kern w:val="0"/>
          <w:szCs w:val="21"/>
          <w:highlight w:val="none"/>
        </w:rPr>
        <w:t>供应商之间存在或可能存在上述第二条第</w:t>
      </w:r>
      <w:r>
        <w:rPr>
          <w:rFonts w:ascii="宋体" w:hAnsi="宋体" w:cs="宋体"/>
          <w:color w:val="000000"/>
          <w:kern w:val="0"/>
          <w:szCs w:val="21"/>
          <w:highlight w:val="none"/>
          <w:u w:val="single"/>
        </w:rPr>
        <w:t xml:space="preserve">        </w:t>
      </w:r>
      <w:r>
        <w:rPr>
          <w:rFonts w:ascii="宋体" w:hAnsi="宋体" w:cs="宋体"/>
          <w:color w:val="000000"/>
          <w:kern w:val="0"/>
          <w:szCs w:val="21"/>
          <w:highlight w:val="none"/>
        </w:rPr>
        <w:t>项利害关系。</w:t>
      </w:r>
    </w:p>
    <w:p w14:paraId="6DB177A0">
      <w:pPr>
        <w:pStyle w:val="179"/>
        <w:widowControl w:val="0"/>
        <w:snapToGrid w:val="0"/>
        <w:spacing w:line="500" w:lineRule="exact"/>
        <w:ind w:firstLine="420" w:firstLineChars="200"/>
        <w:jc w:val="both"/>
        <w:rPr>
          <w:rFonts w:hAnsi="宋体" w:cs="宋体"/>
          <w:color w:val="000000"/>
          <w:szCs w:val="21"/>
          <w:highlight w:val="none"/>
        </w:rPr>
      </w:pPr>
    </w:p>
    <w:p w14:paraId="33EE48FF">
      <w:pPr>
        <w:pStyle w:val="179"/>
        <w:widowControl w:val="0"/>
        <w:snapToGrid w:val="0"/>
        <w:spacing w:line="500" w:lineRule="exact"/>
        <w:ind w:firstLine="420" w:firstLineChars="200"/>
        <w:jc w:val="both"/>
        <w:rPr>
          <w:rFonts w:hAnsi="宋体" w:cs="宋体"/>
          <w:color w:val="000000"/>
          <w:szCs w:val="21"/>
          <w:highlight w:val="none"/>
        </w:rPr>
      </w:pPr>
      <w:r>
        <w:rPr>
          <w:rFonts w:hAnsi="宋体" w:cs="宋体"/>
          <w:color w:val="000000"/>
          <w:szCs w:val="21"/>
          <w:highlight w:val="none"/>
        </w:rPr>
        <w:t xml:space="preserve">                                供应商代表签名：</w:t>
      </w:r>
    </w:p>
    <w:p w14:paraId="62429AF5">
      <w:pPr>
        <w:pStyle w:val="179"/>
        <w:widowControl w:val="0"/>
        <w:snapToGrid w:val="0"/>
        <w:spacing w:line="500" w:lineRule="exact"/>
        <w:ind w:firstLine="420" w:firstLineChars="200"/>
        <w:jc w:val="both"/>
        <w:rPr>
          <w:rFonts w:hAnsi="宋体" w:cs="宋体"/>
          <w:color w:val="000000"/>
          <w:szCs w:val="21"/>
          <w:highlight w:val="none"/>
        </w:rPr>
      </w:pPr>
      <w:r>
        <w:rPr>
          <w:rFonts w:hAnsi="宋体" w:cs="宋体"/>
          <w:color w:val="000000"/>
          <w:szCs w:val="21"/>
          <w:highlight w:val="none"/>
        </w:rPr>
        <w:t xml:space="preserve">                                    日      期：2026年</w:t>
      </w:r>
      <w:r>
        <w:rPr>
          <w:rFonts w:hAnsi="宋体" w:cs="宋体"/>
          <w:color w:val="000000"/>
          <w:szCs w:val="21"/>
          <w:highlight w:val="none"/>
          <w:u w:val="single"/>
        </w:rPr>
        <w:t xml:space="preserve">    </w:t>
      </w:r>
      <w:r>
        <w:rPr>
          <w:rFonts w:hAnsi="宋体" w:cs="宋体"/>
          <w:color w:val="000000"/>
          <w:szCs w:val="21"/>
          <w:highlight w:val="none"/>
        </w:rPr>
        <w:t>月</w:t>
      </w:r>
      <w:r>
        <w:rPr>
          <w:rFonts w:hAnsi="宋体" w:cs="宋体"/>
          <w:color w:val="000000"/>
          <w:szCs w:val="21"/>
          <w:highlight w:val="none"/>
          <w:u w:val="single"/>
        </w:rPr>
        <w:t xml:space="preserve">    </w:t>
      </w:r>
      <w:r>
        <w:rPr>
          <w:rFonts w:hAnsi="宋体" w:cs="宋体"/>
          <w:color w:val="000000"/>
          <w:szCs w:val="21"/>
          <w:highlight w:val="none"/>
        </w:rPr>
        <w:t>日</w:t>
      </w:r>
    </w:p>
    <w:p w14:paraId="22B55572">
      <w:pPr>
        <w:spacing w:before="120" w:beforeLines="50" w:after="120" w:afterLines="50" w:line="360" w:lineRule="auto"/>
        <w:rPr>
          <w:rFonts w:ascii="宋体" w:hAnsi="宋体" w:cs="宋体"/>
          <w:sz w:val="22"/>
          <w:highlight w:val="none"/>
        </w:rPr>
      </w:pPr>
      <w:r>
        <w:rPr>
          <w:rFonts w:hint="eastAsia" w:ascii="宋体" w:hAnsi="宋体" w:cs="宋体"/>
          <w:b/>
          <w:bCs/>
          <w:szCs w:val="21"/>
          <w:highlight w:val="none"/>
        </w:rPr>
        <w:t>注:投标供应商须在开标当天将已填写的《国企采购活动现场确认声明书》通过邮件发送至邮箱</w:t>
      </w:r>
      <w:r>
        <w:rPr>
          <w:rFonts w:hint="eastAsia" w:ascii="宋体" w:hAnsi="宋体" w:cs="宋体"/>
          <w:b/>
          <w:bCs/>
          <w:szCs w:val="21"/>
          <w:highlight w:val="none"/>
        </w:rPr>
        <w:fldChar w:fldCharType="begin"/>
      </w:r>
      <w:r>
        <w:rPr>
          <w:rFonts w:hint="eastAsia" w:ascii="宋体" w:hAnsi="宋体" w:cs="宋体"/>
          <w:b/>
          <w:bCs/>
          <w:szCs w:val="21"/>
          <w:highlight w:val="none"/>
        </w:rPr>
        <w:instrText xml:space="preserve"> HYPERLINK "mailto:249168092@qq.com。" </w:instrText>
      </w:r>
      <w:r>
        <w:rPr>
          <w:rFonts w:hint="eastAsia" w:ascii="宋体" w:hAnsi="宋体" w:cs="宋体"/>
          <w:b/>
          <w:bCs/>
          <w:szCs w:val="21"/>
          <w:highlight w:val="none"/>
        </w:rPr>
        <w:fldChar w:fldCharType="separate"/>
      </w:r>
      <w:r>
        <w:rPr>
          <w:rStyle w:val="46"/>
          <w:rFonts w:hint="eastAsia" w:ascii="宋体" w:hAnsi="宋体" w:cs="宋体"/>
          <w:b/>
          <w:bCs/>
          <w:sz w:val="21"/>
          <w:szCs w:val="21"/>
          <w:highlight w:val="none"/>
        </w:rPr>
        <w:t>249168092@qq.com。</w:t>
      </w:r>
      <w:r>
        <w:rPr>
          <w:rStyle w:val="46"/>
          <w:rFonts w:hint="eastAsia" w:ascii="宋体" w:hAnsi="宋体" w:cs="宋体"/>
          <w:sz w:val="22"/>
          <w:highlight w:val="none"/>
        </w:rPr>
        <w:br w:type="page"/>
      </w:r>
      <w:r>
        <w:rPr>
          <w:rFonts w:hint="eastAsia" w:ascii="宋体" w:hAnsi="宋体" w:cs="宋体"/>
          <w:b/>
          <w:bCs/>
          <w:szCs w:val="21"/>
          <w:highlight w:val="none"/>
        </w:rPr>
        <w:fldChar w:fldCharType="end"/>
      </w:r>
      <w:r>
        <w:rPr>
          <w:rFonts w:hint="eastAsia" w:ascii="宋体" w:hAnsi="宋体" w:cs="宋体"/>
          <w:sz w:val="22"/>
          <w:highlight w:val="none"/>
        </w:rPr>
        <w:t>（资格证明文件封面，供参考）</w:t>
      </w:r>
    </w:p>
    <w:p w14:paraId="72288368">
      <w:pPr>
        <w:jc w:val="right"/>
        <w:rPr>
          <w:rFonts w:ascii="宋体" w:hAnsi="宋体" w:cs="宋体"/>
          <w:highlight w:val="none"/>
        </w:rPr>
      </w:pPr>
    </w:p>
    <w:p w14:paraId="49AF54E1">
      <w:pPr>
        <w:rPr>
          <w:rFonts w:ascii="宋体" w:hAnsi="宋体" w:cs="宋体"/>
          <w:highlight w:val="none"/>
        </w:rPr>
      </w:pPr>
    </w:p>
    <w:p w14:paraId="0DEBC869">
      <w:pPr>
        <w:ind w:left="480" w:hanging="480" w:hangingChars="200"/>
        <w:rPr>
          <w:rFonts w:ascii="宋体" w:hAnsi="宋体" w:cs="宋体"/>
          <w:sz w:val="24"/>
          <w:highlight w:val="none"/>
        </w:rPr>
      </w:pPr>
    </w:p>
    <w:p w14:paraId="2BB2CF32">
      <w:pPr>
        <w:rPr>
          <w:rFonts w:ascii="宋体" w:hAnsi="宋体" w:cs="宋体"/>
          <w:highlight w:val="none"/>
        </w:rPr>
      </w:pPr>
    </w:p>
    <w:p w14:paraId="43ED69B0">
      <w:pPr>
        <w:spacing w:line="360" w:lineRule="auto"/>
        <w:jc w:val="center"/>
        <w:rPr>
          <w:rFonts w:hint="eastAsia" w:ascii="宋体" w:hAnsi="宋体" w:cs="宋体"/>
          <w:sz w:val="28"/>
          <w:szCs w:val="28"/>
          <w:highlight w:val="none"/>
        </w:rPr>
      </w:pPr>
      <w:r>
        <w:rPr>
          <w:rFonts w:hint="eastAsia" w:ascii="宋体" w:hAnsi="宋体" w:cs="宋体"/>
          <w:sz w:val="28"/>
          <w:szCs w:val="28"/>
          <w:highlight w:val="none"/>
        </w:rPr>
        <w:t>项目名称：</w:t>
      </w:r>
      <w:r>
        <w:rPr>
          <w:rFonts w:hint="eastAsia" w:ascii="宋体" w:hAnsi="宋体" w:cs="宋体"/>
          <w:sz w:val="28"/>
          <w:szCs w:val="28"/>
          <w:highlight w:val="none"/>
          <w:u w:val="single"/>
        </w:rPr>
        <w:t>金海湖信息化展厅网络环境设备</w:t>
      </w:r>
    </w:p>
    <w:p w14:paraId="79B96B61">
      <w:pPr>
        <w:spacing w:line="360" w:lineRule="auto"/>
        <w:jc w:val="center"/>
        <w:rPr>
          <w:rFonts w:ascii="宋体" w:hAnsi="宋体" w:cs="宋体"/>
          <w:sz w:val="28"/>
          <w:szCs w:val="28"/>
          <w:highlight w:val="none"/>
          <w:u w:val="single"/>
        </w:rPr>
      </w:pPr>
      <w:r>
        <w:rPr>
          <w:rFonts w:hint="eastAsia" w:ascii="宋体" w:hAnsi="宋体" w:cs="宋体"/>
          <w:sz w:val="28"/>
          <w:szCs w:val="28"/>
          <w:highlight w:val="none"/>
        </w:rPr>
        <w:t>项目编号：</w:t>
      </w:r>
      <w:r>
        <w:rPr>
          <w:rFonts w:hint="eastAsia" w:ascii="宋体" w:hAnsi="宋体" w:cs="宋体"/>
          <w:sz w:val="28"/>
          <w:szCs w:val="28"/>
          <w:highlight w:val="none"/>
          <w:u w:val="single"/>
        </w:rPr>
        <w:t>WGSS-JFJT-ZS-2026004</w:t>
      </w:r>
    </w:p>
    <w:p w14:paraId="1F28BCE5">
      <w:pPr>
        <w:jc w:val="center"/>
        <w:rPr>
          <w:rFonts w:hint="eastAsia" w:ascii="宋体" w:hAnsi="宋体" w:cs="宋体"/>
          <w:sz w:val="40"/>
          <w:szCs w:val="40"/>
          <w:highlight w:val="none"/>
        </w:rPr>
      </w:pPr>
    </w:p>
    <w:p w14:paraId="70E68CA1">
      <w:pPr>
        <w:jc w:val="center"/>
        <w:rPr>
          <w:rFonts w:hint="eastAsia" w:ascii="宋体" w:hAnsi="宋体" w:cs="宋体"/>
          <w:sz w:val="40"/>
          <w:szCs w:val="40"/>
          <w:highlight w:val="none"/>
        </w:rPr>
      </w:pPr>
    </w:p>
    <w:p w14:paraId="49307DEA">
      <w:pPr>
        <w:spacing w:line="360" w:lineRule="auto"/>
        <w:jc w:val="center"/>
        <w:rPr>
          <w:rFonts w:hint="eastAsia" w:ascii="宋体" w:hAnsi="宋体" w:cs="宋体"/>
          <w:sz w:val="40"/>
          <w:szCs w:val="40"/>
          <w:highlight w:val="none"/>
        </w:rPr>
      </w:pPr>
    </w:p>
    <w:p w14:paraId="15EB1E3B">
      <w:pPr>
        <w:spacing w:line="360" w:lineRule="auto"/>
        <w:jc w:val="center"/>
        <w:rPr>
          <w:rFonts w:hint="eastAsia" w:ascii="宋体" w:hAnsi="宋体" w:cs="宋体"/>
          <w:sz w:val="28"/>
          <w:szCs w:val="28"/>
          <w:highlight w:val="none"/>
        </w:rPr>
      </w:pPr>
      <w:r>
        <w:rPr>
          <w:rFonts w:hint="eastAsia" w:ascii="宋体" w:hAnsi="宋体" w:cs="宋体"/>
          <w:sz w:val="28"/>
          <w:szCs w:val="28"/>
          <w:highlight w:val="none"/>
        </w:rPr>
        <w:t>资格证明文件</w:t>
      </w:r>
    </w:p>
    <w:p w14:paraId="69A84B6E">
      <w:pPr>
        <w:spacing w:line="360" w:lineRule="auto"/>
        <w:jc w:val="center"/>
        <w:rPr>
          <w:rFonts w:hint="eastAsia" w:ascii="宋体" w:hAnsi="宋体" w:cs="宋体"/>
          <w:sz w:val="28"/>
          <w:szCs w:val="28"/>
          <w:highlight w:val="none"/>
        </w:rPr>
      </w:pPr>
      <w:r>
        <w:rPr>
          <w:rFonts w:hint="eastAsia" w:ascii="宋体" w:hAnsi="宋体" w:cs="宋体"/>
          <w:sz w:val="28"/>
          <w:szCs w:val="28"/>
          <w:highlight w:val="none"/>
        </w:rPr>
        <w:t>投标文件</w:t>
      </w:r>
    </w:p>
    <w:p w14:paraId="07F797F8">
      <w:pPr>
        <w:spacing w:line="480" w:lineRule="auto"/>
        <w:jc w:val="center"/>
        <w:rPr>
          <w:rFonts w:ascii="宋体" w:hAnsi="宋体" w:cs="宋体"/>
          <w:sz w:val="44"/>
          <w:szCs w:val="44"/>
          <w:highlight w:val="none"/>
        </w:rPr>
      </w:pPr>
    </w:p>
    <w:p w14:paraId="27B6A2C2">
      <w:pPr>
        <w:spacing w:line="360" w:lineRule="auto"/>
        <w:rPr>
          <w:rFonts w:ascii="宋体" w:hAnsi="宋体" w:cs="宋体"/>
          <w:szCs w:val="21"/>
          <w:highlight w:val="none"/>
        </w:rPr>
      </w:pPr>
    </w:p>
    <w:p w14:paraId="1AA1CFE0">
      <w:pPr>
        <w:spacing w:line="360" w:lineRule="auto"/>
        <w:rPr>
          <w:rFonts w:ascii="宋体" w:hAnsi="宋体" w:cs="宋体"/>
          <w:szCs w:val="21"/>
          <w:highlight w:val="none"/>
        </w:rPr>
      </w:pPr>
    </w:p>
    <w:p w14:paraId="44F70FF9">
      <w:pPr>
        <w:jc w:val="center"/>
        <w:rPr>
          <w:rFonts w:hint="eastAsia" w:ascii="宋体" w:hAnsi="宋体" w:cs="宋体"/>
          <w:sz w:val="28"/>
          <w:szCs w:val="28"/>
          <w:highlight w:val="none"/>
        </w:rPr>
      </w:pPr>
    </w:p>
    <w:p w14:paraId="37D20392">
      <w:pPr>
        <w:jc w:val="center"/>
        <w:rPr>
          <w:rFonts w:hint="eastAsia" w:ascii="宋体" w:hAnsi="宋体" w:cs="宋体"/>
          <w:sz w:val="28"/>
          <w:szCs w:val="28"/>
          <w:highlight w:val="none"/>
        </w:rPr>
      </w:pPr>
    </w:p>
    <w:p w14:paraId="2E7C3A5A">
      <w:pPr>
        <w:jc w:val="center"/>
        <w:rPr>
          <w:rFonts w:hint="eastAsia" w:ascii="宋体" w:hAnsi="宋体" w:cs="宋体"/>
          <w:sz w:val="28"/>
          <w:szCs w:val="28"/>
          <w:highlight w:val="none"/>
        </w:rPr>
      </w:pPr>
    </w:p>
    <w:p w14:paraId="3D150A84">
      <w:pPr>
        <w:jc w:val="center"/>
        <w:rPr>
          <w:rFonts w:hint="eastAsia" w:ascii="宋体" w:hAnsi="宋体" w:cs="宋体"/>
          <w:sz w:val="28"/>
          <w:szCs w:val="28"/>
          <w:highlight w:val="none"/>
        </w:rPr>
      </w:pPr>
      <w:r>
        <w:rPr>
          <w:rFonts w:hint="eastAsia" w:ascii="宋体" w:hAnsi="宋体" w:cs="宋体"/>
          <w:sz w:val="28"/>
          <w:szCs w:val="28"/>
          <w:highlight w:val="none"/>
        </w:rPr>
        <w:t>投标供应商：</w:t>
      </w:r>
      <w:r>
        <w:rPr>
          <w:rFonts w:hint="eastAsia" w:ascii="宋体" w:hAnsi="宋体" w:cs="宋体"/>
          <w:sz w:val="28"/>
          <w:szCs w:val="28"/>
          <w:highlight w:val="none"/>
          <w:u w:val="single"/>
        </w:rPr>
        <w:t xml:space="preserve">                              </w:t>
      </w:r>
      <w:r>
        <w:rPr>
          <w:rFonts w:hint="eastAsia" w:ascii="宋体" w:hAnsi="宋体" w:cs="宋体"/>
          <w:sz w:val="28"/>
          <w:szCs w:val="28"/>
          <w:highlight w:val="none"/>
        </w:rPr>
        <w:t>（盖单位公章）</w:t>
      </w:r>
    </w:p>
    <w:p w14:paraId="49CE23F6">
      <w:pPr>
        <w:jc w:val="center"/>
        <w:rPr>
          <w:rFonts w:hint="eastAsia" w:ascii="宋体" w:hAnsi="宋体" w:cs="宋体"/>
          <w:sz w:val="28"/>
          <w:szCs w:val="28"/>
          <w:highlight w:val="none"/>
        </w:rPr>
      </w:pPr>
    </w:p>
    <w:p w14:paraId="7A42C639">
      <w:pPr>
        <w:jc w:val="center"/>
        <w:rPr>
          <w:rFonts w:hint="eastAsia" w:ascii="宋体" w:hAnsi="宋体" w:cs="宋体"/>
          <w:sz w:val="28"/>
          <w:szCs w:val="28"/>
          <w:highlight w:val="none"/>
        </w:rPr>
      </w:pPr>
      <w:r>
        <w:rPr>
          <w:rFonts w:hint="eastAsia" w:ascii="宋体" w:hAnsi="宋体" w:cs="宋体"/>
          <w:sz w:val="28"/>
          <w:szCs w:val="28"/>
          <w:highlight w:val="none"/>
        </w:rPr>
        <w:t>法定代表人（法定负责人） 或授权代表 ：</w:t>
      </w:r>
      <w:r>
        <w:rPr>
          <w:rFonts w:hint="eastAsia" w:ascii="宋体" w:hAnsi="宋体" w:cs="宋体"/>
          <w:sz w:val="28"/>
          <w:szCs w:val="28"/>
          <w:highlight w:val="none"/>
          <w:u w:val="single"/>
        </w:rPr>
        <w:t xml:space="preserve">             </w:t>
      </w:r>
      <w:r>
        <w:rPr>
          <w:rFonts w:hint="eastAsia" w:ascii="宋体" w:hAnsi="宋体" w:cs="宋体"/>
          <w:sz w:val="28"/>
          <w:szCs w:val="28"/>
          <w:highlight w:val="none"/>
        </w:rPr>
        <w:t>（签字或盖章）</w:t>
      </w:r>
    </w:p>
    <w:p w14:paraId="3420EC4D">
      <w:pPr>
        <w:rPr>
          <w:rFonts w:hint="eastAsia" w:ascii="宋体" w:hAnsi="宋体" w:cs="宋体"/>
          <w:sz w:val="28"/>
          <w:szCs w:val="28"/>
          <w:highlight w:val="none"/>
        </w:rPr>
      </w:pPr>
    </w:p>
    <w:p w14:paraId="5055066E">
      <w:pPr>
        <w:jc w:val="center"/>
        <w:rPr>
          <w:rFonts w:hint="eastAsia" w:ascii="宋体" w:hAnsi="宋体" w:cs="宋体"/>
          <w:sz w:val="28"/>
          <w:szCs w:val="28"/>
          <w:highlight w:val="none"/>
          <w:u w:val="single"/>
        </w:rPr>
      </w:pPr>
    </w:p>
    <w:p w14:paraId="7A8FE4A6">
      <w:pPr>
        <w:jc w:val="center"/>
        <w:rPr>
          <w:rFonts w:hint="eastAsia" w:ascii="宋体" w:hAnsi="宋体" w:cs="宋体"/>
          <w:sz w:val="28"/>
          <w:szCs w:val="28"/>
          <w:highlight w:val="none"/>
          <w:u w:val="single"/>
        </w:rPr>
      </w:pPr>
    </w:p>
    <w:p w14:paraId="7BDB107F">
      <w:pPr>
        <w:jc w:val="center"/>
        <w:rPr>
          <w:rFonts w:hint="eastAsia" w:ascii="宋体" w:hAnsi="宋体" w:cs="宋体"/>
          <w:sz w:val="28"/>
          <w:szCs w:val="28"/>
          <w:highlight w:val="none"/>
        </w:rPr>
      </w:pPr>
      <w:r>
        <w:rPr>
          <w:rFonts w:hint="eastAsia" w:ascii="宋体" w:hAnsi="宋体" w:cs="宋体"/>
          <w:sz w:val="28"/>
          <w:szCs w:val="28"/>
          <w:highlight w:val="none"/>
          <w:u w:val="single"/>
        </w:rPr>
        <w:t xml:space="preserve">        </w:t>
      </w:r>
      <w:r>
        <w:rPr>
          <w:rFonts w:hint="eastAsia" w:ascii="宋体" w:hAnsi="宋体" w:cs="宋体"/>
          <w:sz w:val="28"/>
          <w:szCs w:val="28"/>
          <w:highlight w:val="none"/>
        </w:rPr>
        <w:t>年</w:t>
      </w:r>
      <w:r>
        <w:rPr>
          <w:rFonts w:hint="eastAsia" w:ascii="宋体" w:hAnsi="宋体" w:cs="宋体"/>
          <w:sz w:val="28"/>
          <w:szCs w:val="28"/>
          <w:highlight w:val="none"/>
          <w:u w:val="single"/>
        </w:rPr>
        <w:t xml:space="preserve">        </w:t>
      </w:r>
      <w:r>
        <w:rPr>
          <w:rFonts w:hint="eastAsia" w:ascii="宋体" w:hAnsi="宋体" w:cs="宋体"/>
          <w:sz w:val="28"/>
          <w:szCs w:val="28"/>
          <w:highlight w:val="none"/>
        </w:rPr>
        <w:t>月</w:t>
      </w:r>
      <w:r>
        <w:rPr>
          <w:rFonts w:hint="eastAsia" w:ascii="宋体" w:hAnsi="宋体" w:cs="宋体"/>
          <w:sz w:val="28"/>
          <w:szCs w:val="28"/>
          <w:highlight w:val="none"/>
          <w:u w:val="single"/>
        </w:rPr>
        <w:t xml:space="preserve">        </w:t>
      </w:r>
      <w:r>
        <w:rPr>
          <w:rFonts w:hint="eastAsia" w:ascii="宋体" w:hAnsi="宋体" w:cs="宋体"/>
          <w:sz w:val="28"/>
          <w:szCs w:val="28"/>
          <w:highlight w:val="none"/>
        </w:rPr>
        <w:t>日</w:t>
      </w:r>
    </w:p>
    <w:p w14:paraId="7FE72FEF">
      <w:pPr>
        <w:jc w:val="center"/>
        <w:rPr>
          <w:rFonts w:hint="eastAsia" w:ascii="宋体" w:hAnsi="宋体" w:cs="宋体"/>
          <w:sz w:val="28"/>
          <w:szCs w:val="28"/>
          <w:highlight w:val="none"/>
        </w:rPr>
      </w:pPr>
      <w:r>
        <w:rPr>
          <w:rFonts w:hint="eastAsia" w:ascii="宋体" w:hAnsi="宋体" w:cs="宋体"/>
          <w:sz w:val="28"/>
          <w:szCs w:val="28"/>
          <w:highlight w:val="none"/>
        </w:rPr>
        <w:br w:type="page"/>
      </w:r>
      <w:r>
        <w:rPr>
          <w:rFonts w:hint="eastAsia" w:ascii="宋体" w:hAnsi="宋体" w:cs="宋体"/>
          <w:sz w:val="28"/>
          <w:szCs w:val="28"/>
          <w:highlight w:val="none"/>
        </w:rPr>
        <w:t>目录</w:t>
      </w:r>
    </w:p>
    <w:p w14:paraId="25510970">
      <w:pPr>
        <w:spacing w:before="120" w:after="120" w:line="320" w:lineRule="exact"/>
        <w:rPr>
          <w:rFonts w:hint="eastAsia" w:ascii="宋体" w:hAnsi="宋体" w:cs="宋体"/>
          <w:szCs w:val="21"/>
          <w:highlight w:val="none"/>
        </w:rPr>
      </w:pPr>
      <w:r>
        <w:rPr>
          <w:rFonts w:hint="eastAsia" w:ascii="宋体" w:hAnsi="宋体" w:cs="宋体"/>
          <w:sz w:val="22"/>
          <w:highlight w:val="none"/>
        </w:rPr>
        <w:t>（自拟）</w:t>
      </w:r>
      <w:r>
        <w:rPr>
          <w:rFonts w:hint="eastAsia" w:ascii="宋体" w:hAnsi="宋体" w:cs="宋体"/>
          <w:sz w:val="22"/>
          <w:highlight w:val="none"/>
        </w:rPr>
        <w:br w:type="page"/>
      </w:r>
      <w:bookmarkStart w:id="145" w:name="_Toc23743"/>
      <w:bookmarkStart w:id="146" w:name="_Toc15187"/>
      <w:bookmarkStart w:id="147" w:name="_Toc245191320"/>
      <w:bookmarkStart w:id="148" w:name="_Toc262105510"/>
      <w:bookmarkStart w:id="149" w:name="_Toc239145360"/>
      <w:bookmarkStart w:id="150" w:name="_Toc221423625"/>
      <w:bookmarkStart w:id="151" w:name="_Toc221356894"/>
      <w:bookmarkStart w:id="152" w:name="_Toc221374632"/>
      <w:bookmarkStart w:id="153" w:name="_Toc221356957"/>
      <w:bookmarkStart w:id="154" w:name="_Toc245722287"/>
      <w:bookmarkStart w:id="155" w:name="_Toc249758721"/>
      <w:bookmarkStart w:id="156" w:name="_Toc389760269"/>
      <w:bookmarkStart w:id="157" w:name="_Toc222114885"/>
      <w:bookmarkStart w:id="158" w:name="_Toc246261271"/>
      <w:bookmarkStart w:id="159" w:name="_Toc223716004"/>
      <w:bookmarkStart w:id="160" w:name="_Toc249758871"/>
      <w:bookmarkStart w:id="161" w:name="_Toc241404208"/>
      <w:bookmarkStart w:id="162" w:name="_Toc262049425"/>
      <w:r>
        <w:rPr>
          <w:rFonts w:hint="eastAsia" w:ascii="宋体" w:hAnsi="宋体" w:cs="宋体"/>
          <w:szCs w:val="21"/>
          <w:highlight w:val="none"/>
        </w:rPr>
        <w:t>附件</w:t>
      </w:r>
      <w:bookmarkEnd w:id="145"/>
      <w:bookmarkEnd w:id="146"/>
      <w:r>
        <w:rPr>
          <w:rFonts w:hint="eastAsia" w:ascii="宋体" w:hAnsi="宋体" w:cs="宋体"/>
          <w:szCs w:val="21"/>
          <w:highlight w:val="none"/>
        </w:rPr>
        <w:t xml:space="preserve">一   </w:t>
      </w:r>
    </w:p>
    <w:p w14:paraId="4BD7541E">
      <w:pPr>
        <w:spacing w:line="360" w:lineRule="auto"/>
        <w:jc w:val="center"/>
        <w:rPr>
          <w:rFonts w:hint="eastAsia" w:ascii="宋体" w:hAnsi="宋体" w:cs="宋体"/>
          <w:b/>
          <w:szCs w:val="21"/>
          <w:highlight w:val="none"/>
        </w:rPr>
      </w:pPr>
    </w:p>
    <w:p w14:paraId="5B6C212F">
      <w:pPr>
        <w:spacing w:line="360" w:lineRule="auto"/>
        <w:ind w:firstLine="3285" w:firstLineChars="1558"/>
        <w:rPr>
          <w:rFonts w:hint="eastAsia" w:ascii="宋体" w:hAnsi="宋体" w:cs="宋体"/>
          <w:b/>
          <w:szCs w:val="21"/>
          <w:highlight w:val="none"/>
        </w:rPr>
      </w:pPr>
      <w:r>
        <w:rPr>
          <w:rFonts w:hint="eastAsia" w:ascii="宋体" w:hAnsi="宋体" w:cs="宋体"/>
          <w:b/>
          <w:szCs w:val="21"/>
          <w:highlight w:val="none"/>
        </w:rPr>
        <w:t>（1）法定代表人授权书</w:t>
      </w:r>
    </w:p>
    <w:p w14:paraId="2AEABB09">
      <w:pPr>
        <w:rPr>
          <w:rFonts w:hint="eastAsia" w:ascii="宋体" w:hAnsi="宋体" w:cs="宋体"/>
          <w:b/>
          <w:szCs w:val="21"/>
          <w:highlight w:val="none"/>
        </w:rPr>
      </w:pPr>
    </w:p>
    <w:p w14:paraId="7392E419">
      <w:pPr>
        <w:spacing w:line="360" w:lineRule="auto"/>
        <w:rPr>
          <w:rFonts w:hint="eastAsia" w:ascii="宋体" w:hAnsi="宋体" w:cs="宋体"/>
          <w:szCs w:val="21"/>
          <w:highlight w:val="none"/>
        </w:rPr>
      </w:pPr>
      <w:r>
        <w:rPr>
          <w:rFonts w:hint="eastAsia" w:ascii="宋体" w:hAnsi="宋体" w:cs="宋体"/>
          <w:szCs w:val="21"/>
          <w:highlight w:val="none"/>
        </w:rPr>
        <w:t>致温州信达交通工程试验检测有限公司:</w:t>
      </w:r>
    </w:p>
    <w:p w14:paraId="3BB2C707">
      <w:pPr>
        <w:spacing w:line="480" w:lineRule="exact"/>
        <w:ind w:firstLine="2319" w:firstLineChars="1100"/>
        <w:rPr>
          <w:rFonts w:hint="eastAsia" w:ascii="宋体" w:hAnsi="宋体" w:cs="宋体"/>
          <w:b/>
          <w:szCs w:val="21"/>
          <w:highlight w:val="none"/>
        </w:rPr>
      </w:pPr>
    </w:p>
    <w:p w14:paraId="6F176DE1">
      <w:pPr>
        <w:spacing w:line="360" w:lineRule="auto"/>
        <w:ind w:left="120" w:leftChars="57" w:firstLine="315" w:firstLineChars="150"/>
        <w:rPr>
          <w:rFonts w:hint="eastAsia" w:ascii="宋体" w:hAnsi="宋体" w:cs="宋体"/>
          <w:szCs w:val="21"/>
          <w:highlight w:val="none"/>
        </w:rPr>
      </w:pPr>
      <w:r>
        <w:rPr>
          <w:rFonts w:hint="eastAsia" w:ascii="宋体" w:hAnsi="宋体" w:cs="宋体"/>
          <w:szCs w:val="21"/>
          <w:highlight w:val="none"/>
        </w:rPr>
        <w:t>本授权书声明：注册于中华人民共和国的</w:t>
      </w:r>
      <w:r>
        <w:rPr>
          <w:rFonts w:hint="eastAsia" w:ascii="宋体" w:hAnsi="宋体" w:cs="宋体"/>
          <w:szCs w:val="21"/>
          <w:highlight w:val="none"/>
          <w:u w:val="single"/>
        </w:rPr>
        <w:t>　　　　　　</w:t>
      </w:r>
      <w:r>
        <w:rPr>
          <w:rFonts w:hint="eastAsia" w:ascii="宋体" w:hAnsi="宋体" w:cs="宋体"/>
          <w:szCs w:val="21"/>
          <w:highlight w:val="none"/>
        </w:rPr>
        <w:t>（投标供应商名称）法定代表人</w:t>
      </w:r>
      <w:r>
        <w:rPr>
          <w:rFonts w:hint="eastAsia" w:ascii="宋体" w:hAnsi="宋体" w:cs="宋体"/>
          <w:szCs w:val="21"/>
          <w:highlight w:val="none"/>
          <w:u w:val="single"/>
        </w:rPr>
        <w:t>（姓名、职务）</w:t>
      </w:r>
      <w:r>
        <w:rPr>
          <w:rFonts w:hint="eastAsia" w:ascii="宋体" w:hAnsi="宋体" w:cs="宋体"/>
          <w:szCs w:val="21"/>
          <w:highlight w:val="none"/>
        </w:rPr>
        <w:t>代表本公司授权</w:t>
      </w:r>
      <w:r>
        <w:rPr>
          <w:rFonts w:hint="eastAsia" w:ascii="宋体" w:hAnsi="宋体" w:cs="宋体"/>
          <w:szCs w:val="21"/>
          <w:highlight w:val="none"/>
          <w:u w:val="single"/>
        </w:rPr>
        <w:t>　（被授权人的姓名、职务）</w:t>
      </w:r>
      <w:r>
        <w:rPr>
          <w:rFonts w:hint="eastAsia" w:ascii="宋体" w:hAnsi="宋体" w:cs="宋体"/>
          <w:szCs w:val="21"/>
          <w:highlight w:val="none"/>
        </w:rPr>
        <w:t>为本公司的合法代表人，就</w:t>
      </w:r>
      <w:r>
        <w:rPr>
          <w:rFonts w:hint="eastAsia" w:ascii="宋体" w:hAnsi="宋体" w:cs="宋体"/>
          <w:szCs w:val="21"/>
          <w:highlight w:val="none"/>
          <w:u w:val="single"/>
        </w:rPr>
        <w:t>金海湖信息化展厅网络环境设备</w:t>
      </w:r>
      <w:r>
        <w:rPr>
          <w:rFonts w:hint="eastAsia" w:ascii="宋体" w:hAnsi="宋体" w:cs="宋体"/>
          <w:szCs w:val="21"/>
          <w:highlight w:val="none"/>
        </w:rPr>
        <w:t>项目</w:t>
      </w:r>
      <w:r>
        <w:rPr>
          <w:rFonts w:hint="eastAsia" w:ascii="宋体" w:hAnsi="宋体" w:cs="宋体"/>
          <w:bCs/>
          <w:szCs w:val="21"/>
          <w:highlight w:val="none"/>
        </w:rPr>
        <w:t>，</w:t>
      </w:r>
      <w:r>
        <w:rPr>
          <w:rFonts w:hint="eastAsia" w:ascii="宋体" w:hAnsi="宋体" w:cs="宋体"/>
          <w:szCs w:val="21"/>
          <w:highlight w:val="none"/>
        </w:rPr>
        <w:t>项目编号：</w:t>
      </w:r>
      <w:r>
        <w:rPr>
          <w:rFonts w:hint="eastAsia" w:ascii="宋体" w:hAnsi="宋体" w:cs="宋体"/>
          <w:szCs w:val="21"/>
          <w:highlight w:val="none"/>
          <w:u w:val="single"/>
        </w:rPr>
        <w:t>WGSS-JFJT-ZS-2026004</w:t>
      </w:r>
      <w:r>
        <w:rPr>
          <w:rFonts w:hint="eastAsia" w:ascii="宋体" w:hAnsi="宋体" w:cs="宋体"/>
          <w:szCs w:val="21"/>
          <w:highlight w:val="none"/>
        </w:rPr>
        <w:t xml:space="preserve"> ）的投标和合同执行，以我方的名义处理一切与之有关的事宜。</w:t>
      </w:r>
    </w:p>
    <w:p w14:paraId="7460716B">
      <w:pPr>
        <w:spacing w:line="480" w:lineRule="exact"/>
        <w:ind w:firstLine="420" w:firstLineChars="200"/>
        <w:rPr>
          <w:rFonts w:hint="eastAsia" w:ascii="宋体" w:hAnsi="宋体" w:cs="宋体"/>
          <w:szCs w:val="21"/>
          <w:highlight w:val="none"/>
        </w:rPr>
      </w:pPr>
      <w:r>
        <w:rPr>
          <w:rFonts w:hint="eastAsia" w:ascii="宋体" w:hAnsi="宋体" w:cs="宋体"/>
          <w:szCs w:val="21"/>
          <w:highlight w:val="none"/>
        </w:rPr>
        <w:t>本授权书于</w:t>
      </w:r>
      <w:r>
        <w:rPr>
          <w:rFonts w:hint="eastAsia" w:ascii="宋体" w:hAnsi="宋体" w:cs="宋体"/>
          <w:szCs w:val="21"/>
          <w:highlight w:val="none"/>
          <w:u w:val="single"/>
        </w:rPr>
        <w:t>　　　</w:t>
      </w:r>
      <w:r>
        <w:rPr>
          <w:rFonts w:hint="eastAsia" w:ascii="宋体" w:hAnsi="宋体" w:cs="宋体"/>
          <w:szCs w:val="21"/>
          <w:highlight w:val="none"/>
        </w:rPr>
        <w:t>　年</w:t>
      </w:r>
      <w:r>
        <w:rPr>
          <w:rFonts w:hint="eastAsia" w:ascii="宋体" w:hAnsi="宋体" w:cs="宋体"/>
          <w:szCs w:val="21"/>
          <w:highlight w:val="none"/>
          <w:u w:val="single"/>
        </w:rPr>
        <w:t>　　</w:t>
      </w:r>
      <w:r>
        <w:rPr>
          <w:rFonts w:hint="eastAsia" w:ascii="宋体" w:hAnsi="宋体" w:cs="宋体"/>
          <w:szCs w:val="21"/>
          <w:highlight w:val="none"/>
        </w:rPr>
        <w:t>月</w:t>
      </w:r>
      <w:r>
        <w:rPr>
          <w:rFonts w:hint="eastAsia" w:ascii="宋体" w:hAnsi="宋体" w:cs="宋体"/>
          <w:szCs w:val="21"/>
          <w:highlight w:val="none"/>
          <w:u w:val="single"/>
        </w:rPr>
        <w:t>　　</w:t>
      </w:r>
      <w:r>
        <w:rPr>
          <w:rFonts w:hint="eastAsia" w:ascii="宋体" w:hAnsi="宋体" w:cs="宋体"/>
          <w:szCs w:val="21"/>
          <w:highlight w:val="none"/>
        </w:rPr>
        <w:t>日签字生效，有效期至</w:t>
      </w:r>
      <w:r>
        <w:rPr>
          <w:rFonts w:hint="eastAsia" w:ascii="宋体" w:hAnsi="宋体" w:cs="宋体"/>
          <w:szCs w:val="21"/>
          <w:highlight w:val="none"/>
          <w:u w:val="single"/>
        </w:rPr>
        <w:t>　　　　</w:t>
      </w:r>
      <w:r>
        <w:rPr>
          <w:rFonts w:hint="eastAsia" w:ascii="宋体" w:hAnsi="宋体" w:cs="宋体"/>
          <w:szCs w:val="21"/>
          <w:highlight w:val="none"/>
        </w:rPr>
        <w:t>年</w:t>
      </w:r>
      <w:r>
        <w:rPr>
          <w:rFonts w:hint="eastAsia" w:ascii="宋体" w:hAnsi="宋体" w:cs="宋体"/>
          <w:szCs w:val="21"/>
          <w:highlight w:val="none"/>
          <w:u w:val="single"/>
        </w:rPr>
        <w:t>　　</w:t>
      </w:r>
      <w:r>
        <w:rPr>
          <w:rFonts w:hint="eastAsia" w:ascii="宋体" w:hAnsi="宋体" w:cs="宋体"/>
          <w:szCs w:val="21"/>
          <w:highlight w:val="none"/>
        </w:rPr>
        <w:t>月</w:t>
      </w:r>
      <w:r>
        <w:rPr>
          <w:rFonts w:hint="eastAsia" w:ascii="宋体" w:hAnsi="宋体" w:cs="宋体"/>
          <w:szCs w:val="21"/>
          <w:highlight w:val="none"/>
          <w:u w:val="single"/>
        </w:rPr>
        <w:t>　　</w:t>
      </w:r>
      <w:r>
        <w:rPr>
          <w:rFonts w:hint="eastAsia" w:ascii="宋体" w:hAnsi="宋体" w:cs="宋体"/>
          <w:szCs w:val="21"/>
          <w:highlight w:val="none"/>
        </w:rPr>
        <w:t>日，特此声明。</w:t>
      </w:r>
    </w:p>
    <w:p w14:paraId="4EBF9D4D">
      <w:pPr>
        <w:spacing w:line="480" w:lineRule="exact"/>
        <w:ind w:firstLine="2955"/>
        <w:rPr>
          <w:rFonts w:hint="eastAsia" w:ascii="宋体" w:hAnsi="宋体" w:cs="宋体"/>
          <w:b/>
          <w:szCs w:val="21"/>
          <w:highlight w:val="none"/>
        </w:rPr>
      </w:pPr>
      <w:r>
        <w:rPr>
          <w:rFonts w:hint="eastAsia" w:ascii="宋体" w:hAnsi="宋体" w:cs="宋体"/>
          <w:b/>
          <w:szCs w:val="21"/>
          <w:highlight w:val="none"/>
        </w:rPr>
        <w:t xml:space="preserve">     </w:t>
      </w:r>
    </w:p>
    <w:p w14:paraId="32172296">
      <w:pPr>
        <w:spacing w:line="480" w:lineRule="exact"/>
        <w:ind w:firstLine="3788" w:firstLineChars="1804"/>
        <w:rPr>
          <w:rFonts w:hint="eastAsia" w:ascii="宋体" w:hAnsi="宋体" w:cs="宋体"/>
          <w:szCs w:val="21"/>
          <w:highlight w:val="none"/>
        </w:rPr>
      </w:pPr>
      <w:r>
        <w:rPr>
          <w:rFonts w:hint="eastAsia" w:ascii="宋体" w:hAnsi="宋体" w:cs="宋体"/>
          <w:szCs w:val="21"/>
          <w:highlight w:val="none"/>
        </w:rPr>
        <w:t xml:space="preserve">投标供应商全称（盖单位公章）：                  </w:t>
      </w:r>
    </w:p>
    <w:p w14:paraId="763120FF">
      <w:pPr>
        <w:spacing w:line="480" w:lineRule="exact"/>
        <w:ind w:firstLine="3685" w:firstLineChars="1755"/>
        <w:rPr>
          <w:rFonts w:hint="eastAsia" w:ascii="宋体" w:hAnsi="宋体" w:cs="宋体"/>
          <w:szCs w:val="21"/>
          <w:highlight w:val="none"/>
        </w:rPr>
      </w:pPr>
      <w:r>
        <w:rPr>
          <w:rFonts w:hint="eastAsia" w:ascii="宋体" w:hAnsi="宋体" w:cs="宋体"/>
          <w:szCs w:val="21"/>
          <w:highlight w:val="none"/>
        </w:rPr>
        <w:t xml:space="preserve">法定代表人（法定负责人）（签字或盖章）：                  </w:t>
      </w:r>
    </w:p>
    <w:p w14:paraId="2EFD6217">
      <w:pPr>
        <w:spacing w:line="480" w:lineRule="exact"/>
        <w:ind w:firstLine="2955"/>
        <w:rPr>
          <w:rFonts w:hint="eastAsia" w:ascii="宋体" w:hAnsi="宋体" w:cs="宋体"/>
          <w:szCs w:val="21"/>
          <w:highlight w:val="none"/>
        </w:rPr>
      </w:pPr>
      <w:r>
        <w:rPr>
          <w:rFonts w:hint="eastAsia" w:ascii="宋体" w:hAnsi="宋体" w:cs="宋体"/>
          <w:szCs w:val="21"/>
          <w:highlight w:val="none"/>
        </w:rPr>
        <w:t xml:space="preserve">        授 权 日 期：         年    月    日</w:t>
      </w:r>
    </w:p>
    <w:p w14:paraId="57758546">
      <w:pPr>
        <w:spacing w:line="480" w:lineRule="exact"/>
        <w:ind w:firstLine="472" w:firstLineChars="225"/>
        <w:rPr>
          <w:rFonts w:hint="eastAsia" w:ascii="宋体" w:hAnsi="宋体" w:cs="宋体"/>
          <w:szCs w:val="21"/>
          <w:highlight w:val="none"/>
        </w:rPr>
      </w:pPr>
      <w:r>
        <w:rPr>
          <w:rFonts w:hint="eastAsia" w:ascii="宋体" w:hAnsi="宋体" w:cs="宋体"/>
          <w:szCs w:val="21"/>
          <w:highlight w:val="none"/>
        </w:rPr>
        <w:t xml:space="preserve">授权代表姓名：                </w:t>
      </w:r>
    </w:p>
    <w:p w14:paraId="3533EEFD">
      <w:pPr>
        <w:spacing w:line="480" w:lineRule="exact"/>
        <w:ind w:firstLine="472" w:firstLineChars="225"/>
        <w:rPr>
          <w:rFonts w:hint="eastAsia" w:ascii="宋体" w:hAnsi="宋体" w:cs="宋体"/>
          <w:szCs w:val="21"/>
          <w:highlight w:val="none"/>
        </w:rPr>
      </w:pPr>
      <w:r>
        <w:rPr>
          <w:rFonts w:hint="eastAsia" w:ascii="宋体" w:hAnsi="宋体" w:cs="宋体"/>
          <w:szCs w:val="21"/>
          <w:highlight w:val="none"/>
        </w:rPr>
        <w:t xml:space="preserve">身份证号码：                     </w:t>
      </w:r>
    </w:p>
    <w:p w14:paraId="58882DAA">
      <w:pPr>
        <w:spacing w:line="480" w:lineRule="exact"/>
        <w:ind w:firstLine="472" w:firstLineChars="225"/>
        <w:rPr>
          <w:rFonts w:hint="eastAsia" w:ascii="宋体" w:hAnsi="宋体" w:cs="宋体"/>
          <w:szCs w:val="21"/>
          <w:highlight w:val="none"/>
        </w:rPr>
      </w:pPr>
      <w:r>
        <w:rPr>
          <w:rFonts w:hint="eastAsia" w:ascii="宋体" w:hAnsi="宋体" w:cs="宋体"/>
          <w:szCs w:val="21"/>
          <w:highlight w:val="none"/>
        </w:rPr>
        <w:t xml:space="preserve">职务：                      详细通讯地址：                         </w:t>
      </w:r>
    </w:p>
    <w:p w14:paraId="23409C44">
      <w:pPr>
        <w:spacing w:line="480" w:lineRule="exact"/>
        <w:ind w:firstLine="472" w:firstLineChars="225"/>
        <w:rPr>
          <w:rFonts w:hint="eastAsia" w:ascii="宋体" w:hAnsi="宋体" w:cs="宋体"/>
          <w:szCs w:val="21"/>
          <w:highlight w:val="none"/>
        </w:rPr>
      </w:pPr>
      <w:r>
        <w:rPr>
          <w:rFonts w:hint="eastAsia" w:ascii="宋体" w:hAnsi="宋体" w:cs="宋体"/>
          <w:szCs w:val="21"/>
          <w:highlight w:val="none"/>
        </w:rPr>
        <w:t xml:space="preserve">电话：                      传真：                        邮政编码:                        </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1"/>
      </w:tblGrid>
      <w:tr w14:paraId="17E24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0" w:hRule="atLeast"/>
        </w:trPr>
        <w:tc>
          <w:tcPr>
            <w:tcW w:w="9571" w:type="dxa"/>
            <w:noWrap w:val="0"/>
            <w:vAlign w:val="center"/>
          </w:tcPr>
          <w:p w14:paraId="2CE8C07E">
            <w:pPr>
              <w:spacing w:line="380" w:lineRule="exact"/>
              <w:jc w:val="center"/>
              <w:rPr>
                <w:rFonts w:ascii="宋体" w:hAnsi="宋体" w:eastAsia="宋体" w:cs="宋体"/>
                <w:szCs w:val="21"/>
                <w:highlight w:val="none"/>
              </w:rPr>
            </w:pPr>
            <w:r>
              <w:rPr>
                <w:rFonts w:hint="eastAsia" w:ascii="宋体" w:hAnsi="宋体" w:eastAsia="宋体" w:cs="宋体"/>
                <w:szCs w:val="21"/>
                <w:highlight w:val="none"/>
              </w:rPr>
              <w:t>法定代表人身份证复印件或扫描件</w:t>
            </w:r>
          </w:p>
        </w:tc>
      </w:tr>
      <w:tr w14:paraId="584C7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1" w:hRule="atLeast"/>
        </w:trPr>
        <w:tc>
          <w:tcPr>
            <w:tcW w:w="9571" w:type="dxa"/>
            <w:noWrap w:val="0"/>
            <w:vAlign w:val="center"/>
          </w:tcPr>
          <w:p w14:paraId="74930F2D">
            <w:pPr>
              <w:spacing w:line="380" w:lineRule="exact"/>
              <w:jc w:val="center"/>
              <w:rPr>
                <w:rFonts w:hint="eastAsia" w:ascii="宋体" w:hAnsi="宋体" w:eastAsia="宋体" w:cs="宋体"/>
                <w:szCs w:val="21"/>
                <w:highlight w:val="none"/>
              </w:rPr>
            </w:pPr>
            <w:r>
              <w:rPr>
                <w:rFonts w:hint="eastAsia" w:ascii="宋体" w:hAnsi="宋体" w:eastAsia="宋体" w:cs="宋体"/>
                <w:szCs w:val="21"/>
                <w:highlight w:val="none"/>
              </w:rPr>
              <w:t>投标供应商代表授权代表证复印件或扫描件</w:t>
            </w:r>
          </w:p>
          <w:p w14:paraId="38E765C2">
            <w:pPr>
              <w:spacing w:line="380" w:lineRule="exact"/>
              <w:jc w:val="center"/>
              <w:rPr>
                <w:rFonts w:hint="eastAsia" w:ascii="宋体" w:hAnsi="宋体" w:eastAsia="宋体" w:cs="宋体"/>
                <w:szCs w:val="21"/>
                <w:highlight w:val="none"/>
              </w:rPr>
            </w:pPr>
          </w:p>
        </w:tc>
      </w:tr>
    </w:tbl>
    <w:p w14:paraId="4CC09C2F">
      <w:pPr>
        <w:pStyle w:val="20"/>
        <w:spacing w:line="320" w:lineRule="exact"/>
        <w:ind w:firstLine="723" w:firstLineChars="343"/>
        <w:rPr>
          <w:rFonts w:hint="eastAsia" w:hAnsi="宋体" w:cs="宋体"/>
          <w:b/>
          <w:kern w:val="2"/>
          <w:highlight w:val="none"/>
        </w:rPr>
      </w:pPr>
    </w:p>
    <w:p w14:paraId="09C2C399">
      <w:pPr>
        <w:widowControl/>
        <w:spacing w:line="480" w:lineRule="atLeast"/>
        <w:jc w:val="center"/>
        <w:rPr>
          <w:rFonts w:hint="eastAsia" w:ascii="宋体" w:hAnsi="宋体" w:cs="宋体"/>
          <w:bCs/>
          <w:kern w:val="0"/>
          <w:szCs w:val="21"/>
          <w:highlight w:val="none"/>
        </w:rPr>
      </w:pPr>
      <w:r>
        <w:rPr>
          <w:rFonts w:hint="eastAsia" w:ascii="宋体" w:hAnsi="宋体" w:cs="宋体"/>
          <w:b/>
          <w:szCs w:val="21"/>
          <w:highlight w:val="none"/>
        </w:rPr>
        <w:br w:type="page"/>
      </w:r>
      <w:r>
        <w:rPr>
          <w:rFonts w:hint="eastAsia" w:ascii="宋体" w:hAnsi="宋体" w:cs="宋体"/>
          <w:bCs/>
          <w:kern w:val="0"/>
          <w:szCs w:val="21"/>
          <w:highlight w:val="none"/>
        </w:rPr>
        <w:t>法定代表人（法定负责人）资格证明书</w:t>
      </w:r>
    </w:p>
    <w:p w14:paraId="1B653806">
      <w:pPr>
        <w:widowControl/>
        <w:spacing w:line="480" w:lineRule="atLeast"/>
        <w:jc w:val="center"/>
        <w:rPr>
          <w:rFonts w:hint="eastAsia" w:ascii="宋体" w:hAnsi="宋体" w:cs="宋体"/>
          <w:bCs/>
          <w:kern w:val="0"/>
          <w:szCs w:val="21"/>
          <w:highlight w:val="none"/>
        </w:rPr>
      </w:pPr>
      <w:r>
        <w:rPr>
          <w:rFonts w:hint="eastAsia" w:ascii="宋体" w:hAnsi="宋体" w:cs="宋体"/>
          <w:bCs/>
          <w:kern w:val="0"/>
          <w:szCs w:val="21"/>
          <w:highlight w:val="none"/>
        </w:rPr>
        <w:t>（如法定代表人（法定负责人）参加投标时提供）</w:t>
      </w:r>
    </w:p>
    <w:p w14:paraId="54A7C3AC">
      <w:pPr>
        <w:widowControl/>
        <w:spacing w:line="360" w:lineRule="auto"/>
        <w:rPr>
          <w:rFonts w:hint="eastAsia" w:ascii="宋体" w:hAnsi="宋体" w:cs="宋体"/>
          <w:szCs w:val="21"/>
          <w:highlight w:val="none"/>
          <w:u w:val="single"/>
        </w:rPr>
      </w:pPr>
    </w:p>
    <w:p w14:paraId="7C722E51">
      <w:pPr>
        <w:spacing w:line="420" w:lineRule="exact"/>
        <w:rPr>
          <w:rFonts w:hint="eastAsia" w:ascii="宋体" w:hAnsi="宋体" w:cs="宋体"/>
          <w:szCs w:val="21"/>
          <w:highlight w:val="none"/>
        </w:rPr>
      </w:pPr>
      <w:r>
        <w:rPr>
          <w:rFonts w:hint="eastAsia" w:ascii="宋体" w:hAnsi="宋体" w:cs="宋体"/>
          <w:szCs w:val="21"/>
          <w:highlight w:val="none"/>
        </w:rPr>
        <w:t>温州信达交通工程试验检测有限公司：</w:t>
      </w:r>
    </w:p>
    <w:p w14:paraId="366D32D4">
      <w:pPr>
        <w:widowControl/>
        <w:spacing w:line="360" w:lineRule="auto"/>
        <w:rPr>
          <w:rFonts w:hint="eastAsia" w:ascii="宋体" w:hAnsi="宋体" w:cs="宋体"/>
          <w:szCs w:val="21"/>
          <w:highlight w:val="none"/>
          <w:u w:val="single"/>
        </w:rPr>
      </w:pPr>
      <w:r>
        <w:rPr>
          <w:rFonts w:hint="eastAsia" w:ascii="宋体" w:hAnsi="宋体" w:cs="宋体"/>
          <w:szCs w:val="21"/>
          <w:highlight w:val="none"/>
        </w:rPr>
        <w:t>大地工程咨询有限公司：</w:t>
      </w:r>
    </w:p>
    <w:p w14:paraId="4E5CF1A4">
      <w:pPr>
        <w:widowControl/>
        <w:spacing w:line="360" w:lineRule="auto"/>
        <w:ind w:left="420" w:firstLine="473"/>
        <w:jc w:val="left"/>
        <w:rPr>
          <w:rFonts w:hint="eastAsia" w:ascii="宋体" w:hAnsi="宋体" w:cs="宋体"/>
          <w:kern w:val="0"/>
          <w:szCs w:val="21"/>
          <w:highlight w:val="none"/>
        </w:rPr>
      </w:pPr>
      <w:r>
        <w:rPr>
          <w:rFonts w:hint="eastAsia" w:ascii="宋体" w:hAnsi="宋体" w:cs="宋体"/>
          <w:kern w:val="0"/>
          <w:szCs w:val="21"/>
          <w:highlight w:val="none"/>
        </w:rPr>
        <w:t>单位名称：</w:t>
      </w:r>
      <w:r>
        <w:rPr>
          <w:rFonts w:hint="eastAsia" w:ascii="宋体" w:hAnsi="宋体" w:cs="宋体"/>
          <w:kern w:val="0"/>
          <w:szCs w:val="21"/>
          <w:highlight w:val="none"/>
          <w:u w:val="single"/>
        </w:rPr>
        <w:t xml:space="preserve">          </w:t>
      </w:r>
    </w:p>
    <w:p w14:paraId="4A7DBC65">
      <w:pPr>
        <w:widowControl/>
        <w:spacing w:line="360" w:lineRule="auto"/>
        <w:ind w:left="420" w:firstLine="473"/>
        <w:jc w:val="left"/>
        <w:rPr>
          <w:rFonts w:hint="eastAsia" w:ascii="宋体" w:hAnsi="宋体" w:cs="宋体"/>
          <w:kern w:val="0"/>
          <w:szCs w:val="21"/>
          <w:highlight w:val="none"/>
        </w:rPr>
      </w:pPr>
      <w:r>
        <w:rPr>
          <w:rFonts w:hint="eastAsia" w:ascii="宋体" w:hAnsi="宋体" w:cs="宋体"/>
          <w:kern w:val="0"/>
          <w:szCs w:val="21"/>
          <w:highlight w:val="none"/>
        </w:rPr>
        <w:t>地址：</w:t>
      </w:r>
      <w:r>
        <w:rPr>
          <w:rFonts w:hint="eastAsia" w:ascii="宋体" w:hAnsi="宋体" w:cs="宋体"/>
          <w:kern w:val="0"/>
          <w:szCs w:val="21"/>
          <w:highlight w:val="none"/>
          <w:u w:val="single"/>
        </w:rPr>
        <w:t xml:space="preserve">          </w:t>
      </w:r>
    </w:p>
    <w:p w14:paraId="45DB42BB">
      <w:pPr>
        <w:widowControl/>
        <w:spacing w:line="360" w:lineRule="auto"/>
        <w:ind w:left="420" w:firstLine="473"/>
        <w:jc w:val="left"/>
        <w:rPr>
          <w:rFonts w:hint="eastAsia" w:ascii="宋体" w:hAnsi="宋体" w:cs="宋体"/>
          <w:kern w:val="0"/>
          <w:szCs w:val="21"/>
          <w:highlight w:val="none"/>
        </w:rPr>
      </w:pPr>
      <w:r>
        <w:rPr>
          <w:rFonts w:hint="eastAsia" w:ascii="宋体" w:hAnsi="宋体" w:cs="宋体"/>
          <w:kern w:val="0"/>
          <w:szCs w:val="21"/>
          <w:highlight w:val="none"/>
        </w:rPr>
        <w:t>姓名：</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性别：</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年龄：</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职务：</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 xml:space="preserve">        </w:t>
      </w:r>
    </w:p>
    <w:p w14:paraId="004E52D3">
      <w:pPr>
        <w:widowControl/>
        <w:spacing w:line="360" w:lineRule="auto"/>
        <w:ind w:left="420" w:firstLine="473"/>
        <w:jc w:val="left"/>
        <w:rPr>
          <w:rFonts w:hint="eastAsia" w:ascii="宋体" w:hAnsi="宋体" w:cs="宋体"/>
          <w:kern w:val="0"/>
          <w:szCs w:val="21"/>
          <w:highlight w:val="none"/>
        </w:rPr>
      </w:pPr>
      <w:r>
        <w:rPr>
          <w:rFonts w:hint="eastAsia" w:ascii="宋体" w:hAnsi="宋体" w:cs="宋体"/>
          <w:kern w:val="0"/>
          <w:szCs w:val="21"/>
          <w:highlight w:val="none"/>
        </w:rPr>
        <w:t>本人系</w:t>
      </w:r>
      <w:r>
        <w:rPr>
          <w:rFonts w:hint="eastAsia" w:ascii="宋体" w:hAnsi="宋体" w:cs="宋体"/>
          <w:kern w:val="0"/>
          <w:szCs w:val="21"/>
          <w:highlight w:val="none"/>
          <w:u w:val="single"/>
        </w:rPr>
        <w:t xml:space="preserve">       &lt;投标供应商名称&gt;      </w:t>
      </w:r>
      <w:r>
        <w:rPr>
          <w:rFonts w:hint="eastAsia" w:ascii="宋体" w:hAnsi="宋体" w:cs="宋体"/>
          <w:kern w:val="0"/>
          <w:szCs w:val="21"/>
          <w:highlight w:val="none"/>
        </w:rPr>
        <w:t>的法定代表人（法定负责人），为你单位组织的项目编号为</w:t>
      </w:r>
      <w:r>
        <w:rPr>
          <w:rFonts w:hint="eastAsia" w:ascii="宋体" w:hAnsi="宋体" w:cs="宋体"/>
          <w:szCs w:val="21"/>
          <w:highlight w:val="none"/>
          <w:u w:val="single"/>
        </w:rPr>
        <w:t>WGSS-JFJT-ZS-2026004</w:t>
      </w:r>
      <w:r>
        <w:rPr>
          <w:rFonts w:hint="eastAsia" w:ascii="宋体" w:hAnsi="宋体" w:cs="宋体"/>
          <w:kern w:val="0"/>
          <w:szCs w:val="21"/>
          <w:highlight w:val="none"/>
        </w:rPr>
        <w:t>的</w:t>
      </w:r>
      <w:r>
        <w:rPr>
          <w:rFonts w:hint="eastAsia" w:ascii="宋体" w:hAnsi="宋体" w:cs="宋体"/>
          <w:kern w:val="0"/>
          <w:szCs w:val="21"/>
          <w:highlight w:val="none"/>
          <w:u w:val="single"/>
        </w:rPr>
        <w:t>金海湖信息化展厅网络环境设备</w:t>
      </w:r>
      <w:r>
        <w:rPr>
          <w:rFonts w:hint="eastAsia" w:ascii="宋体" w:hAnsi="宋体" w:cs="宋体"/>
          <w:kern w:val="0"/>
          <w:szCs w:val="21"/>
          <w:highlight w:val="none"/>
        </w:rPr>
        <w:t>项目，签署上述项目的投标文件、进行合同谈判、签署合同和处理与之有关的一切事务。</w:t>
      </w:r>
    </w:p>
    <w:p w14:paraId="220330F2">
      <w:pPr>
        <w:widowControl/>
        <w:spacing w:line="360" w:lineRule="auto"/>
        <w:ind w:left="420" w:firstLine="473"/>
        <w:jc w:val="left"/>
        <w:rPr>
          <w:rFonts w:hint="eastAsia" w:ascii="宋体" w:hAnsi="宋体" w:cs="宋体"/>
          <w:kern w:val="0"/>
          <w:szCs w:val="21"/>
          <w:highlight w:val="none"/>
        </w:rPr>
      </w:pPr>
      <w:r>
        <w:rPr>
          <w:rFonts w:hint="eastAsia" w:ascii="宋体" w:hAnsi="宋体" w:cs="宋体"/>
          <w:kern w:val="0"/>
          <w:szCs w:val="21"/>
          <w:highlight w:val="none"/>
        </w:rPr>
        <w:t>特此证明。</w:t>
      </w:r>
    </w:p>
    <w:p w14:paraId="54C030BC">
      <w:pPr>
        <w:widowControl/>
        <w:spacing w:line="360" w:lineRule="auto"/>
        <w:ind w:left="-540" w:firstLine="540"/>
        <w:jc w:val="center"/>
        <w:rPr>
          <w:rFonts w:hint="eastAsia" w:ascii="宋体" w:hAnsi="宋体" w:cs="宋体"/>
          <w:b/>
          <w:bCs/>
          <w:kern w:val="0"/>
          <w:szCs w:val="21"/>
          <w:highlight w:val="none"/>
        </w:rPr>
      </w:pPr>
    </w:p>
    <w:p w14:paraId="435C48C5">
      <w:pPr>
        <w:widowControl/>
        <w:spacing w:line="360" w:lineRule="auto"/>
        <w:ind w:left="-540" w:firstLine="540"/>
        <w:jc w:val="center"/>
        <w:rPr>
          <w:rFonts w:hint="eastAsia" w:ascii="宋体" w:hAnsi="宋体" w:cs="宋体"/>
          <w:b/>
          <w:bCs/>
          <w:kern w:val="0"/>
          <w:szCs w:val="21"/>
          <w:highlight w:val="none"/>
        </w:rPr>
      </w:pP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1"/>
      </w:tblGrid>
      <w:tr w14:paraId="638D5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1" w:hRule="atLeast"/>
        </w:trPr>
        <w:tc>
          <w:tcPr>
            <w:tcW w:w="9571" w:type="dxa"/>
            <w:noWrap w:val="0"/>
            <w:vAlign w:val="center"/>
          </w:tcPr>
          <w:p w14:paraId="7A9495B9">
            <w:pPr>
              <w:widowControl/>
              <w:spacing w:line="360" w:lineRule="auto"/>
              <w:jc w:val="center"/>
              <w:rPr>
                <w:rFonts w:hint="eastAsia" w:ascii="宋体" w:hAnsi="宋体" w:eastAsia="宋体" w:cs="宋体"/>
                <w:b/>
                <w:bCs/>
                <w:kern w:val="0"/>
                <w:szCs w:val="21"/>
                <w:highlight w:val="none"/>
              </w:rPr>
            </w:pPr>
            <w:r>
              <w:rPr>
                <w:rFonts w:hint="eastAsia" w:ascii="宋体" w:hAnsi="宋体" w:eastAsia="宋体" w:cs="宋体"/>
                <w:szCs w:val="21"/>
                <w:highlight w:val="none"/>
              </w:rPr>
              <w:t>法定代表人身份证复印件或扫描件</w:t>
            </w:r>
          </w:p>
        </w:tc>
      </w:tr>
    </w:tbl>
    <w:p w14:paraId="1C8776E6">
      <w:pPr>
        <w:widowControl/>
        <w:spacing w:line="480" w:lineRule="auto"/>
        <w:ind w:left="420" w:firstLine="473"/>
        <w:jc w:val="left"/>
        <w:rPr>
          <w:rFonts w:hint="eastAsia" w:ascii="宋体" w:hAnsi="宋体" w:cs="宋体"/>
          <w:kern w:val="0"/>
          <w:szCs w:val="21"/>
          <w:highlight w:val="none"/>
        </w:rPr>
      </w:pPr>
    </w:p>
    <w:p w14:paraId="50112C9E">
      <w:pPr>
        <w:widowControl/>
        <w:spacing w:line="480" w:lineRule="auto"/>
        <w:ind w:firstLine="1890"/>
        <w:rPr>
          <w:rFonts w:hint="eastAsia" w:ascii="宋体" w:hAnsi="宋体" w:cs="宋体"/>
          <w:kern w:val="0"/>
          <w:szCs w:val="21"/>
          <w:highlight w:val="none"/>
        </w:rPr>
      </w:pPr>
      <w:r>
        <w:rPr>
          <w:rFonts w:hint="eastAsia" w:ascii="宋体" w:hAnsi="宋体" w:cs="宋体"/>
          <w:kern w:val="0"/>
          <w:szCs w:val="21"/>
          <w:highlight w:val="none"/>
        </w:rPr>
        <w:t xml:space="preserve">投标供应商名称（盖单位公章）： </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 xml:space="preserve"> </w:t>
      </w:r>
    </w:p>
    <w:p w14:paraId="12EFB6DE">
      <w:pPr>
        <w:widowControl/>
        <w:spacing w:line="480" w:lineRule="auto"/>
        <w:ind w:firstLine="1890"/>
        <w:rPr>
          <w:rFonts w:hint="eastAsia" w:ascii="宋体" w:hAnsi="宋体" w:cs="宋体"/>
          <w:kern w:val="0"/>
          <w:szCs w:val="21"/>
          <w:highlight w:val="none"/>
        </w:rPr>
      </w:pPr>
      <w:r>
        <w:rPr>
          <w:rFonts w:hint="eastAsia" w:ascii="宋体" w:hAnsi="宋体" w:cs="宋体"/>
          <w:kern w:val="0"/>
          <w:szCs w:val="21"/>
          <w:highlight w:val="none"/>
        </w:rPr>
        <w:t>法定代表人（法定负责人）（签字</w:t>
      </w:r>
      <w:r>
        <w:rPr>
          <w:rFonts w:hint="eastAsia" w:ascii="宋体" w:hAnsi="宋体" w:cs="宋体"/>
          <w:szCs w:val="21"/>
          <w:highlight w:val="none"/>
        </w:rPr>
        <w:t>或盖章</w:t>
      </w:r>
      <w:r>
        <w:rPr>
          <w:rFonts w:hint="eastAsia" w:ascii="宋体" w:hAnsi="宋体" w:cs="宋体"/>
          <w:kern w:val="0"/>
          <w:szCs w:val="21"/>
          <w:highlight w:val="none"/>
        </w:rPr>
        <w:t>）：</w:t>
      </w:r>
      <w:r>
        <w:rPr>
          <w:rFonts w:hint="eastAsia" w:ascii="宋体" w:hAnsi="宋体" w:cs="宋体"/>
          <w:kern w:val="0"/>
          <w:szCs w:val="21"/>
          <w:highlight w:val="none"/>
          <w:u w:val="single"/>
        </w:rPr>
        <w:t xml:space="preserve">                          </w:t>
      </w:r>
    </w:p>
    <w:p w14:paraId="7F9910CD">
      <w:pPr>
        <w:widowControl/>
        <w:snapToGrid w:val="0"/>
        <w:spacing w:before="60" w:line="480" w:lineRule="auto"/>
        <w:ind w:firstLine="1890"/>
        <w:jc w:val="left"/>
        <w:rPr>
          <w:rFonts w:hint="eastAsia" w:ascii="宋体" w:hAnsi="宋体" w:cs="宋体"/>
          <w:kern w:val="0"/>
          <w:szCs w:val="21"/>
          <w:highlight w:val="none"/>
        </w:rPr>
      </w:pPr>
      <w:r>
        <w:rPr>
          <w:rFonts w:hint="eastAsia" w:ascii="宋体" w:hAnsi="宋体" w:cs="宋体"/>
          <w:kern w:val="0"/>
          <w:szCs w:val="21"/>
          <w:highlight w:val="none"/>
        </w:rPr>
        <w:t xml:space="preserve">签署日期： </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 xml:space="preserve">  年 </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 xml:space="preserve"> 月 </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 xml:space="preserve"> 日</w:t>
      </w:r>
    </w:p>
    <w:p w14:paraId="0FBF903B">
      <w:pPr>
        <w:widowControl/>
        <w:snapToGrid w:val="0"/>
        <w:spacing w:before="60" w:line="480" w:lineRule="auto"/>
        <w:jc w:val="left"/>
        <w:rPr>
          <w:rFonts w:hint="eastAsia" w:ascii="宋体" w:hAnsi="宋体" w:cs="宋体"/>
          <w:kern w:val="0"/>
          <w:szCs w:val="21"/>
          <w:highlight w:val="none"/>
        </w:rPr>
      </w:pPr>
    </w:p>
    <w:p w14:paraId="0371A909">
      <w:pPr>
        <w:widowControl/>
        <w:snapToGrid w:val="0"/>
        <w:spacing w:before="60" w:line="480" w:lineRule="auto"/>
        <w:jc w:val="left"/>
        <w:rPr>
          <w:rFonts w:hint="eastAsia" w:ascii="宋体" w:hAnsi="宋体" w:cs="宋体"/>
          <w:kern w:val="0"/>
          <w:szCs w:val="21"/>
          <w:highlight w:val="none"/>
        </w:rPr>
      </w:pPr>
    </w:p>
    <w:p w14:paraId="4B5B10BC">
      <w:pPr>
        <w:widowControl/>
        <w:snapToGrid w:val="0"/>
        <w:spacing w:before="60" w:line="480" w:lineRule="auto"/>
        <w:jc w:val="left"/>
        <w:rPr>
          <w:rFonts w:hint="eastAsia" w:ascii="宋体" w:hAnsi="宋体" w:cs="宋体"/>
          <w:b/>
          <w:bCs/>
          <w:kern w:val="0"/>
          <w:szCs w:val="21"/>
          <w:highlight w:val="none"/>
        </w:rPr>
      </w:pPr>
      <w:r>
        <w:rPr>
          <w:rFonts w:hint="eastAsia" w:ascii="宋体" w:hAnsi="宋体" w:cs="宋体"/>
          <w:b/>
          <w:bCs/>
          <w:kern w:val="0"/>
          <w:szCs w:val="21"/>
          <w:highlight w:val="none"/>
        </w:rPr>
        <w:t>说明：法定代表人（法定负责人）参加本采购项目投标的，须提供此证明书。</w:t>
      </w:r>
    </w:p>
    <w:p w14:paraId="5CE82A55">
      <w:pPr>
        <w:snapToGrid w:val="0"/>
        <w:spacing w:before="120" w:beforeLines="50" w:after="50"/>
        <w:rPr>
          <w:rFonts w:hint="eastAsia" w:ascii="宋体" w:hAnsi="宋体" w:cs="宋体"/>
          <w:szCs w:val="21"/>
          <w:highlight w:val="none"/>
        </w:rPr>
      </w:pPr>
      <w:r>
        <w:rPr>
          <w:rFonts w:hint="eastAsia" w:ascii="宋体" w:hAnsi="宋体" w:cs="宋体"/>
          <w:b/>
          <w:bCs/>
          <w:kern w:val="0"/>
          <w:szCs w:val="21"/>
          <w:highlight w:val="none"/>
        </w:rPr>
        <w:br w:type="page"/>
      </w:r>
      <w:r>
        <w:rPr>
          <w:rFonts w:hint="eastAsia" w:ascii="宋体" w:hAnsi="宋体" w:cs="宋体"/>
          <w:szCs w:val="21"/>
          <w:highlight w:val="none"/>
        </w:rPr>
        <w:t xml:space="preserve">附件二 </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1"/>
      </w:tblGrid>
      <w:tr w14:paraId="0D3A6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31" w:hRule="atLeast"/>
        </w:trPr>
        <w:tc>
          <w:tcPr>
            <w:tcW w:w="9571" w:type="dxa"/>
            <w:noWrap w:val="0"/>
            <w:vAlign w:val="top"/>
          </w:tcPr>
          <w:p w14:paraId="5E6ED9D2">
            <w:pPr>
              <w:pStyle w:val="15"/>
              <w:ind w:firstLine="210"/>
              <w:rPr>
                <w:rFonts w:hint="eastAsia" w:ascii="宋体" w:hAnsi="宋体" w:eastAsia="宋体" w:cs="宋体"/>
                <w:szCs w:val="21"/>
                <w:highlight w:val="none"/>
              </w:rPr>
            </w:pPr>
            <w:r>
              <w:rPr>
                <w:rFonts w:hint="eastAsia" w:ascii="宋体" w:hAnsi="宋体" w:eastAsia="宋体" w:cs="宋体"/>
                <w:szCs w:val="21"/>
                <w:highlight w:val="none"/>
              </w:rPr>
              <w:t>附企业法人有效营业执照（或法人登记证书）复印件或扫描件加盖单位公章</w:t>
            </w:r>
          </w:p>
        </w:tc>
      </w:tr>
    </w:tbl>
    <w:p w14:paraId="1156EA59">
      <w:pPr>
        <w:pStyle w:val="15"/>
        <w:ind w:firstLine="210"/>
        <w:rPr>
          <w:rFonts w:hint="eastAsia" w:ascii="宋体" w:hAnsi="宋体" w:cs="宋体"/>
          <w:szCs w:val="21"/>
          <w:highlight w:val="none"/>
        </w:rPr>
      </w:pPr>
      <w:r>
        <w:rPr>
          <w:rFonts w:hint="eastAsia" w:ascii="宋体" w:hAnsi="宋体" w:cs="宋体"/>
          <w:szCs w:val="21"/>
          <w:highlight w:val="none"/>
        </w:rPr>
        <w:br w:type="page"/>
      </w:r>
      <w:r>
        <w:rPr>
          <w:rFonts w:hint="eastAsia" w:ascii="宋体" w:hAnsi="宋体" w:cs="宋体"/>
          <w:szCs w:val="21"/>
          <w:highlight w:val="none"/>
        </w:rPr>
        <w:t>附件三</w:t>
      </w:r>
    </w:p>
    <w:p w14:paraId="3F88277C">
      <w:pPr>
        <w:pStyle w:val="16"/>
        <w:rPr>
          <w:rFonts w:hint="eastAsia" w:ascii="宋体" w:hAnsi="宋体" w:cs="宋体"/>
          <w:sz w:val="21"/>
          <w:szCs w:val="21"/>
          <w:highlight w:val="none"/>
        </w:rPr>
      </w:pPr>
    </w:p>
    <w:p w14:paraId="24DFD003">
      <w:pPr>
        <w:spacing w:line="460" w:lineRule="exact"/>
        <w:jc w:val="center"/>
        <w:rPr>
          <w:rFonts w:hint="eastAsia" w:ascii="宋体" w:hAnsi="宋体" w:cs="宋体"/>
          <w:b/>
          <w:bCs/>
          <w:szCs w:val="21"/>
          <w:highlight w:val="none"/>
        </w:rPr>
      </w:pPr>
      <w:r>
        <w:rPr>
          <w:rFonts w:hint="eastAsia" w:ascii="宋体" w:hAnsi="宋体" w:cs="宋体"/>
          <w:b/>
          <w:szCs w:val="21"/>
          <w:highlight w:val="none"/>
        </w:rPr>
        <w:t>符合参加国企采购活动应当具备的条件的承诺函</w:t>
      </w:r>
      <w:r>
        <w:rPr>
          <w:rFonts w:hint="eastAsia" w:ascii="宋体" w:hAnsi="宋体" w:cs="宋体"/>
          <w:b/>
          <w:bCs/>
          <w:szCs w:val="21"/>
          <w:highlight w:val="none"/>
        </w:rPr>
        <w:t>;</w:t>
      </w:r>
    </w:p>
    <w:p w14:paraId="20150DBD">
      <w:pPr>
        <w:spacing w:line="460" w:lineRule="exact"/>
        <w:rPr>
          <w:rFonts w:hint="eastAsia" w:ascii="宋体" w:hAnsi="宋体" w:cs="宋体"/>
          <w:b/>
          <w:bCs/>
          <w:szCs w:val="21"/>
          <w:highlight w:val="none"/>
          <w:u w:val="single"/>
        </w:rPr>
      </w:pPr>
    </w:p>
    <w:p w14:paraId="055F7E38">
      <w:pPr>
        <w:spacing w:line="460" w:lineRule="exact"/>
        <w:rPr>
          <w:rFonts w:hint="eastAsia" w:ascii="宋体" w:hAnsi="宋体" w:cs="宋体"/>
          <w:b/>
          <w:bCs/>
          <w:szCs w:val="21"/>
          <w:highlight w:val="none"/>
        </w:rPr>
      </w:pPr>
      <w:r>
        <w:rPr>
          <w:rFonts w:hint="eastAsia" w:ascii="宋体" w:hAnsi="宋体" w:cs="宋体"/>
          <w:b/>
          <w:bCs/>
          <w:szCs w:val="21"/>
          <w:highlight w:val="none"/>
        </w:rPr>
        <w:t>温州信达交通工程试验检测有限公司：</w:t>
      </w:r>
    </w:p>
    <w:p w14:paraId="12329C0D">
      <w:pPr>
        <w:snapToGrid w:val="0"/>
        <w:spacing w:line="360" w:lineRule="auto"/>
        <w:ind w:firstLine="420" w:firstLineChars="200"/>
        <w:rPr>
          <w:rFonts w:hint="eastAsia" w:ascii="宋体" w:hAnsi="宋体" w:cs="宋体"/>
          <w:szCs w:val="21"/>
          <w:highlight w:val="none"/>
        </w:rPr>
      </w:pPr>
    </w:p>
    <w:p w14:paraId="4C6DAA97">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我方参与</w:t>
      </w:r>
      <w:r>
        <w:rPr>
          <w:rFonts w:hint="eastAsia" w:ascii="宋体" w:hAnsi="宋体" w:cs="宋体"/>
          <w:szCs w:val="21"/>
          <w:highlight w:val="none"/>
          <w:u w:val="single"/>
        </w:rPr>
        <w:t>金海湖信息化展厅网络环境设备</w:t>
      </w:r>
      <w:r>
        <w:rPr>
          <w:rFonts w:hint="eastAsia" w:ascii="宋体" w:hAnsi="宋体" w:cs="宋体"/>
          <w:szCs w:val="21"/>
          <w:highlight w:val="none"/>
        </w:rPr>
        <w:t>项目（项目名称）【项目编号：WGSS-JFJT-ZS-2026004】国企采购活动，郑重承诺：</w:t>
      </w:r>
    </w:p>
    <w:p w14:paraId="262670A9">
      <w:pPr>
        <w:snapToGrid w:val="0"/>
        <w:spacing w:line="360" w:lineRule="auto"/>
        <w:ind w:firstLine="315" w:firstLineChars="150"/>
        <w:rPr>
          <w:rFonts w:hint="eastAsia" w:ascii="宋体" w:hAnsi="宋体" w:cs="宋体"/>
          <w:szCs w:val="21"/>
          <w:highlight w:val="none"/>
        </w:rPr>
      </w:pPr>
      <w:r>
        <w:rPr>
          <w:rFonts w:hint="eastAsia" w:ascii="宋体" w:hAnsi="宋体" w:cs="宋体"/>
          <w:szCs w:val="21"/>
          <w:highlight w:val="none"/>
        </w:rPr>
        <w:t>（一）我方具备</w:t>
      </w:r>
      <w:r>
        <w:rPr>
          <w:rFonts w:hint="eastAsia" w:ascii="宋体" w:hAnsi="宋体" w:cs="宋体"/>
          <w:kern w:val="0"/>
          <w:szCs w:val="21"/>
          <w:highlight w:val="none"/>
        </w:rPr>
        <w:t>符合《温州市市属国有企业采购管理办法》第十八条对供应商参加温州市国有企业采购活动应当具备的条件</w:t>
      </w:r>
      <w:r>
        <w:rPr>
          <w:rFonts w:hint="eastAsia" w:ascii="宋体" w:hAnsi="宋体" w:cs="宋体"/>
          <w:szCs w:val="21"/>
          <w:highlight w:val="none"/>
        </w:rPr>
        <w:t>：</w:t>
      </w:r>
    </w:p>
    <w:p w14:paraId="1CAE109D">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1、具有独立承担民事责任的能力；</w:t>
      </w:r>
    </w:p>
    <w:p w14:paraId="00564D02">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 xml:space="preserve">2、具有良好的商业信誉和健全的财务会计制度； </w:t>
      </w:r>
    </w:p>
    <w:p w14:paraId="0AEDDCDC">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3、具有履行合同所必需的设备和专业技术、售后保障等能力；</w:t>
      </w:r>
    </w:p>
    <w:p w14:paraId="751DC7EB">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4、有依法缴纳税收和社会保障资金的良好记录；</w:t>
      </w:r>
    </w:p>
    <w:p w14:paraId="3B0ADC48">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5、参加采购、招投标等活动前三年内，在经营活动中没有重大违法记录、严重失信行为和行贿记录；</w:t>
      </w:r>
    </w:p>
    <w:p w14:paraId="10C91220">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6、法律、行政法规规定的其他条件。</w:t>
      </w:r>
    </w:p>
    <w:p w14:paraId="3B5E7C8E">
      <w:pPr>
        <w:widowControl/>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特此承诺！</w:t>
      </w:r>
    </w:p>
    <w:p w14:paraId="33D8B504">
      <w:pPr>
        <w:spacing w:line="460" w:lineRule="exact"/>
        <w:rPr>
          <w:rFonts w:hint="eastAsia" w:ascii="宋体" w:hAnsi="宋体" w:cs="宋体"/>
          <w:b/>
          <w:bCs/>
          <w:szCs w:val="21"/>
          <w:highlight w:val="none"/>
        </w:rPr>
      </w:pPr>
    </w:p>
    <w:p w14:paraId="32B01346">
      <w:pPr>
        <w:spacing w:line="460" w:lineRule="exact"/>
        <w:ind w:firstLine="3150" w:firstLineChars="1500"/>
        <w:rPr>
          <w:rFonts w:hint="eastAsia" w:ascii="宋体" w:hAnsi="宋体" w:cs="宋体"/>
          <w:szCs w:val="21"/>
          <w:highlight w:val="none"/>
        </w:rPr>
      </w:pPr>
      <w:r>
        <w:rPr>
          <w:rFonts w:hint="eastAsia" w:ascii="宋体" w:hAnsi="宋体" w:cs="宋体"/>
          <w:szCs w:val="21"/>
          <w:highlight w:val="none"/>
        </w:rPr>
        <w:t>投标供应商全称（盖单位公章） ：</w:t>
      </w:r>
    </w:p>
    <w:p w14:paraId="165AE98F">
      <w:pPr>
        <w:spacing w:line="460" w:lineRule="exact"/>
        <w:ind w:firstLine="420" w:firstLineChars="200"/>
        <w:rPr>
          <w:rFonts w:hint="eastAsia" w:ascii="宋体" w:hAnsi="宋体" w:cs="宋体"/>
          <w:szCs w:val="21"/>
          <w:highlight w:val="none"/>
        </w:rPr>
      </w:pPr>
      <w:r>
        <w:rPr>
          <w:rFonts w:hint="eastAsia" w:ascii="宋体" w:hAnsi="宋体" w:cs="宋体"/>
          <w:szCs w:val="21"/>
          <w:highlight w:val="none"/>
        </w:rPr>
        <w:t>法定代表人（法定负责人） 或授权代表（签字或盖章）：</w:t>
      </w:r>
    </w:p>
    <w:p w14:paraId="075F8F32">
      <w:pPr>
        <w:spacing w:line="460" w:lineRule="exact"/>
        <w:ind w:firstLine="5250" w:firstLineChars="2500"/>
        <w:rPr>
          <w:rFonts w:hint="eastAsia" w:ascii="宋体" w:hAnsi="宋体" w:cs="宋体"/>
          <w:szCs w:val="21"/>
          <w:highlight w:val="none"/>
        </w:rPr>
      </w:pPr>
      <w:r>
        <w:rPr>
          <w:rFonts w:hint="eastAsia" w:ascii="宋体" w:hAnsi="宋体" w:cs="宋体"/>
          <w:szCs w:val="21"/>
          <w:highlight w:val="none"/>
        </w:rPr>
        <w:t>日期：     年  月  日</w:t>
      </w:r>
    </w:p>
    <w:p w14:paraId="0886FBBC">
      <w:pPr>
        <w:spacing w:line="460" w:lineRule="exact"/>
        <w:rPr>
          <w:rFonts w:hint="eastAsia" w:ascii="宋体" w:hAnsi="宋体" w:cs="宋体"/>
          <w:b/>
          <w:bCs/>
          <w:szCs w:val="21"/>
          <w:highlight w:val="none"/>
        </w:rPr>
      </w:pPr>
    </w:p>
    <w:p w14:paraId="721DCD8A">
      <w:pPr>
        <w:spacing w:line="460" w:lineRule="exact"/>
        <w:rPr>
          <w:rFonts w:hint="eastAsia" w:ascii="宋体" w:hAnsi="宋体" w:cs="宋体"/>
          <w:b/>
          <w:bCs/>
          <w:szCs w:val="21"/>
          <w:highlight w:val="none"/>
        </w:rPr>
      </w:pPr>
      <w:r>
        <w:rPr>
          <w:rFonts w:hint="eastAsia" w:ascii="宋体" w:hAnsi="宋体" w:cs="宋体"/>
          <w:b/>
          <w:bCs/>
          <w:szCs w:val="21"/>
          <w:highlight w:val="none"/>
        </w:rPr>
        <w:br w:type="page"/>
      </w:r>
      <w:r>
        <w:rPr>
          <w:rFonts w:hint="eastAsia" w:ascii="宋体" w:hAnsi="宋体" w:cs="宋体"/>
          <w:b/>
          <w:bCs/>
          <w:szCs w:val="21"/>
          <w:highlight w:val="none"/>
        </w:rPr>
        <w:t>附件四</w:t>
      </w:r>
    </w:p>
    <w:p w14:paraId="155539B8">
      <w:pPr>
        <w:spacing w:line="460" w:lineRule="exact"/>
        <w:jc w:val="center"/>
        <w:rPr>
          <w:rFonts w:hint="eastAsia" w:ascii="宋体" w:hAnsi="宋体" w:cs="宋体"/>
          <w:b/>
          <w:bCs/>
          <w:szCs w:val="21"/>
          <w:highlight w:val="none"/>
        </w:rPr>
      </w:pPr>
      <w:r>
        <w:rPr>
          <w:rFonts w:hint="eastAsia" w:ascii="宋体" w:hAnsi="宋体" w:cs="宋体"/>
          <w:b/>
          <w:bCs/>
          <w:szCs w:val="21"/>
          <w:highlight w:val="none"/>
        </w:rPr>
        <w:t>单位负责人为同一人或者存在直接控股、管理关系的不同供应商，不得参加同一合同项下的采购活动承诺函</w:t>
      </w:r>
    </w:p>
    <w:p w14:paraId="5F732E09">
      <w:pPr>
        <w:spacing w:line="460" w:lineRule="exact"/>
        <w:rPr>
          <w:rFonts w:hint="eastAsia" w:ascii="宋体" w:hAnsi="宋体" w:cs="宋体"/>
          <w:szCs w:val="21"/>
          <w:highlight w:val="none"/>
          <w:u w:val="single"/>
        </w:rPr>
      </w:pPr>
      <w:r>
        <w:rPr>
          <w:rFonts w:hint="eastAsia" w:ascii="宋体" w:hAnsi="宋体" w:cs="宋体"/>
          <w:szCs w:val="21"/>
          <w:highlight w:val="none"/>
        </w:rPr>
        <w:t>温州信达交通工程试验检测有限公司：</w:t>
      </w:r>
    </w:p>
    <w:p w14:paraId="50504491">
      <w:pPr>
        <w:spacing w:line="460" w:lineRule="exact"/>
        <w:ind w:firstLine="420" w:firstLineChars="200"/>
        <w:rPr>
          <w:rFonts w:hint="eastAsia" w:ascii="宋体" w:hAnsi="宋体" w:cs="宋体"/>
          <w:szCs w:val="21"/>
          <w:highlight w:val="none"/>
        </w:rPr>
      </w:pPr>
      <w:r>
        <w:rPr>
          <w:rFonts w:hint="eastAsia" w:ascii="宋体" w:hAnsi="宋体" w:cs="宋体"/>
          <w:szCs w:val="21"/>
          <w:highlight w:val="none"/>
        </w:rPr>
        <w:t>我方郑重承诺，我方此次参加</w:t>
      </w:r>
      <w:r>
        <w:rPr>
          <w:rFonts w:hint="eastAsia" w:ascii="宋体" w:hAnsi="宋体" w:cs="宋体"/>
          <w:szCs w:val="21"/>
          <w:highlight w:val="none"/>
          <w:u w:val="single"/>
        </w:rPr>
        <w:t>金海湖信息化展厅网络环境设备</w:t>
      </w:r>
      <w:r>
        <w:rPr>
          <w:rFonts w:hint="eastAsia" w:ascii="宋体" w:hAnsi="宋体" w:cs="宋体"/>
          <w:szCs w:val="21"/>
          <w:highlight w:val="none"/>
        </w:rPr>
        <w:t>项目（项目名称）【项目编号：WGSS-JFJT-ZS-2026004】的投标，与参加本次项目同一合同项下国企采购活动的其他供应商不存在单位负责人为同一人或者直接控股、管理关系。如有虚假或隐瞒，愿意承担一切后果。</w:t>
      </w:r>
    </w:p>
    <w:p w14:paraId="0127B92F">
      <w:pPr>
        <w:spacing w:line="460" w:lineRule="exact"/>
        <w:ind w:firstLine="420" w:firstLineChars="200"/>
        <w:rPr>
          <w:rFonts w:hint="eastAsia" w:ascii="宋体" w:hAnsi="宋体" w:cs="宋体"/>
          <w:szCs w:val="21"/>
          <w:highlight w:val="none"/>
        </w:rPr>
      </w:pPr>
      <w:r>
        <w:rPr>
          <w:rFonts w:hint="eastAsia" w:ascii="宋体" w:hAnsi="宋体" w:cs="宋体"/>
          <w:szCs w:val="21"/>
          <w:highlight w:val="none"/>
        </w:rPr>
        <w:t>特此承诺！</w:t>
      </w:r>
    </w:p>
    <w:p w14:paraId="04DC662A">
      <w:pPr>
        <w:spacing w:line="460" w:lineRule="exact"/>
        <w:rPr>
          <w:rFonts w:hint="eastAsia" w:ascii="宋体" w:hAnsi="宋体" w:cs="宋体"/>
          <w:szCs w:val="21"/>
          <w:highlight w:val="none"/>
        </w:rPr>
      </w:pPr>
    </w:p>
    <w:p w14:paraId="30D56A88">
      <w:pPr>
        <w:spacing w:line="460" w:lineRule="exact"/>
        <w:ind w:firstLine="3150" w:firstLineChars="1500"/>
        <w:rPr>
          <w:rFonts w:hint="eastAsia" w:ascii="宋体" w:hAnsi="宋体" w:cs="宋体"/>
          <w:szCs w:val="21"/>
          <w:highlight w:val="none"/>
        </w:rPr>
      </w:pPr>
      <w:r>
        <w:rPr>
          <w:rFonts w:hint="eastAsia" w:ascii="宋体" w:hAnsi="宋体" w:cs="宋体"/>
          <w:szCs w:val="21"/>
          <w:highlight w:val="none"/>
        </w:rPr>
        <w:t>投标供应商全称（盖单位公章） ：</w:t>
      </w:r>
    </w:p>
    <w:p w14:paraId="227B2FE0">
      <w:pPr>
        <w:spacing w:line="460" w:lineRule="exact"/>
        <w:ind w:firstLine="420" w:firstLineChars="200"/>
        <w:rPr>
          <w:rFonts w:hint="eastAsia" w:ascii="宋体" w:hAnsi="宋体" w:cs="宋体"/>
          <w:szCs w:val="21"/>
          <w:highlight w:val="none"/>
        </w:rPr>
      </w:pPr>
      <w:r>
        <w:rPr>
          <w:rFonts w:hint="eastAsia" w:ascii="宋体" w:hAnsi="宋体" w:cs="宋体"/>
          <w:szCs w:val="21"/>
          <w:highlight w:val="none"/>
        </w:rPr>
        <w:t>法定代表人（法定负责人） 或授权代表（签字或盖章）：</w:t>
      </w:r>
    </w:p>
    <w:p w14:paraId="265CFFE9">
      <w:pPr>
        <w:spacing w:line="460" w:lineRule="exact"/>
        <w:ind w:firstLine="5250" w:firstLineChars="2500"/>
        <w:rPr>
          <w:rFonts w:hint="eastAsia" w:ascii="宋体" w:hAnsi="宋体" w:cs="宋体"/>
          <w:szCs w:val="21"/>
          <w:highlight w:val="none"/>
        </w:rPr>
      </w:pPr>
      <w:r>
        <w:rPr>
          <w:rFonts w:hint="eastAsia" w:ascii="宋体" w:hAnsi="宋体" w:cs="宋体"/>
          <w:szCs w:val="21"/>
          <w:highlight w:val="none"/>
        </w:rPr>
        <w:t>日期：     年  月  日</w:t>
      </w:r>
    </w:p>
    <w:p w14:paraId="3905ED41">
      <w:pPr>
        <w:spacing w:line="460" w:lineRule="exact"/>
        <w:jc w:val="center"/>
        <w:rPr>
          <w:rFonts w:hint="eastAsia" w:ascii="宋体" w:hAnsi="宋体" w:cs="宋体"/>
          <w:b/>
          <w:bCs/>
          <w:szCs w:val="21"/>
          <w:highlight w:val="none"/>
        </w:rPr>
      </w:pPr>
    </w:p>
    <w:p w14:paraId="59C277B0">
      <w:pPr>
        <w:spacing w:line="460" w:lineRule="exact"/>
        <w:rPr>
          <w:rFonts w:hint="eastAsia" w:ascii="宋体" w:hAnsi="宋体" w:cs="宋体"/>
          <w:b/>
          <w:bCs/>
          <w:szCs w:val="21"/>
          <w:highlight w:val="none"/>
        </w:rPr>
      </w:pPr>
      <w:r>
        <w:rPr>
          <w:rFonts w:hint="eastAsia" w:ascii="宋体" w:hAnsi="宋体" w:cs="宋体"/>
          <w:b/>
          <w:bCs/>
          <w:szCs w:val="21"/>
          <w:highlight w:val="none"/>
        </w:rPr>
        <w:t>附件五</w:t>
      </w:r>
    </w:p>
    <w:p w14:paraId="28CF531C">
      <w:pPr>
        <w:spacing w:line="460" w:lineRule="exact"/>
        <w:jc w:val="center"/>
        <w:rPr>
          <w:rFonts w:hint="eastAsia" w:ascii="宋体" w:hAnsi="宋体" w:cs="宋体"/>
          <w:b/>
          <w:bCs/>
          <w:szCs w:val="21"/>
          <w:highlight w:val="none"/>
        </w:rPr>
      </w:pPr>
      <w:r>
        <w:rPr>
          <w:rFonts w:hint="eastAsia" w:ascii="宋体" w:hAnsi="宋体" w:cs="宋体"/>
          <w:b/>
          <w:bCs/>
          <w:szCs w:val="21"/>
          <w:highlight w:val="none"/>
        </w:rPr>
        <w:t>投标供应商没有失信记录承诺函</w:t>
      </w:r>
    </w:p>
    <w:p w14:paraId="3B56F091">
      <w:pPr>
        <w:spacing w:line="460" w:lineRule="exact"/>
        <w:rPr>
          <w:rFonts w:hint="eastAsia" w:ascii="宋体" w:hAnsi="宋体" w:cs="宋体"/>
          <w:szCs w:val="21"/>
          <w:highlight w:val="none"/>
        </w:rPr>
      </w:pPr>
      <w:r>
        <w:rPr>
          <w:rFonts w:hint="eastAsia" w:ascii="宋体" w:hAnsi="宋体" w:cs="宋体"/>
          <w:szCs w:val="21"/>
          <w:highlight w:val="none"/>
        </w:rPr>
        <w:t>温州信达交通工程试验检测有限公司：</w:t>
      </w:r>
    </w:p>
    <w:p w14:paraId="1A35885D">
      <w:pPr>
        <w:spacing w:line="460" w:lineRule="exact"/>
        <w:ind w:firstLine="630" w:firstLineChars="300"/>
        <w:rPr>
          <w:rFonts w:hint="eastAsia" w:ascii="宋体" w:hAnsi="宋体" w:cs="宋体"/>
          <w:szCs w:val="21"/>
          <w:highlight w:val="none"/>
        </w:rPr>
      </w:pPr>
      <w:r>
        <w:rPr>
          <w:rFonts w:hint="eastAsia" w:ascii="宋体" w:hAnsi="宋体" w:cs="宋体"/>
          <w:szCs w:val="21"/>
          <w:highlight w:val="none"/>
        </w:rPr>
        <w:t>我公司郑重承诺：到本项目（</w:t>
      </w:r>
      <w:r>
        <w:rPr>
          <w:rFonts w:hint="eastAsia" w:ascii="宋体" w:hAnsi="宋体" w:cs="宋体"/>
          <w:szCs w:val="21"/>
          <w:highlight w:val="none"/>
          <w:u w:val="single"/>
        </w:rPr>
        <w:t>金海湖信息化展厅网络环境设备</w:t>
      </w:r>
      <w:r>
        <w:rPr>
          <w:rFonts w:hint="eastAsia" w:ascii="宋体" w:hAnsi="宋体" w:cs="宋体"/>
          <w:szCs w:val="21"/>
          <w:highlight w:val="none"/>
        </w:rPr>
        <w:t>项目（项目名称）【项目编号：WGSS-JFJT-ZS-2026004】）投标截止时间为止，我公司</w:t>
      </w:r>
      <w:r>
        <w:rPr>
          <w:rFonts w:hint="eastAsia" w:ascii="宋体" w:hAnsi="宋体" w:cs="宋体"/>
          <w:bCs/>
          <w:kern w:val="0"/>
          <w:szCs w:val="21"/>
          <w:highlight w:val="none"/>
        </w:rPr>
        <w:t>未被列入失信被执行人名单、重大税收违法案件当事人名单、政府采购严重违法失信行为记录名单，信用信息以信用中国网站（www.creditchina.gov.cn）、中国政府采购网（www.ccgp.gov.cn）公布为准</w:t>
      </w:r>
      <w:r>
        <w:rPr>
          <w:rFonts w:hint="eastAsia" w:ascii="宋体" w:hAnsi="宋体" w:cs="宋体"/>
          <w:szCs w:val="21"/>
          <w:highlight w:val="none"/>
        </w:rPr>
        <w:t>。如有隐瞒，愿承担一切责任。</w:t>
      </w:r>
    </w:p>
    <w:p w14:paraId="17E11359">
      <w:pPr>
        <w:spacing w:line="460" w:lineRule="exact"/>
        <w:ind w:firstLine="420" w:firstLineChars="200"/>
        <w:rPr>
          <w:rFonts w:hint="eastAsia" w:ascii="宋体" w:hAnsi="宋体" w:cs="宋体"/>
          <w:szCs w:val="21"/>
          <w:highlight w:val="none"/>
        </w:rPr>
      </w:pPr>
      <w:r>
        <w:rPr>
          <w:rFonts w:hint="eastAsia" w:ascii="宋体" w:hAnsi="宋体" w:cs="宋体"/>
          <w:szCs w:val="21"/>
          <w:highlight w:val="none"/>
        </w:rPr>
        <w:t>特此承诺！</w:t>
      </w:r>
    </w:p>
    <w:p w14:paraId="3275A58D">
      <w:pPr>
        <w:spacing w:line="460" w:lineRule="exact"/>
        <w:rPr>
          <w:rFonts w:hint="eastAsia" w:ascii="宋体" w:hAnsi="宋体" w:cs="宋体"/>
          <w:szCs w:val="21"/>
          <w:highlight w:val="none"/>
        </w:rPr>
      </w:pPr>
    </w:p>
    <w:p w14:paraId="1350A657">
      <w:pPr>
        <w:spacing w:line="460" w:lineRule="exact"/>
        <w:ind w:firstLine="3150" w:firstLineChars="1500"/>
        <w:rPr>
          <w:rFonts w:hint="eastAsia" w:ascii="宋体" w:hAnsi="宋体" w:cs="宋体"/>
          <w:szCs w:val="21"/>
          <w:highlight w:val="none"/>
        </w:rPr>
      </w:pPr>
      <w:r>
        <w:rPr>
          <w:rFonts w:hint="eastAsia" w:ascii="宋体" w:hAnsi="宋体" w:cs="宋体"/>
          <w:szCs w:val="21"/>
          <w:highlight w:val="none"/>
        </w:rPr>
        <w:t>投标供应商全称（盖单位公章） ：</w:t>
      </w:r>
    </w:p>
    <w:p w14:paraId="66F186D4">
      <w:pPr>
        <w:spacing w:line="460" w:lineRule="exact"/>
        <w:ind w:firstLine="420" w:firstLineChars="200"/>
        <w:rPr>
          <w:rFonts w:hint="eastAsia" w:ascii="宋体" w:hAnsi="宋体" w:cs="宋体"/>
          <w:szCs w:val="21"/>
          <w:highlight w:val="none"/>
        </w:rPr>
      </w:pPr>
      <w:r>
        <w:rPr>
          <w:rFonts w:hint="eastAsia" w:ascii="宋体" w:hAnsi="宋体" w:cs="宋体"/>
          <w:szCs w:val="21"/>
          <w:highlight w:val="none"/>
        </w:rPr>
        <w:t>法定代表人（法定负责人） 或授权代表（签字或盖章）：</w:t>
      </w:r>
    </w:p>
    <w:p w14:paraId="724D0775">
      <w:pPr>
        <w:spacing w:line="460" w:lineRule="exact"/>
        <w:ind w:firstLine="5250" w:firstLineChars="2500"/>
        <w:rPr>
          <w:rFonts w:hint="eastAsia" w:ascii="宋体" w:hAnsi="宋体" w:cs="宋体"/>
          <w:szCs w:val="21"/>
          <w:highlight w:val="none"/>
        </w:rPr>
      </w:pPr>
      <w:r>
        <w:rPr>
          <w:rFonts w:hint="eastAsia" w:ascii="宋体" w:hAnsi="宋体" w:cs="宋体"/>
          <w:szCs w:val="21"/>
          <w:highlight w:val="none"/>
        </w:rPr>
        <w:t>日期：     年  月  日</w:t>
      </w:r>
    </w:p>
    <w:p w14:paraId="1130C902">
      <w:pPr>
        <w:snapToGrid w:val="0"/>
        <w:spacing w:before="120" w:beforeLines="50" w:after="50"/>
        <w:rPr>
          <w:rFonts w:hint="eastAsia" w:ascii="宋体" w:hAnsi="宋体" w:cs="宋体"/>
          <w:szCs w:val="21"/>
          <w:highlight w:val="none"/>
        </w:rPr>
      </w:pPr>
      <w:r>
        <w:rPr>
          <w:rFonts w:hint="eastAsia" w:ascii="宋体" w:hAnsi="宋体" w:cs="宋体"/>
          <w:szCs w:val="21"/>
          <w:highlight w:val="none"/>
        </w:rPr>
        <w:br w:type="page"/>
      </w:r>
      <w:r>
        <w:rPr>
          <w:rFonts w:hint="eastAsia" w:ascii="宋体" w:hAnsi="宋体" w:cs="宋体"/>
          <w:szCs w:val="21"/>
          <w:highlight w:val="none"/>
        </w:rPr>
        <w:t xml:space="preserve">附件六 </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1"/>
      </w:tblGrid>
      <w:tr w14:paraId="14DF5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31" w:hRule="atLeast"/>
        </w:trPr>
        <w:tc>
          <w:tcPr>
            <w:tcW w:w="9571" w:type="dxa"/>
            <w:noWrap w:val="0"/>
            <w:vAlign w:val="top"/>
          </w:tcPr>
          <w:p w14:paraId="4B772A4A">
            <w:pPr>
              <w:pStyle w:val="15"/>
              <w:ind w:firstLine="210"/>
              <w:rPr>
                <w:rFonts w:hint="eastAsia" w:ascii="宋体" w:hAnsi="宋体" w:eastAsia="宋体" w:cs="宋体"/>
                <w:szCs w:val="21"/>
                <w:highlight w:val="none"/>
              </w:rPr>
            </w:pPr>
            <w:r>
              <w:rPr>
                <w:rFonts w:hint="eastAsia" w:ascii="宋体" w:hAnsi="宋体" w:eastAsia="宋体" w:cs="宋体"/>
                <w:szCs w:val="21"/>
                <w:highlight w:val="none"/>
              </w:rPr>
              <w:t>附投标保证金缴纳凭证复印件或扫描件加盖单位公章</w:t>
            </w:r>
          </w:p>
        </w:tc>
      </w:tr>
    </w:tbl>
    <w:p w14:paraId="1625E085">
      <w:pPr>
        <w:spacing w:before="120" w:beforeLines="50" w:after="120" w:afterLines="50" w:line="360" w:lineRule="auto"/>
        <w:rPr>
          <w:rFonts w:ascii="宋体" w:hAnsi="宋体" w:cs="宋体"/>
          <w:sz w:val="22"/>
          <w:highlight w:val="none"/>
        </w:rPr>
      </w:pPr>
      <w:r>
        <w:rPr>
          <w:rFonts w:hint="eastAsia" w:ascii="宋体" w:hAnsi="宋体" w:cs="宋体"/>
          <w:szCs w:val="21"/>
          <w:highlight w:val="none"/>
        </w:rPr>
        <w:br w:type="page"/>
      </w:r>
      <w:r>
        <w:rPr>
          <w:rFonts w:hint="eastAsia" w:ascii="宋体" w:hAnsi="宋体" w:cs="宋体"/>
          <w:sz w:val="22"/>
          <w:highlight w:val="none"/>
        </w:rPr>
        <w:t>（商务技术文件封面，供参考）</w:t>
      </w:r>
    </w:p>
    <w:p w14:paraId="56891F9B">
      <w:pPr>
        <w:jc w:val="right"/>
        <w:rPr>
          <w:rFonts w:ascii="宋体" w:hAnsi="宋体" w:cs="宋体"/>
          <w:highlight w:val="none"/>
        </w:rPr>
      </w:pPr>
    </w:p>
    <w:p w14:paraId="53BD42A1">
      <w:pPr>
        <w:rPr>
          <w:rFonts w:ascii="宋体" w:hAnsi="宋体" w:cs="宋体"/>
          <w:highlight w:val="none"/>
        </w:rPr>
      </w:pPr>
    </w:p>
    <w:p w14:paraId="48223129">
      <w:pPr>
        <w:ind w:left="480" w:hanging="480" w:hangingChars="200"/>
        <w:rPr>
          <w:rFonts w:ascii="宋体" w:hAnsi="宋体" w:cs="宋体"/>
          <w:sz w:val="24"/>
          <w:highlight w:val="none"/>
        </w:rPr>
      </w:pPr>
    </w:p>
    <w:p w14:paraId="4548E4F7">
      <w:pPr>
        <w:rPr>
          <w:rFonts w:ascii="宋体" w:hAnsi="宋体" w:cs="宋体"/>
          <w:highlight w:val="none"/>
        </w:rPr>
      </w:pPr>
    </w:p>
    <w:p w14:paraId="45E6BA17">
      <w:pPr>
        <w:spacing w:line="360" w:lineRule="auto"/>
        <w:jc w:val="center"/>
        <w:rPr>
          <w:rFonts w:hint="eastAsia" w:ascii="宋体" w:hAnsi="宋体" w:cs="宋体"/>
          <w:sz w:val="28"/>
          <w:szCs w:val="28"/>
          <w:highlight w:val="none"/>
        </w:rPr>
      </w:pPr>
      <w:r>
        <w:rPr>
          <w:rFonts w:hint="eastAsia" w:ascii="宋体" w:hAnsi="宋体" w:cs="宋体"/>
          <w:sz w:val="28"/>
          <w:szCs w:val="28"/>
          <w:highlight w:val="none"/>
        </w:rPr>
        <w:t>项目名称：</w:t>
      </w:r>
      <w:r>
        <w:rPr>
          <w:rFonts w:hint="eastAsia" w:ascii="宋体" w:hAnsi="宋体" w:cs="宋体"/>
          <w:sz w:val="28"/>
          <w:szCs w:val="28"/>
          <w:highlight w:val="none"/>
          <w:u w:val="single"/>
        </w:rPr>
        <w:t>金海湖信息化展厅网络环境设备</w:t>
      </w:r>
    </w:p>
    <w:p w14:paraId="725AD9D8">
      <w:pPr>
        <w:spacing w:line="360" w:lineRule="auto"/>
        <w:jc w:val="center"/>
        <w:rPr>
          <w:rFonts w:ascii="宋体" w:hAnsi="宋体" w:cs="宋体"/>
          <w:sz w:val="28"/>
          <w:szCs w:val="28"/>
          <w:highlight w:val="none"/>
          <w:u w:val="single"/>
        </w:rPr>
      </w:pPr>
      <w:r>
        <w:rPr>
          <w:rFonts w:hint="eastAsia" w:ascii="宋体" w:hAnsi="宋体" w:cs="宋体"/>
          <w:sz w:val="28"/>
          <w:szCs w:val="28"/>
          <w:highlight w:val="none"/>
        </w:rPr>
        <w:t>项目编号：</w:t>
      </w:r>
      <w:r>
        <w:rPr>
          <w:rFonts w:hint="eastAsia" w:ascii="宋体" w:hAnsi="宋体" w:cs="宋体"/>
          <w:sz w:val="28"/>
          <w:szCs w:val="28"/>
          <w:highlight w:val="none"/>
          <w:u w:val="single"/>
        </w:rPr>
        <w:t>WGSS-JFJT-ZS-2026004</w:t>
      </w:r>
    </w:p>
    <w:p w14:paraId="4632E6CC">
      <w:pPr>
        <w:jc w:val="center"/>
        <w:rPr>
          <w:rFonts w:hint="eastAsia" w:ascii="宋体" w:hAnsi="宋体" w:cs="宋体"/>
          <w:sz w:val="40"/>
          <w:szCs w:val="40"/>
          <w:highlight w:val="none"/>
        </w:rPr>
      </w:pPr>
    </w:p>
    <w:p w14:paraId="63B0D8C1">
      <w:pPr>
        <w:jc w:val="center"/>
        <w:rPr>
          <w:rFonts w:hint="eastAsia" w:ascii="宋体" w:hAnsi="宋体" w:cs="宋体"/>
          <w:sz w:val="40"/>
          <w:szCs w:val="40"/>
          <w:highlight w:val="none"/>
        </w:rPr>
      </w:pPr>
    </w:p>
    <w:p w14:paraId="4195D5C2">
      <w:pPr>
        <w:spacing w:line="360" w:lineRule="auto"/>
        <w:jc w:val="center"/>
        <w:rPr>
          <w:rFonts w:hint="eastAsia" w:ascii="宋体" w:hAnsi="宋体" w:cs="宋体"/>
          <w:sz w:val="40"/>
          <w:szCs w:val="40"/>
          <w:highlight w:val="none"/>
        </w:rPr>
      </w:pPr>
    </w:p>
    <w:p w14:paraId="5AE19DD8">
      <w:pPr>
        <w:spacing w:line="360" w:lineRule="auto"/>
        <w:jc w:val="center"/>
        <w:rPr>
          <w:rFonts w:hint="eastAsia" w:ascii="宋体" w:hAnsi="宋体" w:cs="宋体"/>
          <w:sz w:val="28"/>
          <w:szCs w:val="28"/>
          <w:highlight w:val="none"/>
        </w:rPr>
      </w:pPr>
      <w:r>
        <w:rPr>
          <w:rFonts w:hint="eastAsia" w:ascii="宋体" w:hAnsi="宋体" w:cs="宋体"/>
          <w:sz w:val="28"/>
          <w:szCs w:val="28"/>
          <w:highlight w:val="none"/>
        </w:rPr>
        <w:t>商务技术文件</w:t>
      </w:r>
    </w:p>
    <w:p w14:paraId="53F2D314">
      <w:pPr>
        <w:spacing w:line="360" w:lineRule="auto"/>
        <w:jc w:val="center"/>
        <w:rPr>
          <w:rFonts w:hint="eastAsia" w:ascii="宋体" w:hAnsi="宋体" w:cs="宋体"/>
          <w:sz w:val="28"/>
          <w:szCs w:val="28"/>
          <w:highlight w:val="none"/>
        </w:rPr>
      </w:pPr>
      <w:r>
        <w:rPr>
          <w:rFonts w:hint="eastAsia" w:ascii="宋体" w:hAnsi="宋体" w:cs="宋体"/>
          <w:sz w:val="28"/>
          <w:szCs w:val="28"/>
          <w:highlight w:val="none"/>
        </w:rPr>
        <w:t>投标文件</w:t>
      </w:r>
    </w:p>
    <w:p w14:paraId="09D47B27">
      <w:pPr>
        <w:spacing w:line="480" w:lineRule="auto"/>
        <w:jc w:val="center"/>
        <w:rPr>
          <w:rFonts w:ascii="宋体" w:hAnsi="宋体" w:cs="宋体"/>
          <w:sz w:val="44"/>
          <w:szCs w:val="44"/>
          <w:highlight w:val="none"/>
        </w:rPr>
      </w:pPr>
    </w:p>
    <w:p w14:paraId="0CD6965F">
      <w:pPr>
        <w:spacing w:line="360" w:lineRule="auto"/>
        <w:rPr>
          <w:rFonts w:ascii="宋体" w:hAnsi="宋体" w:cs="宋体"/>
          <w:szCs w:val="21"/>
          <w:highlight w:val="none"/>
        </w:rPr>
      </w:pPr>
    </w:p>
    <w:p w14:paraId="11991D66">
      <w:pPr>
        <w:spacing w:line="360" w:lineRule="auto"/>
        <w:rPr>
          <w:rFonts w:ascii="宋体" w:hAnsi="宋体" w:cs="宋体"/>
          <w:szCs w:val="21"/>
          <w:highlight w:val="none"/>
        </w:rPr>
      </w:pPr>
    </w:p>
    <w:p w14:paraId="1F1A6FBB">
      <w:pPr>
        <w:jc w:val="center"/>
        <w:rPr>
          <w:rFonts w:hint="eastAsia" w:ascii="宋体" w:hAnsi="宋体" w:cs="宋体"/>
          <w:sz w:val="28"/>
          <w:szCs w:val="28"/>
          <w:highlight w:val="none"/>
        </w:rPr>
      </w:pPr>
    </w:p>
    <w:p w14:paraId="20EA0775">
      <w:pPr>
        <w:jc w:val="center"/>
        <w:rPr>
          <w:rFonts w:hint="eastAsia" w:ascii="宋体" w:hAnsi="宋体" w:cs="宋体"/>
          <w:sz w:val="28"/>
          <w:szCs w:val="28"/>
          <w:highlight w:val="none"/>
        </w:rPr>
      </w:pPr>
    </w:p>
    <w:p w14:paraId="51A6F8AD">
      <w:pPr>
        <w:jc w:val="center"/>
        <w:rPr>
          <w:rFonts w:hint="eastAsia" w:ascii="宋体" w:hAnsi="宋体" w:cs="宋体"/>
          <w:sz w:val="28"/>
          <w:szCs w:val="28"/>
          <w:highlight w:val="none"/>
        </w:rPr>
      </w:pPr>
    </w:p>
    <w:p w14:paraId="2ABB89F5">
      <w:pPr>
        <w:jc w:val="center"/>
        <w:rPr>
          <w:rFonts w:hint="eastAsia" w:ascii="宋体" w:hAnsi="宋体" w:cs="宋体"/>
          <w:sz w:val="28"/>
          <w:szCs w:val="28"/>
          <w:highlight w:val="none"/>
        </w:rPr>
      </w:pPr>
      <w:r>
        <w:rPr>
          <w:rFonts w:hint="eastAsia" w:ascii="宋体" w:hAnsi="宋体" w:cs="宋体"/>
          <w:sz w:val="28"/>
          <w:szCs w:val="28"/>
          <w:highlight w:val="none"/>
        </w:rPr>
        <w:t>投标供应商：</w:t>
      </w:r>
      <w:r>
        <w:rPr>
          <w:rFonts w:hint="eastAsia" w:ascii="宋体" w:hAnsi="宋体" w:cs="宋体"/>
          <w:sz w:val="28"/>
          <w:szCs w:val="28"/>
          <w:highlight w:val="none"/>
          <w:u w:val="single"/>
        </w:rPr>
        <w:t xml:space="preserve">                              </w:t>
      </w:r>
      <w:r>
        <w:rPr>
          <w:rFonts w:hint="eastAsia" w:ascii="宋体" w:hAnsi="宋体" w:cs="宋体"/>
          <w:sz w:val="28"/>
          <w:szCs w:val="28"/>
          <w:highlight w:val="none"/>
        </w:rPr>
        <w:t>（盖单位公章）</w:t>
      </w:r>
    </w:p>
    <w:p w14:paraId="2C8641A0">
      <w:pPr>
        <w:jc w:val="center"/>
        <w:rPr>
          <w:rFonts w:hint="eastAsia" w:ascii="宋体" w:hAnsi="宋体" w:cs="宋体"/>
          <w:sz w:val="28"/>
          <w:szCs w:val="28"/>
          <w:highlight w:val="none"/>
        </w:rPr>
      </w:pPr>
    </w:p>
    <w:p w14:paraId="136C1CE2">
      <w:pPr>
        <w:jc w:val="center"/>
        <w:rPr>
          <w:rFonts w:hint="eastAsia" w:ascii="宋体" w:hAnsi="宋体" w:cs="宋体"/>
          <w:sz w:val="28"/>
          <w:szCs w:val="28"/>
          <w:highlight w:val="none"/>
        </w:rPr>
      </w:pPr>
      <w:r>
        <w:rPr>
          <w:rFonts w:hint="eastAsia" w:ascii="宋体" w:hAnsi="宋体" w:cs="宋体"/>
          <w:sz w:val="28"/>
          <w:szCs w:val="28"/>
          <w:highlight w:val="none"/>
        </w:rPr>
        <w:t>法定代表人（法定负责人） 或授权代表 ：</w:t>
      </w:r>
      <w:r>
        <w:rPr>
          <w:rFonts w:hint="eastAsia" w:ascii="宋体" w:hAnsi="宋体" w:cs="宋体"/>
          <w:sz w:val="28"/>
          <w:szCs w:val="28"/>
          <w:highlight w:val="none"/>
          <w:u w:val="single"/>
        </w:rPr>
        <w:t xml:space="preserve">             </w:t>
      </w:r>
      <w:r>
        <w:rPr>
          <w:rFonts w:hint="eastAsia" w:ascii="宋体" w:hAnsi="宋体" w:cs="宋体"/>
          <w:sz w:val="28"/>
          <w:szCs w:val="28"/>
          <w:highlight w:val="none"/>
        </w:rPr>
        <w:t>（签字或盖章）</w:t>
      </w:r>
    </w:p>
    <w:p w14:paraId="47D2F0C3">
      <w:pPr>
        <w:rPr>
          <w:rFonts w:hint="eastAsia" w:ascii="宋体" w:hAnsi="宋体" w:cs="宋体"/>
          <w:sz w:val="28"/>
          <w:szCs w:val="28"/>
          <w:highlight w:val="none"/>
        </w:rPr>
      </w:pPr>
    </w:p>
    <w:p w14:paraId="0CE864CD">
      <w:pPr>
        <w:jc w:val="center"/>
        <w:rPr>
          <w:rFonts w:hint="eastAsia" w:ascii="宋体" w:hAnsi="宋体" w:cs="宋体"/>
          <w:sz w:val="28"/>
          <w:szCs w:val="28"/>
          <w:highlight w:val="none"/>
          <w:u w:val="single"/>
        </w:rPr>
      </w:pPr>
    </w:p>
    <w:p w14:paraId="3DB14F00">
      <w:pPr>
        <w:jc w:val="center"/>
        <w:rPr>
          <w:rFonts w:hint="eastAsia" w:ascii="宋体" w:hAnsi="宋体" w:cs="宋体"/>
          <w:sz w:val="28"/>
          <w:szCs w:val="28"/>
          <w:highlight w:val="none"/>
          <w:u w:val="single"/>
        </w:rPr>
      </w:pPr>
    </w:p>
    <w:p w14:paraId="2810C14A">
      <w:pPr>
        <w:jc w:val="center"/>
        <w:rPr>
          <w:rFonts w:hint="eastAsia" w:ascii="宋体" w:hAnsi="宋体" w:cs="宋体"/>
          <w:sz w:val="28"/>
          <w:szCs w:val="28"/>
          <w:highlight w:val="none"/>
        </w:rPr>
      </w:pPr>
      <w:r>
        <w:rPr>
          <w:rFonts w:hint="eastAsia" w:ascii="宋体" w:hAnsi="宋体" w:cs="宋体"/>
          <w:sz w:val="28"/>
          <w:szCs w:val="28"/>
          <w:highlight w:val="none"/>
          <w:u w:val="single"/>
        </w:rPr>
        <w:t xml:space="preserve">        </w:t>
      </w:r>
      <w:r>
        <w:rPr>
          <w:rFonts w:hint="eastAsia" w:ascii="宋体" w:hAnsi="宋体" w:cs="宋体"/>
          <w:sz w:val="28"/>
          <w:szCs w:val="28"/>
          <w:highlight w:val="none"/>
        </w:rPr>
        <w:t>年</w:t>
      </w:r>
      <w:r>
        <w:rPr>
          <w:rFonts w:hint="eastAsia" w:ascii="宋体" w:hAnsi="宋体" w:cs="宋体"/>
          <w:sz w:val="28"/>
          <w:szCs w:val="28"/>
          <w:highlight w:val="none"/>
          <w:u w:val="single"/>
        </w:rPr>
        <w:t xml:space="preserve">        </w:t>
      </w:r>
      <w:r>
        <w:rPr>
          <w:rFonts w:hint="eastAsia" w:ascii="宋体" w:hAnsi="宋体" w:cs="宋体"/>
          <w:sz w:val="28"/>
          <w:szCs w:val="28"/>
          <w:highlight w:val="none"/>
        </w:rPr>
        <w:t>月</w:t>
      </w:r>
      <w:r>
        <w:rPr>
          <w:rFonts w:hint="eastAsia" w:ascii="宋体" w:hAnsi="宋体" w:cs="宋体"/>
          <w:sz w:val="28"/>
          <w:szCs w:val="28"/>
          <w:highlight w:val="none"/>
          <w:u w:val="single"/>
        </w:rPr>
        <w:t xml:space="preserve">        </w:t>
      </w:r>
      <w:r>
        <w:rPr>
          <w:rFonts w:hint="eastAsia" w:ascii="宋体" w:hAnsi="宋体" w:cs="宋体"/>
          <w:sz w:val="28"/>
          <w:szCs w:val="28"/>
          <w:highlight w:val="none"/>
        </w:rPr>
        <w:t>日</w:t>
      </w:r>
    </w:p>
    <w:p w14:paraId="5319C35C">
      <w:pPr>
        <w:jc w:val="center"/>
        <w:rPr>
          <w:rFonts w:hint="eastAsia" w:ascii="宋体" w:hAnsi="宋体" w:cs="宋体"/>
          <w:sz w:val="28"/>
          <w:szCs w:val="28"/>
          <w:highlight w:val="none"/>
        </w:rPr>
      </w:pPr>
      <w:r>
        <w:rPr>
          <w:rFonts w:hint="eastAsia" w:ascii="宋体" w:hAnsi="宋体" w:cs="宋体"/>
          <w:sz w:val="28"/>
          <w:szCs w:val="28"/>
          <w:highlight w:val="none"/>
        </w:rPr>
        <w:br w:type="page"/>
      </w:r>
      <w:r>
        <w:rPr>
          <w:rFonts w:hint="eastAsia" w:ascii="宋体" w:hAnsi="宋体" w:cs="宋体"/>
          <w:sz w:val="28"/>
          <w:szCs w:val="28"/>
          <w:highlight w:val="none"/>
        </w:rPr>
        <w:t>目录</w:t>
      </w:r>
    </w:p>
    <w:p w14:paraId="4A1CBA00">
      <w:pPr>
        <w:pStyle w:val="15"/>
        <w:ind w:firstLine="220"/>
        <w:rPr>
          <w:rFonts w:hint="eastAsia"/>
          <w:highlight w:val="none"/>
        </w:rPr>
      </w:pPr>
      <w:r>
        <w:rPr>
          <w:rFonts w:hint="eastAsia" w:ascii="宋体" w:hAnsi="宋体" w:cs="宋体"/>
          <w:sz w:val="22"/>
          <w:highlight w:val="none"/>
        </w:rPr>
        <w:t>（自拟）</w:t>
      </w:r>
    </w:p>
    <w:p w14:paraId="1B6FFBB0">
      <w:pPr>
        <w:spacing w:line="360" w:lineRule="auto"/>
        <w:rPr>
          <w:rFonts w:ascii="Arial" w:hAnsi="Arial" w:cs="Arial"/>
          <w:b/>
          <w:bCs/>
          <w:sz w:val="22"/>
          <w:szCs w:val="22"/>
          <w:highlight w:val="none"/>
        </w:rPr>
      </w:pPr>
    </w:p>
    <w:p w14:paraId="401379C6">
      <w:pPr>
        <w:spacing w:line="460" w:lineRule="exact"/>
        <w:rPr>
          <w:rFonts w:hint="eastAsia" w:ascii="宋体" w:hAnsi="宋体" w:cs="宋体"/>
          <w:b/>
          <w:bCs/>
          <w:szCs w:val="21"/>
          <w:highlight w:val="none"/>
        </w:rPr>
      </w:pPr>
      <w:r>
        <w:rPr>
          <w:rFonts w:ascii="Arial" w:hAnsi="Arial" w:cs="Arial"/>
          <w:b/>
          <w:bCs/>
          <w:szCs w:val="21"/>
          <w:highlight w:val="none"/>
        </w:rPr>
        <w:br w:type="page"/>
      </w:r>
      <w:r>
        <w:rPr>
          <w:rFonts w:hint="eastAsia" w:ascii="宋体" w:hAnsi="宋体" w:cs="宋体"/>
          <w:b/>
          <w:bCs/>
          <w:szCs w:val="21"/>
          <w:highlight w:val="none"/>
        </w:rPr>
        <w:t>附件七</w:t>
      </w:r>
    </w:p>
    <w:p w14:paraId="293A75B6">
      <w:pPr>
        <w:spacing w:line="460" w:lineRule="exact"/>
        <w:jc w:val="center"/>
        <w:rPr>
          <w:rFonts w:hint="eastAsia" w:ascii="宋体" w:hAnsi="宋体" w:cs="宋体"/>
          <w:b/>
          <w:bCs/>
          <w:szCs w:val="21"/>
          <w:highlight w:val="none"/>
        </w:rPr>
      </w:pPr>
      <w:r>
        <w:rPr>
          <w:rFonts w:hint="eastAsia" w:ascii="宋体" w:hAnsi="宋体" w:cs="宋体"/>
          <w:b/>
          <w:bCs/>
          <w:szCs w:val="21"/>
          <w:highlight w:val="none"/>
        </w:rPr>
        <w:t>投 标 函</w:t>
      </w:r>
    </w:p>
    <w:p w14:paraId="56F72099">
      <w:pPr>
        <w:spacing w:line="380" w:lineRule="exact"/>
        <w:rPr>
          <w:rFonts w:hint="eastAsia" w:ascii="宋体" w:hAnsi="宋体" w:cs="宋体"/>
          <w:szCs w:val="21"/>
          <w:highlight w:val="none"/>
        </w:rPr>
      </w:pPr>
      <w:r>
        <w:rPr>
          <w:rFonts w:hint="eastAsia" w:ascii="宋体" w:hAnsi="宋体" w:cs="宋体"/>
          <w:szCs w:val="21"/>
          <w:highlight w:val="none"/>
        </w:rPr>
        <w:t>致：温州信达交通工程试验检测有限公司</w:t>
      </w:r>
    </w:p>
    <w:p w14:paraId="74613C70">
      <w:pPr>
        <w:spacing w:line="380" w:lineRule="exact"/>
        <w:ind w:firstLine="420" w:firstLineChars="200"/>
        <w:rPr>
          <w:rFonts w:hint="eastAsia" w:ascii="宋体" w:hAnsi="宋体" w:cs="宋体"/>
          <w:szCs w:val="21"/>
          <w:highlight w:val="none"/>
        </w:rPr>
      </w:pPr>
      <w:r>
        <w:rPr>
          <w:rFonts w:hint="eastAsia" w:ascii="宋体" w:hAnsi="宋体" w:cs="宋体"/>
          <w:szCs w:val="21"/>
          <w:highlight w:val="none"/>
        </w:rPr>
        <w:t>根据贵方为</w:t>
      </w:r>
      <w:r>
        <w:rPr>
          <w:rFonts w:hint="eastAsia" w:ascii="宋体" w:hAnsi="宋体" w:cs="宋体"/>
          <w:szCs w:val="21"/>
          <w:highlight w:val="none"/>
          <w:u w:val="single"/>
        </w:rPr>
        <w:t>金海湖信息化展厅网络环境设备</w:t>
      </w:r>
      <w:r>
        <w:rPr>
          <w:rFonts w:hint="eastAsia" w:ascii="宋体" w:hAnsi="宋体" w:cs="宋体"/>
          <w:szCs w:val="21"/>
          <w:highlight w:val="none"/>
        </w:rPr>
        <w:t>项目（项目编号：</w:t>
      </w:r>
      <w:r>
        <w:rPr>
          <w:rFonts w:hint="eastAsia" w:ascii="宋体" w:hAnsi="宋体" w:cs="宋体"/>
          <w:szCs w:val="21"/>
          <w:highlight w:val="none"/>
          <w:u w:val="single"/>
        </w:rPr>
        <w:t>WGSS-JFJT-ZS-2026004</w:t>
      </w:r>
      <w:r>
        <w:rPr>
          <w:rFonts w:hint="eastAsia" w:ascii="宋体" w:hAnsi="宋体" w:cs="宋体"/>
          <w:szCs w:val="21"/>
          <w:highlight w:val="none"/>
        </w:rPr>
        <w:t>）的投标邀请，我方</w:t>
      </w:r>
      <w:r>
        <w:rPr>
          <w:rFonts w:hint="eastAsia" w:ascii="宋体" w:hAnsi="宋体" w:cs="宋体"/>
          <w:szCs w:val="21"/>
          <w:highlight w:val="none"/>
          <w:u w:val="single"/>
        </w:rPr>
        <w:t xml:space="preserve">           　　（投标供应商名称） </w:t>
      </w:r>
      <w:r>
        <w:rPr>
          <w:rFonts w:hint="eastAsia" w:ascii="宋体" w:hAnsi="宋体" w:cs="宋体"/>
          <w:szCs w:val="21"/>
          <w:highlight w:val="none"/>
        </w:rPr>
        <w:t>作为投标供应商已正式授权</w:t>
      </w:r>
      <w:r>
        <w:rPr>
          <w:rFonts w:hint="eastAsia" w:ascii="宋体" w:hAnsi="宋体" w:cs="宋体"/>
          <w:szCs w:val="21"/>
          <w:highlight w:val="none"/>
          <w:u w:val="single"/>
        </w:rPr>
        <w:t xml:space="preserve">　             </w:t>
      </w:r>
      <w:r>
        <w:rPr>
          <w:rFonts w:hint="eastAsia" w:ascii="宋体" w:hAnsi="宋体" w:cs="宋体"/>
          <w:szCs w:val="21"/>
          <w:highlight w:val="none"/>
        </w:rPr>
        <w:t>（授权代表全名，职务）代表我方处理有关本投标的一切事宜。</w:t>
      </w:r>
    </w:p>
    <w:p w14:paraId="0206EE22">
      <w:pPr>
        <w:spacing w:line="380" w:lineRule="exact"/>
        <w:ind w:firstLine="420" w:firstLineChars="200"/>
        <w:rPr>
          <w:rFonts w:hint="eastAsia" w:ascii="宋体" w:hAnsi="宋体" w:cs="宋体"/>
          <w:szCs w:val="21"/>
          <w:highlight w:val="none"/>
        </w:rPr>
      </w:pPr>
      <w:r>
        <w:rPr>
          <w:rFonts w:hint="eastAsia" w:ascii="宋体" w:hAnsi="宋体" w:cs="宋体"/>
          <w:szCs w:val="21"/>
          <w:highlight w:val="none"/>
        </w:rPr>
        <w:t>我方己完全明白采购文件的所有条款要求，并重申以下几点：</w:t>
      </w:r>
    </w:p>
    <w:p w14:paraId="58C9B7B6">
      <w:pPr>
        <w:spacing w:line="380" w:lineRule="exact"/>
        <w:ind w:firstLine="420" w:firstLineChars="200"/>
        <w:rPr>
          <w:rFonts w:hint="eastAsia" w:ascii="宋体" w:hAnsi="宋体" w:cs="宋体"/>
          <w:szCs w:val="21"/>
          <w:highlight w:val="none"/>
        </w:rPr>
      </w:pPr>
      <w:r>
        <w:rPr>
          <w:rFonts w:hint="eastAsia" w:ascii="宋体" w:hAnsi="宋体" w:cs="宋体"/>
          <w:szCs w:val="21"/>
          <w:highlight w:val="none"/>
        </w:rPr>
        <w:t>（一）本投标文件的有效期自投标截止日起 120 天内有效，如中标，有效期将延至合同终止日为止；</w:t>
      </w:r>
    </w:p>
    <w:p w14:paraId="166D40BA">
      <w:pPr>
        <w:spacing w:line="380" w:lineRule="exact"/>
        <w:ind w:firstLine="420" w:firstLineChars="200"/>
        <w:rPr>
          <w:rFonts w:hint="eastAsia" w:ascii="宋体" w:hAnsi="宋体" w:cs="宋体"/>
          <w:szCs w:val="21"/>
          <w:highlight w:val="none"/>
        </w:rPr>
      </w:pPr>
      <w:r>
        <w:rPr>
          <w:rFonts w:hint="eastAsia" w:ascii="宋体" w:hAnsi="宋体" w:cs="宋体"/>
          <w:szCs w:val="21"/>
          <w:highlight w:val="none"/>
        </w:rPr>
        <w:t>（二）我方已详细研究了采购文件的所有内容包括修改书（如有）和所有已提供的参考资料以及有关附件，我方完全理解并同意放弃在此方面提出含糊意见或误解的一切权力；</w:t>
      </w:r>
    </w:p>
    <w:p w14:paraId="77AF9C16">
      <w:pPr>
        <w:spacing w:line="380" w:lineRule="exact"/>
        <w:ind w:firstLine="420" w:firstLineChars="200"/>
        <w:rPr>
          <w:rFonts w:hint="eastAsia" w:ascii="宋体" w:hAnsi="宋体" w:cs="宋体"/>
          <w:szCs w:val="21"/>
          <w:highlight w:val="none"/>
        </w:rPr>
      </w:pPr>
      <w:r>
        <w:rPr>
          <w:rFonts w:hint="eastAsia" w:ascii="宋体" w:hAnsi="宋体" w:cs="宋体"/>
          <w:szCs w:val="21"/>
          <w:highlight w:val="none"/>
        </w:rPr>
        <w:t>（三）我方明白并愿意在规定的开标时间之后，投标供应商在投标有效期内撤回投标，投标保证金</w:t>
      </w:r>
    </w:p>
    <w:p w14:paraId="2B1FB801">
      <w:pPr>
        <w:spacing w:line="380" w:lineRule="exact"/>
        <w:rPr>
          <w:rFonts w:hint="eastAsia" w:ascii="宋体" w:hAnsi="宋体" w:cs="宋体"/>
          <w:szCs w:val="21"/>
          <w:highlight w:val="none"/>
        </w:rPr>
      </w:pPr>
      <w:r>
        <w:rPr>
          <w:rFonts w:hint="eastAsia" w:ascii="宋体" w:hAnsi="宋体" w:cs="宋体"/>
          <w:szCs w:val="21"/>
          <w:highlight w:val="none"/>
        </w:rPr>
        <w:t>将不予退还；</w:t>
      </w:r>
    </w:p>
    <w:p w14:paraId="78D92284">
      <w:pPr>
        <w:spacing w:line="380" w:lineRule="exact"/>
        <w:ind w:firstLine="420" w:firstLineChars="200"/>
        <w:rPr>
          <w:rFonts w:hint="eastAsia" w:ascii="宋体" w:hAnsi="宋体" w:cs="宋体"/>
          <w:szCs w:val="21"/>
          <w:highlight w:val="none"/>
        </w:rPr>
      </w:pPr>
      <w:r>
        <w:rPr>
          <w:rFonts w:hint="eastAsia" w:ascii="宋体" w:hAnsi="宋体" w:cs="宋体"/>
          <w:szCs w:val="21"/>
          <w:highlight w:val="none"/>
        </w:rPr>
        <w:t>（四）我方同意提供按照贵方可能要求的与投标有关的一切数据或资料；</w:t>
      </w:r>
    </w:p>
    <w:p w14:paraId="6F47CCD9">
      <w:pPr>
        <w:spacing w:line="380" w:lineRule="exact"/>
        <w:ind w:firstLine="420" w:firstLineChars="200"/>
        <w:rPr>
          <w:rFonts w:hint="eastAsia" w:ascii="宋体" w:hAnsi="宋体" w:cs="宋体"/>
          <w:szCs w:val="21"/>
          <w:highlight w:val="none"/>
        </w:rPr>
      </w:pPr>
      <w:r>
        <w:rPr>
          <w:rFonts w:hint="eastAsia" w:ascii="宋体" w:hAnsi="宋体" w:cs="宋体"/>
          <w:szCs w:val="21"/>
          <w:highlight w:val="none"/>
        </w:rPr>
        <w:t>（五）我方理解贵方不一定接受最低报价。</w:t>
      </w:r>
    </w:p>
    <w:p w14:paraId="3FF90567">
      <w:pPr>
        <w:spacing w:line="380" w:lineRule="exact"/>
        <w:ind w:firstLine="420" w:firstLineChars="200"/>
        <w:rPr>
          <w:rFonts w:hint="eastAsia" w:ascii="宋体" w:hAnsi="宋体" w:cs="宋体"/>
          <w:szCs w:val="21"/>
          <w:highlight w:val="none"/>
        </w:rPr>
      </w:pPr>
      <w:r>
        <w:rPr>
          <w:rFonts w:hint="eastAsia" w:ascii="宋体" w:hAnsi="宋体" w:cs="宋体"/>
          <w:szCs w:val="21"/>
          <w:highlight w:val="none"/>
        </w:rPr>
        <w:t>（六）我方如果中标，将保证履行采购文件以及采购文件修改书（如有）中的全部责任和义务，按</w:t>
      </w:r>
    </w:p>
    <w:p w14:paraId="21E49660">
      <w:pPr>
        <w:spacing w:line="380" w:lineRule="exact"/>
        <w:rPr>
          <w:rFonts w:hint="eastAsia" w:ascii="宋体" w:hAnsi="宋体" w:cs="宋体"/>
          <w:szCs w:val="21"/>
          <w:highlight w:val="none"/>
        </w:rPr>
      </w:pPr>
      <w:r>
        <w:rPr>
          <w:rFonts w:hint="eastAsia" w:ascii="宋体" w:hAnsi="宋体" w:cs="宋体"/>
          <w:szCs w:val="21"/>
          <w:highlight w:val="none"/>
        </w:rPr>
        <w:t>质、按量、按期完成《合同书》中的全部任务。</w:t>
      </w:r>
    </w:p>
    <w:p w14:paraId="72ACCB42">
      <w:pPr>
        <w:spacing w:line="380" w:lineRule="exact"/>
        <w:ind w:left="315" w:firstLine="210" w:firstLineChars="100"/>
        <w:rPr>
          <w:rFonts w:hint="eastAsia" w:ascii="宋体" w:hAnsi="宋体" w:cs="宋体"/>
          <w:szCs w:val="21"/>
          <w:highlight w:val="none"/>
        </w:rPr>
      </w:pPr>
      <w:r>
        <w:rPr>
          <w:rFonts w:hint="eastAsia" w:ascii="宋体" w:hAnsi="宋体" w:cs="宋体"/>
          <w:szCs w:val="21"/>
          <w:highlight w:val="none"/>
        </w:rPr>
        <w:t>（七）所有与本投标有关的函件请发往下列地址：</w:t>
      </w:r>
    </w:p>
    <w:p w14:paraId="587A2E50">
      <w:pPr>
        <w:spacing w:line="400" w:lineRule="exact"/>
        <w:ind w:firstLine="435"/>
        <w:rPr>
          <w:rFonts w:hint="eastAsia" w:ascii="宋体" w:hAnsi="宋体" w:cs="宋体"/>
          <w:szCs w:val="21"/>
          <w:highlight w:val="none"/>
        </w:rPr>
      </w:pPr>
      <w:r>
        <w:rPr>
          <w:rFonts w:hint="eastAsia" w:ascii="宋体" w:hAnsi="宋体" w:cs="宋体"/>
          <w:szCs w:val="21"/>
          <w:highlight w:val="none"/>
        </w:rPr>
        <w:t xml:space="preserve">     地址：</w:t>
      </w:r>
      <w:r>
        <w:rPr>
          <w:rFonts w:hint="eastAsia" w:ascii="宋体" w:hAnsi="宋体" w:cs="宋体"/>
          <w:szCs w:val="21"/>
          <w:highlight w:val="none"/>
          <w:u w:val="single"/>
        </w:rPr>
        <w:t xml:space="preserve">                 </w:t>
      </w:r>
      <w:r>
        <w:rPr>
          <w:rFonts w:hint="eastAsia" w:ascii="宋体" w:hAnsi="宋体" w:cs="宋体"/>
          <w:szCs w:val="21"/>
          <w:highlight w:val="none"/>
        </w:rPr>
        <w:t xml:space="preserve"> ；</w:t>
      </w:r>
      <w:r>
        <w:rPr>
          <w:rFonts w:hint="eastAsia" w:ascii="宋体" w:hAnsi="宋体" w:cs="宋体"/>
          <w:szCs w:val="21"/>
          <w:highlight w:val="none"/>
          <w:u w:val="single"/>
        </w:rPr>
        <w:t xml:space="preserve">                            </w:t>
      </w:r>
    </w:p>
    <w:p w14:paraId="7A2B8530">
      <w:pPr>
        <w:spacing w:line="400" w:lineRule="exact"/>
        <w:ind w:firstLine="435"/>
        <w:rPr>
          <w:rFonts w:hint="eastAsia" w:ascii="宋体" w:hAnsi="宋体" w:cs="宋体"/>
          <w:szCs w:val="21"/>
          <w:highlight w:val="none"/>
        </w:rPr>
      </w:pPr>
      <w:r>
        <w:rPr>
          <w:rFonts w:hint="eastAsia" w:ascii="宋体" w:hAnsi="宋体" w:cs="宋体"/>
          <w:szCs w:val="21"/>
          <w:highlight w:val="none"/>
        </w:rPr>
        <w:t xml:space="preserve">     电话：</w:t>
      </w:r>
      <w:r>
        <w:rPr>
          <w:rFonts w:hint="eastAsia" w:ascii="宋体" w:hAnsi="宋体" w:cs="宋体"/>
          <w:szCs w:val="21"/>
          <w:highlight w:val="none"/>
          <w:u w:val="single"/>
        </w:rPr>
        <w:t xml:space="preserve">                  </w:t>
      </w:r>
      <w:r>
        <w:rPr>
          <w:rFonts w:hint="eastAsia" w:ascii="宋体" w:hAnsi="宋体" w:cs="宋体"/>
          <w:szCs w:val="21"/>
          <w:highlight w:val="none"/>
        </w:rPr>
        <w:t>；</w:t>
      </w:r>
      <w:r>
        <w:rPr>
          <w:rFonts w:hint="eastAsia" w:ascii="宋体" w:hAnsi="宋体" w:cs="宋体"/>
          <w:szCs w:val="21"/>
          <w:highlight w:val="none"/>
          <w:u w:val="single"/>
        </w:rPr>
        <w:t xml:space="preserve">                             </w:t>
      </w:r>
    </w:p>
    <w:p w14:paraId="525ECA0E">
      <w:pPr>
        <w:spacing w:line="400" w:lineRule="exact"/>
        <w:ind w:firstLine="435"/>
        <w:rPr>
          <w:rFonts w:hint="eastAsia" w:ascii="宋体" w:hAnsi="宋体" w:cs="宋体"/>
          <w:szCs w:val="21"/>
          <w:highlight w:val="none"/>
          <w:u w:val="single"/>
        </w:rPr>
      </w:pPr>
      <w:r>
        <w:rPr>
          <w:rFonts w:hint="eastAsia" w:ascii="宋体" w:hAnsi="宋体" w:cs="宋体"/>
          <w:szCs w:val="21"/>
          <w:highlight w:val="none"/>
        </w:rPr>
        <w:t xml:space="preserve">     传真：</w:t>
      </w:r>
      <w:r>
        <w:rPr>
          <w:rFonts w:hint="eastAsia" w:ascii="宋体" w:hAnsi="宋体" w:cs="宋体"/>
          <w:szCs w:val="21"/>
          <w:highlight w:val="none"/>
          <w:u w:val="single"/>
        </w:rPr>
        <w:t xml:space="preserve">                  </w:t>
      </w:r>
      <w:r>
        <w:rPr>
          <w:rFonts w:hint="eastAsia" w:ascii="宋体" w:hAnsi="宋体" w:cs="宋体"/>
          <w:szCs w:val="21"/>
          <w:highlight w:val="none"/>
        </w:rPr>
        <w:t>；</w:t>
      </w:r>
      <w:r>
        <w:rPr>
          <w:rFonts w:hint="eastAsia" w:ascii="宋体" w:hAnsi="宋体" w:cs="宋体"/>
          <w:szCs w:val="21"/>
          <w:highlight w:val="none"/>
          <w:u w:val="single"/>
        </w:rPr>
        <w:t xml:space="preserve">                           </w:t>
      </w:r>
    </w:p>
    <w:p w14:paraId="3ADF1EC3">
      <w:pPr>
        <w:spacing w:line="400" w:lineRule="exact"/>
        <w:ind w:firstLine="945" w:firstLineChars="450"/>
        <w:rPr>
          <w:rFonts w:hint="eastAsia" w:ascii="宋体" w:hAnsi="宋体" w:cs="宋体"/>
          <w:szCs w:val="21"/>
          <w:highlight w:val="none"/>
        </w:rPr>
      </w:pPr>
      <w:r>
        <w:rPr>
          <w:rFonts w:hint="eastAsia" w:ascii="宋体" w:hAnsi="宋体" w:cs="宋体"/>
          <w:szCs w:val="21"/>
          <w:highlight w:val="none"/>
        </w:rPr>
        <w:t>电子邮件 ：</w:t>
      </w:r>
      <w:r>
        <w:rPr>
          <w:rFonts w:hint="eastAsia" w:ascii="宋体" w:hAnsi="宋体" w:cs="宋体"/>
          <w:szCs w:val="21"/>
          <w:highlight w:val="none"/>
          <w:u w:val="single"/>
        </w:rPr>
        <w:t xml:space="preserve">                 </w:t>
      </w:r>
      <w:r>
        <w:rPr>
          <w:rFonts w:hint="eastAsia" w:ascii="宋体" w:hAnsi="宋体" w:cs="宋体"/>
          <w:szCs w:val="21"/>
          <w:highlight w:val="none"/>
        </w:rPr>
        <w:t xml:space="preserve"> 。</w:t>
      </w:r>
      <w:r>
        <w:rPr>
          <w:rFonts w:hint="eastAsia" w:ascii="宋体" w:hAnsi="宋体" w:cs="宋体"/>
          <w:szCs w:val="21"/>
          <w:highlight w:val="none"/>
          <w:u w:val="single"/>
        </w:rPr>
        <w:t xml:space="preserve">                        </w:t>
      </w:r>
    </w:p>
    <w:p w14:paraId="05AA4CE2">
      <w:pPr>
        <w:spacing w:line="400" w:lineRule="exact"/>
        <w:ind w:firstLine="3578" w:firstLineChars="1704"/>
        <w:rPr>
          <w:rFonts w:hint="eastAsia" w:ascii="宋体" w:hAnsi="宋体" w:cs="宋体"/>
          <w:szCs w:val="21"/>
          <w:highlight w:val="none"/>
        </w:rPr>
      </w:pPr>
      <w:r>
        <w:rPr>
          <w:rFonts w:hint="eastAsia" w:ascii="宋体" w:hAnsi="宋体" w:cs="宋体"/>
          <w:szCs w:val="21"/>
          <w:highlight w:val="none"/>
        </w:rPr>
        <w:t xml:space="preserve"> </w:t>
      </w:r>
    </w:p>
    <w:p w14:paraId="71732455">
      <w:pPr>
        <w:spacing w:line="400" w:lineRule="exact"/>
        <w:ind w:firstLine="1470" w:firstLineChars="700"/>
        <w:rPr>
          <w:rFonts w:hint="eastAsia" w:ascii="宋体" w:hAnsi="宋体" w:cs="宋体"/>
          <w:szCs w:val="21"/>
          <w:highlight w:val="none"/>
        </w:rPr>
      </w:pPr>
      <w:r>
        <w:rPr>
          <w:rFonts w:hint="eastAsia" w:ascii="宋体" w:hAnsi="宋体" w:cs="宋体"/>
          <w:szCs w:val="21"/>
          <w:highlight w:val="none"/>
        </w:rPr>
        <w:t xml:space="preserve">                     投标供应商名称 ：</w:t>
      </w:r>
      <w:r>
        <w:rPr>
          <w:rFonts w:hint="eastAsia" w:ascii="宋体" w:hAnsi="宋体" w:cs="宋体"/>
          <w:szCs w:val="21"/>
          <w:highlight w:val="none"/>
          <w:u w:val="single"/>
        </w:rPr>
        <w:t xml:space="preserve">                  （</w:t>
      </w:r>
      <w:r>
        <w:rPr>
          <w:rFonts w:hint="eastAsia" w:ascii="宋体" w:hAnsi="宋体" w:cs="宋体"/>
          <w:szCs w:val="21"/>
          <w:highlight w:val="none"/>
        </w:rPr>
        <w:t xml:space="preserve"> 盖单位公章）</w:t>
      </w:r>
    </w:p>
    <w:p w14:paraId="646EAB21">
      <w:pPr>
        <w:spacing w:line="400" w:lineRule="exact"/>
        <w:rPr>
          <w:rFonts w:hint="eastAsia" w:ascii="宋体" w:hAnsi="宋体" w:cs="宋体"/>
          <w:szCs w:val="21"/>
          <w:highlight w:val="none"/>
        </w:rPr>
      </w:pPr>
    </w:p>
    <w:p w14:paraId="04CAC363">
      <w:pPr>
        <w:spacing w:line="400" w:lineRule="exact"/>
        <w:ind w:firstLine="1470" w:firstLineChars="700"/>
        <w:rPr>
          <w:rFonts w:hint="eastAsia" w:ascii="宋体" w:hAnsi="宋体" w:cs="宋体"/>
          <w:szCs w:val="21"/>
          <w:highlight w:val="none"/>
        </w:rPr>
      </w:pPr>
      <w:r>
        <w:rPr>
          <w:rFonts w:hint="eastAsia" w:ascii="宋体" w:hAnsi="宋体" w:cs="宋体"/>
          <w:szCs w:val="21"/>
          <w:highlight w:val="none"/>
        </w:rPr>
        <w:t>法定代表人（法定负责人） 或授权代表 ：</w:t>
      </w:r>
      <w:r>
        <w:rPr>
          <w:rFonts w:hint="eastAsia" w:ascii="宋体" w:hAnsi="宋体" w:cs="宋体"/>
          <w:szCs w:val="21"/>
          <w:highlight w:val="none"/>
          <w:u w:val="single"/>
        </w:rPr>
        <w:t xml:space="preserve">                  </w:t>
      </w:r>
      <w:r>
        <w:rPr>
          <w:rFonts w:hint="eastAsia" w:ascii="宋体" w:hAnsi="宋体" w:cs="宋体"/>
          <w:szCs w:val="21"/>
          <w:highlight w:val="none"/>
        </w:rPr>
        <w:t>（签字或盖章）</w:t>
      </w:r>
    </w:p>
    <w:p w14:paraId="49C60081">
      <w:pPr>
        <w:spacing w:line="400" w:lineRule="exact"/>
        <w:ind w:firstLine="3578" w:firstLineChars="1704"/>
        <w:rPr>
          <w:rFonts w:hint="eastAsia" w:ascii="宋体" w:hAnsi="宋体" w:cs="宋体"/>
          <w:szCs w:val="21"/>
          <w:highlight w:val="none"/>
        </w:rPr>
      </w:pPr>
      <w:r>
        <w:rPr>
          <w:rFonts w:hint="eastAsia" w:ascii="宋体" w:hAnsi="宋体" w:cs="宋体"/>
          <w:szCs w:val="21"/>
          <w:highlight w:val="none"/>
        </w:rPr>
        <w:t xml:space="preserve">            </w:t>
      </w:r>
    </w:p>
    <w:p w14:paraId="5AB99391">
      <w:pPr>
        <w:spacing w:line="400" w:lineRule="exact"/>
        <w:ind w:firstLine="5048" w:firstLineChars="2404"/>
        <w:rPr>
          <w:rFonts w:ascii="宋体" w:hAnsi="宋体" w:cs="宋体"/>
          <w:szCs w:val="21"/>
          <w:highlight w:val="none"/>
        </w:rPr>
      </w:pPr>
      <w:r>
        <w:rPr>
          <w:rFonts w:hint="eastAsia" w:ascii="宋体" w:hAnsi="宋体" w:cs="宋体"/>
          <w:szCs w:val="21"/>
          <w:highlight w:val="none"/>
        </w:rPr>
        <w:t>日期：</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rPr>
        <w:t>日</w:t>
      </w:r>
    </w:p>
    <w:p w14:paraId="59E844C1">
      <w:pPr>
        <w:pStyle w:val="72"/>
        <w:ind w:firstLine="210"/>
        <w:rPr>
          <w:rFonts w:hint="eastAsia" w:ascii="宋体" w:hAnsi="宋体" w:cs="宋体"/>
          <w:szCs w:val="21"/>
          <w:highlight w:val="none"/>
        </w:rPr>
      </w:pPr>
    </w:p>
    <w:p w14:paraId="783589EC">
      <w:pPr>
        <w:pStyle w:val="72"/>
        <w:ind w:firstLine="210"/>
        <w:rPr>
          <w:rFonts w:hint="eastAsia" w:ascii="宋体" w:hAnsi="宋体" w:cs="宋体"/>
          <w:szCs w:val="21"/>
          <w:highlight w:val="none"/>
        </w:rPr>
      </w:pPr>
    </w:p>
    <w:p w14:paraId="5DEE1F36">
      <w:pPr>
        <w:spacing w:line="380" w:lineRule="exact"/>
        <w:rPr>
          <w:rFonts w:hint="eastAsia" w:ascii="宋体" w:hAnsi="宋体" w:cs="宋体"/>
          <w:szCs w:val="21"/>
          <w:highlight w:val="none"/>
        </w:rPr>
      </w:pPr>
      <w:r>
        <w:rPr>
          <w:rFonts w:hint="eastAsia" w:ascii="宋体" w:hAnsi="宋体" w:cs="宋体"/>
          <w:b/>
          <w:szCs w:val="21"/>
          <w:highlight w:val="none"/>
          <w:u w:val="single"/>
        </w:rPr>
        <w:t>▲不提供投标函的投标文件将被视为未实质性响应采购文件。</w:t>
      </w:r>
    </w:p>
    <w:p w14:paraId="45E03080">
      <w:pPr>
        <w:spacing w:line="460" w:lineRule="exact"/>
        <w:ind w:firstLine="5250" w:firstLineChars="2500"/>
        <w:rPr>
          <w:rFonts w:hint="eastAsia" w:ascii="宋体" w:hAnsi="宋体" w:cs="宋体"/>
          <w:szCs w:val="21"/>
          <w:highlight w:val="none"/>
        </w:rPr>
        <w:sectPr>
          <w:footerReference r:id="rId6" w:type="default"/>
          <w:pgSz w:w="11906" w:h="16838"/>
          <w:pgMar w:top="1134" w:right="1134" w:bottom="1134" w:left="1417" w:header="851" w:footer="567" w:gutter="0"/>
          <w:cols w:space="720" w:num="1"/>
          <w:docGrid w:linePitch="312" w:charSpace="0"/>
        </w:sectPr>
      </w:pPr>
    </w:p>
    <w:p w14:paraId="1A446770">
      <w:pPr>
        <w:spacing w:line="460" w:lineRule="exact"/>
        <w:rPr>
          <w:rFonts w:hint="eastAsia" w:ascii="宋体" w:hAnsi="宋体" w:cs="宋体"/>
          <w:kern w:val="1"/>
          <w:szCs w:val="21"/>
          <w:highlight w:val="none"/>
        </w:rPr>
      </w:pPr>
      <w:r>
        <w:rPr>
          <w:rFonts w:hint="eastAsia" w:ascii="宋体" w:hAnsi="宋体" w:cs="宋体"/>
          <w:kern w:val="1"/>
          <w:szCs w:val="21"/>
          <w:highlight w:val="none"/>
        </w:rPr>
        <w:t>附件八</w:t>
      </w:r>
    </w:p>
    <w:p w14:paraId="48CDBCF6">
      <w:pPr>
        <w:spacing w:line="460" w:lineRule="exact"/>
        <w:ind w:firstLine="211" w:firstLineChars="100"/>
        <w:jc w:val="center"/>
        <w:rPr>
          <w:rFonts w:hint="eastAsia" w:ascii="宋体" w:hAnsi="宋体" w:cs="宋体"/>
          <w:b/>
          <w:bCs/>
          <w:szCs w:val="21"/>
          <w:highlight w:val="none"/>
        </w:rPr>
      </w:pPr>
      <w:r>
        <w:rPr>
          <w:rFonts w:hint="eastAsia" w:ascii="宋体" w:hAnsi="宋体" w:cs="宋体"/>
          <w:b/>
          <w:bCs/>
          <w:szCs w:val="21"/>
          <w:highlight w:val="none"/>
        </w:rPr>
        <w:t>产品供货范围详细清单</w:t>
      </w:r>
    </w:p>
    <w:p w14:paraId="31340D54">
      <w:pPr>
        <w:spacing w:line="460" w:lineRule="exact"/>
        <w:rPr>
          <w:rFonts w:hint="eastAsia" w:ascii="宋体" w:hAnsi="宋体" w:cs="宋体"/>
          <w:szCs w:val="21"/>
          <w:highlight w:val="none"/>
        </w:rPr>
      </w:pPr>
      <w:r>
        <w:rPr>
          <w:rFonts w:hint="eastAsia" w:ascii="宋体" w:hAnsi="宋体" w:cs="宋体"/>
          <w:szCs w:val="21"/>
          <w:highlight w:val="none"/>
        </w:rPr>
        <w:t>项目名称：金海湖信息化展厅网络环境设备                                                                      项目编号：WGSS-JFJT-ZS-2026004</w:t>
      </w:r>
    </w:p>
    <w:tbl>
      <w:tblPr>
        <w:tblStyle w:val="35"/>
        <w:tblW w:w="4909"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54"/>
        <w:gridCol w:w="2444"/>
        <w:gridCol w:w="637"/>
        <w:gridCol w:w="730"/>
        <w:gridCol w:w="5722"/>
        <w:gridCol w:w="1070"/>
        <w:gridCol w:w="1299"/>
        <w:gridCol w:w="762"/>
        <w:gridCol w:w="1099"/>
      </w:tblGrid>
      <w:tr w14:paraId="54484B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754" w:type="dxa"/>
            <w:tcBorders>
              <w:top w:val="single" w:color="auto" w:sz="4" w:space="0"/>
              <w:left w:val="single" w:color="auto" w:sz="4" w:space="0"/>
              <w:bottom w:val="single" w:color="auto" w:sz="4" w:space="0"/>
              <w:right w:val="single" w:color="auto" w:sz="4" w:space="0"/>
            </w:tcBorders>
            <w:noWrap w:val="0"/>
            <w:vAlign w:val="center"/>
          </w:tcPr>
          <w:p w14:paraId="36AE57B4">
            <w:pPr>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序号</w:t>
            </w:r>
          </w:p>
        </w:tc>
        <w:tc>
          <w:tcPr>
            <w:tcW w:w="2444" w:type="dxa"/>
            <w:tcBorders>
              <w:top w:val="single" w:color="auto" w:sz="4" w:space="0"/>
              <w:left w:val="single" w:color="auto" w:sz="4" w:space="0"/>
              <w:bottom w:val="single" w:color="auto" w:sz="4" w:space="0"/>
              <w:right w:val="single" w:color="auto" w:sz="4" w:space="0"/>
            </w:tcBorders>
            <w:noWrap w:val="0"/>
            <w:vAlign w:val="center"/>
          </w:tcPr>
          <w:p w14:paraId="27400944">
            <w:pPr>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产品名称</w:t>
            </w:r>
          </w:p>
        </w:tc>
        <w:tc>
          <w:tcPr>
            <w:tcW w:w="637" w:type="dxa"/>
            <w:tcBorders>
              <w:top w:val="single" w:color="auto" w:sz="4" w:space="0"/>
              <w:left w:val="single" w:color="auto" w:sz="4" w:space="0"/>
              <w:bottom w:val="single" w:color="auto" w:sz="4" w:space="0"/>
              <w:right w:val="single" w:color="auto" w:sz="4" w:space="0"/>
            </w:tcBorders>
            <w:noWrap w:val="0"/>
            <w:vAlign w:val="center"/>
          </w:tcPr>
          <w:p w14:paraId="3E962C88">
            <w:pPr>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数量</w:t>
            </w:r>
          </w:p>
        </w:tc>
        <w:tc>
          <w:tcPr>
            <w:tcW w:w="730" w:type="dxa"/>
            <w:tcBorders>
              <w:top w:val="single" w:color="auto" w:sz="4" w:space="0"/>
              <w:left w:val="single" w:color="auto" w:sz="4" w:space="0"/>
              <w:bottom w:val="single" w:color="auto" w:sz="4" w:space="0"/>
              <w:right w:val="single" w:color="auto" w:sz="4" w:space="0"/>
            </w:tcBorders>
            <w:noWrap w:val="0"/>
            <w:vAlign w:val="center"/>
          </w:tcPr>
          <w:p w14:paraId="12C17171">
            <w:pPr>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单位</w:t>
            </w:r>
          </w:p>
        </w:tc>
        <w:tc>
          <w:tcPr>
            <w:tcW w:w="5722" w:type="dxa"/>
            <w:tcBorders>
              <w:top w:val="single" w:color="auto" w:sz="4" w:space="0"/>
              <w:left w:val="single" w:color="auto" w:sz="4" w:space="0"/>
              <w:bottom w:val="single" w:color="auto" w:sz="4" w:space="0"/>
              <w:right w:val="single" w:color="auto" w:sz="4" w:space="0"/>
            </w:tcBorders>
            <w:noWrap w:val="0"/>
            <w:vAlign w:val="center"/>
          </w:tcPr>
          <w:p w14:paraId="7D8B2C65">
            <w:pPr>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技术参数/规格</w:t>
            </w:r>
          </w:p>
        </w:tc>
        <w:tc>
          <w:tcPr>
            <w:tcW w:w="1070" w:type="dxa"/>
            <w:tcBorders>
              <w:top w:val="single" w:color="auto" w:sz="4" w:space="0"/>
              <w:left w:val="single" w:color="auto" w:sz="4" w:space="0"/>
              <w:bottom w:val="single" w:color="auto" w:sz="4" w:space="0"/>
              <w:right w:val="single" w:color="auto" w:sz="4" w:space="0"/>
            </w:tcBorders>
            <w:noWrap w:val="0"/>
            <w:vAlign w:val="center"/>
          </w:tcPr>
          <w:p w14:paraId="11E70E0E">
            <w:pPr>
              <w:snapToGrid w:val="0"/>
              <w:spacing w:before="50" w:after="50"/>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生产厂家</w:t>
            </w:r>
          </w:p>
        </w:tc>
        <w:tc>
          <w:tcPr>
            <w:tcW w:w="1299" w:type="dxa"/>
            <w:tcBorders>
              <w:top w:val="single" w:color="auto" w:sz="4" w:space="0"/>
              <w:left w:val="single" w:color="auto" w:sz="4" w:space="0"/>
              <w:bottom w:val="single" w:color="auto" w:sz="4" w:space="0"/>
              <w:right w:val="single" w:color="auto" w:sz="4" w:space="0"/>
            </w:tcBorders>
            <w:noWrap w:val="0"/>
            <w:vAlign w:val="center"/>
          </w:tcPr>
          <w:p w14:paraId="691B53E5">
            <w:pPr>
              <w:snapToGrid w:val="0"/>
              <w:spacing w:before="50" w:after="50"/>
              <w:jc w:val="center"/>
              <w:rPr>
                <w:rFonts w:ascii="宋体" w:hAnsi="宋体" w:eastAsia="宋体" w:cs="宋体"/>
                <w:sz w:val="20"/>
                <w:szCs w:val="20"/>
                <w:highlight w:val="none"/>
              </w:rPr>
            </w:pPr>
            <w:r>
              <w:rPr>
                <w:rFonts w:hint="eastAsia" w:ascii="宋体" w:hAnsi="宋体" w:eastAsia="宋体" w:cs="宋体"/>
                <w:sz w:val="20"/>
                <w:szCs w:val="20"/>
                <w:highlight w:val="none"/>
              </w:rPr>
              <w:t>品牌及型号</w:t>
            </w:r>
          </w:p>
        </w:tc>
        <w:tc>
          <w:tcPr>
            <w:tcW w:w="762" w:type="dxa"/>
            <w:tcBorders>
              <w:top w:val="single" w:color="auto" w:sz="4" w:space="0"/>
              <w:left w:val="single" w:color="auto" w:sz="4" w:space="0"/>
              <w:bottom w:val="single" w:color="auto" w:sz="4" w:space="0"/>
              <w:right w:val="single" w:color="auto" w:sz="4" w:space="0"/>
            </w:tcBorders>
            <w:noWrap w:val="0"/>
            <w:vAlign w:val="top"/>
          </w:tcPr>
          <w:p w14:paraId="07273FC1">
            <w:pPr>
              <w:snapToGrid w:val="0"/>
              <w:spacing w:before="50" w:after="50"/>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是否进口</w:t>
            </w:r>
          </w:p>
        </w:tc>
        <w:tc>
          <w:tcPr>
            <w:tcW w:w="1099" w:type="dxa"/>
            <w:tcBorders>
              <w:top w:val="single" w:color="auto" w:sz="4" w:space="0"/>
              <w:left w:val="single" w:color="auto" w:sz="4" w:space="0"/>
              <w:bottom w:val="single" w:color="auto" w:sz="4" w:space="0"/>
              <w:right w:val="single" w:color="auto" w:sz="4" w:space="0"/>
            </w:tcBorders>
            <w:noWrap w:val="0"/>
            <w:vAlign w:val="center"/>
          </w:tcPr>
          <w:p w14:paraId="01F3F456">
            <w:pPr>
              <w:snapToGrid w:val="0"/>
              <w:spacing w:before="50" w:after="50"/>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备注</w:t>
            </w:r>
          </w:p>
        </w:tc>
      </w:tr>
      <w:tr w14:paraId="465393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754" w:type="dxa"/>
            <w:tcBorders>
              <w:top w:val="single" w:color="auto" w:sz="4" w:space="0"/>
              <w:left w:val="single" w:color="auto" w:sz="4" w:space="0"/>
              <w:bottom w:val="single" w:color="auto" w:sz="4" w:space="0"/>
              <w:right w:val="single" w:color="auto" w:sz="4" w:space="0"/>
            </w:tcBorders>
            <w:noWrap w:val="0"/>
            <w:vAlign w:val="center"/>
          </w:tcPr>
          <w:p w14:paraId="7FBFCB62">
            <w:pPr>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1</w:t>
            </w:r>
          </w:p>
        </w:tc>
        <w:tc>
          <w:tcPr>
            <w:tcW w:w="2444" w:type="dxa"/>
            <w:tcBorders>
              <w:top w:val="single" w:color="auto" w:sz="4" w:space="0"/>
              <w:left w:val="single" w:color="auto" w:sz="4" w:space="0"/>
              <w:bottom w:val="single" w:color="auto" w:sz="4" w:space="0"/>
              <w:right w:val="single" w:color="auto" w:sz="4" w:space="0"/>
            </w:tcBorders>
            <w:noWrap w:val="0"/>
            <w:vAlign w:val="center"/>
          </w:tcPr>
          <w:p w14:paraId="6CFAFF56">
            <w:pPr>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超融合集成服务</w:t>
            </w:r>
          </w:p>
        </w:tc>
        <w:tc>
          <w:tcPr>
            <w:tcW w:w="637" w:type="dxa"/>
            <w:tcBorders>
              <w:top w:val="single" w:color="auto" w:sz="4" w:space="0"/>
              <w:left w:val="single" w:color="auto" w:sz="4" w:space="0"/>
              <w:bottom w:val="single" w:color="auto" w:sz="4" w:space="0"/>
              <w:right w:val="single" w:color="auto" w:sz="4" w:space="0"/>
            </w:tcBorders>
            <w:noWrap w:val="0"/>
            <w:vAlign w:val="center"/>
          </w:tcPr>
          <w:p w14:paraId="0F1DA9FE">
            <w:pPr>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1</w:t>
            </w:r>
          </w:p>
        </w:tc>
        <w:tc>
          <w:tcPr>
            <w:tcW w:w="730" w:type="dxa"/>
            <w:tcBorders>
              <w:top w:val="single" w:color="auto" w:sz="4" w:space="0"/>
              <w:left w:val="single" w:color="auto" w:sz="4" w:space="0"/>
              <w:bottom w:val="single" w:color="auto" w:sz="4" w:space="0"/>
              <w:right w:val="single" w:color="auto" w:sz="4" w:space="0"/>
            </w:tcBorders>
            <w:noWrap w:val="0"/>
            <w:vAlign w:val="center"/>
          </w:tcPr>
          <w:p w14:paraId="648CC8FF">
            <w:pPr>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套</w:t>
            </w:r>
          </w:p>
        </w:tc>
        <w:tc>
          <w:tcPr>
            <w:tcW w:w="5722" w:type="dxa"/>
            <w:tcBorders>
              <w:top w:val="single" w:color="auto" w:sz="4" w:space="0"/>
              <w:left w:val="single" w:color="auto" w:sz="4" w:space="0"/>
              <w:bottom w:val="single" w:color="auto" w:sz="4" w:space="0"/>
              <w:right w:val="single" w:color="auto" w:sz="4" w:space="0"/>
            </w:tcBorders>
            <w:noWrap w:val="0"/>
            <w:vAlign w:val="center"/>
          </w:tcPr>
          <w:p w14:paraId="530A1485">
            <w:pPr>
              <w:snapToGrid w:val="0"/>
              <w:spacing w:before="50" w:after="50"/>
              <w:jc w:val="center"/>
              <w:rPr>
                <w:rFonts w:hint="eastAsia" w:ascii="宋体" w:hAnsi="宋体" w:eastAsia="宋体" w:cs="宋体"/>
                <w:sz w:val="20"/>
                <w:szCs w:val="20"/>
                <w:highlight w:val="none"/>
              </w:rPr>
            </w:pPr>
          </w:p>
        </w:tc>
        <w:tc>
          <w:tcPr>
            <w:tcW w:w="1070" w:type="dxa"/>
            <w:tcBorders>
              <w:top w:val="single" w:color="auto" w:sz="4" w:space="0"/>
              <w:left w:val="single" w:color="auto" w:sz="4" w:space="0"/>
              <w:bottom w:val="single" w:color="auto" w:sz="4" w:space="0"/>
              <w:right w:val="single" w:color="auto" w:sz="4" w:space="0"/>
            </w:tcBorders>
            <w:noWrap w:val="0"/>
            <w:vAlign w:val="center"/>
          </w:tcPr>
          <w:p w14:paraId="1B85964B">
            <w:pPr>
              <w:snapToGrid w:val="0"/>
              <w:spacing w:before="50" w:after="50"/>
              <w:jc w:val="center"/>
              <w:rPr>
                <w:rFonts w:hint="eastAsia" w:ascii="宋体" w:hAnsi="宋体" w:eastAsia="宋体" w:cs="宋体"/>
                <w:sz w:val="20"/>
                <w:szCs w:val="20"/>
                <w:highlight w:val="none"/>
              </w:rPr>
            </w:pPr>
          </w:p>
        </w:tc>
        <w:tc>
          <w:tcPr>
            <w:tcW w:w="1299" w:type="dxa"/>
            <w:tcBorders>
              <w:top w:val="single" w:color="auto" w:sz="4" w:space="0"/>
              <w:left w:val="single" w:color="auto" w:sz="4" w:space="0"/>
              <w:bottom w:val="single" w:color="auto" w:sz="4" w:space="0"/>
              <w:right w:val="single" w:color="auto" w:sz="4" w:space="0"/>
            </w:tcBorders>
            <w:noWrap w:val="0"/>
            <w:vAlign w:val="center"/>
          </w:tcPr>
          <w:p w14:paraId="2DD3C72C">
            <w:pPr>
              <w:snapToGrid w:val="0"/>
              <w:spacing w:before="50" w:after="50"/>
              <w:jc w:val="center"/>
              <w:rPr>
                <w:rFonts w:hint="eastAsia" w:ascii="宋体" w:hAnsi="宋体" w:eastAsia="宋体" w:cs="宋体"/>
                <w:sz w:val="20"/>
                <w:szCs w:val="20"/>
                <w:highlight w:val="none"/>
              </w:rPr>
            </w:pPr>
          </w:p>
        </w:tc>
        <w:tc>
          <w:tcPr>
            <w:tcW w:w="762" w:type="dxa"/>
            <w:tcBorders>
              <w:top w:val="single" w:color="auto" w:sz="4" w:space="0"/>
              <w:left w:val="single" w:color="auto" w:sz="4" w:space="0"/>
              <w:bottom w:val="single" w:color="auto" w:sz="4" w:space="0"/>
              <w:right w:val="single" w:color="auto" w:sz="4" w:space="0"/>
            </w:tcBorders>
            <w:noWrap w:val="0"/>
            <w:vAlign w:val="top"/>
          </w:tcPr>
          <w:p w14:paraId="11BE0917">
            <w:pPr>
              <w:snapToGrid w:val="0"/>
              <w:spacing w:before="50" w:after="50"/>
              <w:jc w:val="center"/>
              <w:rPr>
                <w:rFonts w:hint="eastAsia" w:ascii="宋体" w:hAnsi="宋体" w:eastAsia="宋体" w:cs="宋体"/>
                <w:sz w:val="20"/>
                <w:szCs w:val="20"/>
                <w:highlight w:val="none"/>
              </w:rPr>
            </w:pPr>
          </w:p>
        </w:tc>
        <w:tc>
          <w:tcPr>
            <w:tcW w:w="1099" w:type="dxa"/>
            <w:tcBorders>
              <w:top w:val="single" w:color="auto" w:sz="4" w:space="0"/>
              <w:left w:val="single" w:color="auto" w:sz="4" w:space="0"/>
              <w:bottom w:val="single" w:color="auto" w:sz="4" w:space="0"/>
              <w:right w:val="single" w:color="auto" w:sz="4" w:space="0"/>
            </w:tcBorders>
            <w:noWrap w:val="0"/>
            <w:vAlign w:val="center"/>
          </w:tcPr>
          <w:p w14:paraId="345B8D51">
            <w:pPr>
              <w:snapToGrid w:val="0"/>
              <w:spacing w:before="50" w:after="50"/>
              <w:jc w:val="center"/>
              <w:rPr>
                <w:rFonts w:hint="eastAsia" w:ascii="宋体" w:hAnsi="宋体" w:eastAsia="宋体" w:cs="宋体"/>
                <w:sz w:val="20"/>
                <w:szCs w:val="20"/>
                <w:highlight w:val="none"/>
              </w:rPr>
            </w:pPr>
          </w:p>
        </w:tc>
      </w:tr>
      <w:tr w14:paraId="208BD0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754" w:type="dxa"/>
            <w:tcBorders>
              <w:top w:val="single" w:color="auto" w:sz="4" w:space="0"/>
              <w:left w:val="single" w:color="auto" w:sz="4" w:space="0"/>
              <w:bottom w:val="single" w:color="auto" w:sz="4" w:space="0"/>
              <w:right w:val="single" w:color="auto" w:sz="4" w:space="0"/>
            </w:tcBorders>
            <w:noWrap w:val="0"/>
            <w:vAlign w:val="center"/>
          </w:tcPr>
          <w:p w14:paraId="6C4CC3E3">
            <w:pPr>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2</w:t>
            </w:r>
          </w:p>
        </w:tc>
        <w:tc>
          <w:tcPr>
            <w:tcW w:w="2444" w:type="dxa"/>
            <w:tcBorders>
              <w:top w:val="single" w:color="auto" w:sz="4" w:space="0"/>
              <w:left w:val="single" w:color="auto" w:sz="4" w:space="0"/>
              <w:bottom w:val="single" w:color="auto" w:sz="4" w:space="0"/>
              <w:right w:val="single" w:color="auto" w:sz="4" w:space="0"/>
            </w:tcBorders>
            <w:noWrap w:val="0"/>
            <w:vAlign w:val="center"/>
          </w:tcPr>
          <w:p w14:paraId="4C12B37D">
            <w:pPr>
              <w:jc w:val="center"/>
              <w:rPr>
                <w:rFonts w:hint="eastAsia" w:ascii="宋体" w:hAnsi="宋体" w:eastAsia="宋体" w:cs="宋体"/>
                <w:sz w:val="20"/>
                <w:szCs w:val="20"/>
                <w:highlight w:val="none"/>
              </w:rPr>
            </w:pPr>
            <w:r>
              <w:rPr>
                <w:rFonts w:ascii="宋体" w:hAnsi="宋体" w:eastAsia="宋体" w:cs="宋体"/>
                <w:sz w:val="20"/>
                <w:szCs w:val="20"/>
                <w:highlight w:val="none"/>
              </w:rPr>
              <w:t>计算虚拟化软件</w:t>
            </w:r>
            <w:r>
              <w:rPr>
                <w:rFonts w:hint="eastAsia" w:ascii="宋体" w:hAnsi="宋体" w:eastAsia="宋体" w:cs="宋体"/>
                <w:sz w:val="20"/>
                <w:szCs w:val="20"/>
                <w:highlight w:val="none"/>
              </w:rPr>
              <w:t>集成服务</w:t>
            </w:r>
          </w:p>
        </w:tc>
        <w:tc>
          <w:tcPr>
            <w:tcW w:w="637" w:type="dxa"/>
            <w:tcBorders>
              <w:top w:val="single" w:color="auto" w:sz="4" w:space="0"/>
              <w:left w:val="single" w:color="auto" w:sz="4" w:space="0"/>
              <w:bottom w:val="single" w:color="auto" w:sz="4" w:space="0"/>
              <w:right w:val="single" w:color="auto" w:sz="4" w:space="0"/>
            </w:tcBorders>
            <w:noWrap w:val="0"/>
            <w:vAlign w:val="center"/>
          </w:tcPr>
          <w:p w14:paraId="467BA7EF">
            <w:pPr>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1</w:t>
            </w:r>
          </w:p>
        </w:tc>
        <w:tc>
          <w:tcPr>
            <w:tcW w:w="730" w:type="dxa"/>
            <w:tcBorders>
              <w:top w:val="single" w:color="auto" w:sz="4" w:space="0"/>
              <w:left w:val="single" w:color="auto" w:sz="4" w:space="0"/>
              <w:bottom w:val="single" w:color="auto" w:sz="4" w:space="0"/>
              <w:right w:val="single" w:color="auto" w:sz="4" w:space="0"/>
            </w:tcBorders>
            <w:noWrap w:val="0"/>
            <w:vAlign w:val="center"/>
          </w:tcPr>
          <w:p w14:paraId="17F07765">
            <w:pPr>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套</w:t>
            </w:r>
          </w:p>
        </w:tc>
        <w:tc>
          <w:tcPr>
            <w:tcW w:w="5722" w:type="dxa"/>
            <w:tcBorders>
              <w:top w:val="single" w:color="auto" w:sz="4" w:space="0"/>
              <w:left w:val="single" w:color="auto" w:sz="4" w:space="0"/>
              <w:bottom w:val="single" w:color="auto" w:sz="4" w:space="0"/>
              <w:right w:val="single" w:color="auto" w:sz="4" w:space="0"/>
            </w:tcBorders>
            <w:noWrap w:val="0"/>
            <w:vAlign w:val="center"/>
          </w:tcPr>
          <w:p w14:paraId="1F27B01A">
            <w:pPr>
              <w:snapToGrid w:val="0"/>
              <w:spacing w:before="50" w:after="50"/>
              <w:jc w:val="center"/>
              <w:rPr>
                <w:rFonts w:hint="eastAsia" w:ascii="宋体" w:hAnsi="宋体" w:eastAsia="宋体" w:cs="宋体"/>
                <w:sz w:val="20"/>
                <w:szCs w:val="20"/>
                <w:highlight w:val="none"/>
              </w:rPr>
            </w:pPr>
          </w:p>
        </w:tc>
        <w:tc>
          <w:tcPr>
            <w:tcW w:w="1070" w:type="dxa"/>
            <w:tcBorders>
              <w:top w:val="single" w:color="auto" w:sz="4" w:space="0"/>
              <w:left w:val="single" w:color="auto" w:sz="4" w:space="0"/>
              <w:bottom w:val="single" w:color="auto" w:sz="4" w:space="0"/>
              <w:right w:val="single" w:color="auto" w:sz="4" w:space="0"/>
            </w:tcBorders>
            <w:noWrap w:val="0"/>
            <w:vAlign w:val="center"/>
          </w:tcPr>
          <w:p w14:paraId="3015ABAA">
            <w:pPr>
              <w:snapToGrid w:val="0"/>
              <w:spacing w:before="50" w:after="50"/>
              <w:jc w:val="center"/>
              <w:rPr>
                <w:rFonts w:hint="eastAsia" w:ascii="宋体" w:hAnsi="宋体" w:eastAsia="宋体" w:cs="宋体"/>
                <w:sz w:val="20"/>
                <w:szCs w:val="20"/>
                <w:highlight w:val="none"/>
              </w:rPr>
            </w:pPr>
          </w:p>
        </w:tc>
        <w:tc>
          <w:tcPr>
            <w:tcW w:w="1299" w:type="dxa"/>
            <w:tcBorders>
              <w:top w:val="single" w:color="auto" w:sz="4" w:space="0"/>
              <w:left w:val="single" w:color="auto" w:sz="4" w:space="0"/>
              <w:bottom w:val="single" w:color="auto" w:sz="4" w:space="0"/>
              <w:right w:val="single" w:color="auto" w:sz="4" w:space="0"/>
            </w:tcBorders>
            <w:noWrap w:val="0"/>
            <w:vAlign w:val="center"/>
          </w:tcPr>
          <w:p w14:paraId="21BC0392">
            <w:pPr>
              <w:snapToGrid w:val="0"/>
              <w:spacing w:before="50" w:after="50"/>
              <w:jc w:val="center"/>
              <w:rPr>
                <w:rFonts w:hint="eastAsia" w:ascii="宋体" w:hAnsi="宋体" w:eastAsia="宋体" w:cs="宋体"/>
                <w:sz w:val="20"/>
                <w:szCs w:val="20"/>
                <w:highlight w:val="none"/>
              </w:rPr>
            </w:pPr>
          </w:p>
        </w:tc>
        <w:tc>
          <w:tcPr>
            <w:tcW w:w="762" w:type="dxa"/>
            <w:tcBorders>
              <w:top w:val="single" w:color="auto" w:sz="4" w:space="0"/>
              <w:left w:val="single" w:color="auto" w:sz="4" w:space="0"/>
              <w:bottom w:val="single" w:color="auto" w:sz="4" w:space="0"/>
              <w:right w:val="single" w:color="auto" w:sz="4" w:space="0"/>
            </w:tcBorders>
            <w:noWrap w:val="0"/>
            <w:vAlign w:val="top"/>
          </w:tcPr>
          <w:p w14:paraId="6DE88BD3">
            <w:pPr>
              <w:snapToGrid w:val="0"/>
              <w:spacing w:before="50" w:after="50"/>
              <w:jc w:val="center"/>
              <w:rPr>
                <w:rFonts w:hint="eastAsia" w:ascii="宋体" w:hAnsi="宋体" w:eastAsia="宋体" w:cs="宋体"/>
                <w:sz w:val="20"/>
                <w:szCs w:val="20"/>
                <w:highlight w:val="none"/>
              </w:rPr>
            </w:pPr>
          </w:p>
        </w:tc>
        <w:tc>
          <w:tcPr>
            <w:tcW w:w="1099" w:type="dxa"/>
            <w:tcBorders>
              <w:top w:val="single" w:color="auto" w:sz="4" w:space="0"/>
              <w:left w:val="single" w:color="auto" w:sz="4" w:space="0"/>
              <w:bottom w:val="single" w:color="auto" w:sz="4" w:space="0"/>
              <w:right w:val="single" w:color="auto" w:sz="4" w:space="0"/>
            </w:tcBorders>
            <w:noWrap w:val="0"/>
            <w:vAlign w:val="center"/>
          </w:tcPr>
          <w:p w14:paraId="20BD8AD7">
            <w:pPr>
              <w:snapToGrid w:val="0"/>
              <w:spacing w:before="50" w:after="50"/>
              <w:jc w:val="center"/>
              <w:rPr>
                <w:rFonts w:hint="eastAsia" w:ascii="宋体" w:hAnsi="宋体" w:eastAsia="宋体" w:cs="宋体"/>
                <w:sz w:val="20"/>
                <w:szCs w:val="20"/>
                <w:highlight w:val="none"/>
              </w:rPr>
            </w:pPr>
          </w:p>
        </w:tc>
      </w:tr>
      <w:tr w14:paraId="6F4AEC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754" w:type="dxa"/>
            <w:tcBorders>
              <w:top w:val="single" w:color="auto" w:sz="4" w:space="0"/>
              <w:left w:val="single" w:color="auto" w:sz="4" w:space="0"/>
              <w:bottom w:val="single" w:color="auto" w:sz="4" w:space="0"/>
              <w:right w:val="single" w:color="auto" w:sz="4" w:space="0"/>
            </w:tcBorders>
            <w:noWrap w:val="0"/>
            <w:vAlign w:val="center"/>
          </w:tcPr>
          <w:p w14:paraId="3F1AB88D">
            <w:pPr>
              <w:jc w:val="center"/>
              <w:rPr>
                <w:rFonts w:ascii="宋体" w:hAnsi="宋体" w:eastAsia="宋体" w:cs="宋体"/>
                <w:sz w:val="20"/>
                <w:szCs w:val="20"/>
                <w:highlight w:val="none"/>
              </w:rPr>
            </w:pPr>
            <w:r>
              <w:rPr>
                <w:rFonts w:hint="eastAsia" w:ascii="宋体" w:hAnsi="宋体" w:eastAsia="宋体" w:cs="宋体"/>
                <w:sz w:val="20"/>
                <w:szCs w:val="20"/>
                <w:highlight w:val="none"/>
              </w:rPr>
              <w:t>3</w:t>
            </w:r>
          </w:p>
        </w:tc>
        <w:tc>
          <w:tcPr>
            <w:tcW w:w="2444" w:type="dxa"/>
            <w:tcBorders>
              <w:top w:val="single" w:color="auto" w:sz="4" w:space="0"/>
              <w:left w:val="single" w:color="auto" w:sz="4" w:space="0"/>
              <w:bottom w:val="single" w:color="auto" w:sz="4" w:space="0"/>
              <w:right w:val="single" w:color="auto" w:sz="4" w:space="0"/>
            </w:tcBorders>
            <w:noWrap w:val="0"/>
            <w:vAlign w:val="center"/>
          </w:tcPr>
          <w:p w14:paraId="7E0166B8">
            <w:pPr>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互联网防火墙</w:t>
            </w:r>
          </w:p>
        </w:tc>
        <w:tc>
          <w:tcPr>
            <w:tcW w:w="637" w:type="dxa"/>
            <w:tcBorders>
              <w:top w:val="single" w:color="auto" w:sz="4" w:space="0"/>
              <w:left w:val="single" w:color="auto" w:sz="4" w:space="0"/>
              <w:bottom w:val="single" w:color="auto" w:sz="4" w:space="0"/>
              <w:right w:val="single" w:color="auto" w:sz="4" w:space="0"/>
            </w:tcBorders>
            <w:noWrap w:val="0"/>
            <w:vAlign w:val="center"/>
          </w:tcPr>
          <w:p w14:paraId="3925079E">
            <w:pPr>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1</w:t>
            </w:r>
          </w:p>
        </w:tc>
        <w:tc>
          <w:tcPr>
            <w:tcW w:w="730" w:type="dxa"/>
            <w:tcBorders>
              <w:top w:val="single" w:color="auto" w:sz="4" w:space="0"/>
              <w:left w:val="single" w:color="auto" w:sz="4" w:space="0"/>
              <w:bottom w:val="single" w:color="auto" w:sz="4" w:space="0"/>
              <w:right w:val="single" w:color="auto" w:sz="4" w:space="0"/>
            </w:tcBorders>
            <w:noWrap w:val="0"/>
            <w:vAlign w:val="center"/>
          </w:tcPr>
          <w:p w14:paraId="1A2F61A8">
            <w:pPr>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台</w:t>
            </w:r>
          </w:p>
        </w:tc>
        <w:tc>
          <w:tcPr>
            <w:tcW w:w="5722" w:type="dxa"/>
            <w:tcBorders>
              <w:top w:val="single" w:color="auto" w:sz="4" w:space="0"/>
              <w:left w:val="single" w:color="auto" w:sz="4" w:space="0"/>
              <w:bottom w:val="single" w:color="auto" w:sz="4" w:space="0"/>
              <w:right w:val="single" w:color="auto" w:sz="4" w:space="0"/>
            </w:tcBorders>
            <w:noWrap w:val="0"/>
            <w:vAlign w:val="center"/>
          </w:tcPr>
          <w:p w14:paraId="6EFE0A7B">
            <w:pPr>
              <w:snapToGrid w:val="0"/>
              <w:spacing w:before="50" w:after="50"/>
              <w:jc w:val="center"/>
              <w:rPr>
                <w:rFonts w:hint="eastAsia" w:ascii="宋体" w:hAnsi="宋体" w:eastAsia="宋体" w:cs="宋体"/>
                <w:sz w:val="20"/>
                <w:szCs w:val="20"/>
                <w:highlight w:val="none"/>
              </w:rPr>
            </w:pPr>
          </w:p>
        </w:tc>
        <w:tc>
          <w:tcPr>
            <w:tcW w:w="1070" w:type="dxa"/>
            <w:tcBorders>
              <w:top w:val="single" w:color="auto" w:sz="4" w:space="0"/>
              <w:left w:val="single" w:color="auto" w:sz="4" w:space="0"/>
              <w:bottom w:val="single" w:color="auto" w:sz="4" w:space="0"/>
              <w:right w:val="single" w:color="auto" w:sz="4" w:space="0"/>
            </w:tcBorders>
            <w:noWrap w:val="0"/>
            <w:vAlign w:val="center"/>
          </w:tcPr>
          <w:p w14:paraId="07D147DC">
            <w:pPr>
              <w:snapToGrid w:val="0"/>
              <w:spacing w:before="50" w:after="50"/>
              <w:jc w:val="center"/>
              <w:rPr>
                <w:rFonts w:hint="eastAsia" w:ascii="宋体" w:hAnsi="宋体" w:eastAsia="宋体" w:cs="宋体"/>
                <w:sz w:val="20"/>
                <w:szCs w:val="20"/>
                <w:highlight w:val="none"/>
              </w:rPr>
            </w:pPr>
          </w:p>
        </w:tc>
        <w:tc>
          <w:tcPr>
            <w:tcW w:w="1299" w:type="dxa"/>
            <w:tcBorders>
              <w:top w:val="single" w:color="auto" w:sz="4" w:space="0"/>
              <w:left w:val="single" w:color="auto" w:sz="4" w:space="0"/>
              <w:bottom w:val="single" w:color="auto" w:sz="4" w:space="0"/>
              <w:right w:val="single" w:color="auto" w:sz="4" w:space="0"/>
            </w:tcBorders>
            <w:noWrap w:val="0"/>
            <w:vAlign w:val="center"/>
          </w:tcPr>
          <w:p w14:paraId="03650FB8">
            <w:pPr>
              <w:snapToGrid w:val="0"/>
              <w:spacing w:before="50" w:after="50"/>
              <w:jc w:val="center"/>
              <w:rPr>
                <w:rFonts w:hint="eastAsia" w:ascii="宋体" w:hAnsi="宋体" w:eastAsia="宋体" w:cs="宋体"/>
                <w:sz w:val="20"/>
                <w:szCs w:val="20"/>
                <w:highlight w:val="none"/>
              </w:rPr>
            </w:pPr>
          </w:p>
        </w:tc>
        <w:tc>
          <w:tcPr>
            <w:tcW w:w="762" w:type="dxa"/>
            <w:tcBorders>
              <w:top w:val="single" w:color="auto" w:sz="4" w:space="0"/>
              <w:left w:val="single" w:color="auto" w:sz="4" w:space="0"/>
              <w:bottom w:val="single" w:color="auto" w:sz="4" w:space="0"/>
              <w:right w:val="single" w:color="auto" w:sz="4" w:space="0"/>
            </w:tcBorders>
            <w:noWrap w:val="0"/>
            <w:vAlign w:val="top"/>
          </w:tcPr>
          <w:p w14:paraId="143F42BB">
            <w:pPr>
              <w:snapToGrid w:val="0"/>
              <w:spacing w:before="50" w:after="50"/>
              <w:jc w:val="center"/>
              <w:rPr>
                <w:rFonts w:hint="eastAsia" w:ascii="宋体" w:hAnsi="宋体" w:eastAsia="宋体" w:cs="宋体"/>
                <w:sz w:val="20"/>
                <w:szCs w:val="20"/>
                <w:highlight w:val="none"/>
              </w:rPr>
            </w:pPr>
          </w:p>
        </w:tc>
        <w:tc>
          <w:tcPr>
            <w:tcW w:w="1099" w:type="dxa"/>
            <w:tcBorders>
              <w:top w:val="single" w:color="auto" w:sz="4" w:space="0"/>
              <w:left w:val="single" w:color="auto" w:sz="4" w:space="0"/>
              <w:bottom w:val="single" w:color="auto" w:sz="4" w:space="0"/>
              <w:right w:val="single" w:color="auto" w:sz="4" w:space="0"/>
            </w:tcBorders>
            <w:noWrap w:val="0"/>
            <w:vAlign w:val="center"/>
          </w:tcPr>
          <w:p w14:paraId="43A950B8">
            <w:pPr>
              <w:snapToGrid w:val="0"/>
              <w:spacing w:before="50" w:after="50"/>
              <w:jc w:val="center"/>
              <w:rPr>
                <w:rFonts w:hint="eastAsia" w:ascii="宋体" w:hAnsi="宋体" w:eastAsia="宋体" w:cs="宋体"/>
                <w:sz w:val="20"/>
                <w:szCs w:val="20"/>
                <w:highlight w:val="none"/>
              </w:rPr>
            </w:pPr>
          </w:p>
        </w:tc>
      </w:tr>
      <w:tr w14:paraId="3D2399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754" w:type="dxa"/>
            <w:tcBorders>
              <w:top w:val="single" w:color="auto" w:sz="4" w:space="0"/>
              <w:left w:val="single" w:color="auto" w:sz="4" w:space="0"/>
              <w:bottom w:val="single" w:color="auto" w:sz="4" w:space="0"/>
              <w:right w:val="single" w:color="auto" w:sz="4" w:space="0"/>
            </w:tcBorders>
            <w:noWrap w:val="0"/>
            <w:vAlign w:val="center"/>
          </w:tcPr>
          <w:p w14:paraId="171DD110">
            <w:pPr>
              <w:jc w:val="center"/>
              <w:rPr>
                <w:rFonts w:ascii="宋体" w:hAnsi="宋体" w:eastAsia="宋体" w:cs="宋体"/>
                <w:sz w:val="20"/>
                <w:szCs w:val="20"/>
                <w:highlight w:val="none"/>
              </w:rPr>
            </w:pPr>
            <w:r>
              <w:rPr>
                <w:rFonts w:hint="eastAsia" w:ascii="宋体" w:hAnsi="宋体" w:eastAsia="宋体" w:cs="宋体"/>
                <w:sz w:val="20"/>
                <w:szCs w:val="20"/>
                <w:highlight w:val="none"/>
              </w:rPr>
              <w:t>4</w:t>
            </w:r>
          </w:p>
        </w:tc>
        <w:tc>
          <w:tcPr>
            <w:tcW w:w="2444" w:type="dxa"/>
            <w:tcBorders>
              <w:top w:val="single" w:color="auto" w:sz="4" w:space="0"/>
              <w:left w:val="single" w:color="auto" w:sz="4" w:space="0"/>
              <w:bottom w:val="single" w:color="auto" w:sz="4" w:space="0"/>
              <w:right w:val="single" w:color="auto" w:sz="4" w:space="0"/>
            </w:tcBorders>
            <w:noWrap w:val="0"/>
            <w:vAlign w:val="center"/>
          </w:tcPr>
          <w:p w14:paraId="638331CE">
            <w:pPr>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节点防火墙</w:t>
            </w:r>
          </w:p>
        </w:tc>
        <w:tc>
          <w:tcPr>
            <w:tcW w:w="637" w:type="dxa"/>
            <w:tcBorders>
              <w:top w:val="single" w:color="auto" w:sz="4" w:space="0"/>
              <w:left w:val="single" w:color="auto" w:sz="4" w:space="0"/>
              <w:bottom w:val="single" w:color="auto" w:sz="4" w:space="0"/>
              <w:right w:val="single" w:color="auto" w:sz="4" w:space="0"/>
            </w:tcBorders>
            <w:noWrap w:val="0"/>
            <w:vAlign w:val="center"/>
          </w:tcPr>
          <w:p w14:paraId="230CDDCA">
            <w:pPr>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2</w:t>
            </w:r>
          </w:p>
        </w:tc>
        <w:tc>
          <w:tcPr>
            <w:tcW w:w="730" w:type="dxa"/>
            <w:tcBorders>
              <w:top w:val="single" w:color="auto" w:sz="4" w:space="0"/>
              <w:left w:val="single" w:color="auto" w:sz="4" w:space="0"/>
              <w:bottom w:val="single" w:color="auto" w:sz="4" w:space="0"/>
              <w:right w:val="single" w:color="auto" w:sz="4" w:space="0"/>
            </w:tcBorders>
            <w:noWrap w:val="0"/>
            <w:vAlign w:val="center"/>
          </w:tcPr>
          <w:p w14:paraId="46E7C015">
            <w:pPr>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台</w:t>
            </w:r>
          </w:p>
        </w:tc>
        <w:tc>
          <w:tcPr>
            <w:tcW w:w="5722" w:type="dxa"/>
            <w:tcBorders>
              <w:top w:val="single" w:color="auto" w:sz="4" w:space="0"/>
              <w:left w:val="single" w:color="auto" w:sz="4" w:space="0"/>
              <w:bottom w:val="single" w:color="auto" w:sz="4" w:space="0"/>
              <w:right w:val="single" w:color="auto" w:sz="4" w:space="0"/>
            </w:tcBorders>
            <w:noWrap w:val="0"/>
            <w:vAlign w:val="center"/>
          </w:tcPr>
          <w:p w14:paraId="55B794A9">
            <w:pPr>
              <w:snapToGrid w:val="0"/>
              <w:spacing w:before="50" w:after="50"/>
              <w:jc w:val="center"/>
              <w:rPr>
                <w:rFonts w:hint="eastAsia" w:ascii="宋体" w:hAnsi="宋体" w:eastAsia="宋体" w:cs="宋体"/>
                <w:sz w:val="20"/>
                <w:szCs w:val="20"/>
                <w:highlight w:val="none"/>
              </w:rPr>
            </w:pPr>
          </w:p>
        </w:tc>
        <w:tc>
          <w:tcPr>
            <w:tcW w:w="1070" w:type="dxa"/>
            <w:tcBorders>
              <w:top w:val="single" w:color="auto" w:sz="4" w:space="0"/>
              <w:left w:val="single" w:color="auto" w:sz="4" w:space="0"/>
              <w:bottom w:val="single" w:color="auto" w:sz="4" w:space="0"/>
              <w:right w:val="single" w:color="auto" w:sz="4" w:space="0"/>
            </w:tcBorders>
            <w:noWrap w:val="0"/>
            <w:vAlign w:val="center"/>
          </w:tcPr>
          <w:p w14:paraId="25EEE141">
            <w:pPr>
              <w:snapToGrid w:val="0"/>
              <w:spacing w:before="50" w:after="50"/>
              <w:jc w:val="center"/>
              <w:rPr>
                <w:rFonts w:hint="eastAsia" w:ascii="宋体" w:hAnsi="宋体" w:eastAsia="宋体" w:cs="宋体"/>
                <w:sz w:val="20"/>
                <w:szCs w:val="20"/>
                <w:highlight w:val="none"/>
              </w:rPr>
            </w:pPr>
          </w:p>
        </w:tc>
        <w:tc>
          <w:tcPr>
            <w:tcW w:w="1299" w:type="dxa"/>
            <w:tcBorders>
              <w:top w:val="single" w:color="auto" w:sz="4" w:space="0"/>
              <w:left w:val="single" w:color="auto" w:sz="4" w:space="0"/>
              <w:bottom w:val="single" w:color="auto" w:sz="4" w:space="0"/>
              <w:right w:val="single" w:color="auto" w:sz="4" w:space="0"/>
            </w:tcBorders>
            <w:noWrap w:val="0"/>
            <w:vAlign w:val="center"/>
          </w:tcPr>
          <w:p w14:paraId="3F91523B">
            <w:pPr>
              <w:snapToGrid w:val="0"/>
              <w:spacing w:before="50" w:after="50"/>
              <w:jc w:val="center"/>
              <w:rPr>
                <w:rFonts w:hint="eastAsia" w:ascii="宋体" w:hAnsi="宋体" w:eastAsia="宋体" w:cs="宋体"/>
                <w:sz w:val="20"/>
                <w:szCs w:val="20"/>
                <w:highlight w:val="none"/>
              </w:rPr>
            </w:pPr>
          </w:p>
        </w:tc>
        <w:tc>
          <w:tcPr>
            <w:tcW w:w="762" w:type="dxa"/>
            <w:tcBorders>
              <w:top w:val="single" w:color="auto" w:sz="4" w:space="0"/>
              <w:left w:val="single" w:color="auto" w:sz="4" w:space="0"/>
              <w:bottom w:val="single" w:color="auto" w:sz="4" w:space="0"/>
              <w:right w:val="single" w:color="auto" w:sz="4" w:space="0"/>
            </w:tcBorders>
            <w:noWrap w:val="0"/>
            <w:vAlign w:val="top"/>
          </w:tcPr>
          <w:p w14:paraId="5C2F7633">
            <w:pPr>
              <w:snapToGrid w:val="0"/>
              <w:spacing w:before="50" w:after="50"/>
              <w:jc w:val="center"/>
              <w:rPr>
                <w:rFonts w:hint="eastAsia" w:ascii="宋体" w:hAnsi="宋体" w:eastAsia="宋体" w:cs="宋体"/>
                <w:sz w:val="20"/>
                <w:szCs w:val="20"/>
                <w:highlight w:val="none"/>
              </w:rPr>
            </w:pPr>
          </w:p>
        </w:tc>
        <w:tc>
          <w:tcPr>
            <w:tcW w:w="1099" w:type="dxa"/>
            <w:tcBorders>
              <w:top w:val="single" w:color="auto" w:sz="4" w:space="0"/>
              <w:left w:val="single" w:color="auto" w:sz="4" w:space="0"/>
              <w:bottom w:val="single" w:color="auto" w:sz="4" w:space="0"/>
              <w:right w:val="single" w:color="auto" w:sz="4" w:space="0"/>
            </w:tcBorders>
            <w:noWrap w:val="0"/>
            <w:vAlign w:val="center"/>
          </w:tcPr>
          <w:p w14:paraId="128AB830">
            <w:pPr>
              <w:snapToGrid w:val="0"/>
              <w:spacing w:before="50" w:after="50"/>
              <w:jc w:val="center"/>
              <w:rPr>
                <w:rFonts w:hint="eastAsia" w:ascii="宋体" w:hAnsi="宋体" w:eastAsia="宋体" w:cs="宋体"/>
                <w:sz w:val="20"/>
                <w:szCs w:val="20"/>
                <w:highlight w:val="none"/>
              </w:rPr>
            </w:pPr>
          </w:p>
        </w:tc>
      </w:tr>
      <w:tr w14:paraId="178125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754" w:type="dxa"/>
            <w:tcBorders>
              <w:top w:val="single" w:color="auto" w:sz="4" w:space="0"/>
              <w:left w:val="single" w:color="auto" w:sz="4" w:space="0"/>
              <w:bottom w:val="single" w:color="auto" w:sz="4" w:space="0"/>
              <w:right w:val="single" w:color="auto" w:sz="4" w:space="0"/>
            </w:tcBorders>
            <w:noWrap w:val="0"/>
            <w:vAlign w:val="center"/>
          </w:tcPr>
          <w:p w14:paraId="5D843267">
            <w:pPr>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5</w:t>
            </w:r>
          </w:p>
        </w:tc>
        <w:tc>
          <w:tcPr>
            <w:tcW w:w="2444" w:type="dxa"/>
            <w:tcBorders>
              <w:top w:val="single" w:color="auto" w:sz="4" w:space="0"/>
              <w:left w:val="single" w:color="auto" w:sz="4" w:space="0"/>
              <w:bottom w:val="single" w:color="auto" w:sz="4" w:space="0"/>
              <w:right w:val="single" w:color="auto" w:sz="4" w:space="0"/>
            </w:tcBorders>
            <w:noWrap w:val="0"/>
            <w:vAlign w:val="center"/>
          </w:tcPr>
          <w:p w14:paraId="5BFA9379">
            <w:pPr>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信息安全管理服务</w:t>
            </w:r>
          </w:p>
        </w:tc>
        <w:tc>
          <w:tcPr>
            <w:tcW w:w="637" w:type="dxa"/>
            <w:tcBorders>
              <w:top w:val="single" w:color="auto" w:sz="4" w:space="0"/>
              <w:left w:val="single" w:color="auto" w:sz="4" w:space="0"/>
              <w:bottom w:val="single" w:color="auto" w:sz="4" w:space="0"/>
              <w:right w:val="single" w:color="auto" w:sz="4" w:space="0"/>
            </w:tcBorders>
            <w:noWrap w:val="0"/>
            <w:vAlign w:val="center"/>
          </w:tcPr>
          <w:p w14:paraId="266A7900">
            <w:pPr>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1</w:t>
            </w:r>
          </w:p>
        </w:tc>
        <w:tc>
          <w:tcPr>
            <w:tcW w:w="730" w:type="dxa"/>
            <w:tcBorders>
              <w:top w:val="single" w:color="auto" w:sz="4" w:space="0"/>
              <w:left w:val="single" w:color="auto" w:sz="4" w:space="0"/>
              <w:bottom w:val="single" w:color="auto" w:sz="4" w:space="0"/>
              <w:right w:val="single" w:color="auto" w:sz="4" w:space="0"/>
            </w:tcBorders>
            <w:noWrap w:val="0"/>
            <w:vAlign w:val="center"/>
          </w:tcPr>
          <w:p w14:paraId="1F34CD60">
            <w:pPr>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项</w:t>
            </w:r>
          </w:p>
        </w:tc>
        <w:tc>
          <w:tcPr>
            <w:tcW w:w="5722" w:type="dxa"/>
            <w:tcBorders>
              <w:top w:val="single" w:color="auto" w:sz="4" w:space="0"/>
              <w:left w:val="single" w:color="auto" w:sz="4" w:space="0"/>
              <w:bottom w:val="single" w:color="auto" w:sz="4" w:space="0"/>
              <w:right w:val="single" w:color="auto" w:sz="4" w:space="0"/>
            </w:tcBorders>
            <w:noWrap w:val="0"/>
            <w:vAlign w:val="center"/>
          </w:tcPr>
          <w:p w14:paraId="00D92CF1">
            <w:pPr>
              <w:snapToGrid w:val="0"/>
              <w:spacing w:before="50" w:after="50"/>
              <w:jc w:val="center"/>
              <w:rPr>
                <w:rFonts w:hint="eastAsia" w:ascii="宋体" w:hAnsi="宋体" w:eastAsia="宋体" w:cs="宋体"/>
                <w:sz w:val="20"/>
                <w:szCs w:val="20"/>
                <w:highlight w:val="none"/>
              </w:rPr>
            </w:pPr>
          </w:p>
        </w:tc>
        <w:tc>
          <w:tcPr>
            <w:tcW w:w="1070" w:type="dxa"/>
            <w:tcBorders>
              <w:top w:val="single" w:color="auto" w:sz="4" w:space="0"/>
              <w:left w:val="single" w:color="auto" w:sz="4" w:space="0"/>
              <w:bottom w:val="single" w:color="auto" w:sz="4" w:space="0"/>
              <w:right w:val="single" w:color="auto" w:sz="4" w:space="0"/>
            </w:tcBorders>
            <w:noWrap w:val="0"/>
            <w:vAlign w:val="center"/>
          </w:tcPr>
          <w:p w14:paraId="2BA6BC5A">
            <w:pPr>
              <w:snapToGrid w:val="0"/>
              <w:spacing w:before="50" w:after="50"/>
              <w:jc w:val="center"/>
              <w:rPr>
                <w:rFonts w:hint="eastAsia" w:ascii="宋体" w:hAnsi="宋体" w:eastAsia="宋体" w:cs="宋体"/>
                <w:sz w:val="20"/>
                <w:szCs w:val="20"/>
                <w:highlight w:val="none"/>
              </w:rPr>
            </w:pPr>
          </w:p>
        </w:tc>
        <w:tc>
          <w:tcPr>
            <w:tcW w:w="1299" w:type="dxa"/>
            <w:tcBorders>
              <w:top w:val="single" w:color="auto" w:sz="4" w:space="0"/>
              <w:left w:val="single" w:color="auto" w:sz="4" w:space="0"/>
              <w:bottom w:val="single" w:color="auto" w:sz="4" w:space="0"/>
              <w:right w:val="single" w:color="auto" w:sz="4" w:space="0"/>
            </w:tcBorders>
            <w:noWrap w:val="0"/>
            <w:vAlign w:val="center"/>
          </w:tcPr>
          <w:p w14:paraId="0F59B47B">
            <w:pPr>
              <w:snapToGrid w:val="0"/>
              <w:spacing w:before="50" w:after="50"/>
              <w:jc w:val="center"/>
              <w:rPr>
                <w:rFonts w:hint="eastAsia" w:ascii="宋体" w:hAnsi="宋体" w:eastAsia="宋体" w:cs="宋体"/>
                <w:sz w:val="20"/>
                <w:szCs w:val="20"/>
                <w:highlight w:val="none"/>
              </w:rPr>
            </w:pPr>
          </w:p>
        </w:tc>
        <w:tc>
          <w:tcPr>
            <w:tcW w:w="762" w:type="dxa"/>
            <w:tcBorders>
              <w:top w:val="single" w:color="auto" w:sz="4" w:space="0"/>
              <w:left w:val="single" w:color="auto" w:sz="4" w:space="0"/>
              <w:bottom w:val="single" w:color="auto" w:sz="4" w:space="0"/>
              <w:right w:val="single" w:color="auto" w:sz="4" w:space="0"/>
            </w:tcBorders>
            <w:noWrap w:val="0"/>
            <w:vAlign w:val="top"/>
          </w:tcPr>
          <w:p w14:paraId="70582CA2">
            <w:pPr>
              <w:snapToGrid w:val="0"/>
              <w:spacing w:before="50" w:after="50"/>
              <w:jc w:val="center"/>
              <w:rPr>
                <w:rFonts w:hint="eastAsia" w:ascii="宋体" w:hAnsi="宋体" w:eastAsia="宋体" w:cs="宋体"/>
                <w:sz w:val="20"/>
                <w:szCs w:val="20"/>
                <w:highlight w:val="none"/>
              </w:rPr>
            </w:pPr>
          </w:p>
        </w:tc>
        <w:tc>
          <w:tcPr>
            <w:tcW w:w="1099" w:type="dxa"/>
            <w:tcBorders>
              <w:top w:val="single" w:color="auto" w:sz="4" w:space="0"/>
              <w:left w:val="single" w:color="auto" w:sz="4" w:space="0"/>
              <w:bottom w:val="single" w:color="auto" w:sz="4" w:space="0"/>
              <w:right w:val="single" w:color="auto" w:sz="4" w:space="0"/>
            </w:tcBorders>
            <w:noWrap w:val="0"/>
            <w:vAlign w:val="center"/>
          </w:tcPr>
          <w:p w14:paraId="5B5E952C">
            <w:pPr>
              <w:snapToGrid w:val="0"/>
              <w:spacing w:before="50" w:after="50"/>
              <w:jc w:val="center"/>
              <w:rPr>
                <w:rFonts w:hint="eastAsia" w:ascii="宋体" w:hAnsi="宋体" w:eastAsia="宋体" w:cs="宋体"/>
                <w:sz w:val="20"/>
                <w:szCs w:val="20"/>
                <w:highlight w:val="none"/>
              </w:rPr>
            </w:pPr>
          </w:p>
        </w:tc>
      </w:tr>
      <w:tr w14:paraId="49DE5F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46" w:hRule="atLeast"/>
          <w:jc w:val="center"/>
        </w:trPr>
        <w:tc>
          <w:tcPr>
            <w:tcW w:w="14517" w:type="dxa"/>
            <w:gridSpan w:val="9"/>
            <w:tcBorders>
              <w:top w:val="single" w:color="auto" w:sz="4" w:space="0"/>
              <w:left w:val="single" w:color="auto" w:sz="4" w:space="0"/>
              <w:bottom w:val="single" w:color="auto" w:sz="4" w:space="0"/>
              <w:right w:val="single" w:color="auto" w:sz="4" w:space="0"/>
            </w:tcBorders>
            <w:noWrap w:val="0"/>
            <w:vAlign w:val="top"/>
          </w:tcPr>
          <w:p w14:paraId="2534947E">
            <w:pPr>
              <w:snapToGrid w:val="0"/>
              <w:spacing w:before="50" w:after="50"/>
              <w:rPr>
                <w:rFonts w:hint="eastAsia" w:ascii="宋体" w:hAnsi="宋体" w:eastAsia="宋体" w:cs="宋体"/>
                <w:b/>
                <w:bCs/>
                <w:sz w:val="24"/>
                <w:highlight w:val="none"/>
              </w:rPr>
            </w:pPr>
            <w:r>
              <w:rPr>
                <w:rFonts w:hint="eastAsia" w:ascii="宋体" w:hAnsi="宋体" w:eastAsia="宋体" w:cs="宋体"/>
                <w:b/>
                <w:bCs/>
                <w:sz w:val="24"/>
                <w:highlight w:val="none"/>
              </w:rPr>
              <w:t>供货期限：采购人发出通知后</w:t>
            </w:r>
            <w:r>
              <w:rPr>
                <w:rFonts w:hint="eastAsia" w:ascii="宋体" w:hAnsi="宋体" w:eastAsia="宋体" w:cs="宋体"/>
                <w:b/>
                <w:bCs/>
                <w:sz w:val="24"/>
                <w:highlight w:val="none"/>
                <w:u w:val="single"/>
              </w:rPr>
              <w:t xml:space="preserve">    </w:t>
            </w:r>
            <w:r>
              <w:rPr>
                <w:rFonts w:hint="eastAsia" w:ascii="宋体" w:hAnsi="宋体" w:eastAsia="宋体" w:cs="宋体"/>
                <w:b/>
                <w:bCs/>
                <w:sz w:val="24"/>
                <w:highlight w:val="none"/>
              </w:rPr>
              <w:t>个日历天内供应商须完成货物的供货、安装、调试。试运行期</w:t>
            </w:r>
            <w:r>
              <w:rPr>
                <w:rFonts w:hint="eastAsia" w:ascii="宋体" w:hAnsi="宋体" w:eastAsia="宋体" w:cs="宋体"/>
                <w:b/>
                <w:bCs/>
                <w:sz w:val="24"/>
                <w:highlight w:val="none"/>
                <w:u w:val="single"/>
              </w:rPr>
              <w:t xml:space="preserve">    </w:t>
            </w:r>
            <w:r>
              <w:rPr>
                <w:rFonts w:hint="eastAsia" w:ascii="宋体" w:hAnsi="宋体" w:eastAsia="宋体" w:cs="宋体"/>
                <w:b/>
                <w:bCs/>
                <w:sz w:val="24"/>
                <w:highlight w:val="none"/>
              </w:rPr>
              <w:t>个月。</w:t>
            </w:r>
          </w:p>
          <w:p w14:paraId="27DC413C">
            <w:pPr>
              <w:snapToGrid w:val="0"/>
              <w:spacing w:before="50" w:after="50"/>
              <w:rPr>
                <w:rFonts w:hint="eastAsia" w:ascii="宋体" w:hAnsi="宋体" w:eastAsia="宋体" w:cs="宋体"/>
                <w:b/>
                <w:bCs/>
                <w:sz w:val="24"/>
                <w:highlight w:val="none"/>
                <w:u w:val="single"/>
              </w:rPr>
            </w:pPr>
            <w:r>
              <w:rPr>
                <w:rFonts w:hint="eastAsia" w:ascii="宋体" w:hAnsi="宋体" w:eastAsia="宋体" w:cs="宋体"/>
                <w:b/>
                <w:bCs/>
                <w:sz w:val="24"/>
                <w:highlight w:val="none"/>
              </w:rPr>
              <w:t>交货地点：</w:t>
            </w:r>
            <w:r>
              <w:rPr>
                <w:rFonts w:hint="eastAsia" w:ascii="宋体" w:hAnsi="宋体" w:eastAsia="宋体" w:cs="宋体"/>
                <w:b/>
                <w:bCs/>
                <w:sz w:val="24"/>
                <w:highlight w:val="none"/>
                <w:u w:val="single"/>
              </w:rPr>
              <w:t>由乙方负责将货物运送至甲方指定地点（温州市范围内）。</w:t>
            </w:r>
          </w:p>
          <w:p w14:paraId="7F7ECBC0">
            <w:pPr>
              <w:snapToGrid w:val="0"/>
              <w:spacing w:before="50" w:after="50"/>
              <w:rPr>
                <w:rFonts w:hint="eastAsia" w:ascii="宋体" w:hAnsi="宋体" w:eastAsia="宋体" w:cs="宋体"/>
                <w:b/>
                <w:bCs/>
                <w:sz w:val="24"/>
                <w:highlight w:val="none"/>
              </w:rPr>
            </w:pPr>
            <w:r>
              <w:rPr>
                <w:rFonts w:hint="eastAsia" w:ascii="宋体" w:hAnsi="宋体" w:eastAsia="宋体" w:cs="宋体"/>
                <w:b/>
                <w:bCs/>
                <w:sz w:val="24"/>
                <w:highlight w:val="none"/>
              </w:rPr>
              <w:t>本项目所有产品的免费质保期为</w:t>
            </w:r>
            <w:r>
              <w:rPr>
                <w:rFonts w:hint="eastAsia" w:ascii="宋体" w:hAnsi="宋体" w:eastAsia="宋体" w:cs="宋体"/>
                <w:b/>
                <w:bCs/>
                <w:sz w:val="24"/>
                <w:highlight w:val="none"/>
                <w:u w:val="single"/>
              </w:rPr>
              <w:t xml:space="preserve">      </w:t>
            </w:r>
            <w:r>
              <w:rPr>
                <w:rFonts w:hint="eastAsia" w:ascii="宋体" w:hAnsi="宋体" w:eastAsia="宋体" w:cs="宋体"/>
                <w:b/>
                <w:bCs/>
                <w:sz w:val="24"/>
                <w:highlight w:val="none"/>
              </w:rPr>
              <w:t>年（含系统维护），自最终验收合格次日起计算。</w:t>
            </w:r>
          </w:p>
          <w:p w14:paraId="756CAFAE">
            <w:pPr>
              <w:snapToGrid w:val="0"/>
              <w:spacing w:before="50" w:after="50"/>
              <w:rPr>
                <w:rFonts w:hint="eastAsia" w:ascii="宋体" w:hAnsi="宋体" w:eastAsia="宋体" w:cs="宋体"/>
                <w:b/>
                <w:bCs/>
                <w:sz w:val="28"/>
                <w:szCs w:val="28"/>
                <w:highlight w:val="none"/>
              </w:rPr>
            </w:pPr>
            <w:r>
              <w:rPr>
                <w:rFonts w:hint="eastAsia" w:ascii="宋体" w:hAnsi="宋体" w:eastAsia="宋体" w:cs="宋体"/>
                <w:b/>
                <w:bCs/>
                <w:sz w:val="24"/>
                <w:highlight w:val="none"/>
              </w:rPr>
              <w:t>我方提供的设备为未经使用的原厂行货，我方提供的货物保证是全新的和未使用过的且原装合格正品。</w:t>
            </w:r>
          </w:p>
        </w:tc>
      </w:tr>
    </w:tbl>
    <w:p w14:paraId="28C64D6B">
      <w:pPr>
        <w:pStyle w:val="34"/>
        <w:spacing w:line="360" w:lineRule="auto"/>
        <w:ind w:left="0"/>
        <w:rPr>
          <w:rFonts w:hint="eastAsia" w:ascii="宋体" w:hAnsi="宋体" w:cs="宋体"/>
          <w:sz w:val="21"/>
          <w:szCs w:val="21"/>
          <w:highlight w:val="none"/>
        </w:rPr>
      </w:pPr>
      <w:r>
        <w:rPr>
          <w:rFonts w:hint="eastAsia" w:ascii="宋体" w:hAnsi="宋体" w:cs="宋体"/>
          <w:sz w:val="21"/>
          <w:szCs w:val="21"/>
          <w:highlight w:val="none"/>
        </w:rPr>
        <w:t>注：1、</w:t>
      </w:r>
      <w:r>
        <w:rPr>
          <w:rFonts w:hint="eastAsia" w:ascii="宋体" w:hAnsi="宋体" w:cs="宋体"/>
          <w:sz w:val="21"/>
          <w:szCs w:val="21"/>
          <w:highlight w:val="none"/>
          <w:u w:val="single"/>
        </w:rPr>
        <w:t>▲不提供《产品供货范围详细清单》的投标文件将被视为未实质性响应采购文件</w:t>
      </w:r>
      <w:r>
        <w:rPr>
          <w:rFonts w:hint="eastAsia" w:ascii="宋体" w:hAnsi="宋体" w:cs="宋体"/>
          <w:sz w:val="21"/>
          <w:szCs w:val="21"/>
          <w:highlight w:val="none"/>
        </w:rPr>
        <w:t>。</w:t>
      </w:r>
    </w:p>
    <w:p w14:paraId="3CE0FBBA">
      <w:pPr>
        <w:spacing w:line="360" w:lineRule="auto"/>
        <w:ind w:firstLine="420" w:firstLineChars="200"/>
        <w:rPr>
          <w:rFonts w:ascii="宋体" w:hAnsi="宋体" w:cs="宋体"/>
          <w:bCs/>
          <w:szCs w:val="21"/>
          <w:highlight w:val="none"/>
          <w:u w:val="single"/>
        </w:rPr>
      </w:pPr>
      <w:r>
        <w:rPr>
          <w:rFonts w:hint="eastAsia" w:ascii="宋体" w:hAnsi="宋体" w:cs="宋体"/>
          <w:bCs/>
          <w:szCs w:val="21"/>
          <w:highlight w:val="none"/>
          <w:u w:val="single"/>
        </w:rPr>
        <w:t>2、▲上表“产品名称”“数量”“单位”等已填写的内容均不得改变。投标供应商提供的某一个产品“技术参数/规格”与采购文件要求一致的，可在该产品“技术参数/规格”中填写“与采购要求一致”，若不一致的则须在该产品“技术参数/规格”中填写该产品“技术参数/规格”，并在“</w:t>
      </w:r>
      <w:r>
        <w:rPr>
          <w:rFonts w:hint="eastAsia" w:ascii="宋体" w:hAnsi="宋体" w:cs="宋体"/>
          <w:kern w:val="1"/>
          <w:szCs w:val="21"/>
          <w:highlight w:val="none"/>
          <w:u w:val="single"/>
        </w:rPr>
        <w:t>技术、商务偏离表”中填写偏离情况。</w:t>
      </w:r>
    </w:p>
    <w:p w14:paraId="64643325">
      <w:pPr>
        <w:spacing w:line="460" w:lineRule="exact"/>
        <w:ind w:firstLine="3150" w:firstLineChars="1500"/>
        <w:rPr>
          <w:rFonts w:hint="eastAsia" w:ascii="宋体" w:hAnsi="宋体" w:cs="宋体"/>
          <w:szCs w:val="21"/>
          <w:highlight w:val="none"/>
        </w:rPr>
      </w:pPr>
      <w:r>
        <w:rPr>
          <w:rFonts w:hint="eastAsia" w:ascii="宋体" w:hAnsi="宋体" w:cs="宋体"/>
          <w:szCs w:val="21"/>
          <w:highlight w:val="none"/>
        </w:rPr>
        <w:t>投标供应商全称（盖单位公章） ：</w:t>
      </w:r>
    </w:p>
    <w:p w14:paraId="1CE84CD3">
      <w:pPr>
        <w:spacing w:line="460" w:lineRule="exact"/>
        <w:ind w:firstLine="420" w:firstLineChars="200"/>
        <w:rPr>
          <w:rFonts w:hint="eastAsia" w:ascii="宋体" w:hAnsi="宋体" w:cs="宋体"/>
          <w:szCs w:val="21"/>
          <w:highlight w:val="none"/>
        </w:rPr>
      </w:pPr>
      <w:r>
        <w:rPr>
          <w:rFonts w:hint="eastAsia" w:ascii="宋体" w:hAnsi="宋体" w:cs="宋体"/>
          <w:szCs w:val="21"/>
          <w:highlight w:val="none"/>
        </w:rPr>
        <w:t>法定代表人（法定负责人） 或授权代表（签字或盖章）：</w:t>
      </w:r>
    </w:p>
    <w:p w14:paraId="15FD525C">
      <w:pPr>
        <w:spacing w:line="460" w:lineRule="exact"/>
        <w:ind w:firstLine="5250" w:firstLineChars="2500"/>
        <w:rPr>
          <w:rFonts w:hint="eastAsia" w:ascii="宋体" w:hAnsi="宋体" w:cs="宋体"/>
          <w:b/>
          <w:bCs/>
          <w:szCs w:val="21"/>
          <w:highlight w:val="none"/>
        </w:rPr>
        <w:sectPr>
          <w:pgSz w:w="16838" w:h="11906" w:orient="landscape"/>
          <w:pgMar w:top="1417" w:right="1134" w:bottom="1134" w:left="1134" w:header="851" w:footer="567" w:gutter="0"/>
          <w:cols w:space="720" w:num="1"/>
          <w:docGrid w:linePitch="312" w:charSpace="0"/>
        </w:sectPr>
      </w:pPr>
      <w:r>
        <w:rPr>
          <w:rFonts w:hint="eastAsia" w:ascii="宋体" w:hAnsi="宋体" w:cs="宋体"/>
          <w:szCs w:val="21"/>
          <w:highlight w:val="none"/>
        </w:rPr>
        <w:t>日期：</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rPr>
        <w:t xml:space="preserve"> 日</w:t>
      </w:r>
    </w:p>
    <w:p w14:paraId="7268DE0B">
      <w:pPr>
        <w:spacing w:line="460" w:lineRule="exact"/>
        <w:rPr>
          <w:rFonts w:hint="eastAsia" w:ascii="宋体" w:hAnsi="宋体" w:cs="宋体"/>
          <w:kern w:val="1"/>
          <w:szCs w:val="21"/>
          <w:highlight w:val="none"/>
        </w:rPr>
      </w:pPr>
      <w:bookmarkStart w:id="163" w:name="_Toc19189"/>
      <w:bookmarkStart w:id="164" w:name="_Toc26668"/>
      <w:r>
        <w:rPr>
          <w:rFonts w:hint="eastAsia" w:ascii="宋体" w:hAnsi="宋体" w:cs="宋体"/>
          <w:kern w:val="1"/>
          <w:szCs w:val="21"/>
          <w:highlight w:val="none"/>
        </w:rPr>
        <w:t>附件九</w:t>
      </w:r>
    </w:p>
    <w:p w14:paraId="65760762">
      <w:pPr>
        <w:spacing w:line="460" w:lineRule="exact"/>
        <w:jc w:val="center"/>
        <w:rPr>
          <w:rFonts w:hint="eastAsia" w:ascii="宋体" w:hAnsi="宋体" w:cs="宋体"/>
          <w:kern w:val="1"/>
          <w:szCs w:val="21"/>
          <w:highlight w:val="none"/>
        </w:rPr>
      </w:pPr>
      <w:r>
        <w:rPr>
          <w:rFonts w:hint="eastAsia" w:ascii="宋体" w:hAnsi="宋体" w:cs="宋体"/>
          <w:kern w:val="1"/>
          <w:szCs w:val="21"/>
          <w:highlight w:val="none"/>
        </w:rPr>
        <w:t>随机备品备件和专用工具清单（如有）</w:t>
      </w:r>
    </w:p>
    <w:p w14:paraId="202D6A2C">
      <w:pPr>
        <w:spacing w:line="460" w:lineRule="exact"/>
        <w:rPr>
          <w:rFonts w:hint="eastAsia" w:ascii="宋体" w:hAnsi="宋体" w:cs="宋体"/>
          <w:szCs w:val="21"/>
          <w:highlight w:val="none"/>
        </w:rPr>
      </w:pPr>
      <w:r>
        <w:rPr>
          <w:rFonts w:hint="eastAsia" w:ascii="宋体" w:hAnsi="宋体" w:cs="宋体"/>
          <w:szCs w:val="21"/>
          <w:highlight w:val="none"/>
        </w:rPr>
        <w:t xml:space="preserve">项目名称：金海湖信息化展厅网络环境设备                     </w:t>
      </w:r>
    </w:p>
    <w:p w14:paraId="3B8F3DAB">
      <w:pPr>
        <w:spacing w:line="460" w:lineRule="exact"/>
        <w:rPr>
          <w:rFonts w:hint="eastAsia" w:ascii="宋体" w:hAnsi="宋体" w:cs="宋体"/>
          <w:szCs w:val="21"/>
          <w:highlight w:val="none"/>
        </w:rPr>
      </w:pPr>
      <w:r>
        <w:rPr>
          <w:rFonts w:hint="eastAsia" w:ascii="宋体" w:hAnsi="宋体" w:cs="宋体"/>
          <w:szCs w:val="21"/>
          <w:highlight w:val="none"/>
        </w:rPr>
        <w:t>项目编号：WGSS-JFJT-ZS-2026004</w:t>
      </w:r>
    </w:p>
    <w:tbl>
      <w:tblPr>
        <w:tblStyle w:val="3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313"/>
        <w:gridCol w:w="1789"/>
        <w:gridCol w:w="1470"/>
        <w:gridCol w:w="1260"/>
        <w:gridCol w:w="1260"/>
        <w:gridCol w:w="1515"/>
      </w:tblGrid>
      <w:tr w14:paraId="12247B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31" w:hRule="atLeast"/>
          <w:jc w:val="center"/>
        </w:trPr>
        <w:tc>
          <w:tcPr>
            <w:tcW w:w="2313" w:type="dxa"/>
            <w:tcBorders>
              <w:top w:val="single" w:color="auto" w:sz="12" w:space="0"/>
              <w:bottom w:val="single" w:color="auto" w:sz="12" w:space="0"/>
            </w:tcBorders>
            <w:noWrap w:val="0"/>
            <w:vAlign w:val="center"/>
          </w:tcPr>
          <w:p w14:paraId="512FFCAA">
            <w:pPr>
              <w:jc w:val="center"/>
              <w:rPr>
                <w:rFonts w:hint="eastAsia" w:ascii="宋体" w:hAnsi="宋体" w:eastAsia="宋体" w:cs="宋体"/>
                <w:bCs/>
                <w:szCs w:val="21"/>
                <w:highlight w:val="none"/>
              </w:rPr>
            </w:pPr>
            <w:r>
              <w:rPr>
                <w:rFonts w:hint="eastAsia" w:ascii="宋体" w:hAnsi="宋体" w:eastAsia="宋体" w:cs="宋体"/>
                <w:bCs/>
                <w:szCs w:val="21"/>
                <w:highlight w:val="none"/>
              </w:rPr>
              <w:t>设备名称及编号</w:t>
            </w:r>
          </w:p>
        </w:tc>
        <w:tc>
          <w:tcPr>
            <w:tcW w:w="1789" w:type="dxa"/>
            <w:tcBorders>
              <w:top w:val="single" w:color="auto" w:sz="12" w:space="0"/>
              <w:bottom w:val="single" w:color="auto" w:sz="12" w:space="0"/>
            </w:tcBorders>
            <w:noWrap w:val="0"/>
            <w:vAlign w:val="center"/>
          </w:tcPr>
          <w:p w14:paraId="1996C3C9">
            <w:pPr>
              <w:jc w:val="center"/>
              <w:rPr>
                <w:rFonts w:hint="eastAsia" w:ascii="宋体" w:hAnsi="宋体" w:eastAsia="宋体" w:cs="宋体"/>
                <w:bCs/>
                <w:szCs w:val="21"/>
                <w:highlight w:val="none"/>
              </w:rPr>
            </w:pPr>
            <w:r>
              <w:rPr>
                <w:rFonts w:hint="eastAsia" w:ascii="宋体" w:hAnsi="宋体" w:eastAsia="宋体" w:cs="宋体"/>
                <w:bCs/>
                <w:szCs w:val="21"/>
                <w:highlight w:val="none"/>
              </w:rPr>
              <w:t>附件及备件、专用工具名称</w:t>
            </w:r>
          </w:p>
        </w:tc>
        <w:tc>
          <w:tcPr>
            <w:tcW w:w="1470" w:type="dxa"/>
            <w:tcBorders>
              <w:top w:val="single" w:color="auto" w:sz="12" w:space="0"/>
              <w:bottom w:val="single" w:color="auto" w:sz="12" w:space="0"/>
            </w:tcBorders>
            <w:noWrap w:val="0"/>
            <w:vAlign w:val="center"/>
          </w:tcPr>
          <w:p w14:paraId="666CD2EB">
            <w:pPr>
              <w:jc w:val="center"/>
              <w:rPr>
                <w:rFonts w:hint="eastAsia" w:ascii="宋体" w:hAnsi="宋体" w:eastAsia="宋体" w:cs="宋体"/>
                <w:bCs/>
                <w:szCs w:val="21"/>
                <w:highlight w:val="none"/>
              </w:rPr>
            </w:pPr>
            <w:r>
              <w:rPr>
                <w:rFonts w:hint="eastAsia" w:ascii="宋体" w:hAnsi="宋体" w:eastAsia="宋体" w:cs="宋体"/>
                <w:bCs/>
                <w:szCs w:val="21"/>
                <w:highlight w:val="none"/>
              </w:rPr>
              <w:t>品牌/产地</w:t>
            </w:r>
          </w:p>
        </w:tc>
        <w:tc>
          <w:tcPr>
            <w:tcW w:w="1260" w:type="dxa"/>
            <w:tcBorders>
              <w:top w:val="single" w:color="auto" w:sz="12" w:space="0"/>
              <w:bottom w:val="single" w:color="auto" w:sz="12" w:space="0"/>
            </w:tcBorders>
            <w:noWrap w:val="0"/>
            <w:vAlign w:val="center"/>
          </w:tcPr>
          <w:p w14:paraId="01475E4D">
            <w:pPr>
              <w:jc w:val="center"/>
              <w:rPr>
                <w:rFonts w:hint="eastAsia" w:ascii="宋体" w:hAnsi="宋体" w:eastAsia="宋体" w:cs="宋体"/>
                <w:bCs/>
                <w:szCs w:val="21"/>
                <w:highlight w:val="none"/>
              </w:rPr>
            </w:pPr>
            <w:r>
              <w:rPr>
                <w:rFonts w:hint="eastAsia" w:ascii="宋体" w:hAnsi="宋体" w:eastAsia="宋体" w:cs="宋体"/>
                <w:bCs/>
                <w:szCs w:val="21"/>
                <w:highlight w:val="none"/>
              </w:rPr>
              <w:t>数量</w:t>
            </w:r>
          </w:p>
        </w:tc>
        <w:tc>
          <w:tcPr>
            <w:tcW w:w="1260" w:type="dxa"/>
            <w:tcBorders>
              <w:top w:val="single" w:color="auto" w:sz="12" w:space="0"/>
              <w:bottom w:val="single" w:color="auto" w:sz="12" w:space="0"/>
            </w:tcBorders>
            <w:noWrap w:val="0"/>
            <w:vAlign w:val="center"/>
          </w:tcPr>
          <w:p w14:paraId="586FC516">
            <w:pPr>
              <w:jc w:val="center"/>
              <w:rPr>
                <w:rFonts w:hint="eastAsia" w:ascii="宋体" w:hAnsi="宋体" w:eastAsia="宋体" w:cs="宋体"/>
                <w:bCs/>
                <w:szCs w:val="21"/>
                <w:highlight w:val="none"/>
              </w:rPr>
            </w:pPr>
            <w:r>
              <w:rPr>
                <w:rFonts w:hint="eastAsia" w:ascii="宋体" w:hAnsi="宋体" w:eastAsia="宋体" w:cs="宋体"/>
                <w:bCs/>
                <w:szCs w:val="21"/>
                <w:highlight w:val="none"/>
              </w:rPr>
              <w:t>包装形式</w:t>
            </w:r>
          </w:p>
        </w:tc>
        <w:tc>
          <w:tcPr>
            <w:tcW w:w="1515" w:type="dxa"/>
            <w:tcBorders>
              <w:top w:val="single" w:color="auto" w:sz="12" w:space="0"/>
              <w:bottom w:val="single" w:color="auto" w:sz="12" w:space="0"/>
            </w:tcBorders>
            <w:noWrap w:val="0"/>
            <w:vAlign w:val="center"/>
          </w:tcPr>
          <w:p w14:paraId="44A932C2">
            <w:pPr>
              <w:jc w:val="center"/>
              <w:rPr>
                <w:rFonts w:hint="eastAsia" w:ascii="宋体" w:hAnsi="宋体" w:eastAsia="宋体" w:cs="宋体"/>
                <w:bCs/>
                <w:szCs w:val="21"/>
                <w:highlight w:val="none"/>
              </w:rPr>
            </w:pPr>
            <w:r>
              <w:rPr>
                <w:rFonts w:hint="eastAsia" w:ascii="宋体" w:hAnsi="宋体" w:eastAsia="宋体" w:cs="宋体"/>
                <w:bCs/>
                <w:szCs w:val="21"/>
                <w:highlight w:val="none"/>
              </w:rPr>
              <w:t>备注</w:t>
            </w:r>
          </w:p>
        </w:tc>
      </w:tr>
      <w:tr w14:paraId="6760AB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2313" w:type="dxa"/>
            <w:tcBorders>
              <w:top w:val="single" w:color="auto" w:sz="12" w:space="0"/>
            </w:tcBorders>
            <w:noWrap w:val="0"/>
            <w:vAlign w:val="center"/>
          </w:tcPr>
          <w:p w14:paraId="39ACAD7A">
            <w:pPr>
              <w:ind w:firstLine="592"/>
              <w:jc w:val="center"/>
              <w:rPr>
                <w:rFonts w:hint="eastAsia" w:ascii="宋体" w:hAnsi="宋体" w:eastAsia="宋体" w:cs="宋体"/>
                <w:szCs w:val="21"/>
                <w:highlight w:val="none"/>
              </w:rPr>
            </w:pPr>
          </w:p>
        </w:tc>
        <w:tc>
          <w:tcPr>
            <w:tcW w:w="1789" w:type="dxa"/>
            <w:tcBorders>
              <w:top w:val="single" w:color="auto" w:sz="12" w:space="0"/>
            </w:tcBorders>
            <w:noWrap w:val="0"/>
            <w:vAlign w:val="center"/>
          </w:tcPr>
          <w:p w14:paraId="57930DA7">
            <w:pPr>
              <w:ind w:firstLine="592"/>
              <w:jc w:val="center"/>
              <w:rPr>
                <w:rFonts w:hint="eastAsia" w:ascii="宋体" w:hAnsi="宋体" w:eastAsia="宋体" w:cs="宋体"/>
                <w:szCs w:val="21"/>
                <w:highlight w:val="none"/>
              </w:rPr>
            </w:pPr>
          </w:p>
        </w:tc>
        <w:tc>
          <w:tcPr>
            <w:tcW w:w="1470" w:type="dxa"/>
            <w:tcBorders>
              <w:top w:val="single" w:color="auto" w:sz="12" w:space="0"/>
            </w:tcBorders>
            <w:noWrap w:val="0"/>
            <w:vAlign w:val="center"/>
          </w:tcPr>
          <w:p w14:paraId="30DE4C45">
            <w:pPr>
              <w:ind w:firstLine="592"/>
              <w:jc w:val="center"/>
              <w:rPr>
                <w:rFonts w:hint="eastAsia" w:ascii="宋体" w:hAnsi="宋体" w:eastAsia="宋体" w:cs="宋体"/>
                <w:szCs w:val="21"/>
                <w:highlight w:val="none"/>
              </w:rPr>
            </w:pPr>
          </w:p>
        </w:tc>
        <w:tc>
          <w:tcPr>
            <w:tcW w:w="1260" w:type="dxa"/>
            <w:tcBorders>
              <w:top w:val="single" w:color="auto" w:sz="12" w:space="0"/>
            </w:tcBorders>
            <w:noWrap w:val="0"/>
            <w:vAlign w:val="center"/>
          </w:tcPr>
          <w:p w14:paraId="60DF654F">
            <w:pPr>
              <w:ind w:firstLine="592"/>
              <w:jc w:val="center"/>
              <w:rPr>
                <w:rFonts w:hint="eastAsia" w:ascii="宋体" w:hAnsi="宋体" w:eastAsia="宋体" w:cs="宋体"/>
                <w:szCs w:val="21"/>
                <w:highlight w:val="none"/>
              </w:rPr>
            </w:pPr>
          </w:p>
        </w:tc>
        <w:tc>
          <w:tcPr>
            <w:tcW w:w="1260" w:type="dxa"/>
            <w:tcBorders>
              <w:top w:val="single" w:color="auto" w:sz="12" w:space="0"/>
            </w:tcBorders>
            <w:noWrap w:val="0"/>
            <w:vAlign w:val="center"/>
          </w:tcPr>
          <w:p w14:paraId="4426BE07">
            <w:pPr>
              <w:ind w:firstLine="592"/>
              <w:jc w:val="center"/>
              <w:rPr>
                <w:rFonts w:hint="eastAsia" w:ascii="宋体" w:hAnsi="宋体" w:eastAsia="宋体" w:cs="宋体"/>
                <w:szCs w:val="21"/>
                <w:highlight w:val="none"/>
              </w:rPr>
            </w:pPr>
          </w:p>
        </w:tc>
        <w:tc>
          <w:tcPr>
            <w:tcW w:w="1515" w:type="dxa"/>
            <w:tcBorders>
              <w:top w:val="single" w:color="auto" w:sz="12" w:space="0"/>
            </w:tcBorders>
            <w:noWrap w:val="0"/>
            <w:vAlign w:val="center"/>
          </w:tcPr>
          <w:p w14:paraId="07DC9B68">
            <w:pPr>
              <w:ind w:firstLine="592"/>
              <w:jc w:val="center"/>
              <w:rPr>
                <w:rFonts w:hint="eastAsia" w:ascii="宋体" w:hAnsi="宋体" w:eastAsia="宋体" w:cs="宋体"/>
                <w:szCs w:val="21"/>
                <w:highlight w:val="none"/>
              </w:rPr>
            </w:pPr>
          </w:p>
        </w:tc>
      </w:tr>
      <w:tr w14:paraId="4F3067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2313" w:type="dxa"/>
            <w:noWrap w:val="0"/>
            <w:vAlign w:val="center"/>
          </w:tcPr>
          <w:p w14:paraId="7E469BE7">
            <w:pPr>
              <w:ind w:firstLine="592"/>
              <w:jc w:val="center"/>
              <w:rPr>
                <w:rFonts w:hint="eastAsia" w:ascii="宋体" w:hAnsi="宋体" w:eastAsia="宋体" w:cs="宋体"/>
                <w:szCs w:val="21"/>
                <w:highlight w:val="none"/>
              </w:rPr>
            </w:pPr>
          </w:p>
        </w:tc>
        <w:tc>
          <w:tcPr>
            <w:tcW w:w="1789" w:type="dxa"/>
            <w:noWrap w:val="0"/>
            <w:vAlign w:val="center"/>
          </w:tcPr>
          <w:p w14:paraId="70119DF3">
            <w:pPr>
              <w:ind w:firstLine="592"/>
              <w:jc w:val="center"/>
              <w:rPr>
                <w:rFonts w:hint="eastAsia" w:ascii="宋体" w:hAnsi="宋体" w:eastAsia="宋体" w:cs="宋体"/>
                <w:szCs w:val="21"/>
                <w:highlight w:val="none"/>
              </w:rPr>
            </w:pPr>
          </w:p>
        </w:tc>
        <w:tc>
          <w:tcPr>
            <w:tcW w:w="1470" w:type="dxa"/>
            <w:noWrap w:val="0"/>
            <w:vAlign w:val="center"/>
          </w:tcPr>
          <w:p w14:paraId="5D86F032">
            <w:pPr>
              <w:ind w:firstLine="592"/>
              <w:jc w:val="center"/>
              <w:rPr>
                <w:rFonts w:hint="eastAsia" w:ascii="宋体" w:hAnsi="宋体" w:eastAsia="宋体" w:cs="宋体"/>
                <w:szCs w:val="21"/>
                <w:highlight w:val="none"/>
              </w:rPr>
            </w:pPr>
          </w:p>
        </w:tc>
        <w:tc>
          <w:tcPr>
            <w:tcW w:w="1260" w:type="dxa"/>
            <w:noWrap w:val="0"/>
            <w:vAlign w:val="center"/>
          </w:tcPr>
          <w:p w14:paraId="08214DC7">
            <w:pPr>
              <w:ind w:firstLine="592"/>
              <w:jc w:val="center"/>
              <w:rPr>
                <w:rFonts w:hint="eastAsia" w:ascii="宋体" w:hAnsi="宋体" w:eastAsia="宋体" w:cs="宋体"/>
                <w:szCs w:val="21"/>
                <w:highlight w:val="none"/>
              </w:rPr>
            </w:pPr>
          </w:p>
        </w:tc>
        <w:tc>
          <w:tcPr>
            <w:tcW w:w="1260" w:type="dxa"/>
            <w:noWrap w:val="0"/>
            <w:vAlign w:val="center"/>
          </w:tcPr>
          <w:p w14:paraId="0866DD7E">
            <w:pPr>
              <w:ind w:firstLine="592"/>
              <w:jc w:val="center"/>
              <w:rPr>
                <w:rFonts w:hint="eastAsia" w:ascii="宋体" w:hAnsi="宋体" w:eastAsia="宋体" w:cs="宋体"/>
                <w:szCs w:val="21"/>
                <w:highlight w:val="none"/>
              </w:rPr>
            </w:pPr>
          </w:p>
        </w:tc>
        <w:tc>
          <w:tcPr>
            <w:tcW w:w="1515" w:type="dxa"/>
            <w:noWrap w:val="0"/>
            <w:vAlign w:val="center"/>
          </w:tcPr>
          <w:p w14:paraId="1983C927">
            <w:pPr>
              <w:ind w:firstLine="592"/>
              <w:jc w:val="center"/>
              <w:rPr>
                <w:rFonts w:hint="eastAsia" w:ascii="宋体" w:hAnsi="宋体" w:eastAsia="宋体" w:cs="宋体"/>
                <w:szCs w:val="21"/>
                <w:highlight w:val="none"/>
              </w:rPr>
            </w:pPr>
          </w:p>
        </w:tc>
      </w:tr>
      <w:tr w14:paraId="4B3934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2313" w:type="dxa"/>
            <w:noWrap w:val="0"/>
            <w:vAlign w:val="center"/>
          </w:tcPr>
          <w:p w14:paraId="0F3DD507">
            <w:pPr>
              <w:ind w:firstLine="592"/>
              <w:jc w:val="center"/>
              <w:rPr>
                <w:rFonts w:hint="eastAsia" w:ascii="宋体" w:hAnsi="宋体" w:eastAsia="宋体" w:cs="宋体"/>
                <w:szCs w:val="21"/>
                <w:highlight w:val="none"/>
              </w:rPr>
            </w:pPr>
          </w:p>
        </w:tc>
        <w:tc>
          <w:tcPr>
            <w:tcW w:w="1789" w:type="dxa"/>
            <w:noWrap w:val="0"/>
            <w:vAlign w:val="center"/>
          </w:tcPr>
          <w:p w14:paraId="5663A409">
            <w:pPr>
              <w:ind w:firstLine="592"/>
              <w:jc w:val="center"/>
              <w:rPr>
                <w:rFonts w:hint="eastAsia" w:ascii="宋体" w:hAnsi="宋体" w:eastAsia="宋体" w:cs="宋体"/>
                <w:szCs w:val="21"/>
                <w:highlight w:val="none"/>
              </w:rPr>
            </w:pPr>
          </w:p>
        </w:tc>
        <w:tc>
          <w:tcPr>
            <w:tcW w:w="1470" w:type="dxa"/>
            <w:noWrap w:val="0"/>
            <w:vAlign w:val="center"/>
          </w:tcPr>
          <w:p w14:paraId="36DCC480">
            <w:pPr>
              <w:ind w:firstLine="592"/>
              <w:jc w:val="center"/>
              <w:rPr>
                <w:rFonts w:hint="eastAsia" w:ascii="宋体" w:hAnsi="宋体" w:eastAsia="宋体" w:cs="宋体"/>
                <w:szCs w:val="21"/>
                <w:highlight w:val="none"/>
              </w:rPr>
            </w:pPr>
          </w:p>
        </w:tc>
        <w:tc>
          <w:tcPr>
            <w:tcW w:w="1260" w:type="dxa"/>
            <w:noWrap w:val="0"/>
            <w:vAlign w:val="center"/>
          </w:tcPr>
          <w:p w14:paraId="50AE151D">
            <w:pPr>
              <w:ind w:firstLine="592"/>
              <w:jc w:val="center"/>
              <w:rPr>
                <w:rFonts w:hint="eastAsia" w:ascii="宋体" w:hAnsi="宋体" w:eastAsia="宋体" w:cs="宋体"/>
                <w:szCs w:val="21"/>
                <w:highlight w:val="none"/>
              </w:rPr>
            </w:pPr>
          </w:p>
        </w:tc>
        <w:tc>
          <w:tcPr>
            <w:tcW w:w="1260" w:type="dxa"/>
            <w:noWrap w:val="0"/>
            <w:vAlign w:val="center"/>
          </w:tcPr>
          <w:p w14:paraId="1BECBDA7">
            <w:pPr>
              <w:ind w:firstLine="592"/>
              <w:jc w:val="center"/>
              <w:rPr>
                <w:rFonts w:hint="eastAsia" w:ascii="宋体" w:hAnsi="宋体" w:eastAsia="宋体" w:cs="宋体"/>
                <w:szCs w:val="21"/>
                <w:highlight w:val="none"/>
              </w:rPr>
            </w:pPr>
          </w:p>
        </w:tc>
        <w:tc>
          <w:tcPr>
            <w:tcW w:w="1515" w:type="dxa"/>
            <w:noWrap w:val="0"/>
            <w:vAlign w:val="center"/>
          </w:tcPr>
          <w:p w14:paraId="52F5DFD9">
            <w:pPr>
              <w:ind w:firstLine="592"/>
              <w:jc w:val="center"/>
              <w:rPr>
                <w:rFonts w:hint="eastAsia" w:ascii="宋体" w:hAnsi="宋体" w:eastAsia="宋体" w:cs="宋体"/>
                <w:szCs w:val="21"/>
                <w:highlight w:val="none"/>
              </w:rPr>
            </w:pPr>
          </w:p>
        </w:tc>
      </w:tr>
      <w:tr w14:paraId="0E0248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2313" w:type="dxa"/>
            <w:noWrap w:val="0"/>
            <w:vAlign w:val="center"/>
          </w:tcPr>
          <w:p w14:paraId="551D8961">
            <w:pPr>
              <w:ind w:firstLine="592"/>
              <w:jc w:val="center"/>
              <w:rPr>
                <w:rFonts w:hint="eastAsia" w:ascii="宋体" w:hAnsi="宋体" w:eastAsia="宋体" w:cs="宋体"/>
                <w:szCs w:val="21"/>
                <w:highlight w:val="none"/>
              </w:rPr>
            </w:pPr>
          </w:p>
        </w:tc>
        <w:tc>
          <w:tcPr>
            <w:tcW w:w="1789" w:type="dxa"/>
            <w:noWrap w:val="0"/>
            <w:vAlign w:val="center"/>
          </w:tcPr>
          <w:p w14:paraId="1533A54B">
            <w:pPr>
              <w:ind w:firstLine="592"/>
              <w:jc w:val="center"/>
              <w:rPr>
                <w:rFonts w:hint="eastAsia" w:ascii="宋体" w:hAnsi="宋体" w:eastAsia="宋体" w:cs="宋体"/>
                <w:szCs w:val="21"/>
                <w:highlight w:val="none"/>
              </w:rPr>
            </w:pPr>
          </w:p>
        </w:tc>
        <w:tc>
          <w:tcPr>
            <w:tcW w:w="1470" w:type="dxa"/>
            <w:noWrap w:val="0"/>
            <w:vAlign w:val="center"/>
          </w:tcPr>
          <w:p w14:paraId="53F606B1">
            <w:pPr>
              <w:ind w:firstLine="592"/>
              <w:jc w:val="center"/>
              <w:rPr>
                <w:rFonts w:hint="eastAsia" w:ascii="宋体" w:hAnsi="宋体" w:eastAsia="宋体" w:cs="宋体"/>
                <w:szCs w:val="21"/>
                <w:highlight w:val="none"/>
              </w:rPr>
            </w:pPr>
          </w:p>
        </w:tc>
        <w:tc>
          <w:tcPr>
            <w:tcW w:w="1260" w:type="dxa"/>
            <w:noWrap w:val="0"/>
            <w:vAlign w:val="center"/>
          </w:tcPr>
          <w:p w14:paraId="6AC64239">
            <w:pPr>
              <w:ind w:firstLine="592"/>
              <w:jc w:val="center"/>
              <w:rPr>
                <w:rFonts w:hint="eastAsia" w:ascii="宋体" w:hAnsi="宋体" w:eastAsia="宋体" w:cs="宋体"/>
                <w:szCs w:val="21"/>
                <w:highlight w:val="none"/>
              </w:rPr>
            </w:pPr>
          </w:p>
        </w:tc>
        <w:tc>
          <w:tcPr>
            <w:tcW w:w="1260" w:type="dxa"/>
            <w:noWrap w:val="0"/>
            <w:vAlign w:val="center"/>
          </w:tcPr>
          <w:p w14:paraId="2BF97C5E">
            <w:pPr>
              <w:ind w:firstLine="592"/>
              <w:jc w:val="center"/>
              <w:rPr>
                <w:rFonts w:hint="eastAsia" w:ascii="宋体" w:hAnsi="宋体" w:eastAsia="宋体" w:cs="宋体"/>
                <w:szCs w:val="21"/>
                <w:highlight w:val="none"/>
              </w:rPr>
            </w:pPr>
          </w:p>
        </w:tc>
        <w:tc>
          <w:tcPr>
            <w:tcW w:w="1515" w:type="dxa"/>
            <w:noWrap w:val="0"/>
            <w:vAlign w:val="center"/>
          </w:tcPr>
          <w:p w14:paraId="3052EF92">
            <w:pPr>
              <w:ind w:firstLine="592"/>
              <w:jc w:val="center"/>
              <w:rPr>
                <w:rFonts w:hint="eastAsia" w:ascii="宋体" w:hAnsi="宋体" w:eastAsia="宋体" w:cs="宋体"/>
                <w:szCs w:val="21"/>
                <w:highlight w:val="none"/>
              </w:rPr>
            </w:pPr>
          </w:p>
        </w:tc>
      </w:tr>
      <w:tr w14:paraId="2424DF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2313" w:type="dxa"/>
            <w:noWrap w:val="0"/>
            <w:vAlign w:val="center"/>
          </w:tcPr>
          <w:p w14:paraId="36AE9878">
            <w:pPr>
              <w:ind w:firstLine="592"/>
              <w:jc w:val="center"/>
              <w:rPr>
                <w:rFonts w:hint="eastAsia" w:ascii="宋体" w:hAnsi="宋体" w:eastAsia="宋体" w:cs="宋体"/>
                <w:szCs w:val="21"/>
                <w:highlight w:val="none"/>
              </w:rPr>
            </w:pPr>
          </w:p>
        </w:tc>
        <w:tc>
          <w:tcPr>
            <w:tcW w:w="1789" w:type="dxa"/>
            <w:noWrap w:val="0"/>
            <w:vAlign w:val="center"/>
          </w:tcPr>
          <w:p w14:paraId="19DE5E2C">
            <w:pPr>
              <w:ind w:firstLine="592"/>
              <w:jc w:val="center"/>
              <w:rPr>
                <w:rFonts w:hint="eastAsia" w:ascii="宋体" w:hAnsi="宋体" w:eastAsia="宋体" w:cs="宋体"/>
                <w:szCs w:val="21"/>
                <w:highlight w:val="none"/>
              </w:rPr>
            </w:pPr>
          </w:p>
        </w:tc>
        <w:tc>
          <w:tcPr>
            <w:tcW w:w="1470" w:type="dxa"/>
            <w:noWrap w:val="0"/>
            <w:vAlign w:val="center"/>
          </w:tcPr>
          <w:p w14:paraId="60EEBFF2">
            <w:pPr>
              <w:ind w:firstLine="592"/>
              <w:jc w:val="center"/>
              <w:rPr>
                <w:rFonts w:hint="eastAsia" w:ascii="宋体" w:hAnsi="宋体" w:eastAsia="宋体" w:cs="宋体"/>
                <w:szCs w:val="21"/>
                <w:highlight w:val="none"/>
              </w:rPr>
            </w:pPr>
          </w:p>
        </w:tc>
        <w:tc>
          <w:tcPr>
            <w:tcW w:w="1260" w:type="dxa"/>
            <w:noWrap w:val="0"/>
            <w:vAlign w:val="center"/>
          </w:tcPr>
          <w:p w14:paraId="25640456">
            <w:pPr>
              <w:ind w:firstLine="592"/>
              <w:jc w:val="center"/>
              <w:rPr>
                <w:rFonts w:hint="eastAsia" w:ascii="宋体" w:hAnsi="宋体" w:eastAsia="宋体" w:cs="宋体"/>
                <w:szCs w:val="21"/>
                <w:highlight w:val="none"/>
              </w:rPr>
            </w:pPr>
          </w:p>
        </w:tc>
        <w:tc>
          <w:tcPr>
            <w:tcW w:w="1260" w:type="dxa"/>
            <w:noWrap w:val="0"/>
            <w:vAlign w:val="center"/>
          </w:tcPr>
          <w:p w14:paraId="0EB5C854">
            <w:pPr>
              <w:ind w:firstLine="592"/>
              <w:jc w:val="center"/>
              <w:rPr>
                <w:rFonts w:hint="eastAsia" w:ascii="宋体" w:hAnsi="宋体" w:eastAsia="宋体" w:cs="宋体"/>
                <w:szCs w:val="21"/>
                <w:highlight w:val="none"/>
              </w:rPr>
            </w:pPr>
          </w:p>
        </w:tc>
        <w:tc>
          <w:tcPr>
            <w:tcW w:w="1515" w:type="dxa"/>
            <w:noWrap w:val="0"/>
            <w:vAlign w:val="center"/>
          </w:tcPr>
          <w:p w14:paraId="00F80C13">
            <w:pPr>
              <w:ind w:firstLine="592"/>
              <w:jc w:val="center"/>
              <w:rPr>
                <w:rFonts w:hint="eastAsia" w:ascii="宋体" w:hAnsi="宋体" w:eastAsia="宋体" w:cs="宋体"/>
                <w:szCs w:val="21"/>
                <w:highlight w:val="none"/>
              </w:rPr>
            </w:pPr>
          </w:p>
        </w:tc>
      </w:tr>
      <w:tr w14:paraId="78522A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2313" w:type="dxa"/>
            <w:noWrap w:val="0"/>
            <w:vAlign w:val="center"/>
          </w:tcPr>
          <w:p w14:paraId="6F049F5C">
            <w:pPr>
              <w:ind w:firstLine="592"/>
              <w:jc w:val="center"/>
              <w:rPr>
                <w:rFonts w:hint="eastAsia" w:ascii="宋体" w:hAnsi="宋体" w:eastAsia="宋体" w:cs="宋体"/>
                <w:szCs w:val="21"/>
                <w:highlight w:val="none"/>
              </w:rPr>
            </w:pPr>
          </w:p>
        </w:tc>
        <w:tc>
          <w:tcPr>
            <w:tcW w:w="1789" w:type="dxa"/>
            <w:noWrap w:val="0"/>
            <w:vAlign w:val="center"/>
          </w:tcPr>
          <w:p w14:paraId="3EF543A8">
            <w:pPr>
              <w:ind w:firstLine="592"/>
              <w:jc w:val="center"/>
              <w:rPr>
                <w:rFonts w:hint="eastAsia" w:ascii="宋体" w:hAnsi="宋体" w:eastAsia="宋体" w:cs="宋体"/>
                <w:szCs w:val="21"/>
                <w:highlight w:val="none"/>
              </w:rPr>
            </w:pPr>
          </w:p>
        </w:tc>
        <w:tc>
          <w:tcPr>
            <w:tcW w:w="1470" w:type="dxa"/>
            <w:noWrap w:val="0"/>
            <w:vAlign w:val="center"/>
          </w:tcPr>
          <w:p w14:paraId="7EBE7887">
            <w:pPr>
              <w:ind w:firstLine="592"/>
              <w:jc w:val="center"/>
              <w:rPr>
                <w:rFonts w:hint="eastAsia" w:ascii="宋体" w:hAnsi="宋体" w:eastAsia="宋体" w:cs="宋体"/>
                <w:szCs w:val="21"/>
                <w:highlight w:val="none"/>
              </w:rPr>
            </w:pPr>
          </w:p>
        </w:tc>
        <w:tc>
          <w:tcPr>
            <w:tcW w:w="1260" w:type="dxa"/>
            <w:noWrap w:val="0"/>
            <w:vAlign w:val="center"/>
          </w:tcPr>
          <w:p w14:paraId="04B9569E">
            <w:pPr>
              <w:ind w:firstLine="592"/>
              <w:jc w:val="center"/>
              <w:rPr>
                <w:rFonts w:hint="eastAsia" w:ascii="宋体" w:hAnsi="宋体" w:eastAsia="宋体" w:cs="宋体"/>
                <w:szCs w:val="21"/>
                <w:highlight w:val="none"/>
              </w:rPr>
            </w:pPr>
          </w:p>
        </w:tc>
        <w:tc>
          <w:tcPr>
            <w:tcW w:w="1260" w:type="dxa"/>
            <w:noWrap w:val="0"/>
            <w:vAlign w:val="center"/>
          </w:tcPr>
          <w:p w14:paraId="595E1BA2">
            <w:pPr>
              <w:ind w:firstLine="592"/>
              <w:jc w:val="center"/>
              <w:rPr>
                <w:rFonts w:hint="eastAsia" w:ascii="宋体" w:hAnsi="宋体" w:eastAsia="宋体" w:cs="宋体"/>
                <w:szCs w:val="21"/>
                <w:highlight w:val="none"/>
              </w:rPr>
            </w:pPr>
          </w:p>
        </w:tc>
        <w:tc>
          <w:tcPr>
            <w:tcW w:w="1515" w:type="dxa"/>
            <w:noWrap w:val="0"/>
            <w:vAlign w:val="center"/>
          </w:tcPr>
          <w:p w14:paraId="115CCCD0">
            <w:pPr>
              <w:ind w:firstLine="592"/>
              <w:jc w:val="center"/>
              <w:rPr>
                <w:rFonts w:hint="eastAsia" w:ascii="宋体" w:hAnsi="宋体" w:eastAsia="宋体" w:cs="宋体"/>
                <w:szCs w:val="21"/>
                <w:highlight w:val="none"/>
              </w:rPr>
            </w:pPr>
          </w:p>
        </w:tc>
      </w:tr>
      <w:tr w14:paraId="32BE9A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2313" w:type="dxa"/>
            <w:noWrap w:val="0"/>
            <w:vAlign w:val="center"/>
          </w:tcPr>
          <w:p w14:paraId="3A6C8C94">
            <w:pPr>
              <w:ind w:firstLine="592"/>
              <w:jc w:val="center"/>
              <w:rPr>
                <w:rFonts w:hint="eastAsia" w:ascii="宋体" w:hAnsi="宋体" w:eastAsia="宋体" w:cs="宋体"/>
                <w:szCs w:val="21"/>
                <w:highlight w:val="none"/>
              </w:rPr>
            </w:pPr>
          </w:p>
        </w:tc>
        <w:tc>
          <w:tcPr>
            <w:tcW w:w="1789" w:type="dxa"/>
            <w:noWrap w:val="0"/>
            <w:vAlign w:val="center"/>
          </w:tcPr>
          <w:p w14:paraId="772A8419">
            <w:pPr>
              <w:ind w:firstLine="592"/>
              <w:jc w:val="center"/>
              <w:rPr>
                <w:rFonts w:hint="eastAsia" w:ascii="宋体" w:hAnsi="宋体" w:eastAsia="宋体" w:cs="宋体"/>
                <w:szCs w:val="21"/>
                <w:highlight w:val="none"/>
              </w:rPr>
            </w:pPr>
          </w:p>
        </w:tc>
        <w:tc>
          <w:tcPr>
            <w:tcW w:w="1470" w:type="dxa"/>
            <w:noWrap w:val="0"/>
            <w:vAlign w:val="center"/>
          </w:tcPr>
          <w:p w14:paraId="5DCCCE03">
            <w:pPr>
              <w:ind w:firstLine="592"/>
              <w:jc w:val="center"/>
              <w:rPr>
                <w:rFonts w:hint="eastAsia" w:ascii="宋体" w:hAnsi="宋体" w:eastAsia="宋体" w:cs="宋体"/>
                <w:szCs w:val="21"/>
                <w:highlight w:val="none"/>
              </w:rPr>
            </w:pPr>
          </w:p>
        </w:tc>
        <w:tc>
          <w:tcPr>
            <w:tcW w:w="1260" w:type="dxa"/>
            <w:noWrap w:val="0"/>
            <w:vAlign w:val="center"/>
          </w:tcPr>
          <w:p w14:paraId="7D13D2BC">
            <w:pPr>
              <w:ind w:firstLine="592"/>
              <w:jc w:val="center"/>
              <w:rPr>
                <w:rFonts w:hint="eastAsia" w:ascii="宋体" w:hAnsi="宋体" w:eastAsia="宋体" w:cs="宋体"/>
                <w:szCs w:val="21"/>
                <w:highlight w:val="none"/>
              </w:rPr>
            </w:pPr>
          </w:p>
        </w:tc>
        <w:tc>
          <w:tcPr>
            <w:tcW w:w="1260" w:type="dxa"/>
            <w:noWrap w:val="0"/>
            <w:vAlign w:val="center"/>
          </w:tcPr>
          <w:p w14:paraId="00C235C2">
            <w:pPr>
              <w:ind w:firstLine="592"/>
              <w:jc w:val="center"/>
              <w:rPr>
                <w:rFonts w:hint="eastAsia" w:ascii="宋体" w:hAnsi="宋体" w:eastAsia="宋体" w:cs="宋体"/>
                <w:szCs w:val="21"/>
                <w:highlight w:val="none"/>
              </w:rPr>
            </w:pPr>
          </w:p>
        </w:tc>
        <w:tc>
          <w:tcPr>
            <w:tcW w:w="1515" w:type="dxa"/>
            <w:noWrap w:val="0"/>
            <w:vAlign w:val="center"/>
          </w:tcPr>
          <w:p w14:paraId="282E8839">
            <w:pPr>
              <w:ind w:firstLine="592"/>
              <w:jc w:val="center"/>
              <w:rPr>
                <w:rFonts w:hint="eastAsia" w:ascii="宋体" w:hAnsi="宋体" w:eastAsia="宋体" w:cs="宋体"/>
                <w:szCs w:val="21"/>
                <w:highlight w:val="none"/>
              </w:rPr>
            </w:pPr>
          </w:p>
        </w:tc>
      </w:tr>
      <w:tr w14:paraId="73F26B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2313" w:type="dxa"/>
            <w:noWrap w:val="0"/>
            <w:vAlign w:val="center"/>
          </w:tcPr>
          <w:p w14:paraId="73FAA175">
            <w:pPr>
              <w:ind w:firstLine="592"/>
              <w:jc w:val="center"/>
              <w:rPr>
                <w:rFonts w:hint="eastAsia" w:ascii="宋体" w:hAnsi="宋体" w:eastAsia="宋体" w:cs="宋体"/>
                <w:szCs w:val="21"/>
                <w:highlight w:val="none"/>
              </w:rPr>
            </w:pPr>
          </w:p>
        </w:tc>
        <w:tc>
          <w:tcPr>
            <w:tcW w:w="1789" w:type="dxa"/>
            <w:noWrap w:val="0"/>
            <w:vAlign w:val="center"/>
          </w:tcPr>
          <w:p w14:paraId="125491C8">
            <w:pPr>
              <w:ind w:firstLine="592"/>
              <w:jc w:val="center"/>
              <w:rPr>
                <w:rFonts w:hint="eastAsia" w:ascii="宋体" w:hAnsi="宋体" w:eastAsia="宋体" w:cs="宋体"/>
                <w:szCs w:val="21"/>
                <w:highlight w:val="none"/>
              </w:rPr>
            </w:pPr>
          </w:p>
        </w:tc>
        <w:tc>
          <w:tcPr>
            <w:tcW w:w="1470" w:type="dxa"/>
            <w:noWrap w:val="0"/>
            <w:vAlign w:val="center"/>
          </w:tcPr>
          <w:p w14:paraId="30BD87D5">
            <w:pPr>
              <w:ind w:firstLine="592"/>
              <w:jc w:val="center"/>
              <w:rPr>
                <w:rFonts w:hint="eastAsia" w:ascii="宋体" w:hAnsi="宋体" w:eastAsia="宋体" w:cs="宋体"/>
                <w:szCs w:val="21"/>
                <w:highlight w:val="none"/>
              </w:rPr>
            </w:pPr>
          </w:p>
        </w:tc>
        <w:tc>
          <w:tcPr>
            <w:tcW w:w="1260" w:type="dxa"/>
            <w:noWrap w:val="0"/>
            <w:vAlign w:val="center"/>
          </w:tcPr>
          <w:p w14:paraId="7AA30344">
            <w:pPr>
              <w:ind w:firstLine="592"/>
              <w:jc w:val="center"/>
              <w:rPr>
                <w:rFonts w:hint="eastAsia" w:ascii="宋体" w:hAnsi="宋体" w:eastAsia="宋体" w:cs="宋体"/>
                <w:szCs w:val="21"/>
                <w:highlight w:val="none"/>
              </w:rPr>
            </w:pPr>
          </w:p>
        </w:tc>
        <w:tc>
          <w:tcPr>
            <w:tcW w:w="1260" w:type="dxa"/>
            <w:noWrap w:val="0"/>
            <w:vAlign w:val="center"/>
          </w:tcPr>
          <w:p w14:paraId="1A630538">
            <w:pPr>
              <w:ind w:firstLine="592"/>
              <w:jc w:val="center"/>
              <w:rPr>
                <w:rFonts w:hint="eastAsia" w:ascii="宋体" w:hAnsi="宋体" w:eastAsia="宋体" w:cs="宋体"/>
                <w:szCs w:val="21"/>
                <w:highlight w:val="none"/>
              </w:rPr>
            </w:pPr>
          </w:p>
        </w:tc>
        <w:tc>
          <w:tcPr>
            <w:tcW w:w="1515" w:type="dxa"/>
            <w:noWrap w:val="0"/>
            <w:vAlign w:val="center"/>
          </w:tcPr>
          <w:p w14:paraId="3297EE25">
            <w:pPr>
              <w:ind w:firstLine="592"/>
              <w:jc w:val="center"/>
              <w:rPr>
                <w:rFonts w:hint="eastAsia" w:ascii="宋体" w:hAnsi="宋体" w:eastAsia="宋体" w:cs="宋体"/>
                <w:szCs w:val="21"/>
                <w:highlight w:val="none"/>
              </w:rPr>
            </w:pPr>
          </w:p>
        </w:tc>
      </w:tr>
      <w:tr w14:paraId="6EC467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2313" w:type="dxa"/>
            <w:noWrap w:val="0"/>
            <w:vAlign w:val="center"/>
          </w:tcPr>
          <w:p w14:paraId="21602C7B">
            <w:pPr>
              <w:ind w:firstLine="592"/>
              <w:jc w:val="center"/>
              <w:rPr>
                <w:rFonts w:hint="eastAsia" w:ascii="宋体" w:hAnsi="宋体" w:eastAsia="宋体" w:cs="宋体"/>
                <w:szCs w:val="21"/>
                <w:highlight w:val="none"/>
              </w:rPr>
            </w:pPr>
          </w:p>
        </w:tc>
        <w:tc>
          <w:tcPr>
            <w:tcW w:w="1789" w:type="dxa"/>
            <w:noWrap w:val="0"/>
            <w:vAlign w:val="center"/>
          </w:tcPr>
          <w:p w14:paraId="19F66983">
            <w:pPr>
              <w:ind w:firstLine="592"/>
              <w:jc w:val="center"/>
              <w:rPr>
                <w:rFonts w:hint="eastAsia" w:ascii="宋体" w:hAnsi="宋体" w:eastAsia="宋体" w:cs="宋体"/>
                <w:szCs w:val="21"/>
                <w:highlight w:val="none"/>
              </w:rPr>
            </w:pPr>
          </w:p>
        </w:tc>
        <w:tc>
          <w:tcPr>
            <w:tcW w:w="1470" w:type="dxa"/>
            <w:noWrap w:val="0"/>
            <w:vAlign w:val="center"/>
          </w:tcPr>
          <w:p w14:paraId="23BEC5B0">
            <w:pPr>
              <w:ind w:firstLine="592"/>
              <w:jc w:val="center"/>
              <w:rPr>
                <w:rFonts w:hint="eastAsia" w:ascii="宋体" w:hAnsi="宋体" w:eastAsia="宋体" w:cs="宋体"/>
                <w:szCs w:val="21"/>
                <w:highlight w:val="none"/>
              </w:rPr>
            </w:pPr>
          </w:p>
        </w:tc>
        <w:tc>
          <w:tcPr>
            <w:tcW w:w="1260" w:type="dxa"/>
            <w:noWrap w:val="0"/>
            <w:vAlign w:val="center"/>
          </w:tcPr>
          <w:p w14:paraId="46FDE070">
            <w:pPr>
              <w:ind w:firstLine="592"/>
              <w:jc w:val="center"/>
              <w:rPr>
                <w:rFonts w:hint="eastAsia" w:ascii="宋体" w:hAnsi="宋体" w:eastAsia="宋体" w:cs="宋体"/>
                <w:szCs w:val="21"/>
                <w:highlight w:val="none"/>
              </w:rPr>
            </w:pPr>
          </w:p>
        </w:tc>
        <w:tc>
          <w:tcPr>
            <w:tcW w:w="1260" w:type="dxa"/>
            <w:noWrap w:val="0"/>
            <w:vAlign w:val="center"/>
          </w:tcPr>
          <w:p w14:paraId="5B4DA4C5">
            <w:pPr>
              <w:ind w:firstLine="592"/>
              <w:jc w:val="center"/>
              <w:rPr>
                <w:rFonts w:hint="eastAsia" w:ascii="宋体" w:hAnsi="宋体" w:eastAsia="宋体" w:cs="宋体"/>
                <w:szCs w:val="21"/>
                <w:highlight w:val="none"/>
              </w:rPr>
            </w:pPr>
          </w:p>
        </w:tc>
        <w:tc>
          <w:tcPr>
            <w:tcW w:w="1515" w:type="dxa"/>
            <w:noWrap w:val="0"/>
            <w:vAlign w:val="center"/>
          </w:tcPr>
          <w:p w14:paraId="2EF6C852">
            <w:pPr>
              <w:ind w:firstLine="592"/>
              <w:jc w:val="center"/>
              <w:rPr>
                <w:rFonts w:hint="eastAsia" w:ascii="宋体" w:hAnsi="宋体" w:eastAsia="宋体" w:cs="宋体"/>
                <w:szCs w:val="21"/>
                <w:highlight w:val="none"/>
              </w:rPr>
            </w:pPr>
          </w:p>
        </w:tc>
      </w:tr>
      <w:tr w14:paraId="098E4C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2313" w:type="dxa"/>
            <w:noWrap w:val="0"/>
            <w:vAlign w:val="center"/>
          </w:tcPr>
          <w:p w14:paraId="13EE1CE8">
            <w:pPr>
              <w:ind w:firstLine="592"/>
              <w:jc w:val="center"/>
              <w:rPr>
                <w:rFonts w:hint="eastAsia" w:ascii="宋体" w:hAnsi="宋体" w:eastAsia="宋体" w:cs="宋体"/>
                <w:szCs w:val="21"/>
                <w:highlight w:val="none"/>
              </w:rPr>
            </w:pPr>
          </w:p>
        </w:tc>
        <w:tc>
          <w:tcPr>
            <w:tcW w:w="1789" w:type="dxa"/>
            <w:noWrap w:val="0"/>
            <w:vAlign w:val="center"/>
          </w:tcPr>
          <w:p w14:paraId="44464B59">
            <w:pPr>
              <w:ind w:firstLine="592"/>
              <w:jc w:val="center"/>
              <w:rPr>
                <w:rFonts w:hint="eastAsia" w:ascii="宋体" w:hAnsi="宋体" w:eastAsia="宋体" w:cs="宋体"/>
                <w:szCs w:val="21"/>
                <w:highlight w:val="none"/>
              </w:rPr>
            </w:pPr>
          </w:p>
        </w:tc>
        <w:tc>
          <w:tcPr>
            <w:tcW w:w="1470" w:type="dxa"/>
            <w:noWrap w:val="0"/>
            <w:vAlign w:val="center"/>
          </w:tcPr>
          <w:p w14:paraId="7AA13899">
            <w:pPr>
              <w:ind w:firstLine="592"/>
              <w:jc w:val="center"/>
              <w:rPr>
                <w:rFonts w:hint="eastAsia" w:ascii="宋体" w:hAnsi="宋体" w:eastAsia="宋体" w:cs="宋体"/>
                <w:szCs w:val="21"/>
                <w:highlight w:val="none"/>
              </w:rPr>
            </w:pPr>
          </w:p>
        </w:tc>
        <w:tc>
          <w:tcPr>
            <w:tcW w:w="1260" w:type="dxa"/>
            <w:noWrap w:val="0"/>
            <w:vAlign w:val="center"/>
          </w:tcPr>
          <w:p w14:paraId="4D076FC0">
            <w:pPr>
              <w:ind w:firstLine="592"/>
              <w:jc w:val="center"/>
              <w:rPr>
                <w:rFonts w:hint="eastAsia" w:ascii="宋体" w:hAnsi="宋体" w:eastAsia="宋体" w:cs="宋体"/>
                <w:szCs w:val="21"/>
                <w:highlight w:val="none"/>
              </w:rPr>
            </w:pPr>
          </w:p>
        </w:tc>
        <w:tc>
          <w:tcPr>
            <w:tcW w:w="1260" w:type="dxa"/>
            <w:noWrap w:val="0"/>
            <w:vAlign w:val="center"/>
          </w:tcPr>
          <w:p w14:paraId="30D6CCBD">
            <w:pPr>
              <w:ind w:firstLine="592"/>
              <w:jc w:val="center"/>
              <w:rPr>
                <w:rFonts w:hint="eastAsia" w:ascii="宋体" w:hAnsi="宋体" w:eastAsia="宋体" w:cs="宋体"/>
                <w:szCs w:val="21"/>
                <w:highlight w:val="none"/>
              </w:rPr>
            </w:pPr>
          </w:p>
        </w:tc>
        <w:tc>
          <w:tcPr>
            <w:tcW w:w="1515" w:type="dxa"/>
            <w:noWrap w:val="0"/>
            <w:vAlign w:val="center"/>
          </w:tcPr>
          <w:p w14:paraId="73E4FDF2">
            <w:pPr>
              <w:ind w:firstLine="592"/>
              <w:jc w:val="center"/>
              <w:rPr>
                <w:rFonts w:hint="eastAsia" w:ascii="宋体" w:hAnsi="宋体" w:eastAsia="宋体" w:cs="宋体"/>
                <w:szCs w:val="21"/>
                <w:highlight w:val="none"/>
              </w:rPr>
            </w:pPr>
          </w:p>
        </w:tc>
      </w:tr>
      <w:tr w14:paraId="6B32E5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2313" w:type="dxa"/>
            <w:noWrap w:val="0"/>
            <w:vAlign w:val="center"/>
          </w:tcPr>
          <w:p w14:paraId="47F157C4">
            <w:pPr>
              <w:ind w:firstLine="592"/>
              <w:jc w:val="center"/>
              <w:rPr>
                <w:rFonts w:hint="eastAsia" w:ascii="宋体" w:hAnsi="宋体" w:eastAsia="宋体" w:cs="宋体"/>
                <w:szCs w:val="21"/>
                <w:highlight w:val="none"/>
              </w:rPr>
            </w:pPr>
          </w:p>
        </w:tc>
        <w:tc>
          <w:tcPr>
            <w:tcW w:w="1789" w:type="dxa"/>
            <w:noWrap w:val="0"/>
            <w:vAlign w:val="center"/>
          </w:tcPr>
          <w:p w14:paraId="0E73089E">
            <w:pPr>
              <w:ind w:firstLine="592"/>
              <w:jc w:val="center"/>
              <w:rPr>
                <w:rFonts w:hint="eastAsia" w:ascii="宋体" w:hAnsi="宋体" w:eastAsia="宋体" w:cs="宋体"/>
                <w:szCs w:val="21"/>
                <w:highlight w:val="none"/>
              </w:rPr>
            </w:pPr>
          </w:p>
        </w:tc>
        <w:tc>
          <w:tcPr>
            <w:tcW w:w="1470" w:type="dxa"/>
            <w:noWrap w:val="0"/>
            <w:vAlign w:val="center"/>
          </w:tcPr>
          <w:p w14:paraId="299E6DAB">
            <w:pPr>
              <w:ind w:firstLine="592"/>
              <w:jc w:val="center"/>
              <w:rPr>
                <w:rFonts w:hint="eastAsia" w:ascii="宋体" w:hAnsi="宋体" w:eastAsia="宋体" w:cs="宋体"/>
                <w:szCs w:val="21"/>
                <w:highlight w:val="none"/>
              </w:rPr>
            </w:pPr>
          </w:p>
        </w:tc>
        <w:tc>
          <w:tcPr>
            <w:tcW w:w="1260" w:type="dxa"/>
            <w:noWrap w:val="0"/>
            <w:vAlign w:val="center"/>
          </w:tcPr>
          <w:p w14:paraId="57BCF0CE">
            <w:pPr>
              <w:ind w:firstLine="592"/>
              <w:jc w:val="center"/>
              <w:rPr>
                <w:rFonts w:hint="eastAsia" w:ascii="宋体" w:hAnsi="宋体" w:eastAsia="宋体" w:cs="宋体"/>
                <w:szCs w:val="21"/>
                <w:highlight w:val="none"/>
              </w:rPr>
            </w:pPr>
          </w:p>
        </w:tc>
        <w:tc>
          <w:tcPr>
            <w:tcW w:w="1260" w:type="dxa"/>
            <w:noWrap w:val="0"/>
            <w:vAlign w:val="center"/>
          </w:tcPr>
          <w:p w14:paraId="66DF93A6">
            <w:pPr>
              <w:ind w:firstLine="592"/>
              <w:jc w:val="center"/>
              <w:rPr>
                <w:rFonts w:hint="eastAsia" w:ascii="宋体" w:hAnsi="宋体" w:eastAsia="宋体" w:cs="宋体"/>
                <w:szCs w:val="21"/>
                <w:highlight w:val="none"/>
              </w:rPr>
            </w:pPr>
          </w:p>
        </w:tc>
        <w:tc>
          <w:tcPr>
            <w:tcW w:w="1515" w:type="dxa"/>
            <w:noWrap w:val="0"/>
            <w:vAlign w:val="center"/>
          </w:tcPr>
          <w:p w14:paraId="40AAAFE3">
            <w:pPr>
              <w:ind w:firstLine="592"/>
              <w:jc w:val="center"/>
              <w:rPr>
                <w:rFonts w:hint="eastAsia" w:ascii="宋体" w:hAnsi="宋体" w:eastAsia="宋体" w:cs="宋体"/>
                <w:szCs w:val="21"/>
                <w:highlight w:val="none"/>
              </w:rPr>
            </w:pPr>
          </w:p>
        </w:tc>
      </w:tr>
      <w:tr w14:paraId="7D4159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2313" w:type="dxa"/>
            <w:noWrap w:val="0"/>
            <w:vAlign w:val="center"/>
          </w:tcPr>
          <w:p w14:paraId="5AD19745">
            <w:pPr>
              <w:ind w:firstLine="592"/>
              <w:jc w:val="center"/>
              <w:rPr>
                <w:rFonts w:hint="eastAsia" w:ascii="宋体" w:hAnsi="宋体" w:eastAsia="宋体" w:cs="宋体"/>
                <w:szCs w:val="21"/>
                <w:highlight w:val="none"/>
              </w:rPr>
            </w:pPr>
          </w:p>
        </w:tc>
        <w:tc>
          <w:tcPr>
            <w:tcW w:w="1789" w:type="dxa"/>
            <w:noWrap w:val="0"/>
            <w:vAlign w:val="center"/>
          </w:tcPr>
          <w:p w14:paraId="06A44762">
            <w:pPr>
              <w:ind w:firstLine="592"/>
              <w:jc w:val="center"/>
              <w:rPr>
                <w:rFonts w:hint="eastAsia" w:ascii="宋体" w:hAnsi="宋体" w:eastAsia="宋体" w:cs="宋体"/>
                <w:szCs w:val="21"/>
                <w:highlight w:val="none"/>
              </w:rPr>
            </w:pPr>
          </w:p>
        </w:tc>
        <w:tc>
          <w:tcPr>
            <w:tcW w:w="1470" w:type="dxa"/>
            <w:noWrap w:val="0"/>
            <w:vAlign w:val="center"/>
          </w:tcPr>
          <w:p w14:paraId="1AD7643F">
            <w:pPr>
              <w:ind w:firstLine="592"/>
              <w:jc w:val="center"/>
              <w:rPr>
                <w:rFonts w:hint="eastAsia" w:ascii="宋体" w:hAnsi="宋体" w:eastAsia="宋体" w:cs="宋体"/>
                <w:szCs w:val="21"/>
                <w:highlight w:val="none"/>
              </w:rPr>
            </w:pPr>
          </w:p>
        </w:tc>
        <w:tc>
          <w:tcPr>
            <w:tcW w:w="1260" w:type="dxa"/>
            <w:noWrap w:val="0"/>
            <w:vAlign w:val="center"/>
          </w:tcPr>
          <w:p w14:paraId="53C05F6C">
            <w:pPr>
              <w:ind w:firstLine="592"/>
              <w:jc w:val="center"/>
              <w:rPr>
                <w:rFonts w:hint="eastAsia" w:ascii="宋体" w:hAnsi="宋体" w:eastAsia="宋体" w:cs="宋体"/>
                <w:szCs w:val="21"/>
                <w:highlight w:val="none"/>
              </w:rPr>
            </w:pPr>
          </w:p>
        </w:tc>
        <w:tc>
          <w:tcPr>
            <w:tcW w:w="1260" w:type="dxa"/>
            <w:noWrap w:val="0"/>
            <w:vAlign w:val="center"/>
          </w:tcPr>
          <w:p w14:paraId="11950082">
            <w:pPr>
              <w:ind w:firstLine="592"/>
              <w:jc w:val="center"/>
              <w:rPr>
                <w:rFonts w:hint="eastAsia" w:ascii="宋体" w:hAnsi="宋体" w:eastAsia="宋体" w:cs="宋体"/>
                <w:szCs w:val="21"/>
                <w:highlight w:val="none"/>
              </w:rPr>
            </w:pPr>
          </w:p>
        </w:tc>
        <w:tc>
          <w:tcPr>
            <w:tcW w:w="1515" w:type="dxa"/>
            <w:noWrap w:val="0"/>
            <w:vAlign w:val="center"/>
          </w:tcPr>
          <w:p w14:paraId="127ACB0F">
            <w:pPr>
              <w:ind w:firstLine="592"/>
              <w:jc w:val="center"/>
              <w:rPr>
                <w:rFonts w:hint="eastAsia" w:ascii="宋体" w:hAnsi="宋体" w:eastAsia="宋体" w:cs="宋体"/>
                <w:szCs w:val="21"/>
                <w:highlight w:val="none"/>
              </w:rPr>
            </w:pPr>
          </w:p>
        </w:tc>
      </w:tr>
      <w:tr w14:paraId="53712E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2313" w:type="dxa"/>
            <w:noWrap w:val="0"/>
            <w:vAlign w:val="center"/>
          </w:tcPr>
          <w:p w14:paraId="26262395">
            <w:pPr>
              <w:ind w:firstLine="592"/>
              <w:jc w:val="center"/>
              <w:rPr>
                <w:rFonts w:hint="eastAsia" w:ascii="宋体" w:hAnsi="宋体" w:eastAsia="宋体" w:cs="宋体"/>
                <w:szCs w:val="21"/>
                <w:highlight w:val="none"/>
              </w:rPr>
            </w:pPr>
          </w:p>
        </w:tc>
        <w:tc>
          <w:tcPr>
            <w:tcW w:w="1789" w:type="dxa"/>
            <w:noWrap w:val="0"/>
            <w:vAlign w:val="center"/>
          </w:tcPr>
          <w:p w14:paraId="39E02D62">
            <w:pPr>
              <w:ind w:firstLine="592"/>
              <w:jc w:val="center"/>
              <w:rPr>
                <w:rFonts w:hint="eastAsia" w:ascii="宋体" w:hAnsi="宋体" w:eastAsia="宋体" w:cs="宋体"/>
                <w:szCs w:val="21"/>
                <w:highlight w:val="none"/>
              </w:rPr>
            </w:pPr>
          </w:p>
        </w:tc>
        <w:tc>
          <w:tcPr>
            <w:tcW w:w="1470" w:type="dxa"/>
            <w:noWrap w:val="0"/>
            <w:vAlign w:val="center"/>
          </w:tcPr>
          <w:p w14:paraId="24BDCF72">
            <w:pPr>
              <w:ind w:firstLine="592"/>
              <w:jc w:val="center"/>
              <w:rPr>
                <w:rFonts w:hint="eastAsia" w:ascii="宋体" w:hAnsi="宋体" w:eastAsia="宋体" w:cs="宋体"/>
                <w:szCs w:val="21"/>
                <w:highlight w:val="none"/>
              </w:rPr>
            </w:pPr>
          </w:p>
        </w:tc>
        <w:tc>
          <w:tcPr>
            <w:tcW w:w="1260" w:type="dxa"/>
            <w:noWrap w:val="0"/>
            <w:vAlign w:val="center"/>
          </w:tcPr>
          <w:p w14:paraId="538673DB">
            <w:pPr>
              <w:ind w:firstLine="592"/>
              <w:jc w:val="center"/>
              <w:rPr>
                <w:rFonts w:hint="eastAsia" w:ascii="宋体" w:hAnsi="宋体" w:eastAsia="宋体" w:cs="宋体"/>
                <w:szCs w:val="21"/>
                <w:highlight w:val="none"/>
              </w:rPr>
            </w:pPr>
          </w:p>
        </w:tc>
        <w:tc>
          <w:tcPr>
            <w:tcW w:w="1260" w:type="dxa"/>
            <w:noWrap w:val="0"/>
            <w:vAlign w:val="center"/>
          </w:tcPr>
          <w:p w14:paraId="73F738AC">
            <w:pPr>
              <w:ind w:firstLine="592"/>
              <w:jc w:val="center"/>
              <w:rPr>
                <w:rFonts w:hint="eastAsia" w:ascii="宋体" w:hAnsi="宋体" w:eastAsia="宋体" w:cs="宋体"/>
                <w:szCs w:val="21"/>
                <w:highlight w:val="none"/>
              </w:rPr>
            </w:pPr>
          </w:p>
        </w:tc>
        <w:tc>
          <w:tcPr>
            <w:tcW w:w="1515" w:type="dxa"/>
            <w:noWrap w:val="0"/>
            <w:vAlign w:val="center"/>
          </w:tcPr>
          <w:p w14:paraId="425A13DB">
            <w:pPr>
              <w:ind w:firstLine="592"/>
              <w:jc w:val="center"/>
              <w:rPr>
                <w:rFonts w:hint="eastAsia" w:ascii="宋体" w:hAnsi="宋体" w:eastAsia="宋体" w:cs="宋体"/>
                <w:szCs w:val="21"/>
                <w:highlight w:val="none"/>
              </w:rPr>
            </w:pPr>
          </w:p>
        </w:tc>
      </w:tr>
    </w:tbl>
    <w:p w14:paraId="6B9910B0">
      <w:pPr>
        <w:spacing w:line="360" w:lineRule="auto"/>
        <w:rPr>
          <w:rFonts w:hint="eastAsia" w:ascii="宋体" w:hAnsi="宋体" w:cs="宋体"/>
          <w:szCs w:val="21"/>
          <w:highlight w:val="none"/>
        </w:rPr>
      </w:pPr>
      <w:r>
        <w:rPr>
          <w:rFonts w:hint="eastAsia" w:ascii="宋体" w:hAnsi="宋体" w:cs="宋体"/>
          <w:szCs w:val="21"/>
          <w:highlight w:val="none"/>
        </w:rPr>
        <w:t>注：1、投标供应商可按以上表格形式进行复制，附在商务技术文件内。</w:t>
      </w:r>
    </w:p>
    <w:p w14:paraId="79835DBD">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2、本表所列为随设备所带的附件及备品备件。</w:t>
      </w:r>
    </w:p>
    <w:p w14:paraId="7AB5173B">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3、设备到场验收时，实到的随机备品备件的产地等应与此一览表一一对应。</w:t>
      </w:r>
    </w:p>
    <w:p w14:paraId="73D8DAB2">
      <w:pPr>
        <w:spacing w:line="460" w:lineRule="exact"/>
        <w:ind w:firstLine="3150" w:firstLineChars="1500"/>
        <w:rPr>
          <w:rFonts w:hint="eastAsia" w:ascii="宋体" w:hAnsi="宋体" w:cs="宋体"/>
          <w:szCs w:val="21"/>
          <w:highlight w:val="none"/>
        </w:rPr>
      </w:pPr>
    </w:p>
    <w:p w14:paraId="3DA7B127">
      <w:pPr>
        <w:spacing w:line="460" w:lineRule="exact"/>
        <w:ind w:firstLine="3150" w:firstLineChars="1500"/>
        <w:rPr>
          <w:rFonts w:hint="eastAsia" w:ascii="宋体" w:hAnsi="宋体" w:cs="宋体"/>
          <w:szCs w:val="21"/>
          <w:highlight w:val="none"/>
        </w:rPr>
      </w:pPr>
      <w:r>
        <w:rPr>
          <w:rFonts w:hint="eastAsia" w:ascii="宋体" w:hAnsi="宋体" w:cs="宋体"/>
          <w:szCs w:val="21"/>
          <w:highlight w:val="none"/>
        </w:rPr>
        <w:t>投标供应商全称（盖单位公章） ：</w:t>
      </w:r>
    </w:p>
    <w:p w14:paraId="4EC3FCF6">
      <w:pPr>
        <w:spacing w:line="460" w:lineRule="exact"/>
        <w:ind w:firstLine="420" w:firstLineChars="200"/>
        <w:rPr>
          <w:rFonts w:hint="eastAsia" w:ascii="宋体" w:hAnsi="宋体" w:cs="宋体"/>
          <w:szCs w:val="21"/>
          <w:highlight w:val="none"/>
        </w:rPr>
      </w:pPr>
      <w:r>
        <w:rPr>
          <w:rFonts w:hint="eastAsia" w:ascii="宋体" w:hAnsi="宋体" w:cs="宋体"/>
          <w:szCs w:val="21"/>
          <w:highlight w:val="none"/>
        </w:rPr>
        <w:t>法定代表人（法定负责人） 或授权代表（签字或盖章）：</w:t>
      </w:r>
    </w:p>
    <w:p w14:paraId="54C00912">
      <w:pPr>
        <w:spacing w:line="460" w:lineRule="exact"/>
        <w:ind w:firstLine="5250" w:firstLineChars="2500"/>
        <w:rPr>
          <w:rFonts w:hint="eastAsia" w:ascii="宋体" w:hAnsi="宋体" w:cs="宋体"/>
          <w:szCs w:val="21"/>
          <w:highlight w:val="none"/>
        </w:rPr>
      </w:pPr>
      <w:r>
        <w:rPr>
          <w:rFonts w:hint="eastAsia" w:ascii="宋体" w:hAnsi="宋体" w:cs="宋体"/>
          <w:szCs w:val="21"/>
          <w:highlight w:val="none"/>
        </w:rPr>
        <w:t>日期：</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rPr>
        <w:t>日</w:t>
      </w:r>
    </w:p>
    <w:p w14:paraId="4F9FC9D4">
      <w:pPr>
        <w:spacing w:line="460" w:lineRule="exact"/>
        <w:rPr>
          <w:rFonts w:hint="eastAsia" w:ascii="宋体" w:hAnsi="宋体" w:cs="宋体"/>
          <w:kern w:val="1"/>
          <w:szCs w:val="21"/>
          <w:highlight w:val="none"/>
        </w:rPr>
      </w:pPr>
      <w:r>
        <w:rPr>
          <w:rFonts w:hint="eastAsia" w:ascii="宋体" w:hAnsi="宋体" w:cs="宋体"/>
          <w:kern w:val="1"/>
          <w:szCs w:val="21"/>
          <w:highlight w:val="none"/>
        </w:rPr>
        <w:br w:type="page"/>
      </w:r>
      <w:r>
        <w:rPr>
          <w:rFonts w:hint="eastAsia" w:ascii="宋体" w:hAnsi="宋体" w:cs="宋体"/>
          <w:kern w:val="1"/>
          <w:szCs w:val="21"/>
          <w:highlight w:val="none"/>
        </w:rPr>
        <w:t>附件十</w:t>
      </w:r>
    </w:p>
    <w:p w14:paraId="0810CCA6">
      <w:pPr>
        <w:spacing w:line="460" w:lineRule="exact"/>
        <w:jc w:val="center"/>
        <w:rPr>
          <w:rFonts w:hint="eastAsia" w:ascii="宋体" w:hAnsi="宋体" w:cs="宋体"/>
          <w:kern w:val="1"/>
          <w:szCs w:val="21"/>
          <w:highlight w:val="none"/>
        </w:rPr>
      </w:pPr>
      <w:r>
        <w:rPr>
          <w:rFonts w:hint="eastAsia" w:ascii="宋体" w:hAnsi="宋体" w:cs="宋体"/>
          <w:kern w:val="1"/>
          <w:szCs w:val="21"/>
          <w:highlight w:val="none"/>
        </w:rPr>
        <w:t>投标人综合情况</w:t>
      </w:r>
    </w:p>
    <w:p w14:paraId="53A0817F">
      <w:pPr>
        <w:spacing w:line="460" w:lineRule="exact"/>
        <w:rPr>
          <w:rFonts w:hint="eastAsia" w:ascii="宋体" w:hAnsi="宋体" w:cs="宋体"/>
          <w:snapToGrid w:val="0"/>
          <w:szCs w:val="21"/>
          <w:highlight w:val="none"/>
        </w:rPr>
      </w:pPr>
      <w:r>
        <w:rPr>
          <w:rFonts w:hint="eastAsia" w:ascii="宋体" w:hAnsi="宋体" w:cs="宋体"/>
          <w:kern w:val="1"/>
          <w:szCs w:val="21"/>
          <w:highlight w:val="none"/>
        </w:rPr>
        <w:t>注：根据采购文件第五部分评标原则及方法→五、评分细则→1.商务技术分的评定→“</w:t>
      </w:r>
      <w:r>
        <w:rPr>
          <w:rFonts w:hint="eastAsia" w:ascii="宋体" w:hAnsi="宋体" w:cs="宋体"/>
          <w:snapToGrid w:val="0"/>
          <w:szCs w:val="21"/>
          <w:highlight w:val="none"/>
        </w:rPr>
        <w:t>投标人综合情况”评分内容相关要求提供相关资料，格式自拟。</w:t>
      </w:r>
    </w:p>
    <w:p w14:paraId="3926049E">
      <w:pPr>
        <w:spacing w:before="120" w:after="120" w:line="380" w:lineRule="exact"/>
        <w:rPr>
          <w:rFonts w:hint="eastAsia" w:ascii="宋体" w:hAnsi="宋体" w:cs="宋体"/>
          <w:b/>
          <w:bCs/>
          <w:szCs w:val="21"/>
          <w:highlight w:val="none"/>
        </w:rPr>
      </w:pPr>
      <w:r>
        <w:rPr>
          <w:rFonts w:hint="eastAsia" w:ascii="宋体" w:hAnsi="宋体" w:cs="宋体"/>
          <w:snapToGrid w:val="0"/>
          <w:szCs w:val="21"/>
          <w:highlight w:val="none"/>
        </w:rPr>
        <w:br w:type="page"/>
      </w:r>
      <w:r>
        <w:rPr>
          <w:rFonts w:hint="eastAsia" w:ascii="宋体" w:hAnsi="宋体" w:cs="宋体"/>
          <w:b/>
          <w:bCs/>
          <w:szCs w:val="21"/>
          <w:highlight w:val="none"/>
        </w:rPr>
        <w:t xml:space="preserve">附件十一              </w:t>
      </w:r>
    </w:p>
    <w:p w14:paraId="283C5D06">
      <w:pPr>
        <w:spacing w:before="120" w:after="120" w:line="380" w:lineRule="exact"/>
        <w:jc w:val="center"/>
        <w:rPr>
          <w:rFonts w:hint="eastAsia" w:ascii="宋体" w:hAnsi="宋体" w:cs="宋体"/>
          <w:b/>
          <w:bCs/>
          <w:szCs w:val="21"/>
          <w:highlight w:val="none"/>
        </w:rPr>
      </w:pPr>
      <w:r>
        <w:rPr>
          <w:rFonts w:hint="eastAsia" w:ascii="宋体" w:hAnsi="宋体" w:cs="宋体"/>
          <w:b/>
          <w:bCs/>
          <w:szCs w:val="21"/>
          <w:highlight w:val="none"/>
        </w:rPr>
        <w:t>同类产品供货业绩一览表</w:t>
      </w:r>
    </w:p>
    <w:p w14:paraId="38E43B0E">
      <w:pPr>
        <w:spacing w:line="560" w:lineRule="exact"/>
        <w:rPr>
          <w:rFonts w:hint="eastAsia" w:ascii="宋体" w:hAnsi="宋体" w:cs="宋体"/>
          <w:b/>
          <w:szCs w:val="21"/>
          <w:highlight w:val="none"/>
        </w:rPr>
      </w:pPr>
      <w:r>
        <w:rPr>
          <w:rFonts w:hint="eastAsia" w:ascii="宋体" w:hAnsi="宋体" w:cs="宋体"/>
          <w:b/>
          <w:szCs w:val="21"/>
          <w:highlight w:val="none"/>
        </w:rPr>
        <w:t xml:space="preserve">项目名称：金海湖信息化展厅网络环境设备                     </w:t>
      </w:r>
    </w:p>
    <w:p w14:paraId="746E2C9D">
      <w:pPr>
        <w:spacing w:line="560" w:lineRule="exact"/>
        <w:rPr>
          <w:rFonts w:hint="eastAsia" w:ascii="宋体" w:hAnsi="宋体" w:cs="宋体"/>
          <w:b/>
          <w:szCs w:val="21"/>
          <w:highlight w:val="none"/>
        </w:rPr>
      </w:pPr>
      <w:r>
        <w:rPr>
          <w:rFonts w:hint="eastAsia" w:ascii="宋体" w:hAnsi="宋体" w:cs="宋体"/>
          <w:b/>
          <w:szCs w:val="21"/>
          <w:highlight w:val="none"/>
        </w:rPr>
        <w:t>项目编号：WGSS-JFJT-ZS-2026004</w:t>
      </w:r>
    </w:p>
    <w:tbl>
      <w:tblPr>
        <w:tblStyle w:val="35"/>
        <w:tblW w:w="96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895"/>
        <w:gridCol w:w="1561"/>
        <w:gridCol w:w="1281"/>
        <w:gridCol w:w="2085"/>
        <w:gridCol w:w="2046"/>
      </w:tblGrid>
      <w:tr w14:paraId="51AE0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80" w:type="dxa"/>
            <w:noWrap w:val="0"/>
            <w:vAlign w:val="center"/>
          </w:tcPr>
          <w:p w14:paraId="302880D4">
            <w:pPr>
              <w:spacing w:line="460" w:lineRule="exact"/>
              <w:jc w:val="center"/>
              <w:rPr>
                <w:rFonts w:ascii="宋体" w:hAnsi="宋体" w:cs="宋体"/>
                <w:b/>
                <w:bCs/>
                <w:sz w:val="22"/>
                <w:highlight w:val="none"/>
              </w:rPr>
            </w:pPr>
            <w:r>
              <w:rPr>
                <w:rFonts w:hint="eastAsia" w:ascii="宋体" w:hAnsi="宋体" w:cs="宋体"/>
                <w:b/>
                <w:bCs/>
                <w:sz w:val="22"/>
                <w:highlight w:val="none"/>
              </w:rPr>
              <w:t>序号</w:t>
            </w:r>
          </w:p>
        </w:tc>
        <w:tc>
          <w:tcPr>
            <w:tcW w:w="1895" w:type="dxa"/>
            <w:noWrap w:val="0"/>
            <w:vAlign w:val="center"/>
          </w:tcPr>
          <w:p w14:paraId="6A504723">
            <w:pPr>
              <w:spacing w:line="460" w:lineRule="exact"/>
              <w:jc w:val="center"/>
              <w:rPr>
                <w:rFonts w:ascii="宋体" w:hAnsi="宋体" w:cs="宋体"/>
                <w:b/>
                <w:bCs/>
                <w:sz w:val="22"/>
                <w:highlight w:val="none"/>
              </w:rPr>
            </w:pPr>
            <w:r>
              <w:rPr>
                <w:rFonts w:hint="eastAsia" w:ascii="宋体" w:hAnsi="宋体" w:cs="宋体"/>
                <w:b/>
                <w:bCs/>
                <w:sz w:val="22"/>
                <w:highlight w:val="none"/>
              </w:rPr>
              <w:t>合同甲方名称</w:t>
            </w:r>
          </w:p>
        </w:tc>
        <w:tc>
          <w:tcPr>
            <w:tcW w:w="1561" w:type="dxa"/>
            <w:noWrap w:val="0"/>
            <w:vAlign w:val="center"/>
          </w:tcPr>
          <w:p w14:paraId="7ADB1147">
            <w:pPr>
              <w:spacing w:line="460" w:lineRule="exact"/>
              <w:jc w:val="center"/>
              <w:rPr>
                <w:rFonts w:ascii="宋体" w:hAnsi="宋体" w:cs="宋体"/>
                <w:b/>
                <w:bCs/>
                <w:sz w:val="22"/>
                <w:highlight w:val="none"/>
              </w:rPr>
            </w:pPr>
            <w:r>
              <w:rPr>
                <w:rFonts w:hint="eastAsia" w:ascii="宋体" w:hAnsi="宋体" w:cs="宋体"/>
                <w:b/>
                <w:bCs/>
                <w:sz w:val="22"/>
                <w:highlight w:val="none"/>
              </w:rPr>
              <w:t>项目名称</w:t>
            </w:r>
          </w:p>
        </w:tc>
        <w:tc>
          <w:tcPr>
            <w:tcW w:w="1281" w:type="dxa"/>
            <w:noWrap w:val="0"/>
            <w:vAlign w:val="center"/>
          </w:tcPr>
          <w:p w14:paraId="7A133A65">
            <w:pPr>
              <w:spacing w:line="460" w:lineRule="exact"/>
              <w:jc w:val="center"/>
              <w:rPr>
                <w:rFonts w:ascii="宋体" w:hAnsi="宋体" w:cs="宋体"/>
                <w:b/>
                <w:bCs/>
                <w:sz w:val="22"/>
                <w:highlight w:val="none"/>
              </w:rPr>
            </w:pPr>
            <w:r>
              <w:rPr>
                <w:rFonts w:hint="eastAsia" w:ascii="宋体" w:hAnsi="宋体" w:cs="宋体"/>
                <w:b/>
                <w:bCs/>
                <w:sz w:val="22"/>
                <w:highlight w:val="none"/>
              </w:rPr>
              <w:t>合同金额</w:t>
            </w:r>
          </w:p>
        </w:tc>
        <w:tc>
          <w:tcPr>
            <w:tcW w:w="2085" w:type="dxa"/>
            <w:noWrap w:val="0"/>
            <w:vAlign w:val="center"/>
          </w:tcPr>
          <w:p w14:paraId="42322510">
            <w:pPr>
              <w:spacing w:line="460" w:lineRule="exact"/>
              <w:jc w:val="center"/>
              <w:rPr>
                <w:rFonts w:ascii="宋体" w:hAnsi="宋体" w:cs="宋体"/>
                <w:b/>
                <w:bCs/>
                <w:sz w:val="22"/>
                <w:highlight w:val="none"/>
              </w:rPr>
            </w:pPr>
            <w:r>
              <w:rPr>
                <w:rFonts w:hint="eastAsia" w:ascii="宋体" w:hAnsi="宋体" w:cs="宋体"/>
                <w:b/>
                <w:bCs/>
                <w:sz w:val="22"/>
                <w:highlight w:val="none"/>
              </w:rPr>
              <w:t>合同签订时间</w:t>
            </w:r>
          </w:p>
        </w:tc>
        <w:tc>
          <w:tcPr>
            <w:tcW w:w="2046" w:type="dxa"/>
            <w:noWrap w:val="0"/>
            <w:vAlign w:val="center"/>
          </w:tcPr>
          <w:p w14:paraId="76BC85C5">
            <w:pPr>
              <w:spacing w:line="460" w:lineRule="exact"/>
              <w:jc w:val="center"/>
              <w:rPr>
                <w:rFonts w:ascii="宋体" w:hAnsi="宋体" w:cs="宋体"/>
                <w:b/>
                <w:bCs/>
                <w:sz w:val="22"/>
                <w:highlight w:val="none"/>
              </w:rPr>
            </w:pPr>
            <w:r>
              <w:rPr>
                <w:rFonts w:hint="eastAsia" w:ascii="宋体" w:hAnsi="宋体" w:cs="宋体"/>
                <w:b/>
                <w:bCs/>
                <w:sz w:val="22"/>
                <w:highlight w:val="none"/>
              </w:rPr>
              <w:t>合同甲方联系人/联系方式</w:t>
            </w:r>
          </w:p>
        </w:tc>
      </w:tr>
      <w:tr w14:paraId="70056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80" w:type="dxa"/>
            <w:noWrap w:val="0"/>
            <w:vAlign w:val="center"/>
          </w:tcPr>
          <w:p w14:paraId="5A4F7ED0">
            <w:pPr>
              <w:spacing w:line="460" w:lineRule="exact"/>
              <w:jc w:val="center"/>
              <w:rPr>
                <w:rFonts w:ascii="宋体" w:hAnsi="宋体" w:cs="宋体"/>
                <w:b/>
                <w:bCs/>
                <w:sz w:val="22"/>
                <w:highlight w:val="none"/>
              </w:rPr>
            </w:pPr>
          </w:p>
        </w:tc>
        <w:tc>
          <w:tcPr>
            <w:tcW w:w="1895" w:type="dxa"/>
            <w:noWrap w:val="0"/>
            <w:vAlign w:val="center"/>
          </w:tcPr>
          <w:p w14:paraId="1FDF0CE0">
            <w:pPr>
              <w:spacing w:line="460" w:lineRule="exact"/>
              <w:jc w:val="center"/>
              <w:rPr>
                <w:rFonts w:ascii="宋体" w:hAnsi="宋体" w:cs="宋体"/>
                <w:b/>
                <w:bCs/>
                <w:sz w:val="22"/>
                <w:highlight w:val="none"/>
              </w:rPr>
            </w:pPr>
          </w:p>
        </w:tc>
        <w:tc>
          <w:tcPr>
            <w:tcW w:w="1561" w:type="dxa"/>
            <w:noWrap w:val="0"/>
            <w:vAlign w:val="center"/>
          </w:tcPr>
          <w:p w14:paraId="29468B68">
            <w:pPr>
              <w:spacing w:line="460" w:lineRule="exact"/>
              <w:jc w:val="center"/>
              <w:rPr>
                <w:rFonts w:ascii="宋体" w:hAnsi="宋体" w:cs="宋体"/>
                <w:b/>
                <w:bCs/>
                <w:sz w:val="22"/>
                <w:highlight w:val="none"/>
              </w:rPr>
            </w:pPr>
          </w:p>
        </w:tc>
        <w:tc>
          <w:tcPr>
            <w:tcW w:w="1281" w:type="dxa"/>
            <w:noWrap w:val="0"/>
            <w:vAlign w:val="center"/>
          </w:tcPr>
          <w:p w14:paraId="6D2313A2">
            <w:pPr>
              <w:spacing w:line="460" w:lineRule="exact"/>
              <w:jc w:val="center"/>
              <w:rPr>
                <w:rFonts w:ascii="宋体" w:hAnsi="宋体" w:cs="宋体"/>
                <w:b/>
                <w:bCs/>
                <w:sz w:val="22"/>
                <w:highlight w:val="none"/>
              </w:rPr>
            </w:pPr>
          </w:p>
        </w:tc>
        <w:tc>
          <w:tcPr>
            <w:tcW w:w="2085" w:type="dxa"/>
            <w:noWrap w:val="0"/>
            <w:vAlign w:val="center"/>
          </w:tcPr>
          <w:p w14:paraId="2DC4C5BC">
            <w:pPr>
              <w:spacing w:line="460" w:lineRule="exact"/>
              <w:jc w:val="center"/>
              <w:rPr>
                <w:rFonts w:ascii="宋体" w:hAnsi="宋体" w:cs="宋体"/>
                <w:b/>
                <w:bCs/>
                <w:sz w:val="22"/>
                <w:highlight w:val="none"/>
              </w:rPr>
            </w:pPr>
          </w:p>
        </w:tc>
        <w:tc>
          <w:tcPr>
            <w:tcW w:w="2046" w:type="dxa"/>
            <w:noWrap w:val="0"/>
            <w:vAlign w:val="center"/>
          </w:tcPr>
          <w:p w14:paraId="33F3D73D">
            <w:pPr>
              <w:spacing w:line="460" w:lineRule="exact"/>
              <w:jc w:val="center"/>
              <w:rPr>
                <w:rFonts w:ascii="宋体" w:hAnsi="宋体" w:cs="宋体"/>
                <w:b/>
                <w:bCs/>
                <w:sz w:val="22"/>
                <w:highlight w:val="none"/>
              </w:rPr>
            </w:pPr>
          </w:p>
        </w:tc>
      </w:tr>
      <w:tr w14:paraId="7BBD6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80" w:type="dxa"/>
            <w:noWrap w:val="0"/>
            <w:vAlign w:val="center"/>
          </w:tcPr>
          <w:p w14:paraId="08B907BE">
            <w:pPr>
              <w:spacing w:line="460" w:lineRule="exact"/>
              <w:jc w:val="center"/>
              <w:rPr>
                <w:rFonts w:ascii="宋体" w:hAnsi="宋体" w:cs="宋体"/>
                <w:b/>
                <w:bCs/>
                <w:sz w:val="22"/>
                <w:highlight w:val="none"/>
              </w:rPr>
            </w:pPr>
          </w:p>
        </w:tc>
        <w:tc>
          <w:tcPr>
            <w:tcW w:w="1895" w:type="dxa"/>
            <w:noWrap w:val="0"/>
            <w:vAlign w:val="center"/>
          </w:tcPr>
          <w:p w14:paraId="08557401">
            <w:pPr>
              <w:spacing w:line="460" w:lineRule="exact"/>
              <w:jc w:val="center"/>
              <w:rPr>
                <w:rFonts w:ascii="宋体" w:hAnsi="宋体" w:cs="宋体"/>
                <w:b/>
                <w:bCs/>
                <w:sz w:val="22"/>
                <w:highlight w:val="none"/>
              </w:rPr>
            </w:pPr>
          </w:p>
        </w:tc>
        <w:tc>
          <w:tcPr>
            <w:tcW w:w="1561" w:type="dxa"/>
            <w:noWrap w:val="0"/>
            <w:vAlign w:val="center"/>
          </w:tcPr>
          <w:p w14:paraId="1706F177">
            <w:pPr>
              <w:spacing w:line="460" w:lineRule="exact"/>
              <w:jc w:val="center"/>
              <w:rPr>
                <w:rFonts w:ascii="宋体" w:hAnsi="宋体" w:cs="宋体"/>
                <w:b/>
                <w:bCs/>
                <w:sz w:val="22"/>
                <w:highlight w:val="none"/>
              </w:rPr>
            </w:pPr>
          </w:p>
        </w:tc>
        <w:tc>
          <w:tcPr>
            <w:tcW w:w="1281" w:type="dxa"/>
            <w:noWrap w:val="0"/>
            <w:vAlign w:val="center"/>
          </w:tcPr>
          <w:p w14:paraId="465CF025">
            <w:pPr>
              <w:spacing w:line="460" w:lineRule="exact"/>
              <w:jc w:val="center"/>
              <w:rPr>
                <w:rFonts w:ascii="宋体" w:hAnsi="宋体" w:cs="宋体"/>
                <w:b/>
                <w:bCs/>
                <w:sz w:val="22"/>
                <w:highlight w:val="none"/>
              </w:rPr>
            </w:pPr>
          </w:p>
        </w:tc>
        <w:tc>
          <w:tcPr>
            <w:tcW w:w="2085" w:type="dxa"/>
            <w:noWrap w:val="0"/>
            <w:vAlign w:val="center"/>
          </w:tcPr>
          <w:p w14:paraId="72110081">
            <w:pPr>
              <w:spacing w:line="460" w:lineRule="exact"/>
              <w:jc w:val="center"/>
              <w:rPr>
                <w:rFonts w:ascii="宋体" w:hAnsi="宋体" w:cs="宋体"/>
                <w:b/>
                <w:bCs/>
                <w:sz w:val="22"/>
                <w:highlight w:val="none"/>
              </w:rPr>
            </w:pPr>
          </w:p>
        </w:tc>
        <w:tc>
          <w:tcPr>
            <w:tcW w:w="2046" w:type="dxa"/>
            <w:noWrap w:val="0"/>
            <w:vAlign w:val="center"/>
          </w:tcPr>
          <w:p w14:paraId="34F54D63">
            <w:pPr>
              <w:spacing w:line="460" w:lineRule="exact"/>
              <w:jc w:val="center"/>
              <w:rPr>
                <w:rFonts w:ascii="宋体" w:hAnsi="宋体" w:cs="宋体"/>
                <w:b/>
                <w:bCs/>
                <w:sz w:val="22"/>
                <w:highlight w:val="none"/>
              </w:rPr>
            </w:pPr>
          </w:p>
        </w:tc>
      </w:tr>
      <w:tr w14:paraId="41194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80" w:type="dxa"/>
            <w:noWrap w:val="0"/>
            <w:vAlign w:val="center"/>
          </w:tcPr>
          <w:p w14:paraId="7AEC8D4E">
            <w:pPr>
              <w:spacing w:line="460" w:lineRule="exact"/>
              <w:jc w:val="center"/>
              <w:rPr>
                <w:rFonts w:ascii="宋体" w:hAnsi="宋体" w:cs="宋体"/>
                <w:b/>
                <w:bCs/>
                <w:sz w:val="22"/>
                <w:highlight w:val="none"/>
              </w:rPr>
            </w:pPr>
          </w:p>
        </w:tc>
        <w:tc>
          <w:tcPr>
            <w:tcW w:w="1895" w:type="dxa"/>
            <w:noWrap w:val="0"/>
            <w:vAlign w:val="center"/>
          </w:tcPr>
          <w:p w14:paraId="7F7DCB14">
            <w:pPr>
              <w:spacing w:line="460" w:lineRule="exact"/>
              <w:jc w:val="center"/>
              <w:rPr>
                <w:rFonts w:ascii="宋体" w:hAnsi="宋体" w:cs="宋体"/>
                <w:b/>
                <w:bCs/>
                <w:sz w:val="22"/>
                <w:highlight w:val="none"/>
              </w:rPr>
            </w:pPr>
          </w:p>
        </w:tc>
        <w:tc>
          <w:tcPr>
            <w:tcW w:w="1561" w:type="dxa"/>
            <w:noWrap w:val="0"/>
            <w:vAlign w:val="center"/>
          </w:tcPr>
          <w:p w14:paraId="0EDE206C">
            <w:pPr>
              <w:spacing w:line="460" w:lineRule="exact"/>
              <w:jc w:val="center"/>
              <w:rPr>
                <w:rFonts w:ascii="宋体" w:hAnsi="宋体" w:cs="宋体"/>
                <w:b/>
                <w:bCs/>
                <w:sz w:val="22"/>
                <w:highlight w:val="none"/>
              </w:rPr>
            </w:pPr>
          </w:p>
        </w:tc>
        <w:tc>
          <w:tcPr>
            <w:tcW w:w="1281" w:type="dxa"/>
            <w:noWrap w:val="0"/>
            <w:vAlign w:val="center"/>
          </w:tcPr>
          <w:p w14:paraId="5F95D67E">
            <w:pPr>
              <w:spacing w:line="460" w:lineRule="exact"/>
              <w:jc w:val="center"/>
              <w:rPr>
                <w:rFonts w:ascii="宋体" w:hAnsi="宋体" w:cs="宋体"/>
                <w:b/>
                <w:bCs/>
                <w:sz w:val="22"/>
                <w:highlight w:val="none"/>
              </w:rPr>
            </w:pPr>
          </w:p>
        </w:tc>
        <w:tc>
          <w:tcPr>
            <w:tcW w:w="2085" w:type="dxa"/>
            <w:noWrap w:val="0"/>
            <w:vAlign w:val="center"/>
          </w:tcPr>
          <w:p w14:paraId="02D95D15">
            <w:pPr>
              <w:spacing w:line="460" w:lineRule="exact"/>
              <w:jc w:val="center"/>
              <w:rPr>
                <w:rFonts w:ascii="宋体" w:hAnsi="宋体" w:cs="宋体"/>
                <w:b/>
                <w:bCs/>
                <w:sz w:val="22"/>
                <w:highlight w:val="none"/>
              </w:rPr>
            </w:pPr>
          </w:p>
        </w:tc>
        <w:tc>
          <w:tcPr>
            <w:tcW w:w="2046" w:type="dxa"/>
            <w:noWrap w:val="0"/>
            <w:vAlign w:val="center"/>
          </w:tcPr>
          <w:p w14:paraId="2271FDB0">
            <w:pPr>
              <w:spacing w:line="460" w:lineRule="exact"/>
              <w:jc w:val="center"/>
              <w:rPr>
                <w:rFonts w:ascii="宋体" w:hAnsi="宋体" w:cs="宋体"/>
                <w:b/>
                <w:bCs/>
                <w:sz w:val="22"/>
                <w:highlight w:val="none"/>
              </w:rPr>
            </w:pPr>
          </w:p>
        </w:tc>
      </w:tr>
      <w:tr w14:paraId="2B41D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80" w:type="dxa"/>
            <w:noWrap w:val="0"/>
            <w:vAlign w:val="center"/>
          </w:tcPr>
          <w:p w14:paraId="7868A205">
            <w:pPr>
              <w:spacing w:line="460" w:lineRule="exact"/>
              <w:jc w:val="center"/>
              <w:rPr>
                <w:rFonts w:ascii="宋体" w:hAnsi="宋体" w:cs="宋体"/>
                <w:b/>
                <w:bCs/>
                <w:sz w:val="22"/>
                <w:highlight w:val="none"/>
              </w:rPr>
            </w:pPr>
          </w:p>
        </w:tc>
        <w:tc>
          <w:tcPr>
            <w:tcW w:w="1895" w:type="dxa"/>
            <w:noWrap w:val="0"/>
            <w:vAlign w:val="center"/>
          </w:tcPr>
          <w:p w14:paraId="0D9A79DB">
            <w:pPr>
              <w:spacing w:line="460" w:lineRule="exact"/>
              <w:jc w:val="center"/>
              <w:rPr>
                <w:rFonts w:ascii="宋体" w:hAnsi="宋体" w:cs="宋体"/>
                <w:b/>
                <w:bCs/>
                <w:sz w:val="22"/>
                <w:highlight w:val="none"/>
              </w:rPr>
            </w:pPr>
          </w:p>
        </w:tc>
        <w:tc>
          <w:tcPr>
            <w:tcW w:w="1561" w:type="dxa"/>
            <w:noWrap w:val="0"/>
            <w:vAlign w:val="center"/>
          </w:tcPr>
          <w:p w14:paraId="3FA4C824">
            <w:pPr>
              <w:spacing w:line="460" w:lineRule="exact"/>
              <w:jc w:val="center"/>
              <w:rPr>
                <w:rFonts w:ascii="宋体" w:hAnsi="宋体" w:cs="宋体"/>
                <w:b/>
                <w:bCs/>
                <w:sz w:val="22"/>
                <w:highlight w:val="none"/>
              </w:rPr>
            </w:pPr>
          </w:p>
        </w:tc>
        <w:tc>
          <w:tcPr>
            <w:tcW w:w="1281" w:type="dxa"/>
            <w:noWrap w:val="0"/>
            <w:vAlign w:val="center"/>
          </w:tcPr>
          <w:p w14:paraId="6723FE75">
            <w:pPr>
              <w:spacing w:line="460" w:lineRule="exact"/>
              <w:jc w:val="center"/>
              <w:rPr>
                <w:rFonts w:ascii="宋体" w:hAnsi="宋体" w:cs="宋体"/>
                <w:b/>
                <w:bCs/>
                <w:sz w:val="22"/>
                <w:highlight w:val="none"/>
              </w:rPr>
            </w:pPr>
          </w:p>
        </w:tc>
        <w:tc>
          <w:tcPr>
            <w:tcW w:w="2085" w:type="dxa"/>
            <w:noWrap w:val="0"/>
            <w:vAlign w:val="center"/>
          </w:tcPr>
          <w:p w14:paraId="6773D8B2">
            <w:pPr>
              <w:spacing w:line="460" w:lineRule="exact"/>
              <w:jc w:val="center"/>
              <w:rPr>
                <w:rFonts w:ascii="宋体" w:hAnsi="宋体" w:cs="宋体"/>
                <w:b/>
                <w:bCs/>
                <w:sz w:val="22"/>
                <w:highlight w:val="none"/>
              </w:rPr>
            </w:pPr>
          </w:p>
        </w:tc>
        <w:tc>
          <w:tcPr>
            <w:tcW w:w="2046" w:type="dxa"/>
            <w:noWrap w:val="0"/>
            <w:vAlign w:val="center"/>
          </w:tcPr>
          <w:p w14:paraId="7C422661">
            <w:pPr>
              <w:spacing w:line="460" w:lineRule="exact"/>
              <w:jc w:val="center"/>
              <w:rPr>
                <w:rFonts w:ascii="宋体" w:hAnsi="宋体" w:cs="宋体"/>
                <w:b/>
                <w:bCs/>
                <w:sz w:val="22"/>
                <w:highlight w:val="none"/>
              </w:rPr>
            </w:pPr>
          </w:p>
        </w:tc>
      </w:tr>
      <w:tr w14:paraId="5834B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80" w:type="dxa"/>
            <w:noWrap w:val="0"/>
            <w:vAlign w:val="center"/>
          </w:tcPr>
          <w:p w14:paraId="48563F20">
            <w:pPr>
              <w:spacing w:line="460" w:lineRule="exact"/>
              <w:jc w:val="center"/>
              <w:rPr>
                <w:rFonts w:ascii="宋体" w:hAnsi="宋体" w:cs="宋体"/>
                <w:b/>
                <w:bCs/>
                <w:sz w:val="22"/>
                <w:highlight w:val="none"/>
              </w:rPr>
            </w:pPr>
          </w:p>
        </w:tc>
        <w:tc>
          <w:tcPr>
            <w:tcW w:w="1895" w:type="dxa"/>
            <w:noWrap w:val="0"/>
            <w:vAlign w:val="center"/>
          </w:tcPr>
          <w:p w14:paraId="7EA97479">
            <w:pPr>
              <w:spacing w:line="460" w:lineRule="exact"/>
              <w:jc w:val="center"/>
              <w:rPr>
                <w:rFonts w:ascii="宋体" w:hAnsi="宋体" w:cs="宋体"/>
                <w:b/>
                <w:bCs/>
                <w:sz w:val="22"/>
                <w:highlight w:val="none"/>
              </w:rPr>
            </w:pPr>
          </w:p>
        </w:tc>
        <w:tc>
          <w:tcPr>
            <w:tcW w:w="1561" w:type="dxa"/>
            <w:noWrap w:val="0"/>
            <w:vAlign w:val="center"/>
          </w:tcPr>
          <w:p w14:paraId="06F49047">
            <w:pPr>
              <w:spacing w:line="460" w:lineRule="exact"/>
              <w:jc w:val="center"/>
              <w:rPr>
                <w:rFonts w:ascii="宋体" w:hAnsi="宋体" w:cs="宋体"/>
                <w:b/>
                <w:bCs/>
                <w:sz w:val="22"/>
                <w:highlight w:val="none"/>
              </w:rPr>
            </w:pPr>
          </w:p>
        </w:tc>
        <w:tc>
          <w:tcPr>
            <w:tcW w:w="1281" w:type="dxa"/>
            <w:noWrap w:val="0"/>
            <w:vAlign w:val="center"/>
          </w:tcPr>
          <w:p w14:paraId="512E86C2">
            <w:pPr>
              <w:spacing w:line="460" w:lineRule="exact"/>
              <w:jc w:val="center"/>
              <w:rPr>
                <w:rFonts w:ascii="宋体" w:hAnsi="宋体" w:cs="宋体"/>
                <w:b/>
                <w:bCs/>
                <w:sz w:val="22"/>
                <w:highlight w:val="none"/>
              </w:rPr>
            </w:pPr>
          </w:p>
        </w:tc>
        <w:tc>
          <w:tcPr>
            <w:tcW w:w="2085" w:type="dxa"/>
            <w:noWrap w:val="0"/>
            <w:vAlign w:val="center"/>
          </w:tcPr>
          <w:p w14:paraId="0739F356">
            <w:pPr>
              <w:spacing w:line="460" w:lineRule="exact"/>
              <w:jc w:val="center"/>
              <w:rPr>
                <w:rFonts w:ascii="宋体" w:hAnsi="宋体" w:cs="宋体"/>
                <w:b/>
                <w:bCs/>
                <w:sz w:val="22"/>
                <w:highlight w:val="none"/>
              </w:rPr>
            </w:pPr>
          </w:p>
        </w:tc>
        <w:tc>
          <w:tcPr>
            <w:tcW w:w="2046" w:type="dxa"/>
            <w:noWrap w:val="0"/>
            <w:vAlign w:val="center"/>
          </w:tcPr>
          <w:p w14:paraId="3B99056E">
            <w:pPr>
              <w:spacing w:line="460" w:lineRule="exact"/>
              <w:jc w:val="center"/>
              <w:rPr>
                <w:rFonts w:ascii="宋体" w:hAnsi="宋体" w:cs="宋体"/>
                <w:b/>
                <w:bCs/>
                <w:sz w:val="22"/>
                <w:highlight w:val="none"/>
              </w:rPr>
            </w:pPr>
          </w:p>
        </w:tc>
      </w:tr>
      <w:tr w14:paraId="42AF3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80" w:type="dxa"/>
            <w:noWrap w:val="0"/>
            <w:vAlign w:val="center"/>
          </w:tcPr>
          <w:p w14:paraId="28D0FA20">
            <w:pPr>
              <w:spacing w:line="460" w:lineRule="exact"/>
              <w:jc w:val="center"/>
              <w:rPr>
                <w:rFonts w:ascii="宋体" w:hAnsi="宋体" w:cs="宋体"/>
                <w:b/>
                <w:bCs/>
                <w:sz w:val="22"/>
                <w:highlight w:val="none"/>
              </w:rPr>
            </w:pPr>
          </w:p>
        </w:tc>
        <w:tc>
          <w:tcPr>
            <w:tcW w:w="1895" w:type="dxa"/>
            <w:noWrap w:val="0"/>
            <w:vAlign w:val="center"/>
          </w:tcPr>
          <w:p w14:paraId="7091CC96">
            <w:pPr>
              <w:spacing w:line="460" w:lineRule="exact"/>
              <w:jc w:val="center"/>
              <w:rPr>
                <w:rFonts w:ascii="宋体" w:hAnsi="宋体" w:cs="宋体"/>
                <w:b/>
                <w:bCs/>
                <w:sz w:val="22"/>
                <w:highlight w:val="none"/>
              </w:rPr>
            </w:pPr>
          </w:p>
        </w:tc>
        <w:tc>
          <w:tcPr>
            <w:tcW w:w="1561" w:type="dxa"/>
            <w:noWrap w:val="0"/>
            <w:vAlign w:val="center"/>
          </w:tcPr>
          <w:p w14:paraId="4B0781C8">
            <w:pPr>
              <w:spacing w:line="460" w:lineRule="exact"/>
              <w:jc w:val="center"/>
              <w:rPr>
                <w:rFonts w:ascii="宋体" w:hAnsi="宋体" w:cs="宋体"/>
                <w:b/>
                <w:bCs/>
                <w:sz w:val="22"/>
                <w:highlight w:val="none"/>
              </w:rPr>
            </w:pPr>
          </w:p>
        </w:tc>
        <w:tc>
          <w:tcPr>
            <w:tcW w:w="1281" w:type="dxa"/>
            <w:noWrap w:val="0"/>
            <w:vAlign w:val="center"/>
          </w:tcPr>
          <w:p w14:paraId="5E3EAFA5">
            <w:pPr>
              <w:spacing w:line="460" w:lineRule="exact"/>
              <w:jc w:val="center"/>
              <w:rPr>
                <w:rFonts w:ascii="宋体" w:hAnsi="宋体" w:cs="宋体"/>
                <w:b/>
                <w:bCs/>
                <w:sz w:val="22"/>
                <w:highlight w:val="none"/>
              </w:rPr>
            </w:pPr>
          </w:p>
        </w:tc>
        <w:tc>
          <w:tcPr>
            <w:tcW w:w="2085" w:type="dxa"/>
            <w:noWrap w:val="0"/>
            <w:vAlign w:val="center"/>
          </w:tcPr>
          <w:p w14:paraId="597D1DE6">
            <w:pPr>
              <w:spacing w:line="460" w:lineRule="exact"/>
              <w:jc w:val="center"/>
              <w:rPr>
                <w:rFonts w:ascii="宋体" w:hAnsi="宋体" w:cs="宋体"/>
                <w:b/>
                <w:bCs/>
                <w:sz w:val="22"/>
                <w:highlight w:val="none"/>
              </w:rPr>
            </w:pPr>
          </w:p>
        </w:tc>
        <w:tc>
          <w:tcPr>
            <w:tcW w:w="2046" w:type="dxa"/>
            <w:noWrap w:val="0"/>
            <w:vAlign w:val="center"/>
          </w:tcPr>
          <w:p w14:paraId="2F453BEA">
            <w:pPr>
              <w:spacing w:line="460" w:lineRule="exact"/>
              <w:jc w:val="center"/>
              <w:rPr>
                <w:rFonts w:ascii="宋体" w:hAnsi="宋体" w:cs="宋体"/>
                <w:b/>
                <w:bCs/>
                <w:sz w:val="22"/>
                <w:highlight w:val="none"/>
              </w:rPr>
            </w:pPr>
          </w:p>
        </w:tc>
      </w:tr>
      <w:tr w14:paraId="20B0E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80" w:type="dxa"/>
            <w:noWrap w:val="0"/>
            <w:vAlign w:val="center"/>
          </w:tcPr>
          <w:p w14:paraId="35C16B85">
            <w:pPr>
              <w:spacing w:line="460" w:lineRule="exact"/>
              <w:jc w:val="center"/>
              <w:rPr>
                <w:rFonts w:ascii="宋体" w:hAnsi="宋体" w:cs="宋体"/>
                <w:b/>
                <w:bCs/>
                <w:sz w:val="22"/>
                <w:highlight w:val="none"/>
              </w:rPr>
            </w:pPr>
          </w:p>
        </w:tc>
        <w:tc>
          <w:tcPr>
            <w:tcW w:w="1895" w:type="dxa"/>
            <w:noWrap w:val="0"/>
            <w:vAlign w:val="center"/>
          </w:tcPr>
          <w:p w14:paraId="457E7BDD">
            <w:pPr>
              <w:spacing w:line="460" w:lineRule="exact"/>
              <w:jc w:val="center"/>
              <w:rPr>
                <w:rFonts w:ascii="宋体" w:hAnsi="宋体" w:cs="宋体"/>
                <w:b/>
                <w:bCs/>
                <w:sz w:val="22"/>
                <w:highlight w:val="none"/>
              </w:rPr>
            </w:pPr>
          </w:p>
        </w:tc>
        <w:tc>
          <w:tcPr>
            <w:tcW w:w="1561" w:type="dxa"/>
            <w:noWrap w:val="0"/>
            <w:vAlign w:val="center"/>
          </w:tcPr>
          <w:p w14:paraId="56BA96C0">
            <w:pPr>
              <w:spacing w:line="460" w:lineRule="exact"/>
              <w:jc w:val="center"/>
              <w:rPr>
                <w:rFonts w:ascii="宋体" w:hAnsi="宋体" w:cs="宋体"/>
                <w:b/>
                <w:bCs/>
                <w:sz w:val="22"/>
                <w:highlight w:val="none"/>
              </w:rPr>
            </w:pPr>
          </w:p>
        </w:tc>
        <w:tc>
          <w:tcPr>
            <w:tcW w:w="1281" w:type="dxa"/>
            <w:noWrap w:val="0"/>
            <w:vAlign w:val="center"/>
          </w:tcPr>
          <w:p w14:paraId="1AB9164F">
            <w:pPr>
              <w:spacing w:line="460" w:lineRule="exact"/>
              <w:jc w:val="center"/>
              <w:rPr>
                <w:rFonts w:ascii="宋体" w:hAnsi="宋体" w:cs="宋体"/>
                <w:b/>
                <w:bCs/>
                <w:sz w:val="22"/>
                <w:highlight w:val="none"/>
              </w:rPr>
            </w:pPr>
          </w:p>
        </w:tc>
        <w:tc>
          <w:tcPr>
            <w:tcW w:w="2085" w:type="dxa"/>
            <w:noWrap w:val="0"/>
            <w:vAlign w:val="center"/>
          </w:tcPr>
          <w:p w14:paraId="19B5EE66">
            <w:pPr>
              <w:spacing w:line="460" w:lineRule="exact"/>
              <w:jc w:val="center"/>
              <w:rPr>
                <w:rFonts w:ascii="宋体" w:hAnsi="宋体" w:cs="宋体"/>
                <w:b/>
                <w:bCs/>
                <w:sz w:val="22"/>
                <w:highlight w:val="none"/>
              </w:rPr>
            </w:pPr>
          </w:p>
        </w:tc>
        <w:tc>
          <w:tcPr>
            <w:tcW w:w="2046" w:type="dxa"/>
            <w:noWrap w:val="0"/>
            <w:vAlign w:val="center"/>
          </w:tcPr>
          <w:p w14:paraId="4F9D377A">
            <w:pPr>
              <w:spacing w:line="460" w:lineRule="exact"/>
              <w:jc w:val="center"/>
              <w:rPr>
                <w:rFonts w:ascii="宋体" w:hAnsi="宋体" w:cs="宋体"/>
                <w:b/>
                <w:bCs/>
                <w:sz w:val="22"/>
                <w:highlight w:val="none"/>
              </w:rPr>
            </w:pPr>
          </w:p>
        </w:tc>
      </w:tr>
      <w:tr w14:paraId="5A730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80" w:type="dxa"/>
            <w:noWrap w:val="0"/>
            <w:vAlign w:val="center"/>
          </w:tcPr>
          <w:p w14:paraId="29499076">
            <w:pPr>
              <w:spacing w:line="460" w:lineRule="exact"/>
              <w:jc w:val="center"/>
              <w:rPr>
                <w:rFonts w:ascii="宋体" w:hAnsi="宋体" w:cs="宋体"/>
                <w:b/>
                <w:bCs/>
                <w:sz w:val="22"/>
                <w:highlight w:val="none"/>
              </w:rPr>
            </w:pPr>
          </w:p>
        </w:tc>
        <w:tc>
          <w:tcPr>
            <w:tcW w:w="1895" w:type="dxa"/>
            <w:noWrap w:val="0"/>
            <w:vAlign w:val="center"/>
          </w:tcPr>
          <w:p w14:paraId="3D107F76">
            <w:pPr>
              <w:spacing w:line="460" w:lineRule="exact"/>
              <w:jc w:val="center"/>
              <w:rPr>
                <w:rFonts w:ascii="宋体" w:hAnsi="宋体" w:cs="宋体"/>
                <w:b/>
                <w:bCs/>
                <w:sz w:val="22"/>
                <w:highlight w:val="none"/>
              </w:rPr>
            </w:pPr>
          </w:p>
        </w:tc>
        <w:tc>
          <w:tcPr>
            <w:tcW w:w="1561" w:type="dxa"/>
            <w:noWrap w:val="0"/>
            <w:vAlign w:val="center"/>
          </w:tcPr>
          <w:p w14:paraId="3EA8B653">
            <w:pPr>
              <w:spacing w:line="460" w:lineRule="exact"/>
              <w:jc w:val="center"/>
              <w:rPr>
                <w:rFonts w:ascii="宋体" w:hAnsi="宋体" w:cs="宋体"/>
                <w:b/>
                <w:bCs/>
                <w:sz w:val="22"/>
                <w:highlight w:val="none"/>
              </w:rPr>
            </w:pPr>
          </w:p>
        </w:tc>
        <w:tc>
          <w:tcPr>
            <w:tcW w:w="1281" w:type="dxa"/>
            <w:noWrap w:val="0"/>
            <w:vAlign w:val="center"/>
          </w:tcPr>
          <w:p w14:paraId="4111D82A">
            <w:pPr>
              <w:spacing w:line="460" w:lineRule="exact"/>
              <w:jc w:val="center"/>
              <w:rPr>
                <w:rFonts w:ascii="宋体" w:hAnsi="宋体" w:cs="宋体"/>
                <w:b/>
                <w:bCs/>
                <w:sz w:val="22"/>
                <w:highlight w:val="none"/>
              </w:rPr>
            </w:pPr>
          </w:p>
        </w:tc>
        <w:tc>
          <w:tcPr>
            <w:tcW w:w="2085" w:type="dxa"/>
            <w:noWrap w:val="0"/>
            <w:vAlign w:val="center"/>
          </w:tcPr>
          <w:p w14:paraId="1201B6CF">
            <w:pPr>
              <w:spacing w:line="460" w:lineRule="exact"/>
              <w:jc w:val="center"/>
              <w:rPr>
                <w:rFonts w:ascii="宋体" w:hAnsi="宋体" w:cs="宋体"/>
                <w:b/>
                <w:bCs/>
                <w:sz w:val="22"/>
                <w:highlight w:val="none"/>
              </w:rPr>
            </w:pPr>
          </w:p>
        </w:tc>
        <w:tc>
          <w:tcPr>
            <w:tcW w:w="2046" w:type="dxa"/>
            <w:noWrap w:val="0"/>
            <w:vAlign w:val="center"/>
          </w:tcPr>
          <w:p w14:paraId="77B3C7ED">
            <w:pPr>
              <w:spacing w:line="460" w:lineRule="exact"/>
              <w:jc w:val="center"/>
              <w:rPr>
                <w:rFonts w:ascii="宋体" w:hAnsi="宋体" w:cs="宋体"/>
                <w:b/>
                <w:bCs/>
                <w:sz w:val="22"/>
                <w:highlight w:val="none"/>
              </w:rPr>
            </w:pPr>
          </w:p>
        </w:tc>
      </w:tr>
    </w:tbl>
    <w:p w14:paraId="386F1256">
      <w:pPr>
        <w:spacing w:line="400" w:lineRule="exact"/>
        <w:rPr>
          <w:rFonts w:ascii="新宋体" w:hAnsi="新宋体" w:eastAsia="新宋体" w:cs="ˎ̥"/>
          <w:sz w:val="22"/>
          <w:szCs w:val="22"/>
          <w:highlight w:val="none"/>
        </w:rPr>
      </w:pPr>
      <w:r>
        <w:rPr>
          <w:rFonts w:hint="eastAsia" w:ascii="新宋体" w:hAnsi="新宋体" w:eastAsia="新宋体" w:cs="ˎ̥"/>
          <w:sz w:val="22"/>
          <w:szCs w:val="22"/>
          <w:highlight w:val="none"/>
        </w:rPr>
        <w:t>注：</w:t>
      </w:r>
    </w:p>
    <w:p w14:paraId="2490CDF5">
      <w:pPr>
        <w:spacing w:line="400" w:lineRule="exact"/>
        <w:rPr>
          <w:rFonts w:ascii="新宋体" w:hAnsi="新宋体" w:eastAsia="新宋体" w:cs="ˎ̥"/>
          <w:sz w:val="22"/>
          <w:szCs w:val="22"/>
          <w:highlight w:val="none"/>
        </w:rPr>
      </w:pPr>
      <w:r>
        <w:rPr>
          <w:rFonts w:hint="eastAsia" w:ascii="新宋体" w:hAnsi="新宋体" w:eastAsia="新宋体" w:cs="ˎ̥"/>
          <w:sz w:val="22"/>
          <w:szCs w:val="22"/>
          <w:highlight w:val="none"/>
        </w:rPr>
        <w:t>1.此表仅提供了表格形式，投标供应商应根据需要准备足够数量的表格来填写。</w:t>
      </w:r>
    </w:p>
    <w:p w14:paraId="46F316BA">
      <w:pPr>
        <w:spacing w:line="400" w:lineRule="exact"/>
        <w:rPr>
          <w:rFonts w:hint="eastAsia" w:ascii="新宋体" w:hAnsi="新宋体" w:eastAsia="新宋体" w:cs="ˎ̥"/>
          <w:sz w:val="22"/>
          <w:szCs w:val="22"/>
          <w:highlight w:val="none"/>
        </w:rPr>
      </w:pPr>
      <w:r>
        <w:rPr>
          <w:rFonts w:hint="eastAsia" w:ascii="新宋体" w:hAnsi="新宋体" w:eastAsia="新宋体" w:cs="ˎ̥"/>
          <w:sz w:val="22"/>
          <w:szCs w:val="22"/>
          <w:highlight w:val="none"/>
        </w:rPr>
        <w:t>2.每项业绩须根据采购文件第五部分评标原则及方法→五、评分细则→1.商务技术分的评定→“投标人业绩”评分内容要求提供的相关资料；</w:t>
      </w:r>
    </w:p>
    <w:p w14:paraId="6E8BB2AB">
      <w:pPr>
        <w:spacing w:line="400" w:lineRule="exact"/>
        <w:rPr>
          <w:rFonts w:ascii="新宋体" w:hAnsi="新宋体" w:eastAsia="新宋体" w:cs="ˎ̥"/>
          <w:sz w:val="22"/>
          <w:szCs w:val="22"/>
          <w:highlight w:val="none"/>
        </w:rPr>
      </w:pPr>
      <w:r>
        <w:rPr>
          <w:rFonts w:hint="eastAsia" w:ascii="新宋体" w:hAnsi="新宋体" w:eastAsia="新宋体" w:cs="ˎ̥"/>
          <w:sz w:val="22"/>
          <w:szCs w:val="22"/>
          <w:highlight w:val="none"/>
        </w:rPr>
        <w:t>3.投标供应商不按此要求填写此项内容或未按要求提供业绩证明材料将视为无业绩，不纳入评分范围。</w:t>
      </w:r>
    </w:p>
    <w:p w14:paraId="0072C621">
      <w:pPr>
        <w:spacing w:line="400" w:lineRule="exact"/>
        <w:ind w:firstLine="413" w:firstLineChars="196"/>
        <w:rPr>
          <w:rFonts w:hint="eastAsia" w:ascii="宋体" w:hAnsi="宋体" w:cs="宋体"/>
          <w:b/>
          <w:szCs w:val="21"/>
          <w:highlight w:val="none"/>
        </w:rPr>
      </w:pPr>
    </w:p>
    <w:p w14:paraId="32F095AB">
      <w:pPr>
        <w:spacing w:line="460" w:lineRule="exact"/>
        <w:ind w:firstLine="3150" w:firstLineChars="1500"/>
        <w:rPr>
          <w:rFonts w:hint="eastAsia" w:ascii="宋体" w:hAnsi="宋体" w:cs="宋体"/>
          <w:szCs w:val="21"/>
          <w:highlight w:val="none"/>
        </w:rPr>
      </w:pPr>
    </w:p>
    <w:p w14:paraId="557EFFE1">
      <w:pPr>
        <w:spacing w:line="460" w:lineRule="exact"/>
        <w:ind w:firstLine="3150" w:firstLineChars="1500"/>
        <w:rPr>
          <w:rFonts w:hint="eastAsia" w:ascii="宋体" w:hAnsi="宋体" w:cs="宋体"/>
          <w:szCs w:val="21"/>
          <w:highlight w:val="none"/>
        </w:rPr>
      </w:pPr>
      <w:r>
        <w:rPr>
          <w:rFonts w:hint="eastAsia" w:ascii="宋体" w:hAnsi="宋体" w:cs="宋体"/>
          <w:szCs w:val="21"/>
          <w:highlight w:val="none"/>
        </w:rPr>
        <w:t>投标供应商全称（盖单位公章） ：</w:t>
      </w:r>
    </w:p>
    <w:p w14:paraId="11033FD8">
      <w:pPr>
        <w:spacing w:line="460" w:lineRule="exact"/>
        <w:ind w:firstLine="420" w:firstLineChars="200"/>
        <w:rPr>
          <w:rFonts w:hint="eastAsia" w:ascii="宋体" w:hAnsi="宋体" w:cs="宋体"/>
          <w:szCs w:val="21"/>
          <w:highlight w:val="none"/>
        </w:rPr>
      </w:pPr>
      <w:r>
        <w:rPr>
          <w:rFonts w:hint="eastAsia" w:ascii="宋体" w:hAnsi="宋体" w:cs="宋体"/>
          <w:szCs w:val="21"/>
          <w:highlight w:val="none"/>
        </w:rPr>
        <w:t>法定代表人（法定负责人） 或授权代表（签字或盖章）：</w:t>
      </w:r>
    </w:p>
    <w:p w14:paraId="29DE6724">
      <w:pPr>
        <w:spacing w:line="460" w:lineRule="exact"/>
        <w:jc w:val="right"/>
        <w:rPr>
          <w:rFonts w:ascii="宋体" w:hAnsi="宋体" w:cs="宋体"/>
          <w:kern w:val="1"/>
          <w:szCs w:val="21"/>
          <w:highlight w:val="none"/>
        </w:rPr>
      </w:pPr>
      <w:r>
        <w:rPr>
          <w:rFonts w:hint="eastAsia" w:ascii="宋体" w:hAnsi="宋体" w:cs="宋体"/>
          <w:szCs w:val="21"/>
          <w:highlight w:val="none"/>
        </w:rPr>
        <w:t>日期：</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rPr>
        <w:t>日</w:t>
      </w:r>
    </w:p>
    <w:p w14:paraId="023B1F95">
      <w:pPr>
        <w:spacing w:line="460" w:lineRule="exact"/>
        <w:rPr>
          <w:rFonts w:hint="eastAsia" w:ascii="宋体" w:hAnsi="宋体" w:cs="宋体"/>
          <w:kern w:val="1"/>
          <w:szCs w:val="21"/>
          <w:highlight w:val="none"/>
        </w:rPr>
      </w:pPr>
      <w:r>
        <w:rPr>
          <w:rFonts w:hint="eastAsia" w:ascii="宋体" w:hAnsi="宋体" w:cs="宋体"/>
          <w:kern w:val="1"/>
          <w:szCs w:val="21"/>
          <w:highlight w:val="none"/>
        </w:rPr>
        <w:br w:type="page"/>
      </w:r>
      <w:r>
        <w:rPr>
          <w:rFonts w:hint="eastAsia" w:ascii="宋体" w:hAnsi="宋体" w:cs="宋体"/>
          <w:kern w:val="1"/>
          <w:szCs w:val="21"/>
          <w:highlight w:val="none"/>
        </w:rPr>
        <w:t>附件十二</w:t>
      </w:r>
    </w:p>
    <w:p w14:paraId="3DCCECCA">
      <w:pPr>
        <w:spacing w:line="460" w:lineRule="exact"/>
        <w:jc w:val="center"/>
        <w:rPr>
          <w:rFonts w:hint="eastAsia" w:ascii="宋体" w:hAnsi="宋体" w:cs="宋体"/>
          <w:b/>
          <w:bCs/>
          <w:kern w:val="1"/>
          <w:szCs w:val="21"/>
          <w:highlight w:val="none"/>
        </w:rPr>
      </w:pPr>
      <w:r>
        <w:rPr>
          <w:rFonts w:hint="eastAsia" w:ascii="宋体" w:hAnsi="宋体" w:cs="宋体"/>
          <w:b/>
          <w:bCs/>
          <w:kern w:val="1"/>
          <w:szCs w:val="21"/>
          <w:highlight w:val="none"/>
        </w:rPr>
        <w:t>技术、商务偏离表</w:t>
      </w:r>
    </w:p>
    <w:p w14:paraId="4A6E5A6E">
      <w:pPr>
        <w:spacing w:line="560" w:lineRule="exact"/>
        <w:rPr>
          <w:rFonts w:hint="eastAsia" w:ascii="宋体" w:hAnsi="宋体" w:cs="宋体"/>
          <w:b/>
          <w:szCs w:val="21"/>
          <w:highlight w:val="none"/>
        </w:rPr>
      </w:pPr>
      <w:r>
        <w:rPr>
          <w:rFonts w:hint="eastAsia" w:ascii="宋体" w:hAnsi="宋体" w:cs="宋体"/>
          <w:b/>
          <w:szCs w:val="21"/>
          <w:highlight w:val="none"/>
        </w:rPr>
        <w:t xml:space="preserve">项目名称：金海湖信息化展厅网络环境设备                     </w:t>
      </w:r>
    </w:p>
    <w:p w14:paraId="666DB66D">
      <w:pPr>
        <w:spacing w:line="560" w:lineRule="exact"/>
        <w:rPr>
          <w:rFonts w:hint="eastAsia" w:ascii="宋体" w:hAnsi="宋体" w:cs="宋体"/>
          <w:b/>
          <w:szCs w:val="21"/>
          <w:highlight w:val="none"/>
        </w:rPr>
      </w:pPr>
      <w:r>
        <w:rPr>
          <w:rFonts w:hint="eastAsia" w:ascii="宋体" w:hAnsi="宋体" w:cs="宋体"/>
          <w:b/>
          <w:szCs w:val="21"/>
          <w:highlight w:val="none"/>
        </w:rPr>
        <w:t>项目编号：WGSS-JFJT-ZS-2026004</w:t>
      </w:r>
    </w:p>
    <w:tbl>
      <w:tblPr>
        <w:tblStyle w:val="35"/>
        <w:tblW w:w="9540" w:type="dxa"/>
        <w:tblInd w:w="-25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56"/>
        <w:gridCol w:w="3960"/>
        <w:gridCol w:w="3591"/>
        <w:gridCol w:w="1333"/>
      </w:tblGrid>
      <w:tr w14:paraId="3A2C5B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4" w:hRule="atLeast"/>
        </w:trPr>
        <w:tc>
          <w:tcPr>
            <w:tcW w:w="656" w:type="dxa"/>
            <w:noWrap w:val="0"/>
            <w:vAlign w:val="center"/>
          </w:tcPr>
          <w:p w14:paraId="36C579CF">
            <w:pPr>
              <w:jc w:val="center"/>
              <w:rPr>
                <w:rFonts w:hint="eastAsia" w:ascii="宋体" w:hAnsi="宋体" w:eastAsia="宋体" w:cs="宋体"/>
                <w:szCs w:val="21"/>
                <w:highlight w:val="none"/>
              </w:rPr>
            </w:pPr>
            <w:r>
              <w:rPr>
                <w:rFonts w:hint="eastAsia" w:ascii="宋体" w:hAnsi="宋体" w:eastAsia="宋体" w:cs="宋体"/>
                <w:szCs w:val="21"/>
                <w:highlight w:val="none"/>
              </w:rPr>
              <w:t>内容</w:t>
            </w:r>
          </w:p>
        </w:tc>
        <w:tc>
          <w:tcPr>
            <w:tcW w:w="3960" w:type="dxa"/>
            <w:noWrap w:val="0"/>
            <w:vAlign w:val="center"/>
          </w:tcPr>
          <w:p w14:paraId="76EB642C">
            <w:pPr>
              <w:jc w:val="center"/>
              <w:rPr>
                <w:rFonts w:hint="eastAsia" w:ascii="宋体" w:hAnsi="宋体" w:eastAsia="宋体" w:cs="宋体"/>
                <w:szCs w:val="21"/>
                <w:highlight w:val="none"/>
              </w:rPr>
            </w:pPr>
            <w:r>
              <w:rPr>
                <w:rFonts w:hint="eastAsia" w:ascii="宋体" w:hAnsi="宋体" w:eastAsia="宋体" w:cs="宋体"/>
                <w:szCs w:val="21"/>
                <w:highlight w:val="none"/>
              </w:rPr>
              <w:t>采购文件要求</w:t>
            </w:r>
          </w:p>
        </w:tc>
        <w:tc>
          <w:tcPr>
            <w:tcW w:w="3591" w:type="dxa"/>
            <w:noWrap w:val="0"/>
            <w:vAlign w:val="center"/>
          </w:tcPr>
          <w:p w14:paraId="5A195883">
            <w:pPr>
              <w:jc w:val="center"/>
              <w:rPr>
                <w:rFonts w:hint="eastAsia" w:ascii="宋体" w:hAnsi="宋体" w:eastAsia="宋体" w:cs="宋体"/>
                <w:szCs w:val="21"/>
                <w:highlight w:val="none"/>
              </w:rPr>
            </w:pPr>
            <w:r>
              <w:rPr>
                <w:rFonts w:hint="eastAsia" w:ascii="宋体" w:hAnsi="宋体" w:eastAsia="宋体" w:cs="宋体"/>
                <w:szCs w:val="21"/>
                <w:highlight w:val="none"/>
              </w:rPr>
              <w:t>投标文件实际响应内容</w:t>
            </w:r>
          </w:p>
        </w:tc>
        <w:tc>
          <w:tcPr>
            <w:tcW w:w="1333" w:type="dxa"/>
            <w:noWrap w:val="0"/>
            <w:vAlign w:val="center"/>
          </w:tcPr>
          <w:p w14:paraId="6853B4EF">
            <w:pPr>
              <w:jc w:val="center"/>
              <w:rPr>
                <w:rFonts w:hint="eastAsia" w:ascii="宋体" w:hAnsi="宋体" w:eastAsia="宋体" w:cs="宋体"/>
                <w:szCs w:val="21"/>
                <w:highlight w:val="none"/>
              </w:rPr>
            </w:pPr>
            <w:r>
              <w:rPr>
                <w:rFonts w:hint="eastAsia" w:ascii="宋体" w:hAnsi="宋体" w:eastAsia="宋体" w:cs="宋体"/>
                <w:szCs w:val="21"/>
                <w:highlight w:val="none"/>
              </w:rPr>
              <w:t>正偏离或无偏离或负偏离</w:t>
            </w:r>
          </w:p>
        </w:tc>
      </w:tr>
      <w:tr w14:paraId="39466E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201" w:hRule="exact"/>
        </w:trPr>
        <w:tc>
          <w:tcPr>
            <w:tcW w:w="656" w:type="dxa"/>
            <w:vMerge w:val="restart"/>
            <w:noWrap w:val="0"/>
            <w:textDirection w:val="tbRlV"/>
            <w:vAlign w:val="center"/>
          </w:tcPr>
          <w:p w14:paraId="735D5803">
            <w:pPr>
              <w:ind w:right="113" w:firstLine="525" w:firstLineChars="250"/>
              <w:rPr>
                <w:rFonts w:hint="eastAsia" w:ascii="宋体" w:hAnsi="宋体" w:eastAsia="宋体" w:cs="宋体"/>
                <w:szCs w:val="21"/>
                <w:highlight w:val="none"/>
              </w:rPr>
            </w:pPr>
            <w:r>
              <w:rPr>
                <w:rFonts w:hint="eastAsia" w:ascii="宋体" w:hAnsi="宋体" w:eastAsia="宋体" w:cs="宋体"/>
                <w:szCs w:val="21"/>
                <w:highlight w:val="none"/>
              </w:rPr>
              <w:t xml:space="preserve">     技  术  偏  离</w:t>
            </w:r>
          </w:p>
        </w:tc>
        <w:tc>
          <w:tcPr>
            <w:tcW w:w="3960" w:type="dxa"/>
            <w:noWrap w:val="0"/>
            <w:vAlign w:val="center"/>
          </w:tcPr>
          <w:p w14:paraId="29A3C559">
            <w:pPr>
              <w:jc w:val="center"/>
              <w:rPr>
                <w:rFonts w:ascii="宋体" w:hAnsi="宋体" w:eastAsia="宋体" w:cs="宋体"/>
                <w:szCs w:val="21"/>
                <w:highlight w:val="none"/>
              </w:rPr>
            </w:pPr>
            <w:r>
              <w:rPr>
                <w:rFonts w:hint="eastAsia" w:ascii="宋体" w:hAnsi="宋体" w:eastAsia="宋体" w:cs="宋体"/>
                <w:szCs w:val="21"/>
                <w:highlight w:val="none"/>
              </w:rPr>
              <w:t>例如：采购文件第四部分采购内容及要求中“（二）技术要求”第1项“超融合集成服务”第</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点的“</w:t>
            </w:r>
            <w:r>
              <w:rPr>
                <w:rFonts w:hint="eastAsia" w:ascii="宋体" w:hAnsi="宋体" w:eastAsia="宋体" w:cs="宋体"/>
                <w:sz w:val="20"/>
                <w:szCs w:val="20"/>
                <w:highlight w:val="none"/>
              </w:rPr>
              <w:t>技术参数/规格</w:t>
            </w:r>
            <w:r>
              <w:rPr>
                <w:rFonts w:hint="eastAsia" w:ascii="宋体" w:hAnsi="宋体" w:eastAsia="宋体" w:cs="宋体"/>
                <w:szCs w:val="21"/>
                <w:highlight w:val="none"/>
              </w:rPr>
              <w:t>”。</w:t>
            </w:r>
          </w:p>
        </w:tc>
        <w:tc>
          <w:tcPr>
            <w:tcW w:w="3591" w:type="dxa"/>
            <w:noWrap w:val="0"/>
            <w:vAlign w:val="center"/>
          </w:tcPr>
          <w:p w14:paraId="18A8E4AC">
            <w:pPr>
              <w:jc w:val="center"/>
              <w:rPr>
                <w:rFonts w:ascii="宋体" w:hAnsi="宋体" w:eastAsia="宋体" w:cs="宋体"/>
                <w:szCs w:val="21"/>
                <w:highlight w:val="none"/>
              </w:rPr>
            </w:pPr>
            <w:r>
              <w:rPr>
                <w:rFonts w:hint="eastAsia" w:ascii="宋体" w:hAnsi="宋体" w:eastAsia="宋体" w:cs="宋体"/>
                <w:szCs w:val="21"/>
                <w:highlight w:val="none"/>
                <w:u w:val="single"/>
              </w:rPr>
              <w:t>根据投标实际内容填写</w:t>
            </w:r>
          </w:p>
        </w:tc>
        <w:tc>
          <w:tcPr>
            <w:tcW w:w="1333" w:type="dxa"/>
            <w:noWrap w:val="0"/>
            <w:vAlign w:val="center"/>
          </w:tcPr>
          <w:p w14:paraId="53A3F91F">
            <w:pPr>
              <w:jc w:val="center"/>
              <w:rPr>
                <w:rFonts w:hint="eastAsia" w:ascii="宋体" w:hAnsi="宋体" w:eastAsia="宋体" w:cs="宋体"/>
                <w:szCs w:val="21"/>
                <w:highlight w:val="none"/>
              </w:rPr>
            </w:pPr>
          </w:p>
        </w:tc>
      </w:tr>
      <w:tr w14:paraId="5C7D60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656" w:type="dxa"/>
            <w:vMerge w:val="continue"/>
            <w:noWrap w:val="0"/>
            <w:vAlign w:val="center"/>
          </w:tcPr>
          <w:p w14:paraId="67034E22">
            <w:pPr>
              <w:jc w:val="center"/>
              <w:rPr>
                <w:rFonts w:hint="eastAsia" w:ascii="宋体" w:hAnsi="宋体" w:eastAsia="宋体" w:cs="宋体"/>
                <w:szCs w:val="21"/>
                <w:highlight w:val="none"/>
              </w:rPr>
            </w:pPr>
          </w:p>
        </w:tc>
        <w:tc>
          <w:tcPr>
            <w:tcW w:w="3960" w:type="dxa"/>
            <w:noWrap w:val="0"/>
            <w:vAlign w:val="center"/>
          </w:tcPr>
          <w:p w14:paraId="762FCDFF">
            <w:pPr>
              <w:jc w:val="center"/>
              <w:rPr>
                <w:rFonts w:ascii="宋体" w:hAnsi="宋体" w:eastAsia="宋体" w:cs="宋体"/>
                <w:szCs w:val="21"/>
                <w:highlight w:val="none"/>
              </w:rPr>
            </w:pPr>
            <w:r>
              <w:rPr>
                <w:rFonts w:hint="eastAsia" w:ascii="宋体" w:hAnsi="宋体" w:eastAsia="宋体" w:cs="宋体"/>
                <w:szCs w:val="21"/>
                <w:highlight w:val="none"/>
              </w:rPr>
              <w:t>...</w:t>
            </w:r>
          </w:p>
        </w:tc>
        <w:tc>
          <w:tcPr>
            <w:tcW w:w="3591" w:type="dxa"/>
            <w:noWrap w:val="0"/>
            <w:vAlign w:val="center"/>
          </w:tcPr>
          <w:p w14:paraId="19B1FCE2">
            <w:pPr>
              <w:jc w:val="center"/>
              <w:rPr>
                <w:rFonts w:hint="eastAsia" w:ascii="宋体" w:hAnsi="宋体" w:eastAsia="宋体" w:cs="宋体"/>
                <w:szCs w:val="21"/>
                <w:highlight w:val="none"/>
              </w:rPr>
            </w:pPr>
            <w:r>
              <w:rPr>
                <w:rFonts w:hint="eastAsia" w:ascii="宋体" w:hAnsi="宋体" w:eastAsia="宋体" w:cs="宋体"/>
                <w:szCs w:val="21"/>
                <w:highlight w:val="none"/>
              </w:rPr>
              <w:t>...</w:t>
            </w:r>
          </w:p>
        </w:tc>
        <w:tc>
          <w:tcPr>
            <w:tcW w:w="1333" w:type="dxa"/>
            <w:noWrap w:val="0"/>
            <w:vAlign w:val="center"/>
          </w:tcPr>
          <w:p w14:paraId="18615D84">
            <w:pPr>
              <w:jc w:val="center"/>
              <w:rPr>
                <w:rFonts w:hint="eastAsia" w:ascii="宋体" w:hAnsi="宋体" w:eastAsia="宋体" w:cs="宋体"/>
                <w:szCs w:val="21"/>
                <w:highlight w:val="none"/>
              </w:rPr>
            </w:pPr>
          </w:p>
        </w:tc>
      </w:tr>
      <w:tr w14:paraId="192276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656" w:type="dxa"/>
            <w:vMerge w:val="continue"/>
            <w:noWrap w:val="0"/>
            <w:vAlign w:val="center"/>
          </w:tcPr>
          <w:p w14:paraId="690A15C6">
            <w:pPr>
              <w:jc w:val="center"/>
              <w:rPr>
                <w:rFonts w:hint="eastAsia" w:ascii="宋体" w:hAnsi="宋体" w:eastAsia="宋体" w:cs="宋体"/>
                <w:szCs w:val="21"/>
                <w:highlight w:val="none"/>
              </w:rPr>
            </w:pPr>
          </w:p>
        </w:tc>
        <w:tc>
          <w:tcPr>
            <w:tcW w:w="3960" w:type="dxa"/>
            <w:noWrap w:val="0"/>
            <w:vAlign w:val="center"/>
          </w:tcPr>
          <w:p w14:paraId="686806D6">
            <w:pPr>
              <w:jc w:val="center"/>
              <w:rPr>
                <w:rFonts w:hint="eastAsia" w:ascii="宋体" w:hAnsi="宋体" w:eastAsia="宋体" w:cs="宋体"/>
                <w:szCs w:val="21"/>
                <w:highlight w:val="none"/>
              </w:rPr>
            </w:pPr>
          </w:p>
        </w:tc>
        <w:tc>
          <w:tcPr>
            <w:tcW w:w="3591" w:type="dxa"/>
            <w:noWrap w:val="0"/>
            <w:vAlign w:val="center"/>
          </w:tcPr>
          <w:p w14:paraId="2359DD94">
            <w:pPr>
              <w:jc w:val="center"/>
              <w:rPr>
                <w:rFonts w:hint="eastAsia" w:ascii="宋体" w:hAnsi="宋体" w:eastAsia="宋体" w:cs="宋体"/>
                <w:szCs w:val="21"/>
                <w:highlight w:val="none"/>
              </w:rPr>
            </w:pPr>
          </w:p>
        </w:tc>
        <w:tc>
          <w:tcPr>
            <w:tcW w:w="1333" w:type="dxa"/>
            <w:noWrap w:val="0"/>
            <w:vAlign w:val="center"/>
          </w:tcPr>
          <w:p w14:paraId="69E91A18">
            <w:pPr>
              <w:jc w:val="center"/>
              <w:rPr>
                <w:rFonts w:hint="eastAsia" w:ascii="宋体" w:hAnsi="宋体" w:eastAsia="宋体" w:cs="宋体"/>
                <w:szCs w:val="21"/>
                <w:highlight w:val="none"/>
              </w:rPr>
            </w:pPr>
          </w:p>
        </w:tc>
      </w:tr>
      <w:tr w14:paraId="51FB6B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656" w:type="dxa"/>
            <w:vMerge w:val="continue"/>
            <w:noWrap w:val="0"/>
            <w:vAlign w:val="center"/>
          </w:tcPr>
          <w:p w14:paraId="5C60D99A">
            <w:pPr>
              <w:jc w:val="center"/>
              <w:rPr>
                <w:rFonts w:hint="eastAsia" w:ascii="宋体" w:hAnsi="宋体" w:eastAsia="宋体" w:cs="宋体"/>
                <w:szCs w:val="21"/>
                <w:highlight w:val="none"/>
              </w:rPr>
            </w:pPr>
          </w:p>
        </w:tc>
        <w:tc>
          <w:tcPr>
            <w:tcW w:w="3960" w:type="dxa"/>
            <w:noWrap w:val="0"/>
            <w:vAlign w:val="center"/>
          </w:tcPr>
          <w:p w14:paraId="66353C45">
            <w:pPr>
              <w:jc w:val="center"/>
              <w:rPr>
                <w:rFonts w:hint="eastAsia" w:ascii="宋体" w:hAnsi="宋体" w:eastAsia="宋体" w:cs="宋体"/>
                <w:szCs w:val="21"/>
                <w:highlight w:val="none"/>
              </w:rPr>
            </w:pPr>
          </w:p>
        </w:tc>
        <w:tc>
          <w:tcPr>
            <w:tcW w:w="3591" w:type="dxa"/>
            <w:noWrap w:val="0"/>
            <w:vAlign w:val="center"/>
          </w:tcPr>
          <w:p w14:paraId="5E2F7735">
            <w:pPr>
              <w:jc w:val="center"/>
              <w:rPr>
                <w:rFonts w:hint="eastAsia" w:ascii="宋体" w:hAnsi="宋体" w:eastAsia="宋体" w:cs="宋体"/>
                <w:szCs w:val="21"/>
                <w:highlight w:val="none"/>
              </w:rPr>
            </w:pPr>
          </w:p>
        </w:tc>
        <w:tc>
          <w:tcPr>
            <w:tcW w:w="1333" w:type="dxa"/>
            <w:noWrap w:val="0"/>
            <w:vAlign w:val="center"/>
          </w:tcPr>
          <w:p w14:paraId="449EAF04">
            <w:pPr>
              <w:jc w:val="center"/>
              <w:rPr>
                <w:rFonts w:hint="eastAsia" w:ascii="宋体" w:hAnsi="宋体" w:eastAsia="宋体" w:cs="宋体"/>
                <w:szCs w:val="21"/>
                <w:highlight w:val="none"/>
              </w:rPr>
            </w:pPr>
          </w:p>
        </w:tc>
      </w:tr>
      <w:tr w14:paraId="3C3F04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656" w:type="dxa"/>
            <w:vMerge w:val="continue"/>
            <w:noWrap w:val="0"/>
            <w:vAlign w:val="center"/>
          </w:tcPr>
          <w:p w14:paraId="74497F9E">
            <w:pPr>
              <w:jc w:val="center"/>
              <w:rPr>
                <w:rFonts w:hint="eastAsia" w:ascii="宋体" w:hAnsi="宋体" w:eastAsia="宋体" w:cs="宋体"/>
                <w:szCs w:val="21"/>
                <w:highlight w:val="none"/>
              </w:rPr>
            </w:pPr>
          </w:p>
        </w:tc>
        <w:tc>
          <w:tcPr>
            <w:tcW w:w="3960" w:type="dxa"/>
            <w:noWrap w:val="0"/>
            <w:vAlign w:val="center"/>
          </w:tcPr>
          <w:p w14:paraId="5BD686A8">
            <w:pPr>
              <w:jc w:val="center"/>
              <w:rPr>
                <w:rFonts w:hint="eastAsia" w:ascii="宋体" w:hAnsi="宋体" w:eastAsia="宋体" w:cs="宋体"/>
                <w:szCs w:val="21"/>
                <w:highlight w:val="none"/>
              </w:rPr>
            </w:pPr>
          </w:p>
        </w:tc>
        <w:tc>
          <w:tcPr>
            <w:tcW w:w="3591" w:type="dxa"/>
            <w:noWrap w:val="0"/>
            <w:vAlign w:val="center"/>
          </w:tcPr>
          <w:p w14:paraId="76B1EDEC">
            <w:pPr>
              <w:jc w:val="center"/>
              <w:rPr>
                <w:rFonts w:hint="eastAsia" w:ascii="宋体" w:hAnsi="宋体" w:eastAsia="宋体" w:cs="宋体"/>
                <w:szCs w:val="21"/>
                <w:highlight w:val="none"/>
              </w:rPr>
            </w:pPr>
          </w:p>
        </w:tc>
        <w:tc>
          <w:tcPr>
            <w:tcW w:w="1333" w:type="dxa"/>
            <w:noWrap w:val="0"/>
            <w:vAlign w:val="center"/>
          </w:tcPr>
          <w:p w14:paraId="48E8638E">
            <w:pPr>
              <w:jc w:val="center"/>
              <w:rPr>
                <w:rFonts w:hint="eastAsia" w:ascii="宋体" w:hAnsi="宋体" w:eastAsia="宋体" w:cs="宋体"/>
                <w:szCs w:val="21"/>
                <w:highlight w:val="none"/>
              </w:rPr>
            </w:pPr>
          </w:p>
        </w:tc>
      </w:tr>
      <w:tr w14:paraId="1504DC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656" w:type="dxa"/>
            <w:vMerge w:val="continue"/>
            <w:noWrap w:val="0"/>
            <w:vAlign w:val="center"/>
          </w:tcPr>
          <w:p w14:paraId="7B8619C5">
            <w:pPr>
              <w:jc w:val="center"/>
              <w:rPr>
                <w:rFonts w:hint="eastAsia" w:ascii="宋体" w:hAnsi="宋体" w:eastAsia="宋体" w:cs="宋体"/>
                <w:szCs w:val="21"/>
                <w:highlight w:val="none"/>
              </w:rPr>
            </w:pPr>
          </w:p>
        </w:tc>
        <w:tc>
          <w:tcPr>
            <w:tcW w:w="3960" w:type="dxa"/>
            <w:noWrap w:val="0"/>
            <w:vAlign w:val="center"/>
          </w:tcPr>
          <w:p w14:paraId="66546091">
            <w:pPr>
              <w:jc w:val="center"/>
              <w:rPr>
                <w:rFonts w:hint="eastAsia" w:ascii="宋体" w:hAnsi="宋体" w:eastAsia="宋体" w:cs="宋体"/>
                <w:szCs w:val="21"/>
                <w:highlight w:val="none"/>
              </w:rPr>
            </w:pPr>
          </w:p>
        </w:tc>
        <w:tc>
          <w:tcPr>
            <w:tcW w:w="3591" w:type="dxa"/>
            <w:noWrap w:val="0"/>
            <w:vAlign w:val="center"/>
          </w:tcPr>
          <w:p w14:paraId="44ADFA9F">
            <w:pPr>
              <w:jc w:val="center"/>
              <w:rPr>
                <w:rFonts w:hint="eastAsia" w:ascii="宋体" w:hAnsi="宋体" w:eastAsia="宋体" w:cs="宋体"/>
                <w:szCs w:val="21"/>
                <w:highlight w:val="none"/>
              </w:rPr>
            </w:pPr>
          </w:p>
        </w:tc>
        <w:tc>
          <w:tcPr>
            <w:tcW w:w="1333" w:type="dxa"/>
            <w:noWrap w:val="0"/>
            <w:vAlign w:val="center"/>
          </w:tcPr>
          <w:p w14:paraId="3AFCFF89">
            <w:pPr>
              <w:jc w:val="center"/>
              <w:rPr>
                <w:rFonts w:hint="eastAsia" w:ascii="宋体" w:hAnsi="宋体" w:eastAsia="宋体" w:cs="宋体"/>
                <w:szCs w:val="21"/>
                <w:highlight w:val="none"/>
              </w:rPr>
            </w:pPr>
          </w:p>
        </w:tc>
      </w:tr>
      <w:tr w14:paraId="1AB00F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656" w:type="dxa"/>
            <w:vMerge w:val="continue"/>
            <w:noWrap w:val="0"/>
            <w:vAlign w:val="center"/>
          </w:tcPr>
          <w:p w14:paraId="1610314B">
            <w:pPr>
              <w:jc w:val="center"/>
              <w:rPr>
                <w:rFonts w:hint="eastAsia" w:ascii="宋体" w:hAnsi="宋体" w:eastAsia="宋体" w:cs="宋体"/>
                <w:szCs w:val="21"/>
                <w:highlight w:val="none"/>
              </w:rPr>
            </w:pPr>
          </w:p>
        </w:tc>
        <w:tc>
          <w:tcPr>
            <w:tcW w:w="3960" w:type="dxa"/>
            <w:noWrap w:val="0"/>
            <w:vAlign w:val="center"/>
          </w:tcPr>
          <w:p w14:paraId="627075F5">
            <w:pPr>
              <w:jc w:val="center"/>
              <w:rPr>
                <w:rFonts w:hint="eastAsia" w:ascii="宋体" w:hAnsi="宋体" w:eastAsia="宋体" w:cs="宋体"/>
                <w:szCs w:val="21"/>
                <w:highlight w:val="none"/>
              </w:rPr>
            </w:pPr>
          </w:p>
        </w:tc>
        <w:tc>
          <w:tcPr>
            <w:tcW w:w="3591" w:type="dxa"/>
            <w:noWrap w:val="0"/>
            <w:vAlign w:val="center"/>
          </w:tcPr>
          <w:p w14:paraId="33F79824">
            <w:pPr>
              <w:jc w:val="center"/>
              <w:rPr>
                <w:rFonts w:hint="eastAsia" w:ascii="宋体" w:hAnsi="宋体" w:eastAsia="宋体" w:cs="宋体"/>
                <w:szCs w:val="21"/>
                <w:highlight w:val="none"/>
              </w:rPr>
            </w:pPr>
          </w:p>
        </w:tc>
        <w:tc>
          <w:tcPr>
            <w:tcW w:w="1333" w:type="dxa"/>
            <w:noWrap w:val="0"/>
            <w:vAlign w:val="center"/>
          </w:tcPr>
          <w:p w14:paraId="0595CD7F">
            <w:pPr>
              <w:jc w:val="center"/>
              <w:rPr>
                <w:rFonts w:hint="eastAsia" w:ascii="宋体" w:hAnsi="宋体" w:eastAsia="宋体" w:cs="宋体"/>
                <w:szCs w:val="21"/>
                <w:highlight w:val="none"/>
              </w:rPr>
            </w:pPr>
          </w:p>
        </w:tc>
      </w:tr>
      <w:tr w14:paraId="557D2A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41" w:hRule="atLeast"/>
        </w:trPr>
        <w:tc>
          <w:tcPr>
            <w:tcW w:w="656" w:type="dxa"/>
            <w:vMerge w:val="restart"/>
            <w:noWrap w:val="0"/>
            <w:vAlign w:val="center"/>
          </w:tcPr>
          <w:p w14:paraId="4054547D">
            <w:pPr>
              <w:jc w:val="center"/>
              <w:rPr>
                <w:rFonts w:hint="eastAsia" w:ascii="宋体" w:hAnsi="宋体" w:eastAsia="宋体" w:cs="宋体"/>
                <w:szCs w:val="21"/>
                <w:highlight w:val="none"/>
              </w:rPr>
            </w:pPr>
            <w:r>
              <w:rPr>
                <w:rFonts w:hint="eastAsia" w:ascii="宋体" w:hAnsi="宋体" w:eastAsia="宋体" w:cs="宋体"/>
                <w:szCs w:val="21"/>
                <w:highlight w:val="none"/>
              </w:rPr>
              <w:t>内容</w:t>
            </w:r>
          </w:p>
        </w:tc>
        <w:tc>
          <w:tcPr>
            <w:tcW w:w="3960" w:type="dxa"/>
            <w:noWrap w:val="0"/>
            <w:vAlign w:val="center"/>
          </w:tcPr>
          <w:p w14:paraId="245F4261">
            <w:pPr>
              <w:jc w:val="center"/>
              <w:rPr>
                <w:rFonts w:hint="eastAsia" w:ascii="宋体" w:hAnsi="宋体" w:eastAsia="宋体" w:cs="宋体"/>
                <w:szCs w:val="21"/>
                <w:highlight w:val="none"/>
              </w:rPr>
            </w:pPr>
            <w:r>
              <w:rPr>
                <w:rFonts w:hint="eastAsia" w:ascii="宋体" w:hAnsi="宋体" w:eastAsia="宋体" w:cs="宋体"/>
                <w:szCs w:val="21"/>
                <w:highlight w:val="none"/>
              </w:rPr>
              <w:t>采购文件要求</w:t>
            </w:r>
          </w:p>
        </w:tc>
        <w:tc>
          <w:tcPr>
            <w:tcW w:w="3591" w:type="dxa"/>
            <w:noWrap w:val="0"/>
            <w:vAlign w:val="center"/>
          </w:tcPr>
          <w:p w14:paraId="7996B34A">
            <w:pPr>
              <w:jc w:val="center"/>
              <w:rPr>
                <w:rFonts w:hint="eastAsia" w:ascii="宋体" w:hAnsi="宋体" w:eastAsia="宋体" w:cs="宋体"/>
                <w:szCs w:val="21"/>
                <w:highlight w:val="none"/>
              </w:rPr>
            </w:pPr>
            <w:r>
              <w:rPr>
                <w:rFonts w:hint="eastAsia" w:ascii="宋体" w:hAnsi="宋体" w:eastAsia="宋体" w:cs="宋体"/>
                <w:szCs w:val="21"/>
                <w:highlight w:val="none"/>
              </w:rPr>
              <w:t>投标文件实际响应内容</w:t>
            </w:r>
          </w:p>
        </w:tc>
        <w:tc>
          <w:tcPr>
            <w:tcW w:w="1333" w:type="dxa"/>
            <w:noWrap w:val="0"/>
            <w:vAlign w:val="center"/>
          </w:tcPr>
          <w:p w14:paraId="210F6CA3">
            <w:pPr>
              <w:jc w:val="center"/>
              <w:rPr>
                <w:rFonts w:hint="eastAsia" w:ascii="宋体" w:hAnsi="宋体" w:eastAsia="宋体" w:cs="宋体"/>
                <w:szCs w:val="21"/>
                <w:highlight w:val="none"/>
              </w:rPr>
            </w:pPr>
            <w:r>
              <w:rPr>
                <w:rFonts w:hint="eastAsia" w:ascii="宋体" w:hAnsi="宋体" w:eastAsia="宋体" w:cs="宋体"/>
                <w:szCs w:val="21"/>
                <w:highlight w:val="none"/>
              </w:rPr>
              <w:t>正偏离或无偏离或负偏离</w:t>
            </w:r>
          </w:p>
        </w:tc>
      </w:tr>
      <w:tr w14:paraId="0F007C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656" w:type="dxa"/>
            <w:vMerge w:val="restart"/>
            <w:noWrap w:val="0"/>
            <w:textDirection w:val="tbRlV"/>
            <w:vAlign w:val="center"/>
          </w:tcPr>
          <w:p w14:paraId="7FE0C2C3">
            <w:pPr>
              <w:ind w:right="113" w:firstLine="525" w:firstLineChars="250"/>
              <w:rPr>
                <w:rFonts w:hint="eastAsia" w:ascii="宋体" w:hAnsi="宋体" w:eastAsia="宋体" w:cs="宋体"/>
                <w:szCs w:val="21"/>
                <w:highlight w:val="none"/>
              </w:rPr>
            </w:pPr>
            <w:r>
              <w:rPr>
                <w:rFonts w:hint="eastAsia" w:ascii="宋体" w:hAnsi="宋体" w:eastAsia="宋体" w:cs="宋体"/>
                <w:szCs w:val="21"/>
                <w:highlight w:val="none"/>
              </w:rPr>
              <w:t xml:space="preserve">     商  务  偏  离</w:t>
            </w:r>
          </w:p>
        </w:tc>
        <w:tc>
          <w:tcPr>
            <w:tcW w:w="3960" w:type="dxa"/>
            <w:noWrap w:val="0"/>
            <w:vAlign w:val="center"/>
          </w:tcPr>
          <w:p w14:paraId="46880114">
            <w:pPr>
              <w:jc w:val="center"/>
              <w:rPr>
                <w:rFonts w:hint="eastAsia" w:ascii="宋体" w:hAnsi="宋体" w:eastAsia="宋体" w:cs="宋体"/>
                <w:szCs w:val="21"/>
                <w:highlight w:val="none"/>
              </w:rPr>
            </w:pPr>
            <w:r>
              <w:rPr>
                <w:rFonts w:hint="eastAsia" w:ascii="宋体" w:hAnsi="宋体" w:eastAsia="宋体" w:cs="宋体"/>
                <w:szCs w:val="21"/>
                <w:highlight w:val="none"/>
              </w:rPr>
              <w:t>...</w:t>
            </w:r>
          </w:p>
        </w:tc>
        <w:tc>
          <w:tcPr>
            <w:tcW w:w="3591" w:type="dxa"/>
            <w:noWrap w:val="0"/>
            <w:vAlign w:val="center"/>
          </w:tcPr>
          <w:p w14:paraId="02E9A218">
            <w:pPr>
              <w:jc w:val="center"/>
              <w:rPr>
                <w:rFonts w:hint="eastAsia" w:ascii="宋体" w:hAnsi="宋体" w:eastAsia="宋体" w:cs="宋体"/>
                <w:szCs w:val="21"/>
                <w:highlight w:val="none"/>
              </w:rPr>
            </w:pPr>
            <w:r>
              <w:rPr>
                <w:rFonts w:hint="eastAsia" w:ascii="宋体" w:hAnsi="宋体" w:eastAsia="宋体" w:cs="宋体"/>
                <w:szCs w:val="21"/>
                <w:highlight w:val="none"/>
              </w:rPr>
              <w:t>...</w:t>
            </w:r>
          </w:p>
        </w:tc>
        <w:tc>
          <w:tcPr>
            <w:tcW w:w="1333" w:type="dxa"/>
            <w:noWrap w:val="0"/>
            <w:vAlign w:val="center"/>
          </w:tcPr>
          <w:p w14:paraId="3E5AB1A9">
            <w:pPr>
              <w:jc w:val="center"/>
              <w:rPr>
                <w:rFonts w:hint="eastAsia" w:ascii="宋体" w:hAnsi="宋体" w:eastAsia="宋体" w:cs="宋体"/>
                <w:szCs w:val="21"/>
                <w:highlight w:val="none"/>
              </w:rPr>
            </w:pPr>
          </w:p>
        </w:tc>
      </w:tr>
      <w:tr w14:paraId="5CC8E4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656" w:type="dxa"/>
            <w:vMerge w:val="continue"/>
            <w:noWrap w:val="0"/>
            <w:vAlign w:val="center"/>
          </w:tcPr>
          <w:p w14:paraId="40DED635">
            <w:pPr>
              <w:jc w:val="center"/>
              <w:rPr>
                <w:rFonts w:hint="eastAsia" w:ascii="宋体" w:hAnsi="宋体" w:eastAsia="宋体" w:cs="宋体"/>
                <w:szCs w:val="21"/>
                <w:highlight w:val="none"/>
              </w:rPr>
            </w:pPr>
          </w:p>
        </w:tc>
        <w:tc>
          <w:tcPr>
            <w:tcW w:w="3960" w:type="dxa"/>
            <w:noWrap w:val="0"/>
            <w:vAlign w:val="center"/>
          </w:tcPr>
          <w:p w14:paraId="28672E9C">
            <w:pPr>
              <w:jc w:val="center"/>
              <w:rPr>
                <w:rFonts w:hint="eastAsia" w:ascii="宋体" w:hAnsi="宋体" w:eastAsia="宋体" w:cs="宋体"/>
                <w:szCs w:val="21"/>
                <w:highlight w:val="none"/>
              </w:rPr>
            </w:pPr>
          </w:p>
        </w:tc>
        <w:tc>
          <w:tcPr>
            <w:tcW w:w="3591" w:type="dxa"/>
            <w:noWrap w:val="0"/>
            <w:vAlign w:val="center"/>
          </w:tcPr>
          <w:p w14:paraId="79DE0542">
            <w:pPr>
              <w:jc w:val="center"/>
              <w:rPr>
                <w:rFonts w:hint="eastAsia" w:ascii="宋体" w:hAnsi="宋体" w:eastAsia="宋体" w:cs="宋体"/>
                <w:szCs w:val="21"/>
                <w:highlight w:val="none"/>
              </w:rPr>
            </w:pPr>
          </w:p>
        </w:tc>
        <w:tc>
          <w:tcPr>
            <w:tcW w:w="1333" w:type="dxa"/>
            <w:noWrap w:val="0"/>
            <w:vAlign w:val="center"/>
          </w:tcPr>
          <w:p w14:paraId="6E6E5860">
            <w:pPr>
              <w:jc w:val="center"/>
              <w:rPr>
                <w:rFonts w:hint="eastAsia" w:ascii="宋体" w:hAnsi="宋体" w:eastAsia="宋体" w:cs="宋体"/>
                <w:szCs w:val="21"/>
                <w:highlight w:val="none"/>
              </w:rPr>
            </w:pPr>
          </w:p>
        </w:tc>
      </w:tr>
      <w:tr w14:paraId="6160B8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656" w:type="dxa"/>
            <w:vMerge w:val="continue"/>
            <w:noWrap w:val="0"/>
            <w:vAlign w:val="center"/>
          </w:tcPr>
          <w:p w14:paraId="2F2357A3">
            <w:pPr>
              <w:jc w:val="center"/>
              <w:rPr>
                <w:rFonts w:hint="eastAsia" w:ascii="宋体" w:hAnsi="宋体" w:eastAsia="宋体" w:cs="宋体"/>
                <w:szCs w:val="21"/>
                <w:highlight w:val="none"/>
              </w:rPr>
            </w:pPr>
          </w:p>
        </w:tc>
        <w:tc>
          <w:tcPr>
            <w:tcW w:w="3960" w:type="dxa"/>
            <w:noWrap w:val="0"/>
            <w:vAlign w:val="center"/>
          </w:tcPr>
          <w:p w14:paraId="2823DB74">
            <w:pPr>
              <w:jc w:val="center"/>
              <w:rPr>
                <w:rFonts w:hint="eastAsia" w:ascii="宋体" w:hAnsi="宋体" w:eastAsia="宋体" w:cs="宋体"/>
                <w:szCs w:val="21"/>
                <w:highlight w:val="none"/>
              </w:rPr>
            </w:pPr>
          </w:p>
        </w:tc>
        <w:tc>
          <w:tcPr>
            <w:tcW w:w="3591" w:type="dxa"/>
            <w:noWrap w:val="0"/>
            <w:vAlign w:val="center"/>
          </w:tcPr>
          <w:p w14:paraId="7034F3AD">
            <w:pPr>
              <w:jc w:val="center"/>
              <w:rPr>
                <w:rFonts w:hint="eastAsia" w:ascii="宋体" w:hAnsi="宋体" w:eastAsia="宋体" w:cs="宋体"/>
                <w:szCs w:val="21"/>
                <w:highlight w:val="none"/>
              </w:rPr>
            </w:pPr>
          </w:p>
        </w:tc>
        <w:tc>
          <w:tcPr>
            <w:tcW w:w="1333" w:type="dxa"/>
            <w:noWrap w:val="0"/>
            <w:vAlign w:val="center"/>
          </w:tcPr>
          <w:p w14:paraId="1C112B94">
            <w:pPr>
              <w:jc w:val="center"/>
              <w:rPr>
                <w:rFonts w:hint="eastAsia" w:ascii="宋体" w:hAnsi="宋体" w:eastAsia="宋体" w:cs="宋体"/>
                <w:szCs w:val="21"/>
                <w:highlight w:val="none"/>
              </w:rPr>
            </w:pPr>
          </w:p>
        </w:tc>
      </w:tr>
      <w:tr w14:paraId="64A89B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656" w:type="dxa"/>
            <w:vMerge w:val="continue"/>
            <w:noWrap w:val="0"/>
            <w:vAlign w:val="center"/>
          </w:tcPr>
          <w:p w14:paraId="2E46FC14">
            <w:pPr>
              <w:jc w:val="center"/>
              <w:rPr>
                <w:rFonts w:hint="eastAsia" w:ascii="宋体" w:hAnsi="宋体" w:eastAsia="宋体" w:cs="宋体"/>
                <w:szCs w:val="21"/>
                <w:highlight w:val="none"/>
              </w:rPr>
            </w:pPr>
          </w:p>
        </w:tc>
        <w:tc>
          <w:tcPr>
            <w:tcW w:w="3960" w:type="dxa"/>
            <w:noWrap w:val="0"/>
            <w:vAlign w:val="center"/>
          </w:tcPr>
          <w:p w14:paraId="11CB0A10">
            <w:pPr>
              <w:jc w:val="center"/>
              <w:rPr>
                <w:rFonts w:hint="eastAsia" w:ascii="宋体" w:hAnsi="宋体" w:eastAsia="宋体" w:cs="宋体"/>
                <w:szCs w:val="21"/>
                <w:highlight w:val="none"/>
              </w:rPr>
            </w:pPr>
          </w:p>
        </w:tc>
        <w:tc>
          <w:tcPr>
            <w:tcW w:w="3591" w:type="dxa"/>
            <w:noWrap w:val="0"/>
            <w:vAlign w:val="center"/>
          </w:tcPr>
          <w:p w14:paraId="736D0C97">
            <w:pPr>
              <w:jc w:val="center"/>
              <w:rPr>
                <w:rFonts w:hint="eastAsia" w:ascii="宋体" w:hAnsi="宋体" w:eastAsia="宋体" w:cs="宋体"/>
                <w:szCs w:val="21"/>
                <w:highlight w:val="none"/>
              </w:rPr>
            </w:pPr>
          </w:p>
        </w:tc>
        <w:tc>
          <w:tcPr>
            <w:tcW w:w="1333" w:type="dxa"/>
            <w:noWrap w:val="0"/>
            <w:vAlign w:val="center"/>
          </w:tcPr>
          <w:p w14:paraId="323DA611">
            <w:pPr>
              <w:jc w:val="center"/>
              <w:rPr>
                <w:rFonts w:hint="eastAsia" w:ascii="宋体" w:hAnsi="宋体" w:eastAsia="宋体" w:cs="宋体"/>
                <w:szCs w:val="21"/>
                <w:highlight w:val="none"/>
              </w:rPr>
            </w:pPr>
          </w:p>
        </w:tc>
      </w:tr>
      <w:tr w14:paraId="17F8D3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656" w:type="dxa"/>
            <w:vMerge w:val="continue"/>
            <w:noWrap w:val="0"/>
            <w:vAlign w:val="center"/>
          </w:tcPr>
          <w:p w14:paraId="481B5F75">
            <w:pPr>
              <w:jc w:val="center"/>
              <w:rPr>
                <w:rFonts w:hint="eastAsia" w:ascii="宋体" w:hAnsi="宋体" w:eastAsia="宋体" w:cs="宋体"/>
                <w:szCs w:val="21"/>
                <w:highlight w:val="none"/>
              </w:rPr>
            </w:pPr>
          </w:p>
        </w:tc>
        <w:tc>
          <w:tcPr>
            <w:tcW w:w="3960" w:type="dxa"/>
            <w:noWrap w:val="0"/>
            <w:vAlign w:val="center"/>
          </w:tcPr>
          <w:p w14:paraId="6C384005">
            <w:pPr>
              <w:jc w:val="center"/>
              <w:rPr>
                <w:rFonts w:hint="eastAsia" w:ascii="宋体" w:hAnsi="宋体" w:eastAsia="宋体" w:cs="宋体"/>
                <w:szCs w:val="21"/>
                <w:highlight w:val="none"/>
              </w:rPr>
            </w:pPr>
          </w:p>
        </w:tc>
        <w:tc>
          <w:tcPr>
            <w:tcW w:w="3591" w:type="dxa"/>
            <w:noWrap w:val="0"/>
            <w:vAlign w:val="center"/>
          </w:tcPr>
          <w:p w14:paraId="7B148CE9">
            <w:pPr>
              <w:jc w:val="center"/>
              <w:rPr>
                <w:rFonts w:hint="eastAsia" w:ascii="宋体" w:hAnsi="宋体" w:eastAsia="宋体" w:cs="宋体"/>
                <w:szCs w:val="21"/>
                <w:highlight w:val="none"/>
              </w:rPr>
            </w:pPr>
          </w:p>
        </w:tc>
        <w:tc>
          <w:tcPr>
            <w:tcW w:w="1333" w:type="dxa"/>
            <w:noWrap w:val="0"/>
            <w:vAlign w:val="center"/>
          </w:tcPr>
          <w:p w14:paraId="7F77446C">
            <w:pPr>
              <w:jc w:val="center"/>
              <w:rPr>
                <w:rFonts w:hint="eastAsia" w:ascii="宋体" w:hAnsi="宋体" w:eastAsia="宋体" w:cs="宋体"/>
                <w:szCs w:val="21"/>
                <w:highlight w:val="none"/>
              </w:rPr>
            </w:pPr>
          </w:p>
        </w:tc>
      </w:tr>
      <w:tr w14:paraId="4F662A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656" w:type="dxa"/>
            <w:vMerge w:val="continue"/>
            <w:noWrap w:val="0"/>
            <w:vAlign w:val="center"/>
          </w:tcPr>
          <w:p w14:paraId="345C585B">
            <w:pPr>
              <w:jc w:val="center"/>
              <w:rPr>
                <w:rFonts w:hint="eastAsia" w:ascii="宋体" w:hAnsi="宋体" w:eastAsia="宋体" w:cs="宋体"/>
                <w:szCs w:val="21"/>
                <w:highlight w:val="none"/>
              </w:rPr>
            </w:pPr>
          </w:p>
        </w:tc>
        <w:tc>
          <w:tcPr>
            <w:tcW w:w="3960" w:type="dxa"/>
            <w:noWrap w:val="0"/>
            <w:vAlign w:val="center"/>
          </w:tcPr>
          <w:p w14:paraId="79B72CAC">
            <w:pPr>
              <w:jc w:val="center"/>
              <w:rPr>
                <w:rFonts w:hint="eastAsia" w:ascii="宋体" w:hAnsi="宋体" w:eastAsia="宋体" w:cs="宋体"/>
                <w:szCs w:val="21"/>
                <w:highlight w:val="none"/>
              </w:rPr>
            </w:pPr>
          </w:p>
        </w:tc>
        <w:tc>
          <w:tcPr>
            <w:tcW w:w="3591" w:type="dxa"/>
            <w:noWrap w:val="0"/>
            <w:vAlign w:val="center"/>
          </w:tcPr>
          <w:p w14:paraId="0B5F7A96">
            <w:pPr>
              <w:jc w:val="center"/>
              <w:rPr>
                <w:rFonts w:hint="eastAsia" w:ascii="宋体" w:hAnsi="宋体" w:eastAsia="宋体" w:cs="宋体"/>
                <w:szCs w:val="21"/>
                <w:highlight w:val="none"/>
              </w:rPr>
            </w:pPr>
          </w:p>
        </w:tc>
        <w:tc>
          <w:tcPr>
            <w:tcW w:w="1333" w:type="dxa"/>
            <w:noWrap w:val="0"/>
            <w:vAlign w:val="center"/>
          </w:tcPr>
          <w:p w14:paraId="579B3A6F">
            <w:pPr>
              <w:jc w:val="center"/>
              <w:rPr>
                <w:rFonts w:hint="eastAsia" w:ascii="宋体" w:hAnsi="宋体" w:eastAsia="宋体" w:cs="宋体"/>
                <w:szCs w:val="21"/>
                <w:highlight w:val="none"/>
              </w:rPr>
            </w:pPr>
          </w:p>
        </w:tc>
      </w:tr>
      <w:tr w14:paraId="2ED20C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656" w:type="dxa"/>
            <w:vMerge w:val="continue"/>
            <w:noWrap w:val="0"/>
            <w:vAlign w:val="center"/>
          </w:tcPr>
          <w:p w14:paraId="6EF9CEF7">
            <w:pPr>
              <w:jc w:val="center"/>
              <w:rPr>
                <w:rFonts w:hint="eastAsia" w:ascii="宋体" w:hAnsi="宋体" w:eastAsia="宋体" w:cs="宋体"/>
                <w:szCs w:val="21"/>
                <w:highlight w:val="none"/>
              </w:rPr>
            </w:pPr>
          </w:p>
        </w:tc>
        <w:tc>
          <w:tcPr>
            <w:tcW w:w="3960" w:type="dxa"/>
            <w:noWrap w:val="0"/>
            <w:vAlign w:val="center"/>
          </w:tcPr>
          <w:p w14:paraId="0F183CCD">
            <w:pPr>
              <w:jc w:val="center"/>
              <w:rPr>
                <w:rFonts w:hint="eastAsia" w:ascii="宋体" w:hAnsi="宋体" w:eastAsia="宋体" w:cs="宋体"/>
                <w:szCs w:val="21"/>
                <w:highlight w:val="none"/>
              </w:rPr>
            </w:pPr>
          </w:p>
        </w:tc>
        <w:tc>
          <w:tcPr>
            <w:tcW w:w="3591" w:type="dxa"/>
            <w:noWrap w:val="0"/>
            <w:vAlign w:val="center"/>
          </w:tcPr>
          <w:p w14:paraId="4B002C05">
            <w:pPr>
              <w:jc w:val="center"/>
              <w:rPr>
                <w:rFonts w:hint="eastAsia" w:ascii="宋体" w:hAnsi="宋体" w:eastAsia="宋体" w:cs="宋体"/>
                <w:szCs w:val="21"/>
                <w:highlight w:val="none"/>
              </w:rPr>
            </w:pPr>
          </w:p>
        </w:tc>
        <w:tc>
          <w:tcPr>
            <w:tcW w:w="1333" w:type="dxa"/>
            <w:noWrap w:val="0"/>
            <w:vAlign w:val="center"/>
          </w:tcPr>
          <w:p w14:paraId="508DB441">
            <w:pPr>
              <w:jc w:val="center"/>
              <w:rPr>
                <w:rFonts w:hint="eastAsia" w:ascii="宋体" w:hAnsi="宋体" w:eastAsia="宋体" w:cs="宋体"/>
                <w:szCs w:val="21"/>
                <w:highlight w:val="none"/>
              </w:rPr>
            </w:pPr>
          </w:p>
        </w:tc>
      </w:tr>
    </w:tbl>
    <w:p w14:paraId="6B2E5AB1">
      <w:pPr>
        <w:rPr>
          <w:rFonts w:hint="eastAsia" w:ascii="宋体" w:hAnsi="宋体" w:cs="宋体"/>
          <w:b/>
          <w:szCs w:val="21"/>
          <w:highlight w:val="none"/>
        </w:rPr>
      </w:pPr>
      <w:r>
        <w:rPr>
          <w:rFonts w:hint="eastAsia" w:ascii="宋体" w:hAnsi="宋体" w:cs="宋体"/>
          <w:b/>
          <w:szCs w:val="21"/>
          <w:highlight w:val="none"/>
        </w:rPr>
        <w:t>注：1、如投标文件含正偏离和负偏离，都应说明。不填写此表视作完全响应采购文件要求。</w:t>
      </w:r>
    </w:p>
    <w:p w14:paraId="02AB4B57">
      <w:pPr>
        <w:rPr>
          <w:rFonts w:hint="eastAsia" w:ascii="宋体" w:hAnsi="宋体" w:cs="宋体"/>
          <w:b/>
          <w:szCs w:val="21"/>
          <w:highlight w:val="none"/>
        </w:rPr>
      </w:pPr>
      <w:r>
        <w:rPr>
          <w:rFonts w:hint="eastAsia" w:ascii="宋体" w:hAnsi="宋体" w:cs="宋体"/>
          <w:b/>
          <w:szCs w:val="21"/>
          <w:highlight w:val="none"/>
          <w:u w:val="single"/>
        </w:rPr>
        <w:t>2、▲不提供《技术、商务偏离表》的投标文件将被视为未实质性响应采购文件</w:t>
      </w:r>
      <w:r>
        <w:rPr>
          <w:rFonts w:hint="eastAsia" w:ascii="宋体" w:hAnsi="宋体" w:cs="宋体"/>
          <w:b/>
          <w:szCs w:val="21"/>
          <w:highlight w:val="none"/>
        </w:rPr>
        <w:t>。</w:t>
      </w:r>
    </w:p>
    <w:p w14:paraId="7D33C5DB">
      <w:pPr>
        <w:rPr>
          <w:rFonts w:hint="eastAsia" w:ascii="宋体" w:hAnsi="宋体" w:cs="宋体"/>
          <w:bCs/>
          <w:szCs w:val="21"/>
          <w:highlight w:val="none"/>
        </w:rPr>
      </w:pPr>
      <w:r>
        <w:rPr>
          <w:rFonts w:hint="eastAsia" w:ascii="宋体" w:hAnsi="宋体" w:cs="宋体"/>
          <w:bCs/>
          <w:szCs w:val="21"/>
          <w:highlight w:val="none"/>
        </w:rPr>
        <w:t>3、此表仅提供了表格形式，投标供应商应根据需要准备足够数量的表格来填写。</w:t>
      </w:r>
    </w:p>
    <w:p w14:paraId="1BBA9A4E">
      <w:pPr>
        <w:rPr>
          <w:rFonts w:hint="eastAsia" w:ascii="宋体" w:hAnsi="宋体" w:cs="宋体"/>
          <w:b/>
          <w:szCs w:val="21"/>
          <w:highlight w:val="none"/>
        </w:rPr>
      </w:pPr>
      <w:r>
        <w:rPr>
          <w:rFonts w:hint="eastAsia" w:ascii="宋体" w:hAnsi="宋体" w:cs="宋体"/>
          <w:b/>
          <w:szCs w:val="21"/>
          <w:highlight w:val="none"/>
        </w:rPr>
        <w:t>4、本表后附：采购文件第四部分采购内容及要求→“（二）技术要求”→“技术参数/规格”明确要求在投标文件中提供相应证明材料的，投标供应商须按要求提供，否则视为负偏离。</w:t>
      </w:r>
    </w:p>
    <w:p w14:paraId="19BC6EF1">
      <w:pPr>
        <w:spacing w:line="460" w:lineRule="exact"/>
        <w:ind w:firstLine="3150" w:firstLineChars="1500"/>
        <w:rPr>
          <w:rFonts w:hint="eastAsia" w:ascii="宋体" w:hAnsi="宋体" w:cs="宋体"/>
          <w:szCs w:val="21"/>
          <w:highlight w:val="none"/>
        </w:rPr>
      </w:pPr>
      <w:r>
        <w:rPr>
          <w:rFonts w:hint="eastAsia" w:ascii="宋体" w:hAnsi="宋体" w:cs="宋体"/>
          <w:szCs w:val="21"/>
          <w:highlight w:val="none"/>
        </w:rPr>
        <w:t>投标供应商全称（盖单位公章） ：</w:t>
      </w:r>
    </w:p>
    <w:p w14:paraId="3285A2B5">
      <w:pPr>
        <w:spacing w:line="460" w:lineRule="exact"/>
        <w:ind w:firstLine="420" w:firstLineChars="200"/>
        <w:rPr>
          <w:rFonts w:hint="eastAsia" w:ascii="宋体" w:hAnsi="宋体" w:cs="宋体"/>
          <w:szCs w:val="21"/>
          <w:highlight w:val="none"/>
        </w:rPr>
      </w:pPr>
      <w:r>
        <w:rPr>
          <w:rFonts w:hint="eastAsia" w:ascii="宋体" w:hAnsi="宋体" w:cs="宋体"/>
          <w:szCs w:val="21"/>
          <w:highlight w:val="none"/>
        </w:rPr>
        <w:t>法定代表人（法定负责人） 或授权代表（签字或盖章）：</w:t>
      </w:r>
    </w:p>
    <w:p w14:paraId="7170537A">
      <w:pPr>
        <w:spacing w:line="460" w:lineRule="exact"/>
        <w:ind w:firstLine="5250" w:firstLineChars="2500"/>
        <w:rPr>
          <w:rFonts w:hint="eastAsia" w:ascii="宋体" w:hAnsi="宋体" w:cs="宋体"/>
          <w:szCs w:val="21"/>
          <w:highlight w:val="none"/>
        </w:rPr>
      </w:pPr>
      <w:r>
        <w:rPr>
          <w:rFonts w:hint="eastAsia" w:ascii="宋体" w:hAnsi="宋体" w:cs="宋体"/>
          <w:szCs w:val="21"/>
          <w:highlight w:val="none"/>
        </w:rPr>
        <w:t>日期：     年  月  日</w:t>
      </w:r>
    </w:p>
    <w:p w14:paraId="1A5EA5DA">
      <w:pPr>
        <w:spacing w:line="460" w:lineRule="exact"/>
        <w:jc w:val="center"/>
        <w:rPr>
          <w:rFonts w:hint="eastAsia" w:ascii="宋体" w:hAnsi="宋体" w:cs="宋体"/>
          <w:kern w:val="1"/>
          <w:szCs w:val="21"/>
          <w:highlight w:val="none"/>
        </w:rPr>
      </w:pPr>
      <w:r>
        <w:rPr>
          <w:rFonts w:hint="eastAsia" w:ascii="宋体" w:hAnsi="宋体" w:cs="宋体"/>
          <w:kern w:val="1"/>
          <w:szCs w:val="21"/>
          <w:highlight w:val="none"/>
        </w:rPr>
        <w:br w:type="page"/>
      </w:r>
      <w:r>
        <w:rPr>
          <w:rFonts w:hint="eastAsia" w:ascii="宋体" w:hAnsi="宋体" w:cs="宋体"/>
          <w:kern w:val="1"/>
          <w:szCs w:val="21"/>
          <w:highlight w:val="none"/>
        </w:rPr>
        <w:t>“技术参数/规格偏离”索引表</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2"/>
        <w:gridCol w:w="7137"/>
        <w:gridCol w:w="903"/>
        <w:gridCol w:w="879"/>
      </w:tblGrid>
      <w:tr w14:paraId="574E1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52" w:type="dxa"/>
            <w:noWrap w:val="0"/>
            <w:vAlign w:val="center"/>
          </w:tcPr>
          <w:p w14:paraId="645B8AD3">
            <w:pPr>
              <w:jc w:val="center"/>
              <w:rPr>
                <w:rFonts w:ascii="宋体" w:hAnsi="宋体" w:eastAsia="宋体" w:cs="宋体"/>
                <w:szCs w:val="21"/>
                <w:highlight w:val="none"/>
              </w:rPr>
            </w:pPr>
            <w:r>
              <w:rPr>
                <w:rFonts w:hint="eastAsia" w:ascii="宋体" w:hAnsi="宋体" w:eastAsia="宋体" w:cs="宋体"/>
                <w:szCs w:val="21"/>
                <w:highlight w:val="none"/>
              </w:rPr>
              <w:t>序号</w:t>
            </w:r>
          </w:p>
        </w:tc>
        <w:tc>
          <w:tcPr>
            <w:tcW w:w="7137" w:type="dxa"/>
            <w:noWrap w:val="0"/>
            <w:vAlign w:val="center"/>
          </w:tcPr>
          <w:p w14:paraId="1B9A6287">
            <w:pPr>
              <w:jc w:val="center"/>
              <w:rPr>
                <w:rFonts w:ascii="宋体" w:hAnsi="宋体" w:eastAsia="宋体" w:cs="宋体"/>
                <w:szCs w:val="21"/>
                <w:highlight w:val="none"/>
              </w:rPr>
            </w:pPr>
            <w:r>
              <w:rPr>
                <w:rFonts w:hint="eastAsia" w:ascii="宋体" w:hAnsi="宋体" w:eastAsia="宋体" w:cs="宋体"/>
                <w:szCs w:val="21"/>
                <w:highlight w:val="none"/>
              </w:rPr>
              <w:t>采购要求</w:t>
            </w:r>
          </w:p>
        </w:tc>
        <w:tc>
          <w:tcPr>
            <w:tcW w:w="903" w:type="dxa"/>
            <w:noWrap w:val="0"/>
            <w:vAlign w:val="center"/>
          </w:tcPr>
          <w:p w14:paraId="4A218CD9">
            <w:pPr>
              <w:jc w:val="center"/>
              <w:rPr>
                <w:rFonts w:ascii="宋体" w:hAnsi="宋体" w:eastAsia="宋体" w:cs="宋体"/>
                <w:szCs w:val="21"/>
                <w:highlight w:val="none"/>
              </w:rPr>
            </w:pPr>
            <w:r>
              <w:rPr>
                <w:rFonts w:hint="eastAsia" w:ascii="宋体" w:hAnsi="宋体" w:eastAsia="宋体" w:cs="宋体"/>
                <w:szCs w:val="21"/>
                <w:highlight w:val="none"/>
              </w:rPr>
              <w:t>是否带</w:t>
            </w:r>
            <w:r>
              <w:rPr>
                <w:rFonts w:hint="eastAsia" w:ascii="宋体" w:hAnsi="宋体" w:eastAsia="宋体" w:cs="宋体"/>
                <w:kern w:val="1"/>
                <w:szCs w:val="21"/>
                <w:highlight w:val="none"/>
              </w:rPr>
              <w:t>★</w:t>
            </w:r>
            <w:r>
              <w:rPr>
                <w:rFonts w:hint="eastAsia" w:ascii="宋体" w:hAnsi="宋体" w:eastAsia="宋体" w:cs="宋体"/>
                <w:szCs w:val="21"/>
                <w:highlight w:val="none"/>
              </w:rPr>
              <w:t>条款</w:t>
            </w:r>
          </w:p>
        </w:tc>
        <w:tc>
          <w:tcPr>
            <w:tcW w:w="879" w:type="dxa"/>
            <w:noWrap w:val="0"/>
            <w:vAlign w:val="center"/>
          </w:tcPr>
          <w:p w14:paraId="39CB1F04">
            <w:pPr>
              <w:jc w:val="center"/>
              <w:rPr>
                <w:rFonts w:ascii="宋体" w:hAnsi="宋体" w:eastAsia="宋体" w:cs="宋体"/>
                <w:szCs w:val="21"/>
                <w:highlight w:val="none"/>
              </w:rPr>
            </w:pPr>
            <w:r>
              <w:rPr>
                <w:rFonts w:hint="eastAsia" w:ascii="宋体" w:hAnsi="宋体" w:eastAsia="宋体" w:cs="宋体"/>
                <w:szCs w:val="21"/>
                <w:highlight w:val="none"/>
              </w:rPr>
              <w:t>证明材料页码</w:t>
            </w:r>
          </w:p>
        </w:tc>
      </w:tr>
      <w:tr w14:paraId="5C036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noWrap w:val="0"/>
            <w:vAlign w:val="center"/>
          </w:tcPr>
          <w:p w14:paraId="7A1D3E12">
            <w:pPr>
              <w:jc w:val="center"/>
              <w:rPr>
                <w:rFonts w:ascii="宋体" w:hAnsi="宋体" w:eastAsia="宋体" w:cs="宋体"/>
                <w:kern w:val="1"/>
                <w:szCs w:val="21"/>
                <w:highlight w:val="none"/>
              </w:rPr>
            </w:pPr>
            <w:r>
              <w:rPr>
                <w:rFonts w:hint="eastAsia" w:ascii="宋体" w:hAnsi="宋体" w:eastAsia="宋体" w:cs="宋体"/>
                <w:kern w:val="1"/>
                <w:szCs w:val="21"/>
                <w:highlight w:val="none"/>
              </w:rPr>
              <w:t>1</w:t>
            </w:r>
          </w:p>
        </w:tc>
        <w:tc>
          <w:tcPr>
            <w:tcW w:w="7137" w:type="dxa"/>
            <w:noWrap w:val="0"/>
            <w:vAlign w:val="center"/>
          </w:tcPr>
          <w:p w14:paraId="3670A92D">
            <w:pPr>
              <w:jc w:val="left"/>
              <w:rPr>
                <w:rFonts w:ascii="宋体" w:hAnsi="宋体" w:eastAsia="宋体" w:cs="宋体"/>
                <w:kern w:val="1"/>
                <w:szCs w:val="21"/>
                <w:highlight w:val="none"/>
              </w:rPr>
            </w:pPr>
            <w:r>
              <w:rPr>
                <w:rFonts w:hint="eastAsia" w:ascii="宋体" w:hAnsi="宋体" w:eastAsia="宋体" w:cs="宋体"/>
                <w:kern w:val="1"/>
                <w:szCs w:val="21"/>
                <w:highlight w:val="none"/>
              </w:rPr>
              <w:t>一、超融合集成服务→一、要求→2、★</w:t>
            </w:r>
            <w:r>
              <w:rPr>
                <w:rFonts w:hint="eastAsia" w:ascii="宋体" w:hAnsi="宋体" w:eastAsia="宋体" w:cs="宋体"/>
                <w:kern w:val="1"/>
                <w:szCs w:val="21"/>
                <w:highlight w:val="none"/>
                <w:lang w:eastAsia="zh-CN"/>
              </w:rPr>
              <w:t>软件要求自主可控</w:t>
            </w:r>
            <w:r>
              <w:rPr>
                <w:rFonts w:hint="eastAsia" w:ascii="宋体" w:hAnsi="宋体" w:eastAsia="宋体" w:cs="宋体"/>
                <w:kern w:val="1"/>
                <w:szCs w:val="21"/>
                <w:highlight w:val="none"/>
              </w:rPr>
              <w:t>，投标产品代码自主率（行数）大于95%。同时为保证检测产品的代码完整性，要求代码检测量在100万以上，非特殊裁剪版本（投标文件中提供第三方权威机构测试报告扫描件或复印件（加盖投标供应商公章））；</w:t>
            </w:r>
          </w:p>
        </w:tc>
        <w:tc>
          <w:tcPr>
            <w:tcW w:w="903" w:type="dxa"/>
            <w:noWrap w:val="0"/>
            <w:vAlign w:val="center"/>
          </w:tcPr>
          <w:p w14:paraId="4ECE3988">
            <w:pPr>
              <w:jc w:val="center"/>
              <w:rPr>
                <w:rFonts w:ascii="宋体" w:hAnsi="宋体" w:eastAsia="宋体" w:cs="宋体"/>
                <w:kern w:val="1"/>
                <w:szCs w:val="21"/>
                <w:highlight w:val="none"/>
              </w:rPr>
            </w:pPr>
            <w:r>
              <w:rPr>
                <w:rFonts w:hint="eastAsia" w:ascii="宋体" w:hAnsi="宋体" w:eastAsia="宋体" w:cs="宋体"/>
                <w:kern w:val="1"/>
                <w:szCs w:val="21"/>
                <w:highlight w:val="none"/>
              </w:rPr>
              <w:t>是</w:t>
            </w:r>
          </w:p>
        </w:tc>
        <w:tc>
          <w:tcPr>
            <w:tcW w:w="879" w:type="dxa"/>
            <w:noWrap w:val="0"/>
            <w:vAlign w:val="top"/>
          </w:tcPr>
          <w:p w14:paraId="58F6B51E">
            <w:pPr>
              <w:jc w:val="center"/>
              <w:rPr>
                <w:rFonts w:hint="eastAsia" w:ascii="宋体" w:hAnsi="宋体" w:eastAsia="宋体" w:cs="宋体"/>
                <w:kern w:val="1"/>
                <w:szCs w:val="21"/>
                <w:highlight w:val="none"/>
              </w:rPr>
            </w:pPr>
          </w:p>
        </w:tc>
      </w:tr>
      <w:tr w14:paraId="4DB9D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652" w:type="dxa"/>
            <w:noWrap w:val="0"/>
            <w:vAlign w:val="center"/>
          </w:tcPr>
          <w:p w14:paraId="66606FE2">
            <w:pPr>
              <w:jc w:val="center"/>
              <w:rPr>
                <w:rFonts w:ascii="宋体" w:hAnsi="宋体" w:eastAsia="宋体" w:cs="宋体"/>
                <w:kern w:val="1"/>
                <w:szCs w:val="21"/>
                <w:highlight w:val="none"/>
              </w:rPr>
            </w:pPr>
            <w:r>
              <w:rPr>
                <w:rFonts w:hint="eastAsia" w:ascii="宋体" w:hAnsi="宋体" w:eastAsia="宋体" w:cs="宋体"/>
                <w:kern w:val="1"/>
                <w:szCs w:val="21"/>
                <w:highlight w:val="none"/>
              </w:rPr>
              <w:t>2</w:t>
            </w:r>
          </w:p>
        </w:tc>
        <w:tc>
          <w:tcPr>
            <w:tcW w:w="7137" w:type="dxa"/>
            <w:noWrap w:val="0"/>
            <w:vAlign w:val="center"/>
          </w:tcPr>
          <w:p w14:paraId="2E3A392B">
            <w:pPr>
              <w:jc w:val="left"/>
              <w:rPr>
                <w:rFonts w:ascii="宋体" w:hAnsi="宋体" w:eastAsia="宋体" w:cs="宋体"/>
                <w:kern w:val="1"/>
                <w:szCs w:val="21"/>
                <w:highlight w:val="none"/>
              </w:rPr>
            </w:pPr>
            <w:r>
              <w:rPr>
                <w:rFonts w:hint="eastAsia" w:ascii="宋体" w:hAnsi="宋体" w:eastAsia="宋体" w:cs="宋体"/>
                <w:kern w:val="1"/>
                <w:szCs w:val="21"/>
                <w:highlight w:val="none"/>
              </w:rPr>
              <w:t>一、超融合集成服务→二、超融合管理平台需求→5、★物理交换机管理：支持纳管、配置和监控物理交换机设备。验证超融合管理平台界面设置物理交换机LLDP功能开关、端口聚合等；超融合管理界面查看物理交换机各个端口VLAN ID、连接状态、速率、光模块类型和匹配状态等信息（投标文件中提供第三方权威机构测试报告扫描件或复印件（加盖投标供应商公章））；</w:t>
            </w:r>
          </w:p>
        </w:tc>
        <w:tc>
          <w:tcPr>
            <w:tcW w:w="903" w:type="dxa"/>
            <w:noWrap w:val="0"/>
            <w:vAlign w:val="center"/>
          </w:tcPr>
          <w:p w14:paraId="4A794F83">
            <w:pPr>
              <w:jc w:val="center"/>
              <w:rPr>
                <w:rFonts w:ascii="宋体" w:hAnsi="宋体" w:eastAsia="宋体" w:cs="宋体"/>
                <w:kern w:val="1"/>
                <w:szCs w:val="21"/>
                <w:highlight w:val="none"/>
              </w:rPr>
            </w:pPr>
            <w:r>
              <w:rPr>
                <w:rFonts w:hint="eastAsia" w:ascii="宋体" w:hAnsi="宋体" w:eastAsia="宋体" w:cs="宋体"/>
                <w:kern w:val="1"/>
                <w:szCs w:val="21"/>
                <w:highlight w:val="none"/>
              </w:rPr>
              <w:t>是</w:t>
            </w:r>
          </w:p>
        </w:tc>
        <w:tc>
          <w:tcPr>
            <w:tcW w:w="879" w:type="dxa"/>
            <w:noWrap w:val="0"/>
            <w:vAlign w:val="top"/>
          </w:tcPr>
          <w:p w14:paraId="62917EC7">
            <w:pPr>
              <w:jc w:val="center"/>
              <w:rPr>
                <w:rFonts w:hint="eastAsia" w:ascii="宋体" w:hAnsi="宋体" w:eastAsia="宋体" w:cs="宋体"/>
                <w:kern w:val="1"/>
                <w:szCs w:val="21"/>
                <w:highlight w:val="none"/>
              </w:rPr>
            </w:pPr>
          </w:p>
        </w:tc>
      </w:tr>
      <w:tr w14:paraId="25E29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noWrap w:val="0"/>
            <w:vAlign w:val="center"/>
          </w:tcPr>
          <w:p w14:paraId="02571E9E">
            <w:pPr>
              <w:jc w:val="center"/>
              <w:rPr>
                <w:rFonts w:ascii="宋体" w:hAnsi="宋体" w:eastAsia="宋体" w:cs="宋体"/>
                <w:kern w:val="1"/>
                <w:szCs w:val="21"/>
                <w:highlight w:val="none"/>
              </w:rPr>
            </w:pPr>
            <w:r>
              <w:rPr>
                <w:rFonts w:hint="eastAsia" w:ascii="宋体" w:hAnsi="宋体" w:eastAsia="宋体" w:cs="宋体"/>
                <w:kern w:val="1"/>
                <w:szCs w:val="21"/>
                <w:highlight w:val="none"/>
              </w:rPr>
              <w:t>3</w:t>
            </w:r>
          </w:p>
        </w:tc>
        <w:tc>
          <w:tcPr>
            <w:tcW w:w="7137" w:type="dxa"/>
            <w:noWrap w:val="0"/>
            <w:vAlign w:val="top"/>
          </w:tcPr>
          <w:p w14:paraId="490AC620">
            <w:pPr>
              <w:jc w:val="left"/>
              <w:rPr>
                <w:rFonts w:hint="eastAsia" w:ascii="宋体" w:hAnsi="宋体" w:eastAsia="宋体" w:cs="宋体"/>
                <w:kern w:val="1"/>
                <w:szCs w:val="21"/>
                <w:highlight w:val="none"/>
              </w:rPr>
            </w:pPr>
            <w:r>
              <w:rPr>
                <w:rFonts w:hint="eastAsia" w:ascii="宋体" w:hAnsi="宋体" w:eastAsia="宋体" w:cs="宋体"/>
                <w:kern w:val="1"/>
                <w:szCs w:val="21"/>
                <w:highlight w:val="none"/>
              </w:rPr>
              <w:t>一、超融合集成服务→三、Vmware管理→3、★VMware高速迁移：支持VMware高速迁移功能，VMware虚机迁移速度超过1.6 GB/s（投标文件中提供第三方权威机构测试报告扫描件或复印件（加盖投标供应商公章））；</w:t>
            </w:r>
          </w:p>
        </w:tc>
        <w:tc>
          <w:tcPr>
            <w:tcW w:w="903" w:type="dxa"/>
            <w:noWrap w:val="0"/>
            <w:vAlign w:val="center"/>
          </w:tcPr>
          <w:p w14:paraId="607A9A11">
            <w:pPr>
              <w:jc w:val="center"/>
              <w:rPr>
                <w:rFonts w:ascii="宋体" w:hAnsi="宋体" w:eastAsia="宋体" w:cs="宋体"/>
                <w:kern w:val="1"/>
                <w:szCs w:val="21"/>
                <w:highlight w:val="none"/>
              </w:rPr>
            </w:pPr>
            <w:r>
              <w:rPr>
                <w:rFonts w:hint="eastAsia" w:ascii="宋体" w:hAnsi="宋体" w:eastAsia="宋体" w:cs="宋体"/>
                <w:kern w:val="1"/>
                <w:szCs w:val="21"/>
                <w:highlight w:val="none"/>
              </w:rPr>
              <w:t>是</w:t>
            </w:r>
          </w:p>
        </w:tc>
        <w:tc>
          <w:tcPr>
            <w:tcW w:w="879" w:type="dxa"/>
            <w:noWrap w:val="0"/>
            <w:vAlign w:val="top"/>
          </w:tcPr>
          <w:p w14:paraId="47626E06">
            <w:pPr>
              <w:jc w:val="center"/>
              <w:rPr>
                <w:rFonts w:hint="eastAsia" w:ascii="宋体" w:hAnsi="宋体" w:eastAsia="宋体" w:cs="宋体"/>
                <w:kern w:val="1"/>
                <w:szCs w:val="21"/>
                <w:highlight w:val="none"/>
              </w:rPr>
            </w:pPr>
          </w:p>
        </w:tc>
      </w:tr>
      <w:tr w14:paraId="18F14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noWrap w:val="0"/>
            <w:vAlign w:val="center"/>
          </w:tcPr>
          <w:p w14:paraId="1E159113">
            <w:pPr>
              <w:jc w:val="center"/>
              <w:rPr>
                <w:rFonts w:ascii="宋体" w:hAnsi="宋体" w:eastAsia="宋体" w:cs="宋体"/>
                <w:kern w:val="1"/>
                <w:szCs w:val="21"/>
                <w:highlight w:val="none"/>
              </w:rPr>
            </w:pPr>
            <w:r>
              <w:rPr>
                <w:rFonts w:hint="eastAsia" w:ascii="宋体" w:hAnsi="宋体" w:eastAsia="宋体" w:cs="宋体"/>
                <w:kern w:val="1"/>
                <w:szCs w:val="21"/>
                <w:highlight w:val="none"/>
              </w:rPr>
              <w:t>4</w:t>
            </w:r>
          </w:p>
        </w:tc>
        <w:tc>
          <w:tcPr>
            <w:tcW w:w="7137" w:type="dxa"/>
            <w:noWrap w:val="0"/>
            <w:vAlign w:val="top"/>
          </w:tcPr>
          <w:p w14:paraId="15E0FBB6">
            <w:pPr>
              <w:jc w:val="left"/>
              <w:rPr>
                <w:rFonts w:hint="eastAsia" w:ascii="宋体" w:hAnsi="宋体" w:eastAsia="宋体" w:cs="宋体"/>
                <w:kern w:val="1"/>
                <w:sz w:val="21"/>
                <w:szCs w:val="21"/>
                <w:highlight w:val="none"/>
                <w:lang w:val="en-US" w:eastAsia="zh-CN" w:bidi="ar-SA"/>
              </w:rPr>
            </w:pPr>
            <w:r>
              <w:rPr>
                <w:rFonts w:hint="eastAsia" w:ascii="宋体" w:hAnsi="宋体" w:eastAsia="宋体" w:cs="宋体"/>
                <w:kern w:val="1"/>
                <w:szCs w:val="21"/>
                <w:highlight w:val="none"/>
              </w:rPr>
              <w:t>一、超融合集成服务→四、计算虚拟化→6、★细粒度DRS：支持集群动态资源调度功能，可基于主机的CPU利用率、内存利用率、磁盘I/O、存储利用率、磁盘请求、网络流量等资源对虚拟机进行动态资源调度，实现自动化的存储资源分配和负载均衡功能，主动确保云环境的服务水平，为业务系统提供健康可用的资源环境（投标文件中提供第三方权威机构测试报告扫描件或复印件（加盖投标供应商公章））；</w:t>
            </w:r>
          </w:p>
        </w:tc>
        <w:tc>
          <w:tcPr>
            <w:tcW w:w="903" w:type="dxa"/>
            <w:noWrap w:val="0"/>
            <w:vAlign w:val="center"/>
          </w:tcPr>
          <w:p w14:paraId="78B23F8D">
            <w:pPr>
              <w:jc w:val="center"/>
              <w:rPr>
                <w:rFonts w:hint="eastAsia" w:ascii="宋体" w:hAnsi="宋体" w:eastAsia="宋体" w:cs="宋体"/>
                <w:kern w:val="1"/>
                <w:szCs w:val="21"/>
                <w:highlight w:val="none"/>
              </w:rPr>
            </w:pPr>
            <w:r>
              <w:rPr>
                <w:rFonts w:hint="eastAsia" w:ascii="宋体" w:hAnsi="宋体" w:eastAsia="宋体" w:cs="宋体"/>
                <w:kern w:val="1"/>
                <w:szCs w:val="21"/>
                <w:highlight w:val="none"/>
              </w:rPr>
              <w:t>是</w:t>
            </w:r>
          </w:p>
        </w:tc>
        <w:tc>
          <w:tcPr>
            <w:tcW w:w="879" w:type="dxa"/>
            <w:noWrap w:val="0"/>
            <w:vAlign w:val="top"/>
          </w:tcPr>
          <w:p w14:paraId="2AB4130D">
            <w:pPr>
              <w:jc w:val="center"/>
              <w:rPr>
                <w:rFonts w:hint="eastAsia" w:ascii="宋体" w:hAnsi="宋体" w:eastAsia="宋体" w:cs="宋体"/>
                <w:kern w:val="1"/>
                <w:szCs w:val="21"/>
                <w:highlight w:val="none"/>
              </w:rPr>
            </w:pPr>
          </w:p>
        </w:tc>
      </w:tr>
      <w:tr w14:paraId="5F0B5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noWrap w:val="0"/>
            <w:vAlign w:val="center"/>
          </w:tcPr>
          <w:p w14:paraId="1AC09B15">
            <w:pPr>
              <w:jc w:val="center"/>
              <w:rPr>
                <w:rFonts w:ascii="宋体" w:hAnsi="宋体" w:eastAsia="宋体" w:cs="宋体"/>
                <w:kern w:val="1"/>
                <w:szCs w:val="21"/>
                <w:highlight w:val="none"/>
              </w:rPr>
            </w:pPr>
            <w:r>
              <w:rPr>
                <w:rFonts w:hint="eastAsia" w:ascii="宋体" w:hAnsi="宋体" w:eastAsia="宋体" w:cs="宋体"/>
                <w:kern w:val="1"/>
                <w:szCs w:val="21"/>
                <w:highlight w:val="none"/>
              </w:rPr>
              <w:t>5</w:t>
            </w:r>
          </w:p>
        </w:tc>
        <w:tc>
          <w:tcPr>
            <w:tcW w:w="7137" w:type="dxa"/>
            <w:noWrap w:val="0"/>
            <w:vAlign w:val="top"/>
          </w:tcPr>
          <w:p w14:paraId="38E7B369">
            <w:pPr>
              <w:jc w:val="left"/>
              <w:rPr>
                <w:rFonts w:hint="eastAsia" w:ascii="宋体" w:hAnsi="宋体" w:eastAsia="宋体" w:cs="宋体"/>
                <w:kern w:val="1"/>
                <w:szCs w:val="21"/>
                <w:highlight w:val="none"/>
              </w:rPr>
            </w:pPr>
            <w:r>
              <w:rPr>
                <w:rFonts w:hint="eastAsia" w:ascii="宋体" w:hAnsi="宋体" w:eastAsia="宋体" w:cs="宋体"/>
                <w:kern w:val="1"/>
                <w:szCs w:val="21"/>
                <w:highlight w:val="none"/>
              </w:rPr>
              <w:t>一、超融合集成服务→五、存储虚拟化→5、★高性能纠删码：支持纠删码特性，支持N+1到N+4的纠删码保护，最大支持任意4个节点故障而数据不丢失、系统不停机（投标文件中提供第三方权威机构测试报告扫描件或复印件（加盖投标供应商公章））；</w:t>
            </w:r>
          </w:p>
        </w:tc>
        <w:tc>
          <w:tcPr>
            <w:tcW w:w="903" w:type="dxa"/>
            <w:noWrap w:val="0"/>
            <w:vAlign w:val="center"/>
          </w:tcPr>
          <w:p w14:paraId="33229DAA">
            <w:pPr>
              <w:jc w:val="center"/>
              <w:rPr>
                <w:rFonts w:hint="eastAsia" w:ascii="宋体" w:hAnsi="宋体" w:eastAsia="宋体" w:cs="宋体"/>
                <w:kern w:val="1"/>
                <w:szCs w:val="21"/>
                <w:highlight w:val="none"/>
              </w:rPr>
            </w:pPr>
            <w:r>
              <w:rPr>
                <w:rFonts w:hint="eastAsia" w:ascii="宋体" w:hAnsi="宋体" w:eastAsia="宋体" w:cs="宋体"/>
                <w:kern w:val="1"/>
                <w:szCs w:val="21"/>
                <w:highlight w:val="none"/>
              </w:rPr>
              <w:t>是</w:t>
            </w:r>
          </w:p>
        </w:tc>
        <w:tc>
          <w:tcPr>
            <w:tcW w:w="879" w:type="dxa"/>
            <w:noWrap w:val="0"/>
            <w:vAlign w:val="top"/>
          </w:tcPr>
          <w:p w14:paraId="363AC091">
            <w:pPr>
              <w:jc w:val="center"/>
              <w:rPr>
                <w:rFonts w:hint="eastAsia" w:ascii="宋体" w:hAnsi="宋体" w:eastAsia="宋体" w:cs="宋体"/>
                <w:kern w:val="1"/>
                <w:szCs w:val="21"/>
                <w:highlight w:val="none"/>
              </w:rPr>
            </w:pPr>
          </w:p>
        </w:tc>
      </w:tr>
      <w:tr w14:paraId="755FA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noWrap w:val="0"/>
            <w:vAlign w:val="center"/>
          </w:tcPr>
          <w:p w14:paraId="04F34B08">
            <w:pPr>
              <w:jc w:val="center"/>
              <w:rPr>
                <w:rFonts w:ascii="宋体" w:hAnsi="宋体" w:eastAsia="宋体" w:cs="宋体"/>
                <w:kern w:val="1"/>
                <w:szCs w:val="21"/>
                <w:highlight w:val="none"/>
              </w:rPr>
            </w:pPr>
            <w:r>
              <w:rPr>
                <w:rFonts w:hint="eastAsia" w:ascii="宋体" w:hAnsi="宋体" w:eastAsia="宋体" w:cs="宋体"/>
                <w:kern w:val="1"/>
                <w:szCs w:val="21"/>
                <w:highlight w:val="none"/>
              </w:rPr>
              <w:t>6</w:t>
            </w:r>
          </w:p>
        </w:tc>
        <w:tc>
          <w:tcPr>
            <w:tcW w:w="7137" w:type="dxa"/>
            <w:noWrap w:val="0"/>
            <w:vAlign w:val="top"/>
          </w:tcPr>
          <w:p w14:paraId="7D7FD8AC">
            <w:pPr>
              <w:rPr>
                <w:rFonts w:ascii="宋体" w:hAnsi="宋体" w:eastAsia="宋体" w:cs="宋体"/>
                <w:kern w:val="1"/>
                <w:szCs w:val="21"/>
                <w:highlight w:val="none"/>
              </w:rPr>
            </w:pPr>
            <w:r>
              <w:rPr>
                <w:rFonts w:hint="eastAsia" w:ascii="宋体" w:hAnsi="宋体" w:eastAsia="宋体" w:cs="宋体"/>
                <w:kern w:val="1"/>
                <w:szCs w:val="21"/>
                <w:highlight w:val="none"/>
              </w:rPr>
              <w:t>一、超融合集成服务→六、网络虚拟化→2、★网络拓扑：在管理平台上可以通过拖拽虚拟设备图标和连线就能完成网络拓扑的构建，快速的实现整个业务逻辑，并且可以连接、开启、关闭虚拟网络设备，支持对整个平台虚拟设备实现统一的管理，提升运维管理的工作效率（投标文件中提供第三方权威机构测试报告扫描件或复印件（加盖投标供应商公章））；</w:t>
            </w:r>
          </w:p>
        </w:tc>
        <w:tc>
          <w:tcPr>
            <w:tcW w:w="903" w:type="dxa"/>
            <w:noWrap w:val="0"/>
            <w:vAlign w:val="center"/>
          </w:tcPr>
          <w:p w14:paraId="65702F0F">
            <w:pPr>
              <w:jc w:val="center"/>
              <w:rPr>
                <w:rFonts w:ascii="宋体" w:hAnsi="宋体" w:eastAsia="宋体" w:cs="宋体"/>
                <w:kern w:val="1"/>
                <w:szCs w:val="21"/>
                <w:highlight w:val="none"/>
              </w:rPr>
            </w:pPr>
            <w:r>
              <w:rPr>
                <w:rFonts w:hint="eastAsia" w:ascii="宋体" w:hAnsi="宋体" w:eastAsia="宋体" w:cs="宋体"/>
                <w:kern w:val="1"/>
                <w:szCs w:val="21"/>
                <w:highlight w:val="none"/>
              </w:rPr>
              <w:t>是</w:t>
            </w:r>
          </w:p>
        </w:tc>
        <w:tc>
          <w:tcPr>
            <w:tcW w:w="879" w:type="dxa"/>
            <w:noWrap w:val="0"/>
            <w:vAlign w:val="top"/>
          </w:tcPr>
          <w:p w14:paraId="3B5319B4">
            <w:pPr>
              <w:jc w:val="center"/>
              <w:rPr>
                <w:rFonts w:hint="eastAsia" w:ascii="宋体" w:hAnsi="宋体" w:eastAsia="宋体" w:cs="宋体"/>
                <w:kern w:val="1"/>
                <w:szCs w:val="21"/>
                <w:highlight w:val="none"/>
              </w:rPr>
            </w:pPr>
          </w:p>
        </w:tc>
      </w:tr>
      <w:tr w14:paraId="27DBD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noWrap w:val="0"/>
            <w:vAlign w:val="center"/>
          </w:tcPr>
          <w:p w14:paraId="09360AA6">
            <w:pPr>
              <w:jc w:val="center"/>
              <w:rPr>
                <w:rFonts w:ascii="宋体" w:hAnsi="宋体" w:eastAsia="宋体" w:cs="宋体"/>
                <w:kern w:val="1"/>
                <w:szCs w:val="21"/>
                <w:highlight w:val="none"/>
              </w:rPr>
            </w:pPr>
            <w:r>
              <w:rPr>
                <w:rFonts w:hint="eastAsia" w:ascii="宋体" w:hAnsi="宋体" w:eastAsia="宋体" w:cs="宋体"/>
                <w:kern w:val="1"/>
                <w:szCs w:val="21"/>
                <w:highlight w:val="none"/>
              </w:rPr>
              <w:t>7</w:t>
            </w:r>
          </w:p>
        </w:tc>
        <w:tc>
          <w:tcPr>
            <w:tcW w:w="7137" w:type="dxa"/>
            <w:noWrap w:val="0"/>
            <w:vAlign w:val="top"/>
          </w:tcPr>
          <w:p w14:paraId="7D9530C5">
            <w:pPr>
              <w:jc w:val="left"/>
              <w:rPr>
                <w:rFonts w:ascii="宋体" w:hAnsi="宋体" w:eastAsia="宋体" w:cs="宋体"/>
                <w:kern w:val="1"/>
                <w:szCs w:val="21"/>
                <w:highlight w:val="none"/>
              </w:rPr>
            </w:pPr>
            <w:r>
              <w:rPr>
                <w:rFonts w:hint="eastAsia" w:ascii="宋体" w:hAnsi="宋体" w:eastAsia="宋体" w:cs="宋体"/>
                <w:kern w:val="1"/>
                <w:szCs w:val="21"/>
                <w:highlight w:val="none"/>
                <w:lang w:val="en-US" w:eastAsia="zh-CN"/>
              </w:rPr>
              <w:t>二</w:t>
            </w:r>
            <w:r>
              <w:rPr>
                <w:rFonts w:hint="eastAsia" w:ascii="宋体" w:hAnsi="宋体" w:eastAsia="宋体" w:cs="宋体"/>
                <w:kern w:val="1"/>
                <w:szCs w:val="21"/>
                <w:highlight w:val="none"/>
              </w:rPr>
              <w:t>、计算虚拟化软件集成服务→2、★主机自治：验证计算虚拟化管理平台不可用期间，主机可以管理自身的虚拟机，保障业务正常运行（投标文件中提供第三方权威机构测试报告扫描件或复印件（加盖投标供应商公章））；</w:t>
            </w:r>
          </w:p>
        </w:tc>
        <w:tc>
          <w:tcPr>
            <w:tcW w:w="903" w:type="dxa"/>
            <w:noWrap w:val="0"/>
            <w:vAlign w:val="center"/>
          </w:tcPr>
          <w:p w14:paraId="101E8956">
            <w:pPr>
              <w:jc w:val="center"/>
              <w:rPr>
                <w:rFonts w:hint="eastAsia" w:ascii="宋体" w:hAnsi="宋体" w:eastAsia="宋体" w:cs="宋体"/>
                <w:kern w:val="1"/>
                <w:szCs w:val="21"/>
                <w:highlight w:val="none"/>
              </w:rPr>
            </w:pPr>
            <w:r>
              <w:rPr>
                <w:rFonts w:hint="eastAsia" w:ascii="宋体" w:hAnsi="宋体" w:eastAsia="宋体" w:cs="宋体"/>
                <w:kern w:val="1"/>
                <w:szCs w:val="21"/>
                <w:highlight w:val="none"/>
              </w:rPr>
              <w:t>是</w:t>
            </w:r>
          </w:p>
        </w:tc>
        <w:tc>
          <w:tcPr>
            <w:tcW w:w="879" w:type="dxa"/>
            <w:noWrap w:val="0"/>
            <w:vAlign w:val="top"/>
          </w:tcPr>
          <w:p w14:paraId="1BB970D4">
            <w:pPr>
              <w:jc w:val="center"/>
              <w:rPr>
                <w:rFonts w:hint="eastAsia" w:ascii="宋体" w:hAnsi="宋体" w:eastAsia="宋体" w:cs="宋体"/>
                <w:kern w:val="1"/>
                <w:szCs w:val="21"/>
                <w:highlight w:val="none"/>
              </w:rPr>
            </w:pPr>
          </w:p>
        </w:tc>
      </w:tr>
      <w:tr w14:paraId="31A3D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noWrap w:val="0"/>
            <w:vAlign w:val="center"/>
          </w:tcPr>
          <w:p w14:paraId="2464B4D8">
            <w:pPr>
              <w:jc w:val="center"/>
              <w:rPr>
                <w:rFonts w:ascii="宋体" w:hAnsi="宋体" w:eastAsia="宋体" w:cs="宋体"/>
                <w:kern w:val="1"/>
                <w:szCs w:val="21"/>
                <w:highlight w:val="none"/>
              </w:rPr>
            </w:pPr>
            <w:r>
              <w:rPr>
                <w:rFonts w:hint="eastAsia" w:ascii="宋体" w:hAnsi="宋体" w:eastAsia="宋体" w:cs="宋体"/>
                <w:kern w:val="1"/>
                <w:szCs w:val="21"/>
                <w:highlight w:val="none"/>
              </w:rPr>
              <w:t>8</w:t>
            </w:r>
          </w:p>
        </w:tc>
        <w:tc>
          <w:tcPr>
            <w:tcW w:w="7137" w:type="dxa"/>
            <w:noWrap w:val="0"/>
            <w:vAlign w:val="top"/>
          </w:tcPr>
          <w:p w14:paraId="25854EF1">
            <w:pPr>
              <w:jc w:val="left"/>
              <w:rPr>
                <w:rFonts w:hint="eastAsia" w:ascii="宋体" w:hAnsi="宋体" w:eastAsia="宋体" w:cs="宋体"/>
                <w:kern w:val="1"/>
                <w:szCs w:val="21"/>
                <w:highlight w:val="none"/>
              </w:rPr>
            </w:pPr>
            <w:r>
              <w:rPr>
                <w:rFonts w:hint="eastAsia" w:ascii="宋体" w:hAnsi="宋体" w:eastAsia="宋体" w:cs="宋体"/>
                <w:kern w:val="1"/>
                <w:szCs w:val="21"/>
                <w:highlight w:val="none"/>
                <w:lang w:val="en-US" w:eastAsia="zh-CN"/>
              </w:rPr>
              <w:t>二</w:t>
            </w:r>
            <w:r>
              <w:rPr>
                <w:rFonts w:hint="eastAsia" w:ascii="宋体" w:hAnsi="宋体" w:eastAsia="宋体" w:cs="宋体"/>
                <w:kern w:val="1"/>
                <w:szCs w:val="21"/>
                <w:highlight w:val="none"/>
              </w:rPr>
              <w:t>、计算虚拟化软件集成服务→8、★故障级联诊断：支持故障级联诊断功能，虚拟化平台通过智能分析技术，对虚拟化环境中的虚拟机、主机、集群等资源的异常事件进行关联分析，快速定位故障原因，提升故障定位效率及整体系统可靠性（投标文件中提供第三方权威机构测试报告扫描件或复印件（加盖投标供应商公章））；</w:t>
            </w:r>
          </w:p>
        </w:tc>
        <w:tc>
          <w:tcPr>
            <w:tcW w:w="903" w:type="dxa"/>
            <w:noWrap w:val="0"/>
            <w:vAlign w:val="center"/>
          </w:tcPr>
          <w:p w14:paraId="0D6AC22D">
            <w:pPr>
              <w:jc w:val="center"/>
              <w:rPr>
                <w:rFonts w:hint="eastAsia" w:ascii="宋体" w:hAnsi="宋体" w:eastAsia="宋体" w:cs="宋体"/>
                <w:kern w:val="1"/>
                <w:szCs w:val="21"/>
                <w:highlight w:val="none"/>
              </w:rPr>
            </w:pPr>
            <w:r>
              <w:rPr>
                <w:rFonts w:hint="eastAsia" w:ascii="宋体" w:hAnsi="宋体" w:eastAsia="宋体" w:cs="宋体"/>
                <w:kern w:val="1"/>
                <w:szCs w:val="21"/>
                <w:highlight w:val="none"/>
              </w:rPr>
              <w:t>是</w:t>
            </w:r>
          </w:p>
        </w:tc>
        <w:tc>
          <w:tcPr>
            <w:tcW w:w="879" w:type="dxa"/>
            <w:noWrap w:val="0"/>
            <w:vAlign w:val="top"/>
          </w:tcPr>
          <w:p w14:paraId="5058CC6E">
            <w:pPr>
              <w:jc w:val="center"/>
              <w:rPr>
                <w:rFonts w:hint="eastAsia" w:ascii="宋体" w:hAnsi="宋体" w:eastAsia="宋体" w:cs="宋体"/>
                <w:kern w:val="1"/>
                <w:szCs w:val="21"/>
                <w:highlight w:val="none"/>
              </w:rPr>
            </w:pPr>
          </w:p>
        </w:tc>
      </w:tr>
      <w:tr w14:paraId="66616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noWrap w:val="0"/>
            <w:vAlign w:val="center"/>
          </w:tcPr>
          <w:p w14:paraId="5361AB3F">
            <w:pPr>
              <w:jc w:val="center"/>
              <w:rPr>
                <w:rFonts w:ascii="宋体" w:hAnsi="宋体" w:eastAsia="宋体" w:cs="宋体"/>
                <w:kern w:val="1"/>
                <w:szCs w:val="21"/>
                <w:highlight w:val="none"/>
              </w:rPr>
            </w:pPr>
            <w:r>
              <w:rPr>
                <w:rFonts w:hint="eastAsia" w:ascii="宋体" w:hAnsi="宋体" w:eastAsia="宋体" w:cs="宋体"/>
                <w:kern w:val="1"/>
                <w:szCs w:val="21"/>
                <w:highlight w:val="none"/>
              </w:rPr>
              <w:t>9</w:t>
            </w:r>
          </w:p>
        </w:tc>
        <w:tc>
          <w:tcPr>
            <w:tcW w:w="7137" w:type="dxa"/>
            <w:noWrap w:val="0"/>
            <w:vAlign w:val="top"/>
          </w:tcPr>
          <w:p w14:paraId="6CA2AB0D">
            <w:pPr>
              <w:jc w:val="left"/>
              <w:rPr>
                <w:rFonts w:hint="eastAsia" w:ascii="宋体" w:hAnsi="宋体" w:eastAsia="宋体" w:cs="宋体"/>
                <w:kern w:val="1"/>
                <w:szCs w:val="21"/>
                <w:highlight w:val="none"/>
                <w:lang w:val="en-US" w:eastAsia="zh-CN"/>
              </w:rPr>
            </w:pPr>
            <w:r>
              <w:rPr>
                <w:rFonts w:hint="eastAsia" w:ascii="宋体" w:hAnsi="宋体" w:eastAsia="宋体" w:cs="宋体"/>
                <w:kern w:val="1"/>
                <w:szCs w:val="21"/>
                <w:highlight w:val="none"/>
                <w:lang w:val="en-US" w:eastAsia="zh-CN"/>
              </w:rPr>
              <w:t>二、计算虚拟化软件集成服务→11、★AI资源容量预测：支持资源容量预测服务，内置时间序列模型，管理平台自动化实现数据检索预测，提供用户易用的数据预测服务，服务支持呈现实时的CPU、内存和存储容量资源使用数据信息展示，并给出基于AI机器学习算法预测CPU、内存和存储未来的预警提示（投标文件中提供第三方权威机构测试报告扫描件或复印件（加盖投标供应商公章））；</w:t>
            </w:r>
          </w:p>
        </w:tc>
        <w:tc>
          <w:tcPr>
            <w:tcW w:w="903" w:type="dxa"/>
            <w:noWrap w:val="0"/>
            <w:vAlign w:val="center"/>
          </w:tcPr>
          <w:p w14:paraId="3696D1FB">
            <w:pPr>
              <w:jc w:val="center"/>
              <w:rPr>
                <w:rFonts w:hint="eastAsia" w:ascii="宋体" w:hAnsi="宋体" w:eastAsia="宋体" w:cs="宋体"/>
                <w:kern w:val="1"/>
                <w:szCs w:val="21"/>
                <w:highlight w:val="none"/>
              </w:rPr>
            </w:pPr>
            <w:r>
              <w:rPr>
                <w:rFonts w:hint="eastAsia" w:ascii="宋体" w:hAnsi="宋体" w:eastAsia="宋体" w:cs="宋体"/>
                <w:kern w:val="1"/>
                <w:szCs w:val="21"/>
                <w:highlight w:val="none"/>
              </w:rPr>
              <w:t>是</w:t>
            </w:r>
          </w:p>
        </w:tc>
        <w:tc>
          <w:tcPr>
            <w:tcW w:w="879" w:type="dxa"/>
            <w:noWrap w:val="0"/>
            <w:vAlign w:val="top"/>
          </w:tcPr>
          <w:p w14:paraId="33A2926E">
            <w:pPr>
              <w:jc w:val="center"/>
              <w:rPr>
                <w:rFonts w:hint="eastAsia" w:ascii="宋体" w:hAnsi="宋体" w:eastAsia="宋体" w:cs="宋体"/>
                <w:kern w:val="1"/>
                <w:szCs w:val="21"/>
                <w:highlight w:val="none"/>
              </w:rPr>
            </w:pPr>
          </w:p>
        </w:tc>
      </w:tr>
      <w:tr w14:paraId="122BA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noWrap w:val="0"/>
            <w:vAlign w:val="center"/>
          </w:tcPr>
          <w:p w14:paraId="5FFAF253">
            <w:pPr>
              <w:jc w:val="center"/>
              <w:rPr>
                <w:rFonts w:ascii="宋体" w:hAnsi="宋体" w:eastAsia="宋体" w:cs="宋体"/>
                <w:kern w:val="1"/>
                <w:szCs w:val="21"/>
                <w:highlight w:val="none"/>
              </w:rPr>
            </w:pPr>
            <w:r>
              <w:rPr>
                <w:rFonts w:hint="eastAsia" w:ascii="宋体" w:hAnsi="宋体" w:eastAsia="宋体" w:cs="宋体"/>
                <w:kern w:val="1"/>
                <w:szCs w:val="21"/>
                <w:highlight w:val="none"/>
              </w:rPr>
              <w:t>10</w:t>
            </w:r>
          </w:p>
        </w:tc>
        <w:tc>
          <w:tcPr>
            <w:tcW w:w="7137" w:type="dxa"/>
            <w:noWrap w:val="0"/>
            <w:vAlign w:val="top"/>
          </w:tcPr>
          <w:p w14:paraId="1315AF3D">
            <w:pPr>
              <w:jc w:val="left"/>
              <w:rPr>
                <w:rFonts w:hint="eastAsia" w:ascii="宋体" w:hAnsi="宋体" w:eastAsia="宋体" w:cs="宋体"/>
                <w:kern w:val="1"/>
                <w:szCs w:val="21"/>
                <w:highlight w:val="none"/>
                <w:lang w:val="en-US" w:eastAsia="zh-CN"/>
              </w:rPr>
            </w:pPr>
            <w:r>
              <w:rPr>
                <w:rFonts w:hint="eastAsia" w:ascii="宋体" w:hAnsi="宋体" w:eastAsia="宋体" w:cs="宋体"/>
                <w:kern w:val="1"/>
                <w:szCs w:val="21"/>
                <w:highlight w:val="none"/>
                <w:lang w:val="en-US" w:eastAsia="zh-CN"/>
              </w:rPr>
              <w:t>二、计算虚拟化软件集成服务→12、★VMware高速迁移：支持VMware高速迁移功能，VMware虚机迁移速度超过1.7 GB/s（投标文件中提供第三方权威机构测试报告扫描件或复印件（加盖投标供应商公章））；</w:t>
            </w:r>
          </w:p>
        </w:tc>
        <w:tc>
          <w:tcPr>
            <w:tcW w:w="903" w:type="dxa"/>
            <w:noWrap w:val="0"/>
            <w:vAlign w:val="center"/>
          </w:tcPr>
          <w:p w14:paraId="3255F4E2">
            <w:pPr>
              <w:jc w:val="center"/>
              <w:rPr>
                <w:rFonts w:hint="eastAsia" w:ascii="宋体" w:hAnsi="宋体" w:eastAsia="宋体" w:cs="宋体"/>
                <w:kern w:val="1"/>
                <w:szCs w:val="21"/>
                <w:highlight w:val="none"/>
              </w:rPr>
            </w:pPr>
            <w:r>
              <w:rPr>
                <w:rFonts w:hint="eastAsia" w:ascii="宋体" w:hAnsi="宋体" w:eastAsia="宋体" w:cs="宋体"/>
                <w:kern w:val="1"/>
                <w:szCs w:val="21"/>
                <w:highlight w:val="none"/>
              </w:rPr>
              <w:t>是</w:t>
            </w:r>
          </w:p>
        </w:tc>
        <w:tc>
          <w:tcPr>
            <w:tcW w:w="879" w:type="dxa"/>
            <w:noWrap w:val="0"/>
            <w:vAlign w:val="top"/>
          </w:tcPr>
          <w:p w14:paraId="339557FC">
            <w:pPr>
              <w:jc w:val="center"/>
              <w:rPr>
                <w:rFonts w:hint="eastAsia" w:ascii="宋体" w:hAnsi="宋体" w:eastAsia="宋体" w:cs="宋体"/>
                <w:kern w:val="1"/>
                <w:szCs w:val="21"/>
                <w:highlight w:val="none"/>
              </w:rPr>
            </w:pPr>
          </w:p>
        </w:tc>
      </w:tr>
      <w:tr w14:paraId="68172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trPr>
        <w:tc>
          <w:tcPr>
            <w:tcW w:w="652" w:type="dxa"/>
            <w:noWrap w:val="0"/>
            <w:vAlign w:val="center"/>
          </w:tcPr>
          <w:p w14:paraId="725F9B0F">
            <w:pPr>
              <w:jc w:val="center"/>
              <w:rPr>
                <w:rFonts w:ascii="宋体" w:hAnsi="宋体" w:eastAsia="宋体" w:cs="宋体"/>
                <w:kern w:val="1"/>
                <w:szCs w:val="21"/>
                <w:highlight w:val="none"/>
              </w:rPr>
            </w:pPr>
            <w:r>
              <w:rPr>
                <w:rFonts w:hint="eastAsia" w:ascii="宋体" w:hAnsi="宋体" w:eastAsia="宋体" w:cs="宋体"/>
                <w:kern w:val="1"/>
                <w:szCs w:val="21"/>
                <w:highlight w:val="none"/>
              </w:rPr>
              <w:t>11</w:t>
            </w:r>
          </w:p>
        </w:tc>
        <w:tc>
          <w:tcPr>
            <w:tcW w:w="7137" w:type="dxa"/>
            <w:noWrap w:val="0"/>
            <w:vAlign w:val="center"/>
          </w:tcPr>
          <w:p w14:paraId="00F41AE1">
            <w:pPr>
              <w:jc w:val="left"/>
              <w:rPr>
                <w:rFonts w:hint="eastAsia" w:ascii="宋体" w:hAnsi="宋体" w:eastAsia="宋体" w:cs="宋体"/>
                <w:kern w:val="1"/>
                <w:szCs w:val="21"/>
                <w:highlight w:val="none"/>
                <w:lang w:val="en-US" w:eastAsia="zh-CN"/>
              </w:rPr>
            </w:pPr>
            <w:r>
              <w:rPr>
                <w:rFonts w:hint="eastAsia" w:ascii="宋体" w:hAnsi="宋体" w:eastAsia="宋体" w:cs="宋体"/>
                <w:kern w:val="1"/>
                <w:szCs w:val="21"/>
                <w:highlight w:val="none"/>
                <w:lang w:val="en-US" w:eastAsia="zh-CN"/>
              </w:rPr>
              <w:t>三、互联网防火墙→4.★支持三个操作系统，可在Web界面完成系统备份、系统恢复、指定默认启动系统。（投标文件中提供截图证明（加盖投标供应商公章））</w:t>
            </w:r>
          </w:p>
        </w:tc>
        <w:tc>
          <w:tcPr>
            <w:tcW w:w="903" w:type="dxa"/>
            <w:noWrap w:val="0"/>
            <w:vAlign w:val="center"/>
          </w:tcPr>
          <w:p w14:paraId="7B507FC4">
            <w:pPr>
              <w:jc w:val="center"/>
              <w:rPr>
                <w:rFonts w:ascii="宋体" w:hAnsi="宋体" w:eastAsia="宋体" w:cs="宋体"/>
                <w:kern w:val="1"/>
                <w:szCs w:val="21"/>
                <w:highlight w:val="none"/>
              </w:rPr>
            </w:pPr>
            <w:r>
              <w:rPr>
                <w:rFonts w:hint="eastAsia" w:ascii="宋体" w:hAnsi="宋体" w:eastAsia="宋体" w:cs="宋体"/>
                <w:kern w:val="1"/>
                <w:szCs w:val="21"/>
                <w:highlight w:val="none"/>
              </w:rPr>
              <w:t>是</w:t>
            </w:r>
          </w:p>
        </w:tc>
        <w:tc>
          <w:tcPr>
            <w:tcW w:w="879" w:type="dxa"/>
            <w:noWrap w:val="0"/>
            <w:vAlign w:val="top"/>
          </w:tcPr>
          <w:p w14:paraId="024C13AC">
            <w:pPr>
              <w:jc w:val="center"/>
              <w:rPr>
                <w:rFonts w:hint="eastAsia" w:ascii="宋体" w:hAnsi="宋体" w:eastAsia="宋体" w:cs="宋体"/>
                <w:kern w:val="1"/>
                <w:szCs w:val="21"/>
                <w:highlight w:val="none"/>
              </w:rPr>
            </w:pPr>
          </w:p>
        </w:tc>
      </w:tr>
      <w:tr w14:paraId="218B7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652" w:type="dxa"/>
            <w:noWrap w:val="0"/>
            <w:vAlign w:val="center"/>
          </w:tcPr>
          <w:p w14:paraId="5559BDE1">
            <w:pPr>
              <w:jc w:val="center"/>
              <w:rPr>
                <w:rFonts w:ascii="宋体" w:hAnsi="宋体" w:eastAsia="宋体" w:cs="宋体"/>
                <w:kern w:val="1"/>
                <w:szCs w:val="21"/>
                <w:highlight w:val="none"/>
              </w:rPr>
            </w:pPr>
            <w:r>
              <w:rPr>
                <w:rFonts w:hint="eastAsia" w:ascii="宋体" w:hAnsi="宋体" w:eastAsia="宋体" w:cs="宋体"/>
                <w:kern w:val="1"/>
                <w:szCs w:val="21"/>
                <w:highlight w:val="none"/>
              </w:rPr>
              <w:t>12</w:t>
            </w:r>
          </w:p>
        </w:tc>
        <w:tc>
          <w:tcPr>
            <w:tcW w:w="7137" w:type="dxa"/>
            <w:noWrap w:val="0"/>
            <w:vAlign w:val="center"/>
          </w:tcPr>
          <w:p w14:paraId="7DF2848D">
            <w:pPr>
              <w:jc w:val="left"/>
              <w:rPr>
                <w:rFonts w:hint="eastAsia" w:ascii="宋体" w:hAnsi="宋体" w:eastAsia="宋体" w:cs="宋体"/>
                <w:kern w:val="1"/>
                <w:szCs w:val="21"/>
                <w:highlight w:val="none"/>
                <w:lang w:val="en-US" w:eastAsia="zh-CN"/>
              </w:rPr>
            </w:pPr>
            <w:r>
              <w:rPr>
                <w:rFonts w:hint="eastAsia" w:ascii="宋体" w:hAnsi="宋体" w:eastAsia="宋体" w:cs="宋体"/>
                <w:kern w:val="1"/>
                <w:szCs w:val="21"/>
                <w:highlight w:val="none"/>
                <w:lang w:val="en-US" w:eastAsia="zh-CN"/>
              </w:rPr>
              <w:t>三、互联网防火墙→5.★支持与电磁屏蔽机柜联动，根据机柜门状态执行阻断策略、邮件告警、日志记录。（投标文件中提供截图证明（加盖投标供应商公章））</w:t>
            </w:r>
          </w:p>
        </w:tc>
        <w:tc>
          <w:tcPr>
            <w:tcW w:w="903" w:type="dxa"/>
            <w:noWrap w:val="0"/>
            <w:vAlign w:val="center"/>
          </w:tcPr>
          <w:p w14:paraId="7CA9DDFC">
            <w:pPr>
              <w:jc w:val="center"/>
              <w:rPr>
                <w:rFonts w:hint="eastAsia" w:ascii="宋体" w:hAnsi="宋体" w:eastAsia="宋体" w:cs="宋体"/>
                <w:kern w:val="1"/>
                <w:szCs w:val="21"/>
                <w:highlight w:val="none"/>
              </w:rPr>
            </w:pPr>
            <w:r>
              <w:rPr>
                <w:rFonts w:hint="eastAsia" w:ascii="宋体" w:hAnsi="宋体" w:eastAsia="宋体" w:cs="宋体"/>
                <w:kern w:val="1"/>
                <w:szCs w:val="21"/>
                <w:highlight w:val="none"/>
              </w:rPr>
              <w:t>是</w:t>
            </w:r>
          </w:p>
        </w:tc>
        <w:tc>
          <w:tcPr>
            <w:tcW w:w="879" w:type="dxa"/>
            <w:noWrap w:val="0"/>
            <w:vAlign w:val="top"/>
          </w:tcPr>
          <w:p w14:paraId="4BC4BAD7">
            <w:pPr>
              <w:jc w:val="center"/>
              <w:rPr>
                <w:rFonts w:hint="eastAsia" w:ascii="宋体" w:hAnsi="宋体" w:eastAsia="宋体" w:cs="宋体"/>
                <w:kern w:val="1"/>
                <w:szCs w:val="21"/>
                <w:highlight w:val="none"/>
              </w:rPr>
            </w:pPr>
          </w:p>
        </w:tc>
      </w:tr>
      <w:tr w14:paraId="755F9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noWrap w:val="0"/>
            <w:vAlign w:val="center"/>
          </w:tcPr>
          <w:p w14:paraId="253FFEE7">
            <w:pPr>
              <w:jc w:val="center"/>
              <w:rPr>
                <w:rFonts w:ascii="宋体" w:hAnsi="宋体" w:eastAsia="宋体" w:cs="宋体"/>
                <w:kern w:val="1"/>
                <w:szCs w:val="21"/>
                <w:highlight w:val="none"/>
              </w:rPr>
            </w:pPr>
            <w:r>
              <w:rPr>
                <w:rFonts w:hint="eastAsia" w:ascii="宋体" w:hAnsi="宋体" w:eastAsia="宋体" w:cs="宋体"/>
                <w:kern w:val="1"/>
                <w:szCs w:val="21"/>
                <w:highlight w:val="none"/>
              </w:rPr>
              <w:t>13</w:t>
            </w:r>
          </w:p>
        </w:tc>
        <w:tc>
          <w:tcPr>
            <w:tcW w:w="7137" w:type="dxa"/>
            <w:noWrap w:val="0"/>
            <w:vAlign w:val="top"/>
          </w:tcPr>
          <w:p w14:paraId="380DE214">
            <w:pPr>
              <w:jc w:val="left"/>
              <w:rPr>
                <w:rFonts w:hint="eastAsia" w:ascii="宋体" w:hAnsi="宋体" w:eastAsia="宋体" w:cs="宋体"/>
                <w:kern w:val="1"/>
                <w:szCs w:val="21"/>
                <w:highlight w:val="none"/>
                <w:lang w:val="en-US" w:eastAsia="zh-CN"/>
              </w:rPr>
            </w:pPr>
            <w:r>
              <w:rPr>
                <w:rFonts w:hint="eastAsia" w:ascii="宋体" w:hAnsi="宋体" w:eastAsia="宋体" w:cs="宋体"/>
                <w:kern w:val="1"/>
                <w:szCs w:val="21"/>
                <w:highlight w:val="none"/>
                <w:lang w:val="en-US" w:eastAsia="zh-CN"/>
              </w:rPr>
              <w:t>三、互联网防火墙→7.★支持IPv4一体化安全策略配置，可以通过一条策略实现源地址/目的地址、源端口、源MAC/目的MAC、服务、时间调度、安全域、VLAN、用户/用户组、应用对象、URL对象、内容过滤、文件过滤、协议控制、病毒防护、入侵防护、威胁情报、SSL协议、数据放泄漏、审计、垃圾邮件过滤、邮件延迟审计、流量控制、流量异常检测、长连接等条件进行安全访问规则的设置。（投标文件中提供截图证明（加盖投标供应商公章））</w:t>
            </w:r>
          </w:p>
        </w:tc>
        <w:tc>
          <w:tcPr>
            <w:tcW w:w="903" w:type="dxa"/>
            <w:noWrap w:val="0"/>
            <w:vAlign w:val="center"/>
          </w:tcPr>
          <w:p w14:paraId="7F850367">
            <w:pPr>
              <w:jc w:val="center"/>
              <w:rPr>
                <w:rFonts w:ascii="宋体" w:hAnsi="宋体" w:eastAsia="宋体" w:cs="宋体"/>
                <w:kern w:val="1"/>
                <w:szCs w:val="21"/>
                <w:highlight w:val="none"/>
              </w:rPr>
            </w:pPr>
            <w:r>
              <w:rPr>
                <w:rFonts w:hint="eastAsia" w:ascii="宋体" w:hAnsi="宋体" w:eastAsia="宋体" w:cs="宋体"/>
                <w:kern w:val="1"/>
                <w:szCs w:val="21"/>
                <w:highlight w:val="none"/>
              </w:rPr>
              <w:t>是</w:t>
            </w:r>
          </w:p>
        </w:tc>
        <w:tc>
          <w:tcPr>
            <w:tcW w:w="879" w:type="dxa"/>
            <w:noWrap w:val="0"/>
            <w:vAlign w:val="top"/>
          </w:tcPr>
          <w:p w14:paraId="5C5DAA59">
            <w:pPr>
              <w:jc w:val="center"/>
              <w:rPr>
                <w:rFonts w:hint="eastAsia" w:ascii="宋体" w:hAnsi="宋体" w:eastAsia="宋体" w:cs="宋体"/>
                <w:kern w:val="1"/>
                <w:szCs w:val="21"/>
                <w:highlight w:val="none"/>
              </w:rPr>
            </w:pPr>
          </w:p>
        </w:tc>
      </w:tr>
      <w:tr w14:paraId="7EAD9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noWrap w:val="0"/>
            <w:vAlign w:val="center"/>
          </w:tcPr>
          <w:p w14:paraId="692B8161">
            <w:pPr>
              <w:jc w:val="center"/>
              <w:rPr>
                <w:rFonts w:ascii="宋体" w:hAnsi="宋体" w:eastAsia="宋体" w:cs="宋体"/>
                <w:kern w:val="1"/>
                <w:szCs w:val="21"/>
                <w:highlight w:val="none"/>
              </w:rPr>
            </w:pPr>
            <w:r>
              <w:rPr>
                <w:rFonts w:hint="eastAsia" w:ascii="宋体" w:hAnsi="宋体" w:eastAsia="宋体" w:cs="宋体"/>
                <w:kern w:val="1"/>
                <w:szCs w:val="21"/>
                <w:highlight w:val="none"/>
              </w:rPr>
              <w:t>14</w:t>
            </w:r>
          </w:p>
        </w:tc>
        <w:tc>
          <w:tcPr>
            <w:tcW w:w="7137" w:type="dxa"/>
            <w:noWrap w:val="0"/>
            <w:vAlign w:val="top"/>
          </w:tcPr>
          <w:p w14:paraId="0842A74D">
            <w:pPr>
              <w:jc w:val="left"/>
              <w:rPr>
                <w:rFonts w:hint="eastAsia" w:ascii="宋体" w:hAnsi="宋体" w:eastAsia="宋体" w:cs="宋体"/>
                <w:kern w:val="1"/>
                <w:szCs w:val="21"/>
                <w:highlight w:val="none"/>
                <w:lang w:val="en-US" w:eastAsia="zh-CN"/>
              </w:rPr>
            </w:pPr>
            <w:r>
              <w:rPr>
                <w:rFonts w:hint="eastAsia" w:ascii="宋体" w:hAnsi="宋体" w:eastAsia="宋体" w:cs="宋体"/>
                <w:kern w:val="1"/>
                <w:szCs w:val="21"/>
                <w:highlight w:val="none"/>
                <w:lang w:val="en-US" w:eastAsia="zh-CN"/>
              </w:rPr>
              <w:t>四、节点防火墙→5.★具备三个防病毒引擎，可利用多个病毒引擎来检测和阻止病毒恶意文件等威胁。（投标文件中提供截图证明（加盖投标供应商公章））</w:t>
            </w:r>
          </w:p>
        </w:tc>
        <w:tc>
          <w:tcPr>
            <w:tcW w:w="903" w:type="dxa"/>
            <w:noWrap w:val="0"/>
            <w:vAlign w:val="center"/>
          </w:tcPr>
          <w:p w14:paraId="0BCC02A0">
            <w:pPr>
              <w:jc w:val="center"/>
              <w:rPr>
                <w:rFonts w:hint="eastAsia" w:ascii="宋体" w:hAnsi="宋体" w:eastAsia="宋体" w:cs="宋体"/>
                <w:kern w:val="1"/>
                <w:szCs w:val="21"/>
                <w:highlight w:val="none"/>
              </w:rPr>
            </w:pPr>
            <w:r>
              <w:rPr>
                <w:rFonts w:hint="eastAsia" w:ascii="宋体" w:hAnsi="宋体" w:eastAsia="宋体" w:cs="宋体"/>
                <w:kern w:val="1"/>
                <w:szCs w:val="21"/>
                <w:highlight w:val="none"/>
              </w:rPr>
              <w:t>是</w:t>
            </w:r>
          </w:p>
        </w:tc>
        <w:tc>
          <w:tcPr>
            <w:tcW w:w="879" w:type="dxa"/>
            <w:noWrap w:val="0"/>
            <w:vAlign w:val="top"/>
          </w:tcPr>
          <w:p w14:paraId="3FDD95C4">
            <w:pPr>
              <w:jc w:val="center"/>
              <w:rPr>
                <w:rFonts w:hint="eastAsia" w:ascii="宋体" w:hAnsi="宋体" w:eastAsia="宋体" w:cs="宋体"/>
                <w:kern w:val="1"/>
                <w:szCs w:val="21"/>
                <w:highlight w:val="none"/>
              </w:rPr>
            </w:pPr>
          </w:p>
        </w:tc>
      </w:tr>
      <w:tr w14:paraId="486E0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noWrap w:val="0"/>
            <w:vAlign w:val="center"/>
          </w:tcPr>
          <w:p w14:paraId="0AB76422">
            <w:pPr>
              <w:jc w:val="center"/>
              <w:rPr>
                <w:rFonts w:ascii="宋体" w:hAnsi="宋体" w:eastAsia="宋体" w:cs="宋体"/>
                <w:kern w:val="1"/>
                <w:szCs w:val="21"/>
                <w:highlight w:val="none"/>
              </w:rPr>
            </w:pPr>
            <w:r>
              <w:rPr>
                <w:rFonts w:hint="eastAsia" w:ascii="宋体" w:hAnsi="宋体" w:eastAsia="宋体" w:cs="宋体"/>
                <w:kern w:val="1"/>
                <w:szCs w:val="21"/>
                <w:highlight w:val="none"/>
              </w:rPr>
              <w:t>15</w:t>
            </w:r>
          </w:p>
        </w:tc>
        <w:tc>
          <w:tcPr>
            <w:tcW w:w="7137" w:type="dxa"/>
            <w:noWrap w:val="0"/>
            <w:vAlign w:val="top"/>
          </w:tcPr>
          <w:p w14:paraId="326FAF2C">
            <w:pPr>
              <w:jc w:val="left"/>
              <w:rPr>
                <w:rFonts w:hint="eastAsia" w:ascii="宋体" w:hAnsi="宋体" w:eastAsia="宋体" w:cs="宋体"/>
                <w:kern w:val="1"/>
                <w:szCs w:val="21"/>
                <w:highlight w:val="none"/>
                <w:lang w:val="en-US" w:eastAsia="zh-CN"/>
              </w:rPr>
            </w:pPr>
            <w:r>
              <w:rPr>
                <w:rFonts w:hint="eastAsia" w:ascii="宋体" w:hAnsi="宋体" w:eastAsia="宋体" w:cs="宋体"/>
                <w:kern w:val="1"/>
                <w:szCs w:val="21"/>
                <w:highlight w:val="none"/>
                <w:lang w:val="en-US" w:eastAsia="zh-CN"/>
              </w:rPr>
              <w:t>四、节点防火墙→6.★支持开启包过滤规则的严格状态检测、规则优先、拒绝非中国大陆地区访问、重复冲突规则检测、深度规则检测、重复冲突规则允许添加、禁止访问非中国大陆地区、虚拟线模式、策略预编译、分片重组检查、会话快速收敛。（投标文件中提供截图证明（加盖投标供应商公章））</w:t>
            </w:r>
          </w:p>
        </w:tc>
        <w:tc>
          <w:tcPr>
            <w:tcW w:w="903" w:type="dxa"/>
            <w:noWrap w:val="0"/>
            <w:vAlign w:val="center"/>
          </w:tcPr>
          <w:p w14:paraId="381E7FB5">
            <w:pPr>
              <w:jc w:val="center"/>
              <w:rPr>
                <w:rFonts w:hint="eastAsia" w:ascii="宋体" w:hAnsi="宋体" w:eastAsia="宋体" w:cs="宋体"/>
                <w:kern w:val="1"/>
                <w:szCs w:val="21"/>
                <w:highlight w:val="none"/>
              </w:rPr>
            </w:pPr>
            <w:r>
              <w:rPr>
                <w:rFonts w:hint="eastAsia" w:ascii="宋体" w:hAnsi="宋体" w:eastAsia="宋体" w:cs="宋体"/>
                <w:kern w:val="1"/>
                <w:szCs w:val="21"/>
                <w:highlight w:val="none"/>
              </w:rPr>
              <w:t>是</w:t>
            </w:r>
          </w:p>
        </w:tc>
        <w:tc>
          <w:tcPr>
            <w:tcW w:w="879" w:type="dxa"/>
            <w:noWrap w:val="0"/>
            <w:vAlign w:val="top"/>
          </w:tcPr>
          <w:p w14:paraId="584B184A">
            <w:pPr>
              <w:jc w:val="center"/>
              <w:rPr>
                <w:rFonts w:hint="eastAsia" w:ascii="宋体" w:hAnsi="宋体" w:eastAsia="宋体" w:cs="宋体"/>
                <w:kern w:val="1"/>
                <w:szCs w:val="21"/>
                <w:highlight w:val="none"/>
              </w:rPr>
            </w:pPr>
          </w:p>
        </w:tc>
      </w:tr>
    </w:tbl>
    <w:p w14:paraId="7F652EEF">
      <w:pPr>
        <w:rPr>
          <w:rFonts w:ascii="宋体" w:hAnsi="宋体" w:cs="宋体"/>
          <w:b/>
          <w:szCs w:val="21"/>
          <w:highlight w:val="none"/>
        </w:rPr>
      </w:pPr>
      <w:r>
        <w:rPr>
          <w:rFonts w:hint="eastAsia" w:ascii="宋体" w:hAnsi="宋体" w:cs="宋体"/>
          <w:b/>
          <w:szCs w:val="21"/>
          <w:highlight w:val="none"/>
        </w:rPr>
        <w:t>注：1、上表为采购文件第四部分采购内容及要求→“（二）技术要求”→“技术参数/规格”明确要求在投标文件中提供相应证明材料明细。投标供应商根据</w:t>
      </w:r>
      <w:r>
        <w:rPr>
          <w:rFonts w:hint="eastAsia" w:ascii="宋体" w:hAnsi="宋体" w:cs="宋体"/>
          <w:b/>
          <w:szCs w:val="21"/>
          <w:highlight w:val="none"/>
          <w:lang w:val="en-US" w:eastAsia="zh-CN"/>
        </w:rPr>
        <w:t>招标</w:t>
      </w:r>
      <w:r>
        <w:rPr>
          <w:rFonts w:hint="eastAsia" w:ascii="宋体" w:hAnsi="宋体" w:cs="宋体"/>
          <w:b/>
          <w:szCs w:val="21"/>
          <w:highlight w:val="none"/>
        </w:rPr>
        <w:t>文件</w:t>
      </w:r>
      <w:r>
        <w:rPr>
          <w:rFonts w:hint="eastAsia" w:ascii="宋体" w:hAnsi="宋体" w:cs="宋体"/>
          <w:b/>
          <w:szCs w:val="21"/>
          <w:highlight w:val="none"/>
          <w:lang w:val="en-US" w:eastAsia="zh-CN"/>
        </w:rPr>
        <w:t>要求</w:t>
      </w:r>
      <w:r>
        <w:rPr>
          <w:rFonts w:hint="eastAsia" w:ascii="宋体" w:hAnsi="宋体" w:cs="宋体"/>
          <w:b/>
          <w:szCs w:val="21"/>
          <w:highlight w:val="none"/>
        </w:rPr>
        <w:t>自行填写。</w:t>
      </w:r>
    </w:p>
    <w:p w14:paraId="06CA9732">
      <w:pPr>
        <w:ind w:firstLine="420" w:firstLineChars="200"/>
        <w:rPr>
          <w:rFonts w:ascii="宋体" w:hAnsi="宋体" w:cs="宋体"/>
          <w:bCs/>
          <w:szCs w:val="21"/>
          <w:highlight w:val="none"/>
        </w:rPr>
      </w:pPr>
      <w:r>
        <w:rPr>
          <w:rFonts w:hint="eastAsia" w:ascii="宋体" w:hAnsi="宋体" w:cs="宋体"/>
          <w:bCs/>
          <w:szCs w:val="21"/>
          <w:highlight w:val="none"/>
        </w:rPr>
        <w:t>2、相关证明材料可附后。</w:t>
      </w:r>
    </w:p>
    <w:p w14:paraId="68F0798D">
      <w:pPr>
        <w:ind w:firstLine="420" w:firstLineChars="200"/>
        <w:rPr>
          <w:rFonts w:ascii="宋体" w:hAnsi="宋体" w:cs="宋体"/>
          <w:bCs/>
          <w:szCs w:val="21"/>
          <w:highlight w:val="none"/>
        </w:rPr>
      </w:pPr>
      <w:r>
        <w:rPr>
          <w:rFonts w:hint="eastAsia" w:ascii="宋体" w:hAnsi="宋体" w:cs="宋体"/>
          <w:bCs/>
          <w:szCs w:val="21"/>
          <w:highlight w:val="none"/>
        </w:rPr>
        <w:t>3、若投标供应商无法提供相应证明材料，则在“证明材料页码”处填写“无”。</w:t>
      </w:r>
    </w:p>
    <w:p w14:paraId="295E188D">
      <w:pPr>
        <w:ind w:firstLine="3780" w:firstLineChars="1800"/>
        <w:rPr>
          <w:rFonts w:hint="eastAsia" w:ascii="宋体" w:hAnsi="宋体" w:cs="宋体"/>
          <w:bCs/>
          <w:szCs w:val="21"/>
          <w:highlight w:val="none"/>
        </w:rPr>
      </w:pPr>
      <w:r>
        <w:rPr>
          <w:rFonts w:hint="eastAsia" w:ascii="宋体" w:hAnsi="宋体" w:cs="宋体"/>
          <w:bCs/>
          <w:szCs w:val="21"/>
          <w:highlight w:val="none"/>
        </w:rPr>
        <w:t>投标供应商全称（盖章） ：</w:t>
      </w:r>
    </w:p>
    <w:p w14:paraId="47188815">
      <w:pPr>
        <w:ind w:firstLine="1050" w:firstLineChars="500"/>
        <w:rPr>
          <w:rFonts w:hint="eastAsia" w:ascii="宋体" w:hAnsi="宋体" w:cs="宋体"/>
          <w:bCs/>
          <w:szCs w:val="21"/>
          <w:highlight w:val="none"/>
        </w:rPr>
      </w:pPr>
      <w:r>
        <w:rPr>
          <w:rFonts w:hint="eastAsia" w:ascii="宋体" w:hAnsi="宋体" w:cs="宋体"/>
          <w:bCs/>
          <w:szCs w:val="21"/>
          <w:highlight w:val="none"/>
        </w:rPr>
        <w:t>法定代表人（法定负责人） 或授权代表（签字或盖章）：</w:t>
      </w:r>
    </w:p>
    <w:p w14:paraId="6E1E03B3">
      <w:pPr>
        <w:ind w:firstLine="5880" w:firstLineChars="2800"/>
        <w:rPr>
          <w:rFonts w:hint="eastAsia" w:ascii="宋体" w:hAnsi="宋体" w:cs="宋体"/>
          <w:bCs/>
          <w:szCs w:val="21"/>
          <w:highlight w:val="none"/>
        </w:rPr>
      </w:pPr>
      <w:r>
        <w:rPr>
          <w:rFonts w:hint="eastAsia" w:ascii="宋体" w:hAnsi="宋体" w:cs="宋体"/>
          <w:bCs/>
          <w:szCs w:val="21"/>
          <w:highlight w:val="none"/>
        </w:rPr>
        <w:t>日期：     年  月  日</w:t>
      </w:r>
    </w:p>
    <w:p w14:paraId="7EDA8C41">
      <w:pPr>
        <w:spacing w:line="460" w:lineRule="exact"/>
        <w:rPr>
          <w:rFonts w:hint="eastAsia" w:ascii="宋体" w:hAnsi="宋体" w:cs="宋体"/>
          <w:kern w:val="1"/>
          <w:szCs w:val="21"/>
          <w:highlight w:val="none"/>
        </w:rPr>
      </w:pPr>
      <w:r>
        <w:rPr>
          <w:rFonts w:hint="eastAsia" w:ascii="宋体" w:hAnsi="宋体" w:cs="宋体"/>
          <w:kern w:val="1"/>
          <w:szCs w:val="21"/>
          <w:highlight w:val="none"/>
        </w:rPr>
        <w:br w:type="page"/>
      </w:r>
      <w:r>
        <w:rPr>
          <w:rFonts w:hint="eastAsia" w:ascii="宋体" w:hAnsi="宋体" w:cs="宋体"/>
          <w:kern w:val="1"/>
          <w:szCs w:val="21"/>
          <w:highlight w:val="none"/>
        </w:rPr>
        <w:t>附件十三</w:t>
      </w:r>
    </w:p>
    <w:p w14:paraId="57213ED0">
      <w:pPr>
        <w:spacing w:line="460" w:lineRule="exact"/>
        <w:rPr>
          <w:rFonts w:hint="eastAsia" w:ascii="宋体" w:hAnsi="宋体" w:cs="宋体"/>
          <w:snapToGrid w:val="0"/>
          <w:szCs w:val="21"/>
          <w:highlight w:val="none"/>
        </w:rPr>
      </w:pPr>
      <w:r>
        <w:rPr>
          <w:rFonts w:hint="eastAsia" w:ascii="宋体" w:hAnsi="宋体" w:cs="宋体"/>
          <w:kern w:val="1"/>
          <w:szCs w:val="21"/>
          <w:highlight w:val="none"/>
        </w:rPr>
        <w:t>注：根据采购文件相关要求及第五部分评标原则及方法→五、评分细则→1.商务技术分的评定→“</w:t>
      </w:r>
      <w:r>
        <w:rPr>
          <w:rFonts w:hint="eastAsia" w:ascii="宋体" w:hAnsi="宋体" w:cs="宋体"/>
          <w:snapToGrid w:val="0"/>
          <w:szCs w:val="21"/>
          <w:highlight w:val="none"/>
        </w:rPr>
        <w:t>总体方案”评分内容相关要求提供相关资料，格式自拟。</w:t>
      </w:r>
    </w:p>
    <w:p w14:paraId="7F314C27">
      <w:pPr>
        <w:spacing w:line="460" w:lineRule="exact"/>
        <w:rPr>
          <w:rFonts w:hint="eastAsia" w:ascii="宋体" w:hAnsi="宋体" w:cs="宋体"/>
          <w:kern w:val="1"/>
          <w:szCs w:val="21"/>
          <w:highlight w:val="none"/>
        </w:rPr>
      </w:pPr>
    </w:p>
    <w:p w14:paraId="60F47B4F">
      <w:pPr>
        <w:spacing w:line="460" w:lineRule="exact"/>
        <w:rPr>
          <w:rFonts w:hint="eastAsia" w:ascii="宋体" w:hAnsi="宋体" w:cs="宋体"/>
          <w:kern w:val="1"/>
          <w:szCs w:val="21"/>
          <w:highlight w:val="none"/>
        </w:rPr>
      </w:pPr>
    </w:p>
    <w:p w14:paraId="0623C87A">
      <w:pPr>
        <w:spacing w:line="460" w:lineRule="exact"/>
        <w:rPr>
          <w:rFonts w:hint="eastAsia" w:ascii="宋体" w:hAnsi="宋体" w:cs="宋体"/>
          <w:kern w:val="1"/>
          <w:szCs w:val="21"/>
          <w:highlight w:val="none"/>
        </w:rPr>
      </w:pPr>
    </w:p>
    <w:p w14:paraId="2DA880C2">
      <w:pPr>
        <w:spacing w:line="460" w:lineRule="exact"/>
        <w:rPr>
          <w:rFonts w:hint="eastAsia" w:ascii="宋体" w:hAnsi="宋体" w:cs="宋体"/>
          <w:kern w:val="1"/>
          <w:szCs w:val="21"/>
          <w:highlight w:val="none"/>
        </w:rPr>
      </w:pPr>
    </w:p>
    <w:p w14:paraId="47D6DE87">
      <w:pPr>
        <w:spacing w:line="460" w:lineRule="exact"/>
        <w:rPr>
          <w:rFonts w:hint="eastAsia" w:ascii="宋体" w:hAnsi="宋体" w:cs="宋体"/>
          <w:kern w:val="1"/>
          <w:szCs w:val="21"/>
          <w:highlight w:val="none"/>
        </w:rPr>
      </w:pPr>
      <w:r>
        <w:rPr>
          <w:rFonts w:hint="eastAsia" w:ascii="宋体" w:hAnsi="宋体" w:cs="宋体"/>
          <w:kern w:val="1"/>
          <w:szCs w:val="21"/>
          <w:highlight w:val="none"/>
        </w:rPr>
        <w:t>附件十四</w:t>
      </w:r>
    </w:p>
    <w:p w14:paraId="492F419F">
      <w:pPr>
        <w:spacing w:line="460" w:lineRule="exact"/>
        <w:rPr>
          <w:rFonts w:hint="eastAsia" w:ascii="宋体" w:hAnsi="宋体" w:cs="宋体"/>
          <w:snapToGrid w:val="0"/>
          <w:szCs w:val="21"/>
          <w:highlight w:val="none"/>
        </w:rPr>
      </w:pPr>
      <w:r>
        <w:rPr>
          <w:rFonts w:hint="eastAsia" w:ascii="宋体" w:hAnsi="宋体" w:cs="宋体"/>
          <w:kern w:val="1"/>
          <w:szCs w:val="21"/>
          <w:highlight w:val="none"/>
        </w:rPr>
        <w:t>注：根据采购文件相关要求及第五部分评标原则及方法→五、评分细则→1.商务技术分的评定→“</w:t>
      </w:r>
      <w:r>
        <w:rPr>
          <w:rFonts w:hint="eastAsia" w:ascii="宋体" w:hAnsi="宋体" w:cs="宋体"/>
          <w:snapToGrid w:val="0"/>
          <w:szCs w:val="21"/>
          <w:highlight w:val="none"/>
        </w:rPr>
        <w:t>架构方案”评分内容相关要求提供相关资料，格式自拟。</w:t>
      </w:r>
    </w:p>
    <w:p w14:paraId="7F545442">
      <w:pPr>
        <w:spacing w:line="460" w:lineRule="exact"/>
        <w:rPr>
          <w:rFonts w:hint="eastAsia" w:ascii="宋体" w:hAnsi="宋体" w:cs="宋体"/>
          <w:kern w:val="1"/>
          <w:szCs w:val="21"/>
          <w:highlight w:val="none"/>
        </w:rPr>
      </w:pPr>
    </w:p>
    <w:p w14:paraId="6FB3DF34">
      <w:pPr>
        <w:spacing w:line="460" w:lineRule="exact"/>
        <w:rPr>
          <w:rFonts w:hint="eastAsia" w:ascii="宋体" w:hAnsi="宋体" w:cs="宋体"/>
          <w:kern w:val="1"/>
          <w:szCs w:val="21"/>
          <w:highlight w:val="none"/>
        </w:rPr>
      </w:pPr>
    </w:p>
    <w:p w14:paraId="72E5CF68">
      <w:pPr>
        <w:spacing w:line="460" w:lineRule="exact"/>
        <w:rPr>
          <w:rFonts w:hint="eastAsia" w:ascii="宋体" w:hAnsi="宋体" w:cs="宋体"/>
          <w:kern w:val="1"/>
          <w:szCs w:val="21"/>
          <w:highlight w:val="none"/>
        </w:rPr>
      </w:pPr>
    </w:p>
    <w:p w14:paraId="46486262">
      <w:pPr>
        <w:spacing w:line="460" w:lineRule="exact"/>
        <w:rPr>
          <w:rFonts w:hint="eastAsia" w:ascii="宋体" w:hAnsi="宋体" w:cs="宋体"/>
          <w:kern w:val="1"/>
          <w:szCs w:val="21"/>
          <w:highlight w:val="none"/>
        </w:rPr>
      </w:pPr>
    </w:p>
    <w:p w14:paraId="1D364A3D">
      <w:pPr>
        <w:spacing w:line="460" w:lineRule="exact"/>
        <w:rPr>
          <w:rFonts w:hint="eastAsia" w:ascii="宋体" w:hAnsi="宋体" w:cs="宋体"/>
          <w:kern w:val="1"/>
          <w:szCs w:val="21"/>
          <w:highlight w:val="none"/>
        </w:rPr>
      </w:pPr>
      <w:r>
        <w:rPr>
          <w:rFonts w:hint="eastAsia" w:ascii="宋体" w:hAnsi="宋体" w:cs="宋体"/>
          <w:kern w:val="1"/>
          <w:szCs w:val="21"/>
          <w:highlight w:val="none"/>
        </w:rPr>
        <w:t>附件十五</w:t>
      </w:r>
    </w:p>
    <w:p w14:paraId="0A8AF596">
      <w:pPr>
        <w:spacing w:line="460" w:lineRule="exact"/>
        <w:rPr>
          <w:rFonts w:hint="eastAsia" w:ascii="宋体" w:hAnsi="宋体" w:cs="宋体"/>
          <w:snapToGrid w:val="0"/>
          <w:szCs w:val="21"/>
          <w:highlight w:val="none"/>
        </w:rPr>
      </w:pPr>
      <w:r>
        <w:rPr>
          <w:rFonts w:hint="eastAsia" w:ascii="宋体" w:hAnsi="宋体" w:cs="宋体"/>
          <w:kern w:val="1"/>
          <w:szCs w:val="21"/>
          <w:highlight w:val="none"/>
        </w:rPr>
        <w:t>注：根据采购文件相关要求及第五部分评标原则及方法→五、评分细则→1.商务技术分的评定→“</w:t>
      </w:r>
      <w:r>
        <w:rPr>
          <w:rFonts w:hint="eastAsia" w:ascii="宋体" w:hAnsi="宋体" w:cs="宋体"/>
          <w:snapToGrid w:val="0"/>
          <w:szCs w:val="21"/>
          <w:highlight w:val="none"/>
        </w:rPr>
        <w:t>实施组织方案”评分内容相关要求提供相关资料，格式自拟。</w:t>
      </w:r>
    </w:p>
    <w:p w14:paraId="79816AD4">
      <w:pPr>
        <w:spacing w:line="460" w:lineRule="exact"/>
        <w:rPr>
          <w:rFonts w:hint="eastAsia" w:ascii="宋体" w:hAnsi="宋体" w:cs="宋体"/>
          <w:kern w:val="1"/>
          <w:szCs w:val="21"/>
          <w:highlight w:val="none"/>
        </w:rPr>
      </w:pPr>
    </w:p>
    <w:p w14:paraId="69BAA6AA">
      <w:pPr>
        <w:spacing w:line="460" w:lineRule="exact"/>
        <w:rPr>
          <w:rFonts w:hint="eastAsia" w:ascii="宋体" w:hAnsi="宋体" w:cs="宋体"/>
          <w:kern w:val="1"/>
          <w:szCs w:val="21"/>
          <w:highlight w:val="none"/>
        </w:rPr>
      </w:pPr>
    </w:p>
    <w:p w14:paraId="46A1EB49">
      <w:pPr>
        <w:spacing w:line="460" w:lineRule="exact"/>
        <w:rPr>
          <w:rFonts w:hint="eastAsia" w:ascii="宋体" w:hAnsi="宋体" w:cs="宋体"/>
          <w:kern w:val="1"/>
          <w:szCs w:val="21"/>
          <w:highlight w:val="none"/>
        </w:rPr>
      </w:pPr>
      <w:r>
        <w:rPr>
          <w:rFonts w:hint="eastAsia" w:ascii="宋体" w:hAnsi="宋体" w:cs="宋体"/>
          <w:kern w:val="1"/>
          <w:szCs w:val="21"/>
          <w:highlight w:val="none"/>
        </w:rPr>
        <w:br w:type="page"/>
      </w:r>
      <w:r>
        <w:rPr>
          <w:rFonts w:hint="eastAsia" w:ascii="宋体" w:hAnsi="宋体" w:cs="宋体"/>
          <w:kern w:val="1"/>
          <w:szCs w:val="21"/>
          <w:highlight w:val="none"/>
        </w:rPr>
        <w:t>附件十六</w:t>
      </w:r>
    </w:p>
    <w:p w14:paraId="596824ED">
      <w:pPr>
        <w:spacing w:line="460" w:lineRule="exact"/>
        <w:jc w:val="center"/>
        <w:rPr>
          <w:rFonts w:hint="eastAsia" w:ascii="宋体" w:hAnsi="宋体" w:cs="宋体"/>
          <w:kern w:val="1"/>
          <w:szCs w:val="21"/>
          <w:highlight w:val="none"/>
        </w:rPr>
      </w:pPr>
      <w:r>
        <w:rPr>
          <w:rFonts w:hint="eastAsia" w:ascii="宋体" w:hAnsi="宋体" w:cs="宋体"/>
          <w:kern w:val="1"/>
          <w:szCs w:val="21"/>
          <w:highlight w:val="none"/>
        </w:rPr>
        <w:t>拟派项目团队情况表</w:t>
      </w:r>
    </w:p>
    <w:p w14:paraId="27AFDE54">
      <w:pPr>
        <w:spacing w:line="560" w:lineRule="exact"/>
        <w:rPr>
          <w:rFonts w:hint="eastAsia" w:ascii="宋体" w:hAnsi="宋体" w:cs="宋体"/>
          <w:b/>
          <w:szCs w:val="21"/>
          <w:highlight w:val="none"/>
        </w:rPr>
      </w:pPr>
      <w:r>
        <w:rPr>
          <w:rFonts w:hint="eastAsia" w:ascii="宋体" w:hAnsi="宋体" w:cs="宋体"/>
          <w:b/>
          <w:szCs w:val="21"/>
          <w:highlight w:val="none"/>
        </w:rPr>
        <w:t xml:space="preserve">项目名称：金海湖信息化展厅网络环境设备                     </w:t>
      </w:r>
    </w:p>
    <w:p w14:paraId="23EC10C8">
      <w:pPr>
        <w:spacing w:line="560" w:lineRule="exact"/>
        <w:rPr>
          <w:rFonts w:hint="eastAsia" w:ascii="宋体" w:hAnsi="宋体" w:cs="宋体"/>
          <w:b/>
          <w:szCs w:val="21"/>
          <w:highlight w:val="none"/>
        </w:rPr>
      </w:pPr>
      <w:r>
        <w:rPr>
          <w:rFonts w:hint="eastAsia" w:ascii="宋体" w:hAnsi="宋体" w:cs="宋体"/>
          <w:b/>
          <w:szCs w:val="21"/>
          <w:highlight w:val="none"/>
        </w:rPr>
        <w:t>项目编号：WGSS-JFJT-ZS-2026004</w:t>
      </w:r>
    </w:p>
    <w:tbl>
      <w:tblPr>
        <w:tblStyle w:val="35"/>
        <w:tblW w:w="959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17"/>
        <w:gridCol w:w="1856"/>
        <w:gridCol w:w="1122"/>
        <w:gridCol w:w="902"/>
        <w:gridCol w:w="1147"/>
        <w:gridCol w:w="1012"/>
        <w:gridCol w:w="1265"/>
        <w:gridCol w:w="1469"/>
      </w:tblGrid>
      <w:tr w14:paraId="609F77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1" w:hRule="atLeast"/>
          <w:jc w:val="center"/>
        </w:trPr>
        <w:tc>
          <w:tcPr>
            <w:tcW w:w="817" w:type="dxa"/>
            <w:noWrap w:val="0"/>
            <w:vAlign w:val="center"/>
          </w:tcPr>
          <w:p w14:paraId="3F2AEE9B">
            <w:pPr>
              <w:spacing w:line="360" w:lineRule="auto"/>
              <w:jc w:val="center"/>
              <w:rPr>
                <w:rFonts w:hint="eastAsia" w:ascii="宋体" w:hAnsi="宋体" w:eastAsia="宋体" w:cs="宋体"/>
                <w:sz w:val="20"/>
                <w:szCs w:val="21"/>
                <w:highlight w:val="none"/>
              </w:rPr>
            </w:pPr>
            <w:r>
              <w:rPr>
                <w:rFonts w:hint="eastAsia" w:ascii="宋体" w:hAnsi="宋体" w:eastAsia="宋体" w:cs="宋体"/>
                <w:sz w:val="20"/>
                <w:szCs w:val="21"/>
                <w:highlight w:val="none"/>
              </w:rPr>
              <w:t>序号</w:t>
            </w:r>
          </w:p>
        </w:tc>
        <w:tc>
          <w:tcPr>
            <w:tcW w:w="1856" w:type="dxa"/>
            <w:noWrap w:val="0"/>
            <w:vAlign w:val="center"/>
          </w:tcPr>
          <w:p w14:paraId="34AD6E89">
            <w:pPr>
              <w:spacing w:line="360" w:lineRule="auto"/>
              <w:jc w:val="center"/>
              <w:rPr>
                <w:rFonts w:hint="eastAsia" w:ascii="宋体" w:hAnsi="宋体" w:eastAsia="宋体" w:cs="宋体"/>
                <w:sz w:val="20"/>
                <w:szCs w:val="21"/>
                <w:highlight w:val="none"/>
              </w:rPr>
            </w:pPr>
            <w:r>
              <w:rPr>
                <w:rFonts w:hint="eastAsia" w:ascii="宋体" w:hAnsi="宋体" w:eastAsia="宋体" w:cs="宋体"/>
                <w:sz w:val="20"/>
                <w:szCs w:val="21"/>
                <w:highlight w:val="none"/>
              </w:rPr>
              <w:t>本项目中的岗位</w:t>
            </w:r>
          </w:p>
        </w:tc>
        <w:tc>
          <w:tcPr>
            <w:tcW w:w="1122" w:type="dxa"/>
            <w:noWrap w:val="0"/>
            <w:vAlign w:val="center"/>
          </w:tcPr>
          <w:p w14:paraId="5A8A2F37">
            <w:pPr>
              <w:spacing w:line="360" w:lineRule="auto"/>
              <w:jc w:val="center"/>
              <w:rPr>
                <w:rFonts w:hint="eastAsia" w:ascii="宋体" w:hAnsi="宋体" w:eastAsia="宋体" w:cs="宋体"/>
                <w:sz w:val="20"/>
                <w:szCs w:val="21"/>
                <w:highlight w:val="none"/>
              </w:rPr>
            </w:pPr>
            <w:r>
              <w:rPr>
                <w:rFonts w:hint="eastAsia" w:ascii="宋体" w:hAnsi="宋体" w:eastAsia="宋体" w:cs="宋体"/>
                <w:sz w:val="20"/>
                <w:szCs w:val="21"/>
                <w:highlight w:val="none"/>
              </w:rPr>
              <w:t>姓名</w:t>
            </w:r>
          </w:p>
        </w:tc>
        <w:tc>
          <w:tcPr>
            <w:tcW w:w="902" w:type="dxa"/>
            <w:noWrap w:val="0"/>
            <w:vAlign w:val="center"/>
          </w:tcPr>
          <w:p w14:paraId="20D13A0B">
            <w:pPr>
              <w:spacing w:line="360" w:lineRule="auto"/>
              <w:jc w:val="center"/>
              <w:rPr>
                <w:rFonts w:hint="eastAsia" w:ascii="宋体" w:hAnsi="宋体" w:eastAsia="宋体" w:cs="宋体"/>
                <w:sz w:val="20"/>
                <w:szCs w:val="21"/>
                <w:highlight w:val="none"/>
              </w:rPr>
            </w:pPr>
            <w:r>
              <w:rPr>
                <w:rFonts w:hint="eastAsia" w:ascii="宋体" w:hAnsi="宋体" w:eastAsia="宋体" w:cs="宋体"/>
                <w:sz w:val="20"/>
                <w:szCs w:val="21"/>
                <w:highlight w:val="none"/>
              </w:rPr>
              <w:t>性别</w:t>
            </w:r>
          </w:p>
        </w:tc>
        <w:tc>
          <w:tcPr>
            <w:tcW w:w="1147" w:type="dxa"/>
            <w:noWrap w:val="0"/>
            <w:vAlign w:val="center"/>
          </w:tcPr>
          <w:p w14:paraId="73A04FB4">
            <w:pPr>
              <w:spacing w:line="360" w:lineRule="auto"/>
              <w:jc w:val="center"/>
              <w:rPr>
                <w:rFonts w:hint="eastAsia" w:ascii="宋体" w:hAnsi="宋体" w:eastAsia="宋体" w:cs="宋体"/>
                <w:sz w:val="20"/>
                <w:szCs w:val="21"/>
                <w:highlight w:val="none"/>
              </w:rPr>
            </w:pPr>
            <w:r>
              <w:rPr>
                <w:rFonts w:hint="eastAsia" w:ascii="宋体" w:hAnsi="宋体" w:eastAsia="宋体" w:cs="宋体"/>
                <w:sz w:val="20"/>
                <w:szCs w:val="21"/>
                <w:highlight w:val="none"/>
              </w:rPr>
              <w:t>年龄</w:t>
            </w:r>
          </w:p>
        </w:tc>
        <w:tc>
          <w:tcPr>
            <w:tcW w:w="1012" w:type="dxa"/>
            <w:noWrap w:val="0"/>
            <w:vAlign w:val="center"/>
          </w:tcPr>
          <w:p w14:paraId="4274A97D">
            <w:pPr>
              <w:spacing w:line="360" w:lineRule="auto"/>
              <w:jc w:val="center"/>
              <w:rPr>
                <w:rFonts w:hint="eastAsia" w:ascii="宋体" w:hAnsi="宋体" w:eastAsia="宋体" w:cs="宋体"/>
                <w:sz w:val="20"/>
                <w:szCs w:val="21"/>
                <w:highlight w:val="none"/>
              </w:rPr>
            </w:pPr>
            <w:r>
              <w:rPr>
                <w:rFonts w:hint="eastAsia" w:ascii="宋体" w:hAnsi="宋体" w:eastAsia="宋体" w:cs="宋体"/>
                <w:sz w:val="20"/>
                <w:szCs w:val="21"/>
                <w:highlight w:val="none"/>
              </w:rPr>
              <w:t>学历</w:t>
            </w:r>
          </w:p>
        </w:tc>
        <w:tc>
          <w:tcPr>
            <w:tcW w:w="1265" w:type="dxa"/>
            <w:noWrap w:val="0"/>
            <w:vAlign w:val="center"/>
          </w:tcPr>
          <w:p w14:paraId="34943177">
            <w:pPr>
              <w:spacing w:line="360" w:lineRule="auto"/>
              <w:jc w:val="center"/>
              <w:rPr>
                <w:rFonts w:hint="eastAsia" w:ascii="宋体" w:hAnsi="宋体" w:eastAsia="宋体" w:cs="宋体"/>
                <w:sz w:val="20"/>
                <w:szCs w:val="21"/>
                <w:highlight w:val="none"/>
              </w:rPr>
            </w:pPr>
            <w:r>
              <w:rPr>
                <w:rFonts w:hint="eastAsia" w:ascii="宋体" w:hAnsi="宋体" w:eastAsia="宋体" w:cs="宋体"/>
                <w:sz w:val="20"/>
                <w:szCs w:val="21"/>
                <w:highlight w:val="none"/>
              </w:rPr>
              <w:t>职称/职务</w:t>
            </w:r>
          </w:p>
        </w:tc>
        <w:tc>
          <w:tcPr>
            <w:tcW w:w="1469" w:type="dxa"/>
            <w:noWrap w:val="0"/>
            <w:vAlign w:val="center"/>
          </w:tcPr>
          <w:p w14:paraId="59D90771">
            <w:pPr>
              <w:spacing w:line="360" w:lineRule="auto"/>
              <w:jc w:val="center"/>
              <w:rPr>
                <w:rFonts w:hint="eastAsia" w:ascii="宋体" w:hAnsi="宋体" w:eastAsia="宋体" w:cs="宋体"/>
                <w:sz w:val="20"/>
                <w:szCs w:val="21"/>
                <w:highlight w:val="none"/>
              </w:rPr>
            </w:pPr>
            <w:r>
              <w:rPr>
                <w:rFonts w:hint="eastAsia" w:ascii="宋体" w:hAnsi="宋体" w:eastAsia="宋体" w:cs="宋体"/>
                <w:sz w:val="20"/>
                <w:szCs w:val="21"/>
                <w:highlight w:val="none"/>
              </w:rPr>
              <w:t>联系方式</w:t>
            </w:r>
          </w:p>
        </w:tc>
      </w:tr>
      <w:tr w14:paraId="12BE0C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0" w:hRule="exact"/>
          <w:jc w:val="center"/>
        </w:trPr>
        <w:tc>
          <w:tcPr>
            <w:tcW w:w="817" w:type="dxa"/>
            <w:noWrap w:val="0"/>
            <w:vAlign w:val="center"/>
          </w:tcPr>
          <w:p w14:paraId="70ED7B10">
            <w:pPr>
              <w:spacing w:line="360" w:lineRule="auto"/>
              <w:jc w:val="center"/>
              <w:rPr>
                <w:rFonts w:hint="eastAsia" w:ascii="宋体" w:hAnsi="宋体" w:eastAsia="宋体" w:cs="宋体"/>
                <w:sz w:val="20"/>
                <w:szCs w:val="21"/>
                <w:highlight w:val="none"/>
              </w:rPr>
            </w:pPr>
            <w:r>
              <w:rPr>
                <w:rFonts w:hint="eastAsia" w:ascii="宋体" w:hAnsi="宋体" w:eastAsia="宋体" w:cs="宋体"/>
                <w:sz w:val="20"/>
                <w:szCs w:val="21"/>
                <w:highlight w:val="none"/>
              </w:rPr>
              <w:t>1</w:t>
            </w:r>
          </w:p>
        </w:tc>
        <w:tc>
          <w:tcPr>
            <w:tcW w:w="1856" w:type="dxa"/>
            <w:noWrap w:val="0"/>
            <w:vAlign w:val="center"/>
          </w:tcPr>
          <w:p w14:paraId="358502F0">
            <w:pPr>
              <w:spacing w:line="360" w:lineRule="auto"/>
              <w:jc w:val="center"/>
              <w:rPr>
                <w:rFonts w:hint="eastAsia" w:ascii="宋体" w:hAnsi="宋体" w:eastAsia="宋体" w:cs="宋体"/>
                <w:sz w:val="20"/>
                <w:szCs w:val="21"/>
                <w:highlight w:val="none"/>
              </w:rPr>
            </w:pPr>
            <w:r>
              <w:rPr>
                <w:rFonts w:hint="eastAsia" w:ascii="宋体" w:hAnsi="宋体" w:eastAsia="宋体" w:cs="宋体"/>
                <w:sz w:val="20"/>
                <w:szCs w:val="21"/>
                <w:highlight w:val="none"/>
              </w:rPr>
              <w:t>项目负责人</w:t>
            </w:r>
          </w:p>
        </w:tc>
        <w:tc>
          <w:tcPr>
            <w:tcW w:w="1122" w:type="dxa"/>
            <w:noWrap w:val="0"/>
            <w:vAlign w:val="center"/>
          </w:tcPr>
          <w:p w14:paraId="0C3D442E">
            <w:pPr>
              <w:spacing w:line="360" w:lineRule="auto"/>
              <w:jc w:val="center"/>
              <w:rPr>
                <w:rFonts w:hint="eastAsia" w:ascii="宋体" w:hAnsi="宋体" w:cs="宋体"/>
                <w:sz w:val="22"/>
                <w:highlight w:val="none"/>
              </w:rPr>
            </w:pPr>
          </w:p>
        </w:tc>
        <w:tc>
          <w:tcPr>
            <w:tcW w:w="902" w:type="dxa"/>
            <w:noWrap w:val="0"/>
            <w:vAlign w:val="center"/>
          </w:tcPr>
          <w:p w14:paraId="2E72F49C">
            <w:pPr>
              <w:spacing w:line="360" w:lineRule="auto"/>
              <w:jc w:val="center"/>
              <w:rPr>
                <w:rFonts w:hint="eastAsia" w:ascii="宋体" w:hAnsi="宋体" w:cs="宋体"/>
                <w:sz w:val="22"/>
                <w:highlight w:val="none"/>
              </w:rPr>
            </w:pPr>
          </w:p>
        </w:tc>
        <w:tc>
          <w:tcPr>
            <w:tcW w:w="1147" w:type="dxa"/>
            <w:noWrap w:val="0"/>
            <w:vAlign w:val="center"/>
          </w:tcPr>
          <w:p w14:paraId="029C4B58">
            <w:pPr>
              <w:spacing w:line="360" w:lineRule="auto"/>
              <w:jc w:val="center"/>
              <w:rPr>
                <w:rFonts w:hint="eastAsia" w:ascii="宋体" w:hAnsi="宋体" w:cs="宋体"/>
                <w:sz w:val="22"/>
                <w:highlight w:val="none"/>
              </w:rPr>
            </w:pPr>
          </w:p>
        </w:tc>
        <w:tc>
          <w:tcPr>
            <w:tcW w:w="1012" w:type="dxa"/>
            <w:noWrap w:val="0"/>
            <w:vAlign w:val="center"/>
          </w:tcPr>
          <w:p w14:paraId="336DEE23">
            <w:pPr>
              <w:spacing w:line="360" w:lineRule="auto"/>
              <w:jc w:val="center"/>
              <w:rPr>
                <w:rFonts w:hint="eastAsia" w:ascii="宋体" w:hAnsi="宋体" w:cs="宋体"/>
                <w:sz w:val="22"/>
                <w:highlight w:val="none"/>
              </w:rPr>
            </w:pPr>
          </w:p>
        </w:tc>
        <w:tc>
          <w:tcPr>
            <w:tcW w:w="1265" w:type="dxa"/>
            <w:noWrap w:val="0"/>
            <w:vAlign w:val="center"/>
          </w:tcPr>
          <w:p w14:paraId="261C9B62">
            <w:pPr>
              <w:spacing w:line="360" w:lineRule="auto"/>
              <w:jc w:val="center"/>
              <w:rPr>
                <w:rFonts w:ascii="宋体" w:hAnsi="宋体" w:eastAsia="宋体" w:cs="宋体"/>
                <w:sz w:val="20"/>
                <w:szCs w:val="21"/>
                <w:highlight w:val="none"/>
              </w:rPr>
            </w:pPr>
          </w:p>
        </w:tc>
        <w:tc>
          <w:tcPr>
            <w:tcW w:w="1469" w:type="dxa"/>
            <w:noWrap w:val="0"/>
            <w:vAlign w:val="center"/>
          </w:tcPr>
          <w:p w14:paraId="07C6B22B">
            <w:pPr>
              <w:spacing w:line="360" w:lineRule="auto"/>
              <w:jc w:val="center"/>
              <w:rPr>
                <w:rFonts w:hint="eastAsia" w:ascii="宋体" w:hAnsi="宋体" w:cs="宋体"/>
                <w:sz w:val="22"/>
                <w:highlight w:val="none"/>
              </w:rPr>
            </w:pPr>
          </w:p>
        </w:tc>
      </w:tr>
      <w:tr w14:paraId="589C1C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0" w:hRule="exact"/>
          <w:jc w:val="center"/>
        </w:trPr>
        <w:tc>
          <w:tcPr>
            <w:tcW w:w="817" w:type="dxa"/>
            <w:noWrap w:val="0"/>
            <w:vAlign w:val="center"/>
          </w:tcPr>
          <w:p w14:paraId="1B4D9CF4">
            <w:pPr>
              <w:spacing w:line="360" w:lineRule="auto"/>
              <w:jc w:val="center"/>
              <w:rPr>
                <w:rFonts w:hint="eastAsia" w:ascii="宋体" w:hAnsi="宋体" w:eastAsia="宋体" w:cs="宋体"/>
                <w:sz w:val="20"/>
                <w:szCs w:val="21"/>
                <w:highlight w:val="none"/>
              </w:rPr>
            </w:pPr>
            <w:r>
              <w:rPr>
                <w:rFonts w:hint="eastAsia" w:ascii="宋体" w:hAnsi="宋体" w:eastAsia="宋体" w:cs="宋体"/>
                <w:sz w:val="20"/>
                <w:szCs w:val="21"/>
                <w:highlight w:val="none"/>
              </w:rPr>
              <w:t>2</w:t>
            </w:r>
          </w:p>
        </w:tc>
        <w:tc>
          <w:tcPr>
            <w:tcW w:w="1856" w:type="dxa"/>
            <w:noWrap w:val="0"/>
            <w:vAlign w:val="center"/>
          </w:tcPr>
          <w:p w14:paraId="60CEC47C">
            <w:pPr>
              <w:spacing w:line="360" w:lineRule="auto"/>
              <w:jc w:val="center"/>
              <w:rPr>
                <w:rFonts w:hint="eastAsia" w:ascii="宋体" w:hAnsi="宋体" w:eastAsia="宋体" w:cs="宋体"/>
                <w:sz w:val="20"/>
                <w:szCs w:val="21"/>
                <w:highlight w:val="none"/>
              </w:rPr>
            </w:pPr>
            <w:r>
              <w:rPr>
                <w:rFonts w:hint="eastAsia" w:ascii="宋体" w:hAnsi="宋体" w:eastAsia="宋体" w:cs="宋体"/>
                <w:sz w:val="20"/>
                <w:szCs w:val="21"/>
                <w:highlight w:val="none"/>
              </w:rPr>
              <w:t>...</w:t>
            </w:r>
          </w:p>
        </w:tc>
        <w:tc>
          <w:tcPr>
            <w:tcW w:w="1122" w:type="dxa"/>
            <w:noWrap w:val="0"/>
            <w:vAlign w:val="center"/>
          </w:tcPr>
          <w:p w14:paraId="2BC6C253">
            <w:pPr>
              <w:spacing w:line="360" w:lineRule="auto"/>
              <w:jc w:val="center"/>
              <w:rPr>
                <w:rFonts w:hint="eastAsia" w:ascii="宋体" w:hAnsi="宋体" w:cs="宋体"/>
                <w:sz w:val="22"/>
                <w:highlight w:val="none"/>
              </w:rPr>
            </w:pPr>
            <w:r>
              <w:rPr>
                <w:rFonts w:hint="eastAsia" w:ascii="宋体" w:hAnsi="宋体" w:cs="宋体"/>
                <w:sz w:val="22"/>
                <w:highlight w:val="none"/>
              </w:rPr>
              <w:t>...</w:t>
            </w:r>
          </w:p>
        </w:tc>
        <w:tc>
          <w:tcPr>
            <w:tcW w:w="902" w:type="dxa"/>
            <w:noWrap w:val="0"/>
            <w:vAlign w:val="center"/>
          </w:tcPr>
          <w:p w14:paraId="49FFF316">
            <w:pPr>
              <w:spacing w:line="360" w:lineRule="auto"/>
              <w:jc w:val="center"/>
              <w:rPr>
                <w:rFonts w:hint="eastAsia" w:ascii="宋体" w:hAnsi="宋体" w:cs="宋体"/>
                <w:sz w:val="22"/>
                <w:highlight w:val="none"/>
              </w:rPr>
            </w:pPr>
          </w:p>
        </w:tc>
        <w:tc>
          <w:tcPr>
            <w:tcW w:w="1147" w:type="dxa"/>
            <w:noWrap w:val="0"/>
            <w:vAlign w:val="center"/>
          </w:tcPr>
          <w:p w14:paraId="5591044A">
            <w:pPr>
              <w:spacing w:line="360" w:lineRule="auto"/>
              <w:jc w:val="center"/>
              <w:rPr>
                <w:rFonts w:hint="eastAsia" w:ascii="宋体" w:hAnsi="宋体" w:cs="宋体"/>
                <w:sz w:val="22"/>
                <w:highlight w:val="none"/>
              </w:rPr>
            </w:pPr>
          </w:p>
        </w:tc>
        <w:tc>
          <w:tcPr>
            <w:tcW w:w="1012" w:type="dxa"/>
            <w:noWrap w:val="0"/>
            <w:vAlign w:val="center"/>
          </w:tcPr>
          <w:p w14:paraId="4F59EDFF">
            <w:pPr>
              <w:spacing w:line="360" w:lineRule="auto"/>
              <w:jc w:val="center"/>
              <w:rPr>
                <w:rFonts w:hint="eastAsia" w:ascii="宋体" w:hAnsi="宋体" w:cs="宋体"/>
                <w:sz w:val="22"/>
                <w:highlight w:val="none"/>
              </w:rPr>
            </w:pPr>
          </w:p>
        </w:tc>
        <w:tc>
          <w:tcPr>
            <w:tcW w:w="1265" w:type="dxa"/>
            <w:noWrap w:val="0"/>
            <w:vAlign w:val="center"/>
          </w:tcPr>
          <w:p w14:paraId="045D654A">
            <w:pPr>
              <w:spacing w:line="360" w:lineRule="auto"/>
              <w:jc w:val="center"/>
              <w:rPr>
                <w:rFonts w:hint="eastAsia" w:ascii="宋体" w:hAnsi="宋体" w:cs="宋体"/>
                <w:sz w:val="22"/>
                <w:highlight w:val="none"/>
              </w:rPr>
            </w:pPr>
          </w:p>
        </w:tc>
        <w:tc>
          <w:tcPr>
            <w:tcW w:w="1469" w:type="dxa"/>
            <w:noWrap w:val="0"/>
            <w:vAlign w:val="top"/>
          </w:tcPr>
          <w:p w14:paraId="5F083EF2">
            <w:pPr>
              <w:spacing w:line="360" w:lineRule="auto"/>
              <w:jc w:val="center"/>
              <w:rPr>
                <w:rFonts w:hint="eastAsia" w:ascii="宋体" w:hAnsi="宋体" w:cs="宋体"/>
                <w:sz w:val="22"/>
                <w:highlight w:val="none"/>
              </w:rPr>
            </w:pPr>
          </w:p>
        </w:tc>
      </w:tr>
      <w:tr w14:paraId="1B0976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0" w:hRule="exact"/>
          <w:jc w:val="center"/>
        </w:trPr>
        <w:tc>
          <w:tcPr>
            <w:tcW w:w="817" w:type="dxa"/>
            <w:noWrap w:val="0"/>
            <w:vAlign w:val="center"/>
          </w:tcPr>
          <w:p w14:paraId="0831EB33">
            <w:pPr>
              <w:spacing w:line="360" w:lineRule="auto"/>
              <w:jc w:val="center"/>
              <w:rPr>
                <w:rFonts w:ascii="宋体" w:hAnsi="宋体" w:eastAsia="宋体" w:cs="宋体"/>
                <w:sz w:val="20"/>
                <w:szCs w:val="21"/>
                <w:highlight w:val="none"/>
              </w:rPr>
            </w:pPr>
            <w:r>
              <w:rPr>
                <w:rFonts w:hint="eastAsia" w:ascii="宋体" w:hAnsi="宋体" w:eastAsia="宋体" w:cs="宋体"/>
                <w:sz w:val="20"/>
                <w:szCs w:val="21"/>
                <w:highlight w:val="none"/>
              </w:rPr>
              <w:t>3</w:t>
            </w:r>
          </w:p>
        </w:tc>
        <w:tc>
          <w:tcPr>
            <w:tcW w:w="1856" w:type="dxa"/>
            <w:noWrap w:val="0"/>
            <w:vAlign w:val="center"/>
          </w:tcPr>
          <w:p w14:paraId="0E9A1F71">
            <w:pPr>
              <w:spacing w:line="360" w:lineRule="auto"/>
              <w:jc w:val="center"/>
              <w:rPr>
                <w:rFonts w:hint="eastAsia" w:ascii="宋体" w:hAnsi="宋体" w:eastAsia="宋体" w:cs="宋体"/>
                <w:sz w:val="20"/>
                <w:szCs w:val="21"/>
                <w:highlight w:val="none"/>
              </w:rPr>
            </w:pPr>
            <w:r>
              <w:rPr>
                <w:rFonts w:hint="eastAsia" w:ascii="宋体" w:hAnsi="宋体" w:eastAsia="宋体" w:cs="宋体"/>
                <w:sz w:val="20"/>
                <w:szCs w:val="21"/>
                <w:highlight w:val="none"/>
              </w:rPr>
              <w:t>...</w:t>
            </w:r>
          </w:p>
        </w:tc>
        <w:tc>
          <w:tcPr>
            <w:tcW w:w="1122" w:type="dxa"/>
            <w:noWrap w:val="0"/>
            <w:vAlign w:val="center"/>
          </w:tcPr>
          <w:p w14:paraId="4F6B17BB">
            <w:pPr>
              <w:spacing w:line="360" w:lineRule="auto"/>
              <w:jc w:val="center"/>
              <w:rPr>
                <w:rFonts w:hint="eastAsia" w:ascii="宋体" w:hAnsi="宋体" w:cs="宋体"/>
                <w:sz w:val="22"/>
                <w:highlight w:val="none"/>
              </w:rPr>
            </w:pPr>
            <w:r>
              <w:rPr>
                <w:rFonts w:hint="eastAsia" w:ascii="宋体" w:hAnsi="宋体" w:cs="宋体"/>
                <w:sz w:val="22"/>
                <w:highlight w:val="none"/>
              </w:rPr>
              <w:t>...</w:t>
            </w:r>
          </w:p>
        </w:tc>
        <w:tc>
          <w:tcPr>
            <w:tcW w:w="902" w:type="dxa"/>
            <w:noWrap w:val="0"/>
            <w:vAlign w:val="center"/>
          </w:tcPr>
          <w:p w14:paraId="463C3E5C">
            <w:pPr>
              <w:spacing w:line="360" w:lineRule="auto"/>
              <w:jc w:val="center"/>
              <w:rPr>
                <w:rFonts w:hint="eastAsia" w:ascii="宋体" w:hAnsi="宋体" w:cs="宋体"/>
                <w:sz w:val="22"/>
                <w:highlight w:val="none"/>
              </w:rPr>
            </w:pPr>
          </w:p>
        </w:tc>
        <w:tc>
          <w:tcPr>
            <w:tcW w:w="1147" w:type="dxa"/>
            <w:noWrap w:val="0"/>
            <w:vAlign w:val="center"/>
          </w:tcPr>
          <w:p w14:paraId="19AAEBF6">
            <w:pPr>
              <w:spacing w:line="360" w:lineRule="auto"/>
              <w:jc w:val="center"/>
              <w:rPr>
                <w:rFonts w:hint="eastAsia" w:ascii="宋体" w:hAnsi="宋体" w:cs="宋体"/>
                <w:sz w:val="22"/>
                <w:highlight w:val="none"/>
              </w:rPr>
            </w:pPr>
          </w:p>
        </w:tc>
        <w:tc>
          <w:tcPr>
            <w:tcW w:w="1012" w:type="dxa"/>
            <w:noWrap w:val="0"/>
            <w:vAlign w:val="center"/>
          </w:tcPr>
          <w:p w14:paraId="7EAE882C">
            <w:pPr>
              <w:spacing w:line="360" w:lineRule="auto"/>
              <w:jc w:val="center"/>
              <w:rPr>
                <w:rFonts w:hint="eastAsia" w:ascii="宋体" w:hAnsi="宋体" w:cs="宋体"/>
                <w:sz w:val="22"/>
                <w:highlight w:val="none"/>
              </w:rPr>
            </w:pPr>
          </w:p>
        </w:tc>
        <w:tc>
          <w:tcPr>
            <w:tcW w:w="1265" w:type="dxa"/>
            <w:noWrap w:val="0"/>
            <w:vAlign w:val="center"/>
          </w:tcPr>
          <w:p w14:paraId="37915CCF">
            <w:pPr>
              <w:spacing w:line="360" w:lineRule="auto"/>
              <w:jc w:val="center"/>
              <w:rPr>
                <w:rFonts w:hint="eastAsia" w:ascii="宋体" w:hAnsi="宋体" w:cs="宋体"/>
                <w:sz w:val="22"/>
                <w:highlight w:val="none"/>
              </w:rPr>
            </w:pPr>
          </w:p>
        </w:tc>
        <w:tc>
          <w:tcPr>
            <w:tcW w:w="1469" w:type="dxa"/>
            <w:noWrap w:val="0"/>
            <w:vAlign w:val="center"/>
          </w:tcPr>
          <w:p w14:paraId="432DCCC6">
            <w:pPr>
              <w:spacing w:line="360" w:lineRule="auto"/>
              <w:jc w:val="center"/>
              <w:rPr>
                <w:rFonts w:hint="eastAsia" w:ascii="宋体" w:hAnsi="宋体" w:cs="宋体"/>
                <w:sz w:val="22"/>
                <w:highlight w:val="none"/>
              </w:rPr>
            </w:pPr>
          </w:p>
        </w:tc>
      </w:tr>
      <w:tr w14:paraId="7B0B07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0" w:hRule="exact"/>
          <w:jc w:val="center"/>
        </w:trPr>
        <w:tc>
          <w:tcPr>
            <w:tcW w:w="817" w:type="dxa"/>
            <w:noWrap w:val="0"/>
            <w:vAlign w:val="center"/>
          </w:tcPr>
          <w:p w14:paraId="29AD8F84">
            <w:pPr>
              <w:spacing w:line="360" w:lineRule="auto"/>
              <w:jc w:val="center"/>
              <w:rPr>
                <w:rFonts w:hint="eastAsia" w:ascii="宋体" w:hAnsi="宋体" w:eastAsia="宋体" w:cs="宋体"/>
                <w:sz w:val="20"/>
                <w:szCs w:val="21"/>
                <w:highlight w:val="none"/>
              </w:rPr>
            </w:pPr>
            <w:r>
              <w:rPr>
                <w:rFonts w:hint="eastAsia" w:ascii="宋体" w:hAnsi="宋体" w:eastAsia="宋体" w:cs="宋体"/>
                <w:sz w:val="20"/>
                <w:szCs w:val="21"/>
                <w:highlight w:val="none"/>
              </w:rPr>
              <w:t>...</w:t>
            </w:r>
          </w:p>
        </w:tc>
        <w:tc>
          <w:tcPr>
            <w:tcW w:w="1856" w:type="dxa"/>
            <w:noWrap w:val="0"/>
            <w:vAlign w:val="center"/>
          </w:tcPr>
          <w:p w14:paraId="524EE19A">
            <w:pPr>
              <w:spacing w:line="360" w:lineRule="auto"/>
              <w:jc w:val="center"/>
              <w:rPr>
                <w:rFonts w:hint="eastAsia" w:ascii="宋体" w:hAnsi="宋体" w:eastAsia="宋体" w:cs="宋体"/>
                <w:sz w:val="20"/>
                <w:szCs w:val="21"/>
                <w:highlight w:val="none"/>
              </w:rPr>
            </w:pPr>
            <w:r>
              <w:rPr>
                <w:rFonts w:hint="eastAsia" w:ascii="宋体" w:hAnsi="宋体" w:eastAsia="宋体" w:cs="宋体"/>
                <w:sz w:val="20"/>
                <w:szCs w:val="21"/>
                <w:highlight w:val="none"/>
              </w:rPr>
              <w:t>...</w:t>
            </w:r>
          </w:p>
        </w:tc>
        <w:tc>
          <w:tcPr>
            <w:tcW w:w="1122" w:type="dxa"/>
            <w:noWrap w:val="0"/>
            <w:vAlign w:val="center"/>
          </w:tcPr>
          <w:p w14:paraId="054A4380">
            <w:pPr>
              <w:spacing w:line="360" w:lineRule="auto"/>
              <w:jc w:val="center"/>
              <w:rPr>
                <w:rFonts w:hint="eastAsia" w:ascii="宋体" w:hAnsi="宋体" w:cs="宋体"/>
                <w:sz w:val="22"/>
                <w:highlight w:val="none"/>
              </w:rPr>
            </w:pPr>
            <w:r>
              <w:rPr>
                <w:rFonts w:hint="eastAsia" w:ascii="宋体" w:hAnsi="宋体" w:cs="宋体"/>
                <w:sz w:val="22"/>
                <w:highlight w:val="none"/>
              </w:rPr>
              <w:t>...</w:t>
            </w:r>
          </w:p>
        </w:tc>
        <w:tc>
          <w:tcPr>
            <w:tcW w:w="902" w:type="dxa"/>
            <w:noWrap w:val="0"/>
            <w:vAlign w:val="center"/>
          </w:tcPr>
          <w:p w14:paraId="592DD37E">
            <w:pPr>
              <w:spacing w:line="360" w:lineRule="auto"/>
              <w:jc w:val="center"/>
              <w:rPr>
                <w:rFonts w:hint="eastAsia" w:ascii="宋体" w:hAnsi="宋体" w:cs="宋体"/>
                <w:sz w:val="22"/>
                <w:highlight w:val="none"/>
              </w:rPr>
            </w:pPr>
          </w:p>
        </w:tc>
        <w:tc>
          <w:tcPr>
            <w:tcW w:w="1147" w:type="dxa"/>
            <w:noWrap w:val="0"/>
            <w:vAlign w:val="center"/>
          </w:tcPr>
          <w:p w14:paraId="5F71B80D">
            <w:pPr>
              <w:spacing w:line="360" w:lineRule="auto"/>
              <w:jc w:val="center"/>
              <w:rPr>
                <w:rFonts w:hint="eastAsia" w:ascii="宋体" w:hAnsi="宋体" w:cs="宋体"/>
                <w:sz w:val="22"/>
                <w:highlight w:val="none"/>
              </w:rPr>
            </w:pPr>
          </w:p>
        </w:tc>
        <w:tc>
          <w:tcPr>
            <w:tcW w:w="1012" w:type="dxa"/>
            <w:noWrap w:val="0"/>
            <w:vAlign w:val="center"/>
          </w:tcPr>
          <w:p w14:paraId="72E41739">
            <w:pPr>
              <w:spacing w:line="360" w:lineRule="auto"/>
              <w:jc w:val="center"/>
              <w:rPr>
                <w:rFonts w:hint="eastAsia" w:ascii="宋体" w:hAnsi="宋体" w:cs="宋体"/>
                <w:sz w:val="22"/>
                <w:highlight w:val="none"/>
              </w:rPr>
            </w:pPr>
          </w:p>
        </w:tc>
        <w:tc>
          <w:tcPr>
            <w:tcW w:w="1265" w:type="dxa"/>
            <w:noWrap w:val="0"/>
            <w:vAlign w:val="center"/>
          </w:tcPr>
          <w:p w14:paraId="24DFB052">
            <w:pPr>
              <w:spacing w:line="360" w:lineRule="auto"/>
              <w:jc w:val="center"/>
              <w:rPr>
                <w:rFonts w:hint="eastAsia" w:ascii="宋体" w:hAnsi="宋体" w:cs="宋体"/>
                <w:sz w:val="22"/>
                <w:highlight w:val="none"/>
              </w:rPr>
            </w:pPr>
          </w:p>
        </w:tc>
        <w:tc>
          <w:tcPr>
            <w:tcW w:w="1469" w:type="dxa"/>
            <w:noWrap w:val="0"/>
            <w:vAlign w:val="top"/>
          </w:tcPr>
          <w:p w14:paraId="1D64764E">
            <w:pPr>
              <w:spacing w:line="360" w:lineRule="auto"/>
              <w:jc w:val="center"/>
              <w:rPr>
                <w:rFonts w:hint="eastAsia" w:ascii="宋体" w:hAnsi="宋体" w:cs="宋体"/>
                <w:sz w:val="22"/>
                <w:highlight w:val="none"/>
              </w:rPr>
            </w:pPr>
          </w:p>
        </w:tc>
      </w:tr>
      <w:tr w14:paraId="36363E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0" w:hRule="exact"/>
          <w:jc w:val="center"/>
        </w:trPr>
        <w:tc>
          <w:tcPr>
            <w:tcW w:w="817" w:type="dxa"/>
            <w:noWrap w:val="0"/>
            <w:vAlign w:val="center"/>
          </w:tcPr>
          <w:p w14:paraId="5D835C57">
            <w:pPr>
              <w:spacing w:line="360" w:lineRule="auto"/>
              <w:jc w:val="center"/>
              <w:rPr>
                <w:rFonts w:hint="eastAsia" w:ascii="宋体" w:hAnsi="宋体" w:eastAsia="宋体" w:cs="宋体"/>
                <w:sz w:val="20"/>
                <w:szCs w:val="21"/>
                <w:highlight w:val="none"/>
              </w:rPr>
            </w:pPr>
            <w:r>
              <w:rPr>
                <w:rFonts w:hint="eastAsia" w:ascii="宋体" w:hAnsi="宋体" w:eastAsia="宋体" w:cs="宋体"/>
                <w:sz w:val="20"/>
                <w:szCs w:val="21"/>
                <w:highlight w:val="none"/>
              </w:rPr>
              <w:t>...</w:t>
            </w:r>
          </w:p>
        </w:tc>
        <w:tc>
          <w:tcPr>
            <w:tcW w:w="1856" w:type="dxa"/>
            <w:noWrap w:val="0"/>
            <w:vAlign w:val="center"/>
          </w:tcPr>
          <w:p w14:paraId="6DF0D2B7">
            <w:pPr>
              <w:spacing w:line="360" w:lineRule="auto"/>
              <w:jc w:val="center"/>
              <w:rPr>
                <w:rFonts w:hint="eastAsia" w:ascii="宋体" w:hAnsi="宋体" w:eastAsia="宋体" w:cs="宋体"/>
                <w:sz w:val="20"/>
                <w:szCs w:val="21"/>
                <w:highlight w:val="none"/>
              </w:rPr>
            </w:pPr>
            <w:r>
              <w:rPr>
                <w:rFonts w:hint="eastAsia" w:ascii="宋体" w:hAnsi="宋体" w:eastAsia="宋体" w:cs="宋体"/>
                <w:sz w:val="20"/>
                <w:szCs w:val="21"/>
                <w:highlight w:val="none"/>
              </w:rPr>
              <w:t>...</w:t>
            </w:r>
          </w:p>
        </w:tc>
        <w:tc>
          <w:tcPr>
            <w:tcW w:w="1122" w:type="dxa"/>
            <w:noWrap w:val="0"/>
            <w:vAlign w:val="center"/>
          </w:tcPr>
          <w:p w14:paraId="671CA204">
            <w:pPr>
              <w:spacing w:line="360" w:lineRule="auto"/>
              <w:jc w:val="center"/>
              <w:rPr>
                <w:rFonts w:hint="eastAsia" w:ascii="宋体" w:hAnsi="宋体" w:cs="宋体"/>
                <w:sz w:val="22"/>
                <w:highlight w:val="none"/>
              </w:rPr>
            </w:pPr>
            <w:r>
              <w:rPr>
                <w:rFonts w:hint="eastAsia" w:ascii="宋体" w:hAnsi="宋体" w:cs="宋体"/>
                <w:sz w:val="22"/>
                <w:highlight w:val="none"/>
              </w:rPr>
              <w:t>...</w:t>
            </w:r>
          </w:p>
        </w:tc>
        <w:tc>
          <w:tcPr>
            <w:tcW w:w="902" w:type="dxa"/>
            <w:noWrap w:val="0"/>
            <w:vAlign w:val="center"/>
          </w:tcPr>
          <w:p w14:paraId="1BA7B480">
            <w:pPr>
              <w:spacing w:line="360" w:lineRule="auto"/>
              <w:jc w:val="center"/>
              <w:rPr>
                <w:rFonts w:hint="eastAsia" w:ascii="宋体" w:hAnsi="宋体" w:cs="宋体"/>
                <w:sz w:val="22"/>
                <w:highlight w:val="none"/>
              </w:rPr>
            </w:pPr>
          </w:p>
        </w:tc>
        <w:tc>
          <w:tcPr>
            <w:tcW w:w="1147" w:type="dxa"/>
            <w:noWrap w:val="0"/>
            <w:vAlign w:val="center"/>
          </w:tcPr>
          <w:p w14:paraId="551BCAD4">
            <w:pPr>
              <w:spacing w:line="360" w:lineRule="auto"/>
              <w:jc w:val="center"/>
              <w:rPr>
                <w:rFonts w:hint="eastAsia" w:ascii="宋体" w:hAnsi="宋体" w:cs="宋体"/>
                <w:sz w:val="22"/>
                <w:highlight w:val="none"/>
              </w:rPr>
            </w:pPr>
          </w:p>
        </w:tc>
        <w:tc>
          <w:tcPr>
            <w:tcW w:w="1012" w:type="dxa"/>
            <w:noWrap w:val="0"/>
            <w:vAlign w:val="center"/>
          </w:tcPr>
          <w:p w14:paraId="53D9148D">
            <w:pPr>
              <w:spacing w:line="360" w:lineRule="auto"/>
              <w:jc w:val="center"/>
              <w:rPr>
                <w:rFonts w:hint="eastAsia" w:ascii="宋体" w:hAnsi="宋体" w:cs="宋体"/>
                <w:sz w:val="22"/>
                <w:highlight w:val="none"/>
              </w:rPr>
            </w:pPr>
          </w:p>
        </w:tc>
        <w:tc>
          <w:tcPr>
            <w:tcW w:w="1265" w:type="dxa"/>
            <w:noWrap w:val="0"/>
            <w:vAlign w:val="center"/>
          </w:tcPr>
          <w:p w14:paraId="616DB4B0">
            <w:pPr>
              <w:spacing w:line="360" w:lineRule="auto"/>
              <w:jc w:val="center"/>
              <w:rPr>
                <w:rFonts w:hint="eastAsia" w:ascii="宋体" w:hAnsi="宋体" w:cs="宋体"/>
                <w:sz w:val="22"/>
                <w:highlight w:val="none"/>
              </w:rPr>
            </w:pPr>
          </w:p>
        </w:tc>
        <w:tc>
          <w:tcPr>
            <w:tcW w:w="1469" w:type="dxa"/>
            <w:noWrap w:val="0"/>
            <w:vAlign w:val="top"/>
          </w:tcPr>
          <w:p w14:paraId="1C8B0F92">
            <w:pPr>
              <w:spacing w:line="360" w:lineRule="auto"/>
              <w:jc w:val="center"/>
              <w:rPr>
                <w:rFonts w:hint="eastAsia" w:ascii="宋体" w:hAnsi="宋体" w:cs="宋体"/>
                <w:sz w:val="22"/>
                <w:highlight w:val="none"/>
              </w:rPr>
            </w:pPr>
          </w:p>
        </w:tc>
      </w:tr>
      <w:tr w14:paraId="49301D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0" w:hRule="exact"/>
          <w:jc w:val="center"/>
        </w:trPr>
        <w:tc>
          <w:tcPr>
            <w:tcW w:w="817" w:type="dxa"/>
            <w:noWrap w:val="0"/>
            <w:vAlign w:val="center"/>
          </w:tcPr>
          <w:p w14:paraId="43B6C9CC">
            <w:pPr>
              <w:spacing w:line="360" w:lineRule="auto"/>
              <w:jc w:val="center"/>
              <w:rPr>
                <w:rFonts w:hint="eastAsia" w:ascii="宋体" w:hAnsi="宋体" w:cs="宋体"/>
                <w:sz w:val="22"/>
                <w:highlight w:val="none"/>
              </w:rPr>
            </w:pPr>
          </w:p>
        </w:tc>
        <w:tc>
          <w:tcPr>
            <w:tcW w:w="1856" w:type="dxa"/>
            <w:noWrap w:val="0"/>
            <w:vAlign w:val="center"/>
          </w:tcPr>
          <w:p w14:paraId="1DA5EB34">
            <w:pPr>
              <w:spacing w:line="360" w:lineRule="auto"/>
              <w:jc w:val="center"/>
              <w:rPr>
                <w:rFonts w:hint="eastAsia" w:ascii="宋体" w:hAnsi="宋体" w:cs="宋体"/>
                <w:sz w:val="22"/>
                <w:highlight w:val="none"/>
              </w:rPr>
            </w:pPr>
          </w:p>
        </w:tc>
        <w:tc>
          <w:tcPr>
            <w:tcW w:w="1122" w:type="dxa"/>
            <w:noWrap w:val="0"/>
            <w:vAlign w:val="center"/>
          </w:tcPr>
          <w:p w14:paraId="6F2FD35F">
            <w:pPr>
              <w:spacing w:line="360" w:lineRule="auto"/>
              <w:jc w:val="center"/>
              <w:rPr>
                <w:rFonts w:hint="eastAsia" w:ascii="宋体" w:hAnsi="宋体" w:cs="宋体"/>
                <w:sz w:val="22"/>
                <w:highlight w:val="none"/>
              </w:rPr>
            </w:pPr>
          </w:p>
        </w:tc>
        <w:tc>
          <w:tcPr>
            <w:tcW w:w="902" w:type="dxa"/>
            <w:noWrap w:val="0"/>
            <w:vAlign w:val="center"/>
          </w:tcPr>
          <w:p w14:paraId="680E7AE6">
            <w:pPr>
              <w:spacing w:line="360" w:lineRule="auto"/>
              <w:jc w:val="center"/>
              <w:rPr>
                <w:rFonts w:hint="eastAsia" w:ascii="宋体" w:hAnsi="宋体" w:cs="宋体"/>
                <w:sz w:val="22"/>
                <w:highlight w:val="none"/>
              </w:rPr>
            </w:pPr>
          </w:p>
        </w:tc>
        <w:tc>
          <w:tcPr>
            <w:tcW w:w="1147" w:type="dxa"/>
            <w:noWrap w:val="0"/>
            <w:vAlign w:val="center"/>
          </w:tcPr>
          <w:p w14:paraId="5B511F03">
            <w:pPr>
              <w:spacing w:line="360" w:lineRule="auto"/>
              <w:jc w:val="center"/>
              <w:rPr>
                <w:rFonts w:hint="eastAsia" w:ascii="宋体" w:hAnsi="宋体" w:cs="宋体"/>
                <w:sz w:val="22"/>
                <w:highlight w:val="none"/>
              </w:rPr>
            </w:pPr>
          </w:p>
        </w:tc>
        <w:tc>
          <w:tcPr>
            <w:tcW w:w="1012" w:type="dxa"/>
            <w:noWrap w:val="0"/>
            <w:vAlign w:val="center"/>
          </w:tcPr>
          <w:p w14:paraId="7334454E">
            <w:pPr>
              <w:spacing w:line="360" w:lineRule="auto"/>
              <w:jc w:val="center"/>
              <w:rPr>
                <w:rFonts w:hint="eastAsia" w:ascii="宋体" w:hAnsi="宋体" w:cs="宋体"/>
                <w:sz w:val="22"/>
                <w:highlight w:val="none"/>
              </w:rPr>
            </w:pPr>
          </w:p>
        </w:tc>
        <w:tc>
          <w:tcPr>
            <w:tcW w:w="1265" w:type="dxa"/>
            <w:noWrap w:val="0"/>
            <w:vAlign w:val="center"/>
          </w:tcPr>
          <w:p w14:paraId="45C90F30">
            <w:pPr>
              <w:spacing w:line="360" w:lineRule="auto"/>
              <w:jc w:val="center"/>
              <w:rPr>
                <w:rFonts w:hint="eastAsia" w:ascii="宋体" w:hAnsi="宋体" w:cs="宋体"/>
                <w:sz w:val="22"/>
                <w:highlight w:val="none"/>
              </w:rPr>
            </w:pPr>
          </w:p>
        </w:tc>
        <w:tc>
          <w:tcPr>
            <w:tcW w:w="1469" w:type="dxa"/>
            <w:noWrap w:val="0"/>
            <w:vAlign w:val="top"/>
          </w:tcPr>
          <w:p w14:paraId="46E889FD">
            <w:pPr>
              <w:spacing w:line="360" w:lineRule="auto"/>
              <w:jc w:val="center"/>
              <w:rPr>
                <w:rFonts w:hint="eastAsia" w:ascii="宋体" w:hAnsi="宋体" w:cs="宋体"/>
                <w:sz w:val="22"/>
                <w:highlight w:val="none"/>
              </w:rPr>
            </w:pPr>
          </w:p>
        </w:tc>
      </w:tr>
      <w:tr w14:paraId="2B849E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0" w:hRule="exact"/>
          <w:jc w:val="center"/>
        </w:trPr>
        <w:tc>
          <w:tcPr>
            <w:tcW w:w="817" w:type="dxa"/>
            <w:noWrap w:val="0"/>
            <w:vAlign w:val="center"/>
          </w:tcPr>
          <w:p w14:paraId="7F1B13C0">
            <w:pPr>
              <w:spacing w:line="360" w:lineRule="auto"/>
              <w:jc w:val="center"/>
              <w:rPr>
                <w:rFonts w:hint="eastAsia" w:ascii="宋体" w:hAnsi="宋体" w:cs="宋体"/>
                <w:sz w:val="22"/>
                <w:highlight w:val="none"/>
              </w:rPr>
            </w:pPr>
          </w:p>
        </w:tc>
        <w:tc>
          <w:tcPr>
            <w:tcW w:w="1856" w:type="dxa"/>
            <w:noWrap w:val="0"/>
            <w:vAlign w:val="center"/>
          </w:tcPr>
          <w:p w14:paraId="11EA3923">
            <w:pPr>
              <w:spacing w:line="360" w:lineRule="auto"/>
              <w:jc w:val="center"/>
              <w:rPr>
                <w:rFonts w:hint="eastAsia" w:ascii="宋体" w:hAnsi="宋体" w:cs="宋体"/>
                <w:sz w:val="22"/>
                <w:highlight w:val="none"/>
              </w:rPr>
            </w:pPr>
          </w:p>
        </w:tc>
        <w:tc>
          <w:tcPr>
            <w:tcW w:w="1122" w:type="dxa"/>
            <w:noWrap w:val="0"/>
            <w:vAlign w:val="center"/>
          </w:tcPr>
          <w:p w14:paraId="6C342874">
            <w:pPr>
              <w:spacing w:line="360" w:lineRule="auto"/>
              <w:jc w:val="center"/>
              <w:rPr>
                <w:rFonts w:hint="eastAsia" w:ascii="宋体" w:hAnsi="宋体" w:cs="宋体"/>
                <w:sz w:val="22"/>
                <w:highlight w:val="none"/>
              </w:rPr>
            </w:pPr>
          </w:p>
        </w:tc>
        <w:tc>
          <w:tcPr>
            <w:tcW w:w="902" w:type="dxa"/>
            <w:noWrap w:val="0"/>
            <w:vAlign w:val="center"/>
          </w:tcPr>
          <w:p w14:paraId="09941E0E">
            <w:pPr>
              <w:spacing w:line="360" w:lineRule="auto"/>
              <w:jc w:val="center"/>
              <w:rPr>
                <w:rFonts w:hint="eastAsia" w:ascii="宋体" w:hAnsi="宋体" w:cs="宋体"/>
                <w:sz w:val="22"/>
                <w:highlight w:val="none"/>
              </w:rPr>
            </w:pPr>
          </w:p>
        </w:tc>
        <w:tc>
          <w:tcPr>
            <w:tcW w:w="1147" w:type="dxa"/>
            <w:noWrap w:val="0"/>
            <w:vAlign w:val="center"/>
          </w:tcPr>
          <w:p w14:paraId="2B736CBC">
            <w:pPr>
              <w:spacing w:line="360" w:lineRule="auto"/>
              <w:jc w:val="center"/>
              <w:rPr>
                <w:rFonts w:hint="eastAsia" w:ascii="宋体" w:hAnsi="宋体" w:cs="宋体"/>
                <w:sz w:val="22"/>
                <w:highlight w:val="none"/>
              </w:rPr>
            </w:pPr>
          </w:p>
        </w:tc>
        <w:tc>
          <w:tcPr>
            <w:tcW w:w="1012" w:type="dxa"/>
            <w:noWrap w:val="0"/>
            <w:vAlign w:val="center"/>
          </w:tcPr>
          <w:p w14:paraId="412B30E6">
            <w:pPr>
              <w:spacing w:line="360" w:lineRule="auto"/>
              <w:jc w:val="center"/>
              <w:rPr>
                <w:rFonts w:hint="eastAsia" w:ascii="宋体" w:hAnsi="宋体" w:cs="宋体"/>
                <w:sz w:val="22"/>
                <w:highlight w:val="none"/>
              </w:rPr>
            </w:pPr>
          </w:p>
        </w:tc>
        <w:tc>
          <w:tcPr>
            <w:tcW w:w="1265" w:type="dxa"/>
            <w:noWrap w:val="0"/>
            <w:vAlign w:val="center"/>
          </w:tcPr>
          <w:p w14:paraId="67E6C43A">
            <w:pPr>
              <w:spacing w:line="360" w:lineRule="auto"/>
              <w:jc w:val="center"/>
              <w:rPr>
                <w:rFonts w:hint="eastAsia" w:ascii="宋体" w:hAnsi="宋体" w:cs="宋体"/>
                <w:sz w:val="22"/>
                <w:highlight w:val="none"/>
              </w:rPr>
            </w:pPr>
          </w:p>
        </w:tc>
        <w:tc>
          <w:tcPr>
            <w:tcW w:w="1469" w:type="dxa"/>
            <w:noWrap w:val="0"/>
            <w:vAlign w:val="top"/>
          </w:tcPr>
          <w:p w14:paraId="1AD969E2">
            <w:pPr>
              <w:spacing w:line="360" w:lineRule="auto"/>
              <w:jc w:val="center"/>
              <w:rPr>
                <w:rFonts w:hint="eastAsia" w:ascii="宋体" w:hAnsi="宋体" w:cs="宋体"/>
                <w:sz w:val="22"/>
                <w:highlight w:val="none"/>
              </w:rPr>
            </w:pPr>
          </w:p>
        </w:tc>
      </w:tr>
      <w:tr w14:paraId="59D9E1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0" w:hRule="exact"/>
          <w:jc w:val="center"/>
        </w:trPr>
        <w:tc>
          <w:tcPr>
            <w:tcW w:w="817" w:type="dxa"/>
            <w:noWrap w:val="0"/>
            <w:vAlign w:val="center"/>
          </w:tcPr>
          <w:p w14:paraId="2992211A">
            <w:pPr>
              <w:spacing w:line="360" w:lineRule="auto"/>
              <w:jc w:val="center"/>
              <w:rPr>
                <w:rFonts w:hint="eastAsia" w:ascii="宋体" w:hAnsi="宋体" w:cs="宋体"/>
                <w:sz w:val="22"/>
                <w:highlight w:val="none"/>
              </w:rPr>
            </w:pPr>
          </w:p>
        </w:tc>
        <w:tc>
          <w:tcPr>
            <w:tcW w:w="1856" w:type="dxa"/>
            <w:noWrap w:val="0"/>
            <w:vAlign w:val="center"/>
          </w:tcPr>
          <w:p w14:paraId="0DE999D1">
            <w:pPr>
              <w:spacing w:line="360" w:lineRule="auto"/>
              <w:jc w:val="center"/>
              <w:rPr>
                <w:rFonts w:hint="eastAsia" w:ascii="宋体" w:hAnsi="宋体" w:cs="宋体"/>
                <w:sz w:val="22"/>
                <w:highlight w:val="none"/>
              </w:rPr>
            </w:pPr>
          </w:p>
        </w:tc>
        <w:tc>
          <w:tcPr>
            <w:tcW w:w="1122" w:type="dxa"/>
            <w:noWrap w:val="0"/>
            <w:vAlign w:val="center"/>
          </w:tcPr>
          <w:p w14:paraId="4FF4EE3A">
            <w:pPr>
              <w:spacing w:line="360" w:lineRule="auto"/>
              <w:jc w:val="center"/>
              <w:rPr>
                <w:rFonts w:hint="eastAsia" w:ascii="宋体" w:hAnsi="宋体" w:cs="宋体"/>
                <w:sz w:val="22"/>
                <w:highlight w:val="none"/>
              </w:rPr>
            </w:pPr>
          </w:p>
        </w:tc>
        <w:tc>
          <w:tcPr>
            <w:tcW w:w="902" w:type="dxa"/>
            <w:noWrap w:val="0"/>
            <w:vAlign w:val="center"/>
          </w:tcPr>
          <w:p w14:paraId="4B95FAA4">
            <w:pPr>
              <w:spacing w:line="360" w:lineRule="auto"/>
              <w:jc w:val="center"/>
              <w:rPr>
                <w:rFonts w:hint="eastAsia" w:ascii="宋体" w:hAnsi="宋体" w:cs="宋体"/>
                <w:sz w:val="22"/>
                <w:highlight w:val="none"/>
              </w:rPr>
            </w:pPr>
          </w:p>
        </w:tc>
        <w:tc>
          <w:tcPr>
            <w:tcW w:w="1147" w:type="dxa"/>
            <w:noWrap w:val="0"/>
            <w:vAlign w:val="center"/>
          </w:tcPr>
          <w:p w14:paraId="4D258618">
            <w:pPr>
              <w:spacing w:line="360" w:lineRule="auto"/>
              <w:jc w:val="center"/>
              <w:rPr>
                <w:rFonts w:hint="eastAsia" w:ascii="宋体" w:hAnsi="宋体" w:cs="宋体"/>
                <w:sz w:val="22"/>
                <w:highlight w:val="none"/>
              </w:rPr>
            </w:pPr>
          </w:p>
        </w:tc>
        <w:tc>
          <w:tcPr>
            <w:tcW w:w="1012" w:type="dxa"/>
            <w:noWrap w:val="0"/>
            <w:vAlign w:val="center"/>
          </w:tcPr>
          <w:p w14:paraId="43112992">
            <w:pPr>
              <w:spacing w:line="360" w:lineRule="auto"/>
              <w:jc w:val="center"/>
              <w:rPr>
                <w:rFonts w:hint="eastAsia" w:ascii="宋体" w:hAnsi="宋体" w:cs="宋体"/>
                <w:sz w:val="22"/>
                <w:highlight w:val="none"/>
              </w:rPr>
            </w:pPr>
          </w:p>
        </w:tc>
        <w:tc>
          <w:tcPr>
            <w:tcW w:w="1265" w:type="dxa"/>
            <w:noWrap w:val="0"/>
            <w:vAlign w:val="center"/>
          </w:tcPr>
          <w:p w14:paraId="03AA9226">
            <w:pPr>
              <w:spacing w:line="360" w:lineRule="auto"/>
              <w:jc w:val="center"/>
              <w:rPr>
                <w:rFonts w:hint="eastAsia" w:ascii="宋体" w:hAnsi="宋体" w:cs="宋体"/>
                <w:sz w:val="22"/>
                <w:highlight w:val="none"/>
              </w:rPr>
            </w:pPr>
          </w:p>
        </w:tc>
        <w:tc>
          <w:tcPr>
            <w:tcW w:w="1469" w:type="dxa"/>
            <w:noWrap w:val="0"/>
            <w:vAlign w:val="top"/>
          </w:tcPr>
          <w:p w14:paraId="1974E99C">
            <w:pPr>
              <w:spacing w:line="360" w:lineRule="auto"/>
              <w:jc w:val="center"/>
              <w:rPr>
                <w:rFonts w:hint="eastAsia" w:ascii="宋体" w:hAnsi="宋体" w:cs="宋体"/>
                <w:sz w:val="22"/>
                <w:highlight w:val="none"/>
              </w:rPr>
            </w:pPr>
          </w:p>
        </w:tc>
      </w:tr>
      <w:tr w14:paraId="378129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0" w:hRule="exact"/>
          <w:jc w:val="center"/>
        </w:trPr>
        <w:tc>
          <w:tcPr>
            <w:tcW w:w="817" w:type="dxa"/>
            <w:noWrap w:val="0"/>
            <w:vAlign w:val="center"/>
          </w:tcPr>
          <w:p w14:paraId="6F3BD58D">
            <w:pPr>
              <w:spacing w:line="360" w:lineRule="auto"/>
              <w:jc w:val="center"/>
              <w:rPr>
                <w:rFonts w:hint="eastAsia" w:ascii="宋体" w:hAnsi="宋体" w:cs="宋体"/>
                <w:sz w:val="22"/>
                <w:highlight w:val="none"/>
              </w:rPr>
            </w:pPr>
          </w:p>
        </w:tc>
        <w:tc>
          <w:tcPr>
            <w:tcW w:w="1856" w:type="dxa"/>
            <w:noWrap w:val="0"/>
            <w:vAlign w:val="center"/>
          </w:tcPr>
          <w:p w14:paraId="6ABD5659">
            <w:pPr>
              <w:spacing w:line="360" w:lineRule="auto"/>
              <w:jc w:val="center"/>
              <w:rPr>
                <w:rFonts w:hint="eastAsia" w:ascii="宋体" w:hAnsi="宋体" w:cs="宋体"/>
                <w:sz w:val="22"/>
                <w:highlight w:val="none"/>
              </w:rPr>
            </w:pPr>
          </w:p>
        </w:tc>
        <w:tc>
          <w:tcPr>
            <w:tcW w:w="1122" w:type="dxa"/>
            <w:noWrap w:val="0"/>
            <w:vAlign w:val="center"/>
          </w:tcPr>
          <w:p w14:paraId="248CF4DB">
            <w:pPr>
              <w:spacing w:line="360" w:lineRule="auto"/>
              <w:jc w:val="center"/>
              <w:rPr>
                <w:rFonts w:hint="eastAsia" w:ascii="宋体" w:hAnsi="宋体" w:cs="宋体"/>
                <w:sz w:val="22"/>
                <w:highlight w:val="none"/>
              </w:rPr>
            </w:pPr>
          </w:p>
        </w:tc>
        <w:tc>
          <w:tcPr>
            <w:tcW w:w="902" w:type="dxa"/>
            <w:noWrap w:val="0"/>
            <w:vAlign w:val="center"/>
          </w:tcPr>
          <w:p w14:paraId="1FE2FB37">
            <w:pPr>
              <w:spacing w:line="360" w:lineRule="auto"/>
              <w:jc w:val="center"/>
              <w:rPr>
                <w:rFonts w:hint="eastAsia" w:ascii="宋体" w:hAnsi="宋体" w:cs="宋体"/>
                <w:sz w:val="22"/>
                <w:highlight w:val="none"/>
              </w:rPr>
            </w:pPr>
          </w:p>
        </w:tc>
        <w:tc>
          <w:tcPr>
            <w:tcW w:w="1147" w:type="dxa"/>
            <w:noWrap w:val="0"/>
            <w:vAlign w:val="center"/>
          </w:tcPr>
          <w:p w14:paraId="30363556">
            <w:pPr>
              <w:spacing w:line="360" w:lineRule="auto"/>
              <w:jc w:val="center"/>
              <w:rPr>
                <w:rFonts w:hint="eastAsia" w:ascii="宋体" w:hAnsi="宋体" w:cs="宋体"/>
                <w:sz w:val="22"/>
                <w:highlight w:val="none"/>
              </w:rPr>
            </w:pPr>
          </w:p>
        </w:tc>
        <w:tc>
          <w:tcPr>
            <w:tcW w:w="1012" w:type="dxa"/>
            <w:noWrap w:val="0"/>
            <w:vAlign w:val="center"/>
          </w:tcPr>
          <w:p w14:paraId="01193D13">
            <w:pPr>
              <w:spacing w:line="360" w:lineRule="auto"/>
              <w:jc w:val="center"/>
              <w:rPr>
                <w:rFonts w:hint="eastAsia" w:ascii="宋体" w:hAnsi="宋体" w:cs="宋体"/>
                <w:sz w:val="22"/>
                <w:highlight w:val="none"/>
              </w:rPr>
            </w:pPr>
          </w:p>
        </w:tc>
        <w:tc>
          <w:tcPr>
            <w:tcW w:w="1265" w:type="dxa"/>
            <w:noWrap w:val="0"/>
            <w:vAlign w:val="center"/>
          </w:tcPr>
          <w:p w14:paraId="7FFC20DD">
            <w:pPr>
              <w:spacing w:line="360" w:lineRule="auto"/>
              <w:jc w:val="center"/>
              <w:rPr>
                <w:rFonts w:hint="eastAsia" w:ascii="宋体" w:hAnsi="宋体" w:cs="宋体"/>
                <w:sz w:val="22"/>
                <w:highlight w:val="none"/>
              </w:rPr>
            </w:pPr>
          </w:p>
        </w:tc>
        <w:tc>
          <w:tcPr>
            <w:tcW w:w="1469" w:type="dxa"/>
            <w:noWrap w:val="0"/>
            <w:vAlign w:val="top"/>
          </w:tcPr>
          <w:p w14:paraId="3FF3C507">
            <w:pPr>
              <w:spacing w:line="360" w:lineRule="auto"/>
              <w:jc w:val="center"/>
              <w:rPr>
                <w:rFonts w:hint="eastAsia" w:ascii="宋体" w:hAnsi="宋体" w:cs="宋体"/>
                <w:sz w:val="22"/>
                <w:highlight w:val="none"/>
              </w:rPr>
            </w:pPr>
          </w:p>
        </w:tc>
      </w:tr>
      <w:tr w14:paraId="1C3EFD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0" w:hRule="exact"/>
          <w:jc w:val="center"/>
        </w:trPr>
        <w:tc>
          <w:tcPr>
            <w:tcW w:w="817" w:type="dxa"/>
            <w:noWrap w:val="0"/>
            <w:vAlign w:val="center"/>
          </w:tcPr>
          <w:p w14:paraId="670F86EF">
            <w:pPr>
              <w:spacing w:line="360" w:lineRule="auto"/>
              <w:jc w:val="center"/>
              <w:rPr>
                <w:rFonts w:hint="eastAsia" w:ascii="宋体" w:hAnsi="宋体" w:cs="宋体"/>
                <w:sz w:val="22"/>
                <w:highlight w:val="none"/>
              </w:rPr>
            </w:pPr>
          </w:p>
        </w:tc>
        <w:tc>
          <w:tcPr>
            <w:tcW w:w="1856" w:type="dxa"/>
            <w:noWrap w:val="0"/>
            <w:vAlign w:val="center"/>
          </w:tcPr>
          <w:p w14:paraId="0309AF76">
            <w:pPr>
              <w:spacing w:line="360" w:lineRule="auto"/>
              <w:jc w:val="center"/>
              <w:rPr>
                <w:rFonts w:hint="eastAsia" w:ascii="宋体" w:hAnsi="宋体" w:cs="宋体"/>
                <w:sz w:val="22"/>
                <w:highlight w:val="none"/>
              </w:rPr>
            </w:pPr>
          </w:p>
        </w:tc>
        <w:tc>
          <w:tcPr>
            <w:tcW w:w="1122" w:type="dxa"/>
            <w:noWrap w:val="0"/>
            <w:vAlign w:val="center"/>
          </w:tcPr>
          <w:p w14:paraId="6B3A74B8">
            <w:pPr>
              <w:spacing w:line="360" w:lineRule="auto"/>
              <w:jc w:val="center"/>
              <w:rPr>
                <w:rFonts w:hint="eastAsia" w:ascii="宋体" w:hAnsi="宋体" w:cs="宋体"/>
                <w:sz w:val="22"/>
                <w:highlight w:val="none"/>
              </w:rPr>
            </w:pPr>
          </w:p>
        </w:tc>
        <w:tc>
          <w:tcPr>
            <w:tcW w:w="902" w:type="dxa"/>
            <w:noWrap w:val="0"/>
            <w:vAlign w:val="center"/>
          </w:tcPr>
          <w:p w14:paraId="4439AE72">
            <w:pPr>
              <w:spacing w:line="360" w:lineRule="auto"/>
              <w:jc w:val="center"/>
              <w:rPr>
                <w:rFonts w:hint="eastAsia" w:ascii="宋体" w:hAnsi="宋体" w:cs="宋体"/>
                <w:sz w:val="22"/>
                <w:highlight w:val="none"/>
              </w:rPr>
            </w:pPr>
          </w:p>
        </w:tc>
        <w:tc>
          <w:tcPr>
            <w:tcW w:w="1147" w:type="dxa"/>
            <w:noWrap w:val="0"/>
            <w:vAlign w:val="center"/>
          </w:tcPr>
          <w:p w14:paraId="22D1FAAA">
            <w:pPr>
              <w:spacing w:line="360" w:lineRule="auto"/>
              <w:jc w:val="center"/>
              <w:rPr>
                <w:rFonts w:hint="eastAsia" w:ascii="宋体" w:hAnsi="宋体" w:cs="宋体"/>
                <w:sz w:val="22"/>
                <w:highlight w:val="none"/>
              </w:rPr>
            </w:pPr>
          </w:p>
        </w:tc>
        <w:tc>
          <w:tcPr>
            <w:tcW w:w="1012" w:type="dxa"/>
            <w:noWrap w:val="0"/>
            <w:vAlign w:val="center"/>
          </w:tcPr>
          <w:p w14:paraId="3C48004D">
            <w:pPr>
              <w:spacing w:line="360" w:lineRule="auto"/>
              <w:jc w:val="center"/>
              <w:rPr>
                <w:rFonts w:hint="eastAsia" w:ascii="宋体" w:hAnsi="宋体" w:cs="宋体"/>
                <w:sz w:val="22"/>
                <w:highlight w:val="none"/>
              </w:rPr>
            </w:pPr>
          </w:p>
        </w:tc>
        <w:tc>
          <w:tcPr>
            <w:tcW w:w="1265" w:type="dxa"/>
            <w:noWrap w:val="0"/>
            <w:vAlign w:val="center"/>
          </w:tcPr>
          <w:p w14:paraId="13826B93">
            <w:pPr>
              <w:spacing w:line="360" w:lineRule="auto"/>
              <w:jc w:val="center"/>
              <w:rPr>
                <w:rFonts w:hint="eastAsia" w:ascii="宋体" w:hAnsi="宋体" w:cs="宋体"/>
                <w:sz w:val="22"/>
                <w:highlight w:val="none"/>
              </w:rPr>
            </w:pPr>
          </w:p>
        </w:tc>
        <w:tc>
          <w:tcPr>
            <w:tcW w:w="1469" w:type="dxa"/>
            <w:noWrap w:val="0"/>
            <w:vAlign w:val="top"/>
          </w:tcPr>
          <w:p w14:paraId="68791517">
            <w:pPr>
              <w:spacing w:line="360" w:lineRule="auto"/>
              <w:jc w:val="center"/>
              <w:rPr>
                <w:rFonts w:hint="eastAsia" w:ascii="宋体" w:hAnsi="宋体" w:cs="宋体"/>
                <w:sz w:val="22"/>
                <w:highlight w:val="none"/>
              </w:rPr>
            </w:pPr>
          </w:p>
        </w:tc>
      </w:tr>
      <w:tr w14:paraId="046902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0" w:hRule="exact"/>
          <w:jc w:val="center"/>
        </w:trPr>
        <w:tc>
          <w:tcPr>
            <w:tcW w:w="817" w:type="dxa"/>
            <w:noWrap w:val="0"/>
            <w:vAlign w:val="center"/>
          </w:tcPr>
          <w:p w14:paraId="10809D54">
            <w:pPr>
              <w:spacing w:line="360" w:lineRule="auto"/>
              <w:jc w:val="center"/>
              <w:rPr>
                <w:rFonts w:hint="eastAsia" w:ascii="宋体" w:hAnsi="宋体" w:cs="宋体"/>
                <w:sz w:val="22"/>
                <w:highlight w:val="none"/>
              </w:rPr>
            </w:pPr>
          </w:p>
        </w:tc>
        <w:tc>
          <w:tcPr>
            <w:tcW w:w="1856" w:type="dxa"/>
            <w:noWrap w:val="0"/>
            <w:vAlign w:val="center"/>
          </w:tcPr>
          <w:p w14:paraId="1653E260">
            <w:pPr>
              <w:spacing w:line="360" w:lineRule="auto"/>
              <w:jc w:val="center"/>
              <w:rPr>
                <w:rFonts w:hint="eastAsia" w:ascii="宋体" w:hAnsi="宋体" w:cs="宋体"/>
                <w:sz w:val="22"/>
                <w:highlight w:val="none"/>
              </w:rPr>
            </w:pPr>
          </w:p>
        </w:tc>
        <w:tc>
          <w:tcPr>
            <w:tcW w:w="1122" w:type="dxa"/>
            <w:noWrap w:val="0"/>
            <w:vAlign w:val="center"/>
          </w:tcPr>
          <w:p w14:paraId="17FE91CA">
            <w:pPr>
              <w:spacing w:line="360" w:lineRule="auto"/>
              <w:jc w:val="center"/>
              <w:rPr>
                <w:rFonts w:hint="eastAsia" w:ascii="宋体" w:hAnsi="宋体" w:cs="宋体"/>
                <w:sz w:val="22"/>
                <w:highlight w:val="none"/>
              </w:rPr>
            </w:pPr>
          </w:p>
        </w:tc>
        <w:tc>
          <w:tcPr>
            <w:tcW w:w="902" w:type="dxa"/>
            <w:noWrap w:val="0"/>
            <w:vAlign w:val="center"/>
          </w:tcPr>
          <w:p w14:paraId="26782B42">
            <w:pPr>
              <w:spacing w:line="360" w:lineRule="auto"/>
              <w:jc w:val="center"/>
              <w:rPr>
                <w:rFonts w:hint="eastAsia" w:ascii="宋体" w:hAnsi="宋体" w:cs="宋体"/>
                <w:sz w:val="22"/>
                <w:highlight w:val="none"/>
              </w:rPr>
            </w:pPr>
          </w:p>
        </w:tc>
        <w:tc>
          <w:tcPr>
            <w:tcW w:w="1147" w:type="dxa"/>
            <w:noWrap w:val="0"/>
            <w:vAlign w:val="center"/>
          </w:tcPr>
          <w:p w14:paraId="2E4F4082">
            <w:pPr>
              <w:spacing w:line="360" w:lineRule="auto"/>
              <w:jc w:val="center"/>
              <w:rPr>
                <w:rFonts w:hint="eastAsia" w:ascii="宋体" w:hAnsi="宋体" w:cs="宋体"/>
                <w:sz w:val="22"/>
                <w:highlight w:val="none"/>
              </w:rPr>
            </w:pPr>
          </w:p>
        </w:tc>
        <w:tc>
          <w:tcPr>
            <w:tcW w:w="1012" w:type="dxa"/>
            <w:noWrap w:val="0"/>
            <w:vAlign w:val="center"/>
          </w:tcPr>
          <w:p w14:paraId="314EA5B4">
            <w:pPr>
              <w:spacing w:line="360" w:lineRule="auto"/>
              <w:jc w:val="center"/>
              <w:rPr>
                <w:rFonts w:hint="eastAsia" w:ascii="宋体" w:hAnsi="宋体" w:cs="宋体"/>
                <w:sz w:val="22"/>
                <w:highlight w:val="none"/>
              </w:rPr>
            </w:pPr>
          </w:p>
        </w:tc>
        <w:tc>
          <w:tcPr>
            <w:tcW w:w="1265" w:type="dxa"/>
            <w:noWrap w:val="0"/>
            <w:vAlign w:val="center"/>
          </w:tcPr>
          <w:p w14:paraId="414E8849">
            <w:pPr>
              <w:spacing w:line="360" w:lineRule="auto"/>
              <w:jc w:val="center"/>
              <w:rPr>
                <w:rFonts w:hint="eastAsia" w:ascii="宋体" w:hAnsi="宋体" w:cs="宋体"/>
                <w:sz w:val="22"/>
                <w:highlight w:val="none"/>
              </w:rPr>
            </w:pPr>
          </w:p>
        </w:tc>
        <w:tc>
          <w:tcPr>
            <w:tcW w:w="1469" w:type="dxa"/>
            <w:noWrap w:val="0"/>
            <w:vAlign w:val="top"/>
          </w:tcPr>
          <w:p w14:paraId="06FA2011">
            <w:pPr>
              <w:spacing w:line="360" w:lineRule="auto"/>
              <w:jc w:val="center"/>
              <w:rPr>
                <w:rFonts w:hint="eastAsia" w:ascii="宋体" w:hAnsi="宋体" w:cs="宋体"/>
                <w:sz w:val="22"/>
                <w:highlight w:val="none"/>
              </w:rPr>
            </w:pPr>
          </w:p>
        </w:tc>
      </w:tr>
      <w:tr w14:paraId="612B7C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0" w:hRule="exact"/>
          <w:jc w:val="center"/>
        </w:trPr>
        <w:tc>
          <w:tcPr>
            <w:tcW w:w="817" w:type="dxa"/>
            <w:noWrap w:val="0"/>
            <w:vAlign w:val="center"/>
          </w:tcPr>
          <w:p w14:paraId="47255F95">
            <w:pPr>
              <w:spacing w:line="360" w:lineRule="auto"/>
              <w:jc w:val="center"/>
              <w:rPr>
                <w:rFonts w:hint="eastAsia" w:ascii="宋体" w:hAnsi="宋体" w:cs="宋体"/>
                <w:sz w:val="22"/>
                <w:highlight w:val="none"/>
              </w:rPr>
            </w:pPr>
          </w:p>
        </w:tc>
        <w:tc>
          <w:tcPr>
            <w:tcW w:w="1856" w:type="dxa"/>
            <w:noWrap w:val="0"/>
            <w:vAlign w:val="center"/>
          </w:tcPr>
          <w:p w14:paraId="4CFB13E1">
            <w:pPr>
              <w:spacing w:line="360" w:lineRule="auto"/>
              <w:jc w:val="center"/>
              <w:rPr>
                <w:rFonts w:hint="eastAsia" w:ascii="宋体" w:hAnsi="宋体" w:cs="宋体"/>
                <w:sz w:val="22"/>
                <w:highlight w:val="none"/>
              </w:rPr>
            </w:pPr>
          </w:p>
        </w:tc>
        <w:tc>
          <w:tcPr>
            <w:tcW w:w="1122" w:type="dxa"/>
            <w:noWrap w:val="0"/>
            <w:vAlign w:val="center"/>
          </w:tcPr>
          <w:p w14:paraId="4195CA9B">
            <w:pPr>
              <w:spacing w:line="360" w:lineRule="auto"/>
              <w:jc w:val="center"/>
              <w:rPr>
                <w:rFonts w:hint="eastAsia" w:ascii="宋体" w:hAnsi="宋体" w:cs="宋体"/>
                <w:sz w:val="22"/>
                <w:highlight w:val="none"/>
              </w:rPr>
            </w:pPr>
          </w:p>
        </w:tc>
        <w:tc>
          <w:tcPr>
            <w:tcW w:w="902" w:type="dxa"/>
            <w:noWrap w:val="0"/>
            <w:vAlign w:val="center"/>
          </w:tcPr>
          <w:p w14:paraId="2EFB92AE">
            <w:pPr>
              <w:spacing w:line="360" w:lineRule="auto"/>
              <w:jc w:val="center"/>
              <w:rPr>
                <w:rFonts w:hint="eastAsia" w:ascii="宋体" w:hAnsi="宋体" w:cs="宋体"/>
                <w:sz w:val="22"/>
                <w:highlight w:val="none"/>
              </w:rPr>
            </w:pPr>
          </w:p>
        </w:tc>
        <w:tc>
          <w:tcPr>
            <w:tcW w:w="1147" w:type="dxa"/>
            <w:noWrap w:val="0"/>
            <w:vAlign w:val="center"/>
          </w:tcPr>
          <w:p w14:paraId="71EC6EA0">
            <w:pPr>
              <w:spacing w:line="360" w:lineRule="auto"/>
              <w:jc w:val="center"/>
              <w:rPr>
                <w:rFonts w:hint="eastAsia" w:ascii="宋体" w:hAnsi="宋体" w:cs="宋体"/>
                <w:sz w:val="22"/>
                <w:highlight w:val="none"/>
              </w:rPr>
            </w:pPr>
          </w:p>
        </w:tc>
        <w:tc>
          <w:tcPr>
            <w:tcW w:w="1012" w:type="dxa"/>
            <w:noWrap w:val="0"/>
            <w:vAlign w:val="center"/>
          </w:tcPr>
          <w:p w14:paraId="0F2282B6">
            <w:pPr>
              <w:spacing w:line="360" w:lineRule="auto"/>
              <w:jc w:val="center"/>
              <w:rPr>
                <w:rFonts w:hint="eastAsia" w:ascii="宋体" w:hAnsi="宋体" w:cs="宋体"/>
                <w:sz w:val="22"/>
                <w:highlight w:val="none"/>
              </w:rPr>
            </w:pPr>
          </w:p>
        </w:tc>
        <w:tc>
          <w:tcPr>
            <w:tcW w:w="1265" w:type="dxa"/>
            <w:noWrap w:val="0"/>
            <w:vAlign w:val="center"/>
          </w:tcPr>
          <w:p w14:paraId="1B91B81F">
            <w:pPr>
              <w:spacing w:line="360" w:lineRule="auto"/>
              <w:jc w:val="center"/>
              <w:rPr>
                <w:rFonts w:hint="eastAsia" w:ascii="宋体" w:hAnsi="宋体" w:cs="宋体"/>
                <w:sz w:val="22"/>
                <w:highlight w:val="none"/>
              </w:rPr>
            </w:pPr>
          </w:p>
        </w:tc>
        <w:tc>
          <w:tcPr>
            <w:tcW w:w="1469" w:type="dxa"/>
            <w:noWrap w:val="0"/>
            <w:vAlign w:val="top"/>
          </w:tcPr>
          <w:p w14:paraId="4647910E">
            <w:pPr>
              <w:spacing w:line="360" w:lineRule="auto"/>
              <w:jc w:val="center"/>
              <w:rPr>
                <w:rFonts w:hint="eastAsia" w:ascii="宋体" w:hAnsi="宋体" w:cs="宋体"/>
                <w:sz w:val="22"/>
                <w:highlight w:val="none"/>
              </w:rPr>
            </w:pPr>
          </w:p>
        </w:tc>
      </w:tr>
      <w:tr w14:paraId="7A8A61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0" w:hRule="exact"/>
          <w:jc w:val="center"/>
        </w:trPr>
        <w:tc>
          <w:tcPr>
            <w:tcW w:w="817" w:type="dxa"/>
            <w:noWrap w:val="0"/>
            <w:vAlign w:val="center"/>
          </w:tcPr>
          <w:p w14:paraId="60F8DA79">
            <w:pPr>
              <w:spacing w:line="360" w:lineRule="auto"/>
              <w:jc w:val="center"/>
              <w:rPr>
                <w:rFonts w:hint="eastAsia" w:ascii="宋体" w:hAnsi="宋体" w:cs="宋体"/>
                <w:sz w:val="22"/>
                <w:highlight w:val="none"/>
              </w:rPr>
            </w:pPr>
          </w:p>
        </w:tc>
        <w:tc>
          <w:tcPr>
            <w:tcW w:w="1856" w:type="dxa"/>
            <w:noWrap w:val="0"/>
            <w:vAlign w:val="center"/>
          </w:tcPr>
          <w:p w14:paraId="3895F2B6">
            <w:pPr>
              <w:spacing w:line="360" w:lineRule="auto"/>
              <w:jc w:val="center"/>
              <w:rPr>
                <w:rFonts w:hint="eastAsia" w:ascii="宋体" w:hAnsi="宋体" w:cs="宋体"/>
                <w:sz w:val="22"/>
                <w:highlight w:val="none"/>
              </w:rPr>
            </w:pPr>
          </w:p>
        </w:tc>
        <w:tc>
          <w:tcPr>
            <w:tcW w:w="1122" w:type="dxa"/>
            <w:noWrap w:val="0"/>
            <w:vAlign w:val="center"/>
          </w:tcPr>
          <w:p w14:paraId="1B6979CF">
            <w:pPr>
              <w:spacing w:line="360" w:lineRule="auto"/>
              <w:jc w:val="center"/>
              <w:rPr>
                <w:rFonts w:hint="eastAsia" w:ascii="宋体" w:hAnsi="宋体" w:cs="宋体"/>
                <w:sz w:val="22"/>
                <w:highlight w:val="none"/>
              </w:rPr>
            </w:pPr>
          </w:p>
        </w:tc>
        <w:tc>
          <w:tcPr>
            <w:tcW w:w="902" w:type="dxa"/>
            <w:noWrap w:val="0"/>
            <w:vAlign w:val="center"/>
          </w:tcPr>
          <w:p w14:paraId="6A2A50B8">
            <w:pPr>
              <w:spacing w:line="360" w:lineRule="auto"/>
              <w:jc w:val="center"/>
              <w:rPr>
                <w:rFonts w:hint="eastAsia" w:ascii="宋体" w:hAnsi="宋体" w:cs="宋体"/>
                <w:sz w:val="22"/>
                <w:highlight w:val="none"/>
              </w:rPr>
            </w:pPr>
          </w:p>
        </w:tc>
        <w:tc>
          <w:tcPr>
            <w:tcW w:w="1147" w:type="dxa"/>
            <w:noWrap w:val="0"/>
            <w:vAlign w:val="center"/>
          </w:tcPr>
          <w:p w14:paraId="34ABA5AA">
            <w:pPr>
              <w:spacing w:line="360" w:lineRule="auto"/>
              <w:jc w:val="center"/>
              <w:rPr>
                <w:rFonts w:hint="eastAsia" w:ascii="宋体" w:hAnsi="宋体" w:cs="宋体"/>
                <w:sz w:val="22"/>
                <w:highlight w:val="none"/>
              </w:rPr>
            </w:pPr>
          </w:p>
        </w:tc>
        <w:tc>
          <w:tcPr>
            <w:tcW w:w="1012" w:type="dxa"/>
            <w:noWrap w:val="0"/>
            <w:vAlign w:val="center"/>
          </w:tcPr>
          <w:p w14:paraId="1330AF60">
            <w:pPr>
              <w:spacing w:line="360" w:lineRule="auto"/>
              <w:jc w:val="center"/>
              <w:rPr>
                <w:rFonts w:hint="eastAsia" w:ascii="宋体" w:hAnsi="宋体" w:cs="宋体"/>
                <w:sz w:val="22"/>
                <w:highlight w:val="none"/>
              </w:rPr>
            </w:pPr>
          </w:p>
        </w:tc>
        <w:tc>
          <w:tcPr>
            <w:tcW w:w="1265" w:type="dxa"/>
            <w:noWrap w:val="0"/>
            <w:vAlign w:val="center"/>
          </w:tcPr>
          <w:p w14:paraId="715A4294">
            <w:pPr>
              <w:spacing w:line="360" w:lineRule="auto"/>
              <w:jc w:val="center"/>
              <w:rPr>
                <w:rFonts w:hint="eastAsia" w:ascii="宋体" w:hAnsi="宋体" w:cs="宋体"/>
                <w:sz w:val="22"/>
                <w:highlight w:val="none"/>
              </w:rPr>
            </w:pPr>
          </w:p>
        </w:tc>
        <w:tc>
          <w:tcPr>
            <w:tcW w:w="1469" w:type="dxa"/>
            <w:noWrap w:val="0"/>
            <w:vAlign w:val="top"/>
          </w:tcPr>
          <w:p w14:paraId="7AA0EF7C">
            <w:pPr>
              <w:spacing w:line="360" w:lineRule="auto"/>
              <w:jc w:val="center"/>
              <w:rPr>
                <w:rFonts w:hint="eastAsia" w:ascii="宋体" w:hAnsi="宋体" w:cs="宋体"/>
                <w:sz w:val="22"/>
                <w:highlight w:val="none"/>
              </w:rPr>
            </w:pPr>
          </w:p>
        </w:tc>
      </w:tr>
    </w:tbl>
    <w:p w14:paraId="55BE152D">
      <w:pPr>
        <w:spacing w:line="380" w:lineRule="exact"/>
        <w:rPr>
          <w:rFonts w:hint="eastAsia" w:ascii="宋体" w:hAnsi="宋体" w:cs="宋体"/>
          <w:b/>
          <w:sz w:val="22"/>
          <w:szCs w:val="22"/>
          <w:highlight w:val="none"/>
        </w:rPr>
      </w:pPr>
      <w:r>
        <w:rPr>
          <w:rFonts w:hint="eastAsia" w:ascii="宋体" w:hAnsi="宋体" w:cs="宋体"/>
          <w:b/>
          <w:sz w:val="22"/>
          <w:szCs w:val="22"/>
          <w:highlight w:val="none"/>
        </w:rPr>
        <w:t>注：</w:t>
      </w:r>
    </w:p>
    <w:p w14:paraId="74C56226">
      <w:pPr>
        <w:spacing w:line="380" w:lineRule="exact"/>
        <w:rPr>
          <w:rFonts w:hint="eastAsia" w:ascii="宋体" w:hAnsi="宋体" w:cs="宋体"/>
          <w:sz w:val="22"/>
          <w:szCs w:val="22"/>
          <w:highlight w:val="none"/>
        </w:rPr>
      </w:pPr>
      <w:r>
        <w:rPr>
          <w:rFonts w:hint="eastAsia" w:ascii="宋体" w:hAnsi="宋体" w:cs="宋体"/>
          <w:sz w:val="22"/>
          <w:szCs w:val="22"/>
          <w:highlight w:val="none"/>
        </w:rPr>
        <w:t>1、本表中提供的人员名单应与实际投入项目的人员一致，如有变更应事先与采购人沟通，经采购人同意后才可变更人员，供应商不可擅自变更人员。</w:t>
      </w:r>
    </w:p>
    <w:p w14:paraId="53ACAB85">
      <w:pPr>
        <w:spacing w:line="460" w:lineRule="exact"/>
        <w:jc w:val="center"/>
        <w:rPr>
          <w:rFonts w:hint="eastAsia" w:ascii="宋体" w:hAnsi="宋体" w:cs="宋体"/>
          <w:b/>
          <w:bCs/>
          <w:kern w:val="0"/>
          <w:sz w:val="22"/>
          <w:szCs w:val="22"/>
          <w:highlight w:val="none"/>
        </w:rPr>
      </w:pPr>
      <w:r>
        <w:rPr>
          <w:rFonts w:hint="eastAsia" w:ascii="宋体" w:hAnsi="宋体" w:cs="宋体"/>
          <w:b/>
          <w:bCs/>
          <w:kern w:val="0"/>
          <w:sz w:val="22"/>
          <w:szCs w:val="22"/>
          <w:highlight w:val="none"/>
        </w:rPr>
        <w:t>2、后附人员身份证复印件或扫描件及采购文件第五部分评标原则及方法→五、评分细则→1.商务技术分的评定→“拟派项目团队情况”评分内容要求提供的相关资料复印件或扫描件加盖单位公章，否则评分不予认可。</w:t>
      </w:r>
    </w:p>
    <w:p w14:paraId="31DDF449">
      <w:pPr>
        <w:spacing w:line="460" w:lineRule="exact"/>
        <w:ind w:firstLine="3150" w:firstLineChars="1500"/>
        <w:rPr>
          <w:rFonts w:hint="eastAsia" w:ascii="宋体" w:hAnsi="宋体" w:cs="宋体"/>
          <w:szCs w:val="21"/>
          <w:highlight w:val="none"/>
        </w:rPr>
      </w:pPr>
    </w:p>
    <w:p w14:paraId="71E2C86F">
      <w:pPr>
        <w:spacing w:line="460" w:lineRule="exact"/>
        <w:ind w:firstLine="3150" w:firstLineChars="1500"/>
        <w:rPr>
          <w:rFonts w:hint="eastAsia" w:ascii="宋体" w:hAnsi="宋体" w:cs="宋体"/>
          <w:szCs w:val="21"/>
          <w:highlight w:val="none"/>
        </w:rPr>
      </w:pPr>
      <w:r>
        <w:rPr>
          <w:rFonts w:hint="eastAsia" w:ascii="宋体" w:hAnsi="宋体" w:cs="宋体"/>
          <w:szCs w:val="21"/>
          <w:highlight w:val="none"/>
        </w:rPr>
        <w:t>投标供应商全称（盖单位公章） ：</w:t>
      </w:r>
    </w:p>
    <w:p w14:paraId="29761564">
      <w:pPr>
        <w:spacing w:line="460" w:lineRule="exact"/>
        <w:ind w:firstLine="420" w:firstLineChars="200"/>
        <w:rPr>
          <w:rFonts w:hint="eastAsia" w:ascii="宋体" w:hAnsi="宋体" w:cs="宋体"/>
          <w:szCs w:val="21"/>
          <w:highlight w:val="none"/>
        </w:rPr>
      </w:pPr>
      <w:r>
        <w:rPr>
          <w:rFonts w:hint="eastAsia" w:ascii="宋体" w:hAnsi="宋体" w:cs="宋体"/>
          <w:szCs w:val="21"/>
          <w:highlight w:val="none"/>
        </w:rPr>
        <w:t>法定代表人（法定负责人） 或授权代表（签字或盖章）：</w:t>
      </w:r>
    </w:p>
    <w:p w14:paraId="77E403EE">
      <w:pPr>
        <w:spacing w:line="460" w:lineRule="exact"/>
        <w:ind w:firstLine="5250" w:firstLineChars="2500"/>
        <w:rPr>
          <w:rFonts w:hint="eastAsia" w:ascii="宋体" w:hAnsi="宋体" w:cs="宋体"/>
          <w:szCs w:val="21"/>
          <w:highlight w:val="none"/>
        </w:rPr>
      </w:pPr>
      <w:r>
        <w:rPr>
          <w:rFonts w:hint="eastAsia" w:ascii="宋体" w:hAnsi="宋体" w:cs="宋体"/>
          <w:szCs w:val="21"/>
          <w:highlight w:val="none"/>
        </w:rPr>
        <w:t>日期：     年  月  日</w:t>
      </w:r>
    </w:p>
    <w:p w14:paraId="1B29694C">
      <w:pPr>
        <w:spacing w:line="460" w:lineRule="exact"/>
        <w:rPr>
          <w:rFonts w:hint="eastAsia" w:ascii="宋体" w:hAnsi="宋体" w:cs="宋体"/>
          <w:kern w:val="1"/>
          <w:szCs w:val="21"/>
          <w:highlight w:val="none"/>
        </w:rPr>
      </w:pPr>
      <w:r>
        <w:rPr>
          <w:rFonts w:hint="eastAsia" w:ascii="宋体" w:hAnsi="宋体" w:cs="宋体"/>
          <w:b/>
          <w:bCs/>
          <w:kern w:val="0"/>
          <w:sz w:val="22"/>
          <w:szCs w:val="22"/>
          <w:highlight w:val="none"/>
        </w:rPr>
        <w:br w:type="page"/>
      </w:r>
      <w:bookmarkEnd w:id="163"/>
      <w:bookmarkEnd w:id="164"/>
      <w:r>
        <w:rPr>
          <w:rFonts w:hint="eastAsia" w:ascii="宋体" w:hAnsi="宋体" w:cs="宋体"/>
          <w:kern w:val="1"/>
          <w:szCs w:val="21"/>
          <w:highlight w:val="none"/>
        </w:rPr>
        <w:t>附件十七</w:t>
      </w:r>
    </w:p>
    <w:p w14:paraId="0DC7C600">
      <w:pPr>
        <w:spacing w:line="460" w:lineRule="exact"/>
        <w:rPr>
          <w:rFonts w:hint="eastAsia" w:ascii="宋体" w:hAnsi="宋体" w:cs="宋体"/>
          <w:snapToGrid w:val="0"/>
          <w:szCs w:val="21"/>
          <w:highlight w:val="none"/>
        </w:rPr>
      </w:pPr>
      <w:r>
        <w:rPr>
          <w:rFonts w:hint="eastAsia" w:ascii="宋体" w:hAnsi="宋体" w:cs="宋体"/>
          <w:kern w:val="1"/>
          <w:szCs w:val="21"/>
          <w:highlight w:val="none"/>
        </w:rPr>
        <w:t>注：根据采购文件相关要求及第五部分评标原则及方法→五、评分细则→1.商务技术分的评定→“售后培训服务</w:t>
      </w:r>
      <w:r>
        <w:rPr>
          <w:rFonts w:hint="eastAsia" w:ascii="宋体" w:hAnsi="宋体" w:cs="宋体"/>
          <w:snapToGrid w:val="0"/>
          <w:szCs w:val="21"/>
          <w:highlight w:val="none"/>
        </w:rPr>
        <w:t>”评分内容相关要求提供相关资料，格式自拟。</w:t>
      </w:r>
    </w:p>
    <w:p w14:paraId="2EE32A94">
      <w:pPr>
        <w:spacing w:line="460" w:lineRule="exact"/>
        <w:rPr>
          <w:rFonts w:hint="eastAsia" w:ascii="宋体" w:hAnsi="宋体" w:cs="宋体"/>
          <w:snapToGrid w:val="0"/>
          <w:szCs w:val="21"/>
          <w:highlight w:val="none"/>
        </w:rPr>
      </w:pPr>
    </w:p>
    <w:p w14:paraId="38529DAC">
      <w:pPr>
        <w:rPr>
          <w:rFonts w:hint="eastAsia" w:ascii="宋体" w:hAnsi="宋体" w:cs="宋体"/>
          <w:bCs/>
          <w:szCs w:val="21"/>
          <w:highlight w:val="none"/>
        </w:rPr>
      </w:pPr>
      <w:r>
        <w:rPr>
          <w:rFonts w:hint="eastAsia" w:ascii="宋体" w:hAnsi="宋体" w:cs="宋体"/>
          <w:szCs w:val="21"/>
          <w:highlight w:val="none"/>
        </w:rPr>
        <w:br w:type="page"/>
      </w:r>
    </w:p>
    <w:p w14:paraId="31D1E46E">
      <w:pPr>
        <w:spacing w:line="460" w:lineRule="exact"/>
        <w:rPr>
          <w:rFonts w:ascii="宋体" w:hAnsi="宋体" w:cs="宋体"/>
          <w:sz w:val="22"/>
          <w:highlight w:val="none"/>
        </w:rPr>
      </w:pPr>
      <w:r>
        <w:rPr>
          <w:rFonts w:hint="eastAsia" w:ascii="宋体" w:hAnsi="宋体" w:cs="宋体"/>
          <w:sz w:val="22"/>
          <w:highlight w:val="none"/>
        </w:rPr>
        <w:t>（报价文件封面，供参考）</w:t>
      </w:r>
    </w:p>
    <w:p w14:paraId="0451C37B">
      <w:pPr>
        <w:jc w:val="right"/>
        <w:rPr>
          <w:rFonts w:ascii="宋体" w:hAnsi="宋体" w:cs="宋体"/>
          <w:sz w:val="28"/>
          <w:szCs w:val="28"/>
          <w:highlight w:val="none"/>
        </w:rPr>
      </w:pPr>
    </w:p>
    <w:p w14:paraId="7633602D">
      <w:pPr>
        <w:rPr>
          <w:rFonts w:ascii="宋体" w:hAnsi="宋体" w:cs="宋体"/>
          <w:sz w:val="28"/>
          <w:szCs w:val="28"/>
          <w:highlight w:val="none"/>
        </w:rPr>
      </w:pPr>
    </w:p>
    <w:p w14:paraId="534B1778">
      <w:pPr>
        <w:ind w:left="560" w:hanging="560" w:hangingChars="200"/>
        <w:rPr>
          <w:rFonts w:ascii="宋体" w:hAnsi="宋体" w:cs="宋体"/>
          <w:sz w:val="28"/>
          <w:szCs w:val="28"/>
          <w:highlight w:val="none"/>
        </w:rPr>
      </w:pPr>
    </w:p>
    <w:p w14:paraId="28E74923">
      <w:pPr>
        <w:rPr>
          <w:rFonts w:ascii="宋体" w:hAnsi="宋体" w:cs="宋体"/>
          <w:sz w:val="28"/>
          <w:szCs w:val="28"/>
          <w:highlight w:val="none"/>
        </w:rPr>
      </w:pPr>
    </w:p>
    <w:p w14:paraId="0E39AE83">
      <w:pPr>
        <w:spacing w:line="360" w:lineRule="auto"/>
        <w:jc w:val="center"/>
        <w:rPr>
          <w:rFonts w:hint="eastAsia" w:ascii="宋体" w:hAnsi="宋体" w:cs="宋体"/>
          <w:sz w:val="28"/>
          <w:szCs w:val="28"/>
          <w:highlight w:val="none"/>
        </w:rPr>
      </w:pPr>
      <w:r>
        <w:rPr>
          <w:rFonts w:hint="eastAsia" w:ascii="宋体" w:hAnsi="宋体" w:cs="宋体"/>
          <w:sz w:val="28"/>
          <w:szCs w:val="28"/>
          <w:highlight w:val="none"/>
        </w:rPr>
        <w:t>项目名称：</w:t>
      </w:r>
      <w:r>
        <w:rPr>
          <w:rFonts w:hint="eastAsia" w:ascii="宋体" w:hAnsi="宋体" w:cs="宋体"/>
          <w:sz w:val="28"/>
          <w:szCs w:val="28"/>
          <w:highlight w:val="none"/>
          <w:u w:val="single"/>
        </w:rPr>
        <w:t>金海湖信息化展厅网络环境设备</w:t>
      </w:r>
    </w:p>
    <w:p w14:paraId="0A1F28B0">
      <w:pPr>
        <w:spacing w:line="360" w:lineRule="auto"/>
        <w:jc w:val="center"/>
        <w:rPr>
          <w:rFonts w:ascii="宋体" w:hAnsi="宋体" w:cs="宋体"/>
          <w:sz w:val="28"/>
          <w:szCs w:val="28"/>
          <w:highlight w:val="none"/>
          <w:u w:val="single"/>
        </w:rPr>
      </w:pPr>
      <w:r>
        <w:rPr>
          <w:rFonts w:hint="eastAsia" w:ascii="宋体" w:hAnsi="宋体" w:cs="宋体"/>
          <w:sz w:val="28"/>
          <w:szCs w:val="28"/>
          <w:highlight w:val="none"/>
        </w:rPr>
        <w:t>项目编号：</w:t>
      </w:r>
      <w:r>
        <w:rPr>
          <w:rFonts w:hint="eastAsia" w:ascii="宋体" w:hAnsi="宋体" w:cs="宋体"/>
          <w:sz w:val="28"/>
          <w:szCs w:val="28"/>
          <w:highlight w:val="none"/>
          <w:u w:val="single"/>
        </w:rPr>
        <w:t>WGSS-JFJT-ZS-2026004</w:t>
      </w:r>
    </w:p>
    <w:p w14:paraId="3D82220C">
      <w:pPr>
        <w:jc w:val="center"/>
        <w:rPr>
          <w:rFonts w:hint="eastAsia" w:ascii="宋体" w:hAnsi="宋体" w:cs="宋体"/>
          <w:sz w:val="28"/>
          <w:szCs w:val="28"/>
          <w:highlight w:val="none"/>
        </w:rPr>
      </w:pPr>
    </w:p>
    <w:p w14:paraId="492CD3E1">
      <w:pPr>
        <w:jc w:val="center"/>
        <w:rPr>
          <w:rFonts w:hint="eastAsia" w:ascii="宋体" w:hAnsi="宋体" w:cs="宋体"/>
          <w:sz w:val="28"/>
          <w:szCs w:val="28"/>
          <w:highlight w:val="none"/>
        </w:rPr>
      </w:pPr>
    </w:p>
    <w:p w14:paraId="63B0739E">
      <w:pPr>
        <w:spacing w:line="360" w:lineRule="auto"/>
        <w:jc w:val="center"/>
        <w:rPr>
          <w:rFonts w:hint="eastAsia" w:ascii="宋体" w:hAnsi="宋体" w:cs="宋体"/>
          <w:sz w:val="28"/>
          <w:szCs w:val="28"/>
          <w:highlight w:val="none"/>
        </w:rPr>
      </w:pPr>
    </w:p>
    <w:p w14:paraId="314F9BF5">
      <w:pPr>
        <w:spacing w:line="360" w:lineRule="auto"/>
        <w:jc w:val="center"/>
        <w:rPr>
          <w:rFonts w:hint="eastAsia" w:ascii="宋体" w:hAnsi="宋体" w:cs="宋体"/>
          <w:sz w:val="28"/>
          <w:szCs w:val="28"/>
          <w:highlight w:val="none"/>
        </w:rPr>
      </w:pPr>
      <w:r>
        <w:rPr>
          <w:rFonts w:hint="eastAsia" w:ascii="宋体" w:hAnsi="宋体" w:cs="宋体"/>
          <w:sz w:val="28"/>
          <w:szCs w:val="28"/>
          <w:highlight w:val="none"/>
        </w:rPr>
        <w:t>报价文件</w:t>
      </w:r>
    </w:p>
    <w:p w14:paraId="52AD20DE">
      <w:pPr>
        <w:spacing w:line="360" w:lineRule="auto"/>
        <w:jc w:val="center"/>
        <w:rPr>
          <w:rFonts w:hint="eastAsia" w:ascii="宋体" w:hAnsi="宋体" w:cs="宋体"/>
          <w:sz w:val="28"/>
          <w:szCs w:val="28"/>
          <w:highlight w:val="none"/>
        </w:rPr>
      </w:pPr>
      <w:r>
        <w:rPr>
          <w:rFonts w:hint="eastAsia" w:ascii="宋体" w:hAnsi="宋体" w:cs="宋体"/>
          <w:sz w:val="28"/>
          <w:szCs w:val="28"/>
          <w:highlight w:val="none"/>
        </w:rPr>
        <w:t>投标文件</w:t>
      </w:r>
    </w:p>
    <w:p w14:paraId="6532DC9E">
      <w:pPr>
        <w:spacing w:line="480" w:lineRule="auto"/>
        <w:jc w:val="center"/>
        <w:rPr>
          <w:rFonts w:ascii="宋体" w:hAnsi="宋体" w:cs="宋体"/>
          <w:sz w:val="28"/>
          <w:szCs w:val="28"/>
          <w:highlight w:val="none"/>
        </w:rPr>
      </w:pPr>
    </w:p>
    <w:p w14:paraId="12F6A527">
      <w:pPr>
        <w:spacing w:line="360" w:lineRule="auto"/>
        <w:rPr>
          <w:rFonts w:ascii="宋体" w:hAnsi="宋体" w:cs="宋体"/>
          <w:sz w:val="28"/>
          <w:szCs w:val="28"/>
          <w:highlight w:val="none"/>
        </w:rPr>
      </w:pPr>
    </w:p>
    <w:p w14:paraId="1AD175A3">
      <w:pPr>
        <w:spacing w:line="360" w:lineRule="auto"/>
        <w:rPr>
          <w:rFonts w:ascii="宋体" w:hAnsi="宋体" w:cs="宋体"/>
          <w:sz w:val="28"/>
          <w:szCs w:val="28"/>
          <w:highlight w:val="none"/>
        </w:rPr>
      </w:pPr>
    </w:p>
    <w:p w14:paraId="638C3244">
      <w:pPr>
        <w:jc w:val="center"/>
        <w:rPr>
          <w:rFonts w:hint="eastAsia" w:ascii="宋体" w:hAnsi="宋体" w:cs="宋体"/>
          <w:sz w:val="28"/>
          <w:szCs w:val="28"/>
          <w:highlight w:val="none"/>
        </w:rPr>
      </w:pPr>
    </w:p>
    <w:p w14:paraId="21D03A49">
      <w:pPr>
        <w:jc w:val="center"/>
        <w:rPr>
          <w:rFonts w:hint="eastAsia" w:ascii="宋体" w:hAnsi="宋体" w:cs="宋体"/>
          <w:sz w:val="28"/>
          <w:szCs w:val="28"/>
          <w:highlight w:val="none"/>
        </w:rPr>
      </w:pPr>
    </w:p>
    <w:p w14:paraId="12016B68">
      <w:pPr>
        <w:jc w:val="center"/>
        <w:rPr>
          <w:rFonts w:hint="eastAsia" w:ascii="宋体" w:hAnsi="宋体" w:cs="宋体"/>
          <w:sz w:val="28"/>
          <w:szCs w:val="28"/>
          <w:highlight w:val="none"/>
        </w:rPr>
      </w:pPr>
    </w:p>
    <w:p w14:paraId="589AD7C5">
      <w:pPr>
        <w:jc w:val="center"/>
        <w:rPr>
          <w:rFonts w:ascii="宋体" w:hAnsi="宋体" w:cs="宋体"/>
          <w:sz w:val="28"/>
          <w:szCs w:val="28"/>
          <w:highlight w:val="none"/>
        </w:rPr>
      </w:pPr>
      <w:r>
        <w:rPr>
          <w:rFonts w:hint="eastAsia" w:ascii="宋体" w:hAnsi="宋体" w:cs="宋体"/>
          <w:sz w:val="28"/>
          <w:szCs w:val="28"/>
          <w:highlight w:val="none"/>
        </w:rPr>
        <w:t>投标供应商：</w:t>
      </w:r>
      <w:r>
        <w:rPr>
          <w:rFonts w:hint="eastAsia" w:ascii="宋体" w:hAnsi="宋体" w:cs="宋体"/>
          <w:sz w:val="28"/>
          <w:szCs w:val="28"/>
          <w:highlight w:val="none"/>
          <w:u w:val="single"/>
        </w:rPr>
        <w:t xml:space="preserve">                              </w:t>
      </w:r>
      <w:r>
        <w:rPr>
          <w:rFonts w:hint="eastAsia" w:ascii="宋体" w:hAnsi="宋体" w:cs="宋体"/>
          <w:sz w:val="28"/>
          <w:szCs w:val="28"/>
          <w:highlight w:val="none"/>
        </w:rPr>
        <w:t>（盖单位公章）</w:t>
      </w:r>
    </w:p>
    <w:p w14:paraId="35294FAA">
      <w:pPr>
        <w:jc w:val="center"/>
        <w:rPr>
          <w:rFonts w:hint="eastAsia" w:ascii="宋体" w:hAnsi="宋体" w:cs="宋体"/>
          <w:sz w:val="28"/>
          <w:szCs w:val="28"/>
          <w:highlight w:val="none"/>
        </w:rPr>
      </w:pPr>
    </w:p>
    <w:p w14:paraId="7A643013">
      <w:pPr>
        <w:jc w:val="center"/>
        <w:rPr>
          <w:rFonts w:ascii="宋体" w:hAnsi="宋体" w:cs="宋体"/>
          <w:sz w:val="28"/>
          <w:szCs w:val="28"/>
          <w:highlight w:val="none"/>
        </w:rPr>
      </w:pPr>
      <w:r>
        <w:rPr>
          <w:rFonts w:hint="eastAsia" w:ascii="宋体" w:hAnsi="宋体" w:cs="宋体"/>
          <w:sz w:val="28"/>
          <w:szCs w:val="28"/>
          <w:highlight w:val="none"/>
        </w:rPr>
        <w:t>法定代表人（法定负责人） 或授权代表</w:t>
      </w:r>
      <w:r>
        <w:rPr>
          <w:rFonts w:ascii="宋体" w:hAnsi="宋体" w:cs="宋体"/>
          <w:sz w:val="28"/>
          <w:szCs w:val="28"/>
          <w:highlight w:val="none"/>
        </w:rPr>
        <w:t xml:space="preserve"> ：</w:t>
      </w:r>
      <w:r>
        <w:rPr>
          <w:rFonts w:ascii="Arial" w:hAnsi="Arial" w:cs="Arial"/>
          <w:sz w:val="28"/>
          <w:szCs w:val="28"/>
          <w:highlight w:val="none"/>
          <w:u w:val="single"/>
        </w:rPr>
        <w:t xml:space="preserve">            </w:t>
      </w:r>
      <w:r>
        <w:rPr>
          <w:rFonts w:ascii="宋体" w:hAnsi="宋体" w:cs="宋体"/>
          <w:sz w:val="28"/>
          <w:szCs w:val="28"/>
          <w:highlight w:val="none"/>
        </w:rPr>
        <w:t>（签字或盖章）</w:t>
      </w:r>
    </w:p>
    <w:p w14:paraId="51AE9025">
      <w:pPr>
        <w:rPr>
          <w:rFonts w:ascii="宋体" w:hAnsi="宋体" w:cs="宋体"/>
          <w:sz w:val="28"/>
          <w:szCs w:val="28"/>
          <w:highlight w:val="none"/>
        </w:rPr>
      </w:pPr>
    </w:p>
    <w:p w14:paraId="4DBF78B2">
      <w:pPr>
        <w:jc w:val="center"/>
        <w:rPr>
          <w:rFonts w:hint="eastAsia" w:ascii="宋体" w:hAnsi="宋体" w:cs="宋体"/>
          <w:sz w:val="28"/>
          <w:szCs w:val="28"/>
          <w:highlight w:val="none"/>
          <w:u w:val="single"/>
        </w:rPr>
      </w:pPr>
    </w:p>
    <w:p w14:paraId="364BE65E">
      <w:pPr>
        <w:jc w:val="center"/>
        <w:rPr>
          <w:rFonts w:hint="eastAsia" w:ascii="宋体" w:hAnsi="宋体" w:cs="宋体"/>
          <w:sz w:val="28"/>
          <w:szCs w:val="28"/>
          <w:highlight w:val="none"/>
          <w:u w:val="single"/>
        </w:rPr>
      </w:pPr>
    </w:p>
    <w:p w14:paraId="71D0082A">
      <w:pPr>
        <w:jc w:val="center"/>
        <w:rPr>
          <w:rFonts w:hint="eastAsia" w:ascii="宋体" w:hAnsi="宋体" w:cs="宋体"/>
          <w:sz w:val="28"/>
          <w:szCs w:val="28"/>
          <w:highlight w:val="none"/>
        </w:rPr>
      </w:pPr>
      <w:r>
        <w:rPr>
          <w:rFonts w:hint="eastAsia" w:ascii="宋体" w:hAnsi="宋体" w:cs="宋体"/>
          <w:sz w:val="28"/>
          <w:szCs w:val="28"/>
          <w:highlight w:val="none"/>
          <w:u w:val="single"/>
        </w:rPr>
        <w:t xml:space="preserve">        </w:t>
      </w:r>
      <w:r>
        <w:rPr>
          <w:rFonts w:hint="eastAsia" w:ascii="宋体" w:hAnsi="宋体" w:cs="宋体"/>
          <w:sz w:val="28"/>
          <w:szCs w:val="28"/>
          <w:highlight w:val="none"/>
        </w:rPr>
        <w:t>年</w:t>
      </w:r>
      <w:r>
        <w:rPr>
          <w:rFonts w:hint="eastAsia" w:ascii="宋体" w:hAnsi="宋体" w:cs="宋体"/>
          <w:sz w:val="28"/>
          <w:szCs w:val="28"/>
          <w:highlight w:val="none"/>
          <w:u w:val="single"/>
        </w:rPr>
        <w:t xml:space="preserve">        </w:t>
      </w:r>
      <w:r>
        <w:rPr>
          <w:rFonts w:hint="eastAsia" w:ascii="宋体" w:hAnsi="宋体" w:cs="宋体"/>
          <w:sz w:val="28"/>
          <w:szCs w:val="28"/>
          <w:highlight w:val="none"/>
        </w:rPr>
        <w:t>月</w:t>
      </w:r>
      <w:r>
        <w:rPr>
          <w:rFonts w:hint="eastAsia" w:ascii="宋体" w:hAnsi="宋体" w:cs="宋体"/>
          <w:sz w:val="28"/>
          <w:szCs w:val="28"/>
          <w:highlight w:val="none"/>
          <w:u w:val="single"/>
        </w:rPr>
        <w:t xml:space="preserve">        </w:t>
      </w:r>
      <w:r>
        <w:rPr>
          <w:rFonts w:hint="eastAsia" w:ascii="宋体" w:hAnsi="宋体" w:cs="宋体"/>
          <w:sz w:val="28"/>
          <w:szCs w:val="28"/>
          <w:highlight w:val="none"/>
        </w:rPr>
        <w:t>日</w:t>
      </w:r>
    </w:p>
    <w:p w14:paraId="5CA3CD80">
      <w:pPr>
        <w:jc w:val="center"/>
        <w:rPr>
          <w:rFonts w:hint="eastAsia" w:ascii="宋体" w:hAnsi="宋体" w:cs="宋体"/>
          <w:sz w:val="28"/>
          <w:szCs w:val="28"/>
          <w:highlight w:val="none"/>
        </w:rPr>
      </w:pPr>
      <w:r>
        <w:rPr>
          <w:rFonts w:hint="eastAsia" w:ascii="宋体" w:hAnsi="宋体" w:cs="宋体"/>
          <w:sz w:val="28"/>
          <w:szCs w:val="28"/>
          <w:highlight w:val="none"/>
        </w:rPr>
        <w:br w:type="page"/>
      </w:r>
      <w:r>
        <w:rPr>
          <w:rFonts w:hint="eastAsia" w:ascii="宋体" w:hAnsi="宋体" w:cs="宋体"/>
          <w:sz w:val="28"/>
          <w:szCs w:val="28"/>
          <w:highlight w:val="none"/>
        </w:rPr>
        <w:t>目录</w:t>
      </w:r>
    </w:p>
    <w:p w14:paraId="46808FF6">
      <w:pPr>
        <w:pStyle w:val="15"/>
        <w:ind w:firstLine="210"/>
        <w:rPr>
          <w:rFonts w:hint="eastAsia"/>
          <w:highlight w:val="none"/>
        </w:rPr>
      </w:pPr>
    </w:p>
    <w:p w14:paraId="077B7E70">
      <w:pPr>
        <w:spacing w:line="360" w:lineRule="auto"/>
        <w:rPr>
          <w:rFonts w:hint="eastAsia" w:ascii="Arial" w:hAnsi="Arial" w:cs="Arial"/>
          <w:b/>
          <w:bCs/>
          <w:sz w:val="22"/>
          <w:szCs w:val="22"/>
          <w:highlight w:val="none"/>
        </w:rPr>
      </w:pPr>
      <w:r>
        <w:rPr>
          <w:rFonts w:hint="eastAsia" w:ascii="Arial" w:hAnsi="Arial" w:cs="Arial"/>
          <w:b/>
          <w:bCs/>
          <w:sz w:val="22"/>
          <w:szCs w:val="22"/>
          <w:highlight w:val="none"/>
        </w:rPr>
        <w:t>（自拟）</w:t>
      </w:r>
    </w:p>
    <w:p w14:paraId="57F0668C">
      <w:pPr>
        <w:spacing w:line="380" w:lineRule="exact"/>
        <w:ind w:left="-359" w:leftChars="-171" w:firstLine="103" w:firstLineChars="49"/>
        <w:rPr>
          <w:rFonts w:hint="eastAsia" w:ascii="宋体" w:hAnsi="宋体" w:cs="宋体"/>
          <w:b/>
          <w:bCs/>
          <w:szCs w:val="21"/>
          <w:highlight w:val="none"/>
        </w:rPr>
      </w:pPr>
      <w:r>
        <w:rPr>
          <w:rFonts w:ascii="Arial" w:hAnsi="Arial" w:cs="Arial"/>
          <w:b/>
          <w:bCs/>
          <w:szCs w:val="21"/>
          <w:highlight w:val="none"/>
        </w:rPr>
        <w:br w:type="page"/>
      </w:r>
      <w:r>
        <w:rPr>
          <w:rFonts w:hint="eastAsia" w:ascii="宋体" w:hAnsi="宋体" w:cs="宋体"/>
          <w:b/>
          <w:bCs/>
          <w:szCs w:val="21"/>
          <w:highlight w:val="none"/>
        </w:rPr>
        <w:t>附件十八</w:t>
      </w:r>
    </w:p>
    <w:p w14:paraId="00444EB4">
      <w:pPr>
        <w:spacing w:line="400" w:lineRule="exact"/>
        <w:jc w:val="center"/>
        <w:rPr>
          <w:rFonts w:hint="eastAsia" w:ascii="宋体" w:hAnsi="宋体" w:cs="宋体"/>
          <w:b/>
          <w:bCs/>
          <w:szCs w:val="21"/>
          <w:highlight w:val="none"/>
        </w:rPr>
      </w:pPr>
      <w:r>
        <w:rPr>
          <w:rFonts w:hint="eastAsia" w:ascii="宋体" w:hAnsi="宋体" w:cs="宋体"/>
          <w:b/>
          <w:bCs/>
          <w:szCs w:val="21"/>
          <w:highlight w:val="none"/>
        </w:rPr>
        <w:t>开标一览表</w:t>
      </w:r>
    </w:p>
    <w:p w14:paraId="2E255C15">
      <w:pPr>
        <w:spacing w:line="380" w:lineRule="exact"/>
        <w:jc w:val="center"/>
        <w:rPr>
          <w:rFonts w:hint="eastAsia" w:ascii="宋体" w:hAnsi="宋体" w:cs="宋体"/>
          <w:b/>
          <w:bCs/>
          <w:szCs w:val="21"/>
          <w:highlight w:val="none"/>
        </w:rPr>
      </w:pPr>
    </w:p>
    <w:p w14:paraId="441B4B7D">
      <w:pPr>
        <w:spacing w:line="560" w:lineRule="exact"/>
        <w:rPr>
          <w:rFonts w:hint="eastAsia" w:ascii="宋体" w:hAnsi="宋体" w:cs="宋体"/>
          <w:b/>
          <w:szCs w:val="21"/>
          <w:highlight w:val="none"/>
        </w:rPr>
      </w:pPr>
      <w:r>
        <w:rPr>
          <w:rFonts w:hint="eastAsia" w:ascii="宋体" w:hAnsi="宋体" w:cs="宋体"/>
          <w:b/>
          <w:szCs w:val="21"/>
          <w:highlight w:val="none"/>
        </w:rPr>
        <w:t>项目名称： 金海湖信息化展厅网络环境设备</w:t>
      </w:r>
    </w:p>
    <w:p w14:paraId="338B12CF">
      <w:pPr>
        <w:spacing w:line="560" w:lineRule="exact"/>
        <w:rPr>
          <w:rFonts w:hint="eastAsia" w:ascii="宋体" w:hAnsi="宋体" w:cs="宋体"/>
          <w:szCs w:val="21"/>
          <w:highlight w:val="none"/>
        </w:rPr>
      </w:pPr>
      <w:r>
        <w:rPr>
          <w:rFonts w:hint="eastAsia" w:ascii="宋体" w:hAnsi="宋体" w:cs="宋体"/>
          <w:b/>
          <w:szCs w:val="21"/>
          <w:highlight w:val="none"/>
        </w:rPr>
        <w:t xml:space="preserve"> 项目编号：WGSS-JFJT-ZS-2026004                 </w:t>
      </w:r>
    </w:p>
    <w:p w14:paraId="7AF1C434">
      <w:pPr>
        <w:spacing w:line="560" w:lineRule="exact"/>
        <w:jc w:val="right"/>
        <w:rPr>
          <w:rFonts w:hint="eastAsia" w:ascii="宋体" w:hAnsi="宋体" w:cs="宋体"/>
          <w:b/>
          <w:szCs w:val="21"/>
          <w:highlight w:val="none"/>
        </w:rPr>
      </w:pPr>
      <w:r>
        <w:rPr>
          <w:rFonts w:hint="eastAsia" w:ascii="宋体" w:hAnsi="宋体" w:cs="宋体"/>
          <w:b/>
          <w:szCs w:val="21"/>
          <w:highlight w:val="none"/>
        </w:rPr>
        <w:t>（价格单位：人民币元）</w:t>
      </w:r>
    </w:p>
    <w:tbl>
      <w:tblPr>
        <w:tblStyle w:val="35"/>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680"/>
        <w:gridCol w:w="3022"/>
        <w:gridCol w:w="2740"/>
        <w:gridCol w:w="1023"/>
      </w:tblGrid>
      <w:tr w14:paraId="1E7CA4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72" w:hRule="atLeast"/>
        </w:trPr>
        <w:tc>
          <w:tcPr>
            <w:tcW w:w="2680" w:type="dxa"/>
            <w:noWrap w:val="0"/>
            <w:vAlign w:val="center"/>
          </w:tcPr>
          <w:p w14:paraId="5F21C484">
            <w:pPr>
              <w:ind w:right="-21" w:rightChars="-10"/>
              <w:jc w:val="center"/>
              <w:rPr>
                <w:rFonts w:hint="eastAsia" w:ascii="宋体" w:hAnsi="宋体" w:eastAsia="宋体" w:cs="宋体"/>
                <w:szCs w:val="21"/>
                <w:highlight w:val="none"/>
              </w:rPr>
            </w:pPr>
            <w:r>
              <w:rPr>
                <w:rFonts w:hint="eastAsia" w:ascii="宋体" w:hAnsi="宋体" w:eastAsia="宋体" w:cs="宋体"/>
                <w:szCs w:val="21"/>
                <w:highlight w:val="none"/>
              </w:rPr>
              <w:t>投标项目</w:t>
            </w:r>
          </w:p>
        </w:tc>
        <w:tc>
          <w:tcPr>
            <w:tcW w:w="3022" w:type="dxa"/>
            <w:tcBorders>
              <w:right w:val="single" w:color="auto" w:sz="4" w:space="0"/>
            </w:tcBorders>
            <w:noWrap w:val="0"/>
            <w:vAlign w:val="center"/>
          </w:tcPr>
          <w:p w14:paraId="5D492A99">
            <w:pPr>
              <w:jc w:val="center"/>
              <w:rPr>
                <w:rFonts w:hint="eastAsia" w:ascii="宋体" w:hAnsi="宋体" w:eastAsia="宋体" w:cs="宋体"/>
                <w:szCs w:val="21"/>
                <w:highlight w:val="none"/>
              </w:rPr>
            </w:pPr>
            <w:r>
              <w:rPr>
                <w:rFonts w:hint="eastAsia" w:ascii="宋体" w:hAnsi="宋体" w:eastAsia="宋体" w:cs="宋体"/>
                <w:szCs w:val="21"/>
                <w:highlight w:val="none"/>
              </w:rPr>
              <w:t>投标总报价（元）</w:t>
            </w:r>
          </w:p>
        </w:tc>
        <w:tc>
          <w:tcPr>
            <w:tcW w:w="2740" w:type="dxa"/>
            <w:tcBorders>
              <w:left w:val="single" w:color="auto" w:sz="4" w:space="0"/>
            </w:tcBorders>
            <w:noWrap w:val="0"/>
            <w:vAlign w:val="center"/>
          </w:tcPr>
          <w:p w14:paraId="3AF632AE">
            <w:pPr>
              <w:ind w:right="-21" w:rightChars="-10"/>
              <w:jc w:val="center"/>
              <w:rPr>
                <w:rFonts w:hint="eastAsia" w:ascii="宋体" w:hAnsi="宋体" w:eastAsia="宋体" w:cs="宋体"/>
                <w:szCs w:val="21"/>
                <w:highlight w:val="none"/>
              </w:rPr>
            </w:pPr>
            <w:r>
              <w:rPr>
                <w:rFonts w:hint="eastAsia" w:ascii="宋体" w:hAnsi="宋体" w:eastAsia="宋体" w:cs="宋体"/>
                <w:szCs w:val="21"/>
                <w:highlight w:val="none"/>
              </w:rPr>
              <w:t>供货期限</w:t>
            </w:r>
          </w:p>
        </w:tc>
        <w:tc>
          <w:tcPr>
            <w:tcW w:w="1023" w:type="dxa"/>
            <w:tcBorders>
              <w:left w:val="single" w:color="auto" w:sz="4" w:space="0"/>
            </w:tcBorders>
            <w:noWrap w:val="0"/>
            <w:vAlign w:val="center"/>
          </w:tcPr>
          <w:p w14:paraId="2FB0D0B3">
            <w:pPr>
              <w:ind w:right="-21" w:rightChars="-10"/>
              <w:jc w:val="center"/>
              <w:rPr>
                <w:rFonts w:hint="eastAsia" w:ascii="宋体" w:hAnsi="宋体" w:eastAsia="宋体" w:cs="宋体"/>
                <w:szCs w:val="21"/>
                <w:highlight w:val="none"/>
              </w:rPr>
            </w:pPr>
            <w:r>
              <w:rPr>
                <w:rFonts w:hint="eastAsia" w:ascii="宋体" w:hAnsi="宋体" w:eastAsia="宋体" w:cs="宋体"/>
                <w:szCs w:val="21"/>
                <w:highlight w:val="none"/>
              </w:rPr>
              <w:t>备注</w:t>
            </w:r>
          </w:p>
        </w:tc>
      </w:tr>
      <w:tr w14:paraId="35545A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685" w:hRule="atLeast"/>
        </w:trPr>
        <w:tc>
          <w:tcPr>
            <w:tcW w:w="2680" w:type="dxa"/>
            <w:noWrap w:val="0"/>
            <w:vAlign w:val="center"/>
          </w:tcPr>
          <w:p w14:paraId="62C5110F">
            <w:pPr>
              <w:ind w:right="-21" w:rightChars="-10"/>
              <w:jc w:val="center"/>
              <w:rPr>
                <w:rFonts w:hint="eastAsia" w:ascii="宋体" w:hAnsi="宋体" w:eastAsia="宋体" w:cs="宋体"/>
                <w:szCs w:val="21"/>
                <w:highlight w:val="none"/>
              </w:rPr>
            </w:pPr>
            <w:r>
              <w:rPr>
                <w:rFonts w:hint="eastAsia" w:ascii="宋体" w:hAnsi="宋体" w:eastAsia="宋体" w:cs="宋体"/>
                <w:szCs w:val="21"/>
                <w:highlight w:val="none"/>
              </w:rPr>
              <w:t>金海湖信息化展厅网络环境设备</w:t>
            </w:r>
          </w:p>
        </w:tc>
        <w:tc>
          <w:tcPr>
            <w:tcW w:w="3022" w:type="dxa"/>
            <w:tcBorders>
              <w:right w:val="single" w:color="auto" w:sz="4" w:space="0"/>
            </w:tcBorders>
            <w:noWrap w:val="0"/>
            <w:vAlign w:val="center"/>
          </w:tcPr>
          <w:p w14:paraId="02074FBD">
            <w:pPr>
              <w:spacing w:line="360" w:lineRule="auto"/>
              <w:rPr>
                <w:rFonts w:ascii="宋体" w:hAnsi="宋体" w:eastAsia="宋体" w:cs="宋体"/>
                <w:szCs w:val="21"/>
                <w:highlight w:val="none"/>
                <w:u w:val="single"/>
              </w:rPr>
            </w:pPr>
            <w:r>
              <w:rPr>
                <w:rFonts w:hint="eastAsia" w:ascii="宋体" w:hAnsi="宋体" w:eastAsia="宋体" w:cs="宋体"/>
                <w:szCs w:val="21"/>
                <w:highlight w:val="none"/>
              </w:rPr>
              <w:t>大写：</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 xml:space="preserve">         </w:t>
            </w:r>
          </w:p>
          <w:p w14:paraId="07A324C5">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小写：</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 xml:space="preserve"> </w:t>
            </w:r>
          </w:p>
        </w:tc>
        <w:tc>
          <w:tcPr>
            <w:tcW w:w="2740" w:type="dxa"/>
            <w:tcBorders>
              <w:left w:val="single" w:color="auto" w:sz="4" w:space="0"/>
            </w:tcBorders>
            <w:noWrap w:val="0"/>
            <w:vAlign w:val="center"/>
          </w:tcPr>
          <w:p w14:paraId="761C6AD8">
            <w:pPr>
              <w:ind w:right="-21" w:rightChars="-10"/>
              <w:jc w:val="left"/>
              <w:rPr>
                <w:rFonts w:hint="eastAsia" w:ascii="宋体" w:hAnsi="宋体" w:eastAsia="宋体" w:cs="宋体"/>
                <w:szCs w:val="21"/>
                <w:highlight w:val="none"/>
              </w:rPr>
            </w:pPr>
            <w:r>
              <w:rPr>
                <w:rFonts w:hint="eastAsia" w:ascii="宋体" w:hAnsi="宋体" w:eastAsia="宋体" w:cs="宋体"/>
                <w:bCs/>
                <w:szCs w:val="21"/>
                <w:highlight w:val="none"/>
              </w:rPr>
              <w:t>采购人发出通知后</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个日历天内供应商须完成货物的供货、安装、调试。试运行期</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个月。</w:t>
            </w:r>
          </w:p>
        </w:tc>
        <w:tc>
          <w:tcPr>
            <w:tcW w:w="1023" w:type="dxa"/>
            <w:tcBorders>
              <w:left w:val="single" w:color="auto" w:sz="4" w:space="0"/>
            </w:tcBorders>
            <w:noWrap w:val="0"/>
            <w:vAlign w:val="center"/>
          </w:tcPr>
          <w:p w14:paraId="47DA5C18">
            <w:pPr>
              <w:ind w:right="-21" w:rightChars="-10"/>
              <w:jc w:val="center"/>
              <w:rPr>
                <w:rFonts w:hint="eastAsia" w:ascii="宋体" w:hAnsi="宋体" w:eastAsia="宋体" w:cs="宋体"/>
                <w:szCs w:val="21"/>
                <w:highlight w:val="none"/>
              </w:rPr>
            </w:pPr>
          </w:p>
        </w:tc>
      </w:tr>
      <w:tr w14:paraId="06E04D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5" w:hRule="atLeast"/>
        </w:trPr>
        <w:tc>
          <w:tcPr>
            <w:tcW w:w="9465" w:type="dxa"/>
            <w:gridSpan w:val="4"/>
            <w:noWrap w:val="0"/>
            <w:vAlign w:val="center"/>
          </w:tcPr>
          <w:p w14:paraId="49749417">
            <w:pPr>
              <w:ind w:right="-21" w:rightChars="-10"/>
              <w:rPr>
                <w:rFonts w:hint="eastAsia" w:ascii="宋体" w:hAnsi="宋体" w:eastAsia="宋体" w:cs="宋体"/>
                <w:szCs w:val="21"/>
                <w:highlight w:val="none"/>
              </w:rPr>
            </w:pPr>
            <w:r>
              <w:rPr>
                <w:rFonts w:hint="eastAsia" w:ascii="宋体" w:hAnsi="宋体" w:eastAsia="宋体" w:cs="宋体"/>
                <w:szCs w:val="21"/>
                <w:highlight w:val="none"/>
              </w:rPr>
              <w:t>本项目所有产品的免费质保期为</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年（含系统维护），自最终验收合格次日起计算。</w:t>
            </w:r>
          </w:p>
        </w:tc>
      </w:tr>
    </w:tbl>
    <w:p w14:paraId="6D3E5FB5">
      <w:pPr>
        <w:rPr>
          <w:rFonts w:hint="eastAsia" w:ascii="宋体" w:hAnsi="宋体" w:cs="宋体"/>
          <w:bCs/>
          <w:szCs w:val="21"/>
          <w:highlight w:val="none"/>
        </w:rPr>
      </w:pPr>
    </w:p>
    <w:p w14:paraId="1A93A887">
      <w:pPr>
        <w:rPr>
          <w:rFonts w:hint="eastAsia" w:ascii="宋体" w:hAnsi="宋体" w:cs="宋体"/>
          <w:bCs/>
          <w:szCs w:val="21"/>
          <w:highlight w:val="none"/>
        </w:rPr>
      </w:pPr>
      <w:r>
        <w:rPr>
          <w:rFonts w:hint="eastAsia" w:ascii="宋体" w:hAnsi="宋体" w:cs="宋体"/>
          <w:bCs/>
          <w:szCs w:val="21"/>
          <w:highlight w:val="none"/>
        </w:rPr>
        <w:t>注：</w:t>
      </w:r>
    </w:p>
    <w:p w14:paraId="23138757">
      <w:pPr>
        <w:spacing w:line="360" w:lineRule="exact"/>
        <w:ind w:left="210" w:hanging="210" w:hangingChars="100"/>
        <w:rPr>
          <w:rFonts w:hint="eastAsia" w:ascii="宋体" w:hAnsi="宋体" w:cs="宋体"/>
          <w:szCs w:val="21"/>
          <w:highlight w:val="none"/>
        </w:rPr>
      </w:pPr>
      <w:r>
        <w:rPr>
          <w:rFonts w:hint="eastAsia" w:ascii="宋体" w:hAnsi="宋体" w:cs="宋体"/>
          <w:szCs w:val="21"/>
          <w:highlight w:val="none"/>
        </w:rPr>
        <w:t>1、投标报价（即投标总报价）包含的内容详见第一部分投标供应商须知第11点。</w:t>
      </w:r>
    </w:p>
    <w:p w14:paraId="28194604">
      <w:pPr>
        <w:spacing w:line="360" w:lineRule="exact"/>
        <w:ind w:left="210" w:hanging="210" w:hangingChars="100"/>
        <w:rPr>
          <w:rFonts w:hint="eastAsia" w:ascii="宋体" w:hAnsi="宋体" w:cs="宋体"/>
          <w:szCs w:val="21"/>
          <w:highlight w:val="none"/>
        </w:rPr>
      </w:pPr>
      <w:r>
        <w:rPr>
          <w:rFonts w:hint="eastAsia" w:ascii="宋体" w:hAnsi="宋体" w:cs="宋体"/>
          <w:szCs w:val="21"/>
          <w:highlight w:val="none"/>
        </w:rPr>
        <w:t>2、</w:t>
      </w:r>
      <w:r>
        <w:rPr>
          <w:rFonts w:hint="eastAsia" w:ascii="宋体" w:hAnsi="宋体" w:cs="宋体"/>
          <w:b/>
          <w:bCs/>
          <w:szCs w:val="21"/>
          <w:highlight w:val="none"/>
          <w:u w:val="single"/>
        </w:rPr>
        <w:t>▲此开标一览表中投标总报价应与“投标分项报价表”中“总计价”相一致</w:t>
      </w:r>
      <w:r>
        <w:rPr>
          <w:rFonts w:hint="eastAsia" w:ascii="宋体" w:hAnsi="宋体" w:cs="宋体"/>
          <w:szCs w:val="21"/>
          <w:highlight w:val="none"/>
        </w:rPr>
        <w:t xml:space="preserve">。 </w:t>
      </w:r>
    </w:p>
    <w:p w14:paraId="17761E38">
      <w:pPr>
        <w:spacing w:line="360" w:lineRule="exact"/>
        <w:ind w:left="207" w:hanging="207" w:hangingChars="98"/>
        <w:rPr>
          <w:rFonts w:hint="eastAsia" w:ascii="宋体" w:hAnsi="宋体" w:cs="宋体"/>
          <w:b/>
          <w:szCs w:val="21"/>
          <w:highlight w:val="none"/>
        </w:rPr>
      </w:pPr>
      <w:r>
        <w:rPr>
          <w:rFonts w:hint="eastAsia" w:ascii="宋体" w:hAnsi="宋体" w:cs="宋体"/>
          <w:b/>
          <w:szCs w:val="21"/>
          <w:highlight w:val="none"/>
        </w:rPr>
        <w:t>3、</w:t>
      </w:r>
      <w:r>
        <w:rPr>
          <w:rFonts w:hint="eastAsia" w:ascii="宋体" w:hAnsi="宋体" w:cs="宋体"/>
          <w:szCs w:val="21"/>
          <w:highlight w:val="none"/>
          <w:u w:val="single"/>
        </w:rPr>
        <w:t>▲</w:t>
      </w:r>
      <w:r>
        <w:rPr>
          <w:rFonts w:hint="eastAsia" w:ascii="宋体" w:hAnsi="宋体" w:cs="宋体"/>
          <w:b/>
          <w:szCs w:val="21"/>
          <w:highlight w:val="none"/>
          <w:u w:val="single"/>
        </w:rPr>
        <w:t>此表不得自行增减内容，不提供此表格将被视为没有实质性响应采购文件,其投标文件将被拒绝。</w:t>
      </w:r>
      <w:r>
        <w:rPr>
          <w:rFonts w:hint="eastAsia" w:ascii="宋体" w:hAnsi="宋体" w:cs="宋体"/>
          <w:b/>
          <w:szCs w:val="21"/>
          <w:highlight w:val="none"/>
        </w:rPr>
        <w:t xml:space="preserve">                                                          </w:t>
      </w:r>
    </w:p>
    <w:p w14:paraId="1D818D60">
      <w:pPr>
        <w:spacing w:line="340" w:lineRule="exact"/>
        <w:ind w:right="-21" w:rightChars="-10"/>
        <w:rPr>
          <w:rFonts w:hint="eastAsia" w:ascii="宋体" w:hAnsi="宋体" w:cs="宋体"/>
          <w:szCs w:val="21"/>
          <w:highlight w:val="none"/>
        </w:rPr>
      </w:pPr>
      <w:r>
        <w:rPr>
          <w:rFonts w:hint="eastAsia" w:ascii="宋体" w:hAnsi="宋体" w:cs="宋体"/>
          <w:szCs w:val="21"/>
          <w:highlight w:val="none"/>
        </w:rPr>
        <w:t>4、</w:t>
      </w:r>
      <w:r>
        <w:rPr>
          <w:rFonts w:hint="eastAsia" w:ascii="宋体" w:hAnsi="宋体" w:cs="宋体"/>
          <w:szCs w:val="21"/>
          <w:highlight w:val="none"/>
          <w:u w:val="single"/>
        </w:rPr>
        <w:t>▲本项目采购预算55万元，投标供应商投标总报价超过采购预算金额的，其投标文件作无效标处理。</w:t>
      </w:r>
    </w:p>
    <w:p w14:paraId="3FAB8072">
      <w:pPr>
        <w:spacing w:line="460" w:lineRule="exact"/>
        <w:ind w:firstLine="3150" w:firstLineChars="1500"/>
        <w:rPr>
          <w:rFonts w:hint="eastAsia" w:ascii="宋体" w:hAnsi="宋体" w:cs="宋体"/>
          <w:szCs w:val="21"/>
          <w:highlight w:val="none"/>
        </w:rPr>
      </w:pPr>
    </w:p>
    <w:p w14:paraId="73B3DE45">
      <w:pPr>
        <w:spacing w:line="460" w:lineRule="exact"/>
        <w:ind w:firstLine="3780" w:firstLineChars="1800"/>
        <w:rPr>
          <w:rFonts w:hint="eastAsia" w:ascii="宋体" w:hAnsi="宋体" w:cs="宋体"/>
          <w:szCs w:val="21"/>
          <w:highlight w:val="none"/>
        </w:rPr>
      </w:pPr>
      <w:r>
        <w:rPr>
          <w:rFonts w:hint="eastAsia" w:ascii="宋体" w:hAnsi="宋体" w:cs="宋体"/>
          <w:szCs w:val="21"/>
          <w:highlight w:val="none"/>
        </w:rPr>
        <w:t>投标供应商全称（盖单位公章） ：</w:t>
      </w:r>
    </w:p>
    <w:p w14:paraId="142EE277">
      <w:pPr>
        <w:spacing w:line="460" w:lineRule="exact"/>
        <w:ind w:firstLine="2730" w:firstLineChars="1300"/>
        <w:rPr>
          <w:rFonts w:hint="eastAsia" w:ascii="宋体" w:hAnsi="宋体" w:cs="宋体"/>
          <w:szCs w:val="21"/>
          <w:highlight w:val="none"/>
        </w:rPr>
      </w:pPr>
      <w:r>
        <w:rPr>
          <w:rFonts w:hint="eastAsia" w:ascii="宋体" w:hAnsi="宋体" w:cs="宋体"/>
          <w:szCs w:val="21"/>
          <w:highlight w:val="none"/>
        </w:rPr>
        <w:t>法定代表人（法定负责人） 或授权代表（签字或盖章）：</w:t>
      </w:r>
    </w:p>
    <w:p w14:paraId="358AEFBE">
      <w:pPr>
        <w:spacing w:line="460" w:lineRule="exact"/>
        <w:ind w:firstLine="5250" w:firstLineChars="2500"/>
        <w:rPr>
          <w:rFonts w:hint="eastAsia" w:ascii="宋体" w:hAnsi="宋体" w:cs="宋体"/>
          <w:szCs w:val="21"/>
          <w:highlight w:val="none"/>
        </w:rPr>
      </w:pPr>
      <w:r>
        <w:rPr>
          <w:rFonts w:hint="eastAsia" w:ascii="宋体" w:hAnsi="宋体" w:cs="宋体"/>
          <w:szCs w:val="21"/>
          <w:highlight w:val="none"/>
        </w:rPr>
        <w:t>日期：</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rPr>
        <w:t>日</w:t>
      </w:r>
    </w:p>
    <w:p w14:paraId="05EAE26A">
      <w:pPr>
        <w:spacing w:line="380" w:lineRule="exact"/>
        <w:rPr>
          <w:rFonts w:hint="eastAsia" w:ascii="宋体" w:hAnsi="宋体" w:cs="宋体"/>
          <w:b/>
          <w:bCs/>
          <w:szCs w:val="21"/>
          <w:highlight w:val="none"/>
        </w:rPr>
        <w:sectPr>
          <w:pgSz w:w="11906" w:h="16838"/>
          <w:pgMar w:top="1134" w:right="1134" w:bottom="1134" w:left="1417" w:header="851" w:footer="567" w:gutter="0"/>
          <w:cols w:space="720" w:num="1"/>
          <w:docGrid w:linePitch="312" w:charSpace="0"/>
        </w:sectPr>
      </w:pPr>
    </w:p>
    <w:p w14:paraId="20543A2A">
      <w:pPr>
        <w:spacing w:line="380" w:lineRule="exact"/>
        <w:rPr>
          <w:rFonts w:hint="eastAsia" w:ascii="宋体" w:hAnsi="宋体" w:cs="宋体"/>
          <w:b/>
          <w:bCs/>
          <w:szCs w:val="21"/>
          <w:highlight w:val="none"/>
        </w:rPr>
      </w:pPr>
      <w:r>
        <w:rPr>
          <w:rFonts w:hint="eastAsia" w:ascii="宋体" w:hAnsi="宋体" w:cs="宋体"/>
          <w:b/>
          <w:bCs/>
          <w:szCs w:val="21"/>
          <w:highlight w:val="none"/>
        </w:rPr>
        <w:t>附件十九</w:t>
      </w:r>
    </w:p>
    <w:p w14:paraId="0345AA44">
      <w:pPr>
        <w:autoSpaceDE w:val="0"/>
        <w:autoSpaceDN w:val="0"/>
        <w:adjustRightInd w:val="0"/>
        <w:spacing w:line="460" w:lineRule="atLeast"/>
        <w:jc w:val="center"/>
        <w:rPr>
          <w:rFonts w:hint="eastAsia" w:ascii="宋体" w:hAnsi="宋体" w:cs="宋体"/>
          <w:b/>
          <w:szCs w:val="21"/>
          <w:highlight w:val="none"/>
          <w:lang w:val="zh-CN"/>
        </w:rPr>
      </w:pPr>
      <w:bookmarkStart w:id="165" w:name="_Hlk483770012"/>
      <w:r>
        <w:rPr>
          <w:rFonts w:hint="eastAsia" w:ascii="宋体" w:hAnsi="宋体" w:cs="宋体"/>
          <w:b/>
          <w:szCs w:val="21"/>
          <w:highlight w:val="none"/>
          <w:lang w:val="zh-CN"/>
        </w:rPr>
        <w:t>投标分项报价表</w:t>
      </w:r>
    </w:p>
    <w:p w14:paraId="5BE4B4A3">
      <w:pPr>
        <w:rPr>
          <w:rFonts w:hint="eastAsia" w:ascii="宋体" w:hAnsi="宋体" w:cs="宋体"/>
          <w:b/>
          <w:szCs w:val="21"/>
          <w:highlight w:val="none"/>
        </w:rPr>
      </w:pPr>
      <w:r>
        <w:rPr>
          <w:rFonts w:hint="eastAsia" w:ascii="宋体" w:hAnsi="宋体" w:cs="宋体"/>
          <w:b/>
          <w:szCs w:val="21"/>
          <w:highlight w:val="none"/>
        </w:rPr>
        <w:t>项目名称： 金海湖信息化展厅网络环境设备</w:t>
      </w:r>
    </w:p>
    <w:p w14:paraId="4AAB58F8">
      <w:pPr>
        <w:rPr>
          <w:rFonts w:hint="eastAsia" w:ascii="宋体" w:hAnsi="宋体" w:cs="宋体"/>
          <w:b/>
          <w:szCs w:val="21"/>
          <w:highlight w:val="none"/>
        </w:rPr>
      </w:pPr>
      <w:r>
        <w:rPr>
          <w:rFonts w:hint="eastAsia" w:ascii="宋体" w:hAnsi="宋体" w:cs="宋体"/>
          <w:b/>
          <w:szCs w:val="21"/>
          <w:highlight w:val="none"/>
        </w:rPr>
        <w:t xml:space="preserve">项目编号：WGSS-JFJT-ZS-2026004 </w:t>
      </w:r>
    </w:p>
    <w:p w14:paraId="74D88973">
      <w:pPr>
        <w:jc w:val="right"/>
        <w:rPr>
          <w:rFonts w:hint="eastAsia" w:ascii="宋体" w:hAnsi="宋体" w:cs="宋体"/>
          <w:b/>
          <w:szCs w:val="21"/>
          <w:highlight w:val="none"/>
        </w:rPr>
      </w:pPr>
      <w:r>
        <w:rPr>
          <w:rFonts w:hint="eastAsia" w:ascii="宋体" w:hAnsi="宋体" w:cs="宋体"/>
          <w:b/>
          <w:szCs w:val="21"/>
          <w:highlight w:val="none"/>
        </w:rPr>
        <w:t xml:space="preserve">                                                                   （价格单位：人民币元）</w:t>
      </w:r>
    </w:p>
    <w:bookmarkEnd w:id="165"/>
    <w:tbl>
      <w:tblPr>
        <w:tblStyle w:val="35"/>
        <w:tblW w:w="4863"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43"/>
        <w:gridCol w:w="2496"/>
        <w:gridCol w:w="787"/>
        <w:gridCol w:w="944"/>
        <w:gridCol w:w="1825"/>
        <w:gridCol w:w="1794"/>
        <w:gridCol w:w="720"/>
      </w:tblGrid>
      <w:tr w14:paraId="1AF967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743" w:type="dxa"/>
            <w:tcBorders>
              <w:top w:val="single" w:color="auto" w:sz="4" w:space="0"/>
              <w:left w:val="single" w:color="auto" w:sz="4" w:space="0"/>
              <w:bottom w:val="single" w:color="auto" w:sz="4" w:space="0"/>
              <w:right w:val="single" w:color="auto" w:sz="4" w:space="0"/>
            </w:tcBorders>
            <w:noWrap w:val="0"/>
            <w:vAlign w:val="center"/>
          </w:tcPr>
          <w:p w14:paraId="2BAFD501">
            <w:pPr>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序号</w:t>
            </w:r>
          </w:p>
        </w:tc>
        <w:tc>
          <w:tcPr>
            <w:tcW w:w="2496" w:type="dxa"/>
            <w:tcBorders>
              <w:top w:val="single" w:color="auto" w:sz="4" w:space="0"/>
              <w:left w:val="single" w:color="auto" w:sz="4" w:space="0"/>
              <w:bottom w:val="single" w:color="auto" w:sz="4" w:space="0"/>
              <w:right w:val="single" w:color="auto" w:sz="4" w:space="0"/>
            </w:tcBorders>
            <w:noWrap w:val="0"/>
            <w:vAlign w:val="center"/>
          </w:tcPr>
          <w:p w14:paraId="2A28F938">
            <w:pPr>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产品名称</w:t>
            </w:r>
          </w:p>
        </w:tc>
        <w:tc>
          <w:tcPr>
            <w:tcW w:w="787" w:type="dxa"/>
            <w:tcBorders>
              <w:top w:val="single" w:color="auto" w:sz="4" w:space="0"/>
              <w:left w:val="single" w:color="auto" w:sz="4" w:space="0"/>
              <w:bottom w:val="single" w:color="auto" w:sz="4" w:space="0"/>
              <w:right w:val="single" w:color="auto" w:sz="4" w:space="0"/>
            </w:tcBorders>
            <w:noWrap w:val="0"/>
            <w:vAlign w:val="center"/>
          </w:tcPr>
          <w:p w14:paraId="76EFA98C">
            <w:pPr>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数量</w:t>
            </w:r>
          </w:p>
        </w:tc>
        <w:tc>
          <w:tcPr>
            <w:tcW w:w="944" w:type="dxa"/>
            <w:tcBorders>
              <w:top w:val="single" w:color="auto" w:sz="4" w:space="0"/>
              <w:left w:val="single" w:color="auto" w:sz="4" w:space="0"/>
              <w:bottom w:val="single" w:color="auto" w:sz="4" w:space="0"/>
              <w:right w:val="single" w:color="auto" w:sz="4" w:space="0"/>
            </w:tcBorders>
            <w:noWrap w:val="0"/>
            <w:vAlign w:val="center"/>
          </w:tcPr>
          <w:p w14:paraId="07473D57">
            <w:pPr>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单位</w:t>
            </w:r>
          </w:p>
        </w:tc>
        <w:tc>
          <w:tcPr>
            <w:tcW w:w="1825" w:type="dxa"/>
            <w:tcBorders>
              <w:top w:val="single" w:color="auto" w:sz="4" w:space="0"/>
              <w:left w:val="single" w:color="auto" w:sz="4" w:space="0"/>
              <w:bottom w:val="single" w:color="auto" w:sz="4" w:space="0"/>
              <w:right w:val="single" w:color="auto" w:sz="4" w:space="0"/>
            </w:tcBorders>
            <w:noWrap w:val="0"/>
            <w:vAlign w:val="center"/>
          </w:tcPr>
          <w:p w14:paraId="47EC4E4F">
            <w:pPr>
              <w:snapToGrid w:val="0"/>
              <w:spacing w:before="50" w:after="50"/>
              <w:jc w:val="center"/>
              <w:rPr>
                <w:rFonts w:ascii="宋体" w:hAnsi="宋体" w:eastAsia="宋体" w:cs="宋体"/>
                <w:sz w:val="20"/>
                <w:szCs w:val="20"/>
                <w:highlight w:val="none"/>
              </w:rPr>
            </w:pPr>
            <w:r>
              <w:rPr>
                <w:rFonts w:hint="eastAsia" w:ascii="宋体" w:hAnsi="宋体" w:eastAsia="宋体" w:cs="宋体"/>
                <w:sz w:val="20"/>
                <w:szCs w:val="20"/>
                <w:highlight w:val="none"/>
              </w:rPr>
              <w:t>单价（元/单位）</w:t>
            </w:r>
          </w:p>
        </w:tc>
        <w:tc>
          <w:tcPr>
            <w:tcW w:w="1794" w:type="dxa"/>
            <w:tcBorders>
              <w:top w:val="single" w:color="auto" w:sz="4" w:space="0"/>
              <w:left w:val="single" w:color="auto" w:sz="4" w:space="0"/>
              <w:bottom w:val="single" w:color="auto" w:sz="4" w:space="0"/>
              <w:right w:val="single" w:color="auto" w:sz="4" w:space="0"/>
            </w:tcBorders>
            <w:noWrap w:val="0"/>
            <w:vAlign w:val="center"/>
          </w:tcPr>
          <w:p w14:paraId="26FC1927">
            <w:pPr>
              <w:snapToGrid w:val="0"/>
              <w:spacing w:before="50" w:after="50"/>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合价（元）</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4D8287E5">
            <w:pPr>
              <w:snapToGrid w:val="0"/>
              <w:spacing w:before="50" w:after="50"/>
              <w:jc w:val="center"/>
              <w:rPr>
                <w:rFonts w:ascii="宋体" w:hAnsi="宋体" w:eastAsia="宋体" w:cs="宋体"/>
                <w:sz w:val="20"/>
                <w:szCs w:val="20"/>
                <w:highlight w:val="none"/>
              </w:rPr>
            </w:pPr>
            <w:r>
              <w:rPr>
                <w:rFonts w:hint="eastAsia" w:ascii="宋体" w:hAnsi="宋体" w:eastAsia="宋体" w:cs="宋体"/>
                <w:sz w:val="20"/>
                <w:szCs w:val="20"/>
                <w:highlight w:val="none"/>
              </w:rPr>
              <w:t>备注</w:t>
            </w:r>
          </w:p>
        </w:tc>
      </w:tr>
      <w:tr w14:paraId="0F0A81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743" w:type="dxa"/>
            <w:tcBorders>
              <w:top w:val="single" w:color="auto" w:sz="4" w:space="0"/>
              <w:left w:val="single" w:color="auto" w:sz="4" w:space="0"/>
              <w:bottom w:val="single" w:color="auto" w:sz="4" w:space="0"/>
              <w:right w:val="single" w:color="auto" w:sz="4" w:space="0"/>
            </w:tcBorders>
            <w:noWrap w:val="0"/>
            <w:vAlign w:val="center"/>
          </w:tcPr>
          <w:p w14:paraId="01D70DBA">
            <w:pPr>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1</w:t>
            </w:r>
          </w:p>
        </w:tc>
        <w:tc>
          <w:tcPr>
            <w:tcW w:w="2496" w:type="dxa"/>
            <w:tcBorders>
              <w:top w:val="single" w:color="auto" w:sz="4" w:space="0"/>
              <w:left w:val="single" w:color="auto" w:sz="4" w:space="0"/>
              <w:bottom w:val="single" w:color="auto" w:sz="4" w:space="0"/>
              <w:right w:val="single" w:color="auto" w:sz="4" w:space="0"/>
            </w:tcBorders>
            <w:noWrap w:val="0"/>
            <w:vAlign w:val="center"/>
          </w:tcPr>
          <w:p w14:paraId="0867B3EF">
            <w:pPr>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超融合集成服务</w:t>
            </w:r>
          </w:p>
        </w:tc>
        <w:tc>
          <w:tcPr>
            <w:tcW w:w="787" w:type="dxa"/>
            <w:tcBorders>
              <w:top w:val="single" w:color="auto" w:sz="4" w:space="0"/>
              <w:left w:val="single" w:color="auto" w:sz="4" w:space="0"/>
              <w:bottom w:val="single" w:color="auto" w:sz="4" w:space="0"/>
              <w:right w:val="single" w:color="auto" w:sz="4" w:space="0"/>
            </w:tcBorders>
            <w:noWrap w:val="0"/>
            <w:vAlign w:val="center"/>
          </w:tcPr>
          <w:p w14:paraId="07231311">
            <w:pPr>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1</w:t>
            </w:r>
          </w:p>
        </w:tc>
        <w:tc>
          <w:tcPr>
            <w:tcW w:w="944" w:type="dxa"/>
            <w:tcBorders>
              <w:top w:val="single" w:color="auto" w:sz="4" w:space="0"/>
              <w:left w:val="single" w:color="auto" w:sz="4" w:space="0"/>
              <w:bottom w:val="single" w:color="auto" w:sz="4" w:space="0"/>
              <w:right w:val="single" w:color="auto" w:sz="4" w:space="0"/>
            </w:tcBorders>
            <w:noWrap w:val="0"/>
            <w:vAlign w:val="center"/>
          </w:tcPr>
          <w:p w14:paraId="1D85691B">
            <w:pPr>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套</w:t>
            </w:r>
          </w:p>
        </w:tc>
        <w:tc>
          <w:tcPr>
            <w:tcW w:w="1825" w:type="dxa"/>
            <w:tcBorders>
              <w:top w:val="single" w:color="auto" w:sz="4" w:space="0"/>
              <w:left w:val="single" w:color="auto" w:sz="4" w:space="0"/>
              <w:bottom w:val="single" w:color="auto" w:sz="4" w:space="0"/>
              <w:right w:val="single" w:color="auto" w:sz="4" w:space="0"/>
            </w:tcBorders>
            <w:noWrap w:val="0"/>
            <w:vAlign w:val="center"/>
          </w:tcPr>
          <w:p w14:paraId="394988CE">
            <w:pPr>
              <w:snapToGrid w:val="0"/>
              <w:spacing w:before="50" w:after="50"/>
              <w:jc w:val="center"/>
              <w:rPr>
                <w:rFonts w:hint="eastAsia" w:ascii="宋体" w:hAnsi="宋体" w:eastAsia="宋体" w:cs="宋体"/>
                <w:sz w:val="20"/>
                <w:szCs w:val="20"/>
                <w:highlight w:val="none"/>
              </w:rPr>
            </w:pPr>
          </w:p>
        </w:tc>
        <w:tc>
          <w:tcPr>
            <w:tcW w:w="1794" w:type="dxa"/>
            <w:tcBorders>
              <w:top w:val="single" w:color="auto" w:sz="4" w:space="0"/>
              <w:left w:val="single" w:color="auto" w:sz="4" w:space="0"/>
              <w:bottom w:val="single" w:color="auto" w:sz="4" w:space="0"/>
              <w:right w:val="single" w:color="auto" w:sz="4" w:space="0"/>
            </w:tcBorders>
            <w:noWrap w:val="0"/>
            <w:vAlign w:val="center"/>
          </w:tcPr>
          <w:p w14:paraId="05765A79">
            <w:pPr>
              <w:snapToGrid w:val="0"/>
              <w:spacing w:before="50" w:after="50"/>
              <w:jc w:val="center"/>
              <w:rPr>
                <w:rFonts w:hint="eastAsia" w:ascii="宋体" w:hAnsi="宋体" w:eastAsia="宋体" w:cs="宋体"/>
                <w:sz w:val="20"/>
                <w:szCs w:val="20"/>
                <w:highlight w:val="none"/>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63F58190">
            <w:pPr>
              <w:snapToGrid w:val="0"/>
              <w:spacing w:before="50" w:after="50"/>
              <w:jc w:val="center"/>
              <w:rPr>
                <w:rFonts w:hint="eastAsia" w:ascii="宋体" w:hAnsi="宋体" w:eastAsia="宋体" w:cs="宋体"/>
                <w:sz w:val="20"/>
                <w:szCs w:val="20"/>
                <w:highlight w:val="none"/>
              </w:rPr>
            </w:pPr>
          </w:p>
        </w:tc>
      </w:tr>
      <w:tr w14:paraId="684613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743" w:type="dxa"/>
            <w:tcBorders>
              <w:top w:val="single" w:color="auto" w:sz="4" w:space="0"/>
              <w:left w:val="single" w:color="auto" w:sz="4" w:space="0"/>
              <w:bottom w:val="single" w:color="auto" w:sz="4" w:space="0"/>
              <w:right w:val="single" w:color="auto" w:sz="4" w:space="0"/>
            </w:tcBorders>
            <w:noWrap w:val="0"/>
            <w:vAlign w:val="center"/>
          </w:tcPr>
          <w:p w14:paraId="35A41F86">
            <w:pPr>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2</w:t>
            </w:r>
          </w:p>
        </w:tc>
        <w:tc>
          <w:tcPr>
            <w:tcW w:w="2496" w:type="dxa"/>
            <w:tcBorders>
              <w:top w:val="single" w:color="auto" w:sz="4" w:space="0"/>
              <w:left w:val="single" w:color="auto" w:sz="4" w:space="0"/>
              <w:bottom w:val="single" w:color="auto" w:sz="4" w:space="0"/>
              <w:right w:val="single" w:color="auto" w:sz="4" w:space="0"/>
            </w:tcBorders>
            <w:noWrap w:val="0"/>
            <w:vAlign w:val="center"/>
          </w:tcPr>
          <w:p w14:paraId="7EDD20A3">
            <w:pPr>
              <w:jc w:val="center"/>
              <w:rPr>
                <w:rFonts w:hint="eastAsia" w:ascii="宋体" w:hAnsi="宋体" w:eastAsia="宋体" w:cs="宋体"/>
                <w:sz w:val="20"/>
                <w:szCs w:val="20"/>
                <w:highlight w:val="none"/>
              </w:rPr>
            </w:pPr>
            <w:r>
              <w:rPr>
                <w:rFonts w:ascii="宋体" w:hAnsi="宋体" w:eastAsia="宋体" w:cs="宋体"/>
                <w:sz w:val="20"/>
                <w:szCs w:val="20"/>
                <w:highlight w:val="none"/>
              </w:rPr>
              <w:t>计算虚拟化软件</w:t>
            </w:r>
            <w:r>
              <w:rPr>
                <w:rFonts w:hint="eastAsia" w:ascii="宋体" w:hAnsi="宋体" w:eastAsia="宋体" w:cs="宋体"/>
                <w:sz w:val="20"/>
                <w:szCs w:val="20"/>
                <w:highlight w:val="none"/>
              </w:rPr>
              <w:t>集成服务</w:t>
            </w:r>
          </w:p>
        </w:tc>
        <w:tc>
          <w:tcPr>
            <w:tcW w:w="787" w:type="dxa"/>
            <w:tcBorders>
              <w:top w:val="single" w:color="auto" w:sz="4" w:space="0"/>
              <w:left w:val="single" w:color="auto" w:sz="4" w:space="0"/>
              <w:bottom w:val="single" w:color="auto" w:sz="4" w:space="0"/>
              <w:right w:val="single" w:color="auto" w:sz="4" w:space="0"/>
            </w:tcBorders>
            <w:noWrap w:val="0"/>
            <w:vAlign w:val="center"/>
          </w:tcPr>
          <w:p w14:paraId="657210AF">
            <w:pPr>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1</w:t>
            </w:r>
          </w:p>
        </w:tc>
        <w:tc>
          <w:tcPr>
            <w:tcW w:w="944" w:type="dxa"/>
            <w:tcBorders>
              <w:top w:val="single" w:color="auto" w:sz="4" w:space="0"/>
              <w:left w:val="single" w:color="auto" w:sz="4" w:space="0"/>
              <w:bottom w:val="single" w:color="auto" w:sz="4" w:space="0"/>
              <w:right w:val="single" w:color="auto" w:sz="4" w:space="0"/>
            </w:tcBorders>
            <w:noWrap w:val="0"/>
            <w:vAlign w:val="center"/>
          </w:tcPr>
          <w:p w14:paraId="28BB18AD">
            <w:pPr>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套</w:t>
            </w:r>
          </w:p>
        </w:tc>
        <w:tc>
          <w:tcPr>
            <w:tcW w:w="1825" w:type="dxa"/>
            <w:tcBorders>
              <w:top w:val="single" w:color="auto" w:sz="4" w:space="0"/>
              <w:left w:val="single" w:color="auto" w:sz="4" w:space="0"/>
              <w:bottom w:val="single" w:color="auto" w:sz="4" w:space="0"/>
              <w:right w:val="single" w:color="auto" w:sz="4" w:space="0"/>
            </w:tcBorders>
            <w:noWrap w:val="0"/>
            <w:vAlign w:val="center"/>
          </w:tcPr>
          <w:p w14:paraId="21517A46">
            <w:pPr>
              <w:snapToGrid w:val="0"/>
              <w:spacing w:before="50" w:after="50"/>
              <w:jc w:val="center"/>
              <w:rPr>
                <w:rFonts w:hint="eastAsia" w:ascii="宋体" w:hAnsi="宋体" w:eastAsia="宋体" w:cs="宋体"/>
                <w:sz w:val="20"/>
                <w:szCs w:val="20"/>
                <w:highlight w:val="none"/>
              </w:rPr>
            </w:pPr>
          </w:p>
        </w:tc>
        <w:tc>
          <w:tcPr>
            <w:tcW w:w="1794" w:type="dxa"/>
            <w:tcBorders>
              <w:top w:val="single" w:color="auto" w:sz="4" w:space="0"/>
              <w:left w:val="single" w:color="auto" w:sz="4" w:space="0"/>
              <w:bottom w:val="single" w:color="auto" w:sz="4" w:space="0"/>
              <w:right w:val="single" w:color="auto" w:sz="4" w:space="0"/>
            </w:tcBorders>
            <w:noWrap w:val="0"/>
            <w:vAlign w:val="center"/>
          </w:tcPr>
          <w:p w14:paraId="027282D4">
            <w:pPr>
              <w:snapToGrid w:val="0"/>
              <w:spacing w:before="50" w:after="50"/>
              <w:jc w:val="center"/>
              <w:rPr>
                <w:rFonts w:hint="eastAsia" w:ascii="宋体" w:hAnsi="宋体" w:eastAsia="宋体" w:cs="宋体"/>
                <w:sz w:val="20"/>
                <w:szCs w:val="20"/>
                <w:highlight w:val="none"/>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70F1C145">
            <w:pPr>
              <w:snapToGrid w:val="0"/>
              <w:spacing w:before="50" w:after="50"/>
              <w:jc w:val="center"/>
              <w:rPr>
                <w:rFonts w:hint="eastAsia" w:ascii="宋体" w:hAnsi="宋体" w:eastAsia="宋体" w:cs="宋体"/>
                <w:sz w:val="20"/>
                <w:szCs w:val="20"/>
                <w:highlight w:val="none"/>
              </w:rPr>
            </w:pPr>
          </w:p>
        </w:tc>
      </w:tr>
      <w:tr w14:paraId="0D256E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743" w:type="dxa"/>
            <w:tcBorders>
              <w:top w:val="single" w:color="auto" w:sz="4" w:space="0"/>
              <w:left w:val="single" w:color="auto" w:sz="4" w:space="0"/>
              <w:bottom w:val="single" w:color="auto" w:sz="4" w:space="0"/>
              <w:right w:val="single" w:color="auto" w:sz="4" w:space="0"/>
            </w:tcBorders>
            <w:noWrap w:val="0"/>
            <w:vAlign w:val="center"/>
          </w:tcPr>
          <w:p w14:paraId="16E29DEE">
            <w:pPr>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3</w:t>
            </w:r>
          </w:p>
        </w:tc>
        <w:tc>
          <w:tcPr>
            <w:tcW w:w="2496" w:type="dxa"/>
            <w:tcBorders>
              <w:top w:val="single" w:color="auto" w:sz="4" w:space="0"/>
              <w:left w:val="single" w:color="auto" w:sz="4" w:space="0"/>
              <w:bottom w:val="single" w:color="auto" w:sz="4" w:space="0"/>
              <w:right w:val="single" w:color="auto" w:sz="4" w:space="0"/>
            </w:tcBorders>
            <w:noWrap w:val="0"/>
            <w:vAlign w:val="center"/>
          </w:tcPr>
          <w:p w14:paraId="1B655763">
            <w:pPr>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互联网防火墙</w:t>
            </w:r>
          </w:p>
        </w:tc>
        <w:tc>
          <w:tcPr>
            <w:tcW w:w="787" w:type="dxa"/>
            <w:tcBorders>
              <w:top w:val="single" w:color="auto" w:sz="4" w:space="0"/>
              <w:left w:val="single" w:color="auto" w:sz="4" w:space="0"/>
              <w:bottom w:val="single" w:color="auto" w:sz="4" w:space="0"/>
              <w:right w:val="single" w:color="auto" w:sz="4" w:space="0"/>
            </w:tcBorders>
            <w:noWrap w:val="0"/>
            <w:vAlign w:val="center"/>
          </w:tcPr>
          <w:p w14:paraId="571C3056">
            <w:pPr>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1</w:t>
            </w:r>
          </w:p>
        </w:tc>
        <w:tc>
          <w:tcPr>
            <w:tcW w:w="944" w:type="dxa"/>
            <w:tcBorders>
              <w:top w:val="single" w:color="auto" w:sz="4" w:space="0"/>
              <w:left w:val="single" w:color="auto" w:sz="4" w:space="0"/>
              <w:bottom w:val="single" w:color="auto" w:sz="4" w:space="0"/>
              <w:right w:val="single" w:color="auto" w:sz="4" w:space="0"/>
            </w:tcBorders>
            <w:noWrap w:val="0"/>
            <w:vAlign w:val="center"/>
          </w:tcPr>
          <w:p w14:paraId="39C373D8">
            <w:pPr>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台</w:t>
            </w:r>
          </w:p>
        </w:tc>
        <w:tc>
          <w:tcPr>
            <w:tcW w:w="1825" w:type="dxa"/>
            <w:tcBorders>
              <w:top w:val="single" w:color="auto" w:sz="4" w:space="0"/>
              <w:left w:val="single" w:color="auto" w:sz="4" w:space="0"/>
              <w:bottom w:val="single" w:color="auto" w:sz="4" w:space="0"/>
              <w:right w:val="single" w:color="auto" w:sz="4" w:space="0"/>
            </w:tcBorders>
            <w:noWrap w:val="0"/>
            <w:vAlign w:val="center"/>
          </w:tcPr>
          <w:p w14:paraId="4475CB28">
            <w:pPr>
              <w:snapToGrid w:val="0"/>
              <w:spacing w:before="50" w:after="50"/>
              <w:jc w:val="center"/>
              <w:rPr>
                <w:rFonts w:hint="eastAsia" w:ascii="宋体" w:hAnsi="宋体" w:eastAsia="宋体" w:cs="宋体"/>
                <w:sz w:val="20"/>
                <w:szCs w:val="20"/>
                <w:highlight w:val="none"/>
              </w:rPr>
            </w:pPr>
          </w:p>
        </w:tc>
        <w:tc>
          <w:tcPr>
            <w:tcW w:w="1794" w:type="dxa"/>
            <w:tcBorders>
              <w:top w:val="single" w:color="auto" w:sz="4" w:space="0"/>
              <w:left w:val="single" w:color="auto" w:sz="4" w:space="0"/>
              <w:bottom w:val="single" w:color="auto" w:sz="4" w:space="0"/>
              <w:right w:val="single" w:color="auto" w:sz="4" w:space="0"/>
            </w:tcBorders>
            <w:noWrap w:val="0"/>
            <w:vAlign w:val="center"/>
          </w:tcPr>
          <w:p w14:paraId="586BDE68">
            <w:pPr>
              <w:snapToGrid w:val="0"/>
              <w:spacing w:before="50" w:after="50"/>
              <w:jc w:val="center"/>
              <w:rPr>
                <w:rFonts w:hint="eastAsia" w:ascii="宋体" w:hAnsi="宋体" w:eastAsia="宋体" w:cs="宋体"/>
                <w:sz w:val="20"/>
                <w:szCs w:val="20"/>
                <w:highlight w:val="none"/>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75489B3B">
            <w:pPr>
              <w:snapToGrid w:val="0"/>
              <w:spacing w:before="50" w:after="50"/>
              <w:jc w:val="center"/>
              <w:rPr>
                <w:rFonts w:hint="eastAsia" w:ascii="宋体" w:hAnsi="宋体" w:eastAsia="宋体" w:cs="宋体"/>
                <w:sz w:val="20"/>
                <w:szCs w:val="20"/>
                <w:highlight w:val="none"/>
              </w:rPr>
            </w:pPr>
          </w:p>
        </w:tc>
      </w:tr>
      <w:tr w14:paraId="645975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743" w:type="dxa"/>
            <w:tcBorders>
              <w:top w:val="single" w:color="auto" w:sz="4" w:space="0"/>
              <w:left w:val="single" w:color="auto" w:sz="4" w:space="0"/>
              <w:bottom w:val="single" w:color="auto" w:sz="4" w:space="0"/>
              <w:right w:val="single" w:color="auto" w:sz="4" w:space="0"/>
            </w:tcBorders>
            <w:noWrap w:val="0"/>
            <w:vAlign w:val="center"/>
          </w:tcPr>
          <w:p w14:paraId="6F1F2751">
            <w:pPr>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4</w:t>
            </w:r>
          </w:p>
        </w:tc>
        <w:tc>
          <w:tcPr>
            <w:tcW w:w="2496" w:type="dxa"/>
            <w:tcBorders>
              <w:top w:val="single" w:color="auto" w:sz="4" w:space="0"/>
              <w:left w:val="single" w:color="auto" w:sz="4" w:space="0"/>
              <w:bottom w:val="single" w:color="auto" w:sz="4" w:space="0"/>
              <w:right w:val="single" w:color="auto" w:sz="4" w:space="0"/>
            </w:tcBorders>
            <w:noWrap w:val="0"/>
            <w:vAlign w:val="center"/>
          </w:tcPr>
          <w:p w14:paraId="3434BB89">
            <w:pPr>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节点防火墙</w:t>
            </w:r>
          </w:p>
        </w:tc>
        <w:tc>
          <w:tcPr>
            <w:tcW w:w="787" w:type="dxa"/>
            <w:tcBorders>
              <w:top w:val="single" w:color="auto" w:sz="4" w:space="0"/>
              <w:left w:val="single" w:color="auto" w:sz="4" w:space="0"/>
              <w:bottom w:val="single" w:color="auto" w:sz="4" w:space="0"/>
              <w:right w:val="single" w:color="auto" w:sz="4" w:space="0"/>
            </w:tcBorders>
            <w:noWrap w:val="0"/>
            <w:vAlign w:val="center"/>
          </w:tcPr>
          <w:p w14:paraId="1D16F98D">
            <w:pPr>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2</w:t>
            </w:r>
          </w:p>
        </w:tc>
        <w:tc>
          <w:tcPr>
            <w:tcW w:w="944" w:type="dxa"/>
            <w:tcBorders>
              <w:top w:val="single" w:color="auto" w:sz="4" w:space="0"/>
              <w:left w:val="single" w:color="auto" w:sz="4" w:space="0"/>
              <w:bottom w:val="single" w:color="auto" w:sz="4" w:space="0"/>
              <w:right w:val="single" w:color="auto" w:sz="4" w:space="0"/>
            </w:tcBorders>
            <w:noWrap w:val="0"/>
            <w:vAlign w:val="center"/>
          </w:tcPr>
          <w:p w14:paraId="7FE708B5">
            <w:pPr>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台</w:t>
            </w:r>
          </w:p>
        </w:tc>
        <w:tc>
          <w:tcPr>
            <w:tcW w:w="1825" w:type="dxa"/>
            <w:tcBorders>
              <w:top w:val="single" w:color="auto" w:sz="4" w:space="0"/>
              <w:left w:val="single" w:color="auto" w:sz="4" w:space="0"/>
              <w:bottom w:val="single" w:color="auto" w:sz="4" w:space="0"/>
              <w:right w:val="single" w:color="auto" w:sz="4" w:space="0"/>
            </w:tcBorders>
            <w:noWrap w:val="0"/>
            <w:vAlign w:val="center"/>
          </w:tcPr>
          <w:p w14:paraId="00A3A99C">
            <w:pPr>
              <w:snapToGrid w:val="0"/>
              <w:spacing w:before="50" w:after="50"/>
              <w:jc w:val="center"/>
              <w:rPr>
                <w:rFonts w:hint="eastAsia" w:ascii="宋体" w:hAnsi="宋体" w:eastAsia="宋体" w:cs="宋体"/>
                <w:sz w:val="20"/>
                <w:szCs w:val="20"/>
                <w:highlight w:val="none"/>
              </w:rPr>
            </w:pPr>
          </w:p>
        </w:tc>
        <w:tc>
          <w:tcPr>
            <w:tcW w:w="1794" w:type="dxa"/>
            <w:tcBorders>
              <w:top w:val="single" w:color="auto" w:sz="4" w:space="0"/>
              <w:left w:val="single" w:color="auto" w:sz="4" w:space="0"/>
              <w:bottom w:val="single" w:color="auto" w:sz="4" w:space="0"/>
              <w:right w:val="single" w:color="auto" w:sz="4" w:space="0"/>
            </w:tcBorders>
            <w:noWrap w:val="0"/>
            <w:vAlign w:val="center"/>
          </w:tcPr>
          <w:p w14:paraId="725AC42B">
            <w:pPr>
              <w:snapToGrid w:val="0"/>
              <w:spacing w:before="50" w:after="50"/>
              <w:jc w:val="center"/>
              <w:rPr>
                <w:rFonts w:hint="eastAsia" w:ascii="宋体" w:hAnsi="宋体" w:eastAsia="宋体" w:cs="宋体"/>
                <w:sz w:val="20"/>
                <w:szCs w:val="20"/>
                <w:highlight w:val="none"/>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2DCB0C5D">
            <w:pPr>
              <w:snapToGrid w:val="0"/>
              <w:spacing w:before="50" w:after="50"/>
              <w:jc w:val="center"/>
              <w:rPr>
                <w:rFonts w:hint="eastAsia" w:ascii="宋体" w:hAnsi="宋体" w:eastAsia="宋体" w:cs="宋体"/>
                <w:sz w:val="20"/>
                <w:szCs w:val="20"/>
                <w:highlight w:val="none"/>
              </w:rPr>
            </w:pPr>
          </w:p>
        </w:tc>
      </w:tr>
      <w:tr w14:paraId="5F4F7A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743" w:type="dxa"/>
            <w:tcBorders>
              <w:top w:val="single" w:color="auto" w:sz="4" w:space="0"/>
              <w:left w:val="single" w:color="auto" w:sz="4" w:space="0"/>
              <w:bottom w:val="single" w:color="auto" w:sz="4" w:space="0"/>
              <w:right w:val="single" w:color="auto" w:sz="4" w:space="0"/>
            </w:tcBorders>
            <w:noWrap w:val="0"/>
            <w:vAlign w:val="center"/>
          </w:tcPr>
          <w:p w14:paraId="527F5E90">
            <w:pPr>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5</w:t>
            </w:r>
          </w:p>
        </w:tc>
        <w:tc>
          <w:tcPr>
            <w:tcW w:w="2496" w:type="dxa"/>
            <w:tcBorders>
              <w:top w:val="single" w:color="auto" w:sz="4" w:space="0"/>
              <w:left w:val="single" w:color="auto" w:sz="4" w:space="0"/>
              <w:bottom w:val="single" w:color="auto" w:sz="4" w:space="0"/>
              <w:right w:val="single" w:color="auto" w:sz="4" w:space="0"/>
            </w:tcBorders>
            <w:noWrap w:val="0"/>
            <w:vAlign w:val="center"/>
          </w:tcPr>
          <w:p w14:paraId="5EE34862">
            <w:pPr>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信息安全管理服务</w:t>
            </w:r>
          </w:p>
        </w:tc>
        <w:tc>
          <w:tcPr>
            <w:tcW w:w="787" w:type="dxa"/>
            <w:tcBorders>
              <w:top w:val="single" w:color="auto" w:sz="4" w:space="0"/>
              <w:left w:val="single" w:color="auto" w:sz="4" w:space="0"/>
              <w:bottom w:val="single" w:color="auto" w:sz="4" w:space="0"/>
              <w:right w:val="single" w:color="auto" w:sz="4" w:space="0"/>
            </w:tcBorders>
            <w:noWrap w:val="0"/>
            <w:vAlign w:val="center"/>
          </w:tcPr>
          <w:p w14:paraId="79C00190">
            <w:pPr>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1</w:t>
            </w:r>
          </w:p>
        </w:tc>
        <w:tc>
          <w:tcPr>
            <w:tcW w:w="944" w:type="dxa"/>
            <w:tcBorders>
              <w:top w:val="single" w:color="auto" w:sz="4" w:space="0"/>
              <w:left w:val="single" w:color="auto" w:sz="4" w:space="0"/>
              <w:bottom w:val="single" w:color="auto" w:sz="4" w:space="0"/>
              <w:right w:val="single" w:color="auto" w:sz="4" w:space="0"/>
            </w:tcBorders>
            <w:noWrap w:val="0"/>
            <w:vAlign w:val="center"/>
          </w:tcPr>
          <w:p w14:paraId="05067E26">
            <w:pPr>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项</w:t>
            </w:r>
          </w:p>
        </w:tc>
        <w:tc>
          <w:tcPr>
            <w:tcW w:w="1825" w:type="dxa"/>
            <w:tcBorders>
              <w:top w:val="single" w:color="auto" w:sz="4" w:space="0"/>
              <w:left w:val="single" w:color="auto" w:sz="4" w:space="0"/>
              <w:bottom w:val="single" w:color="auto" w:sz="4" w:space="0"/>
              <w:right w:val="single" w:color="auto" w:sz="4" w:space="0"/>
            </w:tcBorders>
            <w:noWrap w:val="0"/>
            <w:vAlign w:val="center"/>
          </w:tcPr>
          <w:p w14:paraId="642CD662">
            <w:pPr>
              <w:snapToGrid w:val="0"/>
              <w:spacing w:before="50" w:after="50"/>
              <w:jc w:val="center"/>
              <w:rPr>
                <w:rFonts w:hint="eastAsia" w:ascii="宋体" w:hAnsi="宋体" w:eastAsia="宋体" w:cs="宋体"/>
                <w:sz w:val="20"/>
                <w:szCs w:val="20"/>
                <w:highlight w:val="none"/>
              </w:rPr>
            </w:pPr>
          </w:p>
        </w:tc>
        <w:tc>
          <w:tcPr>
            <w:tcW w:w="1794" w:type="dxa"/>
            <w:tcBorders>
              <w:top w:val="single" w:color="auto" w:sz="4" w:space="0"/>
              <w:left w:val="single" w:color="auto" w:sz="4" w:space="0"/>
              <w:bottom w:val="single" w:color="auto" w:sz="4" w:space="0"/>
              <w:right w:val="single" w:color="auto" w:sz="4" w:space="0"/>
            </w:tcBorders>
            <w:noWrap w:val="0"/>
            <w:vAlign w:val="center"/>
          </w:tcPr>
          <w:p w14:paraId="10507894">
            <w:pPr>
              <w:snapToGrid w:val="0"/>
              <w:spacing w:before="50" w:after="50"/>
              <w:jc w:val="center"/>
              <w:rPr>
                <w:rFonts w:hint="eastAsia" w:ascii="宋体" w:hAnsi="宋体" w:eastAsia="宋体" w:cs="宋体"/>
                <w:sz w:val="20"/>
                <w:szCs w:val="20"/>
                <w:highlight w:val="none"/>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22D3FDDA">
            <w:pPr>
              <w:snapToGrid w:val="0"/>
              <w:spacing w:before="50" w:after="50"/>
              <w:jc w:val="center"/>
              <w:rPr>
                <w:rFonts w:hint="eastAsia" w:ascii="宋体" w:hAnsi="宋体" w:eastAsia="宋体" w:cs="宋体"/>
                <w:sz w:val="20"/>
                <w:szCs w:val="20"/>
                <w:highlight w:val="none"/>
              </w:rPr>
            </w:pPr>
          </w:p>
        </w:tc>
      </w:tr>
      <w:tr w14:paraId="2680F3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6795" w:type="dxa"/>
            <w:gridSpan w:val="5"/>
            <w:tcBorders>
              <w:top w:val="single" w:color="auto" w:sz="4" w:space="0"/>
              <w:left w:val="single" w:color="auto" w:sz="4" w:space="0"/>
              <w:bottom w:val="single" w:color="auto" w:sz="4" w:space="0"/>
              <w:right w:val="single" w:color="auto" w:sz="4" w:space="0"/>
            </w:tcBorders>
            <w:noWrap w:val="0"/>
            <w:vAlign w:val="center"/>
          </w:tcPr>
          <w:p w14:paraId="5D20AD7C">
            <w:pPr>
              <w:snapToGrid w:val="0"/>
              <w:spacing w:before="50" w:after="50"/>
              <w:jc w:val="right"/>
              <w:rPr>
                <w:rFonts w:hint="eastAsia" w:ascii="宋体" w:hAnsi="宋体" w:eastAsia="宋体" w:cs="宋体"/>
                <w:b/>
                <w:bCs/>
                <w:sz w:val="20"/>
                <w:szCs w:val="20"/>
                <w:highlight w:val="none"/>
              </w:rPr>
            </w:pPr>
            <w:r>
              <w:rPr>
                <w:rFonts w:hint="eastAsia" w:ascii="宋体" w:hAnsi="宋体" w:eastAsia="宋体" w:cs="宋体"/>
                <w:b/>
                <w:bCs/>
                <w:szCs w:val="21"/>
                <w:highlight w:val="none"/>
              </w:rPr>
              <w:t>总计价（即投标总报价）</w:t>
            </w:r>
          </w:p>
        </w:tc>
        <w:tc>
          <w:tcPr>
            <w:tcW w:w="1794" w:type="dxa"/>
            <w:tcBorders>
              <w:top w:val="single" w:color="auto" w:sz="4" w:space="0"/>
              <w:left w:val="single" w:color="auto" w:sz="4" w:space="0"/>
              <w:bottom w:val="single" w:color="auto" w:sz="4" w:space="0"/>
              <w:right w:val="single" w:color="auto" w:sz="4" w:space="0"/>
            </w:tcBorders>
            <w:noWrap w:val="0"/>
            <w:vAlign w:val="center"/>
          </w:tcPr>
          <w:p w14:paraId="2D8604C4">
            <w:pPr>
              <w:snapToGrid w:val="0"/>
              <w:spacing w:before="50" w:after="50"/>
              <w:jc w:val="center"/>
              <w:rPr>
                <w:rFonts w:hint="eastAsia" w:ascii="宋体" w:hAnsi="宋体" w:eastAsia="宋体" w:cs="宋体"/>
                <w:sz w:val="22"/>
                <w:szCs w:val="22"/>
                <w:highlight w:val="none"/>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5BBFDD77">
            <w:pPr>
              <w:snapToGrid w:val="0"/>
              <w:spacing w:before="50" w:after="50"/>
              <w:jc w:val="center"/>
              <w:rPr>
                <w:rFonts w:hint="eastAsia" w:ascii="宋体" w:hAnsi="宋体" w:eastAsia="宋体" w:cs="宋体"/>
                <w:sz w:val="22"/>
                <w:szCs w:val="22"/>
                <w:highlight w:val="none"/>
              </w:rPr>
            </w:pPr>
          </w:p>
        </w:tc>
      </w:tr>
      <w:tr w14:paraId="774E3E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9309" w:type="dxa"/>
            <w:gridSpan w:val="7"/>
            <w:tcBorders>
              <w:top w:val="single" w:color="auto" w:sz="4" w:space="0"/>
              <w:left w:val="single" w:color="auto" w:sz="4" w:space="0"/>
              <w:bottom w:val="single" w:color="auto" w:sz="4" w:space="0"/>
              <w:right w:val="single" w:color="auto" w:sz="4" w:space="0"/>
            </w:tcBorders>
            <w:noWrap w:val="0"/>
            <w:vAlign w:val="center"/>
          </w:tcPr>
          <w:p w14:paraId="2B4BAAC1">
            <w:pPr>
              <w:snapToGrid w:val="0"/>
              <w:spacing w:before="50" w:after="50"/>
              <w:jc w:val="left"/>
              <w:rPr>
                <w:rFonts w:ascii="宋体" w:hAnsi="宋体" w:eastAsia="宋体" w:cs="宋体"/>
                <w:sz w:val="22"/>
                <w:szCs w:val="22"/>
                <w:highlight w:val="none"/>
              </w:rPr>
            </w:pPr>
            <w:r>
              <w:rPr>
                <w:rFonts w:hint="eastAsia" w:ascii="宋体" w:hAnsi="宋体" w:eastAsia="宋体" w:cs="宋体"/>
                <w:sz w:val="22"/>
                <w:szCs w:val="22"/>
                <w:highlight w:val="none"/>
              </w:rPr>
              <w:t>上表提供的产品的“技术参数/规格”详见《商务技术文件》。</w:t>
            </w:r>
          </w:p>
        </w:tc>
      </w:tr>
    </w:tbl>
    <w:p w14:paraId="3AA04BB3">
      <w:pPr>
        <w:rPr>
          <w:rFonts w:hint="eastAsia" w:ascii="宋体" w:hAnsi="宋体" w:cs="宋体"/>
          <w:szCs w:val="21"/>
          <w:highlight w:val="none"/>
        </w:rPr>
      </w:pPr>
    </w:p>
    <w:p w14:paraId="652FA75B">
      <w:pPr>
        <w:rPr>
          <w:rFonts w:hint="eastAsia" w:ascii="宋体" w:hAnsi="宋体" w:cs="宋体"/>
          <w:szCs w:val="21"/>
          <w:highlight w:val="none"/>
        </w:rPr>
      </w:pPr>
    </w:p>
    <w:p w14:paraId="27CAE9CE">
      <w:pPr>
        <w:rPr>
          <w:rFonts w:hint="eastAsia" w:ascii="宋体" w:hAnsi="宋体" w:cs="宋体"/>
          <w:szCs w:val="21"/>
          <w:highlight w:val="none"/>
        </w:rPr>
      </w:pPr>
      <w:r>
        <w:rPr>
          <w:rFonts w:hint="eastAsia" w:ascii="宋体" w:hAnsi="宋体" w:cs="宋体"/>
          <w:szCs w:val="21"/>
          <w:highlight w:val="none"/>
        </w:rPr>
        <w:t>注：</w:t>
      </w:r>
    </w:p>
    <w:p w14:paraId="7B491BE1">
      <w:pPr>
        <w:spacing w:line="360" w:lineRule="exact"/>
        <w:rPr>
          <w:rFonts w:hint="eastAsia" w:ascii="宋体" w:hAnsi="宋体" w:cs="宋体"/>
          <w:szCs w:val="21"/>
          <w:highlight w:val="none"/>
          <w:u w:val="single"/>
        </w:rPr>
      </w:pPr>
      <w:r>
        <w:rPr>
          <w:rFonts w:hint="eastAsia" w:ascii="宋体" w:hAnsi="宋体" w:cs="宋体"/>
          <w:szCs w:val="21"/>
          <w:highlight w:val="none"/>
        </w:rPr>
        <w:t>1、</w:t>
      </w:r>
      <w:r>
        <w:rPr>
          <w:rFonts w:hint="eastAsia" w:ascii="宋体" w:hAnsi="宋体" w:cs="宋体"/>
          <w:b/>
          <w:szCs w:val="21"/>
          <w:highlight w:val="none"/>
          <w:u w:val="single"/>
        </w:rPr>
        <w:t>▲</w:t>
      </w:r>
      <w:r>
        <w:rPr>
          <w:rFonts w:hint="eastAsia" w:ascii="宋体" w:hAnsi="宋体" w:cs="宋体"/>
          <w:szCs w:val="21"/>
          <w:highlight w:val="none"/>
          <w:u w:val="single"/>
        </w:rPr>
        <w:t>总计价应与“开标一览表”中投标总报价相一致。</w:t>
      </w:r>
    </w:p>
    <w:p w14:paraId="1B95244D">
      <w:pPr>
        <w:spacing w:line="360" w:lineRule="exact"/>
        <w:rPr>
          <w:rFonts w:hint="eastAsia" w:ascii="宋体" w:hAnsi="宋体" w:cs="宋体"/>
          <w:szCs w:val="21"/>
          <w:highlight w:val="none"/>
        </w:rPr>
      </w:pPr>
      <w:r>
        <w:rPr>
          <w:rFonts w:hint="eastAsia" w:ascii="宋体" w:hAnsi="宋体" w:cs="宋体"/>
          <w:szCs w:val="21"/>
          <w:highlight w:val="none"/>
        </w:rPr>
        <w:t>2、</w:t>
      </w:r>
      <w:r>
        <w:rPr>
          <w:rFonts w:hint="eastAsia" w:ascii="宋体" w:hAnsi="宋体" w:cs="宋体"/>
          <w:b/>
          <w:szCs w:val="21"/>
          <w:highlight w:val="none"/>
          <w:u w:val="single"/>
        </w:rPr>
        <w:t>▲</w:t>
      </w:r>
      <w:r>
        <w:rPr>
          <w:rFonts w:hint="eastAsia" w:ascii="宋体" w:hAnsi="宋体" w:cs="宋体"/>
          <w:szCs w:val="21"/>
          <w:highlight w:val="none"/>
          <w:u w:val="single"/>
        </w:rPr>
        <w:t>不提供投标分项报价表将视为没有实质性响应采购文件</w:t>
      </w:r>
      <w:r>
        <w:rPr>
          <w:rFonts w:hint="eastAsia" w:ascii="宋体" w:hAnsi="宋体" w:cs="宋体"/>
          <w:szCs w:val="21"/>
          <w:highlight w:val="none"/>
        </w:rPr>
        <w:t>。</w:t>
      </w:r>
    </w:p>
    <w:p w14:paraId="493FAAE6">
      <w:pPr>
        <w:spacing w:line="360" w:lineRule="exact"/>
        <w:rPr>
          <w:rFonts w:ascii="宋体" w:hAnsi="宋体" w:cs="宋体"/>
          <w:b/>
          <w:bCs/>
          <w:szCs w:val="21"/>
          <w:highlight w:val="none"/>
        </w:rPr>
      </w:pPr>
      <w:r>
        <w:rPr>
          <w:rFonts w:hint="eastAsia" w:ascii="宋体" w:hAnsi="宋体" w:cs="宋体"/>
          <w:b/>
          <w:bCs/>
          <w:szCs w:val="21"/>
          <w:highlight w:val="none"/>
        </w:rPr>
        <w:t>3、本表可在不改变主要格式的情况下根据具体需要自行调整。</w:t>
      </w:r>
    </w:p>
    <w:p w14:paraId="0E64BF19">
      <w:pPr>
        <w:spacing w:line="360" w:lineRule="exact"/>
        <w:rPr>
          <w:rFonts w:hint="eastAsia" w:ascii="宋体" w:hAnsi="宋体" w:cs="宋体"/>
          <w:szCs w:val="21"/>
          <w:highlight w:val="none"/>
          <w:u w:val="single"/>
        </w:rPr>
      </w:pPr>
      <w:r>
        <w:rPr>
          <w:rFonts w:hint="eastAsia" w:ascii="宋体" w:hAnsi="宋体" w:cs="宋体"/>
          <w:b/>
          <w:bCs/>
          <w:szCs w:val="21"/>
          <w:highlight w:val="none"/>
        </w:rPr>
        <w:t>4、</w:t>
      </w:r>
      <w:r>
        <w:rPr>
          <w:rFonts w:hint="eastAsia" w:ascii="宋体" w:hAnsi="宋体" w:cs="宋体"/>
          <w:b/>
          <w:szCs w:val="21"/>
          <w:highlight w:val="none"/>
          <w:u w:val="single"/>
        </w:rPr>
        <w:t>▲</w:t>
      </w:r>
      <w:r>
        <w:rPr>
          <w:rFonts w:hint="eastAsia" w:ascii="宋体" w:hAnsi="宋体" w:cs="宋体"/>
          <w:szCs w:val="21"/>
          <w:highlight w:val="none"/>
          <w:u w:val="single"/>
        </w:rPr>
        <w:t>上表“单价”、“合价”均为含税价。</w:t>
      </w:r>
    </w:p>
    <w:p w14:paraId="477D4343">
      <w:pPr>
        <w:rPr>
          <w:rFonts w:hint="eastAsia" w:ascii="宋体" w:hAnsi="宋体" w:cs="宋体"/>
          <w:szCs w:val="21"/>
          <w:highlight w:val="none"/>
          <w:u w:val="single"/>
        </w:rPr>
      </w:pPr>
    </w:p>
    <w:p w14:paraId="0F7F7EB5">
      <w:pPr>
        <w:spacing w:line="460" w:lineRule="exact"/>
        <w:ind w:firstLine="3780" w:firstLineChars="1800"/>
        <w:rPr>
          <w:rFonts w:hint="eastAsia" w:ascii="宋体" w:hAnsi="宋体" w:cs="宋体"/>
          <w:szCs w:val="21"/>
          <w:highlight w:val="none"/>
        </w:rPr>
      </w:pPr>
      <w:r>
        <w:rPr>
          <w:rFonts w:hint="eastAsia" w:ascii="宋体" w:hAnsi="宋体" w:cs="宋体"/>
          <w:szCs w:val="21"/>
          <w:highlight w:val="none"/>
        </w:rPr>
        <w:t>投标供应商全称（盖单位公章） ：</w:t>
      </w:r>
    </w:p>
    <w:p w14:paraId="1BE5BE60">
      <w:pPr>
        <w:spacing w:line="460" w:lineRule="exact"/>
        <w:ind w:firstLine="2730" w:firstLineChars="1300"/>
        <w:rPr>
          <w:rFonts w:hint="eastAsia" w:ascii="宋体" w:hAnsi="宋体" w:cs="宋体"/>
          <w:szCs w:val="21"/>
          <w:highlight w:val="none"/>
        </w:rPr>
      </w:pPr>
      <w:r>
        <w:rPr>
          <w:rFonts w:hint="eastAsia" w:ascii="宋体" w:hAnsi="宋体" w:cs="宋体"/>
          <w:szCs w:val="21"/>
          <w:highlight w:val="none"/>
        </w:rPr>
        <w:t>法定代表人（法定负责人） 或授权代表（签字或盖章）：</w:t>
      </w:r>
    </w:p>
    <w:p w14:paraId="2D9DCC13">
      <w:pPr>
        <w:spacing w:line="460" w:lineRule="exact"/>
        <w:ind w:firstLine="5250" w:firstLineChars="2500"/>
        <w:rPr>
          <w:rFonts w:hint="eastAsia" w:ascii="宋体" w:hAnsi="宋体" w:cs="宋体"/>
          <w:szCs w:val="21"/>
          <w:highlight w:val="none"/>
        </w:rPr>
      </w:pPr>
      <w:r>
        <w:rPr>
          <w:rFonts w:hint="eastAsia" w:ascii="宋体" w:hAnsi="宋体" w:cs="宋体"/>
          <w:szCs w:val="21"/>
          <w:highlight w:val="none"/>
        </w:rPr>
        <w:t>日期：</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rPr>
        <w:t>日</w:t>
      </w:r>
    </w:p>
    <w:p w14:paraId="0EB8475A">
      <w:pPr>
        <w:spacing w:line="360" w:lineRule="auto"/>
        <w:jc w:val="center"/>
        <w:rPr>
          <w:rFonts w:hint="eastAsia" w:ascii="宋体" w:hAnsi="宋体" w:cs="宋体"/>
          <w:b/>
          <w:bCs/>
          <w:sz w:val="28"/>
          <w:szCs w:val="28"/>
          <w:highlight w:val="none"/>
        </w:rPr>
      </w:pPr>
      <w:r>
        <w:rPr>
          <w:rFonts w:hint="eastAsia" w:ascii="宋体" w:hAnsi="宋体" w:cs="宋体"/>
          <w:b/>
          <w:bCs/>
          <w:sz w:val="28"/>
          <w:szCs w:val="28"/>
          <w:highlight w:val="none"/>
        </w:rPr>
        <w:br w:type="textWrapping"/>
      </w:r>
    </w:p>
    <w:p w14:paraId="005BE29C">
      <w:pPr>
        <w:spacing w:line="360" w:lineRule="auto"/>
        <w:jc w:val="center"/>
        <w:outlineLvl w:val="0"/>
        <w:rPr>
          <w:rFonts w:hint="eastAsia" w:ascii="宋体" w:hAnsi="宋体" w:cs="宋体"/>
          <w:b/>
          <w:bCs/>
          <w:sz w:val="28"/>
          <w:szCs w:val="28"/>
          <w:highlight w:val="none"/>
        </w:rPr>
        <w:sectPr>
          <w:pgSz w:w="11906" w:h="16838"/>
          <w:pgMar w:top="1134" w:right="1134" w:bottom="1134" w:left="1417" w:header="851" w:footer="567" w:gutter="0"/>
          <w:cols w:space="720" w:num="1"/>
          <w:docGrid w:linePitch="312" w:charSpace="0"/>
        </w:sectPr>
      </w:pPr>
    </w:p>
    <w:p w14:paraId="19429DB5">
      <w:pPr>
        <w:spacing w:line="360" w:lineRule="auto"/>
        <w:jc w:val="center"/>
        <w:outlineLvl w:val="0"/>
        <w:rPr>
          <w:rFonts w:hint="eastAsia" w:ascii="宋体" w:hAnsi="宋体" w:cs="宋体"/>
          <w:sz w:val="36"/>
          <w:highlight w:val="none"/>
        </w:rPr>
      </w:pPr>
      <w:bookmarkStart w:id="166" w:name="_Toc16799"/>
      <w:r>
        <w:rPr>
          <w:rFonts w:hint="eastAsia" w:ascii="宋体" w:hAnsi="宋体" w:cs="宋体"/>
          <w:b/>
          <w:bCs/>
          <w:sz w:val="28"/>
          <w:szCs w:val="28"/>
          <w:highlight w:val="none"/>
        </w:rPr>
        <w:t>第四部分</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r>
        <w:rPr>
          <w:rFonts w:hint="eastAsia" w:ascii="宋体" w:hAnsi="宋体" w:cs="宋体"/>
          <w:b/>
          <w:bCs/>
          <w:sz w:val="28"/>
          <w:szCs w:val="28"/>
          <w:highlight w:val="none"/>
        </w:rPr>
        <w:t xml:space="preserve">  采购内容及要求</w:t>
      </w:r>
      <w:bookmarkEnd w:id="166"/>
    </w:p>
    <w:p w14:paraId="58E3CB42">
      <w:pPr>
        <w:spacing w:line="400" w:lineRule="exact"/>
        <w:rPr>
          <w:rFonts w:hint="eastAsia" w:ascii="宋体" w:hAnsi="宋体" w:cs="宋体"/>
          <w:sz w:val="22"/>
          <w:szCs w:val="22"/>
          <w:highlight w:val="none"/>
        </w:rPr>
      </w:pPr>
      <w:bookmarkStart w:id="167" w:name="_Toc184281683"/>
      <w:bookmarkStart w:id="168" w:name="_Toc479601381"/>
      <w:bookmarkStart w:id="169" w:name="_Toc187051758"/>
      <w:bookmarkStart w:id="170" w:name="_Toc26699"/>
      <w:bookmarkStart w:id="171" w:name="_Toc221423626"/>
      <w:bookmarkStart w:id="172" w:name="_Toc245722288"/>
      <w:bookmarkStart w:id="173" w:name="_Toc245191321"/>
      <w:bookmarkStart w:id="174" w:name="_Toc222114886"/>
      <w:bookmarkStart w:id="175" w:name="_Toc221356960"/>
      <w:bookmarkStart w:id="176" w:name="_Toc221374633"/>
      <w:bookmarkStart w:id="177" w:name="_Toc241404209"/>
      <w:bookmarkStart w:id="178" w:name="_Toc221356897"/>
      <w:bookmarkStart w:id="179" w:name="_Toc389760270"/>
      <w:bookmarkStart w:id="180" w:name="_Toc246261272"/>
      <w:bookmarkStart w:id="181" w:name="_Toc239145361"/>
      <w:bookmarkStart w:id="182" w:name="_Toc262049426"/>
      <w:bookmarkStart w:id="183" w:name="_Toc262105511"/>
      <w:bookmarkStart w:id="184" w:name="_Toc249758722"/>
      <w:bookmarkStart w:id="185" w:name="_Toc249758872"/>
      <w:bookmarkStart w:id="186" w:name="_Toc223716005"/>
      <w:r>
        <w:rPr>
          <w:rFonts w:hint="eastAsia" w:ascii="宋体" w:hAnsi="宋体" w:cs="宋体"/>
          <w:sz w:val="22"/>
          <w:szCs w:val="22"/>
          <w:highlight w:val="none"/>
        </w:rPr>
        <w:t>一、概述</w:t>
      </w:r>
    </w:p>
    <w:p w14:paraId="1F2074E9">
      <w:pPr>
        <w:spacing w:line="400" w:lineRule="exact"/>
        <w:ind w:firstLine="440" w:firstLineChars="200"/>
        <w:rPr>
          <w:rFonts w:hint="eastAsia" w:ascii="宋体" w:hAnsi="宋体" w:cs="宋体"/>
          <w:sz w:val="22"/>
          <w:szCs w:val="22"/>
          <w:highlight w:val="none"/>
        </w:rPr>
      </w:pPr>
      <w:r>
        <w:rPr>
          <w:rFonts w:hint="eastAsia" w:ascii="宋体" w:hAnsi="宋体" w:cs="宋体"/>
          <w:sz w:val="22"/>
          <w:szCs w:val="22"/>
          <w:highlight w:val="none"/>
        </w:rPr>
        <w:t>1、潜在供应商领取采购文件后,必须按国家《保密法》以及保密工作的相关规定，对采购文件内容应承担保密义务，维护采购人的权益，发生窃、泄密事件潜在供应商应承担相应的法律责任。</w:t>
      </w:r>
    </w:p>
    <w:p w14:paraId="2AADA7E1">
      <w:pPr>
        <w:spacing w:line="400" w:lineRule="exact"/>
        <w:ind w:firstLine="440" w:firstLineChars="200"/>
        <w:rPr>
          <w:rFonts w:hint="eastAsia" w:ascii="宋体" w:hAnsi="宋体" w:cs="宋体"/>
          <w:sz w:val="22"/>
          <w:szCs w:val="22"/>
          <w:highlight w:val="none"/>
        </w:rPr>
      </w:pPr>
      <w:r>
        <w:rPr>
          <w:rFonts w:hint="eastAsia" w:ascii="宋体" w:hAnsi="宋体" w:cs="宋体"/>
          <w:sz w:val="22"/>
          <w:szCs w:val="22"/>
          <w:highlight w:val="none"/>
        </w:rPr>
        <w:t>2、供应商一旦参与本次采购活动，即被视为接受了本采购文件的所有内容，如有任何异议，均需在质疑截止时间前以采购文件规定的形式提出。</w:t>
      </w:r>
    </w:p>
    <w:p w14:paraId="61C4FEFF">
      <w:pPr>
        <w:spacing w:line="400" w:lineRule="exact"/>
        <w:ind w:firstLine="440" w:firstLineChars="200"/>
        <w:rPr>
          <w:rFonts w:hint="eastAsia" w:ascii="宋体" w:hAnsi="宋体" w:cs="宋体"/>
          <w:sz w:val="22"/>
          <w:szCs w:val="22"/>
          <w:highlight w:val="none"/>
        </w:rPr>
      </w:pPr>
      <w:r>
        <w:rPr>
          <w:rFonts w:hint="eastAsia" w:ascii="宋体" w:hAnsi="宋体" w:cs="宋体"/>
          <w:sz w:val="22"/>
          <w:szCs w:val="22"/>
          <w:highlight w:val="none"/>
        </w:rPr>
        <w:t>3、供应商须对所投产品、方案、技术、服务等拥有合法的占有和处置权，并对涉及项目的所有内容可能侵权行为指控负责，保证不伤害采购人的利益。在法律范围内，如果出现文字、图片、商标和技术等侵权行为而造成的纠纷和产生的一切费用，采购人概不负责，由此给采购人造成损失的，供应商应承担相应后果，并负责赔偿。供应商为执行本项目合同而提供的技术资料等归采购人（或合同甲方）所有。</w:t>
      </w:r>
    </w:p>
    <w:bookmarkEnd w:id="167"/>
    <w:bookmarkEnd w:id="168"/>
    <w:bookmarkEnd w:id="169"/>
    <w:bookmarkEnd w:id="170"/>
    <w:p w14:paraId="7BC14729">
      <w:pPr>
        <w:spacing w:line="400" w:lineRule="exact"/>
        <w:rPr>
          <w:rFonts w:hint="eastAsia" w:ascii="宋体" w:hAnsi="宋体" w:cs="宋体"/>
          <w:sz w:val="22"/>
          <w:szCs w:val="22"/>
          <w:highlight w:val="none"/>
        </w:rPr>
      </w:pPr>
      <w:r>
        <w:rPr>
          <w:rFonts w:hint="eastAsia" w:ascii="宋体" w:hAnsi="宋体" w:cs="宋体"/>
          <w:sz w:val="22"/>
          <w:szCs w:val="22"/>
          <w:highlight w:val="none"/>
        </w:rPr>
        <w:t>二、采购内容及要求</w:t>
      </w:r>
    </w:p>
    <w:p w14:paraId="50499F29">
      <w:pPr>
        <w:spacing w:line="400" w:lineRule="exact"/>
        <w:ind w:firstLine="440" w:firstLineChars="200"/>
        <w:rPr>
          <w:rFonts w:ascii="宋体" w:hAnsi="宋体" w:cs="宋体"/>
          <w:sz w:val="22"/>
          <w:szCs w:val="22"/>
          <w:highlight w:val="none"/>
        </w:rPr>
      </w:pPr>
      <w:bookmarkStart w:id="187" w:name="OLE_LINK19"/>
      <w:r>
        <w:rPr>
          <w:rFonts w:hint="eastAsia" w:ascii="宋体" w:hAnsi="宋体" w:cs="宋体"/>
          <w:sz w:val="22"/>
          <w:szCs w:val="22"/>
          <w:highlight w:val="none"/>
        </w:rPr>
        <w:t>（一）</w:t>
      </w:r>
      <w:r>
        <w:rPr>
          <w:rFonts w:hint="eastAsia" w:ascii="宋体" w:hAnsi="宋体" w:cs="宋体"/>
          <w:sz w:val="22"/>
          <w:szCs w:val="22"/>
          <w:highlight w:val="none"/>
          <w:u w:val="single"/>
        </w:rPr>
        <w:t>▲采购内容：金海湖信息化展厅网络环境设备。</w:t>
      </w:r>
    </w:p>
    <w:p w14:paraId="51CC6719">
      <w:pPr>
        <w:spacing w:line="400" w:lineRule="exact"/>
        <w:ind w:firstLine="440" w:firstLineChars="200"/>
        <w:rPr>
          <w:rFonts w:hint="eastAsia" w:ascii="宋体" w:hAnsi="宋体" w:cs="宋体"/>
          <w:sz w:val="22"/>
          <w:szCs w:val="22"/>
          <w:highlight w:val="none"/>
        </w:rPr>
      </w:pPr>
      <w:r>
        <w:rPr>
          <w:rFonts w:hint="eastAsia" w:ascii="宋体" w:hAnsi="宋体" w:cs="宋体"/>
          <w:sz w:val="22"/>
          <w:szCs w:val="22"/>
          <w:highlight w:val="none"/>
        </w:rPr>
        <w:t>（二）技术要求：</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0"/>
        <w:gridCol w:w="1341"/>
        <w:gridCol w:w="842"/>
        <w:gridCol w:w="707"/>
        <w:gridCol w:w="5343"/>
      </w:tblGrid>
      <w:tr w14:paraId="632DA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620" w:type="dxa"/>
            <w:noWrap w:val="0"/>
            <w:vAlign w:val="center"/>
          </w:tcPr>
          <w:p w14:paraId="404B78F9">
            <w:pPr>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序号</w:t>
            </w:r>
          </w:p>
        </w:tc>
        <w:tc>
          <w:tcPr>
            <w:tcW w:w="1341" w:type="dxa"/>
            <w:noWrap w:val="0"/>
            <w:vAlign w:val="center"/>
          </w:tcPr>
          <w:p w14:paraId="3D5AD2E6">
            <w:pPr>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产品名称</w:t>
            </w:r>
          </w:p>
        </w:tc>
        <w:tc>
          <w:tcPr>
            <w:tcW w:w="842" w:type="dxa"/>
            <w:noWrap w:val="0"/>
            <w:vAlign w:val="center"/>
          </w:tcPr>
          <w:p w14:paraId="280AE40E">
            <w:pPr>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数量</w:t>
            </w:r>
          </w:p>
        </w:tc>
        <w:tc>
          <w:tcPr>
            <w:tcW w:w="707" w:type="dxa"/>
            <w:noWrap w:val="0"/>
            <w:vAlign w:val="center"/>
          </w:tcPr>
          <w:p w14:paraId="18936C66">
            <w:pPr>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单位</w:t>
            </w:r>
          </w:p>
        </w:tc>
        <w:tc>
          <w:tcPr>
            <w:tcW w:w="5343" w:type="dxa"/>
            <w:noWrap w:val="0"/>
            <w:vAlign w:val="center"/>
          </w:tcPr>
          <w:p w14:paraId="4EF9E1FB">
            <w:pPr>
              <w:jc w:val="center"/>
              <w:rPr>
                <w:rFonts w:ascii="宋体" w:hAnsi="宋体" w:eastAsia="宋体" w:cs="宋体"/>
                <w:sz w:val="20"/>
                <w:szCs w:val="20"/>
                <w:highlight w:val="none"/>
              </w:rPr>
            </w:pPr>
            <w:r>
              <w:rPr>
                <w:rFonts w:hint="eastAsia" w:ascii="宋体" w:hAnsi="宋体" w:eastAsia="宋体" w:cs="宋体"/>
                <w:sz w:val="20"/>
                <w:szCs w:val="20"/>
                <w:highlight w:val="none"/>
              </w:rPr>
              <w:t>技术参数/规格</w:t>
            </w:r>
          </w:p>
        </w:tc>
      </w:tr>
      <w:tr w14:paraId="0542F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dxa"/>
            <w:noWrap w:val="0"/>
            <w:vAlign w:val="center"/>
          </w:tcPr>
          <w:p w14:paraId="1D2B7ACC">
            <w:pPr>
              <w:jc w:val="center"/>
              <w:rPr>
                <w:rFonts w:ascii="宋体" w:hAnsi="宋体" w:eastAsia="宋体" w:cs="宋体"/>
                <w:sz w:val="20"/>
                <w:szCs w:val="20"/>
                <w:highlight w:val="none"/>
              </w:rPr>
            </w:pPr>
            <w:r>
              <w:rPr>
                <w:rFonts w:hint="eastAsia" w:ascii="宋体" w:hAnsi="宋体" w:eastAsia="宋体" w:cs="宋体"/>
                <w:sz w:val="20"/>
                <w:szCs w:val="20"/>
                <w:highlight w:val="none"/>
              </w:rPr>
              <w:t>1</w:t>
            </w:r>
          </w:p>
        </w:tc>
        <w:tc>
          <w:tcPr>
            <w:tcW w:w="1341" w:type="dxa"/>
            <w:noWrap w:val="0"/>
            <w:vAlign w:val="center"/>
          </w:tcPr>
          <w:p w14:paraId="347775C2">
            <w:pPr>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超融合集成服务</w:t>
            </w:r>
          </w:p>
        </w:tc>
        <w:tc>
          <w:tcPr>
            <w:tcW w:w="842" w:type="dxa"/>
            <w:noWrap w:val="0"/>
            <w:vAlign w:val="center"/>
          </w:tcPr>
          <w:p w14:paraId="03A6D0B5">
            <w:pPr>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1</w:t>
            </w:r>
          </w:p>
        </w:tc>
        <w:tc>
          <w:tcPr>
            <w:tcW w:w="707" w:type="dxa"/>
            <w:noWrap w:val="0"/>
            <w:vAlign w:val="center"/>
          </w:tcPr>
          <w:p w14:paraId="3AC5B58C">
            <w:pPr>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套</w:t>
            </w:r>
          </w:p>
        </w:tc>
        <w:tc>
          <w:tcPr>
            <w:tcW w:w="5343" w:type="dxa"/>
            <w:noWrap w:val="0"/>
            <w:vAlign w:val="center"/>
          </w:tcPr>
          <w:p w14:paraId="211FAF33">
            <w:pPr>
              <w:rPr>
                <w:rFonts w:hint="eastAsia" w:ascii="宋体" w:hAnsi="宋体" w:eastAsia="宋体" w:cs="宋体"/>
                <w:b/>
                <w:bCs/>
                <w:sz w:val="20"/>
                <w:szCs w:val="20"/>
                <w:highlight w:val="none"/>
              </w:rPr>
            </w:pPr>
            <w:r>
              <w:rPr>
                <w:rFonts w:hint="eastAsia" w:ascii="宋体" w:hAnsi="宋体" w:eastAsia="宋体" w:cs="宋体"/>
                <w:b/>
                <w:bCs/>
                <w:sz w:val="20"/>
                <w:szCs w:val="20"/>
                <w:highlight w:val="none"/>
              </w:rPr>
              <w:t>集成服务的具体实现、</w:t>
            </w:r>
          </w:p>
          <w:p w14:paraId="3790283E">
            <w:pPr>
              <w:rPr>
                <w:rFonts w:hint="eastAsia" w:ascii="宋体" w:hAnsi="宋体" w:eastAsia="宋体" w:cs="宋体"/>
                <w:sz w:val="20"/>
                <w:szCs w:val="20"/>
                <w:highlight w:val="none"/>
              </w:rPr>
            </w:pPr>
            <w:r>
              <w:rPr>
                <w:rFonts w:hint="eastAsia" w:ascii="宋体" w:hAnsi="宋体" w:eastAsia="宋体" w:cs="宋体"/>
                <w:sz w:val="20"/>
                <w:szCs w:val="20"/>
                <w:highlight w:val="none"/>
              </w:rPr>
              <w:t>根据温州信达交通工程试验检测有限公司的超融合建设要求，提供初始化向导、闲置资源分析、多角色集群、物理交换机管理、故障级联分析、VMware管理、VMware双向迁移、VMware高速迁移、计算虚拟化、磁盘加密、磁盘加密、主机自治、任务编排、细粒度DRS、存储虚拟化、高性能卷快照、快慢池多副本、高性能纠删码、SSD反磨损</w:t>
            </w:r>
          </w:p>
          <w:p w14:paraId="33382627">
            <w:pPr>
              <w:rPr>
                <w:rFonts w:hint="eastAsia" w:ascii="宋体" w:hAnsi="宋体" w:eastAsia="宋体" w:cs="宋体"/>
                <w:b/>
                <w:bCs/>
                <w:sz w:val="20"/>
                <w:szCs w:val="20"/>
                <w:highlight w:val="none"/>
              </w:rPr>
            </w:pPr>
            <w:r>
              <w:rPr>
                <w:rFonts w:hint="eastAsia" w:ascii="宋体" w:hAnsi="宋体" w:eastAsia="宋体" w:cs="宋体"/>
                <w:b/>
                <w:bCs/>
                <w:sz w:val="20"/>
                <w:szCs w:val="20"/>
                <w:highlight w:val="none"/>
              </w:rPr>
              <w:t>为满足该上述要求，需满足一下详细内容：</w:t>
            </w:r>
          </w:p>
          <w:p w14:paraId="1F981E9A">
            <w:pPr>
              <w:rPr>
                <w:rFonts w:hint="eastAsia" w:ascii="宋体" w:hAnsi="宋体" w:eastAsia="宋体" w:cs="宋体"/>
                <w:b/>
                <w:bCs/>
                <w:sz w:val="20"/>
                <w:szCs w:val="20"/>
                <w:highlight w:val="none"/>
              </w:rPr>
            </w:pPr>
            <w:r>
              <w:rPr>
                <w:rFonts w:hint="eastAsia" w:ascii="宋体" w:hAnsi="宋体" w:eastAsia="宋体" w:cs="宋体"/>
                <w:b/>
                <w:bCs/>
                <w:sz w:val="20"/>
                <w:szCs w:val="20"/>
                <w:highlight w:val="none"/>
              </w:rPr>
              <w:t>一、要求：</w:t>
            </w:r>
          </w:p>
          <w:p w14:paraId="051E612A">
            <w:pPr>
              <w:rPr>
                <w:rFonts w:hint="eastAsia" w:ascii="宋体" w:hAnsi="宋体" w:eastAsia="宋体" w:cs="宋体"/>
                <w:sz w:val="20"/>
                <w:szCs w:val="20"/>
                <w:highlight w:val="none"/>
              </w:rPr>
            </w:pPr>
            <w:r>
              <w:rPr>
                <w:rFonts w:hint="eastAsia" w:ascii="宋体" w:hAnsi="宋体" w:eastAsia="宋体" w:cs="宋体"/>
                <w:sz w:val="20"/>
                <w:szCs w:val="20"/>
                <w:highlight w:val="none"/>
              </w:rPr>
              <w:t>1、投标产品为国内知名品牌，落地实践丰富。</w:t>
            </w:r>
          </w:p>
          <w:p w14:paraId="4A29E06A">
            <w:pPr>
              <w:rPr>
                <w:rFonts w:hint="eastAsia" w:ascii="宋体" w:hAnsi="宋体" w:eastAsia="宋体" w:cs="宋体"/>
                <w:sz w:val="20"/>
                <w:szCs w:val="20"/>
                <w:highlight w:val="none"/>
                <w:u w:val="single"/>
              </w:rPr>
            </w:pPr>
            <w:r>
              <w:rPr>
                <w:rFonts w:hint="eastAsia" w:ascii="宋体" w:hAnsi="宋体" w:eastAsia="宋体" w:cs="宋体"/>
                <w:sz w:val="20"/>
                <w:szCs w:val="20"/>
                <w:highlight w:val="none"/>
              </w:rPr>
              <w:t>2、★</w:t>
            </w:r>
            <w:r>
              <w:rPr>
                <w:rFonts w:hint="eastAsia" w:ascii="宋体" w:hAnsi="宋体" w:eastAsia="宋体" w:cs="宋体"/>
                <w:sz w:val="20"/>
                <w:szCs w:val="20"/>
                <w:highlight w:val="none"/>
                <w:u w:val="single"/>
                <w:lang w:eastAsia="zh-CN"/>
              </w:rPr>
              <w:t>软件要求自主可控</w:t>
            </w:r>
            <w:r>
              <w:rPr>
                <w:rFonts w:hint="eastAsia" w:ascii="宋体" w:hAnsi="宋体" w:eastAsia="宋体" w:cs="宋体"/>
                <w:sz w:val="20"/>
                <w:szCs w:val="20"/>
                <w:highlight w:val="none"/>
                <w:u w:val="single"/>
              </w:rPr>
              <w:t>，投标产品代码自主率（行数）大于95%。同时为保证检测产品的代码完整性，要求代码检测量在100万以上，非特殊裁剪版本（投标文件中提供第三方权威机构测试报告扫描件或复印件（加盖投标供应商公章））；</w:t>
            </w:r>
          </w:p>
          <w:p w14:paraId="746CECD9">
            <w:pPr>
              <w:rPr>
                <w:rFonts w:hint="eastAsia" w:ascii="宋体" w:hAnsi="宋体" w:eastAsia="宋体" w:cs="宋体"/>
                <w:sz w:val="20"/>
                <w:szCs w:val="20"/>
                <w:highlight w:val="none"/>
                <w:u w:val="single"/>
              </w:rPr>
            </w:pPr>
            <w:r>
              <w:rPr>
                <w:rFonts w:hint="eastAsia" w:ascii="宋体" w:hAnsi="宋体" w:eastAsia="宋体" w:cs="宋体"/>
                <w:sz w:val="20"/>
                <w:szCs w:val="20"/>
                <w:highlight w:val="none"/>
              </w:rPr>
              <w:t>3、▲</w:t>
            </w:r>
            <w:r>
              <w:rPr>
                <w:rFonts w:hint="eastAsia" w:ascii="宋体" w:hAnsi="宋体" w:eastAsia="宋体" w:cs="宋体"/>
                <w:sz w:val="20"/>
                <w:szCs w:val="20"/>
                <w:highlight w:val="none"/>
                <w:u w:val="single"/>
              </w:rPr>
              <w:t>提供安装部署服务、现网98台超融合虚拟机迁移服务、软件远程技术支持服务(三年)</w:t>
            </w:r>
          </w:p>
          <w:p w14:paraId="1D7E5A73">
            <w:pPr>
              <w:rPr>
                <w:rFonts w:hint="eastAsia" w:ascii="宋体" w:hAnsi="宋体" w:eastAsia="宋体" w:cs="宋体"/>
                <w:b/>
                <w:bCs/>
                <w:sz w:val="20"/>
                <w:szCs w:val="20"/>
                <w:highlight w:val="none"/>
              </w:rPr>
            </w:pPr>
            <w:r>
              <w:rPr>
                <w:rFonts w:hint="eastAsia" w:ascii="宋体" w:hAnsi="宋体" w:eastAsia="宋体" w:cs="宋体"/>
                <w:b/>
                <w:bCs/>
                <w:sz w:val="20"/>
                <w:szCs w:val="20"/>
                <w:highlight w:val="none"/>
              </w:rPr>
              <w:t>二、超融合管理平台需求：</w:t>
            </w:r>
          </w:p>
          <w:p w14:paraId="2E2112C0">
            <w:pPr>
              <w:rPr>
                <w:rFonts w:hint="eastAsia" w:ascii="宋体" w:hAnsi="宋体" w:eastAsia="宋体" w:cs="宋体"/>
                <w:sz w:val="20"/>
                <w:szCs w:val="20"/>
                <w:highlight w:val="none"/>
              </w:rPr>
            </w:pPr>
            <w:r>
              <w:rPr>
                <w:rFonts w:hint="eastAsia" w:ascii="宋体" w:hAnsi="宋体" w:eastAsia="宋体" w:cs="宋体"/>
                <w:sz w:val="20"/>
                <w:szCs w:val="20"/>
                <w:highlight w:val="none"/>
              </w:rPr>
              <w:t>1、▲</w:t>
            </w:r>
            <w:r>
              <w:rPr>
                <w:rFonts w:hint="eastAsia" w:ascii="宋体" w:hAnsi="宋体" w:eastAsia="宋体" w:cs="宋体"/>
                <w:sz w:val="20"/>
                <w:szCs w:val="20"/>
                <w:highlight w:val="none"/>
                <w:u w:val="single"/>
              </w:rPr>
              <w:t>配置要求：每颗物理CPU为一个授权许可，配置30颗CPU授权；</w:t>
            </w:r>
          </w:p>
          <w:p w14:paraId="1B57D1E2">
            <w:pPr>
              <w:rPr>
                <w:rFonts w:hint="eastAsia" w:ascii="宋体" w:hAnsi="宋体" w:eastAsia="宋体" w:cs="宋体"/>
                <w:sz w:val="20"/>
                <w:szCs w:val="20"/>
                <w:highlight w:val="none"/>
              </w:rPr>
            </w:pPr>
            <w:r>
              <w:rPr>
                <w:rFonts w:hint="eastAsia" w:ascii="宋体" w:hAnsi="宋体" w:eastAsia="宋体" w:cs="宋体"/>
                <w:sz w:val="20"/>
                <w:szCs w:val="20"/>
                <w:highlight w:val="none"/>
              </w:rPr>
              <w:t>2、初始化向导：超融合系统可按照向导式完成整个系统的网络、计算、存储、管理等配置信息，无需分开配置，大大简化安装部署流程</w:t>
            </w:r>
            <w:r>
              <w:rPr>
                <w:rFonts w:hint="eastAsia" w:ascii="宋体" w:hAnsi="宋体" w:eastAsia="宋体" w:cs="宋体"/>
                <w:sz w:val="20"/>
                <w:szCs w:val="20"/>
                <w:highlight w:val="none"/>
                <w:lang w:val="en-US" w:eastAsia="zh-CN"/>
              </w:rPr>
              <w:t>;</w:t>
            </w:r>
          </w:p>
          <w:p w14:paraId="4A2F121C">
            <w:pPr>
              <w:rPr>
                <w:rFonts w:hint="eastAsia" w:ascii="宋体" w:hAnsi="宋体" w:eastAsia="宋体" w:cs="宋体"/>
                <w:sz w:val="20"/>
                <w:szCs w:val="20"/>
                <w:highlight w:val="none"/>
                <w:u w:val="none"/>
              </w:rPr>
            </w:pPr>
            <w:r>
              <w:rPr>
                <w:rFonts w:hint="eastAsia" w:ascii="宋体" w:hAnsi="宋体" w:eastAsia="宋体" w:cs="宋体"/>
                <w:sz w:val="20"/>
                <w:szCs w:val="20"/>
                <w:highlight w:val="none"/>
                <w:u w:val="none"/>
              </w:rPr>
              <w:t>3、闲置资源分析：支持闲置资源分析，支持根据虚拟机连续的电源关闭时间、CPU利用率、磁盘IO及网络吞吐率等关键指标，自动识别并生成僵尸虚拟机、闲置虚拟机、虚拟机快照、孤立磁盘等资源状态列表，同时生成虚拟机扩缩容建议列表，提供资源可回收和可优化建议；</w:t>
            </w:r>
          </w:p>
          <w:p w14:paraId="1AE3A6EF">
            <w:pPr>
              <w:rPr>
                <w:rFonts w:hint="eastAsia" w:ascii="宋体" w:hAnsi="宋体" w:eastAsia="宋体" w:cs="宋体"/>
                <w:sz w:val="20"/>
                <w:szCs w:val="20"/>
                <w:highlight w:val="none"/>
                <w:u w:val="none"/>
              </w:rPr>
            </w:pPr>
            <w:r>
              <w:rPr>
                <w:rFonts w:hint="eastAsia" w:ascii="宋体" w:hAnsi="宋体" w:eastAsia="宋体" w:cs="宋体"/>
                <w:sz w:val="20"/>
                <w:szCs w:val="20"/>
                <w:highlight w:val="none"/>
                <w:u w:val="none"/>
              </w:rPr>
              <w:t>4、多角色集群：主机角色灵活划分，可以指定主机角色为存储型、计算型、超融合型，同一个集群内三种类型主机可以任意组合，满足用户各种应用场景；</w:t>
            </w:r>
          </w:p>
          <w:p w14:paraId="60F3C80B">
            <w:pPr>
              <w:rPr>
                <w:rFonts w:hint="eastAsia" w:ascii="宋体" w:hAnsi="宋体" w:eastAsia="宋体" w:cs="宋体"/>
                <w:sz w:val="20"/>
                <w:szCs w:val="20"/>
                <w:highlight w:val="none"/>
              </w:rPr>
            </w:pPr>
            <w:r>
              <w:rPr>
                <w:rFonts w:hint="eastAsia" w:ascii="宋体" w:hAnsi="宋体" w:eastAsia="宋体" w:cs="宋体"/>
                <w:sz w:val="20"/>
                <w:szCs w:val="20"/>
                <w:highlight w:val="none"/>
              </w:rPr>
              <w:t>5、★</w:t>
            </w:r>
            <w:r>
              <w:rPr>
                <w:rFonts w:hint="eastAsia" w:ascii="宋体" w:hAnsi="宋体" w:eastAsia="宋体" w:cs="宋体"/>
                <w:sz w:val="20"/>
                <w:szCs w:val="20"/>
                <w:highlight w:val="none"/>
                <w:u w:val="single"/>
              </w:rPr>
              <w:t>物理交换机管理：支持纳管、配置和监控物理交换机设备。验证超融合管理平台界面设置物理交换机LLDP功能开关、端口聚合等；超融合管理界面查看物理交换机各个端口VLAN ID、连接状态、速率、光模块类型和匹配状态等信息（投标文件中提供第三方权威机构测试报告扫描件或复印件（加盖投标供应商公章））；</w:t>
            </w:r>
          </w:p>
          <w:p w14:paraId="71C72A07">
            <w:pPr>
              <w:rPr>
                <w:rFonts w:hint="eastAsia" w:ascii="宋体" w:hAnsi="宋体" w:eastAsia="宋体" w:cs="宋体"/>
                <w:sz w:val="20"/>
                <w:szCs w:val="20"/>
                <w:highlight w:val="none"/>
              </w:rPr>
            </w:pPr>
            <w:r>
              <w:rPr>
                <w:rFonts w:hint="eastAsia" w:ascii="宋体" w:hAnsi="宋体" w:eastAsia="宋体" w:cs="宋体"/>
                <w:sz w:val="20"/>
                <w:szCs w:val="20"/>
                <w:highlight w:val="none"/>
              </w:rPr>
              <w:t>6、故障级联分析：支持故障级联诊断功能，虚拟化平台通过智能分析技术，对虚拟化环境中的虚拟机、主机、集群等资源的异常事件进行关联分析，快速定位故障原因，提升故障定位效率及整体系统可靠性。</w:t>
            </w:r>
          </w:p>
          <w:p w14:paraId="480B0F50">
            <w:pPr>
              <w:rPr>
                <w:rFonts w:hint="eastAsia" w:ascii="宋体" w:hAnsi="宋体" w:eastAsia="宋体" w:cs="宋体"/>
                <w:b/>
                <w:bCs/>
                <w:sz w:val="20"/>
                <w:szCs w:val="20"/>
                <w:highlight w:val="none"/>
              </w:rPr>
            </w:pPr>
            <w:r>
              <w:rPr>
                <w:rFonts w:hint="eastAsia" w:ascii="宋体" w:hAnsi="宋体" w:eastAsia="宋体" w:cs="宋体"/>
                <w:b/>
                <w:bCs/>
                <w:sz w:val="20"/>
                <w:szCs w:val="20"/>
                <w:highlight w:val="none"/>
              </w:rPr>
              <w:t>三、Vmware管理：</w:t>
            </w:r>
          </w:p>
          <w:p w14:paraId="25F99BB2">
            <w:pPr>
              <w:rPr>
                <w:rFonts w:hint="eastAsia" w:ascii="宋体" w:hAnsi="宋体" w:eastAsia="宋体" w:cs="宋体"/>
                <w:sz w:val="20"/>
                <w:szCs w:val="20"/>
                <w:highlight w:val="none"/>
              </w:rPr>
            </w:pPr>
            <w:r>
              <w:rPr>
                <w:rFonts w:hint="eastAsia" w:ascii="宋体" w:hAnsi="宋体" w:eastAsia="宋体" w:cs="宋体"/>
                <w:sz w:val="20"/>
                <w:szCs w:val="20"/>
                <w:highlight w:val="none"/>
              </w:rPr>
              <w:t>1、VMware管理：支持纳管并备份VMware虚机，支持VMware虚拟机的无代理迁移，并能够对VMware虚拟机进行开关机、编辑设置、快照管理、删除、备份等操作；</w:t>
            </w:r>
          </w:p>
          <w:p w14:paraId="426E144F">
            <w:pPr>
              <w:rPr>
                <w:rFonts w:hint="eastAsia" w:ascii="宋体" w:hAnsi="宋体" w:eastAsia="宋体" w:cs="宋体"/>
                <w:sz w:val="20"/>
                <w:szCs w:val="20"/>
                <w:highlight w:val="none"/>
              </w:rPr>
            </w:pPr>
            <w:r>
              <w:rPr>
                <w:rFonts w:hint="eastAsia" w:ascii="宋体" w:hAnsi="宋体" w:eastAsia="宋体" w:cs="宋体"/>
                <w:sz w:val="20"/>
                <w:szCs w:val="20"/>
                <w:highlight w:val="none"/>
              </w:rPr>
              <w:t>2、VMware双向迁移：支持VMware虚拟机迁移至超融合管理平台，并且能重新从超融合管理平台迁回至VMware的功能；</w:t>
            </w:r>
          </w:p>
          <w:p w14:paraId="7E3790BB">
            <w:pPr>
              <w:rPr>
                <w:rFonts w:hint="eastAsia" w:ascii="宋体" w:hAnsi="宋体" w:eastAsia="宋体" w:cs="宋体"/>
                <w:sz w:val="20"/>
                <w:szCs w:val="20"/>
                <w:highlight w:val="none"/>
              </w:rPr>
            </w:pPr>
            <w:r>
              <w:rPr>
                <w:rFonts w:hint="eastAsia" w:ascii="宋体" w:hAnsi="宋体" w:eastAsia="宋体" w:cs="宋体"/>
                <w:sz w:val="20"/>
                <w:szCs w:val="20"/>
                <w:highlight w:val="none"/>
              </w:rPr>
              <w:t>3、★</w:t>
            </w:r>
            <w:r>
              <w:rPr>
                <w:rFonts w:hint="eastAsia" w:ascii="宋体" w:hAnsi="宋体" w:eastAsia="宋体" w:cs="宋体"/>
                <w:sz w:val="20"/>
                <w:szCs w:val="20"/>
                <w:highlight w:val="none"/>
                <w:u w:val="single"/>
              </w:rPr>
              <w:t>VMware高速迁移：支持VMware高速迁移功能，VMware虚机迁移速度超过1.6 GB/s（投标文件中提供第三方权威机构测试报告扫描件或复印件（加盖投标供应商公章））。</w:t>
            </w:r>
          </w:p>
          <w:p w14:paraId="72CA3E7E">
            <w:pPr>
              <w:rPr>
                <w:rFonts w:hint="eastAsia" w:ascii="宋体" w:hAnsi="宋体" w:eastAsia="宋体" w:cs="宋体"/>
                <w:b/>
                <w:bCs/>
                <w:sz w:val="20"/>
                <w:szCs w:val="20"/>
                <w:highlight w:val="none"/>
              </w:rPr>
            </w:pPr>
            <w:r>
              <w:rPr>
                <w:rFonts w:hint="eastAsia" w:ascii="宋体" w:hAnsi="宋体" w:eastAsia="宋体" w:cs="宋体"/>
                <w:b/>
                <w:bCs/>
                <w:sz w:val="20"/>
                <w:szCs w:val="20"/>
                <w:highlight w:val="none"/>
              </w:rPr>
              <w:t>四、计算虚拟化：</w:t>
            </w:r>
          </w:p>
          <w:p w14:paraId="68173FF8">
            <w:pPr>
              <w:rPr>
                <w:rFonts w:hint="eastAsia" w:ascii="宋体" w:hAnsi="宋体" w:eastAsia="宋体" w:cs="宋体"/>
                <w:sz w:val="20"/>
                <w:szCs w:val="20"/>
                <w:highlight w:val="none"/>
              </w:rPr>
            </w:pPr>
            <w:r>
              <w:rPr>
                <w:rFonts w:hint="eastAsia" w:ascii="宋体" w:hAnsi="宋体" w:eastAsia="宋体" w:cs="宋体"/>
                <w:sz w:val="20"/>
                <w:szCs w:val="20"/>
                <w:highlight w:val="none"/>
              </w:rPr>
              <w:t>1、▲</w:t>
            </w:r>
            <w:r>
              <w:rPr>
                <w:rFonts w:hint="eastAsia" w:ascii="宋体" w:hAnsi="宋体" w:eastAsia="宋体" w:cs="宋体"/>
                <w:sz w:val="20"/>
                <w:szCs w:val="20"/>
                <w:highlight w:val="none"/>
                <w:u w:val="single"/>
              </w:rPr>
              <w:t>配置要求：每颗物理CPU为一个授权许可，配置30颗CPU授权；</w:t>
            </w:r>
          </w:p>
          <w:p w14:paraId="592AC0D0">
            <w:pPr>
              <w:rPr>
                <w:rFonts w:hint="eastAsia" w:ascii="宋体" w:hAnsi="宋体" w:eastAsia="宋体" w:cs="宋体"/>
                <w:sz w:val="20"/>
                <w:szCs w:val="20"/>
                <w:highlight w:val="none"/>
              </w:rPr>
            </w:pPr>
            <w:r>
              <w:rPr>
                <w:rFonts w:hint="eastAsia" w:ascii="宋体" w:hAnsi="宋体" w:eastAsia="宋体" w:cs="宋体"/>
                <w:sz w:val="20"/>
                <w:szCs w:val="20"/>
                <w:highlight w:val="none"/>
              </w:rPr>
              <w:t>2、虚拟化基本功能：虚拟机之间可以做到隔离保护，其中每一个虚拟机发生故障都不会影响同一个物理机上的其它虚拟机运行，每个虚拟机上的用户权限只限于本虚拟机之内，以保障系统平台的安全性；</w:t>
            </w:r>
          </w:p>
          <w:p w14:paraId="2AAB4C48">
            <w:pPr>
              <w:rPr>
                <w:rFonts w:hint="eastAsia" w:ascii="宋体" w:hAnsi="宋体" w:eastAsia="宋体" w:cs="宋体"/>
                <w:sz w:val="20"/>
                <w:szCs w:val="20"/>
                <w:highlight w:val="none"/>
                <w:u w:val="none"/>
              </w:rPr>
            </w:pPr>
            <w:r>
              <w:rPr>
                <w:rFonts w:hint="eastAsia" w:ascii="宋体" w:hAnsi="宋体" w:eastAsia="宋体" w:cs="宋体"/>
                <w:sz w:val="20"/>
                <w:szCs w:val="20"/>
                <w:highlight w:val="none"/>
              </w:rPr>
              <w:t>3、磁盘加密：支持虚拟机磁盘进行加密，支持选择加密方式，提供SM4（国密分组算法）和AES（对称加密算法）两种</w:t>
            </w:r>
            <w:r>
              <w:rPr>
                <w:rFonts w:hint="eastAsia" w:ascii="宋体" w:hAnsi="宋体" w:eastAsia="宋体" w:cs="宋体"/>
                <w:sz w:val="20"/>
                <w:szCs w:val="20"/>
                <w:highlight w:val="none"/>
                <w:u w:val="none"/>
              </w:rPr>
              <w:t>加密算法；同时支持虚拟机的加解密转换；</w:t>
            </w:r>
          </w:p>
          <w:p w14:paraId="6AE2A51F">
            <w:pPr>
              <w:rPr>
                <w:rFonts w:hint="eastAsia" w:ascii="宋体" w:hAnsi="宋体" w:eastAsia="宋体" w:cs="宋体"/>
                <w:sz w:val="20"/>
                <w:szCs w:val="20"/>
                <w:highlight w:val="none"/>
                <w:u w:val="none"/>
              </w:rPr>
            </w:pPr>
            <w:r>
              <w:rPr>
                <w:rFonts w:hint="eastAsia" w:ascii="宋体" w:hAnsi="宋体" w:eastAsia="宋体" w:cs="宋体"/>
                <w:sz w:val="20"/>
                <w:szCs w:val="20"/>
                <w:highlight w:val="none"/>
                <w:u w:val="none"/>
              </w:rPr>
              <w:t>4、主机自治：产品架构支持宿主机自治功能，在超融合管理平台不可用期间，主机可以管理自身的虚拟机，保障业务正常运行；</w:t>
            </w:r>
          </w:p>
          <w:p w14:paraId="611A816B">
            <w:pPr>
              <w:rPr>
                <w:rFonts w:hint="eastAsia" w:ascii="宋体" w:hAnsi="宋体" w:eastAsia="宋体" w:cs="宋体"/>
                <w:sz w:val="20"/>
                <w:szCs w:val="20"/>
                <w:highlight w:val="none"/>
                <w:u w:val="none"/>
              </w:rPr>
            </w:pPr>
            <w:r>
              <w:rPr>
                <w:rFonts w:hint="eastAsia" w:ascii="宋体" w:hAnsi="宋体" w:eastAsia="宋体" w:cs="宋体"/>
                <w:sz w:val="20"/>
                <w:szCs w:val="20"/>
                <w:highlight w:val="none"/>
                <w:u w:val="none"/>
              </w:rPr>
              <w:t>5、任务编排：支持任务编排功能，支持批量创建、管理虚拟机迁移任务，支持更改主机、更改数据存储以及更改主机和数据存储三种迁移类型，提升运维效率，降低人为操作错误；</w:t>
            </w:r>
          </w:p>
          <w:p w14:paraId="1CB20E51">
            <w:pPr>
              <w:rPr>
                <w:rFonts w:hint="eastAsia" w:ascii="宋体" w:hAnsi="宋体" w:eastAsia="宋体" w:cs="宋体"/>
                <w:sz w:val="20"/>
                <w:szCs w:val="20"/>
                <w:highlight w:val="none"/>
              </w:rPr>
            </w:pPr>
            <w:r>
              <w:rPr>
                <w:rFonts w:hint="eastAsia" w:ascii="宋体" w:hAnsi="宋体" w:eastAsia="宋体" w:cs="宋体"/>
                <w:sz w:val="20"/>
                <w:szCs w:val="20"/>
                <w:highlight w:val="none"/>
              </w:rPr>
              <w:t>6、★</w:t>
            </w:r>
            <w:r>
              <w:rPr>
                <w:rFonts w:hint="eastAsia" w:ascii="宋体" w:hAnsi="宋体" w:eastAsia="宋体" w:cs="宋体"/>
                <w:sz w:val="20"/>
                <w:szCs w:val="20"/>
                <w:highlight w:val="none"/>
                <w:u w:val="single"/>
              </w:rPr>
              <w:t>细粒度DRS：支持集群动态资源调度功能，可基于主机的CPU利用率、内存利用率、磁盘I/O、存储利用率、磁盘请求、网络流量等资源对虚拟机进行动态资源调度，实现自动化的存储资源分配和负载均衡功能，主动确保云环境的服务水平，为业务系统提供健康可用的资源环境（投标文件中提供第三方权威机构测试报告扫描件或复印件（加盖投标供应商公章））；</w:t>
            </w:r>
          </w:p>
          <w:p w14:paraId="3EFFB4E1">
            <w:pPr>
              <w:rPr>
                <w:rFonts w:hint="eastAsia" w:ascii="宋体" w:hAnsi="宋体" w:eastAsia="宋体" w:cs="宋体"/>
                <w:b/>
                <w:bCs/>
                <w:sz w:val="20"/>
                <w:szCs w:val="20"/>
                <w:highlight w:val="none"/>
              </w:rPr>
            </w:pPr>
            <w:r>
              <w:rPr>
                <w:rFonts w:hint="eastAsia" w:ascii="宋体" w:hAnsi="宋体" w:eastAsia="宋体" w:cs="宋体"/>
                <w:b/>
                <w:bCs/>
                <w:sz w:val="20"/>
                <w:szCs w:val="20"/>
                <w:highlight w:val="none"/>
              </w:rPr>
              <w:t>五、存储虚拟化：</w:t>
            </w:r>
          </w:p>
          <w:p w14:paraId="6B3327A1">
            <w:pPr>
              <w:rPr>
                <w:rFonts w:hint="eastAsia" w:ascii="宋体" w:hAnsi="宋体" w:eastAsia="宋体" w:cs="宋体"/>
                <w:sz w:val="20"/>
                <w:szCs w:val="20"/>
                <w:highlight w:val="none"/>
              </w:rPr>
            </w:pPr>
            <w:r>
              <w:rPr>
                <w:rFonts w:hint="eastAsia" w:ascii="宋体" w:hAnsi="宋体" w:eastAsia="宋体" w:cs="宋体"/>
                <w:sz w:val="20"/>
                <w:szCs w:val="20"/>
                <w:highlight w:val="none"/>
              </w:rPr>
              <w:t>1、▲</w:t>
            </w:r>
            <w:r>
              <w:rPr>
                <w:rFonts w:hint="eastAsia" w:ascii="宋体" w:hAnsi="宋体" w:eastAsia="宋体" w:cs="宋体"/>
                <w:sz w:val="20"/>
                <w:szCs w:val="20"/>
                <w:highlight w:val="none"/>
                <w:u w:val="single"/>
              </w:rPr>
              <w:t>配置要求：每颗物理CPU为一个授权许可，配置30颗CPU授权；</w:t>
            </w:r>
          </w:p>
          <w:p w14:paraId="16B79B01">
            <w:pPr>
              <w:rPr>
                <w:rFonts w:hint="eastAsia" w:ascii="宋体" w:hAnsi="宋体" w:eastAsia="宋体" w:cs="宋体"/>
                <w:sz w:val="20"/>
                <w:szCs w:val="20"/>
                <w:highlight w:val="none"/>
              </w:rPr>
            </w:pPr>
            <w:r>
              <w:rPr>
                <w:rFonts w:hint="eastAsia" w:ascii="宋体" w:hAnsi="宋体" w:eastAsia="宋体" w:cs="宋体"/>
                <w:sz w:val="20"/>
                <w:szCs w:val="20"/>
                <w:highlight w:val="none"/>
              </w:rPr>
              <w:t>2、高性能卷快照：支持卷的虚拟快照功能，创建快照对性能影响小于5%；</w:t>
            </w:r>
          </w:p>
          <w:p w14:paraId="3A4C0663">
            <w:pPr>
              <w:rPr>
                <w:rFonts w:hint="eastAsia" w:ascii="宋体" w:hAnsi="宋体" w:eastAsia="宋体" w:cs="宋体"/>
                <w:sz w:val="20"/>
                <w:szCs w:val="20"/>
                <w:highlight w:val="none"/>
                <w:u w:val="none"/>
              </w:rPr>
            </w:pPr>
            <w:r>
              <w:rPr>
                <w:rFonts w:hint="eastAsia" w:ascii="宋体" w:hAnsi="宋体" w:eastAsia="宋体" w:cs="宋体"/>
                <w:sz w:val="20"/>
                <w:szCs w:val="20"/>
                <w:highlight w:val="none"/>
              </w:rPr>
              <w:t>3、快慢池：支持快慢池功能</w:t>
            </w:r>
            <w:r>
              <w:rPr>
                <w:rFonts w:hint="eastAsia" w:ascii="宋体" w:hAnsi="宋体" w:eastAsia="宋体" w:cs="宋体"/>
                <w:sz w:val="20"/>
                <w:szCs w:val="20"/>
                <w:highlight w:val="none"/>
                <w:u w:val="none"/>
              </w:rPr>
              <w:t>，在同一节点上提供不同性能的硬盘池，为用户提供快慢池存储服务；</w:t>
            </w:r>
          </w:p>
          <w:p w14:paraId="044ABC17">
            <w:pPr>
              <w:rPr>
                <w:rFonts w:hint="eastAsia" w:ascii="宋体" w:hAnsi="宋体" w:eastAsia="宋体" w:cs="宋体"/>
                <w:sz w:val="20"/>
                <w:szCs w:val="20"/>
                <w:highlight w:val="none"/>
                <w:u w:val="none"/>
              </w:rPr>
            </w:pPr>
            <w:r>
              <w:rPr>
                <w:rFonts w:hint="eastAsia" w:ascii="宋体" w:hAnsi="宋体" w:eastAsia="宋体" w:cs="宋体"/>
                <w:sz w:val="20"/>
                <w:szCs w:val="20"/>
                <w:highlight w:val="none"/>
                <w:u w:val="none"/>
              </w:rPr>
              <w:t>4、多副本：为满足数据的可靠性，分布式存储软件需支持多副本保护机制，多副本机制可选择2~6副本，支持依据业务数据重要性进行灵活设置副本数量机制；</w:t>
            </w:r>
          </w:p>
          <w:p w14:paraId="5FAD423D">
            <w:pPr>
              <w:rPr>
                <w:rFonts w:hint="eastAsia" w:ascii="宋体" w:hAnsi="宋体" w:eastAsia="宋体" w:cs="宋体"/>
                <w:sz w:val="20"/>
                <w:szCs w:val="20"/>
                <w:highlight w:val="none"/>
              </w:rPr>
            </w:pPr>
            <w:r>
              <w:rPr>
                <w:rFonts w:hint="eastAsia" w:ascii="宋体" w:hAnsi="宋体" w:eastAsia="宋体" w:cs="宋体"/>
                <w:sz w:val="20"/>
                <w:szCs w:val="20"/>
                <w:highlight w:val="none"/>
              </w:rPr>
              <w:t>5、★</w:t>
            </w:r>
            <w:r>
              <w:rPr>
                <w:rFonts w:hint="eastAsia" w:ascii="宋体" w:hAnsi="宋体" w:eastAsia="宋体" w:cs="宋体"/>
                <w:sz w:val="20"/>
                <w:szCs w:val="20"/>
                <w:highlight w:val="none"/>
                <w:u w:val="single"/>
              </w:rPr>
              <w:t>高性能纠删码：支持纠删码特性，支持N+1到N+4的纠删码保护，最大支持任意4个节点故障而数据不丢失、系统不停机（投标文件中提供第三方权威机构测试报告扫描件或复印件（加盖投标供应商公章））；</w:t>
            </w:r>
          </w:p>
          <w:p w14:paraId="1B9091D8">
            <w:pPr>
              <w:rPr>
                <w:rFonts w:hint="eastAsia" w:ascii="宋体" w:hAnsi="宋体" w:eastAsia="宋体" w:cs="宋体"/>
                <w:sz w:val="20"/>
                <w:szCs w:val="20"/>
                <w:highlight w:val="none"/>
                <w:u w:val="none"/>
              </w:rPr>
            </w:pPr>
            <w:r>
              <w:rPr>
                <w:rFonts w:hint="eastAsia" w:ascii="宋体" w:hAnsi="宋体" w:eastAsia="宋体" w:cs="宋体"/>
                <w:sz w:val="20"/>
                <w:szCs w:val="20"/>
                <w:highlight w:val="none"/>
                <w:u w:val="none"/>
              </w:rPr>
              <w:t>6、SSD反磨损：支持对系统中的盘磨损度进行检测，当盘达到设计的磨损度后增大到该盘的IO数量，使其提前磨损并重构，避免系统中多个盘寿命同时到达后同时故障；</w:t>
            </w:r>
          </w:p>
          <w:p w14:paraId="7750460E">
            <w:pPr>
              <w:rPr>
                <w:rFonts w:hint="eastAsia" w:ascii="宋体" w:hAnsi="宋体" w:eastAsia="宋体" w:cs="宋体"/>
                <w:sz w:val="20"/>
                <w:szCs w:val="20"/>
                <w:highlight w:val="none"/>
                <w:u w:val="none"/>
              </w:rPr>
            </w:pPr>
            <w:r>
              <w:rPr>
                <w:rFonts w:hint="eastAsia" w:ascii="宋体" w:hAnsi="宋体" w:eastAsia="宋体" w:cs="宋体"/>
                <w:sz w:val="20"/>
                <w:szCs w:val="20"/>
                <w:highlight w:val="none"/>
                <w:u w:val="none"/>
              </w:rPr>
              <w:t>7、重建QoS：验证重建QoS功能，支持数据重建智能保护业务性能，可以对数据重建速度进行智能限速，避免数据重建过程中IO性能占用导致对业务的性能造成影响。</w:t>
            </w:r>
          </w:p>
          <w:p w14:paraId="12FD8223">
            <w:pPr>
              <w:rPr>
                <w:rFonts w:hint="eastAsia" w:ascii="宋体" w:hAnsi="宋体" w:eastAsia="宋体" w:cs="宋体"/>
                <w:b/>
                <w:bCs/>
                <w:sz w:val="20"/>
                <w:szCs w:val="20"/>
                <w:highlight w:val="none"/>
              </w:rPr>
            </w:pPr>
            <w:r>
              <w:rPr>
                <w:rFonts w:hint="eastAsia" w:ascii="宋体" w:hAnsi="宋体" w:eastAsia="宋体" w:cs="宋体"/>
                <w:b/>
                <w:bCs/>
                <w:sz w:val="20"/>
                <w:szCs w:val="20"/>
                <w:highlight w:val="none"/>
              </w:rPr>
              <w:t>六、网络虚拟化：</w:t>
            </w:r>
          </w:p>
          <w:p w14:paraId="5F96D9DC">
            <w:pPr>
              <w:rPr>
                <w:rFonts w:hint="eastAsia" w:ascii="宋体" w:hAnsi="宋体" w:eastAsia="宋体" w:cs="宋体"/>
                <w:sz w:val="20"/>
                <w:szCs w:val="20"/>
                <w:highlight w:val="none"/>
              </w:rPr>
            </w:pPr>
            <w:r>
              <w:rPr>
                <w:rFonts w:hint="eastAsia" w:ascii="宋体" w:hAnsi="宋体" w:eastAsia="宋体" w:cs="宋体"/>
                <w:sz w:val="20"/>
                <w:szCs w:val="20"/>
                <w:highlight w:val="none"/>
              </w:rPr>
              <w:t>1、分布式虚拟交换机：采用先进的网络虚拟化技术，通过软件实现虚拟交换机功能，一次配置即可在所有物理服务器上进行VLAN子网划分、流量QoS、指定物理网卡，并可以通过平台内置的可视化功能实现虚拟机网卡到物理网卡的全链路监控。</w:t>
            </w:r>
          </w:p>
          <w:p w14:paraId="1DE0A345">
            <w:pPr>
              <w:rPr>
                <w:rFonts w:hint="eastAsia" w:ascii="宋体" w:hAnsi="宋体" w:eastAsia="宋体" w:cs="宋体"/>
                <w:sz w:val="20"/>
                <w:szCs w:val="20"/>
                <w:highlight w:val="none"/>
              </w:rPr>
            </w:pPr>
            <w:r>
              <w:rPr>
                <w:rFonts w:hint="eastAsia" w:ascii="宋体" w:hAnsi="宋体" w:eastAsia="宋体" w:cs="宋体"/>
                <w:sz w:val="20"/>
                <w:szCs w:val="20"/>
                <w:highlight w:val="none"/>
              </w:rPr>
              <w:t>2、★</w:t>
            </w:r>
            <w:r>
              <w:rPr>
                <w:rFonts w:hint="eastAsia" w:ascii="宋体" w:hAnsi="宋体" w:eastAsia="宋体" w:cs="宋体"/>
                <w:sz w:val="20"/>
                <w:szCs w:val="20"/>
                <w:highlight w:val="none"/>
                <w:u w:val="single"/>
              </w:rPr>
              <w:t>网络拓扑：在管理平台上可以通过拖拽虚拟设备图标和连线就能完成网络拓扑的构建，快速的实现整个业务逻辑，并且可以连接、开启、关闭虚拟网络设备，支持对整个平台虚拟设备实现统一的管理，提升运维管理的工作效率（投标文件中提供第三方权威机构测试报告扫描件或复印件（加盖投标供应商公章））；</w:t>
            </w:r>
          </w:p>
          <w:p w14:paraId="1E537499">
            <w:pPr>
              <w:rPr>
                <w:rFonts w:hint="eastAsia" w:ascii="宋体" w:hAnsi="宋体" w:eastAsia="宋体" w:cs="宋体"/>
                <w:sz w:val="20"/>
                <w:szCs w:val="20"/>
                <w:highlight w:val="none"/>
                <w:u w:val="none"/>
              </w:rPr>
            </w:pPr>
            <w:r>
              <w:rPr>
                <w:rFonts w:hint="eastAsia" w:ascii="宋体" w:hAnsi="宋体" w:eastAsia="宋体" w:cs="宋体"/>
                <w:sz w:val="20"/>
                <w:szCs w:val="20"/>
                <w:highlight w:val="none"/>
                <w:u w:val="none"/>
              </w:rPr>
              <w:t>3、主机防火墙：支持查看宿主机正在使用的服务及端口号，并设置访问端口的IP范围，防止未授权的访问和攻击，保障平台安全性；</w:t>
            </w:r>
          </w:p>
          <w:p w14:paraId="54AE023C">
            <w:pPr>
              <w:rPr>
                <w:rFonts w:hint="eastAsia" w:ascii="宋体" w:hAnsi="宋体" w:eastAsia="宋体" w:cs="宋体"/>
                <w:sz w:val="20"/>
                <w:szCs w:val="20"/>
                <w:highlight w:val="none"/>
              </w:rPr>
            </w:pPr>
            <w:r>
              <w:rPr>
                <w:rFonts w:hint="eastAsia" w:ascii="宋体" w:hAnsi="宋体" w:eastAsia="宋体" w:cs="宋体"/>
                <w:sz w:val="20"/>
                <w:szCs w:val="20"/>
                <w:highlight w:val="none"/>
              </w:rPr>
              <w:t>4、网络拦截日志：支持分布式虚拟防火墙，提供实时拦截日志显示功能，以及支持“数据直通ByPass”功能，出现问题时能够对问题进行快速定位；</w:t>
            </w:r>
          </w:p>
        </w:tc>
      </w:tr>
      <w:tr w14:paraId="66FC9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dxa"/>
            <w:noWrap w:val="0"/>
            <w:vAlign w:val="center"/>
          </w:tcPr>
          <w:p w14:paraId="08AB0D70">
            <w:pPr>
              <w:jc w:val="center"/>
              <w:rPr>
                <w:rFonts w:ascii="宋体" w:hAnsi="宋体" w:eastAsia="宋体" w:cs="宋体"/>
                <w:sz w:val="20"/>
                <w:szCs w:val="20"/>
                <w:highlight w:val="none"/>
              </w:rPr>
            </w:pPr>
            <w:r>
              <w:rPr>
                <w:rFonts w:hint="eastAsia" w:ascii="宋体" w:hAnsi="宋体" w:eastAsia="宋体" w:cs="宋体"/>
                <w:sz w:val="20"/>
                <w:szCs w:val="20"/>
                <w:highlight w:val="none"/>
              </w:rPr>
              <w:t>2</w:t>
            </w:r>
          </w:p>
        </w:tc>
        <w:tc>
          <w:tcPr>
            <w:tcW w:w="1341" w:type="dxa"/>
            <w:noWrap w:val="0"/>
            <w:vAlign w:val="center"/>
          </w:tcPr>
          <w:p w14:paraId="7701EF2D">
            <w:pPr>
              <w:jc w:val="center"/>
              <w:rPr>
                <w:rFonts w:hint="eastAsia" w:ascii="宋体" w:hAnsi="宋体" w:eastAsia="宋体" w:cs="宋体"/>
                <w:sz w:val="20"/>
                <w:szCs w:val="20"/>
                <w:highlight w:val="none"/>
              </w:rPr>
            </w:pPr>
            <w:r>
              <w:rPr>
                <w:rFonts w:ascii="宋体" w:hAnsi="宋体" w:eastAsia="宋体" w:cs="宋体"/>
                <w:sz w:val="20"/>
                <w:szCs w:val="20"/>
                <w:highlight w:val="none"/>
              </w:rPr>
              <w:t>计算虚拟化软件</w:t>
            </w:r>
            <w:r>
              <w:rPr>
                <w:rFonts w:hint="eastAsia" w:ascii="宋体" w:hAnsi="宋体" w:eastAsia="宋体" w:cs="宋体"/>
                <w:sz w:val="20"/>
                <w:szCs w:val="20"/>
                <w:highlight w:val="none"/>
              </w:rPr>
              <w:t>集成服务</w:t>
            </w:r>
          </w:p>
        </w:tc>
        <w:tc>
          <w:tcPr>
            <w:tcW w:w="842" w:type="dxa"/>
            <w:noWrap w:val="0"/>
            <w:vAlign w:val="center"/>
          </w:tcPr>
          <w:p w14:paraId="672A5100">
            <w:pPr>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1</w:t>
            </w:r>
          </w:p>
        </w:tc>
        <w:tc>
          <w:tcPr>
            <w:tcW w:w="707" w:type="dxa"/>
            <w:noWrap w:val="0"/>
            <w:vAlign w:val="center"/>
          </w:tcPr>
          <w:p w14:paraId="2BA6DFEC">
            <w:pPr>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套</w:t>
            </w:r>
          </w:p>
        </w:tc>
        <w:tc>
          <w:tcPr>
            <w:tcW w:w="5343" w:type="dxa"/>
            <w:noWrap w:val="0"/>
            <w:vAlign w:val="center"/>
          </w:tcPr>
          <w:p w14:paraId="326E0C27">
            <w:pPr>
              <w:rPr>
                <w:rFonts w:hint="eastAsia" w:ascii="宋体" w:hAnsi="宋体" w:eastAsia="宋体" w:cs="宋体"/>
                <w:sz w:val="20"/>
                <w:szCs w:val="20"/>
                <w:highlight w:val="none"/>
                <w:u w:val="single"/>
              </w:rPr>
            </w:pPr>
            <w:r>
              <w:rPr>
                <w:rFonts w:hint="eastAsia" w:ascii="宋体" w:hAnsi="宋体" w:eastAsia="宋体" w:cs="宋体"/>
                <w:sz w:val="20"/>
                <w:szCs w:val="20"/>
                <w:highlight w:val="none"/>
              </w:rPr>
              <w:t>1、▲</w:t>
            </w:r>
            <w:r>
              <w:rPr>
                <w:rFonts w:hint="eastAsia" w:ascii="宋体" w:hAnsi="宋体" w:eastAsia="宋体" w:cs="宋体"/>
                <w:sz w:val="20"/>
                <w:szCs w:val="20"/>
                <w:highlight w:val="none"/>
                <w:u w:val="single"/>
              </w:rPr>
              <w:t>配置要求：每颗物理CPU为一个授权许可，配置18颗CPU授权；</w:t>
            </w:r>
          </w:p>
          <w:p w14:paraId="3EBB2814">
            <w:pPr>
              <w:rPr>
                <w:rFonts w:hint="eastAsia" w:ascii="宋体" w:hAnsi="宋体" w:eastAsia="宋体" w:cs="宋体"/>
                <w:sz w:val="20"/>
                <w:szCs w:val="20"/>
                <w:highlight w:val="none"/>
                <w:u w:val="single"/>
              </w:rPr>
            </w:pPr>
            <w:r>
              <w:rPr>
                <w:rFonts w:hint="eastAsia" w:ascii="宋体" w:hAnsi="宋体" w:eastAsia="宋体" w:cs="宋体"/>
                <w:sz w:val="20"/>
                <w:szCs w:val="20"/>
                <w:highlight w:val="none"/>
              </w:rPr>
              <w:t>2、★</w:t>
            </w:r>
            <w:r>
              <w:rPr>
                <w:rFonts w:hint="eastAsia" w:ascii="宋体" w:hAnsi="宋体" w:eastAsia="宋体" w:cs="宋体"/>
                <w:sz w:val="20"/>
                <w:szCs w:val="20"/>
                <w:highlight w:val="none"/>
                <w:u w:val="single"/>
              </w:rPr>
              <w:t>主机自治：验证计算虚拟化管理平台不可用期间，主机可以管理自身的虚拟机，保障业务正常运行（投标文件中提供第三方权威机构测试报告扫描件或复印件（加盖投标供应商公章））；</w:t>
            </w:r>
          </w:p>
          <w:p w14:paraId="2AEC4A24">
            <w:pPr>
              <w:rPr>
                <w:rFonts w:hint="eastAsia" w:ascii="宋体" w:hAnsi="宋体" w:eastAsia="宋体" w:cs="宋体"/>
                <w:sz w:val="20"/>
                <w:szCs w:val="20"/>
                <w:highlight w:val="none"/>
                <w:u w:val="none"/>
              </w:rPr>
            </w:pPr>
            <w:r>
              <w:rPr>
                <w:rFonts w:hint="eastAsia" w:ascii="宋体" w:hAnsi="宋体" w:eastAsia="宋体" w:cs="宋体"/>
                <w:sz w:val="20"/>
                <w:szCs w:val="20"/>
                <w:highlight w:val="none"/>
                <w:u w:val="none"/>
              </w:rPr>
              <w:t>3、主机NUMA动态均衡：验证支持虚拟机开启NUMA智能调度后，当检查到内存与vCPU绑定不均衡时，能够自动触发绑定关系迁移，使负载达到一定均衡。；</w:t>
            </w:r>
          </w:p>
          <w:p w14:paraId="5C1EE069">
            <w:pPr>
              <w:rPr>
                <w:rFonts w:hint="eastAsia" w:ascii="宋体" w:hAnsi="宋体" w:eastAsia="宋体" w:cs="宋体"/>
                <w:sz w:val="20"/>
                <w:szCs w:val="20"/>
                <w:highlight w:val="none"/>
                <w:u w:val="none"/>
              </w:rPr>
            </w:pPr>
            <w:r>
              <w:rPr>
                <w:rFonts w:hint="eastAsia" w:ascii="宋体" w:hAnsi="宋体" w:eastAsia="宋体" w:cs="宋体"/>
                <w:sz w:val="20"/>
                <w:szCs w:val="20"/>
                <w:highlight w:val="none"/>
                <w:u w:val="none"/>
              </w:rPr>
              <w:t>4、UPS联动：支持UPS联动，为保障数据中心断电场景下的业务，通过UPS供电，当UPS电量过低时，按照虚拟机优先级先将不重要的虚拟机进行软关机；</w:t>
            </w:r>
          </w:p>
          <w:p w14:paraId="5A9CD7EA">
            <w:pPr>
              <w:rPr>
                <w:rFonts w:hint="eastAsia" w:ascii="宋体" w:hAnsi="宋体" w:eastAsia="宋体" w:cs="宋体"/>
                <w:sz w:val="20"/>
                <w:szCs w:val="20"/>
                <w:highlight w:val="none"/>
              </w:rPr>
            </w:pPr>
            <w:r>
              <w:rPr>
                <w:rFonts w:hint="eastAsia" w:ascii="宋体" w:hAnsi="宋体" w:eastAsia="宋体" w:cs="宋体"/>
                <w:sz w:val="20"/>
                <w:szCs w:val="20"/>
                <w:highlight w:val="none"/>
              </w:rPr>
              <w:t>5、高性能精简磁盘配置：在使用共享文件系统的情况下，通过智能预分配算法，虚拟机精简磁盘性能达到置零磁盘性能80%以上，秒级达到高性能读写水平，在保障性能的前提下，提升存储资源的利用率，降低用户业务规划时间，保障投资；</w:t>
            </w:r>
          </w:p>
          <w:p w14:paraId="392B42A1">
            <w:pPr>
              <w:rPr>
                <w:rFonts w:hint="eastAsia" w:ascii="宋体" w:hAnsi="宋体" w:eastAsia="宋体" w:cs="宋体"/>
                <w:sz w:val="20"/>
                <w:szCs w:val="20"/>
                <w:highlight w:val="none"/>
                <w:u w:val="none"/>
              </w:rPr>
            </w:pPr>
            <w:r>
              <w:rPr>
                <w:rFonts w:hint="eastAsia" w:ascii="宋体" w:hAnsi="宋体" w:eastAsia="宋体" w:cs="宋体"/>
                <w:sz w:val="20"/>
                <w:szCs w:val="20"/>
                <w:highlight w:val="none"/>
              </w:rPr>
              <w:t>6、主机I/O故障转移：支持部分主机存储链路异常时，异常主机上使用共享存储的虚拟机暂不触发HA迁移，自动进行IO故障转移，将业务IO通过管理网络重定向到集群中其他正常主机，快速恢复虚拟机业务</w:t>
            </w:r>
            <w:r>
              <w:rPr>
                <w:rFonts w:hint="eastAsia" w:ascii="宋体" w:hAnsi="宋体" w:eastAsia="宋体" w:cs="宋体"/>
                <w:sz w:val="20"/>
                <w:szCs w:val="20"/>
                <w:highlight w:val="none"/>
                <w:u w:val="none"/>
              </w:rPr>
              <w:t>；</w:t>
            </w:r>
          </w:p>
          <w:p w14:paraId="30D30ECD">
            <w:pPr>
              <w:rPr>
                <w:rFonts w:hint="eastAsia" w:ascii="宋体" w:hAnsi="宋体" w:eastAsia="宋体" w:cs="宋体"/>
                <w:sz w:val="20"/>
                <w:szCs w:val="20"/>
                <w:highlight w:val="none"/>
                <w:u w:val="none"/>
              </w:rPr>
            </w:pPr>
            <w:r>
              <w:rPr>
                <w:rFonts w:hint="eastAsia" w:ascii="宋体" w:hAnsi="宋体" w:eastAsia="宋体" w:cs="宋体"/>
                <w:sz w:val="20"/>
                <w:szCs w:val="20"/>
                <w:highlight w:val="none"/>
                <w:u w:val="none"/>
              </w:rPr>
              <w:t>7、细粒度DRS：验证支持集群动态资源调度功能，可基于主机的CPU利用率、内存利用率、磁盘I/O、存储利用率、磁盘请求、网络流量等资源对虚拟机进行动态资源调度，实现自动化的存储资源分配和负载均衡功能，主动确保云环境的服务水平，为业务系统提供健康可用的资源环境；</w:t>
            </w:r>
          </w:p>
          <w:p w14:paraId="28C0470F">
            <w:pPr>
              <w:rPr>
                <w:rFonts w:hint="eastAsia" w:ascii="宋体" w:hAnsi="宋体" w:eastAsia="宋体" w:cs="宋体"/>
                <w:sz w:val="20"/>
                <w:szCs w:val="20"/>
                <w:highlight w:val="none"/>
              </w:rPr>
            </w:pPr>
            <w:r>
              <w:rPr>
                <w:rFonts w:hint="eastAsia" w:ascii="宋体" w:hAnsi="宋体" w:eastAsia="宋体" w:cs="宋体"/>
                <w:sz w:val="20"/>
                <w:szCs w:val="20"/>
                <w:highlight w:val="none"/>
              </w:rPr>
              <w:t>8、★</w:t>
            </w:r>
            <w:r>
              <w:rPr>
                <w:rFonts w:hint="eastAsia" w:ascii="宋体" w:hAnsi="宋体" w:eastAsia="宋体" w:cs="宋体"/>
                <w:sz w:val="20"/>
                <w:szCs w:val="20"/>
                <w:highlight w:val="none"/>
                <w:u w:val="single"/>
              </w:rPr>
              <w:t>故障级联诊断：支持故障级联诊断功能，虚拟化平台通过智能分析技术，对虚拟化环境中的虚拟机、主机、集群等资源的异常事件进行关联分析，快速定位故障原因，提升故障定位效率及整体系统可靠性（投标文件中提供第三方权威机构测试报告扫描件或复印件（加盖投标供应商公章））；</w:t>
            </w:r>
          </w:p>
          <w:p w14:paraId="2E3F0656">
            <w:pPr>
              <w:rPr>
                <w:rFonts w:hint="eastAsia" w:ascii="宋体" w:hAnsi="宋体" w:eastAsia="宋体" w:cs="宋体"/>
                <w:sz w:val="20"/>
                <w:szCs w:val="20"/>
                <w:highlight w:val="none"/>
                <w:u w:val="none"/>
              </w:rPr>
            </w:pPr>
            <w:r>
              <w:rPr>
                <w:rFonts w:hint="eastAsia" w:ascii="宋体" w:hAnsi="宋体" w:eastAsia="宋体" w:cs="宋体"/>
                <w:sz w:val="20"/>
                <w:szCs w:val="20"/>
                <w:highlight w:val="none"/>
                <w:u w:val="none"/>
              </w:rPr>
              <w:t>9、任务编排：支持任务编排功能，支持批量创建、管理虚拟机迁移任务，支持更改主机、更改数据存储以及更改主机和数据存储三种迁移类型，提升运维效率，降低人为操作错误；</w:t>
            </w:r>
          </w:p>
          <w:p w14:paraId="710471AF">
            <w:pPr>
              <w:rPr>
                <w:rFonts w:hint="eastAsia" w:ascii="宋体" w:hAnsi="宋体" w:eastAsia="宋体" w:cs="宋体"/>
                <w:sz w:val="20"/>
                <w:szCs w:val="20"/>
                <w:highlight w:val="none"/>
                <w:u w:val="none"/>
              </w:rPr>
            </w:pPr>
            <w:r>
              <w:rPr>
                <w:rFonts w:hint="eastAsia" w:ascii="宋体" w:hAnsi="宋体" w:eastAsia="宋体" w:cs="宋体"/>
                <w:sz w:val="20"/>
                <w:szCs w:val="20"/>
                <w:highlight w:val="none"/>
                <w:u w:val="none"/>
              </w:rPr>
              <w:t>10、闲置资源分析：支持闲置资源分析能力，支持根据虚拟机连续的电源关闭时间、CPU利用率、磁盘IO及网络吞吐率等关键指标，自动识别并生成僵尸虚拟机、闲置虚拟机、虚拟机快照、孤立磁盘等资源状态列表，同时生成虚拟机扩缩容建议列表，提供资源可回收和可优化建议；</w:t>
            </w:r>
          </w:p>
          <w:p w14:paraId="4625C9AC">
            <w:pPr>
              <w:rPr>
                <w:rFonts w:hint="eastAsia" w:ascii="宋体" w:hAnsi="宋体" w:eastAsia="宋体" w:cs="宋体"/>
                <w:sz w:val="20"/>
                <w:szCs w:val="20"/>
                <w:highlight w:val="none"/>
              </w:rPr>
            </w:pPr>
            <w:r>
              <w:rPr>
                <w:rFonts w:hint="eastAsia" w:ascii="宋体" w:hAnsi="宋体" w:eastAsia="宋体" w:cs="宋体"/>
                <w:sz w:val="20"/>
                <w:szCs w:val="20"/>
                <w:highlight w:val="none"/>
              </w:rPr>
              <w:t>11、★</w:t>
            </w:r>
            <w:r>
              <w:rPr>
                <w:rFonts w:hint="eastAsia" w:ascii="宋体" w:hAnsi="宋体" w:eastAsia="宋体" w:cs="宋体"/>
                <w:sz w:val="20"/>
                <w:szCs w:val="20"/>
                <w:highlight w:val="none"/>
                <w:u w:val="single"/>
              </w:rPr>
              <w:t>AI资源容量预测：支持资源容量预测服务，内置时间序列模型，管理平台自动化实现数据检索预测，提供用户易用的数据预测服务，服务支持呈现实时的CPU、内存和存储容量资源使用数据信息展示，并给出基于AI机器学习算法预测CPU、内存和存储未来的预警提示（投标文件中提供第三方权威机构测试报告扫描件或复印件（加盖投标供应商公章））；</w:t>
            </w:r>
          </w:p>
          <w:p w14:paraId="3F0B576F">
            <w:pPr>
              <w:rPr>
                <w:rFonts w:hint="eastAsia" w:ascii="宋体" w:hAnsi="宋体" w:eastAsia="宋体" w:cs="宋体"/>
                <w:sz w:val="20"/>
                <w:szCs w:val="20"/>
                <w:highlight w:val="none"/>
              </w:rPr>
            </w:pPr>
            <w:r>
              <w:rPr>
                <w:rFonts w:hint="eastAsia" w:ascii="宋体" w:hAnsi="宋体" w:eastAsia="宋体" w:cs="宋体"/>
                <w:sz w:val="20"/>
                <w:szCs w:val="20"/>
                <w:highlight w:val="none"/>
              </w:rPr>
              <w:t>12、★</w:t>
            </w:r>
            <w:r>
              <w:rPr>
                <w:rFonts w:hint="eastAsia" w:ascii="宋体" w:hAnsi="宋体" w:eastAsia="宋体" w:cs="宋体"/>
                <w:sz w:val="20"/>
                <w:szCs w:val="20"/>
                <w:highlight w:val="none"/>
                <w:u w:val="single"/>
              </w:rPr>
              <w:t>VMware高速迁移：支持VMware高速迁移功能，VMware虚机迁移速度超过1.7 GB/s（投标文件中提供第三方权威机构测试报告扫描件或复印件（加盖投标供应商公章））；</w:t>
            </w:r>
          </w:p>
          <w:p w14:paraId="22CC0979">
            <w:pPr>
              <w:rPr>
                <w:rFonts w:hint="eastAsia" w:ascii="宋体" w:hAnsi="宋体" w:eastAsia="宋体" w:cs="宋体"/>
                <w:sz w:val="20"/>
                <w:szCs w:val="20"/>
                <w:highlight w:val="none"/>
              </w:rPr>
            </w:pPr>
            <w:r>
              <w:rPr>
                <w:rFonts w:hint="eastAsia" w:ascii="宋体" w:hAnsi="宋体" w:eastAsia="宋体" w:cs="宋体"/>
                <w:sz w:val="20"/>
                <w:szCs w:val="20"/>
                <w:highlight w:val="none"/>
              </w:rPr>
              <w:t>13、VMware双向迁移：支持VMware虚拟机迁移至计算虚拟化管理平台，并且能重新从计算虚拟化管理平台迁回至VMware的功能；</w:t>
            </w:r>
          </w:p>
          <w:p w14:paraId="14324800">
            <w:pPr>
              <w:rPr>
                <w:rFonts w:hint="eastAsia" w:ascii="宋体" w:hAnsi="宋体" w:eastAsia="宋体" w:cs="宋体"/>
                <w:sz w:val="20"/>
                <w:szCs w:val="20"/>
                <w:highlight w:val="none"/>
              </w:rPr>
            </w:pPr>
            <w:r>
              <w:rPr>
                <w:rFonts w:hint="eastAsia" w:ascii="宋体" w:hAnsi="宋体" w:eastAsia="宋体" w:cs="宋体"/>
                <w:sz w:val="20"/>
                <w:szCs w:val="20"/>
                <w:highlight w:val="none"/>
              </w:rPr>
              <w:t>14、▲</w:t>
            </w:r>
            <w:r>
              <w:rPr>
                <w:rFonts w:hint="eastAsia" w:ascii="宋体" w:hAnsi="宋体" w:eastAsia="宋体" w:cs="宋体"/>
                <w:sz w:val="20"/>
                <w:szCs w:val="20"/>
                <w:highlight w:val="none"/>
                <w:u w:val="single"/>
              </w:rPr>
              <w:t>提供安装部署服务、现网55台计算虚拟化虚拟机迁移服务、软件远程技术支持服务(三年)</w:t>
            </w:r>
          </w:p>
        </w:tc>
      </w:tr>
      <w:tr w14:paraId="6ABA7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dxa"/>
            <w:noWrap w:val="0"/>
            <w:vAlign w:val="center"/>
          </w:tcPr>
          <w:p w14:paraId="4CC157F3">
            <w:pPr>
              <w:jc w:val="center"/>
              <w:rPr>
                <w:rFonts w:ascii="宋体" w:hAnsi="宋体" w:eastAsia="宋体" w:cs="宋体"/>
                <w:sz w:val="20"/>
                <w:szCs w:val="20"/>
                <w:highlight w:val="none"/>
              </w:rPr>
            </w:pPr>
            <w:r>
              <w:rPr>
                <w:rFonts w:hint="eastAsia" w:ascii="宋体" w:hAnsi="宋体" w:eastAsia="宋体" w:cs="宋体"/>
                <w:sz w:val="20"/>
                <w:szCs w:val="20"/>
                <w:highlight w:val="none"/>
              </w:rPr>
              <w:t>3</w:t>
            </w:r>
          </w:p>
        </w:tc>
        <w:tc>
          <w:tcPr>
            <w:tcW w:w="1341" w:type="dxa"/>
            <w:noWrap w:val="0"/>
            <w:vAlign w:val="center"/>
          </w:tcPr>
          <w:p w14:paraId="5845DF11">
            <w:pPr>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互联网防火墙</w:t>
            </w:r>
          </w:p>
        </w:tc>
        <w:tc>
          <w:tcPr>
            <w:tcW w:w="842" w:type="dxa"/>
            <w:noWrap w:val="0"/>
            <w:vAlign w:val="center"/>
          </w:tcPr>
          <w:p w14:paraId="6313743F">
            <w:pPr>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1</w:t>
            </w:r>
          </w:p>
        </w:tc>
        <w:tc>
          <w:tcPr>
            <w:tcW w:w="707" w:type="dxa"/>
            <w:noWrap w:val="0"/>
            <w:vAlign w:val="center"/>
          </w:tcPr>
          <w:p w14:paraId="7A035FCD">
            <w:pPr>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台</w:t>
            </w:r>
          </w:p>
        </w:tc>
        <w:tc>
          <w:tcPr>
            <w:tcW w:w="5343" w:type="dxa"/>
            <w:noWrap w:val="0"/>
            <w:vAlign w:val="center"/>
          </w:tcPr>
          <w:p w14:paraId="60DF7863">
            <w:pPr>
              <w:rPr>
                <w:rFonts w:hint="eastAsia" w:ascii="宋体" w:hAnsi="宋体" w:eastAsia="宋体" w:cs="宋体"/>
                <w:sz w:val="20"/>
                <w:szCs w:val="20"/>
                <w:highlight w:val="none"/>
              </w:rPr>
            </w:pPr>
            <w:r>
              <w:rPr>
                <w:rFonts w:hint="eastAsia" w:ascii="宋体" w:hAnsi="宋体" w:eastAsia="宋体" w:cs="宋体"/>
                <w:sz w:val="20"/>
                <w:szCs w:val="20"/>
                <w:highlight w:val="none"/>
              </w:rPr>
              <w:t>1双电源，国产化芯片和操作系统，≥8个10/100/1000M Base-TX接口，≥4个千兆光接口，≥128GB MSATA+ 128G SSD 硬盘，内存≥16G;包含三年防病毒、入侵防御特征库升级授权服务。原厂三年质保服务，包括5X8免费硬件维修服务，同代软件版本升级服务，5X8热线技术支持服务。</w:t>
            </w:r>
          </w:p>
          <w:p w14:paraId="059C4E64">
            <w:pPr>
              <w:rPr>
                <w:rFonts w:hint="eastAsia" w:ascii="宋体" w:hAnsi="宋体" w:eastAsia="宋体" w:cs="宋体"/>
                <w:sz w:val="20"/>
                <w:szCs w:val="20"/>
                <w:highlight w:val="none"/>
              </w:rPr>
            </w:pPr>
            <w:r>
              <w:rPr>
                <w:rFonts w:hint="eastAsia" w:ascii="宋体" w:hAnsi="宋体" w:eastAsia="宋体" w:cs="宋体"/>
                <w:sz w:val="20"/>
                <w:szCs w:val="20"/>
                <w:highlight w:val="none"/>
              </w:rPr>
              <w:t>2.性能参数:整机网络层吞吐量≥10Gbps，最大并发连接数≥600万，每秒新建连接数≥8万，整机应用层吞吐量≥8Gbps,IPS吞吐≥6G，AV吞吐≥4.5G; 配置IPSec VPN和SSL VPN模块，VPN IPSec隧道数≥20000个，≥200个并发用户</w:t>
            </w:r>
          </w:p>
          <w:p w14:paraId="21FCCE66">
            <w:pPr>
              <w:rPr>
                <w:rFonts w:hint="eastAsia" w:ascii="宋体" w:hAnsi="宋体" w:eastAsia="宋体" w:cs="宋体"/>
                <w:sz w:val="20"/>
                <w:szCs w:val="20"/>
                <w:highlight w:val="none"/>
              </w:rPr>
            </w:pPr>
            <w:r>
              <w:rPr>
                <w:rFonts w:hint="eastAsia" w:ascii="宋体" w:hAnsi="宋体" w:eastAsia="宋体" w:cs="宋体"/>
                <w:sz w:val="20"/>
                <w:szCs w:val="20"/>
                <w:highlight w:val="none"/>
              </w:rPr>
              <w:t>3.支持应急响应功能，支持自动响应和手动响应两种模式，可以对异常IP以及对应的异常事件进行一键处置。</w:t>
            </w:r>
          </w:p>
          <w:p w14:paraId="6B151CC0">
            <w:pPr>
              <w:rPr>
                <w:rFonts w:hint="eastAsia" w:ascii="宋体" w:hAnsi="宋体" w:eastAsia="宋体" w:cs="宋体"/>
                <w:sz w:val="20"/>
                <w:szCs w:val="20"/>
                <w:highlight w:val="none"/>
              </w:rPr>
            </w:pPr>
            <w:r>
              <w:rPr>
                <w:rFonts w:hint="eastAsia" w:ascii="宋体" w:hAnsi="宋体" w:eastAsia="宋体" w:cs="宋体"/>
                <w:sz w:val="20"/>
                <w:szCs w:val="20"/>
                <w:highlight w:val="none"/>
              </w:rPr>
              <w:t>4.★</w:t>
            </w:r>
            <w:r>
              <w:rPr>
                <w:rFonts w:hint="eastAsia" w:ascii="宋体" w:hAnsi="宋体" w:eastAsia="宋体" w:cs="宋体"/>
                <w:sz w:val="20"/>
                <w:szCs w:val="20"/>
                <w:highlight w:val="none"/>
                <w:u w:val="single"/>
              </w:rPr>
              <w:t>支持三个操作系统，可在Web界面完成系统备份、系统恢复、指定默认启动系统。（投标文件中提供截图证明（加盖投标供应商公章））</w:t>
            </w:r>
          </w:p>
          <w:p w14:paraId="43B12693">
            <w:pPr>
              <w:rPr>
                <w:rFonts w:hint="eastAsia" w:ascii="宋体" w:hAnsi="宋体" w:eastAsia="宋体" w:cs="宋体"/>
                <w:sz w:val="20"/>
                <w:szCs w:val="20"/>
                <w:highlight w:val="none"/>
              </w:rPr>
            </w:pPr>
            <w:r>
              <w:rPr>
                <w:rFonts w:hint="eastAsia" w:ascii="宋体" w:hAnsi="宋体" w:eastAsia="宋体" w:cs="宋体"/>
                <w:sz w:val="20"/>
                <w:szCs w:val="20"/>
                <w:highlight w:val="none"/>
              </w:rPr>
              <w:t>5.★</w:t>
            </w:r>
            <w:r>
              <w:rPr>
                <w:rFonts w:hint="eastAsia" w:ascii="宋体" w:hAnsi="宋体" w:eastAsia="宋体" w:cs="宋体"/>
                <w:sz w:val="20"/>
                <w:szCs w:val="20"/>
                <w:highlight w:val="none"/>
                <w:u w:val="single"/>
              </w:rPr>
              <w:t>支持与电磁屏蔽机柜联动，根据机柜门状态执行阻断策略、邮件告警、日志记录。（投标文件中提供截图证明（加盖投标供应商公章））</w:t>
            </w:r>
          </w:p>
          <w:p w14:paraId="366E0303">
            <w:pPr>
              <w:rPr>
                <w:rFonts w:hint="eastAsia" w:ascii="宋体" w:hAnsi="宋体" w:eastAsia="宋体" w:cs="宋体"/>
                <w:sz w:val="20"/>
                <w:szCs w:val="20"/>
                <w:highlight w:val="none"/>
              </w:rPr>
            </w:pPr>
            <w:r>
              <w:rPr>
                <w:rFonts w:hint="eastAsia" w:ascii="宋体" w:hAnsi="宋体" w:eastAsia="宋体" w:cs="宋体"/>
                <w:sz w:val="20"/>
                <w:szCs w:val="20"/>
                <w:highlight w:val="none"/>
              </w:rPr>
              <w:t>6.支持动态路由（ripv1ripv2ripngospfospfv3bgp4/bgp4isis），组播路由等。</w:t>
            </w:r>
          </w:p>
          <w:p w14:paraId="04DA1582">
            <w:pPr>
              <w:rPr>
                <w:rFonts w:hint="eastAsia" w:ascii="宋体" w:hAnsi="宋体" w:eastAsia="宋体" w:cs="宋体"/>
                <w:sz w:val="20"/>
                <w:szCs w:val="20"/>
                <w:highlight w:val="none"/>
              </w:rPr>
            </w:pPr>
            <w:r>
              <w:rPr>
                <w:rFonts w:hint="eastAsia" w:ascii="宋体" w:hAnsi="宋体" w:eastAsia="宋体" w:cs="宋体"/>
                <w:sz w:val="20"/>
                <w:szCs w:val="20"/>
                <w:highlight w:val="none"/>
              </w:rPr>
              <w:t>7.★</w:t>
            </w:r>
            <w:r>
              <w:rPr>
                <w:rFonts w:hint="eastAsia" w:ascii="宋体" w:hAnsi="宋体" w:eastAsia="宋体" w:cs="宋体"/>
                <w:sz w:val="20"/>
                <w:szCs w:val="20"/>
                <w:highlight w:val="none"/>
                <w:u w:val="single"/>
              </w:rPr>
              <w:t>支持IPv4一体化安全策略配置，可以通过一条策略实现源地址/目的地址、源端口、源MAC/目的MAC、服务、时间调度、安全域、VLAN、用户/用户组、应用对象、URL对象、内容过滤、文件过滤、协议控制、病毒防护、入侵防护、威胁情报、SSL协议、数据放泄漏、审计、垃圾邮件过滤、邮件延迟审计、流量控制、流量异常检测、长连接等条件进行安全访问规则的设置。（投标文件中提供截图证明（加盖投标供应商公章））</w:t>
            </w:r>
          </w:p>
          <w:p w14:paraId="1659C5F8">
            <w:pPr>
              <w:rPr>
                <w:rFonts w:hint="eastAsia" w:ascii="宋体" w:hAnsi="宋体" w:eastAsia="宋体" w:cs="宋体"/>
                <w:sz w:val="20"/>
                <w:szCs w:val="20"/>
                <w:highlight w:val="none"/>
              </w:rPr>
            </w:pPr>
            <w:r>
              <w:rPr>
                <w:rFonts w:hint="eastAsia" w:ascii="宋体" w:hAnsi="宋体" w:eastAsia="宋体" w:cs="宋体"/>
                <w:sz w:val="20"/>
                <w:szCs w:val="20"/>
                <w:highlight w:val="none"/>
              </w:rPr>
              <w:t>8.支持IPv6安全规则配置，并支持扩展头选项设置，包含逐跳选项报头、目的选项报头、路由报头、分段报头、认证报头、扩展头数量超出、扩展头乱序、流标签非零</w:t>
            </w:r>
          </w:p>
          <w:p w14:paraId="3E7AD603">
            <w:pPr>
              <w:rPr>
                <w:rFonts w:hint="eastAsia" w:ascii="宋体" w:hAnsi="宋体" w:eastAsia="宋体" w:cs="宋体"/>
                <w:sz w:val="20"/>
                <w:szCs w:val="20"/>
                <w:highlight w:val="none"/>
              </w:rPr>
            </w:pPr>
            <w:r>
              <w:rPr>
                <w:rFonts w:hint="eastAsia" w:ascii="宋体" w:hAnsi="宋体" w:eastAsia="宋体" w:cs="宋体"/>
                <w:sz w:val="20"/>
                <w:szCs w:val="20"/>
                <w:highlight w:val="none"/>
              </w:rPr>
              <w:t>9.内置IPS特征库，特征库可按分组进行管理。支持扩展特征库，提高IPS的检测能力，IPS特征库合计不少于14000条</w:t>
            </w:r>
          </w:p>
          <w:p w14:paraId="4646D922">
            <w:pPr>
              <w:rPr>
                <w:rFonts w:hint="eastAsia" w:ascii="宋体" w:hAnsi="宋体" w:eastAsia="宋体" w:cs="宋体"/>
                <w:sz w:val="20"/>
                <w:szCs w:val="20"/>
                <w:highlight w:val="none"/>
              </w:rPr>
            </w:pPr>
            <w:r>
              <w:rPr>
                <w:rFonts w:hint="eastAsia" w:ascii="宋体" w:hAnsi="宋体" w:eastAsia="宋体" w:cs="宋体"/>
                <w:sz w:val="20"/>
                <w:szCs w:val="20"/>
                <w:highlight w:val="none"/>
              </w:rPr>
              <w:t>10.支持入侵防护引擎检测模式设置，包括智能检测或深度检测。可对数据采取不同的处理模式，包括应用优先或安全优先两种模式，用户可根据实际需求灵活选择；</w:t>
            </w:r>
          </w:p>
          <w:p w14:paraId="2288B49F">
            <w:pPr>
              <w:rPr>
                <w:rFonts w:hint="eastAsia" w:ascii="宋体" w:hAnsi="宋体" w:eastAsia="宋体" w:cs="宋体"/>
                <w:sz w:val="20"/>
                <w:szCs w:val="20"/>
                <w:highlight w:val="none"/>
              </w:rPr>
            </w:pPr>
            <w:r>
              <w:rPr>
                <w:rFonts w:hint="eastAsia" w:ascii="宋体" w:hAnsi="宋体" w:eastAsia="宋体" w:cs="宋体"/>
                <w:sz w:val="20"/>
                <w:szCs w:val="20"/>
                <w:highlight w:val="none"/>
              </w:rPr>
              <w:t>11.支持病毒库不少于4000万种病毒特征，支持病毒库可视化展示，至少包括版本号、病毒特征总数以及病毒知识库。</w:t>
            </w:r>
          </w:p>
          <w:p w14:paraId="2C70A82C">
            <w:pPr>
              <w:rPr>
                <w:rFonts w:hint="eastAsia" w:ascii="宋体" w:hAnsi="宋体" w:eastAsia="宋体" w:cs="宋体"/>
                <w:sz w:val="20"/>
                <w:szCs w:val="20"/>
                <w:highlight w:val="none"/>
              </w:rPr>
            </w:pPr>
            <w:r>
              <w:rPr>
                <w:rFonts w:hint="eastAsia" w:ascii="宋体" w:hAnsi="宋体" w:eastAsia="宋体" w:cs="宋体"/>
                <w:sz w:val="20"/>
                <w:szCs w:val="20"/>
                <w:highlight w:val="none"/>
              </w:rPr>
              <w:t>12.支持恶意样本检测，并提供实时检测、空闲检测两种模式，空闲检测模式自定义设定开始、结束时间</w:t>
            </w:r>
          </w:p>
          <w:p w14:paraId="1D5797B8">
            <w:pPr>
              <w:rPr>
                <w:rFonts w:hint="eastAsia" w:ascii="宋体" w:hAnsi="宋体" w:eastAsia="宋体" w:cs="宋体"/>
                <w:sz w:val="20"/>
                <w:szCs w:val="20"/>
                <w:highlight w:val="none"/>
              </w:rPr>
            </w:pPr>
            <w:r>
              <w:rPr>
                <w:rFonts w:hint="eastAsia" w:ascii="宋体" w:hAnsi="宋体" w:eastAsia="宋体" w:cs="宋体"/>
                <w:sz w:val="20"/>
                <w:szCs w:val="20"/>
                <w:highlight w:val="none"/>
              </w:rPr>
              <w:t>13.支持攻击链分析功能，支持以一条攻击事件为线索，以源目的IP为条件，排查所有相关的攻击事件，进行攻击链还原，有效发现攻击者的所有攻击行为。</w:t>
            </w:r>
          </w:p>
          <w:p w14:paraId="2195EC40">
            <w:pPr>
              <w:rPr>
                <w:rFonts w:hint="eastAsia" w:ascii="宋体" w:hAnsi="宋体" w:eastAsia="宋体" w:cs="宋体"/>
                <w:sz w:val="20"/>
                <w:szCs w:val="20"/>
                <w:highlight w:val="none"/>
              </w:rPr>
            </w:pPr>
            <w:r>
              <w:rPr>
                <w:rFonts w:hint="eastAsia" w:ascii="宋体" w:hAnsi="宋体" w:eastAsia="宋体" w:cs="宋体"/>
                <w:sz w:val="20"/>
                <w:szCs w:val="20"/>
                <w:highlight w:val="none"/>
              </w:rPr>
              <w:t>14.中标后供应商需提供产品，针对上述所有功能进行逐条测试验证，若存在虚假应标情况，采购人有权取消其中标资格，并依法追究其违约责任，没收其投标保证金。</w:t>
            </w:r>
          </w:p>
        </w:tc>
      </w:tr>
      <w:tr w14:paraId="62662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dxa"/>
            <w:noWrap w:val="0"/>
            <w:vAlign w:val="center"/>
          </w:tcPr>
          <w:p w14:paraId="390E914C">
            <w:pPr>
              <w:jc w:val="center"/>
              <w:rPr>
                <w:rFonts w:ascii="宋体" w:hAnsi="宋体" w:eastAsia="宋体" w:cs="宋体"/>
                <w:sz w:val="20"/>
                <w:szCs w:val="20"/>
                <w:highlight w:val="none"/>
              </w:rPr>
            </w:pPr>
            <w:r>
              <w:rPr>
                <w:rFonts w:hint="eastAsia" w:ascii="宋体" w:hAnsi="宋体" w:eastAsia="宋体" w:cs="宋体"/>
                <w:sz w:val="20"/>
                <w:szCs w:val="20"/>
                <w:highlight w:val="none"/>
              </w:rPr>
              <w:t>4</w:t>
            </w:r>
          </w:p>
        </w:tc>
        <w:tc>
          <w:tcPr>
            <w:tcW w:w="1341" w:type="dxa"/>
            <w:noWrap w:val="0"/>
            <w:vAlign w:val="center"/>
          </w:tcPr>
          <w:p w14:paraId="07AEEB34">
            <w:pPr>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节点防火墙</w:t>
            </w:r>
          </w:p>
        </w:tc>
        <w:tc>
          <w:tcPr>
            <w:tcW w:w="842" w:type="dxa"/>
            <w:noWrap w:val="0"/>
            <w:vAlign w:val="center"/>
          </w:tcPr>
          <w:p w14:paraId="1C93B6E9">
            <w:pPr>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2</w:t>
            </w:r>
          </w:p>
        </w:tc>
        <w:tc>
          <w:tcPr>
            <w:tcW w:w="707" w:type="dxa"/>
            <w:noWrap w:val="0"/>
            <w:vAlign w:val="center"/>
          </w:tcPr>
          <w:p w14:paraId="2C39EB68">
            <w:pPr>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台</w:t>
            </w:r>
          </w:p>
        </w:tc>
        <w:tc>
          <w:tcPr>
            <w:tcW w:w="5343" w:type="dxa"/>
            <w:noWrap w:val="0"/>
            <w:vAlign w:val="center"/>
          </w:tcPr>
          <w:p w14:paraId="7F338FB6">
            <w:pPr>
              <w:rPr>
                <w:rFonts w:hint="eastAsia" w:ascii="宋体" w:hAnsi="宋体" w:eastAsia="宋体" w:cs="宋体"/>
                <w:bCs/>
                <w:sz w:val="20"/>
                <w:szCs w:val="20"/>
                <w:highlight w:val="none"/>
              </w:rPr>
            </w:pPr>
            <w:r>
              <w:rPr>
                <w:rFonts w:hint="eastAsia" w:ascii="宋体" w:hAnsi="宋体" w:eastAsia="宋体" w:cs="宋体"/>
                <w:bCs/>
                <w:sz w:val="20"/>
                <w:szCs w:val="20"/>
                <w:highlight w:val="none"/>
              </w:rPr>
              <w:t>1.双电源，国产化芯片和操作系统，≥8个10/100/1000M Base-TX接口，≥4个万兆光接口，≥128GB MSATA+ 128G SSD 硬盘，内存≥16G;包含三年防病毒、入侵防御特征库升级授权服务。原厂三年质保服务，包括5X8免费硬件维修服务，同代软件版本升级服务，5X8热线技术支持服务。</w:t>
            </w:r>
          </w:p>
          <w:p w14:paraId="0C333FD2">
            <w:pPr>
              <w:rPr>
                <w:rFonts w:hint="eastAsia" w:ascii="宋体" w:hAnsi="宋体" w:eastAsia="宋体" w:cs="宋体"/>
                <w:bCs/>
                <w:sz w:val="20"/>
                <w:szCs w:val="20"/>
                <w:highlight w:val="none"/>
              </w:rPr>
            </w:pPr>
            <w:r>
              <w:rPr>
                <w:rFonts w:hint="eastAsia" w:ascii="宋体" w:hAnsi="宋体" w:eastAsia="宋体" w:cs="宋体"/>
                <w:bCs/>
                <w:sz w:val="20"/>
                <w:szCs w:val="20"/>
                <w:highlight w:val="none"/>
              </w:rPr>
              <w:t>2.性能参数:整机网络层吞吐量≥10Gbps，最大并发连接数≥600万，每秒新建连接数≥8万，整机应用层吞吐量≥8Gbps,IPS吞吐≥6G，AV吞吐≥4.5G; 配置IPSec VPN和SSL VPN模块，VPN IPSec隧道数≥20000个，≥200个并发用户；</w:t>
            </w:r>
          </w:p>
          <w:p w14:paraId="5B65BD60">
            <w:pPr>
              <w:rPr>
                <w:rFonts w:hint="eastAsia" w:ascii="宋体" w:hAnsi="宋体" w:eastAsia="宋体" w:cs="宋体"/>
                <w:bCs/>
                <w:sz w:val="20"/>
                <w:szCs w:val="20"/>
                <w:highlight w:val="none"/>
              </w:rPr>
            </w:pPr>
            <w:r>
              <w:rPr>
                <w:rFonts w:hint="eastAsia" w:ascii="宋体" w:hAnsi="宋体" w:eastAsia="宋体" w:cs="宋体"/>
                <w:bCs/>
                <w:sz w:val="20"/>
                <w:szCs w:val="20"/>
                <w:highlight w:val="none"/>
              </w:rPr>
              <w:t>3.支持应急响应功能，支持自动响应和手动响应两种模式，可以对异常IP以及对应的异常事件进行一键处置。</w:t>
            </w:r>
          </w:p>
          <w:p w14:paraId="16065F6A">
            <w:pPr>
              <w:rPr>
                <w:rFonts w:hint="eastAsia" w:ascii="宋体" w:hAnsi="宋体" w:eastAsia="宋体" w:cs="宋体"/>
                <w:bCs/>
                <w:sz w:val="20"/>
                <w:szCs w:val="20"/>
                <w:highlight w:val="none"/>
              </w:rPr>
            </w:pPr>
            <w:r>
              <w:rPr>
                <w:rFonts w:hint="eastAsia" w:ascii="宋体" w:hAnsi="宋体" w:eastAsia="宋体" w:cs="宋体"/>
                <w:bCs/>
                <w:sz w:val="20"/>
                <w:szCs w:val="20"/>
                <w:highlight w:val="none"/>
              </w:rPr>
              <w:t>4.支持抗地址欺骗攻击、抗源路由攻击、抗Smurf攻击、抗LAND攻击、抗Winnuke攻击、抗Queso扫描、抗SYN/FIN扫描、抗NULL扫描、抗圣诞树攻击、抗FIN扫描、抗Fraggle攻击、抗Teardrop攻击、Ping of death、抗Jolt2攻击、抗Targa3攻击、抗TCP Split Handshake攻击、抗记录路由攻击。</w:t>
            </w:r>
          </w:p>
          <w:p w14:paraId="5BD91AA8">
            <w:pPr>
              <w:rPr>
                <w:rFonts w:hint="eastAsia" w:ascii="宋体" w:hAnsi="宋体" w:eastAsia="宋体" w:cs="宋体"/>
                <w:bCs/>
                <w:sz w:val="20"/>
                <w:szCs w:val="20"/>
                <w:highlight w:val="none"/>
                <w:u w:val="single"/>
              </w:rPr>
            </w:pPr>
            <w:r>
              <w:rPr>
                <w:rFonts w:hint="eastAsia" w:ascii="宋体" w:hAnsi="宋体" w:eastAsia="宋体" w:cs="宋体"/>
                <w:bCs/>
                <w:sz w:val="20"/>
                <w:szCs w:val="20"/>
                <w:highlight w:val="none"/>
                <w:u w:val="single"/>
              </w:rPr>
              <w:t>5.★具备三个防病毒引擎，可利用多个病毒引擎来检测和阻止病毒恶意文件等威胁。（投标文件中提供截图证明（加盖投标供应商公章））</w:t>
            </w:r>
          </w:p>
          <w:p w14:paraId="20F6D01F">
            <w:pPr>
              <w:rPr>
                <w:rFonts w:hint="eastAsia" w:ascii="宋体" w:hAnsi="宋体" w:eastAsia="宋体" w:cs="宋体"/>
                <w:bCs/>
                <w:sz w:val="20"/>
                <w:szCs w:val="20"/>
                <w:highlight w:val="none"/>
              </w:rPr>
            </w:pPr>
            <w:r>
              <w:rPr>
                <w:rFonts w:hint="eastAsia" w:ascii="宋体" w:hAnsi="宋体" w:eastAsia="宋体" w:cs="宋体"/>
                <w:bCs/>
                <w:sz w:val="20"/>
                <w:szCs w:val="20"/>
                <w:highlight w:val="none"/>
                <w:u w:val="single"/>
              </w:rPr>
              <w:t>6.★支持开启包过滤规则的严格状态检测、规则优先、拒绝非中国大陆地区访问、重复冲突规则检测、深度规则检测、重复冲突规则允许添加、禁止访问非中国大陆地区、虚拟线模式、策略预编译、分片重组检查、会话快速收敛。</w:t>
            </w:r>
            <w:r>
              <w:rPr>
                <w:rFonts w:hint="eastAsia" w:ascii="宋体" w:hAnsi="宋体" w:eastAsia="宋体" w:cs="宋体"/>
                <w:bCs/>
                <w:sz w:val="20"/>
                <w:szCs w:val="20"/>
                <w:highlight w:val="none"/>
                <w:u w:val="single"/>
              </w:rPr>
              <w:t>（投标文件中提供截图证明（加盖投标供应商公章））</w:t>
            </w:r>
            <w:r>
              <w:rPr>
                <w:rFonts w:hint="eastAsia" w:ascii="宋体" w:hAnsi="宋体" w:eastAsia="宋体" w:cs="宋体"/>
                <w:bCs/>
                <w:sz w:val="20"/>
                <w:szCs w:val="20"/>
                <w:highlight w:val="none"/>
              </w:rPr>
              <w:br w:type="textWrapping"/>
            </w:r>
            <w:r>
              <w:rPr>
                <w:rFonts w:hint="eastAsia" w:ascii="宋体" w:hAnsi="宋体" w:eastAsia="宋体" w:cs="宋体"/>
                <w:bCs/>
                <w:sz w:val="20"/>
                <w:szCs w:val="20"/>
                <w:highlight w:val="none"/>
              </w:rPr>
              <w:t>7.支持IPv6安全规则配置，并支持扩展头选项设置，包含逐跳选项报头、目的选项报头、路由报头、分段报头、认证报头、扩展头数量超出、扩展头乱序、流标签非零；</w:t>
            </w:r>
            <w:r>
              <w:rPr>
                <w:rFonts w:hint="eastAsia" w:ascii="宋体" w:hAnsi="宋体" w:eastAsia="宋体" w:cs="宋体"/>
                <w:bCs/>
                <w:sz w:val="20"/>
                <w:szCs w:val="20"/>
                <w:highlight w:val="none"/>
              </w:rPr>
              <w:br w:type="textWrapping"/>
            </w:r>
            <w:r>
              <w:rPr>
                <w:rFonts w:hint="eastAsia" w:ascii="宋体" w:hAnsi="宋体" w:eastAsia="宋体" w:cs="宋体"/>
                <w:bCs/>
                <w:sz w:val="20"/>
                <w:szCs w:val="20"/>
                <w:highlight w:val="none"/>
              </w:rPr>
              <w:t>8.内置IPS特征库，特征库可按分组进行管理。支持扩展特征库，提高IPS的检测能力，IPS特征库合计不少于14000条</w:t>
            </w:r>
          </w:p>
          <w:p w14:paraId="3B7F94E8">
            <w:pPr>
              <w:rPr>
                <w:rFonts w:hint="eastAsia" w:ascii="宋体" w:hAnsi="宋体" w:eastAsia="宋体" w:cs="宋体"/>
                <w:bCs/>
                <w:sz w:val="20"/>
                <w:szCs w:val="20"/>
                <w:highlight w:val="none"/>
              </w:rPr>
            </w:pPr>
            <w:r>
              <w:rPr>
                <w:rFonts w:hint="eastAsia" w:ascii="宋体" w:hAnsi="宋体" w:eastAsia="宋体" w:cs="宋体"/>
                <w:bCs/>
                <w:sz w:val="20"/>
                <w:szCs w:val="20"/>
                <w:highlight w:val="none"/>
              </w:rPr>
              <w:t>9.支持入侵防护引擎检测模式设置，包括智能检测或深度检测。可对数据采取不同的处理模式，包括应用优先或安全优先两种模式，用户可根据实际需求灵活选择；</w:t>
            </w:r>
          </w:p>
          <w:p w14:paraId="7FFC637A">
            <w:pPr>
              <w:rPr>
                <w:rFonts w:hint="eastAsia" w:ascii="宋体" w:hAnsi="宋体" w:eastAsia="宋体" w:cs="宋体"/>
                <w:bCs/>
                <w:sz w:val="20"/>
                <w:szCs w:val="20"/>
                <w:highlight w:val="none"/>
              </w:rPr>
            </w:pPr>
            <w:r>
              <w:rPr>
                <w:rFonts w:hint="eastAsia" w:ascii="宋体" w:hAnsi="宋体" w:eastAsia="宋体" w:cs="宋体"/>
                <w:bCs/>
                <w:sz w:val="20"/>
                <w:szCs w:val="20"/>
                <w:highlight w:val="none"/>
              </w:rPr>
              <w:t>10.支持病毒库不少于4000万种病毒特征，支持病毒库可视化展示，至少包括版本号、病毒特征总数以及病毒知识库。</w:t>
            </w:r>
          </w:p>
          <w:p w14:paraId="013203BE">
            <w:pPr>
              <w:rPr>
                <w:rFonts w:hint="eastAsia" w:ascii="宋体" w:hAnsi="宋体" w:eastAsia="宋体" w:cs="宋体"/>
                <w:bCs/>
                <w:sz w:val="20"/>
                <w:szCs w:val="20"/>
                <w:highlight w:val="none"/>
              </w:rPr>
            </w:pPr>
            <w:r>
              <w:rPr>
                <w:rFonts w:hint="eastAsia" w:ascii="宋体" w:hAnsi="宋体" w:eastAsia="宋体" w:cs="宋体"/>
                <w:bCs/>
                <w:sz w:val="20"/>
                <w:szCs w:val="20"/>
                <w:highlight w:val="none"/>
              </w:rPr>
              <w:t>11.支持恶意样本检测，并提供实时检测、空闲检测两种模式，空闲检测模式自定义设定开始、结束时间</w:t>
            </w:r>
          </w:p>
          <w:p w14:paraId="3BEDD252">
            <w:pPr>
              <w:rPr>
                <w:rFonts w:hint="eastAsia" w:ascii="宋体" w:hAnsi="宋体" w:eastAsia="宋体" w:cs="宋体"/>
                <w:bCs/>
                <w:sz w:val="20"/>
                <w:szCs w:val="20"/>
                <w:highlight w:val="none"/>
              </w:rPr>
            </w:pPr>
            <w:r>
              <w:rPr>
                <w:rFonts w:hint="eastAsia" w:ascii="宋体" w:hAnsi="宋体" w:eastAsia="宋体" w:cs="宋体"/>
                <w:bCs/>
                <w:sz w:val="20"/>
                <w:szCs w:val="20"/>
                <w:highlight w:val="none"/>
              </w:rPr>
              <w:t>12.支持攻击链分析功能，支持以一条攻击事件为线索，以源目的IP为条件，排查所有相关的攻击事件，进行攻击链还原，有效发现攻击者的所有攻击行为。</w:t>
            </w:r>
          </w:p>
          <w:p w14:paraId="465A94F8">
            <w:pPr>
              <w:rPr>
                <w:rFonts w:hint="eastAsia" w:ascii="宋体" w:hAnsi="宋体" w:eastAsia="宋体" w:cs="宋体"/>
                <w:sz w:val="20"/>
                <w:szCs w:val="20"/>
                <w:highlight w:val="none"/>
              </w:rPr>
            </w:pPr>
            <w:r>
              <w:rPr>
                <w:rFonts w:hint="eastAsia" w:ascii="宋体" w:hAnsi="宋体" w:eastAsia="宋体" w:cs="宋体"/>
                <w:bCs/>
                <w:sz w:val="20"/>
                <w:szCs w:val="20"/>
                <w:highlight w:val="none"/>
              </w:rPr>
              <w:t>13.中标后供应商需提供产品，针对上述所有功能进行逐条测试验证，若存在虚假应标情况，采购人有权取消其中标资格，并依法追究其违约责任，没收其投标保证金。</w:t>
            </w:r>
          </w:p>
        </w:tc>
      </w:tr>
      <w:tr w14:paraId="652CE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dxa"/>
            <w:noWrap w:val="0"/>
            <w:vAlign w:val="center"/>
          </w:tcPr>
          <w:p w14:paraId="23A0767F">
            <w:pPr>
              <w:jc w:val="center"/>
              <w:rPr>
                <w:rFonts w:ascii="宋体" w:hAnsi="宋体" w:eastAsia="宋体" w:cs="宋体"/>
                <w:sz w:val="20"/>
                <w:szCs w:val="20"/>
                <w:highlight w:val="none"/>
              </w:rPr>
            </w:pPr>
            <w:r>
              <w:rPr>
                <w:rFonts w:hint="eastAsia" w:ascii="宋体" w:hAnsi="宋体" w:eastAsia="宋体" w:cs="宋体"/>
                <w:sz w:val="20"/>
                <w:szCs w:val="20"/>
                <w:highlight w:val="none"/>
              </w:rPr>
              <w:t>5</w:t>
            </w:r>
          </w:p>
        </w:tc>
        <w:tc>
          <w:tcPr>
            <w:tcW w:w="1341" w:type="dxa"/>
            <w:noWrap w:val="0"/>
            <w:vAlign w:val="center"/>
          </w:tcPr>
          <w:p w14:paraId="680BD0D9">
            <w:pPr>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信息安全管理服务</w:t>
            </w:r>
          </w:p>
        </w:tc>
        <w:tc>
          <w:tcPr>
            <w:tcW w:w="842" w:type="dxa"/>
            <w:noWrap w:val="0"/>
            <w:vAlign w:val="center"/>
          </w:tcPr>
          <w:p w14:paraId="6BAE456A">
            <w:pPr>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1</w:t>
            </w:r>
          </w:p>
        </w:tc>
        <w:tc>
          <w:tcPr>
            <w:tcW w:w="707" w:type="dxa"/>
            <w:noWrap w:val="0"/>
            <w:vAlign w:val="center"/>
          </w:tcPr>
          <w:p w14:paraId="620AD9A5">
            <w:pPr>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项</w:t>
            </w:r>
          </w:p>
        </w:tc>
        <w:tc>
          <w:tcPr>
            <w:tcW w:w="5343" w:type="dxa"/>
            <w:noWrap w:val="0"/>
            <w:vAlign w:val="center"/>
          </w:tcPr>
          <w:p w14:paraId="10CB9802">
            <w:pPr>
              <w:rPr>
                <w:rFonts w:hint="eastAsia" w:ascii="宋体" w:hAnsi="宋体" w:eastAsia="宋体" w:cs="宋体"/>
                <w:sz w:val="20"/>
                <w:szCs w:val="20"/>
                <w:highlight w:val="none"/>
              </w:rPr>
            </w:pPr>
            <w:r>
              <w:rPr>
                <w:rFonts w:hint="eastAsia" w:ascii="宋体" w:hAnsi="宋体" w:eastAsia="宋体" w:cs="宋体"/>
                <w:bCs/>
                <w:sz w:val="20"/>
                <w:szCs w:val="20"/>
                <w:highlight w:val="none"/>
              </w:rPr>
              <w:t>提供本项目相关安全设备的信息安全管理及技术支持服务，包括设备运行检查、安全策略维护、故障处理和安全事件应急支持</w:t>
            </w:r>
            <w:r>
              <w:rPr>
                <w:rFonts w:hint="eastAsia" w:ascii="宋体" w:hAnsi="宋体" w:cs="宋体"/>
                <w:bCs/>
                <w:sz w:val="20"/>
                <w:szCs w:val="20"/>
                <w:highlight w:val="none"/>
              </w:rPr>
              <w:t>。</w:t>
            </w:r>
          </w:p>
        </w:tc>
      </w:tr>
    </w:tbl>
    <w:p w14:paraId="70FB6725">
      <w:pPr>
        <w:spacing w:line="400" w:lineRule="exact"/>
        <w:ind w:firstLine="422" w:firstLineChars="200"/>
        <w:rPr>
          <w:rFonts w:hint="eastAsia" w:ascii="宋体" w:hAnsi="宋体" w:cs="宋体"/>
          <w:b/>
          <w:bCs/>
          <w:kern w:val="1"/>
          <w:szCs w:val="21"/>
          <w:highlight w:val="none"/>
        </w:rPr>
      </w:pPr>
      <w:r>
        <w:rPr>
          <w:rFonts w:hint="eastAsia" w:ascii="宋体" w:hAnsi="宋体" w:cs="宋体"/>
          <w:b/>
          <w:bCs/>
          <w:kern w:val="1"/>
          <w:szCs w:val="21"/>
          <w:highlight w:val="none"/>
        </w:rPr>
        <w:t>注：1、为完成本项目所必需的未列入采购清单的其他配件投标供应商需无偿提供。</w:t>
      </w:r>
    </w:p>
    <w:p w14:paraId="180FB11E">
      <w:pPr>
        <w:numPr>
          <w:ilvl w:val="0"/>
          <w:numId w:val="12"/>
        </w:numPr>
        <w:spacing w:line="400" w:lineRule="exact"/>
        <w:ind w:firstLine="442" w:firstLineChars="200"/>
        <w:rPr>
          <w:rFonts w:hint="eastAsia" w:ascii="宋体" w:hAnsi="宋体" w:cs="宋体"/>
          <w:b/>
          <w:bCs/>
          <w:kern w:val="1"/>
          <w:szCs w:val="21"/>
          <w:highlight w:val="none"/>
          <w:u w:val="single"/>
        </w:rPr>
      </w:pPr>
      <w:r>
        <w:rPr>
          <w:rFonts w:hint="eastAsia" w:ascii="宋体" w:hAnsi="宋体" w:cs="宋体"/>
          <w:b/>
          <w:bCs/>
          <w:sz w:val="22"/>
          <w:szCs w:val="22"/>
          <w:highlight w:val="none"/>
          <w:u w:val="single"/>
        </w:rPr>
        <w:t>▲</w:t>
      </w:r>
      <w:r>
        <w:rPr>
          <w:rFonts w:hint="eastAsia" w:ascii="宋体" w:hAnsi="宋体" w:cs="宋体"/>
          <w:b/>
          <w:bCs/>
          <w:kern w:val="1"/>
          <w:szCs w:val="21"/>
          <w:highlight w:val="none"/>
          <w:u w:val="single"/>
        </w:rPr>
        <w:t>上表“产品名称”“数量”“单位”均为实质性条款，投标供应商改变“产品名称”“数量”“单位”的</w:t>
      </w:r>
      <w:r>
        <w:rPr>
          <w:rFonts w:hint="eastAsia" w:ascii="宋体" w:hAnsi="宋体" w:cs="宋体"/>
          <w:b/>
          <w:bCs/>
          <w:szCs w:val="21"/>
          <w:highlight w:val="none"/>
          <w:u w:val="single"/>
        </w:rPr>
        <w:t>按无效标处理。</w:t>
      </w:r>
    </w:p>
    <w:p w14:paraId="5376EE25">
      <w:pPr>
        <w:spacing w:line="400" w:lineRule="exact"/>
        <w:ind w:firstLine="440" w:firstLineChars="200"/>
        <w:rPr>
          <w:rFonts w:hint="eastAsia" w:ascii="宋体" w:hAnsi="宋体" w:cs="宋体"/>
          <w:sz w:val="22"/>
          <w:szCs w:val="22"/>
          <w:highlight w:val="none"/>
        </w:rPr>
      </w:pPr>
      <w:r>
        <w:rPr>
          <w:rFonts w:hint="eastAsia" w:ascii="宋体" w:hAnsi="宋体" w:cs="宋体"/>
          <w:sz w:val="22"/>
          <w:szCs w:val="22"/>
          <w:highlight w:val="none"/>
        </w:rPr>
        <w:t>（三）</w:t>
      </w:r>
      <w:r>
        <w:rPr>
          <w:rFonts w:hint="eastAsia" w:ascii="宋体" w:hAnsi="宋体" w:cs="宋体"/>
          <w:sz w:val="22"/>
          <w:szCs w:val="22"/>
          <w:highlight w:val="none"/>
          <w:u w:val="single"/>
        </w:rPr>
        <w:t>▲供货期限：采购人发出通知后60个日历天内供应商须完成货物的供货、安装、调试。试运行期1个月。</w:t>
      </w:r>
    </w:p>
    <w:p w14:paraId="704B5541">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（四）交货要求：</w:t>
      </w:r>
    </w:p>
    <w:p w14:paraId="137B1A65">
      <w:pPr>
        <w:spacing w:line="400" w:lineRule="exact"/>
        <w:ind w:firstLine="440" w:firstLineChars="200"/>
        <w:rPr>
          <w:rFonts w:hint="eastAsia" w:ascii="宋体" w:hAnsi="宋体" w:cs="宋体"/>
          <w:sz w:val="22"/>
          <w:szCs w:val="22"/>
          <w:highlight w:val="none"/>
        </w:rPr>
      </w:pPr>
      <w:r>
        <w:rPr>
          <w:rFonts w:hint="eastAsia" w:ascii="宋体" w:hAnsi="宋体" w:cs="宋体"/>
          <w:sz w:val="22"/>
          <w:szCs w:val="22"/>
          <w:highlight w:val="none"/>
          <w:u w:val="single"/>
        </w:rPr>
        <w:t>1、▲交货地点：由乙方负责将货物运送至甲方指定地点（温州市范围内）</w:t>
      </w:r>
      <w:r>
        <w:rPr>
          <w:rFonts w:hint="eastAsia" w:ascii="宋体" w:hAnsi="宋体" w:cs="宋体"/>
          <w:sz w:val="22"/>
          <w:szCs w:val="22"/>
          <w:highlight w:val="none"/>
        </w:rPr>
        <w:t>。</w:t>
      </w:r>
    </w:p>
    <w:p w14:paraId="68903E73">
      <w:pPr>
        <w:spacing w:line="400" w:lineRule="exact"/>
        <w:ind w:firstLine="440" w:firstLineChars="200"/>
        <w:rPr>
          <w:rFonts w:hint="eastAsia" w:ascii="宋体" w:hAnsi="宋体" w:cs="宋体"/>
          <w:sz w:val="22"/>
          <w:szCs w:val="22"/>
          <w:highlight w:val="none"/>
        </w:rPr>
      </w:pPr>
      <w:r>
        <w:rPr>
          <w:rFonts w:hint="eastAsia" w:ascii="宋体" w:hAnsi="宋体" w:cs="宋体"/>
          <w:sz w:val="22"/>
          <w:szCs w:val="22"/>
          <w:highlight w:val="none"/>
        </w:rPr>
        <w:t>2、中标供应商将产品送至采购单位指定的地点。无论采用何种运输方式，采取何种包装，产品必须完整安全按时到达交货地点。在运输过程中，需办理道路通行证或夜间运输的由中标供应商办理并承担费用，在运输途中、卸货中发生人身伤亡事故及货物损坏由中标供应商承担一切经济损失和法律责任。</w:t>
      </w:r>
    </w:p>
    <w:p w14:paraId="7586B647">
      <w:pPr>
        <w:spacing w:line="400" w:lineRule="exact"/>
        <w:ind w:firstLine="440" w:firstLineChars="200"/>
        <w:rPr>
          <w:rFonts w:hint="eastAsia" w:ascii="宋体" w:hAnsi="宋体" w:cs="宋体"/>
          <w:sz w:val="22"/>
          <w:szCs w:val="22"/>
          <w:highlight w:val="none"/>
        </w:rPr>
      </w:pPr>
      <w:bookmarkStart w:id="188" w:name="_Toc48918770"/>
      <w:bookmarkStart w:id="189" w:name="_Toc19801897"/>
      <w:r>
        <w:rPr>
          <w:rFonts w:hint="eastAsia" w:ascii="宋体" w:hAnsi="宋体" w:cs="宋体"/>
          <w:sz w:val="22"/>
          <w:szCs w:val="22"/>
          <w:highlight w:val="none"/>
        </w:rPr>
        <w:t>（五）软件版权要求</w:t>
      </w:r>
    </w:p>
    <w:p w14:paraId="71ECA268">
      <w:pPr>
        <w:spacing w:line="400" w:lineRule="exact"/>
        <w:ind w:firstLine="440" w:firstLineChars="200"/>
        <w:rPr>
          <w:rFonts w:hint="eastAsia" w:ascii="宋体" w:hAnsi="宋体" w:cs="宋体"/>
          <w:sz w:val="22"/>
          <w:szCs w:val="22"/>
          <w:highlight w:val="none"/>
        </w:rPr>
      </w:pPr>
      <w:r>
        <w:rPr>
          <w:rFonts w:hint="eastAsia" w:ascii="宋体" w:hAnsi="宋体" w:cs="宋体"/>
          <w:sz w:val="22"/>
          <w:szCs w:val="22"/>
          <w:highlight w:val="none"/>
        </w:rPr>
        <w:t xml:space="preserve">1、本项目所采购的软硬件产品。供应商须保证采购人及其用户对供应商所提供的软硬件产品享有合法的使用权。供应商就本项目所使用软硬件产品，保证其合法性。 </w:t>
      </w:r>
    </w:p>
    <w:p w14:paraId="0E1AF743">
      <w:pPr>
        <w:spacing w:line="400" w:lineRule="exact"/>
        <w:ind w:firstLine="440" w:firstLineChars="200"/>
        <w:rPr>
          <w:rFonts w:hint="eastAsia" w:ascii="宋体" w:hAnsi="宋体" w:cs="宋体"/>
          <w:sz w:val="22"/>
          <w:szCs w:val="22"/>
          <w:highlight w:val="none"/>
        </w:rPr>
      </w:pPr>
      <w:r>
        <w:rPr>
          <w:rFonts w:hint="eastAsia" w:ascii="宋体" w:hAnsi="宋体" w:cs="宋体"/>
          <w:sz w:val="22"/>
          <w:szCs w:val="22"/>
          <w:highlight w:val="none"/>
        </w:rPr>
        <w:t xml:space="preserve">2、供应商须保证采购人及其用户单位在使用过程中不受到第三方关于侵犯专利权等知识产权的指控。任何第三方如果提出指控，供应商须与第三方交涉并承担可能发生的一切法律责任和费用。 </w:t>
      </w:r>
    </w:p>
    <w:p w14:paraId="491F7FA5">
      <w:pPr>
        <w:spacing w:line="400" w:lineRule="exact"/>
        <w:ind w:firstLine="440" w:firstLineChars="200"/>
        <w:rPr>
          <w:rFonts w:hint="eastAsia" w:ascii="宋体" w:hAnsi="宋体" w:cs="宋体"/>
          <w:sz w:val="22"/>
          <w:szCs w:val="22"/>
          <w:highlight w:val="none"/>
        </w:rPr>
      </w:pPr>
      <w:r>
        <w:rPr>
          <w:rFonts w:hint="eastAsia" w:ascii="宋体" w:hAnsi="宋体" w:cs="宋体"/>
          <w:sz w:val="22"/>
          <w:szCs w:val="22"/>
          <w:highlight w:val="none"/>
        </w:rPr>
        <w:t>3、供应商在项目定制化开发过程中取得的专利、软件著作权与采购人共同所有。</w:t>
      </w:r>
    </w:p>
    <w:p w14:paraId="5A4F4493">
      <w:pPr>
        <w:spacing w:line="400" w:lineRule="exact"/>
        <w:ind w:firstLine="440" w:firstLineChars="200"/>
        <w:rPr>
          <w:rFonts w:hint="eastAsia" w:ascii="宋体" w:hAnsi="宋体" w:cs="宋体"/>
          <w:sz w:val="22"/>
          <w:szCs w:val="22"/>
          <w:highlight w:val="none"/>
        </w:rPr>
      </w:pPr>
      <w:r>
        <w:rPr>
          <w:rFonts w:hint="eastAsia" w:ascii="宋体" w:hAnsi="宋体" w:cs="宋体"/>
          <w:sz w:val="22"/>
          <w:szCs w:val="22"/>
          <w:highlight w:val="none"/>
        </w:rPr>
        <w:t>4、源代码定制开发部分，源代码版权属于采购人。</w:t>
      </w:r>
    </w:p>
    <w:p w14:paraId="77E7463A">
      <w:pPr>
        <w:spacing w:line="400" w:lineRule="exact"/>
        <w:ind w:firstLine="440" w:firstLineChars="200"/>
        <w:rPr>
          <w:rFonts w:hint="eastAsia" w:ascii="宋体" w:hAnsi="宋体" w:cs="宋体"/>
          <w:sz w:val="22"/>
          <w:szCs w:val="22"/>
          <w:highlight w:val="none"/>
        </w:rPr>
      </w:pPr>
      <w:r>
        <w:rPr>
          <w:rFonts w:hint="eastAsia" w:ascii="宋体" w:hAnsi="宋体" w:cs="宋体"/>
          <w:sz w:val="22"/>
          <w:szCs w:val="22"/>
          <w:highlight w:val="none"/>
        </w:rPr>
        <w:t>5、系统运行中所产生的数据，所有权归业主所有。</w:t>
      </w:r>
    </w:p>
    <w:p w14:paraId="16DA01A2">
      <w:pPr>
        <w:spacing w:line="400" w:lineRule="exact"/>
        <w:ind w:firstLine="440" w:firstLineChars="200"/>
        <w:rPr>
          <w:rFonts w:hint="eastAsia" w:ascii="宋体" w:hAnsi="宋体" w:cs="宋体"/>
          <w:sz w:val="22"/>
          <w:szCs w:val="22"/>
          <w:highlight w:val="none"/>
        </w:rPr>
      </w:pPr>
      <w:r>
        <w:rPr>
          <w:rFonts w:hint="eastAsia" w:ascii="宋体" w:hAnsi="宋体" w:cs="宋体"/>
          <w:sz w:val="22"/>
          <w:szCs w:val="22"/>
          <w:highlight w:val="none"/>
        </w:rPr>
        <w:t>（六）产品质保及售后服务要求</w:t>
      </w:r>
      <w:bookmarkEnd w:id="188"/>
      <w:bookmarkEnd w:id="189"/>
      <w:r>
        <w:rPr>
          <w:rFonts w:hint="eastAsia" w:ascii="宋体" w:hAnsi="宋体" w:cs="宋体"/>
          <w:sz w:val="22"/>
          <w:szCs w:val="22"/>
          <w:highlight w:val="none"/>
        </w:rPr>
        <w:t>：</w:t>
      </w:r>
    </w:p>
    <w:p w14:paraId="4B0549B9">
      <w:pPr>
        <w:spacing w:line="400" w:lineRule="exact"/>
        <w:ind w:firstLine="440" w:firstLineChars="200"/>
        <w:rPr>
          <w:rFonts w:hint="eastAsia" w:ascii="宋体" w:hAnsi="宋体" w:cs="宋体"/>
          <w:sz w:val="22"/>
          <w:szCs w:val="22"/>
          <w:highlight w:val="none"/>
        </w:rPr>
      </w:pPr>
      <w:r>
        <w:rPr>
          <w:rFonts w:hint="eastAsia" w:ascii="宋体" w:hAnsi="宋体" w:cs="宋体"/>
          <w:sz w:val="22"/>
          <w:szCs w:val="22"/>
          <w:highlight w:val="none"/>
          <w:u w:val="single"/>
        </w:rPr>
        <w:t>▲1、本项目所有产品的免费质保期为三年（含系统维护）</w:t>
      </w:r>
      <w:r>
        <w:rPr>
          <w:rFonts w:hint="eastAsia" w:ascii="宋体" w:hAnsi="宋体" w:cs="宋体"/>
          <w:sz w:val="22"/>
          <w:szCs w:val="22"/>
          <w:highlight w:val="none"/>
        </w:rPr>
        <w:t>，自最终验收合格次日起计算。若货物另有高于合同约定的质保期期限或卖方投标文件另有承诺的按就高原则执行。</w:t>
      </w:r>
    </w:p>
    <w:p w14:paraId="796AD670">
      <w:pPr>
        <w:spacing w:line="400" w:lineRule="exact"/>
        <w:ind w:firstLine="440" w:firstLineChars="200"/>
        <w:rPr>
          <w:rFonts w:hint="eastAsia" w:ascii="宋体" w:hAnsi="宋体" w:cs="宋体"/>
          <w:sz w:val="22"/>
          <w:szCs w:val="22"/>
          <w:highlight w:val="none"/>
        </w:rPr>
      </w:pPr>
      <w:r>
        <w:rPr>
          <w:rFonts w:hint="eastAsia" w:ascii="宋体" w:hAnsi="宋体" w:cs="宋体"/>
          <w:sz w:val="22"/>
          <w:szCs w:val="22"/>
          <w:highlight w:val="none"/>
          <w:u w:val="single"/>
        </w:rPr>
        <w:t>▲2、供应商提供的设备必须为未经使用的原厂行货</w:t>
      </w:r>
      <w:r>
        <w:rPr>
          <w:rFonts w:hint="eastAsia" w:ascii="宋体" w:hAnsi="宋体" w:cs="宋体"/>
          <w:sz w:val="22"/>
          <w:szCs w:val="22"/>
          <w:highlight w:val="none"/>
        </w:rPr>
        <w:t>，且需对设备质量“三包”，设备质量标准按原厂质量标准执行，原厂质量标准应满足有关国家标准、行业标准或通用标准；</w:t>
      </w:r>
    </w:p>
    <w:p w14:paraId="3835CAF0">
      <w:pPr>
        <w:spacing w:line="400" w:lineRule="exact"/>
        <w:ind w:firstLine="440" w:firstLineChars="200"/>
        <w:rPr>
          <w:rFonts w:hint="eastAsia" w:ascii="宋体" w:hAnsi="宋体" w:cs="宋体"/>
          <w:sz w:val="22"/>
          <w:szCs w:val="22"/>
          <w:highlight w:val="none"/>
        </w:rPr>
      </w:pPr>
      <w:r>
        <w:rPr>
          <w:rFonts w:hint="eastAsia" w:ascii="宋体" w:hAnsi="宋体" w:cs="宋体"/>
          <w:sz w:val="22"/>
          <w:szCs w:val="22"/>
          <w:highlight w:val="none"/>
        </w:rPr>
        <w:t>3、质保期满后，卖方应继续承担技术支持、维修、保养和维修件和易损件的优惠供应。</w:t>
      </w:r>
    </w:p>
    <w:p w14:paraId="19A6A005">
      <w:pPr>
        <w:spacing w:line="400" w:lineRule="exact"/>
        <w:ind w:firstLine="440" w:firstLineChars="200"/>
        <w:rPr>
          <w:rFonts w:hint="eastAsia" w:ascii="宋体" w:hAnsi="宋体" w:cs="宋体"/>
          <w:sz w:val="22"/>
          <w:szCs w:val="22"/>
          <w:highlight w:val="none"/>
        </w:rPr>
      </w:pPr>
      <w:r>
        <w:rPr>
          <w:rFonts w:hint="eastAsia" w:ascii="宋体" w:hAnsi="宋体" w:cs="宋体"/>
          <w:sz w:val="22"/>
          <w:szCs w:val="22"/>
          <w:highlight w:val="none"/>
        </w:rPr>
        <w:t>4、在质保期内，系统或设备发生故障时，接到电话后即时响应，免费提供咨询、维修服务，确认需要派人到现场时，派遣技术人员乘坐最近一班交通工具到达现场，且一般故障排除时间不超过24个小时，如超过24小时无法解决问题，投标供应商需及时提供替代设备，保证设备正常运行。</w:t>
      </w:r>
    </w:p>
    <w:p w14:paraId="752EB077">
      <w:pPr>
        <w:spacing w:line="400" w:lineRule="exact"/>
        <w:ind w:firstLine="440" w:firstLineChars="200"/>
        <w:rPr>
          <w:rFonts w:hint="eastAsia" w:ascii="宋体" w:hAnsi="宋体" w:cs="宋体"/>
          <w:sz w:val="22"/>
          <w:szCs w:val="22"/>
          <w:highlight w:val="none"/>
        </w:rPr>
      </w:pPr>
      <w:r>
        <w:rPr>
          <w:rFonts w:hint="eastAsia" w:ascii="宋体" w:hAnsi="宋体" w:cs="宋体"/>
          <w:sz w:val="22"/>
          <w:szCs w:val="22"/>
          <w:highlight w:val="none"/>
        </w:rPr>
        <w:t>5、质保期内因系统本身缺陷造成各种故障应由供应商免费技术服务和维修。系统保质期内故障时间不得超过5天，如达不到要求，每超过一天，质保期相应延长10天。</w:t>
      </w:r>
    </w:p>
    <w:p w14:paraId="64A1A566">
      <w:pPr>
        <w:spacing w:line="400" w:lineRule="exact"/>
        <w:ind w:firstLine="440" w:firstLineChars="200"/>
        <w:rPr>
          <w:rFonts w:hint="eastAsia" w:ascii="宋体" w:hAnsi="宋体" w:cs="宋体"/>
          <w:sz w:val="22"/>
          <w:szCs w:val="22"/>
          <w:highlight w:val="none"/>
        </w:rPr>
      </w:pPr>
      <w:r>
        <w:rPr>
          <w:rFonts w:hint="eastAsia" w:ascii="宋体" w:hAnsi="宋体" w:cs="宋体"/>
          <w:sz w:val="22"/>
          <w:szCs w:val="22"/>
          <w:highlight w:val="none"/>
        </w:rPr>
        <w:t>6、在质保期结束前，须由供应商处工程师和采购人代表进行一次全面检查，任何缺陷必须由供应商负责修改。在修改之后，供应商应将缺陷原因、修改内容、完成修改及恢复正常的时间和日期等报告给采购人。</w:t>
      </w:r>
    </w:p>
    <w:p w14:paraId="75381CAA">
      <w:pPr>
        <w:spacing w:line="400" w:lineRule="exact"/>
        <w:ind w:firstLine="440" w:firstLineChars="200"/>
        <w:rPr>
          <w:rFonts w:hint="eastAsia" w:ascii="宋体" w:hAnsi="宋体" w:cs="宋体"/>
          <w:sz w:val="22"/>
          <w:szCs w:val="22"/>
          <w:highlight w:val="none"/>
        </w:rPr>
      </w:pPr>
      <w:r>
        <w:rPr>
          <w:rFonts w:hint="eastAsia" w:ascii="宋体" w:hAnsi="宋体" w:cs="宋体"/>
          <w:sz w:val="22"/>
          <w:szCs w:val="22"/>
          <w:highlight w:val="none"/>
        </w:rPr>
        <w:t>7、质保期结束后，供应商应保证以优惠价格优先对采购人进行系统技术支持和维护。</w:t>
      </w:r>
    </w:p>
    <w:p w14:paraId="544201B2">
      <w:pPr>
        <w:spacing w:line="400" w:lineRule="exact"/>
        <w:ind w:firstLine="440" w:firstLineChars="200"/>
        <w:rPr>
          <w:rFonts w:hint="eastAsia" w:ascii="宋体" w:hAnsi="宋体" w:cs="宋体"/>
          <w:sz w:val="22"/>
          <w:szCs w:val="22"/>
          <w:highlight w:val="none"/>
        </w:rPr>
      </w:pPr>
      <w:r>
        <w:rPr>
          <w:rFonts w:hint="eastAsia" w:ascii="宋体" w:hAnsi="宋体" w:cs="宋体"/>
          <w:sz w:val="22"/>
          <w:szCs w:val="22"/>
          <w:highlight w:val="none"/>
        </w:rPr>
        <w:t>8、投标人应提供技术支持方案，内容由投标人根据实际选择以下要点：服务机构（维保点）的地址、人员状况、维修能力、联系方式、营业执照、公司资质材料、相关案例等。</w:t>
      </w:r>
    </w:p>
    <w:p w14:paraId="27408856">
      <w:pPr>
        <w:spacing w:line="400" w:lineRule="exact"/>
        <w:ind w:firstLine="440" w:firstLineChars="200"/>
        <w:rPr>
          <w:rFonts w:hint="eastAsia" w:ascii="宋体" w:hAnsi="宋体" w:cs="宋体"/>
          <w:sz w:val="22"/>
          <w:szCs w:val="22"/>
          <w:highlight w:val="none"/>
        </w:rPr>
      </w:pPr>
      <w:r>
        <w:rPr>
          <w:rFonts w:hint="eastAsia" w:ascii="宋体" w:hAnsi="宋体" w:cs="宋体"/>
          <w:sz w:val="22"/>
          <w:szCs w:val="22"/>
          <w:highlight w:val="none"/>
        </w:rPr>
        <w:t>9、完整准确地表述原厂家的标准售后服务承诺（范围、标准及期限等）、投标人可能增加的服务承诺等。</w:t>
      </w:r>
    </w:p>
    <w:p w14:paraId="539D3F10">
      <w:pPr>
        <w:spacing w:line="400" w:lineRule="exact"/>
        <w:ind w:firstLine="440" w:firstLineChars="200"/>
        <w:rPr>
          <w:rFonts w:hint="eastAsia" w:ascii="宋体" w:hAnsi="宋体" w:cs="宋体"/>
          <w:sz w:val="22"/>
          <w:szCs w:val="22"/>
          <w:highlight w:val="none"/>
        </w:rPr>
      </w:pPr>
      <w:r>
        <w:rPr>
          <w:rFonts w:hint="eastAsia" w:ascii="宋体" w:hAnsi="宋体" w:cs="宋体"/>
          <w:sz w:val="22"/>
          <w:szCs w:val="22"/>
          <w:highlight w:val="none"/>
        </w:rPr>
        <w:t>10、明示服务承诺可能涉及的前提设定和费用，否则将被认为是无条件和免费的。</w:t>
      </w:r>
    </w:p>
    <w:p w14:paraId="734C661B">
      <w:pPr>
        <w:spacing w:line="400" w:lineRule="exact"/>
        <w:ind w:firstLine="440" w:firstLineChars="200"/>
        <w:rPr>
          <w:rFonts w:hint="eastAsia" w:ascii="宋体" w:hAnsi="宋体" w:cs="宋体"/>
          <w:sz w:val="22"/>
          <w:szCs w:val="22"/>
          <w:highlight w:val="none"/>
        </w:rPr>
      </w:pPr>
      <w:r>
        <w:rPr>
          <w:rFonts w:hint="eastAsia" w:ascii="宋体" w:hAnsi="宋体" w:cs="宋体"/>
          <w:sz w:val="22"/>
          <w:szCs w:val="22"/>
          <w:highlight w:val="none"/>
        </w:rPr>
        <w:t>（七）质量要求：</w:t>
      </w:r>
    </w:p>
    <w:p w14:paraId="70BBC1AC">
      <w:pPr>
        <w:spacing w:line="400" w:lineRule="exact"/>
        <w:ind w:firstLine="440" w:firstLineChars="200"/>
        <w:rPr>
          <w:rFonts w:hint="eastAsia" w:ascii="宋体" w:hAnsi="宋体" w:cs="宋体"/>
          <w:sz w:val="22"/>
          <w:szCs w:val="22"/>
          <w:highlight w:val="none"/>
        </w:rPr>
      </w:pPr>
      <w:r>
        <w:rPr>
          <w:rFonts w:hint="eastAsia" w:ascii="宋体" w:hAnsi="宋体" w:cs="宋体"/>
          <w:sz w:val="22"/>
          <w:szCs w:val="22"/>
          <w:highlight w:val="none"/>
        </w:rPr>
        <w:t>1、中标供应商须按国家有关规定及标准完成本次采购设备的供货、运输、装卸、安装、调试、检验、通过有关部门验收、质保期上门服务、设备终身维修等各项工作，并保证设备使用的安全性能与检测结果的可靠性。货物验收过程中，由于质量不合格或运输等原因所造成的一切费用均由中标供应商负责。</w:t>
      </w:r>
    </w:p>
    <w:p w14:paraId="2CE88370">
      <w:pPr>
        <w:spacing w:line="400" w:lineRule="exact"/>
        <w:ind w:firstLine="440" w:firstLineChars="200"/>
        <w:rPr>
          <w:rFonts w:hint="eastAsia" w:ascii="宋体" w:hAnsi="宋体" w:cs="宋体"/>
          <w:sz w:val="22"/>
          <w:szCs w:val="22"/>
          <w:highlight w:val="none"/>
        </w:rPr>
      </w:pPr>
      <w:r>
        <w:rPr>
          <w:rFonts w:hint="eastAsia" w:ascii="宋体" w:hAnsi="宋体" w:cs="宋体"/>
          <w:sz w:val="22"/>
          <w:szCs w:val="22"/>
          <w:highlight w:val="none"/>
        </w:rPr>
        <w:t>2、中标供应商所提供的产品必须符合行业的国家标准和我国现行的产品认证制度规定，并满足采购人提出的产品技术要求。</w:t>
      </w:r>
    </w:p>
    <w:p w14:paraId="62A81F68">
      <w:pPr>
        <w:spacing w:line="400" w:lineRule="exact"/>
        <w:ind w:firstLine="440" w:firstLineChars="200"/>
        <w:rPr>
          <w:rFonts w:hint="eastAsia" w:ascii="宋体" w:hAnsi="宋体" w:cs="宋体"/>
          <w:sz w:val="22"/>
          <w:szCs w:val="22"/>
          <w:highlight w:val="none"/>
        </w:rPr>
      </w:pPr>
      <w:r>
        <w:rPr>
          <w:rFonts w:hint="eastAsia" w:ascii="宋体" w:hAnsi="宋体" w:cs="宋体"/>
          <w:sz w:val="22"/>
          <w:szCs w:val="22"/>
          <w:highlight w:val="none"/>
          <w:u w:val="single"/>
        </w:rPr>
        <w:t>▲3、投标供应商所提供的货物应保证是全新的和未使用过的且原装合格正品</w:t>
      </w:r>
      <w:r>
        <w:rPr>
          <w:rFonts w:hint="eastAsia" w:ascii="宋体" w:hAnsi="宋体" w:cs="宋体"/>
          <w:sz w:val="22"/>
          <w:szCs w:val="22"/>
          <w:highlight w:val="none"/>
        </w:rPr>
        <w:t>。</w:t>
      </w:r>
    </w:p>
    <w:p w14:paraId="0B01B356">
      <w:pPr>
        <w:spacing w:line="400" w:lineRule="exact"/>
        <w:ind w:firstLine="440" w:firstLineChars="200"/>
        <w:rPr>
          <w:rFonts w:hint="eastAsia" w:ascii="宋体" w:hAnsi="宋体" w:cs="宋体"/>
          <w:sz w:val="22"/>
          <w:szCs w:val="22"/>
          <w:highlight w:val="none"/>
        </w:rPr>
      </w:pPr>
      <w:r>
        <w:rPr>
          <w:rFonts w:hint="eastAsia" w:ascii="宋体" w:hAnsi="宋体" w:cs="宋体"/>
          <w:sz w:val="22"/>
          <w:szCs w:val="22"/>
          <w:highlight w:val="none"/>
        </w:rPr>
        <w:t>4、中标供应商对成交产品使用的安全性能与可靠性负全部责任。</w:t>
      </w:r>
    </w:p>
    <w:p w14:paraId="2DD36C34">
      <w:pPr>
        <w:spacing w:line="400" w:lineRule="exact"/>
        <w:ind w:firstLine="440" w:firstLineChars="200"/>
        <w:rPr>
          <w:rFonts w:hint="eastAsia" w:ascii="宋体" w:hAnsi="宋体" w:cs="宋体"/>
          <w:sz w:val="22"/>
          <w:szCs w:val="22"/>
          <w:highlight w:val="none"/>
        </w:rPr>
      </w:pPr>
      <w:r>
        <w:rPr>
          <w:rFonts w:hint="eastAsia" w:ascii="宋体" w:hAnsi="宋体" w:cs="宋体"/>
          <w:sz w:val="22"/>
          <w:szCs w:val="22"/>
          <w:highlight w:val="none"/>
        </w:rPr>
        <w:t>（八）工作范围：</w:t>
      </w:r>
    </w:p>
    <w:p w14:paraId="0830A21E">
      <w:pPr>
        <w:spacing w:line="400" w:lineRule="exact"/>
        <w:ind w:firstLine="440" w:firstLineChars="200"/>
        <w:rPr>
          <w:rFonts w:hint="eastAsia" w:ascii="宋体" w:hAnsi="宋体" w:cs="宋体"/>
          <w:sz w:val="22"/>
          <w:szCs w:val="22"/>
          <w:highlight w:val="none"/>
        </w:rPr>
      </w:pPr>
      <w:r>
        <w:rPr>
          <w:rFonts w:hint="eastAsia" w:ascii="宋体" w:hAnsi="宋体" w:cs="宋体"/>
          <w:sz w:val="22"/>
          <w:szCs w:val="22"/>
          <w:highlight w:val="none"/>
        </w:rPr>
        <w:t>根据采购文件要求，供应商须按国家有关标准及规范完成下列工作：</w:t>
      </w:r>
    </w:p>
    <w:p w14:paraId="6DEAFBD9">
      <w:pPr>
        <w:spacing w:line="400" w:lineRule="exact"/>
        <w:ind w:firstLine="440" w:firstLineChars="200"/>
        <w:rPr>
          <w:rFonts w:hint="eastAsia" w:ascii="宋体" w:hAnsi="宋体" w:cs="宋体"/>
          <w:sz w:val="22"/>
          <w:szCs w:val="22"/>
          <w:highlight w:val="none"/>
        </w:rPr>
      </w:pPr>
      <w:r>
        <w:rPr>
          <w:rFonts w:hint="eastAsia" w:ascii="宋体" w:hAnsi="宋体" w:cs="宋体"/>
          <w:sz w:val="22"/>
          <w:szCs w:val="22"/>
          <w:highlight w:val="none"/>
        </w:rPr>
        <w:t>1.提供完整成套的货物；</w:t>
      </w:r>
    </w:p>
    <w:p w14:paraId="0B7D823D">
      <w:pPr>
        <w:spacing w:line="400" w:lineRule="exact"/>
        <w:ind w:firstLine="440" w:firstLineChars="200"/>
        <w:rPr>
          <w:rFonts w:hint="eastAsia" w:ascii="宋体" w:hAnsi="宋体" w:cs="宋体"/>
          <w:sz w:val="22"/>
          <w:szCs w:val="22"/>
          <w:highlight w:val="none"/>
        </w:rPr>
      </w:pPr>
      <w:r>
        <w:rPr>
          <w:rFonts w:hint="eastAsia" w:ascii="宋体" w:hAnsi="宋体" w:cs="宋体"/>
          <w:sz w:val="22"/>
          <w:szCs w:val="22"/>
          <w:highlight w:val="none"/>
        </w:rPr>
        <w:t>2.产品及相关附件的提供、运输、装卸、就位、安装、调试、检验、培训、试运行、通过验收等；</w:t>
      </w:r>
    </w:p>
    <w:p w14:paraId="4A71C4B8">
      <w:pPr>
        <w:spacing w:line="400" w:lineRule="exact"/>
        <w:ind w:firstLine="440" w:firstLineChars="200"/>
        <w:rPr>
          <w:rFonts w:hint="eastAsia" w:ascii="宋体" w:hAnsi="宋体" w:cs="宋体"/>
          <w:sz w:val="22"/>
          <w:szCs w:val="22"/>
          <w:highlight w:val="none"/>
        </w:rPr>
      </w:pPr>
      <w:r>
        <w:rPr>
          <w:rFonts w:hint="eastAsia" w:ascii="宋体" w:hAnsi="宋体" w:cs="宋体"/>
          <w:sz w:val="22"/>
          <w:szCs w:val="22"/>
          <w:highlight w:val="none"/>
        </w:rPr>
        <w:t>3.完成各项安装、调试、检验、测试、培训等工作，并在采购人的配合下通过的验收；提供各种数据资料；直至通过验收；</w:t>
      </w:r>
    </w:p>
    <w:p w14:paraId="3757A2A6">
      <w:pPr>
        <w:spacing w:line="400" w:lineRule="exact"/>
        <w:ind w:firstLine="440" w:firstLineChars="200"/>
        <w:rPr>
          <w:rFonts w:hint="eastAsia" w:ascii="宋体" w:hAnsi="宋体" w:cs="宋体"/>
          <w:sz w:val="22"/>
          <w:szCs w:val="22"/>
          <w:highlight w:val="none"/>
        </w:rPr>
      </w:pPr>
      <w:r>
        <w:rPr>
          <w:rFonts w:hint="eastAsia" w:ascii="宋体" w:hAnsi="宋体" w:cs="宋体"/>
          <w:sz w:val="22"/>
          <w:szCs w:val="22"/>
          <w:highlight w:val="none"/>
        </w:rPr>
        <w:t>4.质保期内维保及维修及质保期后终身维修（除质保期后终身维修外以上其他工作内容的费用均包含在投标总价中）；</w:t>
      </w:r>
    </w:p>
    <w:p w14:paraId="050812FB">
      <w:pPr>
        <w:spacing w:line="400" w:lineRule="exact"/>
        <w:ind w:firstLine="440" w:firstLineChars="200"/>
        <w:rPr>
          <w:rFonts w:hint="eastAsia" w:ascii="宋体" w:hAnsi="宋体" w:cs="宋体"/>
          <w:sz w:val="22"/>
          <w:szCs w:val="22"/>
          <w:highlight w:val="none"/>
        </w:rPr>
      </w:pPr>
      <w:r>
        <w:rPr>
          <w:rFonts w:hint="eastAsia" w:ascii="宋体" w:hAnsi="宋体" w:cs="宋体"/>
          <w:sz w:val="22"/>
          <w:szCs w:val="22"/>
          <w:highlight w:val="none"/>
        </w:rPr>
        <w:t>5.售后服务的措施及承诺。</w:t>
      </w:r>
    </w:p>
    <w:p w14:paraId="2762D2C4">
      <w:pPr>
        <w:spacing w:line="400" w:lineRule="exact"/>
        <w:ind w:firstLine="440" w:firstLineChars="200"/>
        <w:rPr>
          <w:rFonts w:hint="eastAsia" w:ascii="宋体" w:hAnsi="宋体" w:cs="宋体"/>
          <w:sz w:val="22"/>
          <w:szCs w:val="22"/>
          <w:highlight w:val="none"/>
        </w:rPr>
      </w:pPr>
      <w:r>
        <w:rPr>
          <w:rFonts w:hint="eastAsia" w:ascii="宋体" w:hAnsi="宋体" w:cs="宋体"/>
          <w:sz w:val="22"/>
          <w:szCs w:val="22"/>
          <w:highlight w:val="none"/>
        </w:rPr>
        <w:t>（九）其他要求：</w:t>
      </w:r>
    </w:p>
    <w:p w14:paraId="2FC40B82">
      <w:pPr>
        <w:spacing w:line="400" w:lineRule="exact"/>
        <w:ind w:firstLine="440" w:firstLineChars="200"/>
        <w:rPr>
          <w:rFonts w:hint="eastAsia" w:ascii="宋体" w:hAnsi="宋体" w:cs="宋体"/>
          <w:sz w:val="22"/>
          <w:szCs w:val="22"/>
          <w:highlight w:val="none"/>
          <w:lang w:val="zh-CN"/>
        </w:rPr>
      </w:pPr>
      <w:r>
        <w:rPr>
          <w:rFonts w:hint="eastAsia" w:ascii="宋体" w:hAnsi="宋体" w:cs="宋体"/>
          <w:sz w:val="22"/>
          <w:szCs w:val="22"/>
          <w:highlight w:val="none"/>
        </w:rPr>
        <w:t>1、保留测试项的指标，采购人可在合同签订前要求中标供应商提供设备测试。如测试不满足采购文件要求，则视为投标供应商提供虚假材料，其投标无效，并按有关规定上报监管部门处理。</w:t>
      </w:r>
    </w:p>
    <w:p w14:paraId="6FF67F56">
      <w:pPr>
        <w:spacing w:line="400" w:lineRule="exact"/>
        <w:ind w:firstLine="440" w:firstLineChars="200"/>
        <w:rPr>
          <w:rFonts w:hint="eastAsia" w:ascii="宋体" w:hAnsi="宋体" w:cs="宋体"/>
          <w:sz w:val="22"/>
          <w:szCs w:val="22"/>
          <w:highlight w:val="none"/>
        </w:rPr>
      </w:pPr>
      <w:r>
        <w:rPr>
          <w:rFonts w:hint="eastAsia" w:ascii="宋体" w:hAnsi="宋体" w:cs="宋体"/>
          <w:sz w:val="22"/>
          <w:szCs w:val="22"/>
          <w:highlight w:val="none"/>
        </w:rPr>
        <w:t>2、所有产品安装、调试、故障解决及后续因实际需求变更引起的重新配置工作均由中标供应商负责实施。</w:t>
      </w:r>
    </w:p>
    <w:p w14:paraId="1DBC75A8">
      <w:pPr>
        <w:spacing w:line="400" w:lineRule="exact"/>
        <w:ind w:firstLine="440" w:firstLineChars="200"/>
        <w:rPr>
          <w:rFonts w:hint="eastAsia" w:ascii="宋体" w:hAnsi="宋体" w:cs="宋体"/>
          <w:sz w:val="22"/>
          <w:szCs w:val="22"/>
          <w:highlight w:val="none"/>
        </w:rPr>
      </w:pPr>
      <w:r>
        <w:rPr>
          <w:rFonts w:hint="eastAsia" w:ascii="宋体" w:hAnsi="宋体" w:cs="宋体"/>
          <w:sz w:val="22"/>
          <w:szCs w:val="22"/>
          <w:highlight w:val="none"/>
        </w:rPr>
        <w:t>3、如采购文件中遗漏了本次项目所必须具备的设备、配件或服务，请投标供应商在投标文件中指出，并提出解决方案供参考；中标供应商有义务保证采购人该项目的完整，如项目实施过程中因缺少设备、配件或服务导致采购人设备无法正常操作，中标供应商须免费提供。</w:t>
      </w:r>
    </w:p>
    <w:p w14:paraId="0CB3BF70">
      <w:pPr>
        <w:spacing w:line="400" w:lineRule="exact"/>
        <w:ind w:firstLine="440" w:firstLineChars="200"/>
        <w:rPr>
          <w:rFonts w:hint="eastAsia" w:ascii="宋体" w:hAnsi="宋体" w:cs="宋体"/>
          <w:sz w:val="22"/>
          <w:szCs w:val="22"/>
          <w:highlight w:val="none"/>
        </w:rPr>
      </w:pPr>
      <w:r>
        <w:rPr>
          <w:rFonts w:hint="eastAsia" w:ascii="宋体" w:hAnsi="宋体" w:cs="宋体"/>
          <w:sz w:val="22"/>
          <w:szCs w:val="22"/>
          <w:highlight w:val="none"/>
        </w:rPr>
        <w:t>4、免费提供操作培训服务，并提供详细的培训计划及方案。投标供应商提供培训场所与设备进行本地化培训，培训内容应包括产品使用，维护管理等，并提供培训手册。乙方提供的培训次数不少于2次，培训期间乙方人员产生的相关费用自行支付。</w:t>
      </w:r>
    </w:p>
    <w:p w14:paraId="46B8511E">
      <w:pPr>
        <w:spacing w:line="400" w:lineRule="exact"/>
        <w:ind w:firstLine="440" w:firstLineChars="200"/>
        <w:rPr>
          <w:rFonts w:hint="eastAsia" w:ascii="宋体" w:hAnsi="宋体" w:cs="宋体"/>
          <w:sz w:val="22"/>
          <w:szCs w:val="22"/>
          <w:highlight w:val="none"/>
        </w:rPr>
      </w:pPr>
      <w:r>
        <w:rPr>
          <w:rFonts w:hint="eastAsia" w:ascii="宋体" w:hAnsi="宋体" w:cs="宋体"/>
          <w:sz w:val="22"/>
          <w:szCs w:val="22"/>
          <w:highlight w:val="none"/>
        </w:rPr>
        <w:t>5、最终用户保留对供应商所投产品的最终验收权利，一旦中标供应商所投产品的验收结果低于招标文件的性能和功能或者发现有虚假应标的现象，将中止支付货款没收履约保证金及中止合同并追究其相应的法律责任。</w:t>
      </w:r>
    </w:p>
    <w:p w14:paraId="58AB478D">
      <w:pPr>
        <w:spacing w:line="400" w:lineRule="exact"/>
        <w:ind w:firstLine="440" w:firstLineChars="200"/>
        <w:rPr>
          <w:rFonts w:hint="eastAsia" w:ascii="宋体" w:hAnsi="宋体" w:cs="宋体"/>
          <w:sz w:val="22"/>
          <w:szCs w:val="22"/>
          <w:highlight w:val="none"/>
        </w:rPr>
      </w:pPr>
      <w:r>
        <w:rPr>
          <w:rFonts w:hint="eastAsia" w:ascii="宋体" w:hAnsi="宋体" w:cs="宋体"/>
          <w:sz w:val="22"/>
          <w:szCs w:val="22"/>
          <w:highlight w:val="none"/>
        </w:rPr>
        <w:t>6、本次采购，供应商以采购清单为依据进行投标报价，结算时按实际发生的工程量进行结算。投标供应商可以自行前往项目所在地实地踏勘，了解现况，以取得准确报价。本次报价包含清单内所有工程量和服务和产品设计、供货、运输、装卸、就位、安装、调试、检验、培训、试运行、完毕通过验收的全部费用，且风险费用由承包人自行考虑，在报价中进行了综合考虑，任何有漏去一些分项内容将被视为其费用已包含在投标总价中。</w:t>
      </w:r>
    </w:p>
    <w:p w14:paraId="152506EC">
      <w:pPr>
        <w:spacing w:line="400" w:lineRule="exact"/>
        <w:ind w:firstLine="440" w:firstLineChars="200"/>
        <w:rPr>
          <w:rFonts w:hint="eastAsia" w:ascii="宋体" w:hAnsi="宋体" w:cs="宋体"/>
          <w:sz w:val="22"/>
          <w:szCs w:val="22"/>
          <w:highlight w:val="none"/>
        </w:rPr>
      </w:pPr>
      <w:r>
        <w:rPr>
          <w:rFonts w:hint="eastAsia" w:ascii="宋体" w:hAnsi="宋体" w:cs="宋体"/>
          <w:sz w:val="22"/>
          <w:szCs w:val="22"/>
          <w:highlight w:val="none"/>
        </w:rPr>
        <w:t>7、当中标供应商提供的产品质量达不到设计要求和预期质量目标时，采购人保留更换的权利，且中标价不予调整。</w:t>
      </w:r>
    </w:p>
    <w:p w14:paraId="529F5E1E">
      <w:pPr>
        <w:spacing w:line="400" w:lineRule="exact"/>
        <w:ind w:firstLine="440" w:firstLineChars="200"/>
        <w:rPr>
          <w:rFonts w:hint="eastAsia" w:ascii="宋体" w:hAnsi="宋体" w:cs="宋体"/>
          <w:sz w:val="22"/>
          <w:szCs w:val="22"/>
          <w:highlight w:val="none"/>
        </w:rPr>
      </w:pPr>
      <w:r>
        <w:rPr>
          <w:rFonts w:hint="eastAsia" w:ascii="宋体" w:hAnsi="宋体" w:cs="宋体"/>
          <w:sz w:val="22"/>
          <w:szCs w:val="22"/>
          <w:highlight w:val="none"/>
        </w:rPr>
        <w:t>8、本项目所有端口都需向业主开放，涉及端口接入费用均由中标供应商支付，并需长期无偿提供软件系统的升级服务，并保持稳定性和兼容性，如未及时升级相关软件导致平台无法正常运行，所产生的费用均由中标供应商负责。</w:t>
      </w:r>
    </w:p>
    <w:p w14:paraId="07093FAA">
      <w:pPr>
        <w:spacing w:line="400" w:lineRule="exact"/>
        <w:ind w:firstLine="440" w:firstLineChars="200"/>
        <w:rPr>
          <w:rFonts w:hint="eastAsia" w:ascii="宋体" w:hAnsi="宋体" w:cs="宋体"/>
          <w:sz w:val="22"/>
          <w:szCs w:val="22"/>
          <w:highlight w:val="none"/>
        </w:rPr>
      </w:pPr>
      <w:r>
        <w:rPr>
          <w:rFonts w:hint="eastAsia" w:ascii="宋体" w:hAnsi="宋体" w:cs="宋体"/>
          <w:sz w:val="22"/>
          <w:szCs w:val="22"/>
          <w:highlight w:val="none"/>
        </w:rPr>
        <w:t>9、如相关设备或系统涉及需与上级平台进行对接的，涉及费用均由中标供应商支付，并无偿提供服务，并保持稳定性和兼容性。</w:t>
      </w:r>
    </w:p>
    <w:p w14:paraId="5A0E9203">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10、安全保密要求。本次项目要求供应商建立可行的安全保密措施，提供对本项目的保密承诺，实施过程中接触的所有秘密，包括(但不限于)技术方案、过程文档及其他资料，无论是书面的、口头的、图形的、电磁的、光介质的或其他任何形式的信息，包括(但不限于)数据、模型、样品、草案、技术、方法、仪器设备和其他信息，同时承诺不向任何第三方透漏。为保障相关数据及应用安全，将在遵循国家相关法律法规的基础。</w:t>
      </w:r>
    </w:p>
    <w:p w14:paraId="5A339418">
      <w:pPr>
        <w:spacing w:line="400" w:lineRule="exact"/>
        <w:ind w:firstLine="440" w:firstLineChars="200"/>
        <w:rPr>
          <w:rFonts w:hint="eastAsia" w:ascii="宋体" w:hAnsi="宋体" w:cs="宋体"/>
          <w:sz w:val="22"/>
          <w:szCs w:val="22"/>
          <w:highlight w:val="none"/>
          <w:u w:val="single"/>
        </w:rPr>
      </w:pPr>
      <w:r>
        <w:rPr>
          <w:rFonts w:hint="eastAsia" w:ascii="宋体" w:hAnsi="宋体" w:cs="宋体"/>
          <w:sz w:val="22"/>
          <w:szCs w:val="22"/>
          <w:highlight w:val="none"/>
        </w:rPr>
        <w:t>（十）</w:t>
      </w:r>
      <w:r>
        <w:rPr>
          <w:rFonts w:hint="eastAsia" w:ascii="宋体" w:hAnsi="宋体" w:cs="宋体"/>
          <w:sz w:val="22"/>
          <w:szCs w:val="22"/>
          <w:highlight w:val="none"/>
          <w:u w:val="single"/>
        </w:rPr>
        <w:t>▲本项目采用综合评分法，提供相同品牌产品且通过资格审查、符合性审查的不同投标供应商参加同一标项下投标的，按一家投标供应商计算，评审后得分最高的同品牌投标供应商获得中标人推荐资格；评审得分相同的，由评标委员会投票，确定票数多的投标供应商获得中标候选供应商推荐资格，其他同品牌投标供应商不作为中标候选人。</w:t>
      </w:r>
    </w:p>
    <w:p w14:paraId="384C1C3C">
      <w:pPr>
        <w:spacing w:line="400" w:lineRule="exact"/>
        <w:ind w:firstLine="440" w:firstLineChars="200"/>
        <w:rPr>
          <w:rFonts w:hint="eastAsia" w:ascii="宋体" w:hAnsi="宋体" w:cs="宋体"/>
          <w:sz w:val="22"/>
          <w:szCs w:val="22"/>
          <w:highlight w:val="none"/>
          <w:u w:val="single"/>
        </w:rPr>
      </w:pPr>
      <w:r>
        <w:rPr>
          <w:rFonts w:hint="eastAsia" w:ascii="宋体" w:hAnsi="宋体" w:cs="宋体"/>
          <w:sz w:val="22"/>
          <w:szCs w:val="22"/>
          <w:highlight w:val="none"/>
        </w:rPr>
        <w:t>（十一）</w:t>
      </w:r>
      <w:r>
        <w:rPr>
          <w:rFonts w:hint="eastAsia" w:ascii="宋体" w:hAnsi="宋体" w:cs="宋体"/>
          <w:sz w:val="22"/>
          <w:szCs w:val="22"/>
          <w:highlight w:val="none"/>
          <w:u w:val="single"/>
        </w:rPr>
        <w:t>▲本项目采购预算55万元，投标供应商投标总报价超过采购预算金额的，其投标文件作无效标处理。</w:t>
      </w:r>
    </w:p>
    <w:p w14:paraId="5302ECA9">
      <w:pPr>
        <w:spacing w:line="400" w:lineRule="exact"/>
        <w:ind w:firstLine="440" w:firstLineChars="200"/>
        <w:rPr>
          <w:rFonts w:hint="eastAsia" w:ascii="宋体" w:hAnsi="宋体" w:cs="宋体"/>
          <w:sz w:val="22"/>
          <w:szCs w:val="22"/>
          <w:highlight w:val="none"/>
        </w:rPr>
      </w:pPr>
      <w:r>
        <w:rPr>
          <w:rFonts w:hint="eastAsia" w:ascii="宋体" w:hAnsi="宋体" w:cs="宋体"/>
          <w:sz w:val="22"/>
          <w:szCs w:val="22"/>
          <w:highlight w:val="none"/>
        </w:rPr>
        <w:t>（十二）付款方式：详见合同条款。</w:t>
      </w:r>
    </w:p>
    <w:p w14:paraId="29F7004A">
      <w:pPr>
        <w:spacing w:line="400" w:lineRule="exact"/>
        <w:ind w:firstLine="440" w:firstLineChars="200"/>
        <w:rPr>
          <w:rFonts w:hint="eastAsia" w:ascii="宋体" w:hAnsi="宋体" w:cs="宋体"/>
          <w:sz w:val="22"/>
          <w:szCs w:val="22"/>
          <w:highlight w:val="none"/>
        </w:rPr>
      </w:pPr>
      <w:r>
        <w:rPr>
          <w:rFonts w:hint="eastAsia" w:ascii="宋体" w:hAnsi="宋体" w:cs="宋体"/>
          <w:sz w:val="22"/>
          <w:szCs w:val="22"/>
          <w:highlight w:val="none"/>
        </w:rPr>
        <w:t>（十三）验收：</w:t>
      </w:r>
      <w:bookmarkEnd w:id="187"/>
      <w:r>
        <w:rPr>
          <w:rFonts w:hint="eastAsia" w:ascii="宋体" w:hAnsi="宋体" w:cs="宋体"/>
          <w:sz w:val="22"/>
          <w:szCs w:val="22"/>
          <w:highlight w:val="none"/>
        </w:rPr>
        <w:t>详见合同条款。</w:t>
      </w:r>
    </w:p>
    <w:p w14:paraId="4AE5D7AE">
      <w:pPr>
        <w:spacing w:line="400" w:lineRule="exact"/>
        <w:jc w:val="center"/>
        <w:rPr>
          <w:rFonts w:ascii="Arial" w:hAnsi="Arial" w:cs="Arial"/>
          <w:sz w:val="28"/>
          <w:szCs w:val="28"/>
          <w:highlight w:val="none"/>
        </w:rPr>
      </w:pPr>
      <w:r>
        <w:rPr>
          <w:rFonts w:hint="eastAsia" w:ascii="宋体" w:hAnsi="宋体" w:cs="宋体"/>
          <w:sz w:val="22"/>
          <w:szCs w:val="22"/>
          <w:highlight w:val="none"/>
        </w:rPr>
        <w:br w:type="page"/>
      </w:r>
      <w:bookmarkStart w:id="190" w:name="_Toc4667"/>
      <w:r>
        <w:rPr>
          <w:rFonts w:hint="eastAsia" w:ascii="Arial" w:hAnsi="Arial" w:cs="Arial"/>
          <w:b/>
          <w:bCs/>
          <w:sz w:val="28"/>
          <w:szCs w:val="28"/>
          <w:highlight w:val="none"/>
        </w:rPr>
        <w:t xml:space="preserve">第五部分  </w:t>
      </w:r>
      <w:r>
        <w:rPr>
          <w:rFonts w:ascii="Arial" w:hAnsi="Arial" w:cs="Arial"/>
          <w:b/>
          <w:bCs/>
          <w:sz w:val="28"/>
          <w:szCs w:val="28"/>
          <w:highlight w:val="none"/>
        </w:rPr>
        <w:t>评标原则及方法</w:t>
      </w:r>
      <w:bookmarkEnd w:id="190"/>
    </w:p>
    <w:p w14:paraId="5C4D8C9B">
      <w:pPr>
        <w:spacing w:line="360" w:lineRule="auto"/>
        <w:ind w:left="439" w:leftChars="209"/>
        <w:rPr>
          <w:rFonts w:ascii="Arial" w:hAnsi="Arial" w:cs="Arial"/>
          <w:b/>
          <w:sz w:val="22"/>
          <w:szCs w:val="22"/>
          <w:highlight w:val="none"/>
        </w:rPr>
      </w:pPr>
    </w:p>
    <w:p w14:paraId="3BF36369">
      <w:pPr>
        <w:spacing w:line="360" w:lineRule="auto"/>
        <w:ind w:left="439" w:leftChars="209"/>
        <w:rPr>
          <w:rFonts w:hint="eastAsia" w:ascii="宋体" w:hAnsi="宋体" w:cs="宋体"/>
          <w:b/>
          <w:szCs w:val="21"/>
          <w:highlight w:val="none"/>
        </w:rPr>
      </w:pPr>
      <w:r>
        <w:rPr>
          <w:rFonts w:hint="eastAsia" w:ascii="宋体" w:hAnsi="宋体" w:cs="宋体"/>
          <w:b/>
          <w:szCs w:val="21"/>
          <w:highlight w:val="none"/>
        </w:rPr>
        <w:t>根据《温州市市属国有企业采购管理办法》等相关法规特制定以下评标办法。</w:t>
      </w:r>
    </w:p>
    <w:p w14:paraId="65B6FE75">
      <w:pPr>
        <w:pStyle w:val="14"/>
        <w:spacing w:before="120" w:beforeLines="50" w:afterLines="50" w:line="360" w:lineRule="auto"/>
        <w:rPr>
          <w:rFonts w:hint="eastAsia" w:ascii="宋体" w:hAnsi="宋体" w:cs="宋体"/>
          <w:b/>
          <w:szCs w:val="21"/>
          <w:highlight w:val="none"/>
        </w:rPr>
      </w:pPr>
      <w:r>
        <w:rPr>
          <w:rFonts w:hint="eastAsia" w:ascii="宋体" w:hAnsi="宋体" w:cs="宋体"/>
          <w:b/>
          <w:szCs w:val="21"/>
          <w:highlight w:val="none"/>
        </w:rPr>
        <w:t>一. 总  则</w:t>
      </w:r>
    </w:p>
    <w:p w14:paraId="2FC636A1">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评标工作遵循公平、公正、科学、择优原则和诚实、信誉、效率的服务原则。本着科学、严谨的态度，认真进行评标。择优选用，推进技术进步，确保编制质量、完成时间，节约投资，最大限度的保护当事人权益，严格按照采购文件的商务、技术要求，对投标文件进行综合评定，提出优选方案，编写评标报告。对落标单位，评标委员会不作任何落标解释。</w:t>
      </w:r>
      <w:r>
        <w:rPr>
          <w:rFonts w:hint="eastAsia" w:ascii="宋体" w:hAnsi="宋体" w:cs="宋体"/>
          <w:b/>
          <w:szCs w:val="21"/>
          <w:highlight w:val="none"/>
        </w:rPr>
        <w:t>投标供应商不得以任何方式干扰招投标工作的进行，一经发现其投标文件将被拒绝。</w:t>
      </w:r>
    </w:p>
    <w:p w14:paraId="6EC2B7DE">
      <w:pPr>
        <w:spacing w:line="360" w:lineRule="auto"/>
        <w:rPr>
          <w:rFonts w:hint="eastAsia" w:ascii="宋体" w:hAnsi="宋体" w:cs="宋体"/>
          <w:b/>
          <w:szCs w:val="21"/>
          <w:highlight w:val="none"/>
        </w:rPr>
      </w:pPr>
      <w:r>
        <w:rPr>
          <w:rFonts w:hint="eastAsia" w:ascii="宋体" w:hAnsi="宋体" w:cs="宋体"/>
          <w:b/>
          <w:szCs w:val="21"/>
          <w:highlight w:val="none"/>
        </w:rPr>
        <w:t>二、评标组织</w:t>
      </w:r>
    </w:p>
    <w:p w14:paraId="79C983EB">
      <w:pPr>
        <w:spacing w:line="360" w:lineRule="auto"/>
        <w:ind w:left="439" w:leftChars="209"/>
        <w:rPr>
          <w:rFonts w:hint="eastAsia" w:ascii="宋体" w:hAnsi="宋体" w:cs="宋体"/>
          <w:szCs w:val="21"/>
          <w:highlight w:val="none"/>
        </w:rPr>
      </w:pPr>
      <w:r>
        <w:rPr>
          <w:rFonts w:hint="eastAsia" w:ascii="宋体" w:hAnsi="宋体" w:cs="宋体"/>
          <w:szCs w:val="21"/>
          <w:highlight w:val="none"/>
        </w:rPr>
        <w:t>评标工作由采购人依法组建的评标委员会负责，评标全过程由有关部门指导监督。</w:t>
      </w:r>
    </w:p>
    <w:p w14:paraId="7B230AC6">
      <w:pPr>
        <w:spacing w:line="360" w:lineRule="auto"/>
        <w:rPr>
          <w:rFonts w:hint="eastAsia" w:ascii="宋体" w:hAnsi="宋体" w:cs="宋体"/>
          <w:b/>
          <w:szCs w:val="21"/>
          <w:highlight w:val="none"/>
        </w:rPr>
      </w:pPr>
      <w:r>
        <w:rPr>
          <w:rFonts w:hint="eastAsia" w:ascii="宋体" w:hAnsi="宋体" w:cs="宋体"/>
          <w:b/>
          <w:szCs w:val="21"/>
          <w:highlight w:val="none"/>
        </w:rPr>
        <w:t>三、评标程序</w:t>
      </w:r>
    </w:p>
    <w:p w14:paraId="5E97B1F0">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1、开标后，评标委员会对各投标供应商的投标资格进行审查，</w:t>
      </w:r>
      <w:r>
        <w:rPr>
          <w:rFonts w:hint="eastAsia" w:ascii="宋体" w:hAnsi="宋体" w:cs="宋体"/>
          <w:sz w:val="22"/>
          <w:szCs w:val="22"/>
          <w:highlight w:val="none"/>
        </w:rPr>
        <w:t>然后评标委员会对合格投标供应商的进行符合性审查，按照采购文件中规定的评标方法和标准，对符合性审查合格的投标文件进行商务和技术评估，综合比较与评价。</w:t>
      </w:r>
      <w:r>
        <w:rPr>
          <w:rFonts w:hint="eastAsia" w:ascii="宋体" w:hAnsi="宋体" w:cs="宋体"/>
          <w:szCs w:val="21"/>
          <w:highlight w:val="none"/>
        </w:rPr>
        <w:t>根据综合评审结果，提交评审报告。</w:t>
      </w:r>
    </w:p>
    <w:p w14:paraId="4A68CF26">
      <w:pPr>
        <w:spacing w:line="360" w:lineRule="auto"/>
        <w:ind w:firstLine="422" w:firstLineChars="200"/>
        <w:rPr>
          <w:rFonts w:hint="eastAsia" w:ascii="宋体" w:hAnsi="宋体" w:cs="宋体"/>
          <w:szCs w:val="21"/>
          <w:highlight w:val="none"/>
          <w:u w:val="single"/>
        </w:rPr>
      </w:pPr>
      <w:r>
        <w:rPr>
          <w:rFonts w:hint="eastAsia" w:ascii="宋体" w:hAnsi="宋体" w:cs="宋体"/>
          <w:b/>
          <w:szCs w:val="21"/>
          <w:highlight w:val="none"/>
          <w:u w:val="single"/>
        </w:rPr>
        <w:t>▲</w:t>
      </w:r>
      <w:r>
        <w:rPr>
          <w:rFonts w:hint="eastAsia" w:ascii="宋体" w:hAnsi="宋体" w:cs="宋体"/>
          <w:szCs w:val="21"/>
          <w:highlight w:val="none"/>
          <w:u w:val="single"/>
        </w:rPr>
        <w:t>2、如本项目第一次采购因有效投标供应商数量不足3家作流（废）标处理，根据《温州市市属国有企业采购管理办法》相关条款规定，采购人将重新组织采购。本项目属于国有企业采购项目，投标截止时间止及评审期间，出现有效供应商不足三家的情形，如采购文件事先已在指定媒体公开征求了供应商意见且无重大异议，或经专家论证且出具了“供应商资格条件和项目技术指标等没有歧视性和倾向性”意见的，同时采购信息已在本办法规定的媒体上公告，采购文件的发售和截止时间符合法定或《温州市市属国有企业采购管理办法》规定，由实质性响应的供应商认可后，可以按原采购方式继续进行采购活动，但采购项目第一次评审活动除外。</w:t>
      </w:r>
    </w:p>
    <w:p w14:paraId="73D8BCA7">
      <w:pPr>
        <w:spacing w:line="360" w:lineRule="auto"/>
        <w:ind w:firstLine="422" w:firstLineChars="200"/>
        <w:rPr>
          <w:rFonts w:hint="eastAsia" w:ascii="宋体" w:hAnsi="宋体" w:cs="宋体"/>
          <w:szCs w:val="21"/>
          <w:highlight w:val="none"/>
          <w:u w:val="single"/>
        </w:rPr>
      </w:pPr>
      <w:r>
        <w:rPr>
          <w:rFonts w:hint="eastAsia" w:ascii="宋体" w:hAnsi="宋体" w:cs="宋体"/>
          <w:b/>
          <w:szCs w:val="21"/>
          <w:highlight w:val="none"/>
          <w:u w:val="single"/>
        </w:rPr>
        <w:t>▲</w:t>
      </w:r>
      <w:r>
        <w:rPr>
          <w:rFonts w:hint="eastAsia" w:ascii="宋体" w:hAnsi="宋体" w:cs="宋体"/>
          <w:szCs w:val="21"/>
          <w:highlight w:val="none"/>
          <w:u w:val="single"/>
        </w:rPr>
        <w:t>3、若所有投标供应商投标报价均超出采购预算金额，本项目做流标处理。</w:t>
      </w:r>
    </w:p>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14:paraId="059F13C2">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4、询标：</w:t>
      </w:r>
    </w:p>
    <w:p w14:paraId="1CB1AF86">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（1）投标文件中有含义不明确的内容、明显文字或计算错误，评标委员会认为需要投标供应商作出必要澄清、说明的，应当组织询标。</w:t>
      </w:r>
    </w:p>
    <w:p w14:paraId="7302BF21">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凡是评标委员会拟做出否决投标认定的，须组织相关投标供应商询问核实。未进行询问核实的，不得做出否决投标的认定，投标供应商放弃询问核实机会的除外（投标供应商所留联系方式无法联系上、在规定的时限（30分钟）内投标供应商不参加询问核实活动或不予答复的）。</w:t>
      </w:r>
    </w:p>
    <w:p w14:paraId="4A6C1781">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（3）询标内容及投标供应商的澄清、说明应当采用书面形式，并不得超出投标文件的范围或者改变投标文件的实质性内容。</w:t>
      </w:r>
    </w:p>
    <w:p w14:paraId="594217C5">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（4）评标委员会不得暗示或者诱导投标供应商作出澄清、说明，不得接受投标供应商主动提出的澄清、说明。</w:t>
      </w:r>
    </w:p>
    <w:p w14:paraId="32549117">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（5）投标供应商不得通过补充、修改或撤消投标文件中的内容使其成为实质性响应的投标，投标供应商在投标截止时间以后不得提交任何资料作为评标依据。</w:t>
      </w:r>
    </w:p>
    <w:p w14:paraId="51DF3F33">
      <w:pPr>
        <w:spacing w:line="360" w:lineRule="auto"/>
        <w:rPr>
          <w:rFonts w:hint="eastAsia" w:ascii="宋体" w:hAnsi="宋体" w:cs="宋体"/>
          <w:b/>
          <w:szCs w:val="21"/>
          <w:highlight w:val="none"/>
        </w:rPr>
      </w:pPr>
      <w:r>
        <w:rPr>
          <w:rFonts w:hint="eastAsia" w:ascii="宋体" w:hAnsi="宋体" w:cs="宋体"/>
          <w:b/>
          <w:szCs w:val="21"/>
          <w:highlight w:val="none"/>
        </w:rPr>
        <w:t>四、评标办法</w:t>
      </w:r>
    </w:p>
    <w:p w14:paraId="12B3F7A0">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1.本评标办法采用百分制综合评估法，</w:t>
      </w:r>
      <w:r>
        <w:rPr>
          <w:rFonts w:hint="eastAsia" w:ascii="宋体" w:hAnsi="宋体" w:cs="宋体"/>
          <w:b/>
          <w:bCs/>
          <w:szCs w:val="21"/>
          <w:highlight w:val="none"/>
        </w:rPr>
        <w:t>商务技术70分（商务技术权值70%），报价30分（报价权值30%）</w:t>
      </w:r>
      <w:r>
        <w:rPr>
          <w:rFonts w:hint="eastAsia" w:ascii="宋体" w:hAnsi="宋体" w:cs="宋体"/>
          <w:szCs w:val="21"/>
          <w:highlight w:val="none"/>
        </w:rPr>
        <w:t>。最大限度地满足采购文件中规定的各项综合评价标准且综合得分最高的投标供应商，将被推荐为中标候选人。</w:t>
      </w:r>
    </w:p>
    <w:p w14:paraId="5DDE83DF">
      <w:pPr>
        <w:spacing w:line="360" w:lineRule="auto"/>
        <w:rPr>
          <w:rFonts w:hint="eastAsia" w:ascii="宋体" w:hAnsi="宋体" w:cs="宋体"/>
          <w:b/>
          <w:szCs w:val="21"/>
          <w:highlight w:val="none"/>
        </w:rPr>
      </w:pPr>
      <w:r>
        <w:rPr>
          <w:rFonts w:hint="eastAsia" w:ascii="宋体" w:hAnsi="宋体" w:cs="宋体"/>
          <w:b/>
          <w:szCs w:val="21"/>
          <w:highlight w:val="none"/>
        </w:rPr>
        <w:t>五、评分细则</w:t>
      </w:r>
    </w:p>
    <w:p w14:paraId="3CCF4915">
      <w:pPr>
        <w:spacing w:line="360" w:lineRule="auto"/>
        <w:rPr>
          <w:rFonts w:hint="eastAsia" w:ascii="宋体" w:hAnsi="宋体" w:cs="宋体"/>
          <w:szCs w:val="21"/>
          <w:highlight w:val="none"/>
        </w:rPr>
      </w:pPr>
      <w:r>
        <w:rPr>
          <w:rFonts w:hint="eastAsia" w:ascii="宋体" w:hAnsi="宋体" w:cs="宋体"/>
          <w:szCs w:val="21"/>
          <w:highlight w:val="none"/>
        </w:rPr>
        <w:t>1.  商务技术分的评定</w:t>
      </w:r>
      <w:r>
        <w:rPr>
          <w:rFonts w:hint="eastAsia" w:ascii="宋体" w:hAnsi="宋体" w:cs="宋体"/>
          <w:b/>
          <w:bCs/>
          <w:szCs w:val="21"/>
          <w:highlight w:val="none"/>
        </w:rPr>
        <w:t>（70分）</w:t>
      </w:r>
    </w:p>
    <w:p w14:paraId="79FC05C0">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各评委成员按下列评分项目进行评判，每人一张评分计算票，并记名。投标文件各项评分内容由评标委员会成员各自评分，如某张票的一个因素项目超过规定的范围，则该张票无效。各评标委员会成员对各投标供应商的各项评分内容评分的合计的算术平均值为各投标供应商商务技术分得分（小数点后按四舍五入保留2位）。</w:t>
      </w:r>
    </w:p>
    <w:tbl>
      <w:tblPr>
        <w:tblStyle w:val="35"/>
        <w:tblW w:w="94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45"/>
        <w:gridCol w:w="1342"/>
        <w:gridCol w:w="951"/>
        <w:gridCol w:w="6366"/>
      </w:tblGrid>
      <w:tr w14:paraId="212978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45" w:type="dxa"/>
            <w:noWrap w:val="0"/>
            <w:vAlign w:val="center"/>
          </w:tcPr>
          <w:p w14:paraId="19ECF704">
            <w:pPr>
              <w:ind w:left="-50"/>
              <w:jc w:val="center"/>
              <w:rPr>
                <w:rFonts w:hint="eastAsia" w:ascii="宋体" w:hAnsi="宋体" w:eastAsia="宋体" w:cs="宋体"/>
                <w:snapToGrid w:val="0"/>
                <w:szCs w:val="21"/>
                <w:highlight w:val="none"/>
              </w:rPr>
            </w:pPr>
            <w:r>
              <w:rPr>
                <w:rFonts w:hint="eastAsia" w:ascii="宋体" w:hAnsi="宋体" w:eastAsia="宋体" w:cs="宋体"/>
                <w:snapToGrid w:val="0"/>
                <w:szCs w:val="21"/>
                <w:highlight w:val="none"/>
              </w:rPr>
              <w:t>序号</w:t>
            </w:r>
          </w:p>
        </w:tc>
        <w:tc>
          <w:tcPr>
            <w:tcW w:w="1342" w:type="dxa"/>
            <w:noWrap w:val="0"/>
            <w:vAlign w:val="center"/>
          </w:tcPr>
          <w:p w14:paraId="7A74F0A5">
            <w:pPr>
              <w:ind w:left="-50"/>
              <w:jc w:val="center"/>
              <w:rPr>
                <w:rFonts w:hint="eastAsia" w:ascii="宋体" w:hAnsi="宋体" w:eastAsia="宋体" w:cs="宋体"/>
                <w:snapToGrid w:val="0"/>
                <w:szCs w:val="21"/>
                <w:highlight w:val="none"/>
              </w:rPr>
            </w:pPr>
            <w:r>
              <w:rPr>
                <w:rFonts w:hint="eastAsia" w:ascii="宋体" w:hAnsi="宋体" w:eastAsia="宋体" w:cs="宋体"/>
                <w:snapToGrid w:val="0"/>
                <w:szCs w:val="21"/>
                <w:highlight w:val="none"/>
              </w:rPr>
              <w:t>评分内容</w:t>
            </w:r>
          </w:p>
        </w:tc>
        <w:tc>
          <w:tcPr>
            <w:tcW w:w="951" w:type="dxa"/>
            <w:noWrap w:val="0"/>
            <w:vAlign w:val="center"/>
          </w:tcPr>
          <w:p w14:paraId="587ED089">
            <w:pPr>
              <w:spacing w:line="240" w:lineRule="exact"/>
              <w:jc w:val="center"/>
              <w:rPr>
                <w:rFonts w:hint="eastAsia" w:ascii="宋体" w:hAnsi="宋体" w:eastAsia="宋体" w:cs="宋体"/>
                <w:szCs w:val="21"/>
                <w:highlight w:val="none"/>
              </w:rPr>
            </w:pPr>
            <w:r>
              <w:rPr>
                <w:rFonts w:hint="eastAsia" w:ascii="宋体" w:hAnsi="宋体" w:eastAsia="宋体" w:cs="宋体"/>
                <w:szCs w:val="21"/>
                <w:highlight w:val="none"/>
              </w:rPr>
              <w:t>分值</w:t>
            </w:r>
          </w:p>
          <w:p w14:paraId="27324E23">
            <w:pPr>
              <w:jc w:val="center"/>
              <w:rPr>
                <w:rFonts w:hint="eastAsia" w:ascii="宋体" w:hAnsi="宋体" w:eastAsia="宋体" w:cs="宋体"/>
                <w:snapToGrid w:val="0"/>
                <w:szCs w:val="21"/>
                <w:highlight w:val="none"/>
              </w:rPr>
            </w:pPr>
            <w:r>
              <w:rPr>
                <w:rFonts w:hint="eastAsia" w:ascii="宋体" w:hAnsi="宋体" w:eastAsia="宋体" w:cs="宋体"/>
                <w:szCs w:val="21"/>
                <w:highlight w:val="none"/>
              </w:rPr>
              <w:t>范围</w:t>
            </w:r>
          </w:p>
        </w:tc>
        <w:tc>
          <w:tcPr>
            <w:tcW w:w="6366" w:type="dxa"/>
            <w:noWrap w:val="0"/>
            <w:vAlign w:val="center"/>
          </w:tcPr>
          <w:p w14:paraId="6BA5B858">
            <w:pPr>
              <w:ind w:left="-50"/>
              <w:jc w:val="center"/>
              <w:rPr>
                <w:rFonts w:hint="eastAsia" w:ascii="宋体" w:hAnsi="宋体" w:eastAsia="宋体" w:cs="宋体"/>
                <w:snapToGrid w:val="0"/>
                <w:szCs w:val="21"/>
                <w:highlight w:val="none"/>
              </w:rPr>
            </w:pPr>
            <w:r>
              <w:rPr>
                <w:rFonts w:hint="eastAsia" w:ascii="宋体" w:hAnsi="宋体" w:eastAsia="宋体" w:cs="宋体"/>
                <w:snapToGrid w:val="0"/>
                <w:szCs w:val="21"/>
                <w:highlight w:val="none"/>
              </w:rPr>
              <w:t>备注</w:t>
            </w:r>
          </w:p>
        </w:tc>
      </w:tr>
      <w:tr w14:paraId="455463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5" w:type="dxa"/>
            <w:noWrap w:val="0"/>
            <w:vAlign w:val="center"/>
          </w:tcPr>
          <w:p w14:paraId="21F3DA0D">
            <w:pPr>
              <w:ind w:left="-50"/>
              <w:jc w:val="center"/>
              <w:rPr>
                <w:rFonts w:ascii="宋体" w:hAnsi="宋体" w:eastAsia="宋体" w:cs="宋体"/>
                <w:snapToGrid w:val="0"/>
                <w:szCs w:val="21"/>
                <w:highlight w:val="none"/>
              </w:rPr>
            </w:pPr>
            <w:r>
              <w:rPr>
                <w:rFonts w:hint="eastAsia" w:ascii="宋体" w:hAnsi="宋体" w:eastAsia="宋体" w:cs="宋体"/>
                <w:snapToGrid w:val="0"/>
                <w:szCs w:val="21"/>
                <w:highlight w:val="none"/>
              </w:rPr>
              <w:t>1</w:t>
            </w:r>
          </w:p>
        </w:tc>
        <w:tc>
          <w:tcPr>
            <w:tcW w:w="1342" w:type="dxa"/>
            <w:noWrap w:val="0"/>
            <w:vAlign w:val="center"/>
          </w:tcPr>
          <w:p w14:paraId="5B7E9D05">
            <w:pPr>
              <w:ind w:left="-50"/>
              <w:jc w:val="center"/>
              <w:rPr>
                <w:rFonts w:hint="eastAsia" w:ascii="宋体" w:hAnsi="宋体" w:eastAsia="宋体" w:cs="宋体"/>
                <w:snapToGrid w:val="0"/>
                <w:szCs w:val="21"/>
                <w:highlight w:val="none"/>
              </w:rPr>
            </w:pPr>
            <w:r>
              <w:rPr>
                <w:rFonts w:hint="eastAsia" w:ascii="宋体" w:hAnsi="宋体" w:eastAsia="宋体" w:cs="宋体"/>
                <w:snapToGrid w:val="0"/>
                <w:szCs w:val="21"/>
                <w:highlight w:val="none"/>
              </w:rPr>
              <w:t>投标人综合情况</w:t>
            </w:r>
          </w:p>
        </w:tc>
        <w:tc>
          <w:tcPr>
            <w:tcW w:w="951" w:type="dxa"/>
            <w:noWrap w:val="0"/>
            <w:vAlign w:val="center"/>
          </w:tcPr>
          <w:p w14:paraId="4B8FB8BB">
            <w:pPr>
              <w:spacing w:line="460" w:lineRule="exact"/>
              <w:ind w:left="-50"/>
              <w:jc w:val="center"/>
              <w:rPr>
                <w:rFonts w:ascii="宋体" w:hAnsi="宋体" w:eastAsia="宋体" w:cs="宋体"/>
                <w:szCs w:val="21"/>
                <w:highlight w:val="none"/>
              </w:rPr>
            </w:pPr>
            <w:r>
              <w:rPr>
                <w:rFonts w:hint="eastAsia" w:ascii="宋体" w:hAnsi="宋体" w:eastAsia="宋体" w:cs="宋体"/>
                <w:szCs w:val="21"/>
                <w:highlight w:val="none"/>
              </w:rPr>
              <w:t>0-5分</w:t>
            </w:r>
          </w:p>
        </w:tc>
        <w:tc>
          <w:tcPr>
            <w:tcW w:w="6366" w:type="dxa"/>
            <w:noWrap w:val="0"/>
            <w:vAlign w:val="center"/>
          </w:tcPr>
          <w:p w14:paraId="2EA8C63B">
            <w:pPr>
              <w:rPr>
                <w:rFonts w:hint="eastAsia" w:ascii="宋体" w:hAnsi="宋体" w:eastAsia="宋体" w:cs="宋体"/>
                <w:szCs w:val="21"/>
                <w:highlight w:val="none"/>
              </w:rPr>
            </w:pPr>
            <w:r>
              <w:rPr>
                <w:rFonts w:hint="eastAsia" w:ascii="宋体" w:hAnsi="宋体" w:eastAsia="宋体" w:cs="宋体"/>
                <w:szCs w:val="21"/>
                <w:highlight w:val="none"/>
              </w:rPr>
              <w:t>投标供应商具有质量体系认证证书、环境管理体系认证证书、职业健康安全管理体系认证证书、信息技术服务管理体系证书、信息安全管理体系认证证书，每提供一种证书得1分，最高得5分。</w:t>
            </w:r>
          </w:p>
          <w:p w14:paraId="059C2CAD">
            <w:pPr>
              <w:rPr>
                <w:rFonts w:ascii="宋体" w:hAnsi="宋体" w:eastAsia="宋体" w:cs="宋体"/>
                <w:szCs w:val="21"/>
                <w:highlight w:val="none"/>
              </w:rPr>
            </w:pPr>
            <w:r>
              <w:rPr>
                <w:rFonts w:hint="eastAsia" w:ascii="宋体" w:hAnsi="宋体" w:eastAsia="宋体" w:cs="宋体"/>
                <w:szCs w:val="21"/>
                <w:highlight w:val="none"/>
              </w:rPr>
              <w:t>注：提供认证证书复印件（或扫描件）加盖单位公章及在全国认证认可信息公共服务平台(http://cx.cnca.cn/CertECloud/result/skipResultList?certItemOne=A)上证书状态为“有效”的查询结果网页截图加盖公章，否则不得分。</w:t>
            </w:r>
          </w:p>
        </w:tc>
      </w:tr>
      <w:tr w14:paraId="467001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13" w:hRule="atLeast"/>
          <w:jc w:val="center"/>
        </w:trPr>
        <w:tc>
          <w:tcPr>
            <w:tcW w:w="745" w:type="dxa"/>
            <w:noWrap w:val="0"/>
            <w:vAlign w:val="center"/>
          </w:tcPr>
          <w:p w14:paraId="5A9EDF5B">
            <w:pPr>
              <w:ind w:left="-50"/>
              <w:jc w:val="center"/>
              <w:rPr>
                <w:rFonts w:ascii="宋体" w:hAnsi="宋体" w:eastAsia="宋体" w:cs="宋体"/>
                <w:snapToGrid w:val="0"/>
                <w:szCs w:val="21"/>
                <w:highlight w:val="none"/>
              </w:rPr>
            </w:pPr>
            <w:r>
              <w:rPr>
                <w:rFonts w:hint="eastAsia" w:ascii="宋体" w:hAnsi="宋体" w:eastAsia="宋体" w:cs="宋体"/>
                <w:snapToGrid w:val="0"/>
                <w:szCs w:val="21"/>
                <w:highlight w:val="none"/>
              </w:rPr>
              <w:t>2</w:t>
            </w:r>
          </w:p>
        </w:tc>
        <w:tc>
          <w:tcPr>
            <w:tcW w:w="1342" w:type="dxa"/>
            <w:noWrap w:val="0"/>
            <w:vAlign w:val="center"/>
          </w:tcPr>
          <w:p w14:paraId="6C704867">
            <w:pPr>
              <w:ind w:left="-50"/>
              <w:jc w:val="center"/>
              <w:rPr>
                <w:rFonts w:hint="eastAsia" w:ascii="宋体" w:hAnsi="宋体" w:eastAsia="宋体" w:cs="宋体"/>
                <w:snapToGrid w:val="0"/>
                <w:szCs w:val="21"/>
                <w:highlight w:val="none"/>
              </w:rPr>
            </w:pPr>
            <w:r>
              <w:rPr>
                <w:rFonts w:hint="eastAsia" w:ascii="宋体" w:hAnsi="宋体" w:eastAsia="宋体" w:cs="宋体"/>
                <w:snapToGrid w:val="0"/>
                <w:szCs w:val="21"/>
                <w:highlight w:val="none"/>
              </w:rPr>
              <w:t>投标人业绩</w:t>
            </w:r>
          </w:p>
        </w:tc>
        <w:tc>
          <w:tcPr>
            <w:tcW w:w="951" w:type="dxa"/>
            <w:noWrap w:val="0"/>
            <w:vAlign w:val="center"/>
          </w:tcPr>
          <w:p w14:paraId="0D05F987">
            <w:pPr>
              <w:spacing w:line="460" w:lineRule="exact"/>
              <w:ind w:left="-50"/>
              <w:jc w:val="center"/>
              <w:rPr>
                <w:rFonts w:hint="eastAsia" w:ascii="宋体" w:hAnsi="宋体" w:eastAsia="宋体" w:cs="宋体"/>
                <w:szCs w:val="21"/>
                <w:highlight w:val="none"/>
              </w:rPr>
            </w:pPr>
            <w:r>
              <w:rPr>
                <w:rFonts w:hint="eastAsia" w:ascii="宋体" w:hAnsi="宋体" w:eastAsia="宋体" w:cs="宋体"/>
                <w:szCs w:val="21"/>
                <w:highlight w:val="none"/>
              </w:rPr>
              <w:t>0-3分</w:t>
            </w:r>
          </w:p>
        </w:tc>
        <w:tc>
          <w:tcPr>
            <w:tcW w:w="6366" w:type="dxa"/>
            <w:noWrap w:val="0"/>
            <w:vAlign w:val="center"/>
          </w:tcPr>
          <w:p w14:paraId="5A5B29F1">
            <w:pPr>
              <w:rPr>
                <w:rFonts w:ascii="宋体" w:hAnsi="宋体" w:eastAsia="宋体" w:cs="宋体"/>
                <w:szCs w:val="21"/>
                <w:highlight w:val="none"/>
              </w:rPr>
            </w:pPr>
            <w:r>
              <w:rPr>
                <w:rFonts w:ascii="宋体" w:hAnsi="宋体" w:eastAsia="宋体" w:cs="宋体"/>
                <w:szCs w:val="21"/>
                <w:highlight w:val="none"/>
              </w:rPr>
              <w:t>投标</w:t>
            </w:r>
            <w:r>
              <w:rPr>
                <w:rFonts w:hint="eastAsia" w:ascii="宋体" w:hAnsi="宋体" w:eastAsia="宋体" w:cs="宋体"/>
                <w:szCs w:val="21"/>
                <w:highlight w:val="none"/>
              </w:rPr>
              <w:t>供应商自</w:t>
            </w:r>
            <w:r>
              <w:rPr>
                <w:rFonts w:ascii="宋体" w:hAnsi="宋体" w:eastAsia="宋体" w:cs="宋体"/>
                <w:szCs w:val="21"/>
                <w:highlight w:val="none"/>
              </w:rPr>
              <w:t>202</w:t>
            </w:r>
            <w:r>
              <w:rPr>
                <w:rFonts w:hint="eastAsia" w:ascii="宋体" w:hAnsi="宋体" w:eastAsia="宋体" w:cs="宋体"/>
                <w:szCs w:val="21"/>
                <w:highlight w:val="none"/>
              </w:rPr>
              <w:t>3</w:t>
            </w:r>
            <w:r>
              <w:rPr>
                <w:rFonts w:ascii="宋体" w:hAnsi="宋体" w:eastAsia="宋体" w:cs="宋体"/>
                <w:szCs w:val="21"/>
                <w:highlight w:val="none"/>
              </w:rPr>
              <w:t>年1月1日</w:t>
            </w:r>
            <w:r>
              <w:rPr>
                <w:rFonts w:hint="eastAsia" w:ascii="宋体" w:hAnsi="宋体" w:eastAsia="宋体" w:cs="宋体"/>
                <w:szCs w:val="21"/>
                <w:highlight w:val="none"/>
              </w:rPr>
              <w:t>（以合同签订时间为准）</w:t>
            </w:r>
            <w:r>
              <w:rPr>
                <w:rFonts w:ascii="宋体" w:hAnsi="宋体" w:eastAsia="宋体" w:cs="宋体"/>
                <w:szCs w:val="21"/>
                <w:highlight w:val="none"/>
              </w:rPr>
              <w:t>以来</w:t>
            </w:r>
            <w:r>
              <w:rPr>
                <w:rFonts w:hint="eastAsia" w:ascii="宋体" w:hAnsi="宋体" w:eastAsia="宋体" w:cs="宋体"/>
                <w:szCs w:val="21"/>
                <w:highlight w:val="none"/>
              </w:rPr>
              <w:t>具有</w:t>
            </w:r>
            <w:r>
              <w:rPr>
                <w:rFonts w:ascii="宋体" w:hAnsi="宋体" w:eastAsia="宋体" w:cs="宋体"/>
                <w:szCs w:val="21"/>
                <w:highlight w:val="none"/>
              </w:rPr>
              <w:t>类似项目业绩的，每提供1个有效业绩得1分，最高得3分。注：提供业绩合同复印件</w:t>
            </w:r>
            <w:r>
              <w:rPr>
                <w:rFonts w:hint="eastAsia" w:ascii="宋体" w:hAnsi="宋体" w:eastAsia="宋体" w:cs="宋体"/>
                <w:szCs w:val="21"/>
                <w:highlight w:val="none"/>
              </w:rPr>
              <w:t>或扫描件</w:t>
            </w:r>
            <w:r>
              <w:rPr>
                <w:rFonts w:ascii="宋体" w:hAnsi="宋体" w:eastAsia="宋体" w:cs="宋体"/>
                <w:szCs w:val="21"/>
                <w:highlight w:val="none"/>
              </w:rPr>
              <w:t>加盖投标供应商公章，否则不予得分。</w:t>
            </w:r>
          </w:p>
        </w:tc>
      </w:tr>
      <w:tr w14:paraId="786132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745" w:type="dxa"/>
            <w:noWrap w:val="0"/>
            <w:vAlign w:val="center"/>
          </w:tcPr>
          <w:p w14:paraId="12D5697E">
            <w:pPr>
              <w:ind w:left="-50"/>
              <w:jc w:val="center"/>
              <w:rPr>
                <w:rFonts w:ascii="宋体" w:hAnsi="宋体" w:eastAsia="宋体" w:cs="宋体"/>
                <w:snapToGrid w:val="0"/>
                <w:szCs w:val="21"/>
                <w:highlight w:val="none"/>
              </w:rPr>
            </w:pPr>
            <w:r>
              <w:rPr>
                <w:rFonts w:hint="eastAsia" w:ascii="宋体" w:hAnsi="宋体" w:eastAsia="宋体" w:cs="宋体"/>
                <w:snapToGrid w:val="0"/>
                <w:szCs w:val="21"/>
                <w:highlight w:val="none"/>
              </w:rPr>
              <w:t>3</w:t>
            </w:r>
          </w:p>
        </w:tc>
        <w:tc>
          <w:tcPr>
            <w:tcW w:w="1342" w:type="dxa"/>
            <w:noWrap w:val="0"/>
            <w:vAlign w:val="center"/>
          </w:tcPr>
          <w:p w14:paraId="77201BAE">
            <w:pPr>
              <w:ind w:left="-50"/>
              <w:jc w:val="center"/>
              <w:rPr>
                <w:rFonts w:ascii="宋体" w:hAnsi="宋体" w:eastAsia="宋体" w:cs="宋体"/>
                <w:snapToGrid w:val="0"/>
                <w:szCs w:val="21"/>
                <w:highlight w:val="none"/>
              </w:rPr>
            </w:pPr>
            <w:r>
              <w:rPr>
                <w:rFonts w:hint="eastAsia" w:ascii="宋体" w:hAnsi="宋体" w:eastAsia="宋体" w:cs="宋体"/>
                <w:snapToGrid w:val="0"/>
                <w:szCs w:val="21"/>
                <w:highlight w:val="none"/>
              </w:rPr>
              <w:t>投标产品的性能与需求</w:t>
            </w:r>
          </w:p>
        </w:tc>
        <w:tc>
          <w:tcPr>
            <w:tcW w:w="951" w:type="dxa"/>
            <w:noWrap w:val="0"/>
            <w:vAlign w:val="center"/>
          </w:tcPr>
          <w:p w14:paraId="31E98BEC">
            <w:pPr>
              <w:spacing w:line="460" w:lineRule="exact"/>
              <w:ind w:left="-50"/>
              <w:jc w:val="center"/>
              <w:rPr>
                <w:rFonts w:ascii="宋体" w:hAnsi="宋体" w:eastAsia="宋体" w:cs="宋体"/>
                <w:szCs w:val="21"/>
                <w:highlight w:val="none"/>
              </w:rPr>
            </w:pPr>
            <w:r>
              <w:rPr>
                <w:rFonts w:ascii="宋体" w:hAnsi="宋体" w:eastAsia="宋体" w:cs="宋体"/>
                <w:szCs w:val="21"/>
                <w:highlight w:val="none"/>
              </w:rPr>
              <w:t>0-</w:t>
            </w:r>
            <w:r>
              <w:rPr>
                <w:rFonts w:hint="eastAsia" w:ascii="宋体" w:hAnsi="宋体" w:eastAsia="宋体" w:cs="宋体"/>
                <w:szCs w:val="21"/>
                <w:highlight w:val="none"/>
              </w:rPr>
              <w:t>22</w:t>
            </w:r>
            <w:r>
              <w:rPr>
                <w:rFonts w:ascii="宋体" w:hAnsi="宋体" w:eastAsia="宋体" w:cs="宋体"/>
                <w:szCs w:val="21"/>
                <w:highlight w:val="none"/>
              </w:rPr>
              <w:t>分</w:t>
            </w:r>
          </w:p>
        </w:tc>
        <w:tc>
          <w:tcPr>
            <w:tcW w:w="6366" w:type="dxa"/>
            <w:noWrap w:val="0"/>
            <w:vAlign w:val="center"/>
          </w:tcPr>
          <w:p w14:paraId="3E33D7B9">
            <w:pPr>
              <w:rPr>
                <w:rFonts w:hint="eastAsia" w:eastAsia="宋体"/>
                <w:highlight w:val="none"/>
              </w:rPr>
            </w:pPr>
            <w:r>
              <w:rPr>
                <w:rFonts w:hint="eastAsia" w:eastAsia="宋体"/>
                <w:highlight w:val="none"/>
              </w:rPr>
              <w:t>投标产品的基本功能、技术指标与需求（第四部分 采购内容及要求→二、采购内容及要求→（二）技术要求→“技术参数/规格”</w:t>
            </w:r>
          </w:p>
          <w:p w14:paraId="4531C78E">
            <w:pPr>
              <w:rPr>
                <w:rFonts w:hint="eastAsia" w:eastAsia="宋体"/>
                <w:highlight w:val="none"/>
              </w:rPr>
            </w:pPr>
            <w:r>
              <w:rPr>
                <w:rFonts w:hint="eastAsia" w:eastAsia="宋体"/>
                <w:highlight w:val="none"/>
              </w:rPr>
              <w:t>）的吻合程度和偏差情况，是否能够满足采购文件要求，由评委根据投标供应商提供的“技术、商务偏离表”进行打分，全部满足要求的得22分；一般技术参数负偏离每项扣0.5分，标注“★”的重要条款、功能条款负偏离每项扣1分，扣完为止。注：“技术参数/规格”明确要求在投标文件中提供相应证明材料的，投标供应商须按要求提供，否则视为负偏离。</w:t>
            </w:r>
          </w:p>
        </w:tc>
      </w:tr>
      <w:tr w14:paraId="741E16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745" w:type="dxa"/>
            <w:noWrap w:val="0"/>
            <w:vAlign w:val="center"/>
          </w:tcPr>
          <w:p w14:paraId="7D86DD6B">
            <w:pPr>
              <w:ind w:left="-50"/>
              <w:jc w:val="center"/>
              <w:rPr>
                <w:rFonts w:ascii="宋体" w:hAnsi="宋体" w:eastAsia="宋体" w:cs="宋体"/>
                <w:snapToGrid w:val="0"/>
                <w:szCs w:val="21"/>
                <w:highlight w:val="none"/>
              </w:rPr>
            </w:pPr>
            <w:r>
              <w:rPr>
                <w:rFonts w:hint="eastAsia" w:ascii="宋体" w:hAnsi="宋体" w:eastAsia="宋体" w:cs="宋体"/>
                <w:snapToGrid w:val="0"/>
                <w:szCs w:val="21"/>
                <w:highlight w:val="none"/>
              </w:rPr>
              <w:t>4</w:t>
            </w:r>
          </w:p>
        </w:tc>
        <w:tc>
          <w:tcPr>
            <w:tcW w:w="1342" w:type="dxa"/>
            <w:noWrap w:val="0"/>
            <w:vAlign w:val="center"/>
          </w:tcPr>
          <w:p w14:paraId="67DDE911">
            <w:pPr>
              <w:ind w:left="-50"/>
              <w:jc w:val="center"/>
              <w:rPr>
                <w:rFonts w:hint="eastAsia" w:ascii="宋体" w:hAnsi="宋体" w:eastAsia="宋体" w:cs="宋体"/>
                <w:snapToGrid w:val="0"/>
                <w:szCs w:val="21"/>
                <w:highlight w:val="none"/>
              </w:rPr>
            </w:pPr>
            <w:r>
              <w:rPr>
                <w:rFonts w:hint="eastAsia" w:ascii="宋体" w:hAnsi="宋体" w:eastAsia="宋体" w:cs="宋体"/>
                <w:snapToGrid w:val="0"/>
                <w:szCs w:val="21"/>
                <w:highlight w:val="none"/>
              </w:rPr>
              <w:t>总体方案</w:t>
            </w:r>
          </w:p>
        </w:tc>
        <w:tc>
          <w:tcPr>
            <w:tcW w:w="951" w:type="dxa"/>
            <w:noWrap w:val="0"/>
            <w:vAlign w:val="center"/>
          </w:tcPr>
          <w:p w14:paraId="741A3990">
            <w:pPr>
              <w:spacing w:line="460" w:lineRule="exact"/>
              <w:ind w:left="-50"/>
              <w:jc w:val="center"/>
              <w:rPr>
                <w:rFonts w:ascii="宋体" w:hAnsi="宋体" w:eastAsia="宋体" w:cs="宋体"/>
                <w:szCs w:val="21"/>
                <w:highlight w:val="none"/>
              </w:rPr>
            </w:pPr>
            <w:r>
              <w:rPr>
                <w:rFonts w:ascii="宋体" w:hAnsi="宋体" w:eastAsia="宋体" w:cs="宋体"/>
                <w:szCs w:val="21"/>
                <w:highlight w:val="none"/>
              </w:rPr>
              <w:t>0-</w:t>
            </w:r>
            <w:r>
              <w:rPr>
                <w:rFonts w:hint="eastAsia" w:ascii="宋体" w:hAnsi="宋体" w:eastAsia="宋体" w:cs="宋体"/>
                <w:szCs w:val="21"/>
                <w:highlight w:val="none"/>
              </w:rPr>
              <w:t>6</w:t>
            </w:r>
            <w:r>
              <w:rPr>
                <w:rFonts w:ascii="宋体" w:hAnsi="宋体" w:eastAsia="宋体" w:cs="宋体"/>
                <w:szCs w:val="21"/>
                <w:highlight w:val="none"/>
              </w:rPr>
              <w:t>分</w:t>
            </w:r>
          </w:p>
        </w:tc>
        <w:tc>
          <w:tcPr>
            <w:tcW w:w="6366" w:type="dxa"/>
            <w:noWrap w:val="0"/>
            <w:vAlign w:val="center"/>
          </w:tcPr>
          <w:p w14:paraId="5EB4E55C">
            <w:pPr>
              <w:rPr>
                <w:rFonts w:hint="eastAsia" w:ascii="宋体" w:hAnsi="宋体" w:eastAsia="宋体" w:cs="宋体"/>
                <w:szCs w:val="21"/>
                <w:highlight w:val="none"/>
              </w:rPr>
            </w:pPr>
            <w:r>
              <w:rPr>
                <w:rFonts w:hint="eastAsia" w:ascii="宋体" w:hAnsi="宋体" w:eastAsia="宋体" w:cs="宋体"/>
                <w:szCs w:val="21"/>
                <w:highlight w:val="none"/>
              </w:rPr>
              <w:t>根据投标供应商提出的项目实施计划、安全保证措施、质量保证措施、进度保证措施和环境保证措施等的合理性、可行性进行打分：</w:t>
            </w:r>
          </w:p>
          <w:p w14:paraId="73BEB0D4">
            <w:pPr>
              <w:rPr>
                <w:rFonts w:hint="eastAsia" w:ascii="宋体" w:hAnsi="宋体" w:eastAsia="宋体" w:cs="宋体"/>
                <w:szCs w:val="21"/>
                <w:highlight w:val="none"/>
              </w:rPr>
            </w:pPr>
            <w:r>
              <w:rPr>
                <w:rFonts w:hint="eastAsia" w:ascii="宋体" w:hAnsi="宋体" w:eastAsia="宋体" w:cs="宋体"/>
                <w:szCs w:val="21"/>
                <w:highlight w:val="none"/>
              </w:rPr>
              <w:t>合理性、可行性强得4.1-6分；</w:t>
            </w:r>
          </w:p>
          <w:p w14:paraId="509C2728">
            <w:pPr>
              <w:rPr>
                <w:rFonts w:hint="eastAsia" w:ascii="宋体" w:hAnsi="宋体" w:eastAsia="宋体" w:cs="宋体"/>
                <w:szCs w:val="21"/>
                <w:highlight w:val="none"/>
              </w:rPr>
            </w:pPr>
            <w:r>
              <w:rPr>
                <w:rFonts w:hint="eastAsia" w:ascii="宋体" w:hAnsi="宋体" w:eastAsia="宋体" w:cs="宋体"/>
                <w:szCs w:val="21"/>
                <w:highlight w:val="none"/>
              </w:rPr>
              <w:t>合理性、可行性一般得2.1-4分；</w:t>
            </w:r>
          </w:p>
          <w:p w14:paraId="3ABBFE48">
            <w:pPr>
              <w:rPr>
                <w:rFonts w:hint="eastAsia" w:ascii="宋体" w:hAnsi="宋体" w:eastAsia="宋体" w:cs="宋体"/>
                <w:szCs w:val="21"/>
                <w:highlight w:val="none"/>
              </w:rPr>
            </w:pPr>
            <w:r>
              <w:rPr>
                <w:rFonts w:hint="eastAsia" w:ascii="宋体" w:hAnsi="宋体" w:eastAsia="宋体" w:cs="宋体"/>
                <w:szCs w:val="21"/>
                <w:highlight w:val="none"/>
              </w:rPr>
              <w:t>合理性、可行性差得0-2分。</w:t>
            </w:r>
          </w:p>
        </w:tc>
      </w:tr>
      <w:tr w14:paraId="122BA4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745" w:type="dxa"/>
            <w:noWrap w:val="0"/>
            <w:vAlign w:val="center"/>
          </w:tcPr>
          <w:p w14:paraId="50A1C184">
            <w:pPr>
              <w:ind w:left="-50"/>
              <w:jc w:val="center"/>
              <w:rPr>
                <w:rFonts w:ascii="宋体" w:hAnsi="宋体" w:eastAsia="宋体" w:cs="宋体"/>
                <w:snapToGrid w:val="0"/>
                <w:szCs w:val="21"/>
                <w:highlight w:val="none"/>
              </w:rPr>
            </w:pPr>
            <w:r>
              <w:rPr>
                <w:rFonts w:hint="eastAsia" w:ascii="宋体" w:hAnsi="宋体" w:eastAsia="宋体" w:cs="宋体"/>
                <w:snapToGrid w:val="0"/>
                <w:szCs w:val="21"/>
                <w:highlight w:val="none"/>
              </w:rPr>
              <w:t>5</w:t>
            </w:r>
          </w:p>
        </w:tc>
        <w:tc>
          <w:tcPr>
            <w:tcW w:w="1342" w:type="dxa"/>
            <w:noWrap w:val="0"/>
            <w:vAlign w:val="center"/>
          </w:tcPr>
          <w:p w14:paraId="3900C6F4">
            <w:pPr>
              <w:ind w:left="-50"/>
              <w:jc w:val="center"/>
              <w:rPr>
                <w:rFonts w:hint="eastAsia" w:ascii="宋体" w:hAnsi="宋体" w:eastAsia="宋体" w:cs="宋体"/>
                <w:snapToGrid w:val="0"/>
                <w:szCs w:val="21"/>
                <w:highlight w:val="none"/>
              </w:rPr>
            </w:pPr>
            <w:r>
              <w:rPr>
                <w:rFonts w:hint="eastAsia" w:ascii="宋体" w:hAnsi="宋体" w:eastAsia="宋体" w:cs="宋体"/>
                <w:snapToGrid w:val="0"/>
                <w:szCs w:val="21"/>
                <w:highlight w:val="none"/>
              </w:rPr>
              <w:t>架构方案</w:t>
            </w:r>
          </w:p>
        </w:tc>
        <w:tc>
          <w:tcPr>
            <w:tcW w:w="951" w:type="dxa"/>
            <w:noWrap w:val="0"/>
            <w:vAlign w:val="center"/>
          </w:tcPr>
          <w:p w14:paraId="3B21A465">
            <w:pPr>
              <w:ind w:left="-50"/>
              <w:jc w:val="center"/>
              <w:rPr>
                <w:rFonts w:ascii="宋体" w:hAnsi="宋体" w:eastAsia="宋体" w:cs="宋体"/>
                <w:snapToGrid w:val="0"/>
                <w:szCs w:val="21"/>
                <w:highlight w:val="none"/>
              </w:rPr>
            </w:pPr>
            <w:r>
              <w:rPr>
                <w:rFonts w:ascii="宋体" w:hAnsi="宋体" w:eastAsia="宋体" w:cs="宋体"/>
                <w:snapToGrid w:val="0"/>
                <w:szCs w:val="21"/>
                <w:highlight w:val="none"/>
              </w:rPr>
              <w:t>0-</w:t>
            </w:r>
            <w:r>
              <w:rPr>
                <w:rFonts w:hint="eastAsia" w:ascii="宋体" w:hAnsi="宋体" w:eastAsia="宋体" w:cs="宋体"/>
                <w:snapToGrid w:val="0"/>
                <w:szCs w:val="21"/>
                <w:highlight w:val="none"/>
              </w:rPr>
              <w:t>3</w:t>
            </w:r>
            <w:r>
              <w:rPr>
                <w:rFonts w:ascii="宋体" w:hAnsi="宋体" w:eastAsia="宋体" w:cs="宋体"/>
                <w:snapToGrid w:val="0"/>
                <w:szCs w:val="21"/>
                <w:highlight w:val="none"/>
              </w:rPr>
              <w:t>分</w:t>
            </w:r>
          </w:p>
        </w:tc>
        <w:tc>
          <w:tcPr>
            <w:tcW w:w="6366" w:type="dxa"/>
            <w:noWrap w:val="0"/>
            <w:vAlign w:val="center"/>
          </w:tcPr>
          <w:p w14:paraId="10832C3F">
            <w:pPr>
              <w:rPr>
                <w:rFonts w:hint="eastAsia" w:ascii="宋体" w:hAnsi="宋体" w:eastAsia="宋体" w:cs="宋体"/>
                <w:szCs w:val="21"/>
                <w:highlight w:val="none"/>
              </w:rPr>
            </w:pPr>
            <w:r>
              <w:rPr>
                <w:rFonts w:hint="eastAsia" w:ascii="宋体" w:hAnsi="宋体" w:eastAsia="宋体" w:cs="宋体"/>
                <w:szCs w:val="21"/>
                <w:highlight w:val="none"/>
              </w:rPr>
              <w:t>根据投标供应商提出的技术架构方案的合理性、可行性进行打分：</w:t>
            </w:r>
          </w:p>
          <w:p w14:paraId="75A5887A">
            <w:pPr>
              <w:rPr>
                <w:rFonts w:hint="eastAsia" w:ascii="宋体" w:hAnsi="宋体" w:eastAsia="宋体" w:cs="宋体"/>
                <w:szCs w:val="21"/>
                <w:highlight w:val="none"/>
              </w:rPr>
            </w:pPr>
            <w:r>
              <w:rPr>
                <w:rFonts w:hint="eastAsia" w:ascii="宋体" w:hAnsi="宋体" w:eastAsia="宋体" w:cs="宋体"/>
                <w:szCs w:val="21"/>
                <w:highlight w:val="none"/>
              </w:rPr>
              <w:t>合理性、可行性强得2.1-3分；</w:t>
            </w:r>
          </w:p>
          <w:p w14:paraId="47C0F1C7">
            <w:pPr>
              <w:rPr>
                <w:rFonts w:hint="eastAsia" w:ascii="宋体" w:hAnsi="宋体" w:eastAsia="宋体" w:cs="宋体"/>
                <w:szCs w:val="21"/>
                <w:highlight w:val="none"/>
              </w:rPr>
            </w:pPr>
            <w:r>
              <w:rPr>
                <w:rFonts w:hint="eastAsia" w:ascii="宋体" w:hAnsi="宋体" w:eastAsia="宋体" w:cs="宋体"/>
                <w:szCs w:val="21"/>
                <w:highlight w:val="none"/>
              </w:rPr>
              <w:t>合理性、可行性一般得1.1-2分；</w:t>
            </w:r>
          </w:p>
          <w:p w14:paraId="337FD1AD">
            <w:pPr>
              <w:rPr>
                <w:rFonts w:hint="eastAsia" w:ascii="宋体" w:hAnsi="宋体" w:eastAsia="宋体" w:cs="宋体"/>
                <w:szCs w:val="21"/>
                <w:highlight w:val="none"/>
              </w:rPr>
            </w:pPr>
            <w:r>
              <w:rPr>
                <w:rFonts w:hint="eastAsia" w:ascii="宋体" w:hAnsi="宋体" w:eastAsia="宋体" w:cs="宋体"/>
                <w:szCs w:val="21"/>
                <w:highlight w:val="none"/>
              </w:rPr>
              <w:t>合理性、可行性差得0-1分。</w:t>
            </w:r>
          </w:p>
        </w:tc>
      </w:tr>
      <w:tr w14:paraId="1C4A35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745" w:type="dxa"/>
            <w:noWrap w:val="0"/>
            <w:vAlign w:val="center"/>
          </w:tcPr>
          <w:p w14:paraId="3F72B17D">
            <w:pPr>
              <w:ind w:left="-50"/>
              <w:jc w:val="center"/>
              <w:rPr>
                <w:rFonts w:hint="eastAsia" w:ascii="宋体" w:hAnsi="宋体" w:eastAsia="宋体" w:cs="宋体"/>
                <w:snapToGrid w:val="0"/>
                <w:szCs w:val="21"/>
                <w:highlight w:val="none"/>
              </w:rPr>
            </w:pPr>
            <w:r>
              <w:rPr>
                <w:rFonts w:hint="eastAsia" w:ascii="宋体" w:hAnsi="宋体" w:eastAsia="宋体" w:cs="宋体"/>
                <w:snapToGrid w:val="0"/>
                <w:szCs w:val="21"/>
                <w:highlight w:val="none"/>
              </w:rPr>
              <w:t>6</w:t>
            </w:r>
          </w:p>
        </w:tc>
        <w:tc>
          <w:tcPr>
            <w:tcW w:w="1342" w:type="dxa"/>
            <w:noWrap w:val="0"/>
            <w:vAlign w:val="center"/>
          </w:tcPr>
          <w:p w14:paraId="5C3646A6">
            <w:pPr>
              <w:ind w:left="-50"/>
              <w:jc w:val="center"/>
              <w:rPr>
                <w:rFonts w:hint="eastAsia" w:ascii="宋体" w:hAnsi="宋体" w:eastAsia="宋体" w:cs="宋体"/>
                <w:snapToGrid w:val="0"/>
                <w:szCs w:val="21"/>
                <w:highlight w:val="none"/>
              </w:rPr>
            </w:pPr>
            <w:r>
              <w:rPr>
                <w:rFonts w:hint="eastAsia" w:ascii="宋体" w:hAnsi="宋体" w:eastAsia="宋体" w:cs="宋体"/>
                <w:snapToGrid w:val="0"/>
                <w:szCs w:val="21"/>
                <w:highlight w:val="none"/>
              </w:rPr>
              <w:t>实施组织方案</w:t>
            </w:r>
          </w:p>
        </w:tc>
        <w:tc>
          <w:tcPr>
            <w:tcW w:w="951" w:type="dxa"/>
            <w:noWrap w:val="0"/>
            <w:vAlign w:val="center"/>
          </w:tcPr>
          <w:p w14:paraId="64C442B0">
            <w:pPr>
              <w:ind w:left="-50"/>
              <w:jc w:val="center"/>
              <w:rPr>
                <w:rFonts w:ascii="宋体" w:hAnsi="宋体" w:eastAsia="宋体" w:cs="宋体"/>
                <w:snapToGrid w:val="0"/>
                <w:szCs w:val="21"/>
                <w:highlight w:val="none"/>
              </w:rPr>
            </w:pPr>
            <w:r>
              <w:rPr>
                <w:rFonts w:hint="eastAsia" w:ascii="宋体" w:hAnsi="宋体" w:eastAsia="宋体" w:cs="宋体"/>
                <w:snapToGrid w:val="0"/>
                <w:szCs w:val="21"/>
                <w:highlight w:val="none"/>
              </w:rPr>
              <w:t>0-10</w:t>
            </w:r>
            <w:r>
              <w:rPr>
                <w:rFonts w:ascii="宋体" w:hAnsi="宋体" w:eastAsia="宋体" w:cs="宋体"/>
                <w:snapToGrid w:val="0"/>
                <w:szCs w:val="21"/>
                <w:highlight w:val="none"/>
              </w:rPr>
              <w:t>分</w:t>
            </w:r>
          </w:p>
        </w:tc>
        <w:tc>
          <w:tcPr>
            <w:tcW w:w="6366" w:type="dxa"/>
            <w:noWrap w:val="0"/>
            <w:vAlign w:val="center"/>
          </w:tcPr>
          <w:p w14:paraId="42E536E8">
            <w:pPr>
              <w:rPr>
                <w:rFonts w:hint="eastAsia" w:ascii="宋体" w:hAnsi="宋体" w:eastAsia="宋体" w:cs="宋体"/>
                <w:szCs w:val="21"/>
                <w:highlight w:val="none"/>
              </w:rPr>
            </w:pPr>
            <w:r>
              <w:rPr>
                <w:rFonts w:hint="eastAsia" w:ascii="宋体" w:hAnsi="宋体" w:eastAsia="宋体" w:cs="宋体"/>
                <w:szCs w:val="21"/>
                <w:highlight w:val="none"/>
              </w:rPr>
              <w:t>根据投标供应商提供项目产品供货、运输、装卸、就位、安装、调试、检验、试运行等方案，以及组织机构、工作时间进度表、管理和协调方法等内容是否具体、详细、可行，有利于项目实施的情况等的合理性、可行性进行打分。</w:t>
            </w:r>
          </w:p>
          <w:p w14:paraId="2B916741">
            <w:pPr>
              <w:rPr>
                <w:rFonts w:hint="eastAsia" w:ascii="宋体" w:hAnsi="宋体" w:eastAsia="宋体" w:cs="宋体"/>
                <w:szCs w:val="21"/>
                <w:highlight w:val="none"/>
              </w:rPr>
            </w:pPr>
            <w:r>
              <w:rPr>
                <w:rFonts w:hint="eastAsia" w:ascii="宋体" w:hAnsi="宋体" w:eastAsia="宋体" w:cs="宋体"/>
                <w:szCs w:val="21"/>
                <w:highlight w:val="none"/>
              </w:rPr>
              <w:t>合理性、可行性强得6.8-10分；</w:t>
            </w:r>
          </w:p>
          <w:p w14:paraId="57CC6E10">
            <w:pPr>
              <w:rPr>
                <w:rFonts w:hint="eastAsia" w:ascii="宋体" w:hAnsi="宋体" w:eastAsia="宋体" w:cs="宋体"/>
                <w:szCs w:val="21"/>
                <w:highlight w:val="none"/>
              </w:rPr>
            </w:pPr>
            <w:r>
              <w:rPr>
                <w:rFonts w:hint="eastAsia" w:ascii="宋体" w:hAnsi="宋体" w:eastAsia="宋体" w:cs="宋体"/>
                <w:szCs w:val="21"/>
                <w:highlight w:val="none"/>
              </w:rPr>
              <w:t>合理性、可行性一般得3.4-6.7分；</w:t>
            </w:r>
          </w:p>
          <w:p w14:paraId="40D829CD">
            <w:pPr>
              <w:rPr>
                <w:rFonts w:hint="eastAsia" w:ascii="宋体" w:hAnsi="宋体" w:eastAsia="宋体" w:cs="宋体"/>
                <w:szCs w:val="21"/>
                <w:highlight w:val="none"/>
              </w:rPr>
            </w:pPr>
            <w:r>
              <w:rPr>
                <w:rFonts w:hint="eastAsia" w:ascii="宋体" w:hAnsi="宋体" w:eastAsia="宋体" w:cs="宋体"/>
                <w:szCs w:val="21"/>
                <w:highlight w:val="none"/>
              </w:rPr>
              <w:t>合理性、可行性差得0-3.3分。</w:t>
            </w:r>
          </w:p>
        </w:tc>
      </w:tr>
      <w:tr w14:paraId="604783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745" w:type="dxa"/>
            <w:vMerge w:val="restart"/>
            <w:noWrap w:val="0"/>
            <w:vAlign w:val="center"/>
          </w:tcPr>
          <w:p w14:paraId="7C2CC633">
            <w:pPr>
              <w:ind w:left="-50"/>
              <w:jc w:val="center"/>
              <w:rPr>
                <w:rFonts w:ascii="宋体" w:hAnsi="宋体" w:eastAsia="宋体" w:cs="宋体"/>
                <w:snapToGrid w:val="0"/>
                <w:szCs w:val="21"/>
                <w:highlight w:val="none"/>
              </w:rPr>
            </w:pPr>
            <w:r>
              <w:rPr>
                <w:rFonts w:hint="eastAsia" w:ascii="宋体" w:hAnsi="宋体" w:eastAsia="宋体" w:cs="宋体"/>
                <w:snapToGrid w:val="0"/>
                <w:szCs w:val="21"/>
                <w:highlight w:val="none"/>
              </w:rPr>
              <w:t>7</w:t>
            </w:r>
          </w:p>
        </w:tc>
        <w:tc>
          <w:tcPr>
            <w:tcW w:w="1342" w:type="dxa"/>
            <w:vMerge w:val="restart"/>
            <w:noWrap w:val="0"/>
            <w:vAlign w:val="center"/>
          </w:tcPr>
          <w:p w14:paraId="0CDC1FE9">
            <w:pPr>
              <w:ind w:left="-50"/>
              <w:jc w:val="center"/>
              <w:rPr>
                <w:rFonts w:hint="eastAsia" w:ascii="宋体" w:hAnsi="宋体" w:eastAsia="宋体" w:cs="宋体"/>
                <w:snapToGrid w:val="0"/>
                <w:szCs w:val="21"/>
                <w:highlight w:val="none"/>
              </w:rPr>
            </w:pPr>
            <w:r>
              <w:rPr>
                <w:rFonts w:hint="eastAsia" w:ascii="宋体" w:hAnsi="宋体" w:eastAsia="宋体" w:cs="宋体"/>
                <w:snapToGrid w:val="0"/>
                <w:szCs w:val="21"/>
                <w:highlight w:val="none"/>
              </w:rPr>
              <w:t>拟派项目团队情况</w:t>
            </w:r>
          </w:p>
        </w:tc>
        <w:tc>
          <w:tcPr>
            <w:tcW w:w="951" w:type="dxa"/>
            <w:noWrap w:val="0"/>
            <w:vAlign w:val="center"/>
          </w:tcPr>
          <w:p w14:paraId="783D08A4">
            <w:pPr>
              <w:spacing w:line="460" w:lineRule="exact"/>
              <w:ind w:left="-50"/>
              <w:jc w:val="center"/>
              <w:rPr>
                <w:rFonts w:ascii="宋体" w:hAnsi="宋体" w:eastAsia="宋体" w:cs="宋体"/>
                <w:szCs w:val="21"/>
                <w:highlight w:val="none"/>
              </w:rPr>
            </w:pPr>
            <w:r>
              <w:rPr>
                <w:rFonts w:hint="eastAsia" w:ascii="宋体" w:hAnsi="宋体" w:eastAsia="宋体" w:cs="宋体"/>
                <w:szCs w:val="21"/>
                <w:highlight w:val="none"/>
              </w:rPr>
              <w:t>0-6分</w:t>
            </w:r>
          </w:p>
        </w:tc>
        <w:tc>
          <w:tcPr>
            <w:tcW w:w="6366" w:type="dxa"/>
            <w:noWrap w:val="0"/>
            <w:vAlign w:val="center"/>
          </w:tcPr>
          <w:p w14:paraId="0617E4E8">
            <w:pPr>
              <w:numPr>
                <w:ilvl w:val="0"/>
                <w:numId w:val="13"/>
              </w:numPr>
              <w:rPr>
                <w:rFonts w:hint="eastAsia" w:eastAsia="宋体"/>
                <w:highlight w:val="none"/>
              </w:rPr>
            </w:pPr>
            <w:r>
              <w:rPr>
                <w:rFonts w:hint="eastAsia" w:eastAsia="宋体"/>
                <w:highlight w:val="none"/>
              </w:rPr>
              <w:t>投标供应商拟派服务于此次项目的项目负责人（一名）：</w:t>
            </w:r>
          </w:p>
          <w:p w14:paraId="56571917">
            <w:pPr>
              <w:rPr>
                <w:rFonts w:hint="eastAsia" w:eastAsia="宋体"/>
                <w:highlight w:val="none"/>
              </w:rPr>
            </w:pPr>
            <w:r>
              <w:rPr>
                <w:rFonts w:hint="eastAsia" w:eastAsia="宋体"/>
                <w:highlight w:val="none"/>
              </w:rPr>
              <w:t>具有信息系统项目管理师高级证书（软考）的得2分；</w:t>
            </w:r>
          </w:p>
          <w:p w14:paraId="56E6C661">
            <w:pPr>
              <w:rPr>
                <w:rFonts w:hint="eastAsia" w:eastAsia="宋体"/>
                <w:highlight w:val="none"/>
              </w:rPr>
            </w:pPr>
            <w:r>
              <w:rPr>
                <w:rFonts w:hint="eastAsia" w:eastAsia="宋体"/>
                <w:highlight w:val="none"/>
              </w:rPr>
              <w:t>具有信息安全工程师证书（高级）的得2分；</w:t>
            </w:r>
          </w:p>
          <w:p w14:paraId="0CA456B9">
            <w:pPr>
              <w:rPr>
                <w:rFonts w:hint="eastAsia" w:eastAsia="宋体"/>
                <w:highlight w:val="none"/>
              </w:rPr>
            </w:pPr>
            <w:r>
              <w:rPr>
                <w:rFonts w:hint="eastAsia" w:eastAsia="宋体"/>
                <w:highlight w:val="none"/>
              </w:rPr>
              <w:t>具有网络规划设计师高级证书（软考）的得2分。</w:t>
            </w:r>
          </w:p>
          <w:p w14:paraId="478E3ACA">
            <w:pPr>
              <w:rPr>
                <w:rFonts w:hint="eastAsia" w:eastAsia="宋体"/>
                <w:highlight w:val="none"/>
              </w:rPr>
            </w:pPr>
            <w:r>
              <w:rPr>
                <w:rFonts w:hint="eastAsia" w:eastAsia="宋体"/>
                <w:highlight w:val="none"/>
              </w:rPr>
              <w:t>本项最高得6分。</w:t>
            </w:r>
          </w:p>
          <w:p w14:paraId="55F54EDD">
            <w:pPr>
              <w:rPr>
                <w:rFonts w:eastAsia="宋体"/>
                <w:highlight w:val="none"/>
              </w:rPr>
            </w:pPr>
            <w:r>
              <w:rPr>
                <w:rFonts w:hint="eastAsia" w:eastAsia="宋体"/>
                <w:highlight w:val="none"/>
              </w:rPr>
              <w:t>注：提供有效的相关证书复印件或扫描件加盖投标供应商公章及2026年3月以来任意一个月投标供应商为其缴纳的社保证明复印件或扫描件加盖投标供应商公章，否则不予得分。</w:t>
            </w:r>
          </w:p>
        </w:tc>
      </w:tr>
      <w:tr w14:paraId="3A82AC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745" w:type="dxa"/>
            <w:vMerge w:val="continue"/>
            <w:noWrap w:val="0"/>
            <w:vAlign w:val="center"/>
          </w:tcPr>
          <w:p w14:paraId="6417A15F">
            <w:pPr>
              <w:ind w:left="-50"/>
              <w:jc w:val="center"/>
              <w:rPr>
                <w:rFonts w:hint="eastAsia" w:ascii="宋体" w:hAnsi="宋体" w:eastAsia="宋体" w:cs="宋体"/>
                <w:snapToGrid w:val="0"/>
                <w:szCs w:val="21"/>
                <w:highlight w:val="none"/>
              </w:rPr>
            </w:pPr>
          </w:p>
        </w:tc>
        <w:tc>
          <w:tcPr>
            <w:tcW w:w="1342" w:type="dxa"/>
            <w:vMerge w:val="continue"/>
            <w:noWrap w:val="0"/>
            <w:vAlign w:val="center"/>
          </w:tcPr>
          <w:p w14:paraId="04978707">
            <w:pPr>
              <w:ind w:left="-50"/>
              <w:jc w:val="center"/>
              <w:rPr>
                <w:rFonts w:hint="eastAsia" w:ascii="宋体" w:hAnsi="宋体" w:eastAsia="宋体" w:cs="宋体"/>
                <w:snapToGrid w:val="0"/>
                <w:szCs w:val="21"/>
                <w:highlight w:val="none"/>
              </w:rPr>
            </w:pPr>
          </w:p>
        </w:tc>
        <w:tc>
          <w:tcPr>
            <w:tcW w:w="951" w:type="dxa"/>
            <w:noWrap w:val="0"/>
            <w:vAlign w:val="center"/>
          </w:tcPr>
          <w:p w14:paraId="24AF601A">
            <w:pPr>
              <w:spacing w:line="460" w:lineRule="exact"/>
              <w:ind w:left="-50"/>
              <w:jc w:val="center"/>
              <w:rPr>
                <w:rFonts w:ascii="宋体" w:hAnsi="宋体" w:eastAsia="宋体" w:cs="宋体"/>
                <w:szCs w:val="21"/>
                <w:highlight w:val="none"/>
              </w:rPr>
            </w:pPr>
            <w:r>
              <w:rPr>
                <w:rFonts w:hint="eastAsia" w:ascii="宋体" w:hAnsi="宋体" w:eastAsia="宋体" w:cs="宋体"/>
                <w:szCs w:val="21"/>
                <w:highlight w:val="none"/>
              </w:rPr>
              <w:t>0-6分</w:t>
            </w:r>
          </w:p>
        </w:tc>
        <w:tc>
          <w:tcPr>
            <w:tcW w:w="6366" w:type="dxa"/>
            <w:noWrap w:val="0"/>
            <w:vAlign w:val="center"/>
          </w:tcPr>
          <w:p w14:paraId="5332B151">
            <w:pPr>
              <w:numPr>
                <w:ilvl w:val="0"/>
                <w:numId w:val="13"/>
              </w:numPr>
              <w:rPr>
                <w:rFonts w:hint="eastAsia" w:eastAsia="宋体"/>
                <w:highlight w:val="none"/>
              </w:rPr>
            </w:pPr>
            <w:r>
              <w:rPr>
                <w:rFonts w:hint="eastAsia" w:eastAsia="宋体"/>
                <w:highlight w:val="none"/>
              </w:rPr>
              <w:t>投标供应商拟派服务于此次项目的项目团队（除项目负责人外）：具有数据库系统工程师证书（软考）的得2分；</w:t>
            </w:r>
          </w:p>
          <w:p w14:paraId="4BDB677A">
            <w:pPr>
              <w:rPr>
                <w:rFonts w:hint="eastAsia" w:eastAsia="宋体"/>
                <w:highlight w:val="none"/>
              </w:rPr>
            </w:pPr>
            <w:r>
              <w:rPr>
                <w:rFonts w:hint="eastAsia" w:eastAsia="宋体"/>
                <w:highlight w:val="none"/>
              </w:rPr>
              <w:t>具有网络规划设计师（软考）的得2分；</w:t>
            </w:r>
          </w:p>
          <w:p w14:paraId="03B18721">
            <w:pPr>
              <w:rPr>
                <w:rFonts w:hint="eastAsia" w:eastAsia="宋体"/>
                <w:highlight w:val="none"/>
              </w:rPr>
            </w:pPr>
            <w:r>
              <w:rPr>
                <w:rFonts w:hint="eastAsia" w:eastAsia="宋体"/>
                <w:highlight w:val="none"/>
              </w:rPr>
              <w:t>具有信息安全工程师（软考）的得2分。</w:t>
            </w:r>
          </w:p>
          <w:p w14:paraId="742068B5">
            <w:pPr>
              <w:rPr>
                <w:rFonts w:hint="eastAsia" w:eastAsia="宋体"/>
                <w:highlight w:val="none"/>
              </w:rPr>
            </w:pPr>
            <w:r>
              <w:rPr>
                <w:rFonts w:hint="eastAsia" w:eastAsia="宋体"/>
                <w:highlight w:val="none"/>
              </w:rPr>
              <w:t>本项最高得6分，同一人最高得2分。</w:t>
            </w:r>
          </w:p>
          <w:p w14:paraId="429246BA">
            <w:pPr>
              <w:rPr>
                <w:rFonts w:eastAsia="宋体"/>
                <w:highlight w:val="none"/>
              </w:rPr>
            </w:pPr>
            <w:r>
              <w:rPr>
                <w:rFonts w:hint="eastAsia" w:eastAsia="宋体"/>
                <w:highlight w:val="none"/>
              </w:rPr>
              <w:t>注：提供有效的相关证书复印件或扫描件加盖投标供应商公章及2026年3月以来任意一个月投标供应商为其缴纳的社保证明复印件或扫描件加盖投标供应商公章，否则不予得分。</w:t>
            </w:r>
          </w:p>
        </w:tc>
      </w:tr>
      <w:tr w14:paraId="2353CF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745" w:type="dxa"/>
            <w:noWrap w:val="0"/>
            <w:vAlign w:val="center"/>
          </w:tcPr>
          <w:p w14:paraId="7F2DC6B6">
            <w:pPr>
              <w:ind w:left="-50"/>
              <w:jc w:val="center"/>
              <w:rPr>
                <w:rFonts w:ascii="宋体" w:hAnsi="宋体" w:eastAsia="宋体" w:cs="宋体"/>
                <w:snapToGrid w:val="0"/>
                <w:szCs w:val="21"/>
                <w:highlight w:val="none"/>
              </w:rPr>
            </w:pPr>
            <w:r>
              <w:rPr>
                <w:rFonts w:hint="eastAsia" w:ascii="宋体" w:hAnsi="宋体" w:eastAsia="宋体" w:cs="宋体"/>
                <w:snapToGrid w:val="0"/>
                <w:szCs w:val="21"/>
                <w:highlight w:val="none"/>
              </w:rPr>
              <w:t>8</w:t>
            </w:r>
          </w:p>
        </w:tc>
        <w:tc>
          <w:tcPr>
            <w:tcW w:w="1342" w:type="dxa"/>
            <w:noWrap w:val="0"/>
            <w:vAlign w:val="center"/>
          </w:tcPr>
          <w:p w14:paraId="68A4535B">
            <w:pPr>
              <w:ind w:left="-50"/>
              <w:jc w:val="center"/>
              <w:rPr>
                <w:rFonts w:ascii="宋体" w:hAnsi="宋体" w:eastAsia="宋体" w:cs="宋体"/>
                <w:snapToGrid w:val="0"/>
                <w:szCs w:val="21"/>
                <w:highlight w:val="none"/>
              </w:rPr>
            </w:pPr>
            <w:r>
              <w:rPr>
                <w:rFonts w:hint="eastAsia" w:ascii="宋体" w:hAnsi="宋体" w:eastAsia="宋体" w:cs="宋体"/>
                <w:snapToGrid w:val="0"/>
                <w:szCs w:val="21"/>
                <w:highlight w:val="none"/>
              </w:rPr>
              <w:t>售后培训服务</w:t>
            </w:r>
          </w:p>
        </w:tc>
        <w:tc>
          <w:tcPr>
            <w:tcW w:w="951" w:type="dxa"/>
            <w:noWrap w:val="0"/>
            <w:vAlign w:val="center"/>
          </w:tcPr>
          <w:p w14:paraId="0C366231">
            <w:pPr>
              <w:ind w:left="-50"/>
              <w:jc w:val="center"/>
              <w:rPr>
                <w:rFonts w:ascii="宋体" w:hAnsi="宋体" w:eastAsia="宋体" w:cs="宋体"/>
                <w:snapToGrid w:val="0"/>
                <w:szCs w:val="21"/>
                <w:highlight w:val="none"/>
              </w:rPr>
            </w:pPr>
            <w:r>
              <w:rPr>
                <w:rFonts w:hint="eastAsia" w:ascii="宋体" w:hAnsi="宋体" w:eastAsia="宋体" w:cs="宋体"/>
                <w:snapToGrid w:val="0"/>
                <w:szCs w:val="21"/>
                <w:highlight w:val="none"/>
              </w:rPr>
              <w:t>9分</w:t>
            </w:r>
          </w:p>
        </w:tc>
        <w:tc>
          <w:tcPr>
            <w:tcW w:w="6366" w:type="dxa"/>
            <w:noWrap w:val="0"/>
            <w:vAlign w:val="center"/>
          </w:tcPr>
          <w:p w14:paraId="65A7DC09">
            <w:pPr>
              <w:rPr>
                <w:rFonts w:hint="eastAsia" w:eastAsia="宋体"/>
                <w:highlight w:val="none"/>
              </w:rPr>
            </w:pPr>
            <w:r>
              <w:rPr>
                <w:rFonts w:hint="eastAsia" w:ascii="宋体" w:hAnsi="宋体" w:cs="宋体"/>
                <w:bCs/>
                <w:sz w:val="22"/>
                <w:szCs w:val="22"/>
                <w:highlight w:val="none"/>
              </w:rPr>
              <w:t>1、</w:t>
            </w:r>
            <w:r>
              <w:rPr>
                <w:rFonts w:hint="eastAsia" w:eastAsia="宋体"/>
                <w:highlight w:val="none"/>
              </w:rPr>
              <w:t>根据投标供应商针对本项目提供的售后服务方案进行打分，包括但不限于售后服务承诺、保障措施、培训方案、应急预案等。</w:t>
            </w:r>
          </w:p>
          <w:p w14:paraId="57E43D7F">
            <w:pPr>
              <w:rPr>
                <w:rFonts w:hint="eastAsia" w:eastAsia="宋体"/>
                <w:highlight w:val="none"/>
              </w:rPr>
            </w:pPr>
            <w:r>
              <w:rPr>
                <w:rFonts w:hint="eastAsia" w:eastAsia="宋体"/>
                <w:highlight w:val="none"/>
              </w:rPr>
              <w:t>方案内容完整、科学、合理的，得2.8-4分；</w:t>
            </w:r>
          </w:p>
          <w:p w14:paraId="2E910647">
            <w:pPr>
              <w:rPr>
                <w:rFonts w:hint="eastAsia" w:eastAsia="宋体"/>
                <w:highlight w:val="none"/>
              </w:rPr>
            </w:pPr>
            <w:r>
              <w:rPr>
                <w:rFonts w:hint="eastAsia" w:eastAsia="宋体"/>
                <w:highlight w:val="none"/>
              </w:rPr>
              <w:t>方案内容基本完整、有一定科学合理性的得1.4-2.7分；</w:t>
            </w:r>
          </w:p>
          <w:p w14:paraId="09CDED75">
            <w:pPr>
              <w:rPr>
                <w:rFonts w:hint="eastAsia" w:eastAsia="宋体"/>
                <w:highlight w:val="none"/>
              </w:rPr>
            </w:pPr>
            <w:r>
              <w:rPr>
                <w:rFonts w:hint="eastAsia" w:eastAsia="宋体"/>
                <w:highlight w:val="none"/>
              </w:rPr>
              <w:t>方案内容部分可行的得0-1.3。</w:t>
            </w:r>
          </w:p>
          <w:p w14:paraId="6D4F4638">
            <w:pPr>
              <w:rPr>
                <w:rFonts w:hint="eastAsia" w:eastAsia="宋体"/>
                <w:highlight w:val="none"/>
              </w:rPr>
            </w:pPr>
            <w:r>
              <w:rPr>
                <w:rFonts w:hint="eastAsia" w:eastAsia="宋体"/>
                <w:highlight w:val="none"/>
              </w:rPr>
              <w:t>2、根据供应商售后服务网点的配置情况，由专家进行综合打分，评分范围：0-3分。</w:t>
            </w:r>
          </w:p>
          <w:p w14:paraId="2232BB0F">
            <w:pPr>
              <w:rPr>
                <w:rFonts w:ascii="宋体" w:hAnsi="宋体" w:eastAsia="宋体" w:cs="宋体"/>
                <w:szCs w:val="21"/>
                <w:highlight w:val="none"/>
              </w:rPr>
            </w:pPr>
            <w:r>
              <w:rPr>
                <w:rFonts w:hint="eastAsia" w:eastAsia="宋体"/>
                <w:highlight w:val="none"/>
              </w:rPr>
              <w:t>3、根据培训方案中培训承诺、培训方式、培训内容等内容，由专家进行综合打分，评分范围：0-2分。</w:t>
            </w:r>
          </w:p>
        </w:tc>
      </w:tr>
    </w:tbl>
    <w:p w14:paraId="7EA735FB">
      <w:pPr>
        <w:spacing w:line="380" w:lineRule="exact"/>
        <w:ind w:firstLine="422" w:firstLineChars="200"/>
        <w:rPr>
          <w:rFonts w:hint="eastAsia" w:ascii="宋体" w:hAnsi="宋体" w:cs="宋体"/>
          <w:b/>
          <w:bCs/>
          <w:szCs w:val="21"/>
          <w:highlight w:val="none"/>
          <w:lang w:bidi="he-IL"/>
        </w:rPr>
      </w:pPr>
      <w:r>
        <w:rPr>
          <w:rFonts w:hint="eastAsia" w:ascii="宋体" w:hAnsi="宋体" w:cs="宋体"/>
          <w:b/>
          <w:bCs/>
          <w:szCs w:val="21"/>
          <w:highlight w:val="none"/>
          <w:lang w:bidi="he-IL"/>
        </w:rPr>
        <w:t>评标委员会、采购机构在项目评审直至合同签订、履约期间，有权要求投标供应商出具投标文件中的合同文本及相关证明材料原件，予以确认其的真实性和有效性，如出现与事实不符等情况，将根据有关规定以“提供虚假材料谋取中标”予以处理。</w:t>
      </w:r>
    </w:p>
    <w:p w14:paraId="14C65496">
      <w:pPr>
        <w:spacing w:line="380" w:lineRule="exact"/>
        <w:ind w:firstLine="420" w:firstLineChars="200"/>
        <w:rPr>
          <w:rFonts w:hint="eastAsia" w:ascii="宋体" w:hAnsi="宋体" w:cs="宋体"/>
          <w:szCs w:val="21"/>
          <w:highlight w:val="none"/>
          <w:lang w:bidi="he-IL"/>
        </w:rPr>
      </w:pPr>
      <w:r>
        <w:rPr>
          <w:rFonts w:hint="eastAsia" w:ascii="宋体" w:hAnsi="宋体" w:cs="宋体"/>
          <w:szCs w:val="21"/>
          <w:highlight w:val="none"/>
          <w:lang w:bidi="he-IL"/>
        </w:rPr>
        <w:t>2、报价评分（30分）：</w:t>
      </w:r>
    </w:p>
    <w:p w14:paraId="5DBAC59E">
      <w:pPr>
        <w:spacing w:line="380" w:lineRule="exact"/>
        <w:ind w:firstLine="420" w:firstLineChars="200"/>
        <w:rPr>
          <w:rFonts w:hint="eastAsia" w:ascii="宋体" w:hAnsi="宋体" w:cs="宋体"/>
          <w:szCs w:val="21"/>
          <w:highlight w:val="none"/>
          <w:lang w:bidi="he-IL"/>
        </w:rPr>
      </w:pPr>
      <w:r>
        <w:rPr>
          <w:rFonts w:hint="eastAsia" w:ascii="宋体" w:hAnsi="宋体" w:cs="宋体"/>
          <w:szCs w:val="21"/>
          <w:highlight w:val="none"/>
          <w:lang w:bidi="he-IL"/>
        </w:rPr>
        <w:t>满足采购文件要求且投标价格最低的投标报价为评标基准价;</w:t>
      </w:r>
    </w:p>
    <w:p w14:paraId="627ED97E">
      <w:pPr>
        <w:spacing w:line="380" w:lineRule="exact"/>
        <w:ind w:firstLine="420" w:firstLineChars="200"/>
        <w:rPr>
          <w:rFonts w:hint="eastAsia" w:ascii="宋体" w:hAnsi="宋体" w:cs="宋体"/>
          <w:szCs w:val="21"/>
          <w:highlight w:val="none"/>
          <w:lang w:bidi="he-IL"/>
        </w:rPr>
      </w:pPr>
      <w:r>
        <w:rPr>
          <w:rFonts w:hint="eastAsia" w:ascii="宋体" w:hAnsi="宋体" w:cs="宋体"/>
          <w:szCs w:val="21"/>
          <w:highlight w:val="none"/>
          <w:lang w:bidi="he-IL"/>
        </w:rPr>
        <w:t>1）有效投标供应商的投标价等于评标基准价时，其报价评分值为满分30分；</w:t>
      </w:r>
    </w:p>
    <w:p w14:paraId="0A7F8A4A">
      <w:pPr>
        <w:spacing w:line="380" w:lineRule="exact"/>
        <w:ind w:firstLine="420" w:firstLineChars="200"/>
        <w:rPr>
          <w:rFonts w:hint="eastAsia" w:ascii="宋体" w:hAnsi="宋体" w:cs="宋体"/>
          <w:szCs w:val="21"/>
          <w:highlight w:val="none"/>
          <w:lang w:bidi="he-IL"/>
        </w:rPr>
      </w:pPr>
      <w:r>
        <w:rPr>
          <w:rFonts w:hint="eastAsia" w:ascii="宋体" w:hAnsi="宋体" w:cs="宋体"/>
          <w:szCs w:val="21"/>
          <w:highlight w:val="none"/>
          <w:lang w:bidi="he-IL"/>
        </w:rPr>
        <w:t>2）其他有效投标供应商的报价评分按以下公式计算：</w:t>
      </w:r>
    </w:p>
    <w:p w14:paraId="2CE22D3E">
      <w:pPr>
        <w:spacing w:line="380" w:lineRule="exact"/>
        <w:ind w:firstLine="420" w:firstLineChars="200"/>
        <w:rPr>
          <w:rFonts w:hint="eastAsia" w:ascii="宋体" w:hAnsi="宋体" w:cs="宋体"/>
          <w:szCs w:val="21"/>
          <w:highlight w:val="none"/>
          <w:lang w:bidi="he-IL"/>
        </w:rPr>
      </w:pPr>
      <w:r>
        <w:rPr>
          <w:rFonts w:hint="eastAsia" w:ascii="宋体" w:hAnsi="宋体" w:cs="宋体"/>
          <w:szCs w:val="21"/>
          <w:highlight w:val="none"/>
          <w:lang w:bidi="he-IL"/>
        </w:rPr>
        <w:t>报价得分=（评标基准价/投标供应商投标报价）×报价权值×100（四舍五入后保留小数2位）（报价权值为30%）</w:t>
      </w:r>
    </w:p>
    <w:p w14:paraId="78388668">
      <w:pPr>
        <w:spacing w:line="380" w:lineRule="exact"/>
        <w:ind w:firstLine="420" w:firstLineChars="200"/>
        <w:rPr>
          <w:rFonts w:hint="eastAsia" w:ascii="宋体" w:hAnsi="宋体" w:cs="宋体"/>
          <w:szCs w:val="21"/>
          <w:highlight w:val="none"/>
          <w:u w:val="single"/>
          <w:lang w:bidi="he-IL"/>
        </w:rPr>
      </w:pPr>
      <w:r>
        <w:rPr>
          <w:rFonts w:hint="eastAsia" w:ascii="宋体" w:hAnsi="宋体" w:cs="宋体"/>
          <w:szCs w:val="21"/>
          <w:highlight w:val="none"/>
          <w:u w:val="single"/>
          <w:lang w:bidi="he-IL"/>
        </w:rPr>
        <w:t>3）▲本项目采购预算55万元，投标供应商投标总报价超过采购预算金额的，其投标文件作无效标处理。</w:t>
      </w:r>
    </w:p>
    <w:p w14:paraId="1CF8A297">
      <w:pPr>
        <w:spacing w:line="380" w:lineRule="exact"/>
        <w:ind w:firstLine="420" w:firstLineChars="200"/>
        <w:rPr>
          <w:rFonts w:hint="eastAsia" w:ascii="宋体" w:hAnsi="宋体" w:cs="宋体"/>
          <w:szCs w:val="21"/>
          <w:highlight w:val="none"/>
          <w:lang w:bidi="he-IL"/>
        </w:rPr>
      </w:pPr>
      <w:r>
        <w:rPr>
          <w:rFonts w:hint="eastAsia" w:ascii="宋体" w:hAnsi="宋体" w:cs="宋体"/>
          <w:szCs w:val="21"/>
          <w:highlight w:val="none"/>
          <w:u w:val="single"/>
        </w:rPr>
        <w:t>4）▲</w:t>
      </w:r>
      <w:r>
        <w:rPr>
          <w:rFonts w:hint="eastAsia" w:ascii="宋体" w:hAnsi="宋体" w:cs="宋体"/>
          <w:szCs w:val="21"/>
          <w:highlight w:val="none"/>
          <w:u w:val="single"/>
          <w:lang w:bidi="he-IL"/>
        </w:rPr>
        <w:t>所有投标供应商商务报价均超采购预算金额，重新组织招标。</w:t>
      </w:r>
    </w:p>
    <w:p w14:paraId="119B0832">
      <w:pPr>
        <w:spacing w:line="380" w:lineRule="exact"/>
        <w:ind w:firstLine="420" w:firstLineChars="200"/>
        <w:rPr>
          <w:rFonts w:hint="eastAsia" w:ascii="宋体" w:hAnsi="宋体" w:cs="宋体"/>
          <w:szCs w:val="21"/>
          <w:highlight w:val="none"/>
          <w:lang w:bidi="he-IL"/>
        </w:rPr>
      </w:pPr>
      <w:r>
        <w:rPr>
          <w:rFonts w:hint="eastAsia" w:ascii="宋体" w:hAnsi="宋体" w:cs="宋体"/>
          <w:szCs w:val="21"/>
          <w:highlight w:val="none"/>
          <w:lang w:bidi="he-IL"/>
        </w:rPr>
        <w:t>3、有效投标供应商的综合得分为商务技术分和报价分的总和。</w:t>
      </w:r>
    </w:p>
    <w:p w14:paraId="72C1C99B">
      <w:pPr>
        <w:spacing w:line="380" w:lineRule="exact"/>
        <w:ind w:firstLine="420" w:firstLineChars="200"/>
        <w:rPr>
          <w:rFonts w:hint="eastAsia" w:ascii="宋体" w:hAnsi="宋体" w:cs="宋体"/>
          <w:szCs w:val="21"/>
          <w:highlight w:val="none"/>
          <w:lang w:bidi="he-IL"/>
        </w:rPr>
      </w:pPr>
      <w:r>
        <w:rPr>
          <w:rFonts w:hint="eastAsia" w:ascii="宋体" w:hAnsi="宋体" w:cs="宋体"/>
          <w:szCs w:val="21"/>
          <w:highlight w:val="none"/>
          <w:lang w:bidi="he-IL"/>
        </w:rPr>
        <w:t>4、本次采购由评标委员会推荐一名中标候选供应商，并编写评审报告。评标委员会依据法律法规及采购文件有关规定在有效标中按投标供应商的综合得分（即商务技术分与报价分之和）高低进行排序，综合得分第一名的投标供应商推荐为中标候选供应商（综合得分相同的，按投标报价由低到高顺序排列；综合得分相同且报价相同的，则由评标委员会以少数服从多数的原则投票选择其中一名为名次优先者）。</w:t>
      </w:r>
    </w:p>
    <w:p w14:paraId="499F631E">
      <w:pPr>
        <w:spacing w:line="380" w:lineRule="exact"/>
        <w:rPr>
          <w:rFonts w:hint="eastAsia" w:ascii="宋体" w:hAnsi="宋体" w:cs="宋体"/>
          <w:b/>
          <w:szCs w:val="21"/>
          <w:highlight w:val="none"/>
        </w:rPr>
      </w:pPr>
      <w:r>
        <w:rPr>
          <w:rFonts w:hint="eastAsia" w:ascii="宋体" w:hAnsi="宋体" w:cs="宋体"/>
          <w:b/>
          <w:szCs w:val="21"/>
          <w:highlight w:val="none"/>
        </w:rPr>
        <w:t xml:space="preserve">六、定标办法 </w:t>
      </w:r>
    </w:p>
    <w:p w14:paraId="3C4B2A5B">
      <w:pPr>
        <w:spacing w:line="380" w:lineRule="exact"/>
        <w:ind w:firstLine="420" w:firstLineChars="200"/>
        <w:rPr>
          <w:rFonts w:hint="eastAsia" w:ascii="宋体" w:hAnsi="宋体" w:cs="宋体"/>
          <w:szCs w:val="21"/>
          <w:highlight w:val="none"/>
        </w:rPr>
      </w:pPr>
      <w:r>
        <w:rPr>
          <w:rFonts w:hint="eastAsia" w:ascii="宋体" w:hAnsi="宋体" w:cs="宋体"/>
          <w:szCs w:val="21"/>
          <w:highlight w:val="none"/>
        </w:rPr>
        <w:t>本次采购由评标委员会推荐中标候选人，采购人根据评标委员会的推荐结果进行最终确认。如</w:t>
      </w:r>
      <w:r>
        <w:rPr>
          <w:rFonts w:hint="eastAsia" w:ascii="宋体" w:hAnsi="宋体" w:cs="宋体"/>
          <w:kern w:val="1"/>
          <w:szCs w:val="21"/>
          <w:highlight w:val="none"/>
        </w:rPr>
        <w:t>排名第一的中标候选供应商放弃中标；因不可抗力提出不能履行合同；或者采购文件规定应当提交履约保证金而在规定的期限内未能提交的；或未能在规定时间内与采购单位签订合同的；或者经质疑，采购人审查后，确因排名第一的候选供应商在本次采购活动中存在违法违规行为或其他原因使质疑成立的，采购人可以直接确定排名第二的中标候选供应商为中标供应商或重新招标</w:t>
      </w:r>
      <w:r>
        <w:rPr>
          <w:rFonts w:hint="eastAsia" w:ascii="宋体" w:hAnsi="宋体" w:cs="宋体"/>
          <w:szCs w:val="21"/>
          <w:highlight w:val="none"/>
        </w:rPr>
        <w:t>。</w:t>
      </w:r>
    </w:p>
    <w:p w14:paraId="6BD8D298">
      <w:pPr>
        <w:spacing w:line="380" w:lineRule="exact"/>
        <w:rPr>
          <w:rFonts w:hint="eastAsia" w:ascii="宋体" w:hAnsi="宋体" w:cs="宋体"/>
          <w:b/>
          <w:szCs w:val="21"/>
          <w:highlight w:val="none"/>
        </w:rPr>
      </w:pPr>
      <w:r>
        <w:rPr>
          <w:rFonts w:hint="eastAsia" w:ascii="宋体" w:hAnsi="宋体" w:cs="宋体"/>
          <w:b/>
          <w:szCs w:val="21"/>
          <w:highlight w:val="none"/>
        </w:rPr>
        <w:t>七、确定中标人</w:t>
      </w:r>
    </w:p>
    <w:p w14:paraId="5621953D">
      <w:pPr>
        <w:spacing w:line="380" w:lineRule="exact"/>
        <w:ind w:firstLine="420" w:firstLineChars="200"/>
        <w:rPr>
          <w:rFonts w:hint="eastAsia" w:ascii="宋体" w:hAnsi="宋体" w:cs="宋体"/>
          <w:szCs w:val="21"/>
          <w:highlight w:val="none"/>
        </w:rPr>
      </w:pPr>
      <w:r>
        <w:rPr>
          <w:rFonts w:hint="eastAsia" w:ascii="宋体" w:hAnsi="宋体" w:cs="宋体"/>
          <w:szCs w:val="21"/>
          <w:highlight w:val="none"/>
        </w:rPr>
        <w:t>采购人根据评标委员会的推荐结果进行最终确认一名中标供应商（即中标人）。采购人或者采购代理机构应当自中标人确定之日起2个工作日内在温州市阳光采购服务平台及温州市交通发展集团有限公司网站等发布中标公告，公告期为3日。供应商有质疑（异议）的应在公告期内提出（以书面形式向采购人或受其委托的采购代理机构提出质疑（异议）），对质疑答复不满的，可以在答复期满后15个工作日内向温州市交通发展集团有限公司纪检监察室投诉。公告期内无供应商提出质疑（异议）的，采购人应当向中标人发出中标通知书，并在30日内按照采购文件和中标人投标文件的约定签订合同。</w:t>
      </w:r>
    </w:p>
    <w:p w14:paraId="6727B9B8">
      <w:pPr>
        <w:spacing w:line="380" w:lineRule="exact"/>
        <w:rPr>
          <w:rFonts w:hint="eastAsia" w:ascii="宋体" w:hAnsi="宋体" w:cs="宋体"/>
          <w:b/>
          <w:szCs w:val="21"/>
          <w:highlight w:val="none"/>
        </w:rPr>
      </w:pPr>
      <w:r>
        <w:rPr>
          <w:rFonts w:hint="eastAsia" w:ascii="宋体" w:hAnsi="宋体" w:cs="宋体"/>
          <w:b/>
          <w:szCs w:val="21"/>
          <w:highlight w:val="none"/>
        </w:rPr>
        <w:t>八、投标供应商义务</w:t>
      </w:r>
    </w:p>
    <w:p w14:paraId="56E78219">
      <w:pPr>
        <w:spacing w:line="380" w:lineRule="exact"/>
        <w:ind w:firstLine="420" w:firstLineChars="200"/>
        <w:rPr>
          <w:highlight w:val="none"/>
        </w:rPr>
      </w:pPr>
      <w:r>
        <w:rPr>
          <w:rFonts w:hint="eastAsia" w:ascii="宋体" w:hAnsi="宋体" w:cs="宋体"/>
          <w:szCs w:val="21"/>
          <w:highlight w:val="none"/>
        </w:rPr>
        <w:t>投标供应商应随时接受评标委员会的询标，解答包括有关的商务、技术问题等。评标结束，所有评标资料存招标机构备查。</w:t>
      </w:r>
    </w:p>
    <w:sectPr>
      <w:pgSz w:w="11906" w:h="16838"/>
      <w:pgMar w:top="1134" w:right="1134" w:bottom="1134" w:left="1417" w:header="851" w:footer="567"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1" w:usb1="080E0000" w:usb2="00000010" w:usb3="00000000" w:csb0="00040000" w:csb1="0000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新宋体">
    <w:panose1 w:val="02010609030101010101"/>
    <w:charset w:val="86"/>
    <w:family w:val="modern"/>
    <w:pitch w:val="default"/>
    <w:sig w:usb0="00000203" w:usb1="288F0000" w:usb2="00000006" w:usb3="00000000" w:csb0="00040001" w:csb1="00000000"/>
  </w:font>
  <w:font w:name="monospace">
    <w:altName w:val="Segoe Print"/>
    <w:panose1 w:val="00000000000000000000"/>
    <w:charset w:val="00"/>
    <w:family w:val="auto"/>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1" w:usb1="080E0000" w:usb2="00000010" w:usb3="00000000" w:csb0="00040000" w:csb1="00000000"/>
  </w:font>
  <w:font w:name="font-weight : 400">
    <w:altName w:val="Times New Roman"/>
    <w:panose1 w:val="00000000000000000000"/>
    <w:charset w:val="00"/>
    <w:family w:val="auto"/>
    <w:pitch w:val="default"/>
    <w:sig w:usb0="00000000" w:usb1="00000000" w:usb2="00000000" w:usb3="00000000" w:csb0="00040001" w:csb1="00000000"/>
  </w:font>
  <w:font w:name="Arial Unicode MS">
    <w:panose1 w:val="020B0604020202020204"/>
    <w:charset w:val="86"/>
    <w:family w:val="swiss"/>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1"/>
    <w:family w:val="roman"/>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KSOFF9CC612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E38E01">
    <w:pPr>
      <w:pStyle w:val="24"/>
      <w:ind w:right="360"/>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37CCC0E1">
                          <w:pPr>
                            <w:pStyle w:val="24"/>
                            <w:rPr>
                              <w:rStyle w:val="39"/>
                            </w:rPr>
                          </w:pPr>
                          <w:r>
                            <w:rPr>
                              <w:rStyle w:val="39"/>
                            </w:rPr>
                            <w:fldChar w:fldCharType="begin"/>
                          </w:r>
                          <w:r>
                            <w:rPr>
                              <w:rStyle w:val="39"/>
                            </w:rPr>
                            <w:instrText xml:space="preserve"> PAGE  \* MERGEFORMAT </w:instrText>
                          </w:r>
                          <w:r>
                            <w:rPr>
                              <w:rStyle w:val="39"/>
                            </w:rPr>
                            <w:fldChar w:fldCharType="separate"/>
                          </w:r>
                          <w:r>
                            <w:rPr>
                              <w:rStyle w:val="39"/>
                            </w:rPr>
                            <w:t>2</w:t>
                          </w:r>
                          <w:r>
                            <w:rPr>
                              <w:rStyle w:val="39"/>
                            </w:rPr>
                            <w:fldChar w:fldCharType="end"/>
                          </w: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z0hnhNIBAACjAwAADgAAAAAAAAABACAAAAAi&#10;AQAAZHJzL2Uyb0RvYy54bWxQSwUGAAAAAAYABgBZAQAAZgUAAAAA&#10;">
              <v:fill on="f" focussize="0,0"/>
              <v:stroke on="f" weight="1.25pt"/>
              <v:imagedata o:title=""/>
              <o:lock v:ext="edit" aspectratio="f"/>
              <v:textbox inset="0mm,0mm,0mm,0mm" style="mso-fit-shape-to-text:t;">
                <w:txbxContent>
                  <w:p w14:paraId="37CCC0E1">
                    <w:pPr>
                      <w:pStyle w:val="24"/>
                      <w:rPr>
                        <w:rStyle w:val="39"/>
                      </w:rPr>
                    </w:pPr>
                    <w:r>
                      <w:rPr>
                        <w:rStyle w:val="39"/>
                      </w:rPr>
                      <w:fldChar w:fldCharType="begin"/>
                    </w:r>
                    <w:r>
                      <w:rPr>
                        <w:rStyle w:val="39"/>
                      </w:rPr>
                      <w:instrText xml:space="preserve"> PAGE  \* MERGEFORMAT </w:instrText>
                    </w:r>
                    <w:r>
                      <w:rPr>
                        <w:rStyle w:val="39"/>
                      </w:rPr>
                      <w:fldChar w:fldCharType="separate"/>
                    </w:r>
                    <w:r>
                      <w:rPr>
                        <w:rStyle w:val="39"/>
                      </w:rPr>
                      <w:t>2</w:t>
                    </w:r>
                    <w:r>
                      <w:rPr>
                        <w:rStyle w:val="39"/>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BE598F">
    <w:pPr>
      <w:pStyle w:val="24"/>
      <w:ind w:right="360" w:firstLine="4410" w:firstLineChars="245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972185" cy="147955"/>
              <wp:effectExtent l="0" t="0" r="0" b="0"/>
              <wp:wrapNone/>
              <wp:docPr id="1" name="文本框 3"/>
              <wp:cNvGraphicFramePr/>
              <a:graphic xmlns:a="http://schemas.openxmlformats.org/drawingml/2006/main">
                <a:graphicData uri="http://schemas.microsoft.com/office/word/2010/wordprocessingShape">
                  <wps:wsp>
                    <wps:cNvSpPr txBox="1"/>
                    <wps:spPr>
                      <a:xfrm>
                        <a:off x="0" y="0"/>
                        <a:ext cx="972185" cy="147955"/>
                      </a:xfrm>
                      <a:prstGeom prst="rect">
                        <a:avLst/>
                      </a:prstGeom>
                      <a:noFill/>
                      <a:ln>
                        <a:noFill/>
                      </a:ln>
                    </wps:spPr>
                    <wps:txbx>
                      <w:txbxContent>
                        <w:p w14:paraId="4D0DDB30">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58</w:t>
                          </w:r>
                          <w:r>
                            <w:rPr>
                              <w:rFonts w:hint="eastAsia"/>
                              <w:sz w:val="18"/>
                            </w:rPr>
                            <w:fldChar w:fldCharType="end"/>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1.65pt;width:76.55pt;mso-position-horizontal:center;mso-position-horizontal-relative:margin;mso-wrap-style:none;z-index:251659264;mso-width-relative:page;mso-height-relative:page;" filled="f" stroked="f" coordsize="21600,21600" o:gfxdata="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DSdpNDSAAAABAEAAA8AAAAAAAAAAQAgAAAAIgAAAGRycy9k&#10;b3ducmV2LnhtbFBLAQIUABQAAAAIAIdO4kCd++u2zwEAAJcDAAAOAAAAAAAAAAEAIAAAACEBAABk&#10;cnMvZTJvRG9jLnhtbFBLBQYAAAAABgAGAFkBAABiBQAAAAA=&#10;">
              <v:fill on="f" focussize="0,0"/>
              <v:stroke on="f"/>
              <v:imagedata o:title=""/>
              <o:lock v:ext="edit" aspectratio="f"/>
              <v:textbox inset="0mm,0mm,0mm,0mm" style="mso-fit-shape-to-text:t;">
                <w:txbxContent>
                  <w:p w14:paraId="4D0DDB30">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58</w:t>
                    </w:r>
                    <w:r>
                      <w:rPr>
                        <w:rFonts w:hint="eastAsia"/>
                        <w:sz w:val="18"/>
                      </w:rPr>
                      <w:fldChar w:fldCharType="end"/>
                    </w:r>
                  </w:p>
                </w:txbxContent>
              </v:textbox>
            </v:shape>
          </w:pict>
        </mc:Fallback>
      </mc:AlternateContent>
    </w: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88330F">
    <w:pPr>
      <w:pStyle w:val="25"/>
      <w:pBdr>
        <w:bottom w:val="none" w:color="auto" w:sz="0" w:space="1"/>
      </w:pBdr>
      <w:ind w:left="3" w:leftChars="1" w:right="-82" w:rightChars="-39" w:hanging="1" w:hangingChars="1"/>
      <w:jc w:val="left"/>
      <w:rPr>
        <w:rFonts w:hint="eastAsia"/>
      </w:rPr>
    </w:pPr>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8724BE">
    <w:pPr>
      <w:pStyle w:val="25"/>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A5703A"/>
    <w:multiLevelType w:val="singleLevel"/>
    <w:tmpl w:val="E1A5703A"/>
    <w:lvl w:ilvl="0" w:tentative="0">
      <w:start w:val="1"/>
      <w:numFmt w:val="decimal"/>
      <w:suff w:val="nothing"/>
      <w:lvlText w:val="（%1）"/>
      <w:lvlJc w:val="left"/>
    </w:lvl>
  </w:abstractNum>
  <w:abstractNum w:abstractNumId="1">
    <w:nsid w:val="EC03B961"/>
    <w:multiLevelType w:val="singleLevel"/>
    <w:tmpl w:val="EC03B961"/>
    <w:lvl w:ilvl="0" w:tentative="0">
      <w:start w:val="1"/>
      <w:numFmt w:val="decimal"/>
      <w:suff w:val="nothing"/>
      <w:lvlText w:val="%1、"/>
      <w:lvlJc w:val="left"/>
    </w:lvl>
  </w:abstractNum>
  <w:abstractNum w:abstractNumId="2">
    <w:nsid w:val="0000000D"/>
    <w:multiLevelType w:val="multilevel"/>
    <w:tmpl w:val="0000000D"/>
    <w:lvl w:ilvl="0" w:tentative="0">
      <w:start w:val="1"/>
      <w:numFmt w:val="bullet"/>
      <w:pStyle w:val="77"/>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decimal"/>
      <w:lvlText w:val="（%5）"/>
      <w:lvlJc w:val="left"/>
      <w:pPr>
        <w:tabs>
          <w:tab w:val="left" w:pos="2337"/>
        </w:tabs>
        <w:ind w:left="2337" w:hanging="657"/>
      </w:pPr>
      <w:rPr>
        <w:rFonts w:hint="eastAsia"/>
      </w:rPr>
    </w:lvl>
    <w:lvl w:ilvl="5" w:tentative="0">
      <w:start w:val="1"/>
      <w:numFmt w:val="decimal"/>
      <w:lvlText w:val="%6、"/>
      <w:lvlJc w:val="left"/>
      <w:pPr>
        <w:tabs>
          <w:tab w:val="left" w:pos="2895"/>
        </w:tabs>
        <w:ind w:left="2895" w:hanging="795"/>
      </w:pPr>
      <w:rPr>
        <w:rFonts w:hint="default"/>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
    <w:nsid w:val="13CA6AE4"/>
    <w:multiLevelType w:val="multilevel"/>
    <w:tmpl w:val="13CA6AE4"/>
    <w:lvl w:ilvl="0" w:tentative="0">
      <w:start w:val="1"/>
      <w:numFmt w:val="bullet"/>
      <w:pStyle w:val="88"/>
      <w:lvlText w:val=""/>
      <w:lvlJc w:val="left"/>
      <w:pPr>
        <w:tabs>
          <w:tab w:val="left" w:pos="0"/>
        </w:tabs>
        <w:ind w:left="839" w:hanging="419"/>
      </w:pPr>
      <w:rPr>
        <w:rFonts w:hint="default" w:ascii="Wingdings" w:hAnsi="Wingdings"/>
        <w:sz w:val="21"/>
        <w:szCs w:val="21"/>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28FC07D1"/>
    <w:multiLevelType w:val="singleLevel"/>
    <w:tmpl w:val="28FC07D1"/>
    <w:lvl w:ilvl="0" w:tentative="0">
      <w:start w:val="1"/>
      <w:numFmt w:val="decimal"/>
      <w:suff w:val="nothing"/>
      <w:lvlText w:val="%1、"/>
      <w:lvlJc w:val="left"/>
    </w:lvl>
  </w:abstractNum>
  <w:abstractNum w:abstractNumId="5">
    <w:nsid w:val="4CA75A52"/>
    <w:multiLevelType w:val="multilevel"/>
    <w:tmpl w:val="4CA75A52"/>
    <w:lvl w:ilvl="0" w:tentative="0">
      <w:start w:val="1"/>
      <w:numFmt w:val="decimal"/>
      <w:pStyle w:val="138"/>
      <w:lvlText w:val="%1)"/>
      <w:lvlJc w:val="left"/>
      <w:pPr>
        <w:ind w:left="420" w:firstLine="0"/>
      </w:pPr>
      <w:rPr>
        <w:rFonts w:hint="eastAsia"/>
      </w:rPr>
    </w:lvl>
    <w:lvl w:ilvl="1" w:tentative="0">
      <w:start w:val="1"/>
      <w:numFmt w:val="lowerLetter"/>
      <w:lvlText w:val="%2)"/>
      <w:lvlJc w:val="left"/>
      <w:pPr>
        <w:ind w:left="420" w:hanging="420"/>
      </w:pPr>
    </w:lvl>
    <w:lvl w:ilvl="2" w:tentative="0">
      <w:start w:val="1"/>
      <w:numFmt w:val="lowerRoman"/>
      <w:lvlText w:val="%3."/>
      <w:lvlJc w:val="right"/>
      <w:pPr>
        <w:ind w:left="840" w:hanging="420"/>
      </w:pPr>
    </w:lvl>
    <w:lvl w:ilvl="3" w:tentative="0">
      <w:start w:val="1"/>
      <w:numFmt w:val="decimal"/>
      <w:lvlText w:val="%4."/>
      <w:lvlJc w:val="left"/>
      <w:pPr>
        <w:ind w:left="1260" w:hanging="420"/>
      </w:pPr>
    </w:lvl>
    <w:lvl w:ilvl="4" w:tentative="0">
      <w:start w:val="1"/>
      <w:numFmt w:val="lowerLetter"/>
      <w:lvlText w:val="%5)"/>
      <w:lvlJc w:val="left"/>
      <w:pPr>
        <w:ind w:left="1680" w:hanging="420"/>
      </w:pPr>
    </w:lvl>
    <w:lvl w:ilvl="5" w:tentative="0">
      <w:start w:val="1"/>
      <w:numFmt w:val="lowerRoman"/>
      <w:lvlText w:val="%6."/>
      <w:lvlJc w:val="right"/>
      <w:pPr>
        <w:ind w:left="2100" w:hanging="420"/>
      </w:pPr>
    </w:lvl>
    <w:lvl w:ilvl="6" w:tentative="0">
      <w:start w:val="1"/>
      <w:numFmt w:val="decimal"/>
      <w:lvlText w:val="%7."/>
      <w:lvlJc w:val="left"/>
      <w:pPr>
        <w:ind w:left="2520" w:hanging="420"/>
      </w:pPr>
    </w:lvl>
    <w:lvl w:ilvl="7" w:tentative="0">
      <w:start w:val="1"/>
      <w:numFmt w:val="lowerLetter"/>
      <w:lvlText w:val="%8)"/>
      <w:lvlJc w:val="left"/>
      <w:pPr>
        <w:ind w:left="2940" w:hanging="420"/>
      </w:pPr>
    </w:lvl>
    <w:lvl w:ilvl="8" w:tentative="0">
      <w:start w:val="1"/>
      <w:numFmt w:val="lowerRoman"/>
      <w:lvlText w:val="%9."/>
      <w:lvlJc w:val="right"/>
      <w:pPr>
        <w:ind w:left="3360" w:hanging="420"/>
      </w:pPr>
    </w:lvl>
  </w:abstractNum>
  <w:abstractNum w:abstractNumId="6">
    <w:nsid w:val="4D4FA454"/>
    <w:multiLevelType w:val="singleLevel"/>
    <w:tmpl w:val="4D4FA454"/>
    <w:lvl w:ilvl="0" w:tentative="0">
      <w:start w:val="2"/>
      <w:numFmt w:val="decimal"/>
      <w:suff w:val="nothing"/>
      <w:lvlText w:val="%1、"/>
      <w:lvlJc w:val="left"/>
    </w:lvl>
  </w:abstractNum>
  <w:abstractNum w:abstractNumId="7">
    <w:nsid w:val="54F403B5"/>
    <w:multiLevelType w:val="singleLevel"/>
    <w:tmpl w:val="54F403B5"/>
    <w:lvl w:ilvl="0" w:tentative="0">
      <w:start w:val="1"/>
      <w:numFmt w:val="chineseCounting"/>
      <w:suff w:val="nothing"/>
      <w:lvlText w:val="%1、"/>
      <w:lvlJc w:val="left"/>
    </w:lvl>
  </w:abstractNum>
  <w:abstractNum w:abstractNumId="8">
    <w:nsid w:val="557FD3DA"/>
    <w:multiLevelType w:val="singleLevel"/>
    <w:tmpl w:val="557FD3DA"/>
    <w:lvl w:ilvl="0" w:tentative="0">
      <w:start w:val="3"/>
      <w:numFmt w:val="chineseCounting"/>
      <w:suff w:val="nothing"/>
      <w:lvlText w:val="%1、"/>
      <w:lvlJc w:val="left"/>
    </w:lvl>
  </w:abstractNum>
  <w:abstractNum w:abstractNumId="9">
    <w:nsid w:val="577B550A"/>
    <w:multiLevelType w:val="multilevel"/>
    <w:tmpl w:val="577B550A"/>
    <w:lvl w:ilvl="0" w:tentative="0">
      <w:start w:val="1"/>
      <w:numFmt w:val="none"/>
      <w:lvlText w:val="2"/>
      <w:lvlJc w:val="left"/>
      <w:pPr>
        <w:tabs>
          <w:tab w:val="left" w:pos="425"/>
        </w:tabs>
        <w:ind w:left="425" w:hanging="425"/>
      </w:pPr>
      <w:rPr>
        <w:rFonts w:hint="eastAsia"/>
      </w:rPr>
    </w:lvl>
    <w:lvl w:ilvl="1" w:tentative="0">
      <w:start w:val="1"/>
      <w:numFmt w:val="decimal"/>
      <w:lvlText w:val="%132.%2"/>
      <w:lvlJc w:val="left"/>
      <w:pPr>
        <w:tabs>
          <w:tab w:val="left" w:pos="992"/>
        </w:tabs>
        <w:ind w:left="992" w:hanging="567"/>
      </w:pPr>
      <w:rPr>
        <w:rFonts w:hint="eastAsia" w:ascii="宋体" w:hAnsi="宋体" w:eastAsia="宋体"/>
        <w:b w:val="0"/>
        <w:bCs w:val="0"/>
      </w:rPr>
    </w:lvl>
    <w:lvl w:ilvl="2" w:tentative="0">
      <w:start w:val="1"/>
      <w:numFmt w:val="decimal"/>
      <w:lvlText w:val="%1.%2.%3"/>
      <w:lvlJc w:val="left"/>
      <w:pPr>
        <w:tabs>
          <w:tab w:val="left" w:pos="1571"/>
        </w:tabs>
        <w:ind w:left="1418" w:hanging="567"/>
      </w:pPr>
      <w:rPr>
        <w:rFonts w:hint="eastAsia"/>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435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abstractNum w:abstractNumId="10">
    <w:nsid w:val="57CE32F7"/>
    <w:multiLevelType w:val="multilevel"/>
    <w:tmpl w:val="57CE32F7"/>
    <w:lvl w:ilvl="0" w:tentative="0">
      <w:start w:val="1"/>
      <w:numFmt w:val="none"/>
      <w:lvlText w:val="2"/>
      <w:lvlJc w:val="left"/>
    </w:lvl>
    <w:lvl w:ilvl="1" w:tentative="0">
      <w:start w:val="1"/>
      <w:numFmt w:val="decimal"/>
      <w:pStyle w:val="161"/>
      <w:lvlText w:val="%12.%2"/>
      <w:lvlJc w:val="left"/>
      <w:rPr>
        <w:rFonts w:ascii="楷体_GB2312" w:hAnsi="楷体_GB2312"/>
      </w:rPr>
    </w:lvl>
    <w:lvl w:ilvl="2" w:tentative="0">
      <w:start w:val="1"/>
      <w:numFmt w:val="decimal"/>
      <w:lvlText w:val="%1.%2.%3"/>
      <w:lvlJc w:val="left"/>
    </w:lvl>
    <w:lvl w:ilvl="3" w:tentative="0">
      <w:start w:val="1"/>
      <w:numFmt w:val="decimal"/>
      <w:lvlText w:val="%1.%2.%3.%4"/>
      <w:lvlJc w:val="left"/>
    </w:lvl>
    <w:lvl w:ilvl="4" w:tentative="0">
      <w:start w:val="1"/>
      <w:numFmt w:val="decimal"/>
      <w:lvlText w:val="%1.%2.%3.%4.%5"/>
      <w:lvlJc w:val="left"/>
    </w:lvl>
    <w:lvl w:ilvl="5" w:tentative="0">
      <w:start w:val="1"/>
      <w:numFmt w:val="decimal"/>
      <w:lvlText w:val="%1.%2.%3.%4.%5.%6"/>
      <w:lvlJc w:val="left"/>
    </w:lvl>
    <w:lvl w:ilvl="6" w:tentative="0">
      <w:start w:val="1"/>
      <w:numFmt w:val="decimal"/>
      <w:lvlText w:val="%1.%2.%3.%4.%5.%6.%7"/>
      <w:lvlJc w:val="left"/>
    </w:lvl>
    <w:lvl w:ilvl="7" w:tentative="0">
      <w:start w:val="1"/>
      <w:numFmt w:val="decimal"/>
      <w:lvlText w:val="%1.%2.%3.%4.%5.%6.%7.%8"/>
      <w:lvlJc w:val="left"/>
    </w:lvl>
    <w:lvl w:ilvl="8" w:tentative="0">
      <w:start w:val="1"/>
      <w:numFmt w:val="decimal"/>
      <w:lvlText w:val="%1.%2.%3.%4.%5.%6.%7.%8.%9"/>
      <w:lvlJc w:val="left"/>
    </w:lvl>
  </w:abstractNum>
  <w:abstractNum w:abstractNumId="11">
    <w:nsid w:val="57CE32FA"/>
    <w:multiLevelType w:val="multilevel"/>
    <w:tmpl w:val="57CE32FA"/>
    <w:lvl w:ilvl="0" w:tentative="0">
      <w:start w:val="1"/>
      <w:numFmt w:val="decimal"/>
      <w:pStyle w:val="131"/>
      <w:lvlText w:val="%1."/>
      <w:lvlJc w:val="left"/>
      <w:rPr>
        <w:rFonts w:ascii="楷体_GB2312" w:hAnsi="楷体_GB2312"/>
      </w:rPr>
    </w:lvl>
    <w:lvl w:ilvl="1" w:tentative="0">
      <w:start w:val="0"/>
      <w:numFmt w:val="none"/>
      <w:lvlText w:val=""/>
      <w:lvlJc w:val="left"/>
    </w:lvl>
    <w:lvl w:ilvl="2" w:tentative="0">
      <w:start w:val="0"/>
      <w:numFmt w:val="none"/>
      <w:lvlText w:val=""/>
      <w:lvlJc w:val="left"/>
    </w:lvl>
    <w:lvl w:ilvl="3" w:tentative="0">
      <w:start w:val="0"/>
      <w:numFmt w:val="none"/>
      <w:lvlText w:val=""/>
      <w:lvlJc w:val="left"/>
    </w:lvl>
    <w:lvl w:ilvl="4" w:tentative="0">
      <w:start w:val="0"/>
      <w:numFmt w:val="none"/>
      <w:lvlText w:val=""/>
      <w:lvlJc w:val="left"/>
    </w:lvl>
    <w:lvl w:ilvl="5" w:tentative="0">
      <w:start w:val="0"/>
      <w:numFmt w:val="none"/>
      <w:lvlText w:val=""/>
      <w:lvlJc w:val="left"/>
    </w:lvl>
    <w:lvl w:ilvl="6" w:tentative="0">
      <w:start w:val="0"/>
      <w:numFmt w:val="none"/>
      <w:lvlText w:val=""/>
      <w:lvlJc w:val="left"/>
    </w:lvl>
    <w:lvl w:ilvl="7" w:tentative="0">
      <w:start w:val="0"/>
      <w:numFmt w:val="none"/>
      <w:lvlText w:val=""/>
      <w:lvlJc w:val="left"/>
    </w:lvl>
    <w:lvl w:ilvl="8" w:tentative="0">
      <w:start w:val="0"/>
      <w:numFmt w:val="none"/>
      <w:lvlText w:val=""/>
      <w:lvlJc w:val="left"/>
    </w:lvl>
  </w:abstractNum>
  <w:abstractNum w:abstractNumId="12">
    <w:nsid w:val="6FE66CAF"/>
    <w:multiLevelType w:val="singleLevel"/>
    <w:tmpl w:val="6FE66CAF"/>
    <w:lvl w:ilvl="0" w:tentative="0">
      <w:start w:val="1"/>
      <w:numFmt w:val="decimal"/>
      <w:suff w:val="nothing"/>
      <w:lvlText w:val="%1、"/>
      <w:lvlJc w:val="left"/>
    </w:lvl>
  </w:abstractNum>
  <w:num w:numId="1">
    <w:abstractNumId w:val="2"/>
  </w:num>
  <w:num w:numId="2">
    <w:abstractNumId w:val="3"/>
  </w:num>
  <w:num w:numId="3">
    <w:abstractNumId w:val="11"/>
  </w:num>
  <w:num w:numId="4">
    <w:abstractNumId w:val="5"/>
  </w:num>
  <w:num w:numId="5">
    <w:abstractNumId w:val="10"/>
  </w:num>
  <w:num w:numId="6">
    <w:abstractNumId w:val="0"/>
  </w:num>
  <w:num w:numId="7">
    <w:abstractNumId w:val="9"/>
  </w:num>
  <w:num w:numId="8">
    <w:abstractNumId w:val="1"/>
  </w:num>
  <w:num w:numId="9">
    <w:abstractNumId w:val="12"/>
  </w:num>
  <w:num w:numId="10">
    <w:abstractNumId w:val="7"/>
  </w:num>
  <w:num w:numId="11">
    <w:abstractNumId w:val="8"/>
  </w:num>
  <w:num w:numId="12">
    <w:abstractNumId w:val="6"/>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5Yjc5OWYxNjRmZjI0Nzc3NDdkOThlYjY2MWNhNGUifQ=="/>
  </w:docVars>
  <w:rsids>
    <w:rsidRoot w:val="00172A27"/>
    <w:rsid w:val="0000045B"/>
    <w:rsid w:val="00000910"/>
    <w:rsid w:val="00001382"/>
    <w:rsid w:val="0000269A"/>
    <w:rsid w:val="00002EEF"/>
    <w:rsid w:val="00003B96"/>
    <w:rsid w:val="00004475"/>
    <w:rsid w:val="000049A2"/>
    <w:rsid w:val="000052E4"/>
    <w:rsid w:val="00005627"/>
    <w:rsid w:val="00006633"/>
    <w:rsid w:val="00006856"/>
    <w:rsid w:val="00007792"/>
    <w:rsid w:val="00007D05"/>
    <w:rsid w:val="00007FA6"/>
    <w:rsid w:val="00010272"/>
    <w:rsid w:val="00010658"/>
    <w:rsid w:val="000107BC"/>
    <w:rsid w:val="0001106C"/>
    <w:rsid w:val="000112C2"/>
    <w:rsid w:val="000112F1"/>
    <w:rsid w:val="000118AD"/>
    <w:rsid w:val="00011950"/>
    <w:rsid w:val="000125A1"/>
    <w:rsid w:val="0001303F"/>
    <w:rsid w:val="000132A3"/>
    <w:rsid w:val="0001340A"/>
    <w:rsid w:val="00013D56"/>
    <w:rsid w:val="000148BE"/>
    <w:rsid w:val="00014E8D"/>
    <w:rsid w:val="00014F0F"/>
    <w:rsid w:val="000154DD"/>
    <w:rsid w:val="000157D0"/>
    <w:rsid w:val="000157E2"/>
    <w:rsid w:val="00017528"/>
    <w:rsid w:val="00017BEE"/>
    <w:rsid w:val="00017C5A"/>
    <w:rsid w:val="0002051E"/>
    <w:rsid w:val="00020A6C"/>
    <w:rsid w:val="00020C97"/>
    <w:rsid w:val="000217D5"/>
    <w:rsid w:val="000219E6"/>
    <w:rsid w:val="0002210A"/>
    <w:rsid w:val="00022A55"/>
    <w:rsid w:val="0002319B"/>
    <w:rsid w:val="00023536"/>
    <w:rsid w:val="00023651"/>
    <w:rsid w:val="00023A83"/>
    <w:rsid w:val="00023B8C"/>
    <w:rsid w:val="00023CC4"/>
    <w:rsid w:val="0002485D"/>
    <w:rsid w:val="000257A3"/>
    <w:rsid w:val="00025E6F"/>
    <w:rsid w:val="00026885"/>
    <w:rsid w:val="000268D6"/>
    <w:rsid w:val="00026CDA"/>
    <w:rsid w:val="00027286"/>
    <w:rsid w:val="00027E21"/>
    <w:rsid w:val="00031A43"/>
    <w:rsid w:val="00032D9E"/>
    <w:rsid w:val="000336C4"/>
    <w:rsid w:val="00033C3B"/>
    <w:rsid w:val="00033E21"/>
    <w:rsid w:val="0003439D"/>
    <w:rsid w:val="00034B43"/>
    <w:rsid w:val="00034B9E"/>
    <w:rsid w:val="00034C48"/>
    <w:rsid w:val="000353A2"/>
    <w:rsid w:val="00035D89"/>
    <w:rsid w:val="000362FC"/>
    <w:rsid w:val="00036763"/>
    <w:rsid w:val="00036DC2"/>
    <w:rsid w:val="00037096"/>
    <w:rsid w:val="00037185"/>
    <w:rsid w:val="00037705"/>
    <w:rsid w:val="00037EFE"/>
    <w:rsid w:val="000402B1"/>
    <w:rsid w:val="00040A96"/>
    <w:rsid w:val="00040B6A"/>
    <w:rsid w:val="0004134C"/>
    <w:rsid w:val="0004171A"/>
    <w:rsid w:val="00041FB2"/>
    <w:rsid w:val="000428B0"/>
    <w:rsid w:val="0004296F"/>
    <w:rsid w:val="00043BE6"/>
    <w:rsid w:val="00044097"/>
    <w:rsid w:val="00044943"/>
    <w:rsid w:val="000453C0"/>
    <w:rsid w:val="00045905"/>
    <w:rsid w:val="00046230"/>
    <w:rsid w:val="000462B9"/>
    <w:rsid w:val="00046819"/>
    <w:rsid w:val="00047279"/>
    <w:rsid w:val="000476B8"/>
    <w:rsid w:val="0004799E"/>
    <w:rsid w:val="00047A4B"/>
    <w:rsid w:val="000502A4"/>
    <w:rsid w:val="00050A6E"/>
    <w:rsid w:val="000518C4"/>
    <w:rsid w:val="00051F6A"/>
    <w:rsid w:val="000524E1"/>
    <w:rsid w:val="00052BEE"/>
    <w:rsid w:val="00052EDA"/>
    <w:rsid w:val="000530D7"/>
    <w:rsid w:val="000543BA"/>
    <w:rsid w:val="00054EE1"/>
    <w:rsid w:val="00055098"/>
    <w:rsid w:val="00055504"/>
    <w:rsid w:val="00055729"/>
    <w:rsid w:val="00055A42"/>
    <w:rsid w:val="00055B7F"/>
    <w:rsid w:val="000562A9"/>
    <w:rsid w:val="00057988"/>
    <w:rsid w:val="00060193"/>
    <w:rsid w:val="00060848"/>
    <w:rsid w:val="00060E83"/>
    <w:rsid w:val="000614C6"/>
    <w:rsid w:val="00061EAA"/>
    <w:rsid w:val="0006235F"/>
    <w:rsid w:val="00062645"/>
    <w:rsid w:val="00063307"/>
    <w:rsid w:val="000637D0"/>
    <w:rsid w:val="00064A87"/>
    <w:rsid w:val="00064DC1"/>
    <w:rsid w:val="00065A2A"/>
    <w:rsid w:val="00065B97"/>
    <w:rsid w:val="00065DAD"/>
    <w:rsid w:val="00066716"/>
    <w:rsid w:val="000669A1"/>
    <w:rsid w:val="00067316"/>
    <w:rsid w:val="00067466"/>
    <w:rsid w:val="0006756C"/>
    <w:rsid w:val="00071111"/>
    <w:rsid w:val="00072E07"/>
    <w:rsid w:val="00073A41"/>
    <w:rsid w:val="0007416C"/>
    <w:rsid w:val="00075CA6"/>
    <w:rsid w:val="00076D51"/>
    <w:rsid w:val="00077438"/>
    <w:rsid w:val="00080418"/>
    <w:rsid w:val="000805F1"/>
    <w:rsid w:val="00080776"/>
    <w:rsid w:val="00081051"/>
    <w:rsid w:val="0008112D"/>
    <w:rsid w:val="000814C0"/>
    <w:rsid w:val="000815F0"/>
    <w:rsid w:val="00081770"/>
    <w:rsid w:val="00081AEF"/>
    <w:rsid w:val="00081BBF"/>
    <w:rsid w:val="00081D12"/>
    <w:rsid w:val="000821FB"/>
    <w:rsid w:val="0008327F"/>
    <w:rsid w:val="00084DE5"/>
    <w:rsid w:val="00085398"/>
    <w:rsid w:val="00085C9D"/>
    <w:rsid w:val="00085E73"/>
    <w:rsid w:val="000863EF"/>
    <w:rsid w:val="00086BC5"/>
    <w:rsid w:val="00086E21"/>
    <w:rsid w:val="00086F3A"/>
    <w:rsid w:val="00087221"/>
    <w:rsid w:val="00087F2B"/>
    <w:rsid w:val="00090406"/>
    <w:rsid w:val="0009123A"/>
    <w:rsid w:val="00091E7E"/>
    <w:rsid w:val="00092376"/>
    <w:rsid w:val="000927EE"/>
    <w:rsid w:val="00092B54"/>
    <w:rsid w:val="00093646"/>
    <w:rsid w:val="0009380E"/>
    <w:rsid w:val="00093CC3"/>
    <w:rsid w:val="00093DBD"/>
    <w:rsid w:val="000943F5"/>
    <w:rsid w:val="00094C1A"/>
    <w:rsid w:val="00095404"/>
    <w:rsid w:val="00095952"/>
    <w:rsid w:val="00095DA8"/>
    <w:rsid w:val="00095EE4"/>
    <w:rsid w:val="00095F26"/>
    <w:rsid w:val="000964EB"/>
    <w:rsid w:val="0009678C"/>
    <w:rsid w:val="00096872"/>
    <w:rsid w:val="00097130"/>
    <w:rsid w:val="00097466"/>
    <w:rsid w:val="000977CC"/>
    <w:rsid w:val="00097A71"/>
    <w:rsid w:val="00097B9E"/>
    <w:rsid w:val="000A0471"/>
    <w:rsid w:val="000A26C7"/>
    <w:rsid w:val="000A31A0"/>
    <w:rsid w:val="000A38BE"/>
    <w:rsid w:val="000A38DD"/>
    <w:rsid w:val="000A59EB"/>
    <w:rsid w:val="000A5C44"/>
    <w:rsid w:val="000A635F"/>
    <w:rsid w:val="000A6421"/>
    <w:rsid w:val="000A7001"/>
    <w:rsid w:val="000A7014"/>
    <w:rsid w:val="000A705C"/>
    <w:rsid w:val="000B14D9"/>
    <w:rsid w:val="000B2470"/>
    <w:rsid w:val="000B3228"/>
    <w:rsid w:val="000B3A5B"/>
    <w:rsid w:val="000B409C"/>
    <w:rsid w:val="000B42D3"/>
    <w:rsid w:val="000B44D3"/>
    <w:rsid w:val="000B481B"/>
    <w:rsid w:val="000B4A36"/>
    <w:rsid w:val="000B4BC8"/>
    <w:rsid w:val="000B4CA5"/>
    <w:rsid w:val="000B5308"/>
    <w:rsid w:val="000B53C7"/>
    <w:rsid w:val="000B55C8"/>
    <w:rsid w:val="000B57F3"/>
    <w:rsid w:val="000B61AC"/>
    <w:rsid w:val="000B62E4"/>
    <w:rsid w:val="000B65F8"/>
    <w:rsid w:val="000B6713"/>
    <w:rsid w:val="000B6A63"/>
    <w:rsid w:val="000C0089"/>
    <w:rsid w:val="000C00CD"/>
    <w:rsid w:val="000C024B"/>
    <w:rsid w:val="000C031D"/>
    <w:rsid w:val="000C0429"/>
    <w:rsid w:val="000C0AF9"/>
    <w:rsid w:val="000C113D"/>
    <w:rsid w:val="000C2B7E"/>
    <w:rsid w:val="000C2C12"/>
    <w:rsid w:val="000C2C71"/>
    <w:rsid w:val="000C312D"/>
    <w:rsid w:val="000C3A4C"/>
    <w:rsid w:val="000C486F"/>
    <w:rsid w:val="000C4F5A"/>
    <w:rsid w:val="000C525F"/>
    <w:rsid w:val="000C536B"/>
    <w:rsid w:val="000C69DB"/>
    <w:rsid w:val="000C6EEB"/>
    <w:rsid w:val="000C7B88"/>
    <w:rsid w:val="000C7B90"/>
    <w:rsid w:val="000D0735"/>
    <w:rsid w:val="000D1016"/>
    <w:rsid w:val="000D1177"/>
    <w:rsid w:val="000D22BF"/>
    <w:rsid w:val="000D29AF"/>
    <w:rsid w:val="000D2AF4"/>
    <w:rsid w:val="000D3A62"/>
    <w:rsid w:val="000D3E69"/>
    <w:rsid w:val="000D43C8"/>
    <w:rsid w:val="000D4433"/>
    <w:rsid w:val="000D49BE"/>
    <w:rsid w:val="000D4EE5"/>
    <w:rsid w:val="000D53D7"/>
    <w:rsid w:val="000D6CFD"/>
    <w:rsid w:val="000D6E2E"/>
    <w:rsid w:val="000D7AA0"/>
    <w:rsid w:val="000D7CFA"/>
    <w:rsid w:val="000E04C4"/>
    <w:rsid w:val="000E0926"/>
    <w:rsid w:val="000E157D"/>
    <w:rsid w:val="000E1E91"/>
    <w:rsid w:val="000E1F10"/>
    <w:rsid w:val="000E2173"/>
    <w:rsid w:val="000E22F6"/>
    <w:rsid w:val="000E31E5"/>
    <w:rsid w:val="000E33F8"/>
    <w:rsid w:val="000E380B"/>
    <w:rsid w:val="000E3A79"/>
    <w:rsid w:val="000E3B3E"/>
    <w:rsid w:val="000E3DCA"/>
    <w:rsid w:val="000E3E1B"/>
    <w:rsid w:val="000E429B"/>
    <w:rsid w:val="000E4492"/>
    <w:rsid w:val="000E4DF1"/>
    <w:rsid w:val="000E5C44"/>
    <w:rsid w:val="000E5C97"/>
    <w:rsid w:val="000E6B5E"/>
    <w:rsid w:val="000E6C32"/>
    <w:rsid w:val="000E6FE0"/>
    <w:rsid w:val="000E7317"/>
    <w:rsid w:val="000E74A7"/>
    <w:rsid w:val="000F0C49"/>
    <w:rsid w:val="000F0E07"/>
    <w:rsid w:val="000F0EB8"/>
    <w:rsid w:val="000F0EFA"/>
    <w:rsid w:val="000F1016"/>
    <w:rsid w:val="000F1FCC"/>
    <w:rsid w:val="000F2658"/>
    <w:rsid w:val="000F32B0"/>
    <w:rsid w:val="000F38BF"/>
    <w:rsid w:val="000F3D91"/>
    <w:rsid w:val="000F5CA7"/>
    <w:rsid w:val="000F6922"/>
    <w:rsid w:val="000F6FC3"/>
    <w:rsid w:val="000F7945"/>
    <w:rsid w:val="000F7D14"/>
    <w:rsid w:val="00100812"/>
    <w:rsid w:val="00100D40"/>
    <w:rsid w:val="001012AF"/>
    <w:rsid w:val="00101732"/>
    <w:rsid w:val="001028A4"/>
    <w:rsid w:val="001029EA"/>
    <w:rsid w:val="00102B12"/>
    <w:rsid w:val="00102D0A"/>
    <w:rsid w:val="00103B94"/>
    <w:rsid w:val="00104EFE"/>
    <w:rsid w:val="001050CE"/>
    <w:rsid w:val="001066B4"/>
    <w:rsid w:val="001072B7"/>
    <w:rsid w:val="00107BDD"/>
    <w:rsid w:val="001107D2"/>
    <w:rsid w:val="001109F6"/>
    <w:rsid w:val="00110B0D"/>
    <w:rsid w:val="00110DE0"/>
    <w:rsid w:val="00111876"/>
    <w:rsid w:val="00112924"/>
    <w:rsid w:val="001129DD"/>
    <w:rsid w:val="001129F7"/>
    <w:rsid w:val="00112A79"/>
    <w:rsid w:val="0011356F"/>
    <w:rsid w:val="00113949"/>
    <w:rsid w:val="00113BE7"/>
    <w:rsid w:val="00114066"/>
    <w:rsid w:val="00114245"/>
    <w:rsid w:val="00114811"/>
    <w:rsid w:val="001149F3"/>
    <w:rsid w:val="00114A24"/>
    <w:rsid w:val="00114A66"/>
    <w:rsid w:val="00114E56"/>
    <w:rsid w:val="00116894"/>
    <w:rsid w:val="00116F1D"/>
    <w:rsid w:val="001170F9"/>
    <w:rsid w:val="00117103"/>
    <w:rsid w:val="0011764B"/>
    <w:rsid w:val="001177D1"/>
    <w:rsid w:val="00117FFB"/>
    <w:rsid w:val="00120014"/>
    <w:rsid w:val="00121235"/>
    <w:rsid w:val="00121340"/>
    <w:rsid w:val="00121599"/>
    <w:rsid w:val="00122576"/>
    <w:rsid w:val="00123B00"/>
    <w:rsid w:val="00123F17"/>
    <w:rsid w:val="001242FA"/>
    <w:rsid w:val="001245F0"/>
    <w:rsid w:val="00124753"/>
    <w:rsid w:val="001250D0"/>
    <w:rsid w:val="00125558"/>
    <w:rsid w:val="00125A1A"/>
    <w:rsid w:val="001265E6"/>
    <w:rsid w:val="00127321"/>
    <w:rsid w:val="00127ACF"/>
    <w:rsid w:val="00127D89"/>
    <w:rsid w:val="001300AB"/>
    <w:rsid w:val="001304E9"/>
    <w:rsid w:val="00130548"/>
    <w:rsid w:val="00130F85"/>
    <w:rsid w:val="00131523"/>
    <w:rsid w:val="0013210D"/>
    <w:rsid w:val="00132698"/>
    <w:rsid w:val="001328ED"/>
    <w:rsid w:val="00132A74"/>
    <w:rsid w:val="00132BD9"/>
    <w:rsid w:val="001330CD"/>
    <w:rsid w:val="001335B3"/>
    <w:rsid w:val="00133929"/>
    <w:rsid w:val="001348C5"/>
    <w:rsid w:val="00134921"/>
    <w:rsid w:val="0013519A"/>
    <w:rsid w:val="0013561F"/>
    <w:rsid w:val="001359A9"/>
    <w:rsid w:val="00135CB1"/>
    <w:rsid w:val="00135E99"/>
    <w:rsid w:val="00136DAD"/>
    <w:rsid w:val="00136DE9"/>
    <w:rsid w:val="00137300"/>
    <w:rsid w:val="00137466"/>
    <w:rsid w:val="00137C1A"/>
    <w:rsid w:val="00137EAF"/>
    <w:rsid w:val="00140201"/>
    <w:rsid w:val="00140FFB"/>
    <w:rsid w:val="0014159D"/>
    <w:rsid w:val="00141E37"/>
    <w:rsid w:val="001427AB"/>
    <w:rsid w:val="001433E5"/>
    <w:rsid w:val="001456DE"/>
    <w:rsid w:val="00145DFF"/>
    <w:rsid w:val="00145E2B"/>
    <w:rsid w:val="001460DE"/>
    <w:rsid w:val="0014616D"/>
    <w:rsid w:val="00147668"/>
    <w:rsid w:val="00147C4B"/>
    <w:rsid w:val="00151FF0"/>
    <w:rsid w:val="00152EA1"/>
    <w:rsid w:val="00153483"/>
    <w:rsid w:val="00153AA1"/>
    <w:rsid w:val="00153EBD"/>
    <w:rsid w:val="001544A3"/>
    <w:rsid w:val="00154836"/>
    <w:rsid w:val="00156BAA"/>
    <w:rsid w:val="00156C60"/>
    <w:rsid w:val="0015755F"/>
    <w:rsid w:val="0015758A"/>
    <w:rsid w:val="00157AE3"/>
    <w:rsid w:val="00157C3F"/>
    <w:rsid w:val="00160310"/>
    <w:rsid w:val="00160515"/>
    <w:rsid w:val="001605B3"/>
    <w:rsid w:val="0016159A"/>
    <w:rsid w:val="001623A1"/>
    <w:rsid w:val="0016314E"/>
    <w:rsid w:val="001634DC"/>
    <w:rsid w:val="0016391F"/>
    <w:rsid w:val="00163B69"/>
    <w:rsid w:val="0016460F"/>
    <w:rsid w:val="00164ADB"/>
    <w:rsid w:val="001650D5"/>
    <w:rsid w:val="001652CA"/>
    <w:rsid w:val="0016571F"/>
    <w:rsid w:val="00165F3B"/>
    <w:rsid w:val="001665A3"/>
    <w:rsid w:val="00166F28"/>
    <w:rsid w:val="001672B8"/>
    <w:rsid w:val="001702E1"/>
    <w:rsid w:val="00171110"/>
    <w:rsid w:val="0017117F"/>
    <w:rsid w:val="0017200A"/>
    <w:rsid w:val="0017216F"/>
    <w:rsid w:val="001725F9"/>
    <w:rsid w:val="00172736"/>
    <w:rsid w:val="00173483"/>
    <w:rsid w:val="00173826"/>
    <w:rsid w:val="00175EB3"/>
    <w:rsid w:val="00176460"/>
    <w:rsid w:val="001769A9"/>
    <w:rsid w:val="0017799A"/>
    <w:rsid w:val="00180F7E"/>
    <w:rsid w:val="0018151E"/>
    <w:rsid w:val="001817DA"/>
    <w:rsid w:val="00181ED8"/>
    <w:rsid w:val="00182B62"/>
    <w:rsid w:val="00184272"/>
    <w:rsid w:val="0018494C"/>
    <w:rsid w:val="00184C68"/>
    <w:rsid w:val="001856A5"/>
    <w:rsid w:val="00185C5C"/>
    <w:rsid w:val="00185F2E"/>
    <w:rsid w:val="00186A45"/>
    <w:rsid w:val="00186D4C"/>
    <w:rsid w:val="00187FF7"/>
    <w:rsid w:val="00190070"/>
    <w:rsid w:val="001905AA"/>
    <w:rsid w:val="0019114C"/>
    <w:rsid w:val="001911CA"/>
    <w:rsid w:val="00192330"/>
    <w:rsid w:val="00192333"/>
    <w:rsid w:val="00193ACA"/>
    <w:rsid w:val="00194539"/>
    <w:rsid w:val="001947C2"/>
    <w:rsid w:val="00194926"/>
    <w:rsid w:val="001951D3"/>
    <w:rsid w:val="0019689E"/>
    <w:rsid w:val="0019775A"/>
    <w:rsid w:val="00197768"/>
    <w:rsid w:val="00197A47"/>
    <w:rsid w:val="00197B7A"/>
    <w:rsid w:val="00197BA9"/>
    <w:rsid w:val="001A012B"/>
    <w:rsid w:val="001A15D2"/>
    <w:rsid w:val="001A26B5"/>
    <w:rsid w:val="001A278D"/>
    <w:rsid w:val="001A2D7D"/>
    <w:rsid w:val="001A3B8D"/>
    <w:rsid w:val="001A3E1D"/>
    <w:rsid w:val="001A4C2B"/>
    <w:rsid w:val="001A4D93"/>
    <w:rsid w:val="001A5A5E"/>
    <w:rsid w:val="001A5AA3"/>
    <w:rsid w:val="001A63EA"/>
    <w:rsid w:val="001A6776"/>
    <w:rsid w:val="001A6CE6"/>
    <w:rsid w:val="001A70FE"/>
    <w:rsid w:val="001A720F"/>
    <w:rsid w:val="001A75B5"/>
    <w:rsid w:val="001A76F2"/>
    <w:rsid w:val="001B1409"/>
    <w:rsid w:val="001B1CA1"/>
    <w:rsid w:val="001B1D51"/>
    <w:rsid w:val="001B209B"/>
    <w:rsid w:val="001B34E5"/>
    <w:rsid w:val="001B4887"/>
    <w:rsid w:val="001B4B36"/>
    <w:rsid w:val="001B4EA2"/>
    <w:rsid w:val="001B65B7"/>
    <w:rsid w:val="001B675F"/>
    <w:rsid w:val="001B6E34"/>
    <w:rsid w:val="001C0850"/>
    <w:rsid w:val="001C0BF7"/>
    <w:rsid w:val="001C0D2E"/>
    <w:rsid w:val="001C1CAA"/>
    <w:rsid w:val="001C2080"/>
    <w:rsid w:val="001C2122"/>
    <w:rsid w:val="001C28A2"/>
    <w:rsid w:val="001C29E1"/>
    <w:rsid w:val="001C39AC"/>
    <w:rsid w:val="001C3CBA"/>
    <w:rsid w:val="001C3FD2"/>
    <w:rsid w:val="001C4CD9"/>
    <w:rsid w:val="001C5352"/>
    <w:rsid w:val="001C540F"/>
    <w:rsid w:val="001C5E96"/>
    <w:rsid w:val="001C6048"/>
    <w:rsid w:val="001C64BE"/>
    <w:rsid w:val="001C693D"/>
    <w:rsid w:val="001C7350"/>
    <w:rsid w:val="001C76A6"/>
    <w:rsid w:val="001C7846"/>
    <w:rsid w:val="001C78E0"/>
    <w:rsid w:val="001C79D2"/>
    <w:rsid w:val="001C7B18"/>
    <w:rsid w:val="001D02B6"/>
    <w:rsid w:val="001D0764"/>
    <w:rsid w:val="001D1E38"/>
    <w:rsid w:val="001D1F17"/>
    <w:rsid w:val="001D29BF"/>
    <w:rsid w:val="001D3C1B"/>
    <w:rsid w:val="001D4AB0"/>
    <w:rsid w:val="001D4CF1"/>
    <w:rsid w:val="001D5D18"/>
    <w:rsid w:val="001D6443"/>
    <w:rsid w:val="001D782D"/>
    <w:rsid w:val="001D7B0A"/>
    <w:rsid w:val="001E011E"/>
    <w:rsid w:val="001E06A6"/>
    <w:rsid w:val="001E0CDF"/>
    <w:rsid w:val="001E1F38"/>
    <w:rsid w:val="001E1F92"/>
    <w:rsid w:val="001E2431"/>
    <w:rsid w:val="001E2A33"/>
    <w:rsid w:val="001E4B0C"/>
    <w:rsid w:val="001E5323"/>
    <w:rsid w:val="001E5A19"/>
    <w:rsid w:val="001E5D30"/>
    <w:rsid w:val="001E60B2"/>
    <w:rsid w:val="001E73AF"/>
    <w:rsid w:val="001E79BE"/>
    <w:rsid w:val="001F03D9"/>
    <w:rsid w:val="001F04F0"/>
    <w:rsid w:val="001F0ED8"/>
    <w:rsid w:val="001F195B"/>
    <w:rsid w:val="001F1D2C"/>
    <w:rsid w:val="001F286B"/>
    <w:rsid w:val="001F31C6"/>
    <w:rsid w:val="001F326F"/>
    <w:rsid w:val="001F3550"/>
    <w:rsid w:val="001F3A16"/>
    <w:rsid w:val="001F427C"/>
    <w:rsid w:val="001F43D9"/>
    <w:rsid w:val="001F474E"/>
    <w:rsid w:val="001F4752"/>
    <w:rsid w:val="001F5649"/>
    <w:rsid w:val="001F5DE9"/>
    <w:rsid w:val="001F666D"/>
    <w:rsid w:val="001F723E"/>
    <w:rsid w:val="00200BD2"/>
    <w:rsid w:val="002019EB"/>
    <w:rsid w:val="00202548"/>
    <w:rsid w:val="00202FA3"/>
    <w:rsid w:val="002041DD"/>
    <w:rsid w:val="00205043"/>
    <w:rsid w:val="0020613C"/>
    <w:rsid w:val="002069D3"/>
    <w:rsid w:val="0021028C"/>
    <w:rsid w:val="002104B9"/>
    <w:rsid w:val="00210C8C"/>
    <w:rsid w:val="00211270"/>
    <w:rsid w:val="00211450"/>
    <w:rsid w:val="002126BA"/>
    <w:rsid w:val="00212862"/>
    <w:rsid w:val="00212FC2"/>
    <w:rsid w:val="0021320C"/>
    <w:rsid w:val="00213256"/>
    <w:rsid w:val="00213261"/>
    <w:rsid w:val="0021364B"/>
    <w:rsid w:val="002138BC"/>
    <w:rsid w:val="002151D7"/>
    <w:rsid w:val="002154C4"/>
    <w:rsid w:val="002159D9"/>
    <w:rsid w:val="00215D82"/>
    <w:rsid w:val="00215E8B"/>
    <w:rsid w:val="002163CA"/>
    <w:rsid w:val="00216458"/>
    <w:rsid w:val="002178D6"/>
    <w:rsid w:val="00217C00"/>
    <w:rsid w:val="0022058B"/>
    <w:rsid w:val="002208B7"/>
    <w:rsid w:val="002210F3"/>
    <w:rsid w:val="00221248"/>
    <w:rsid w:val="002212BC"/>
    <w:rsid w:val="0022141D"/>
    <w:rsid w:val="0022191A"/>
    <w:rsid w:val="00221D2C"/>
    <w:rsid w:val="00221D65"/>
    <w:rsid w:val="00221E6E"/>
    <w:rsid w:val="00222884"/>
    <w:rsid w:val="00222BC2"/>
    <w:rsid w:val="002232FF"/>
    <w:rsid w:val="00223CF8"/>
    <w:rsid w:val="00225156"/>
    <w:rsid w:val="002255F7"/>
    <w:rsid w:val="002257E6"/>
    <w:rsid w:val="00225BC3"/>
    <w:rsid w:val="00225DF4"/>
    <w:rsid w:val="00226968"/>
    <w:rsid w:val="00226F28"/>
    <w:rsid w:val="002273E1"/>
    <w:rsid w:val="002307D3"/>
    <w:rsid w:val="00231234"/>
    <w:rsid w:val="00231335"/>
    <w:rsid w:val="0023191B"/>
    <w:rsid w:val="002319A7"/>
    <w:rsid w:val="00232921"/>
    <w:rsid w:val="00233BB7"/>
    <w:rsid w:val="00234276"/>
    <w:rsid w:val="00234A50"/>
    <w:rsid w:val="002354FD"/>
    <w:rsid w:val="002364C8"/>
    <w:rsid w:val="002364CD"/>
    <w:rsid w:val="00236653"/>
    <w:rsid w:val="002366FE"/>
    <w:rsid w:val="00236946"/>
    <w:rsid w:val="00237058"/>
    <w:rsid w:val="0023758A"/>
    <w:rsid w:val="00237E3D"/>
    <w:rsid w:val="00237EC5"/>
    <w:rsid w:val="00237FCD"/>
    <w:rsid w:val="002409BB"/>
    <w:rsid w:val="00240B81"/>
    <w:rsid w:val="00240EC6"/>
    <w:rsid w:val="00241185"/>
    <w:rsid w:val="00241AE2"/>
    <w:rsid w:val="00241B4C"/>
    <w:rsid w:val="00242472"/>
    <w:rsid w:val="00243B8D"/>
    <w:rsid w:val="0024486D"/>
    <w:rsid w:val="00245540"/>
    <w:rsid w:val="002456DA"/>
    <w:rsid w:val="002459D9"/>
    <w:rsid w:val="00245B89"/>
    <w:rsid w:val="00246147"/>
    <w:rsid w:val="00246328"/>
    <w:rsid w:val="002468D7"/>
    <w:rsid w:val="00246F67"/>
    <w:rsid w:val="002475F9"/>
    <w:rsid w:val="0024765B"/>
    <w:rsid w:val="0024780B"/>
    <w:rsid w:val="00247A98"/>
    <w:rsid w:val="00247B5D"/>
    <w:rsid w:val="00250149"/>
    <w:rsid w:val="00250C08"/>
    <w:rsid w:val="002513AB"/>
    <w:rsid w:val="002515C7"/>
    <w:rsid w:val="00251F85"/>
    <w:rsid w:val="002521EB"/>
    <w:rsid w:val="00252378"/>
    <w:rsid w:val="00252E6B"/>
    <w:rsid w:val="00252F23"/>
    <w:rsid w:val="00253C19"/>
    <w:rsid w:val="00254182"/>
    <w:rsid w:val="002549E4"/>
    <w:rsid w:val="00256C34"/>
    <w:rsid w:val="00257C41"/>
    <w:rsid w:val="00257DDA"/>
    <w:rsid w:val="00260A60"/>
    <w:rsid w:val="00260F0B"/>
    <w:rsid w:val="00261E3C"/>
    <w:rsid w:val="00262067"/>
    <w:rsid w:val="00262554"/>
    <w:rsid w:val="00262990"/>
    <w:rsid w:val="00262D4E"/>
    <w:rsid w:val="00262E59"/>
    <w:rsid w:val="00263811"/>
    <w:rsid w:val="00263A83"/>
    <w:rsid w:val="002643EA"/>
    <w:rsid w:val="0026493E"/>
    <w:rsid w:val="00264A61"/>
    <w:rsid w:val="00264E9B"/>
    <w:rsid w:val="002658F1"/>
    <w:rsid w:val="002669E8"/>
    <w:rsid w:val="00266BF3"/>
    <w:rsid w:val="00266C98"/>
    <w:rsid w:val="00266DB4"/>
    <w:rsid w:val="002678D9"/>
    <w:rsid w:val="00267D7F"/>
    <w:rsid w:val="00270A98"/>
    <w:rsid w:val="00270DCC"/>
    <w:rsid w:val="00271A34"/>
    <w:rsid w:val="00271E9B"/>
    <w:rsid w:val="00272ADD"/>
    <w:rsid w:val="00273E7D"/>
    <w:rsid w:val="00273EBB"/>
    <w:rsid w:val="00274583"/>
    <w:rsid w:val="0027468F"/>
    <w:rsid w:val="00275DF1"/>
    <w:rsid w:val="0027666D"/>
    <w:rsid w:val="00276832"/>
    <w:rsid w:val="00276B2F"/>
    <w:rsid w:val="00277253"/>
    <w:rsid w:val="002775D9"/>
    <w:rsid w:val="00280035"/>
    <w:rsid w:val="0028061D"/>
    <w:rsid w:val="0028085F"/>
    <w:rsid w:val="00280D11"/>
    <w:rsid w:val="00280D39"/>
    <w:rsid w:val="002811F5"/>
    <w:rsid w:val="00281C0E"/>
    <w:rsid w:val="0028265D"/>
    <w:rsid w:val="00282C4E"/>
    <w:rsid w:val="00282D27"/>
    <w:rsid w:val="00283040"/>
    <w:rsid w:val="0028475E"/>
    <w:rsid w:val="00284F1A"/>
    <w:rsid w:val="00284FFB"/>
    <w:rsid w:val="00285085"/>
    <w:rsid w:val="00286B6D"/>
    <w:rsid w:val="002875E7"/>
    <w:rsid w:val="002877D8"/>
    <w:rsid w:val="00287A9E"/>
    <w:rsid w:val="00287D3C"/>
    <w:rsid w:val="00287F96"/>
    <w:rsid w:val="002900D7"/>
    <w:rsid w:val="0029066A"/>
    <w:rsid w:val="00290E05"/>
    <w:rsid w:val="00290FDD"/>
    <w:rsid w:val="0029164B"/>
    <w:rsid w:val="00291AAB"/>
    <w:rsid w:val="00291D4B"/>
    <w:rsid w:val="00291DDB"/>
    <w:rsid w:val="00292713"/>
    <w:rsid w:val="002927AF"/>
    <w:rsid w:val="00292C5E"/>
    <w:rsid w:val="00293443"/>
    <w:rsid w:val="00293717"/>
    <w:rsid w:val="002939B7"/>
    <w:rsid w:val="00293F34"/>
    <w:rsid w:val="00294238"/>
    <w:rsid w:val="002946A3"/>
    <w:rsid w:val="0029573E"/>
    <w:rsid w:val="00295BFB"/>
    <w:rsid w:val="00295CD3"/>
    <w:rsid w:val="00295F03"/>
    <w:rsid w:val="00295FF0"/>
    <w:rsid w:val="0029642A"/>
    <w:rsid w:val="00296592"/>
    <w:rsid w:val="0029689C"/>
    <w:rsid w:val="002968F2"/>
    <w:rsid w:val="0029794E"/>
    <w:rsid w:val="00297975"/>
    <w:rsid w:val="002A09C2"/>
    <w:rsid w:val="002A10A8"/>
    <w:rsid w:val="002A149C"/>
    <w:rsid w:val="002A2205"/>
    <w:rsid w:val="002A22ED"/>
    <w:rsid w:val="002A23A5"/>
    <w:rsid w:val="002A26FD"/>
    <w:rsid w:val="002A2C20"/>
    <w:rsid w:val="002A307A"/>
    <w:rsid w:val="002A336A"/>
    <w:rsid w:val="002A3495"/>
    <w:rsid w:val="002A3553"/>
    <w:rsid w:val="002A362B"/>
    <w:rsid w:val="002A374E"/>
    <w:rsid w:val="002A4ACC"/>
    <w:rsid w:val="002A5022"/>
    <w:rsid w:val="002A5E77"/>
    <w:rsid w:val="002A6090"/>
    <w:rsid w:val="002A63B1"/>
    <w:rsid w:val="002A63CB"/>
    <w:rsid w:val="002A6899"/>
    <w:rsid w:val="002A69B9"/>
    <w:rsid w:val="002A69D8"/>
    <w:rsid w:val="002A732F"/>
    <w:rsid w:val="002A7813"/>
    <w:rsid w:val="002A7E39"/>
    <w:rsid w:val="002A7F6D"/>
    <w:rsid w:val="002B1069"/>
    <w:rsid w:val="002B11D1"/>
    <w:rsid w:val="002B1DC1"/>
    <w:rsid w:val="002B21F5"/>
    <w:rsid w:val="002B2C62"/>
    <w:rsid w:val="002B2F04"/>
    <w:rsid w:val="002B3030"/>
    <w:rsid w:val="002B39D7"/>
    <w:rsid w:val="002B3C71"/>
    <w:rsid w:val="002B3FEC"/>
    <w:rsid w:val="002B4093"/>
    <w:rsid w:val="002B40DC"/>
    <w:rsid w:val="002B4739"/>
    <w:rsid w:val="002B4B3D"/>
    <w:rsid w:val="002B54EF"/>
    <w:rsid w:val="002B6654"/>
    <w:rsid w:val="002B6941"/>
    <w:rsid w:val="002B6DF6"/>
    <w:rsid w:val="002B7627"/>
    <w:rsid w:val="002B7827"/>
    <w:rsid w:val="002C051E"/>
    <w:rsid w:val="002C056A"/>
    <w:rsid w:val="002C0C7F"/>
    <w:rsid w:val="002C0EFC"/>
    <w:rsid w:val="002C2DC7"/>
    <w:rsid w:val="002C3297"/>
    <w:rsid w:val="002C366B"/>
    <w:rsid w:val="002C5240"/>
    <w:rsid w:val="002C5960"/>
    <w:rsid w:val="002C66B8"/>
    <w:rsid w:val="002C672D"/>
    <w:rsid w:val="002C6ACD"/>
    <w:rsid w:val="002C7D11"/>
    <w:rsid w:val="002C7F8A"/>
    <w:rsid w:val="002D0332"/>
    <w:rsid w:val="002D0D27"/>
    <w:rsid w:val="002D11C3"/>
    <w:rsid w:val="002D1CB4"/>
    <w:rsid w:val="002D2857"/>
    <w:rsid w:val="002D38FD"/>
    <w:rsid w:val="002D3C4C"/>
    <w:rsid w:val="002D4058"/>
    <w:rsid w:val="002D40F8"/>
    <w:rsid w:val="002D46F5"/>
    <w:rsid w:val="002D4996"/>
    <w:rsid w:val="002D4C38"/>
    <w:rsid w:val="002D4F33"/>
    <w:rsid w:val="002D6D54"/>
    <w:rsid w:val="002D75FD"/>
    <w:rsid w:val="002D7F81"/>
    <w:rsid w:val="002E0367"/>
    <w:rsid w:val="002E0AF9"/>
    <w:rsid w:val="002E0FDE"/>
    <w:rsid w:val="002E135A"/>
    <w:rsid w:val="002E20A7"/>
    <w:rsid w:val="002E235F"/>
    <w:rsid w:val="002E2432"/>
    <w:rsid w:val="002E250D"/>
    <w:rsid w:val="002E3A9A"/>
    <w:rsid w:val="002E3BDE"/>
    <w:rsid w:val="002E3F6D"/>
    <w:rsid w:val="002E40FE"/>
    <w:rsid w:val="002E47A6"/>
    <w:rsid w:val="002E4934"/>
    <w:rsid w:val="002E49D5"/>
    <w:rsid w:val="002E4B92"/>
    <w:rsid w:val="002E4BD6"/>
    <w:rsid w:val="002E4F44"/>
    <w:rsid w:val="002E501C"/>
    <w:rsid w:val="002E519D"/>
    <w:rsid w:val="002E5FC9"/>
    <w:rsid w:val="002E5FEC"/>
    <w:rsid w:val="002E6FC3"/>
    <w:rsid w:val="002E722C"/>
    <w:rsid w:val="002F015C"/>
    <w:rsid w:val="002F1262"/>
    <w:rsid w:val="002F1459"/>
    <w:rsid w:val="002F17B8"/>
    <w:rsid w:val="002F1C84"/>
    <w:rsid w:val="002F231E"/>
    <w:rsid w:val="002F2495"/>
    <w:rsid w:val="002F3170"/>
    <w:rsid w:val="002F32B0"/>
    <w:rsid w:val="002F3671"/>
    <w:rsid w:val="002F3752"/>
    <w:rsid w:val="002F4241"/>
    <w:rsid w:val="002F42B4"/>
    <w:rsid w:val="002F508E"/>
    <w:rsid w:val="002F533A"/>
    <w:rsid w:val="002F5B2F"/>
    <w:rsid w:val="002F6994"/>
    <w:rsid w:val="002F72A9"/>
    <w:rsid w:val="002F73A4"/>
    <w:rsid w:val="002F7D44"/>
    <w:rsid w:val="002F7FED"/>
    <w:rsid w:val="00300284"/>
    <w:rsid w:val="00300A56"/>
    <w:rsid w:val="00301D80"/>
    <w:rsid w:val="00302667"/>
    <w:rsid w:val="00302C1F"/>
    <w:rsid w:val="0030305B"/>
    <w:rsid w:val="00303BDA"/>
    <w:rsid w:val="0030450C"/>
    <w:rsid w:val="00304728"/>
    <w:rsid w:val="00305CE7"/>
    <w:rsid w:val="00306362"/>
    <w:rsid w:val="0030675A"/>
    <w:rsid w:val="00307567"/>
    <w:rsid w:val="003076F6"/>
    <w:rsid w:val="00307752"/>
    <w:rsid w:val="00307DBA"/>
    <w:rsid w:val="00311B2C"/>
    <w:rsid w:val="0031251C"/>
    <w:rsid w:val="003136A1"/>
    <w:rsid w:val="003140AC"/>
    <w:rsid w:val="0031423C"/>
    <w:rsid w:val="003145F9"/>
    <w:rsid w:val="00314BC0"/>
    <w:rsid w:val="00314EFF"/>
    <w:rsid w:val="0031529D"/>
    <w:rsid w:val="00315345"/>
    <w:rsid w:val="00315445"/>
    <w:rsid w:val="003158DE"/>
    <w:rsid w:val="003166A5"/>
    <w:rsid w:val="00316DB3"/>
    <w:rsid w:val="00316F91"/>
    <w:rsid w:val="00317240"/>
    <w:rsid w:val="0031725D"/>
    <w:rsid w:val="003174E6"/>
    <w:rsid w:val="0032055D"/>
    <w:rsid w:val="00321F77"/>
    <w:rsid w:val="003225F4"/>
    <w:rsid w:val="00322FC4"/>
    <w:rsid w:val="00323320"/>
    <w:rsid w:val="0032359F"/>
    <w:rsid w:val="0032409E"/>
    <w:rsid w:val="00324135"/>
    <w:rsid w:val="00324AEC"/>
    <w:rsid w:val="00324CA3"/>
    <w:rsid w:val="003255ED"/>
    <w:rsid w:val="00327BAB"/>
    <w:rsid w:val="00327F86"/>
    <w:rsid w:val="003301BA"/>
    <w:rsid w:val="0033065D"/>
    <w:rsid w:val="0033172D"/>
    <w:rsid w:val="00332025"/>
    <w:rsid w:val="00332426"/>
    <w:rsid w:val="00332E6F"/>
    <w:rsid w:val="003334B3"/>
    <w:rsid w:val="0033355A"/>
    <w:rsid w:val="003336B5"/>
    <w:rsid w:val="00333813"/>
    <w:rsid w:val="00333A5E"/>
    <w:rsid w:val="00333CFF"/>
    <w:rsid w:val="00333E68"/>
    <w:rsid w:val="00334A01"/>
    <w:rsid w:val="00335166"/>
    <w:rsid w:val="0033568F"/>
    <w:rsid w:val="003360CE"/>
    <w:rsid w:val="003361C9"/>
    <w:rsid w:val="00336204"/>
    <w:rsid w:val="0033652C"/>
    <w:rsid w:val="003368AF"/>
    <w:rsid w:val="0033698E"/>
    <w:rsid w:val="00336A05"/>
    <w:rsid w:val="00337586"/>
    <w:rsid w:val="003376FE"/>
    <w:rsid w:val="003377A6"/>
    <w:rsid w:val="003406B0"/>
    <w:rsid w:val="003406CA"/>
    <w:rsid w:val="00340C37"/>
    <w:rsid w:val="00341443"/>
    <w:rsid w:val="00341752"/>
    <w:rsid w:val="003418AE"/>
    <w:rsid w:val="00341DB4"/>
    <w:rsid w:val="00341EB8"/>
    <w:rsid w:val="00341F26"/>
    <w:rsid w:val="00342123"/>
    <w:rsid w:val="003423F3"/>
    <w:rsid w:val="0034330D"/>
    <w:rsid w:val="003435ED"/>
    <w:rsid w:val="003436CD"/>
    <w:rsid w:val="00343853"/>
    <w:rsid w:val="003449F2"/>
    <w:rsid w:val="00344DE6"/>
    <w:rsid w:val="003452F1"/>
    <w:rsid w:val="003453EA"/>
    <w:rsid w:val="00345592"/>
    <w:rsid w:val="00345AAD"/>
    <w:rsid w:val="00345E88"/>
    <w:rsid w:val="0034671B"/>
    <w:rsid w:val="00346804"/>
    <w:rsid w:val="00346C10"/>
    <w:rsid w:val="0035033C"/>
    <w:rsid w:val="003511CC"/>
    <w:rsid w:val="0035142F"/>
    <w:rsid w:val="00351810"/>
    <w:rsid w:val="00352492"/>
    <w:rsid w:val="00352799"/>
    <w:rsid w:val="0035410E"/>
    <w:rsid w:val="00354196"/>
    <w:rsid w:val="00354280"/>
    <w:rsid w:val="00354DA3"/>
    <w:rsid w:val="0035603D"/>
    <w:rsid w:val="00356517"/>
    <w:rsid w:val="00356CBE"/>
    <w:rsid w:val="0035706E"/>
    <w:rsid w:val="00357494"/>
    <w:rsid w:val="00357712"/>
    <w:rsid w:val="00357ACE"/>
    <w:rsid w:val="003609DB"/>
    <w:rsid w:val="003623F5"/>
    <w:rsid w:val="00362787"/>
    <w:rsid w:val="00363D17"/>
    <w:rsid w:val="003646AE"/>
    <w:rsid w:val="00364A68"/>
    <w:rsid w:val="00366710"/>
    <w:rsid w:val="003668B3"/>
    <w:rsid w:val="0036745D"/>
    <w:rsid w:val="00367E6F"/>
    <w:rsid w:val="00370D88"/>
    <w:rsid w:val="00372BFE"/>
    <w:rsid w:val="00372C94"/>
    <w:rsid w:val="0037349E"/>
    <w:rsid w:val="003737DC"/>
    <w:rsid w:val="00373F24"/>
    <w:rsid w:val="00374212"/>
    <w:rsid w:val="00374DC6"/>
    <w:rsid w:val="0037599D"/>
    <w:rsid w:val="003760F2"/>
    <w:rsid w:val="00380714"/>
    <w:rsid w:val="00380B5A"/>
    <w:rsid w:val="00380DF9"/>
    <w:rsid w:val="00381040"/>
    <w:rsid w:val="00381C68"/>
    <w:rsid w:val="00382224"/>
    <w:rsid w:val="003822E0"/>
    <w:rsid w:val="00382A76"/>
    <w:rsid w:val="00382B91"/>
    <w:rsid w:val="00382C2E"/>
    <w:rsid w:val="00382C43"/>
    <w:rsid w:val="0038308E"/>
    <w:rsid w:val="00384A2C"/>
    <w:rsid w:val="00385817"/>
    <w:rsid w:val="00385B48"/>
    <w:rsid w:val="00386336"/>
    <w:rsid w:val="00386786"/>
    <w:rsid w:val="003873D9"/>
    <w:rsid w:val="00387583"/>
    <w:rsid w:val="003903C2"/>
    <w:rsid w:val="00390C41"/>
    <w:rsid w:val="00391565"/>
    <w:rsid w:val="00391F27"/>
    <w:rsid w:val="00391F5B"/>
    <w:rsid w:val="00392295"/>
    <w:rsid w:val="0039238E"/>
    <w:rsid w:val="00393046"/>
    <w:rsid w:val="003932F9"/>
    <w:rsid w:val="00393603"/>
    <w:rsid w:val="00393ABD"/>
    <w:rsid w:val="00394053"/>
    <w:rsid w:val="0039635A"/>
    <w:rsid w:val="00396E87"/>
    <w:rsid w:val="003974E4"/>
    <w:rsid w:val="00397A49"/>
    <w:rsid w:val="00397EFB"/>
    <w:rsid w:val="003A0420"/>
    <w:rsid w:val="003A0914"/>
    <w:rsid w:val="003A0D72"/>
    <w:rsid w:val="003A12BF"/>
    <w:rsid w:val="003A1802"/>
    <w:rsid w:val="003A1841"/>
    <w:rsid w:val="003A2874"/>
    <w:rsid w:val="003A320F"/>
    <w:rsid w:val="003A4561"/>
    <w:rsid w:val="003A48C9"/>
    <w:rsid w:val="003A4DB8"/>
    <w:rsid w:val="003A534E"/>
    <w:rsid w:val="003A690A"/>
    <w:rsid w:val="003A6B58"/>
    <w:rsid w:val="003A6C6A"/>
    <w:rsid w:val="003A6F69"/>
    <w:rsid w:val="003A7321"/>
    <w:rsid w:val="003A7A15"/>
    <w:rsid w:val="003A7BCB"/>
    <w:rsid w:val="003A7D75"/>
    <w:rsid w:val="003A7E77"/>
    <w:rsid w:val="003B0C8C"/>
    <w:rsid w:val="003B0E92"/>
    <w:rsid w:val="003B18CA"/>
    <w:rsid w:val="003B1BA2"/>
    <w:rsid w:val="003B1EFD"/>
    <w:rsid w:val="003B229B"/>
    <w:rsid w:val="003B23BD"/>
    <w:rsid w:val="003B26D2"/>
    <w:rsid w:val="003B2ABD"/>
    <w:rsid w:val="003B35CA"/>
    <w:rsid w:val="003B4444"/>
    <w:rsid w:val="003B5327"/>
    <w:rsid w:val="003B57DF"/>
    <w:rsid w:val="003B5861"/>
    <w:rsid w:val="003B5FF2"/>
    <w:rsid w:val="003B6DC5"/>
    <w:rsid w:val="003B711C"/>
    <w:rsid w:val="003B730D"/>
    <w:rsid w:val="003C185D"/>
    <w:rsid w:val="003C190A"/>
    <w:rsid w:val="003C1A1F"/>
    <w:rsid w:val="003C33C6"/>
    <w:rsid w:val="003C3B33"/>
    <w:rsid w:val="003C3E32"/>
    <w:rsid w:val="003C43CF"/>
    <w:rsid w:val="003C466A"/>
    <w:rsid w:val="003C4D06"/>
    <w:rsid w:val="003C4F9A"/>
    <w:rsid w:val="003C517B"/>
    <w:rsid w:val="003C62CF"/>
    <w:rsid w:val="003C64E5"/>
    <w:rsid w:val="003C6CE0"/>
    <w:rsid w:val="003C7356"/>
    <w:rsid w:val="003C777F"/>
    <w:rsid w:val="003C7887"/>
    <w:rsid w:val="003C7E18"/>
    <w:rsid w:val="003D02BC"/>
    <w:rsid w:val="003D0712"/>
    <w:rsid w:val="003D0E3A"/>
    <w:rsid w:val="003D1A22"/>
    <w:rsid w:val="003D1AE9"/>
    <w:rsid w:val="003D1EA6"/>
    <w:rsid w:val="003D32AF"/>
    <w:rsid w:val="003D3542"/>
    <w:rsid w:val="003D39B3"/>
    <w:rsid w:val="003D3EA4"/>
    <w:rsid w:val="003D42D6"/>
    <w:rsid w:val="003D5182"/>
    <w:rsid w:val="003D6999"/>
    <w:rsid w:val="003D69C4"/>
    <w:rsid w:val="003E0247"/>
    <w:rsid w:val="003E043F"/>
    <w:rsid w:val="003E056A"/>
    <w:rsid w:val="003E1CB4"/>
    <w:rsid w:val="003E1D35"/>
    <w:rsid w:val="003E1EA8"/>
    <w:rsid w:val="003E2218"/>
    <w:rsid w:val="003E3291"/>
    <w:rsid w:val="003E3D32"/>
    <w:rsid w:val="003E4BFE"/>
    <w:rsid w:val="003E4D22"/>
    <w:rsid w:val="003E508A"/>
    <w:rsid w:val="003E53FF"/>
    <w:rsid w:val="003E5CED"/>
    <w:rsid w:val="003E7420"/>
    <w:rsid w:val="003E7568"/>
    <w:rsid w:val="003F00DB"/>
    <w:rsid w:val="003F278E"/>
    <w:rsid w:val="003F2C96"/>
    <w:rsid w:val="003F309B"/>
    <w:rsid w:val="003F3873"/>
    <w:rsid w:val="003F3D1B"/>
    <w:rsid w:val="003F4A53"/>
    <w:rsid w:val="003F4E2E"/>
    <w:rsid w:val="003F4F5E"/>
    <w:rsid w:val="003F5843"/>
    <w:rsid w:val="003F7CFE"/>
    <w:rsid w:val="003F7EFE"/>
    <w:rsid w:val="004000D4"/>
    <w:rsid w:val="00400766"/>
    <w:rsid w:val="00400C72"/>
    <w:rsid w:val="0040145E"/>
    <w:rsid w:val="0040191C"/>
    <w:rsid w:val="004032A9"/>
    <w:rsid w:val="004032FC"/>
    <w:rsid w:val="0040340D"/>
    <w:rsid w:val="00403525"/>
    <w:rsid w:val="00403EA4"/>
    <w:rsid w:val="004048E6"/>
    <w:rsid w:val="00404BCB"/>
    <w:rsid w:val="0040557D"/>
    <w:rsid w:val="0040569E"/>
    <w:rsid w:val="00405881"/>
    <w:rsid w:val="00405F60"/>
    <w:rsid w:val="00406576"/>
    <w:rsid w:val="00407009"/>
    <w:rsid w:val="00407825"/>
    <w:rsid w:val="004102C7"/>
    <w:rsid w:val="004103D1"/>
    <w:rsid w:val="004122E9"/>
    <w:rsid w:val="004127E5"/>
    <w:rsid w:val="00412975"/>
    <w:rsid w:val="00413095"/>
    <w:rsid w:val="00413D6F"/>
    <w:rsid w:val="00414C33"/>
    <w:rsid w:val="00414D0B"/>
    <w:rsid w:val="00414F7D"/>
    <w:rsid w:val="00415A9F"/>
    <w:rsid w:val="00416227"/>
    <w:rsid w:val="00416A2A"/>
    <w:rsid w:val="00416CC4"/>
    <w:rsid w:val="00416F07"/>
    <w:rsid w:val="004171AE"/>
    <w:rsid w:val="0041796B"/>
    <w:rsid w:val="004200C5"/>
    <w:rsid w:val="004203B8"/>
    <w:rsid w:val="00420679"/>
    <w:rsid w:val="004210BB"/>
    <w:rsid w:val="0042114A"/>
    <w:rsid w:val="00422192"/>
    <w:rsid w:val="00422DEB"/>
    <w:rsid w:val="00422E85"/>
    <w:rsid w:val="00423240"/>
    <w:rsid w:val="004232F2"/>
    <w:rsid w:val="0042372C"/>
    <w:rsid w:val="00423C4A"/>
    <w:rsid w:val="00423C6B"/>
    <w:rsid w:val="004240F2"/>
    <w:rsid w:val="004242BC"/>
    <w:rsid w:val="00424978"/>
    <w:rsid w:val="00424E7C"/>
    <w:rsid w:val="00425128"/>
    <w:rsid w:val="00425507"/>
    <w:rsid w:val="004256E6"/>
    <w:rsid w:val="00425E6A"/>
    <w:rsid w:val="00426337"/>
    <w:rsid w:val="00426F74"/>
    <w:rsid w:val="00430FD8"/>
    <w:rsid w:val="00431298"/>
    <w:rsid w:val="00431352"/>
    <w:rsid w:val="00433797"/>
    <w:rsid w:val="00433CCB"/>
    <w:rsid w:val="00433E6C"/>
    <w:rsid w:val="00434BB2"/>
    <w:rsid w:val="004352B9"/>
    <w:rsid w:val="00435581"/>
    <w:rsid w:val="0043574C"/>
    <w:rsid w:val="00435D5E"/>
    <w:rsid w:val="00435D93"/>
    <w:rsid w:val="00436993"/>
    <w:rsid w:val="00436E18"/>
    <w:rsid w:val="00437254"/>
    <w:rsid w:val="004372C0"/>
    <w:rsid w:val="00437821"/>
    <w:rsid w:val="004379E9"/>
    <w:rsid w:val="00437CD7"/>
    <w:rsid w:val="00437E58"/>
    <w:rsid w:val="0044008A"/>
    <w:rsid w:val="00441A13"/>
    <w:rsid w:val="004421F7"/>
    <w:rsid w:val="0044235E"/>
    <w:rsid w:val="00442D98"/>
    <w:rsid w:val="00442DD7"/>
    <w:rsid w:val="00443322"/>
    <w:rsid w:val="00443C82"/>
    <w:rsid w:val="00443CEA"/>
    <w:rsid w:val="00443D12"/>
    <w:rsid w:val="00445263"/>
    <w:rsid w:val="00445273"/>
    <w:rsid w:val="004453B8"/>
    <w:rsid w:val="004456A4"/>
    <w:rsid w:val="00446034"/>
    <w:rsid w:val="00446B54"/>
    <w:rsid w:val="00446CD6"/>
    <w:rsid w:val="0044707C"/>
    <w:rsid w:val="004518FC"/>
    <w:rsid w:val="00451B79"/>
    <w:rsid w:val="0045233B"/>
    <w:rsid w:val="00452F1F"/>
    <w:rsid w:val="00453070"/>
    <w:rsid w:val="0045321A"/>
    <w:rsid w:val="00453346"/>
    <w:rsid w:val="00453C47"/>
    <w:rsid w:val="004543AC"/>
    <w:rsid w:val="0045631F"/>
    <w:rsid w:val="00456B2C"/>
    <w:rsid w:val="00456D5D"/>
    <w:rsid w:val="0045713A"/>
    <w:rsid w:val="0045780C"/>
    <w:rsid w:val="00457C5D"/>
    <w:rsid w:val="00457D0D"/>
    <w:rsid w:val="00460371"/>
    <w:rsid w:val="00460558"/>
    <w:rsid w:val="004610F1"/>
    <w:rsid w:val="004619AD"/>
    <w:rsid w:val="00461B3C"/>
    <w:rsid w:val="00462055"/>
    <w:rsid w:val="00462281"/>
    <w:rsid w:val="0046290F"/>
    <w:rsid w:val="00462C24"/>
    <w:rsid w:val="00462D7C"/>
    <w:rsid w:val="004635DC"/>
    <w:rsid w:val="00464C1A"/>
    <w:rsid w:val="00465721"/>
    <w:rsid w:val="00465C84"/>
    <w:rsid w:val="00465DF4"/>
    <w:rsid w:val="00466829"/>
    <w:rsid w:val="00467184"/>
    <w:rsid w:val="0046729B"/>
    <w:rsid w:val="0046741B"/>
    <w:rsid w:val="004676CB"/>
    <w:rsid w:val="0046778C"/>
    <w:rsid w:val="00467899"/>
    <w:rsid w:val="00467B38"/>
    <w:rsid w:val="00470081"/>
    <w:rsid w:val="00470803"/>
    <w:rsid w:val="00471244"/>
    <w:rsid w:val="00471CFF"/>
    <w:rsid w:val="00471E05"/>
    <w:rsid w:val="004739DF"/>
    <w:rsid w:val="0047433D"/>
    <w:rsid w:val="0047570A"/>
    <w:rsid w:val="00476407"/>
    <w:rsid w:val="004767D0"/>
    <w:rsid w:val="00476F15"/>
    <w:rsid w:val="0047761C"/>
    <w:rsid w:val="00477781"/>
    <w:rsid w:val="00480039"/>
    <w:rsid w:val="0048057A"/>
    <w:rsid w:val="00480B8A"/>
    <w:rsid w:val="00481855"/>
    <w:rsid w:val="004821B3"/>
    <w:rsid w:val="00483743"/>
    <w:rsid w:val="00483B8A"/>
    <w:rsid w:val="00484606"/>
    <w:rsid w:val="00485B6F"/>
    <w:rsid w:val="00485F86"/>
    <w:rsid w:val="004864D8"/>
    <w:rsid w:val="00487163"/>
    <w:rsid w:val="004871B9"/>
    <w:rsid w:val="004876B7"/>
    <w:rsid w:val="004902A5"/>
    <w:rsid w:val="00490330"/>
    <w:rsid w:val="00490674"/>
    <w:rsid w:val="00490840"/>
    <w:rsid w:val="00490B2A"/>
    <w:rsid w:val="00490BE6"/>
    <w:rsid w:val="00491457"/>
    <w:rsid w:val="0049149D"/>
    <w:rsid w:val="00491894"/>
    <w:rsid w:val="00491F58"/>
    <w:rsid w:val="004923A9"/>
    <w:rsid w:val="00492A52"/>
    <w:rsid w:val="00492B59"/>
    <w:rsid w:val="00493C7D"/>
    <w:rsid w:val="00493F8E"/>
    <w:rsid w:val="004942FE"/>
    <w:rsid w:val="0049489D"/>
    <w:rsid w:val="00494B50"/>
    <w:rsid w:val="00494F68"/>
    <w:rsid w:val="00494FFB"/>
    <w:rsid w:val="0049525E"/>
    <w:rsid w:val="0049556C"/>
    <w:rsid w:val="00495896"/>
    <w:rsid w:val="00495A90"/>
    <w:rsid w:val="00495D32"/>
    <w:rsid w:val="00496889"/>
    <w:rsid w:val="00496A6C"/>
    <w:rsid w:val="00496D9D"/>
    <w:rsid w:val="00496F54"/>
    <w:rsid w:val="00497107"/>
    <w:rsid w:val="004971AD"/>
    <w:rsid w:val="004978FA"/>
    <w:rsid w:val="004979C6"/>
    <w:rsid w:val="004A0715"/>
    <w:rsid w:val="004A0CB7"/>
    <w:rsid w:val="004A1255"/>
    <w:rsid w:val="004A12C0"/>
    <w:rsid w:val="004A1ADF"/>
    <w:rsid w:val="004A1BD7"/>
    <w:rsid w:val="004A1E80"/>
    <w:rsid w:val="004A2F54"/>
    <w:rsid w:val="004A42A5"/>
    <w:rsid w:val="004A4CF9"/>
    <w:rsid w:val="004A4FFB"/>
    <w:rsid w:val="004A5428"/>
    <w:rsid w:val="004A5A36"/>
    <w:rsid w:val="004A5EAC"/>
    <w:rsid w:val="004A61CB"/>
    <w:rsid w:val="004A65B4"/>
    <w:rsid w:val="004A6616"/>
    <w:rsid w:val="004A67BF"/>
    <w:rsid w:val="004A7553"/>
    <w:rsid w:val="004B0057"/>
    <w:rsid w:val="004B2416"/>
    <w:rsid w:val="004B2C88"/>
    <w:rsid w:val="004B3741"/>
    <w:rsid w:val="004B44A2"/>
    <w:rsid w:val="004B4966"/>
    <w:rsid w:val="004B5151"/>
    <w:rsid w:val="004B51D1"/>
    <w:rsid w:val="004B6078"/>
    <w:rsid w:val="004B63C9"/>
    <w:rsid w:val="004B679C"/>
    <w:rsid w:val="004B743E"/>
    <w:rsid w:val="004B795A"/>
    <w:rsid w:val="004B7F7F"/>
    <w:rsid w:val="004C0166"/>
    <w:rsid w:val="004C04BC"/>
    <w:rsid w:val="004C0D94"/>
    <w:rsid w:val="004C1653"/>
    <w:rsid w:val="004C22FD"/>
    <w:rsid w:val="004C26CB"/>
    <w:rsid w:val="004C2DA5"/>
    <w:rsid w:val="004C2E32"/>
    <w:rsid w:val="004C3393"/>
    <w:rsid w:val="004C3689"/>
    <w:rsid w:val="004C4A49"/>
    <w:rsid w:val="004C4BC4"/>
    <w:rsid w:val="004C5152"/>
    <w:rsid w:val="004C5640"/>
    <w:rsid w:val="004C60D6"/>
    <w:rsid w:val="004C6D11"/>
    <w:rsid w:val="004C720B"/>
    <w:rsid w:val="004C76F4"/>
    <w:rsid w:val="004C7833"/>
    <w:rsid w:val="004D0059"/>
    <w:rsid w:val="004D0106"/>
    <w:rsid w:val="004D0E76"/>
    <w:rsid w:val="004D1588"/>
    <w:rsid w:val="004D3861"/>
    <w:rsid w:val="004D3A83"/>
    <w:rsid w:val="004D4048"/>
    <w:rsid w:val="004D42A7"/>
    <w:rsid w:val="004D4388"/>
    <w:rsid w:val="004D52B8"/>
    <w:rsid w:val="004D5643"/>
    <w:rsid w:val="004D72ED"/>
    <w:rsid w:val="004D7B1C"/>
    <w:rsid w:val="004E0199"/>
    <w:rsid w:val="004E1C76"/>
    <w:rsid w:val="004E2223"/>
    <w:rsid w:val="004E2FA5"/>
    <w:rsid w:val="004E30E9"/>
    <w:rsid w:val="004E3125"/>
    <w:rsid w:val="004E31C6"/>
    <w:rsid w:val="004E3255"/>
    <w:rsid w:val="004E32BD"/>
    <w:rsid w:val="004E32C1"/>
    <w:rsid w:val="004E3731"/>
    <w:rsid w:val="004E3EBF"/>
    <w:rsid w:val="004E4011"/>
    <w:rsid w:val="004E493F"/>
    <w:rsid w:val="004E4A96"/>
    <w:rsid w:val="004E54DD"/>
    <w:rsid w:val="004E561E"/>
    <w:rsid w:val="004E5959"/>
    <w:rsid w:val="004E5E01"/>
    <w:rsid w:val="004E6438"/>
    <w:rsid w:val="004E66C2"/>
    <w:rsid w:val="004E67FD"/>
    <w:rsid w:val="004E6DF6"/>
    <w:rsid w:val="004E70D8"/>
    <w:rsid w:val="004E716A"/>
    <w:rsid w:val="004F0560"/>
    <w:rsid w:val="004F133A"/>
    <w:rsid w:val="004F202E"/>
    <w:rsid w:val="004F2189"/>
    <w:rsid w:val="004F2334"/>
    <w:rsid w:val="004F2418"/>
    <w:rsid w:val="004F24F9"/>
    <w:rsid w:val="004F2D11"/>
    <w:rsid w:val="004F2FC6"/>
    <w:rsid w:val="004F31BE"/>
    <w:rsid w:val="004F3373"/>
    <w:rsid w:val="004F3B59"/>
    <w:rsid w:val="004F3CCF"/>
    <w:rsid w:val="004F433C"/>
    <w:rsid w:val="004F4E0B"/>
    <w:rsid w:val="004F5ACE"/>
    <w:rsid w:val="004F5DC4"/>
    <w:rsid w:val="004F6743"/>
    <w:rsid w:val="004F6A55"/>
    <w:rsid w:val="004F71C4"/>
    <w:rsid w:val="004F7967"/>
    <w:rsid w:val="00500138"/>
    <w:rsid w:val="00500668"/>
    <w:rsid w:val="00500C7C"/>
    <w:rsid w:val="00500D16"/>
    <w:rsid w:val="00500E98"/>
    <w:rsid w:val="00500ED9"/>
    <w:rsid w:val="00501030"/>
    <w:rsid w:val="00501E5A"/>
    <w:rsid w:val="00502423"/>
    <w:rsid w:val="005025CD"/>
    <w:rsid w:val="005027D1"/>
    <w:rsid w:val="00502908"/>
    <w:rsid w:val="00503119"/>
    <w:rsid w:val="005042B4"/>
    <w:rsid w:val="00504EF2"/>
    <w:rsid w:val="005055A3"/>
    <w:rsid w:val="00506072"/>
    <w:rsid w:val="005063A7"/>
    <w:rsid w:val="005064F5"/>
    <w:rsid w:val="005076C5"/>
    <w:rsid w:val="0050794B"/>
    <w:rsid w:val="00507AEC"/>
    <w:rsid w:val="00507CFF"/>
    <w:rsid w:val="00507D9F"/>
    <w:rsid w:val="00511497"/>
    <w:rsid w:val="005122F3"/>
    <w:rsid w:val="00512B93"/>
    <w:rsid w:val="00512FBD"/>
    <w:rsid w:val="005135F1"/>
    <w:rsid w:val="00513AF7"/>
    <w:rsid w:val="00514708"/>
    <w:rsid w:val="0051479E"/>
    <w:rsid w:val="00514C8C"/>
    <w:rsid w:val="00515660"/>
    <w:rsid w:val="0051699B"/>
    <w:rsid w:val="00516F12"/>
    <w:rsid w:val="005171C8"/>
    <w:rsid w:val="00517305"/>
    <w:rsid w:val="0051760A"/>
    <w:rsid w:val="00517621"/>
    <w:rsid w:val="00517BB7"/>
    <w:rsid w:val="00520B77"/>
    <w:rsid w:val="00520F6E"/>
    <w:rsid w:val="0052104B"/>
    <w:rsid w:val="00521342"/>
    <w:rsid w:val="00521ACD"/>
    <w:rsid w:val="005221E8"/>
    <w:rsid w:val="0052279E"/>
    <w:rsid w:val="00522CA3"/>
    <w:rsid w:val="00522E35"/>
    <w:rsid w:val="0052320E"/>
    <w:rsid w:val="00523675"/>
    <w:rsid w:val="0052403F"/>
    <w:rsid w:val="005248C9"/>
    <w:rsid w:val="005254E1"/>
    <w:rsid w:val="00525AFF"/>
    <w:rsid w:val="005260FB"/>
    <w:rsid w:val="00527509"/>
    <w:rsid w:val="00527DEC"/>
    <w:rsid w:val="00527E54"/>
    <w:rsid w:val="00527F83"/>
    <w:rsid w:val="0053024D"/>
    <w:rsid w:val="00530309"/>
    <w:rsid w:val="005308B3"/>
    <w:rsid w:val="00531C25"/>
    <w:rsid w:val="00531C30"/>
    <w:rsid w:val="00531C93"/>
    <w:rsid w:val="00532ABF"/>
    <w:rsid w:val="0053385D"/>
    <w:rsid w:val="00533EEB"/>
    <w:rsid w:val="0053409C"/>
    <w:rsid w:val="005346DA"/>
    <w:rsid w:val="00534857"/>
    <w:rsid w:val="00534ECA"/>
    <w:rsid w:val="005355A5"/>
    <w:rsid w:val="0053594D"/>
    <w:rsid w:val="00535CDB"/>
    <w:rsid w:val="00535D80"/>
    <w:rsid w:val="00535FD9"/>
    <w:rsid w:val="00536215"/>
    <w:rsid w:val="00536387"/>
    <w:rsid w:val="005374AF"/>
    <w:rsid w:val="00537A51"/>
    <w:rsid w:val="00537B9F"/>
    <w:rsid w:val="00537BF0"/>
    <w:rsid w:val="00537C11"/>
    <w:rsid w:val="00537EA5"/>
    <w:rsid w:val="005407CA"/>
    <w:rsid w:val="005419D4"/>
    <w:rsid w:val="00541E3E"/>
    <w:rsid w:val="005424A2"/>
    <w:rsid w:val="005424E2"/>
    <w:rsid w:val="005425E4"/>
    <w:rsid w:val="005429A3"/>
    <w:rsid w:val="00543218"/>
    <w:rsid w:val="005434D1"/>
    <w:rsid w:val="00543FAE"/>
    <w:rsid w:val="005446B8"/>
    <w:rsid w:val="00544731"/>
    <w:rsid w:val="00544A6E"/>
    <w:rsid w:val="005458F5"/>
    <w:rsid w:val="005462DA"/>
    <w:rsid w:val="005467B1"/>
    <w:rsid w:val="00546C5C"/>
    <w:rsid w:val="0054778A"/>
    <w:rsid w:val="00547E18"/>
    <w:rsid w:val="005507AB"/>
    <w:rsid w:val="00550ACB"/>
    <w:rsid w:val="00550FB1"/>
    <w:rsid w:val="00551325"/>
    <w:rsid w:val="0055146F"/>
    <w:rsid w:val="00551826"/>
    <w:rsid w:val="005520E7"/>
    <w:rsid w:val="0055334F"/>
    <w:rsid w:val="00553964"/>
    <w:rsid w:val="005558EE"/>
    <w:rsid w:val="00555FA4"/>
    <w:rsid w:val="00556205"/>
    <w:rsid w:val="005567AD"/>
    <w:rsid w:val="005573D9"/>
    <w:rsid w:val="00557BD0"/>
    <w:rsid w:val="0056077F"/>
    <w:rsid w:val="00560871"/>
    <w:rsid w:val="005608F9"/>
    <w:rsid w:val="005610AD"/>
    <w:rsid w:val="005613AB"/>
    <w:rsid w:val="00561505"/>
    <w:rsid w:val="00561948"/>
    <w:rsid w:val="005621D6"/>
    <w:rsid w:val="00562429"/>
    <w:rsid w:val="0056362F"/>
    <w:rsid w:val="005638B1"/>
    <w:rsid w:val="005640DA"/>
    <w:rsid w:val="005642F4"/>
    <w:rsid w:val="0056454F"/>
    <w:rsid w:val="00564662"/>
    <w:rsid w:val="00564889"/>
    <w:rsid w:val="00564F8C"/>
    <w:rsid w:val="00564FFB"/>
    <w:rsid w:val="00565F23"/>
    <w:rsid w:val="0056618F"/>
    <w:rsid w:val="0056638B"/>
    <w:rsid w:val="0056766C"/>
    <w:rsid w:val="00567EAE"/>
    <w:rsid w:val="00570F65"/>
    <w:rsid w:val="00571C22"/>
    <w:rsid w:val="00571DEA"/>
    <w:rsid w:val="005721AB"/>
    <w:rsid w:val="0057231B"/>
    <w:rsid w:val="005726FF"/>
    <w:rsid w:val="00572706"/>
    <w:rsid w:val="005731F8"/>
    <w:rsid w:val="0057362A"/>
    <w:rsid w:val="0057395C"/>
    <w:rsid w:val="00573CDA"/>
    <w:rsid w:val="00573DF9"/>
    <w:rsid w:val="00573EA2"/>
    <w:rsid w:val="0057426F"/>
    <w:rsid w:val="005754B5"/>
    <w:rsid w:val="00575C75"/>
    <w:rsid w:val="005760FB"/>
    <w:rsid w:val="005761BC"/>
    <w:rsid w:val="005768BD"/>
    <w:rsid w:val="00580BBA"/>
    <w:rsid w:val="005810BB"/>
    <w:rsid w:val="00581E92"/>
    <w:rsid w:val="00582432"/>
    <w:rsid w:val="0058267D"/>
    <w:rsid w:val="00582BDD"/>
    <w:rsid w:val="00582CD4"/>
    <w:rsid w:val="00583020"/>
    <w:rsid w:val="00583231"/>
    <w:rsid w:val="00583DBE"/>
    <w:rsid w:val="0058437D"/>
    <w:rsid w:val="00584B7B"/>
    <w:rsid w:val="00584E02"/>
    <w:rsid w:val="00585214"/>
    <w:rsid w:val="0058553C"/>
    <w:rsid w:val="005855F7"/>
    <w:rsid w:val="00586C26"/>
    <w:rsid w:val="0058702B"/>
    <w:rsid w:val="005870A0"/>
    <w:rsid w:val="0058713C"/>
    <w:rsid w:val="00587A97"/>
    <w:rsid w:val="00587C37"/>
    <w:rsid w:val="00587C6C"/>
    <w:rsid w:val="00587EFC"/>
    <w:rsid w:val="00587F12"/>
    <w:rsid w:val="0059078B"/>
    <w:rsid w:val="0059088A"/>
    <w:rsid w:val="00590E93"/>
    <w:rsid w:val="00591EC0"/>
    <w:rsid w:val="00591EC6"/>
    <w:rsid w:val="00593A3D"/>
    <w:rsid w:val="00593DB7"/>
    <w:rsid w:val="00593E59"/>
    <w:rsid w:val="005941C0"/>
    <w:rsid w:val="00595149"/>
    <w:rsid w:val="00595A7E"/>
    <w:rsid w:val="00595DC7"/>
    <w:rsid w:val="00595DE3"/>
    <w:rsid w:val="005968FD"/>
    <w:rsid w:val="0059710E"/>
    <w:rsid w:val="00597285"/>
    <w:rsid w:val="005973C4"/>
    <w:rsid w:val="0059791D"/>
    <w:rsid w:val="00597CC1"/>
    <w:rsid w:val="00597DE5"/>
    <w:rsid w:val="005A0188"/>
    <w:rsid w:val="005A0FB6"/>
    <w:rsid w:val="005A2FD2"/>
    <w:rsid w:val="005A345D"/>
    <w:rsid w:val="005A3995"/>
    <w:rsid w:val="005A41F8"/>
    <w:rsid w:val="005A4283"/>
    <w:rsid w:val="005A5CA9"/>
    <w:rsid w:val="005A66A6"/>
    <w:rsid w:val="005A6D5C"/>
    <w:rsid w:val="005A6DE2"/>
    <w:rsid w:val="005A6F94"/>
    <w:rsid w:val="005A7009"/>
    <w:rsid w:val="005A7258"/>
    <w:rsid w:val="005A7C52"/>
    <w:rsid w:val="005B06CA"/>
    <w:rsid w:val="005B0D9B"/>
    <w:rsid w:val="005B1011"/>
    <w:rsid w:val="005B10F6"/>
    <w:rsid w:val="005B1F4E"/>
    <w:rsid w:val="005B26AC"/>
    <w:rsid w:val="005B2AC7"/>
    <w:rsid w:val="005B2E24"/>
    <w:rsid w:val="005B37FE"/>
    <w:rsid w:val="005B3981"/>
    <w:rsid w:val="005B3C5A"/>
    <w:rsid w:val="005B43AA"/>
    <w:rsid w:val="005B4BC2"/>
    <w:rsid w:val="005B4C55"/>
    <w:rsid w:val="005B5389"/>
    <w:rsid w:val="005B53A3"/>
    <w:rsid w:val="005B573F"/>
    <w:rsid w:val="005B5F8D"/>
    <w:rsid w:val="005B6497"/>
    <w:rsid w:val="005B70DC"/>
    <w:rsid w:val="005B72FF"/>
    <w:rsid w:val="005B791A"/>
    <w:rsid w:val="005B7AAE"/>
    <w:rsid w:val="005B7B59"/>
    <w:rsid w:val="005C02BC"/>
    <w:rsid w:val="005C08B2"/>
    <w:rsid w:val="005C094B"/>
    <w:rsid w:val="005C0A99"/>
    <w:rsid w:val="005C130C"/>
    <w:rsid w:val="005C1483"/>
    <w:rsid w:val="005C1824"/>
    <w:rsid w:val="005C1887"/>
    <w:rsid w:val="005C1A5D"/>
    <w:rsid w:val="005C1BE5"/>
    <w:rsid w:val="005C1FB7"/>
    <w:rsid w:val="005C31E6"/>
    <w:rsid w:val="005C34C1"/>
    <w:rsid w:val="005C3D44"/>
    <w:rsid w:val="005C44C0"/>
    <w:rsid w:val="005C4830"/>
    <w:rsid w:val="005C4B6F"/>
    <w:rsid w:val="005C4D2E"/>
    <w:rsid w:val="005C7237"/>
    <w:rsid w:val="005C7334"/>
    <w:rsid w:val="005C7A35"/>
    <w:rsid w:val="005C7CEB"/>
    <w:rsid w:val="005D04A4"/>
    <w:rsid w:val="005D0C80"/>
    <w:rsid w:val="005D0EA9"/>
    <w:rsid w:val="005D1805"/>
    <w:rsid w:val="005D1821"/>
    <w:rsid w:val="005D24E6"/>
    <w:rsid w:val="005D2C27"/>
    <w:rsid w:val="005D2D23"/>
    <w:rsid w:val="005D3694"/>
    <w:rsid w:val="005D391E"/>
    <w:rsid w:val="005D3B8C"/>
    <w:rsid w:val="005D3CA2"/>
    <w:rsid w:val="005D4ADD"/>
    <w:rsid w:val="005D4C96"/>
    <w:rsid w:val="005D5298"/>
    <w:rsid w:val="005D59C2"/>
    <w:rsid w:val="005D642E"/>
    <w:rsid w:val="005E1CFB"/>
    <w:rsid w:val="005E2583"/>
    <w:rsid w:val="005E26C5"/>
    <w:rsid w:val="005E2C7D"/>
    <w:rsid w:val="005E2E8B"/>
    <w:rsid w:val="005E37FF"/>
    <w:rsid w:val="005E3B6F"/>
    <w:rsid w:val="005E5044"/>
    <w:rsid w:val="005E5459"/>
    <w:rsid w:val="005E6ABB"/>
    <w:rsid w:val="005E6DC0"/>
    <w:rsid w:val="005E7405"/>
    <w:rsid w:val="005E742C"/>
    <w:rsid w:val="005F00BB"/>
    <w:rsid w:val="005F0890"/>
    <w:rsid w:val="005F0A7E"/>
    <w:rsid w:val="005F0E9C"/>
    <w:rsid w:val="005F1412"/>
    <w:rsid w:val="005F1474"/>
    <w:rsid w:val="005F1A86"/>
    <w:rsid w:val="005F1C6F"/>
    <w:rsid w:val="005F202F"/>
    <w:rsid w:val="005F2B0B"/>
    <w:rsid w:val="005F30C7"/>
    <w:rsid w:val="005F3132"/>
    <w:rsid w:val="005F395C"/>
    <w:rsid w:val="005F3B74"/>
    <w:rsid w:val="005F3CA9"/>
    <w:rsid w:val="005F3CEC"/>
    <w:rsid w:val="005F4470"/>
    <w:rsid w:val="005F4D35"/>
    <w:rsid w:val="005F5089"/>
    <w:rsid w:val="005F5555"/>
    <w:rsid w:val="005F60EB"/>
    <w:rsid w:val="005F6109"/>
    <w:rsid w:val="005F618B"/>
    <w:rsid w:val="005F62AC"/>
    <w:rsid w:val="005F639F"/>
    <w:rsid w:val="005F640F"/>
    <w:rsid w:val="005F70B2"/>
    <w:rsid w:val="005F76FA"/>
    <w:rsid w:val="005F7A71"/>
    <w:rsid w:val="005F7D7D"/>
    <w:rsid w:val="005F7F20"/>
    <w:rsid w:val="0060003A"/>
    <w:rsid w:val="006012A0"/>
    <w:rsid w:val="00601905"/>
    <w:rsid w:val="00601B5E"/>
    <w:rsid w:val="00601FBE"/>
    <w:rsid w:val="00602110"/>
    <w:rsid w:val="00602966"/>
    <w:rsid w:val="006029DD"/>
    <w:rsid w:val="006037B9"/>
    <w:rsid w:val="0060405E"/>
    <w:rsid w:val="00604962"/>
    <w:rsid w:val="00604EB1"/>
    <w:rsid w:val="006054E7"/>
    <w:rsid w:val="006062D0"/>
    <w:rsid w:val="0060678C"/>
    <w:rsid w:val="00606F08"/>
    <w:rsid w:val="006078C7"/>
    <w:rsid w:val="00607B50"/>
    <w:rsid w:val="00610938"/>
    <w:rsid w:val="006113EE"/>
    <w:rsid w:val="0061181B"/>
    <w:rsid w:val="0061188D"/>
    <w:rsid w:val="00612109"/>
    <w:rsid w:val="006121B5"/>
    <w:rsid w:val="006121CE"/>
    <w:rsid w:val="00612345"/>
    <w:rsid w:val="00613336"/>
    <w:rsid w:val="006135C1"/>
    <w:rsid w:val="006147D8"/>
    <w:rsid w:val="00614D3E"/>
    <w:rsid w:val="00615013"/>
    <w:rsid w:val="006155B0"/>
    <w:rsid w:val="0061599F"/>
    <w:rsid w:val="00615F56"/>
    <w:rsid w:val="00615FA4"/>
    <w:rsid w:val="00616DB0"/>
    <w:rsid w:val="00617324"/>
    <w:rsid w:val="00617D2D"/>
    <w:rsid w:val="00621BD4"/>
    <w:rsid w:val="00621CF6"/>
    <w:rsid w:val="006221EE"/>
    <w:rsid w:val="006228BC"/>
    <w:rsid w:val="006231A7"/>
    <w:rsid w:val="00623453"/>
    <w:rsid w:val="00625B06"/>
    <w:rsid w:val="00625F6A"/>
    <w:rsid w:val="00626820"/>
    <w:rsid w:val="00626D1B"/>
    <w:rsid w:val="00627378"/>
    <w:rsid w:val="00630721"/>
    <w:rsid w:val="0063096F"/>
    <w:rsid w:val="00630BF7"/>
    <w:rsid w:val="00630E58"/>
    <w:rsid w:val="00631204"/>
    <w:rsid w:val="00631384"/>
    <w:rsid w:val="00631443"/>
    <w:rsid w:val="00631992"/>
    <w:rsid w:val="00633131"/>
    <w:rsid w:val="00633D8C"/>
    <w:rsid w:val="006340D3"/>
    <w:rsid w:val="006347B8"/>
    <w:rsid w:val="00634983"/>
    <w:rsid w:val="00634F46"/>
    <w:rsid w:val="0063526B"/>
    <w:rsid w:val="00635303"/>
    <w:rsid w:val="00636241"/>
    <w:rsid w:val="00636348"/>
    <w:rsid w:val="00636421"/>
    <w:rsid w:val="00636583"/>
    <w:rsid w:val="00636739"/>
    <w:rsid w:val="006368EE"/>
    <w:rsid w:val="00637D4E"/>
    <w:rsid w:val="006402A9"/>
    <w:rsid w:val="006405DA"/>
    <w:rsid w:val="00640738"/>
    <w:rsid w:val="00640F06"/>
    <w:rsid w:val="0064170F"/>
    <w:rsid w:val="00641AD6"/>
    <w:rsid w:val="00641E35"/>
    <w:rsid w:val="0064296D"/>
    <w:rsid w:val="00642CC2"/>
    <w:rsid w:val="00642EFB"/>
    <w:rsid w:val="00644923"/>
    <w:rsid w:val="00644C07"/>
    <w:rsid w:val="0064502E"/>
    <w:rsid w:val="006451C8"/>
    <w:rsid w:val="00645991"/>
    <w:rsid w:val="00645B87"/>
    <w:rsid w:val="00646450"/>
    <w:rsid w:val="006468D1"/>
    <w:rsid w:val="00646C80"/>
    <w:rsid w:val="00646F0B"/>
    <w:rsid w:val="00647612"/>
    <w:rsid w:val="00647AD5"/>
    <w:rsid w:val="00647B36"/>
    <w:rsid w:val="00650421"/>
    <w:rsid w:val="006505A4"/>
    <w:rsid w:val="00650F81"/>
    <w:rsid w:val="006512CB"/>
    <w:rsid w:val="00651413"/>
    <w:rsid w:val="00651AAC"/>
    <w:rsid w:val="00651BE6"/>
    <w:rsid w:val="006520BE"/>
    <w:rsid w:val="006520CC"/>
    <w:rsid w:val="006534AB"/>
    <w:rsid w:val="006538AA"/>
    <w:rsid w:val="00655729"/>
    <w:rsid w:val="006557AA"/>
    <w:rsid w:val="00655B5E"/>
    <w:rsid w:val="00655B99"/>
    <w:rsid w:val="00655E0B"/>
    <w:rsid w:val="00655FCE"/>
    <w:rsid w:val="00656725"/>
    <w:rsid w:val="00656BDB"/>
    <w:rsid w:val="006570D1"/>
    <w:rsid w:val="00657198"/>
    <w:rsid w:val="006604B0"/>
    <w:rsid w:val="00660A65"/>
    <w:rsid w:val="00660A9E"/>
    <w:rsid w:val="00660E1B"/>
    <w:rsid w:val="00661206"/>
    <w:rsid w:val="006612EA"/>
    <w:rsid w:val="0066305A"/>
    <w:rsid w:val="00663311"/>
    <w:rsid w:val="006644E1"/>
    <w:rsid w:val="0066470F"/>
    <w:rsid w:val="0066591C"/>
    <w:rsid w:val="00665A33"/>
    <w:rsid w:val="00665D51"/>
    <w:rsid w:val="006663CB"/>
    <w:rsid w:val="006666AD"/>
    <w:rsid w:val="00667DBF"/>
    <w:rsid w:val="00667E6C"/>
    <w:rsid w:val="00670490"/>
    <w:rsid w:val="0067053D"/>
    <w:rsid w:val="00670540"/>
    <w:rsid w:val="0067134D"/>
    <w:rsid w:val="00671E5B"/>
    <w:rsid w:val="00671F6D"/>
    <w:rsid w:val="0067201A"/>
    <w:rsid w:val="0067240F"/>
    <w:rsid w:val="00672464"/>
    <w:rsid w:val="006724B5"/>
    <w:rsid w:val="00672786"/>
    <w:rsid w:val="006728DD"/>
    <w:rsid w:val="006729D4"/>
    <w:rsid w:val="00672F2B"/>
    <w:rsid w:val="0067335B"/>
    <w:rsid w:val="00673ED6"/>
    <w:rsid w:val="006748BA"/>
    <w:rsid w:val="00674D6B"/>
    <w:rsid w:val="00674EB4"/>
    <w:rsid w:val="00675274"/>
    <w:rsid w:val="00675926"/>
    <w:rsid w:val="00675F6E"/>
    <w:rsid w:val="0067610B"/>
    <w:rsid w:val="00676481"/>
    <w:rsid w:val="00676970"/>
    <w:rsid w:val="00676B30"/>
    <w:rsid w:val="00677114"/>
    <w:rsid w:val="00677BA5"/>
    <w:rsid w:val="00680196"/>
    <w:rsid w:val="00681734"/>
    <w:rsid w:val="00681E05"/>
    <w:rsid w:val="00682107"/>
    <w:rsid w:val="0068243B"/>
    <w:rsid w:val="006830E4"/>
    <w:rsid w:val="00683504"/>
    <w:rsid w:val="00683EE4"/>
    <w:rsid w:val="00684706"/>
    <w:rsid w:val="00684867"/>
    <w:rsid w:val="006849F0"/>
    <w:rsid w:val="00684E2B"/>
    <w:rsid w:val="00684F07"/>
    <w:rsid w:val="0068656B"/>
    <w:rsid w:val="00686E26"/>
    <w:rsid w:val="00687BF4"/>
    <w:rsid w:val="00690005"/>
    <w:rsid w:val="00690894"/>
    <w:rsid w:val="006908B1"/>
    <w:rsid w:val="00691E59"/>
    <w:rsid w:val="00692A4F"/>
    <w:rsid w:val="00692B73"/>
    <w:rsid w:val="006940E4"/>
    <w:rsid w:val="00694480"/>
    <w:rsid w:val="006971CE"/>
    <w:rsid w:val="0069723D"/>
    <w:rsid w:val="00697A58"/>
    <w:rsid w:val="006A0C8C"/>
    <w:rsid w:val="006A0CE9"/>
    <w:rsid w:val="006A1429"/>
    <w:rsid w:val="006A1680"/>
    <w:rsid w:val="006A27DC"/>
    <w:rsid w:val="006A2870"/>
    <w:rsid w:val="006A2FBE"/>
    <w:rsid w:val="006A330D"/>
    <w:rsid w:val="006A353A"/>
    <w:rsid w:val="006A3B83"/>
    <w:rsid w:val="006A403B"/>
    <w:rsid w:val="006A44AF"/>
    <w:rsid w:val="006A4523"/>
    <w:rsid w:val="006A484D"/>
    <w:rsid w:val="006A50DB"/>
    <w:rsid w:val="006A539A"/>
    <w:rsid w:val="006A54AE"/>
    <w:rsid w:val="006A56CA"/>
    <w:rsid w:val="006A5799"/>
    <w:rsid w:val="006A5F43"/>
    <w:rsid w:val="006A619C"/>
    <w:rsid w:val="006A6B16"/>
    <w:rsid w:val="006A6D92"/>
    <w:rsid w:val="006A73DD"/>
    <w:rsid w:val="006A7426"/>
    <w:rsid w:val="006A7A94"/>
    <w:rsid w:val="006B0286"/>
    <w:rsid w:val="006B0583"/>
    <w:rsid w:val="006B0CF7"/>
    <w:rsid w:val="006B1170"/>
    <w:rsid w:val="006B13CE"/>
    <w:rsid w:val="006B1B14"/>
    <w:rsid w:val="006B1B52"/>
    <w:rsid w:val="006B3333"/>
    <w:rsid w:val="006B48DD"/>
    <w:rsid w:val="006B4A8E"/>
    <w:rsid w:val="006B55ED"/>
    <w:rsid w:val="006B6B4D"/>
    <w:rsid w:val="006B6CFA"/>
    <w:rsid w:val="006B6E42"/>
    <w:rsid w:val="006B7B6A"/>
    <w:rsid w:val="006B7D44"/>
    <w:rsid w:val="006C059E"/>
    <w:rsid w:val="006C0681"/>
    <w:rsid w:val="006C08FB"/>
    <w:rsid w:val="006C0E3F"/>
    <w:rsid w:val="006C1AB2"/>
    <w:rsid w:val="006C24ED"/>
    <w:rsid w:val="006C2C29"/>
    <w:rsid w:val="006C2CA6"/>
    <w:rsid w:val="006C3114"/>
    <w:rsid w:val="006C35D1"/>
    <w:rsid w:val="006C4167"/>
    <w:rsid w:val="006C4FEA"/>
    <w:rsid w:val="006C5A2D"/>
    <w:rsid w:val="006C5C5B"/>
    <w:rsid w:val="006C6469"/>
    <w:rsid w:val="006C67A3"/>
    <w:rsid w:val="006C6D61"/>
    <w:rsid w:val="006C7B08"/>
    <w:rsid w:val="006D12D9"/>
    <w:rsid w:val="006D13EF"/>
    <w:rsid w:val="006D17EB"/>
    <w:rsid w:val="006D19C9"/>
    <w:rsid w:val="006D2F35"/>
    <w:rsid w:val="006D2F8D"/>
    <w:rsid w:val="006D30D0"/>
    <w:rsid w:val="006D32EF"/>
    <w:rsid w:val="006D41AA"/>
    <w:rsid w:val="006D41B2"/>
    <w:rsid w:val="006D476A"/>
    <w:rsid w:val="006D5BC6"/>
    <w:rsid w:val="006D6625"/>
    <w:rsid w:val="006D7D59"/>
    <w:rsid w:val="006D7E17"/>
    <w:rsid w:val="006E027D"/>
    <w:rsid w:val="006E1026"/>
    <w:rsid w:val="006E1455"/>
    <w:rsid w:val="006E201A"/>
    <w:rsid w:val="006E2787"/>
    <w:rsid w:val="006E2B7F"/>
    <w:rsid w:val="006E2C71"/>
    <w:rsid w:val="006E3E0B"/>
    <w:rsid w:val="006E4751"/>
    <w:rsid w:val="006E4D9B"/>
    <w:rsid w:val="006E649D"/>
    <w:rsid w:val="006E6830"/>
    <w:rsid w:val="006E6D9E"/>
    <w:rsid w:val="006E6EB5"/>
    <w:rsid w:val="006E6EE4"/>
    <w:rsid w:val="006F0509"/>
    <w:rsid w:val="006F101E"/>
    <w:rsid w:val="006F1DF7"/>
    <w:rsid w:val="006F266D"/>
    <w:rsid w:val="006F3C93"/>
    <w:rsid w:val="006F4634"/>
    <w:rsid w:val="006F4668"/>
    <w:rsid w:val="006F4851"/>
    <w:rsid w:val="006F52E4"/>
    <w:rsid w:val="006F5AF3"/>
    <w:rsid w:val="006F619D"/>
    <w:rsid w:val="006F62E0"/>
    <w:rsid w:val="006F63AB"/>
    <w:rsid w:val="006F7107"/>
    <w:rsid w:val="006F726D"/>
    <w:rsid w:val="006F76D1"/>
    <w:rsid w:val="006F7856"/>
    <w:rsid w:val="007004F7"/>
    <w:rsid w:val="00701560"/>
    <w:rsid w:val="00701BED"/>
    <w:rsid w:val="00702745"/>
    <w:rsid w:val="00702754"/>
    <w:rsid w:val="0070300D"/>
    <w:rsid w:val="00703581"/>
    <w:rsid w:val="00703700"/>
    <w:rsid w:val="00705E43"/>
    <w:rsid w:val="00706340"/>
    <w:rsid w:val="00706375"/>
    <w:rsid w:val="007072C0"/>
    <w:rsid w:val="00710188"/>
    <w:rsid w:val="0071019A"/>
    <w:rsid w:val="00711812"/>
    <w:rsid w:val="007125B7"/>
    <w:rsid w:val="00712FED"/>
    <w:rsid w:val="00713497"/>
    <w:rsid w:val="007145E5"/>
    <w:rsid w:val="00714A05"/>
    <w:rsid w:val="00714E4B"/>
    <w:rsid w:val="00715276"/>
    <w:rsid w:val="007161AD"/>
    <w:rsid w:val="0071624D"/>
    <w:rsid w:val="007162CB"/>
    <w:rsid w:val="007165F7"/>
    <w:rsid w:val="00716886"/>
    <w:rsid w:val="00716D13"/>
    <w:rsid w:val="00717070"/>
    <w:rsid w:val="007171F6"/>
    <w:rsid w:val="0071778E"/>
    <w:rsid w:val="0071787C"/>
    <w:rsid w:val="00720374"/>
    <w:rsid w:val="007203AF"/>
    <w:rsid w:val="007208E1"/>
    <w:rsid w:val="00720B1A"/>
    <w:rsid w:val="00720CD8"/>
    <w:rsid w:val="007214D8"/>
    <w:rsid w:val="0072156F"/>
    <w:rsid w:val="00721817"/>
    <w:rsid w:val="0072191D"/>
    <w:rsid w:val="00721A6B"/>
    <w:rsid w:val="00721EC9"/>
    <w:rsid w:val="00722246"/>
    <w:rsid w:val="00722253"/>
    <w:rsid w:val="00722F57"/>
    <w:rsid w:val="007231DC"/>
    <w:rsid w:val="00723375"/>
    <w:rsid w:val="007245B2"/>
    <w:rsid w:val="00724AA2"/>
    <w:rsid w:val="00724CD6"/>
    <w:rsid w:val="00724D05"/>
    <w:rsid w:val="00724E0F"/>
    <w:rsid w:val="00724F50"/>
    <w:rsid w:val="00724F66"/>
    <w:rsid w:val="00725A5C"/>
    <w:rsid w:val="0072644C"/>
    <w:rsid w:val="00726A08"/>
    <w:rsid w:val="007274B4"/>
    <w:rsid w:val="0072755F"/>
    <w:rsid w:val="0073119D"/>
    <w:rsid w:val="007320AC"/>
    <w:rsid w:val="0073251B"/>
    <w:rsid w:val="007335DD"/>
    <w:rsid w:val="00734089"/>
    <w:rsid w:val="007352B5"/>
    <w:rsid w:val="007354C7"/>
    <w:rsid w:val="00736399"/>
    <w:rsid w:val="00737AD9"/>
    <w:rsid w:val="00740017"/>
    <w:rsid w:val="007401A8"/>
    <w:rsid w:val="00741013"/>
    <w:rsid w:val="007412D4"/>
    <w:rsid w:val="00741D86"/>
    <w:rsid w:val="00743086"/>
    <w:rsid w:val="00743708"/>
    <w:rsid w:val="00745273"/>
    <w:rsid w:val="007452B8"/>
    <w:rsid w:val="007454D4"/>
    <w:rsid w:val="00745982"/>
    <w:rsid w:val="007464AD"/>
    <w:rsid w:val="0074655B"/>
    <w:rsid w:val="0074658A"/>
    <w:rsid w:val="007465AD"/>
    <w:rsid w:val="007466AA"/>
    <w:rsid w:val="0074672A"/>
    <w:rsid w:val="007469BD"/>
    <w:rsid w:val="007470FC"/>
    <w:rsid w:val="0074763E"/>
    <w:rsid w:val="007477D6"/>
    <w:rsid w:val="00747A89"/>
    <w:rsid w:val="00750883"/>
    <w:rsid w:val="007508B7"/>
    <w:rsid w:val="00750D32"/>
    <w:rsid w:val="00750F6F"/>
    <w:rsid w:val="00750FAB"/>
    <w:rsid w:val="007512BE"/>
    <w:rsid w:val="00751411"/>
    <w:rsid w:val="00751A5D"/>
    <w:rsid w:val="0075205C"/>
    <w:rsid w:val="00752F50"/>
    <w:rsid w:val="00753D0A"/>
    <w:rsid w:val="00753D7E"/>
    <w:rsid w:val="00754B07"/>
    <w:rsid w:val="0075521A"/>
    <w:rsid w:val="007579A9"/>
    <w:rsid w:val="00757D07"/>
    <w:rsid w:val="00757E50"/>
    <w:rsid w:val="007601B1"/>
    <w:rsid w:val="00760C87"/>
    <w:rsid w:val="00761750"/>
    <w:rsid w:val="0076176E"/>
    <w:rsid w:val="00763164"/>
    <w:rsid w:val="0076338E"/>
    <w:rsid w:val="00763407"/>
    <w:rsid w:val="007634B6"/>
    <w:rsid w:val="007635C9"/>
    <w:rsid w:val="0076402C"/>
    <w:rsid w:val="00764D12"/>
    <w:rsid w:val="00764ED2"/>
    <w:rsid w:val="00765D83"/>
    <w:rsid w:val="0076625C"/>
    <w:rsid w:val="00767F47"/>
    <w:rsid w:val="007708EC"/>
    <w:rsid w:val="00770DE5"/>
    <w:rsid w:val="007710C6"/>
    <w:rsid w:val="0077122B"/>
    <w:rsid w:val="0077156A"/>
    <w:rsid w:val="00771A83"/>
    <w:rsid w:val="007720F4"/>
    <w:rsid w:val="0077239C"/>
    <w:rsid w:val="007734B8"/>
    <w:rsid w:val="00773CDD"/>
    <w:rsid w:val="00773E36"/>
    <w:rsid w:val="007747E3"/>
    <w:rsid w:val="00774969"/>
    <w:rsid w:val="00774C3B"/>
    <w:rsid w:val="00774CE9"/>
    <w:rsid w:val="007752FB"/>
    <w:rsid w:val="007757FC"/>
    <w:rsid w:val="0077698D"/>
    <w:rsid w:val="00777420"/>
    <w:rsid w:val="00777804"/>
    <w:rsid w:val="0078002E"/>
    <w:rsid w:val="0078056F"/>
    <w:rsid w:val="007807A1"/>
    <w:rsid w:val="0078143C"/>
    <w:rsid w:val="0078169B"/>
    <w:rsid w:val="007818B6"/>
    <w:rsid w:val="00782D29"/>
    <w:rsid w:val="00782D94"/>
    <w:rsid w:val="00782DF5"/>
    <w:rsid w:val="007830C9"/>
    <w:rsid w:val="0078377E"/>
    <w:rsid w:val="00784178"/>
    <w:rsid w:val="00784B52"/>
    <w:rsid w:val="00784C07"/>
    <w:rsid w:val="00784F68"/>
    <w:rsid w:val="0078530A"/>
    <w:rsid w:val="00786D5D"/>
    <w:rsid w:val="00787145"/>
    <w:rsid w:val="00787930"/>
    <w:rsid w:val="007900FD"/>
    <w:rsid w:val="007901EC"/>
    <w:rsid w:val="0079021D"/>
    <w:rsid w:val="00791A12"/>
    <w:rsid w:val="00791C0A"/>
    <w:rsid w:val="007920D7"/>
    <w:rsid w:val="007935AA"/>
    <w:rsid w:val="0079402D"/>
    <w:rsid w:val="00794311"/>
    <w:rsid w:val="00795073"/>
    <w:rsid w:val="00795647"/>
    <w:rsid w:val="00795668"/>
    <w:rsid w:val="0079569A"/>
    <w:rsid w:val="00795CF6"/>
    <w:rsid w:val="007966F9"/>
    <w:rsid w:val="00797031"/>
    <w:rsid w:val="007974CD"/>
    <w:rsid w:val="00797BA4"/>
    <w:rsid w:val="007A0A30"/>
    <w:rsid w:val="007A10AC"/>
    <w:rsid w:val="007A1C8D"/>
    <w:rsid w:val="007A1DCE"/>
    <w:rsid w:val="007A31DA"/>
    <w:rsid w:val="007A3406"/>
    <w:rsid w:val="007A3D07"/>
    <w:rsid w:val="007A40B9"/>
    <w:rsid w:val="007A41FF"/>
    <w:rsid w:val="007A4634"/>
    <w:rsid w:val="007A4A0E"/>
    <w:rsid w:val="007A4EB3"/>
    <w:rsid w:val="007A4EEE"/>
    <w:rsid w:val="007A513D"/>
    <w:rsid w:val="007A54F7"/>
    <w:rsid w:val="007A55B7"/>
    <w:rsid w:val="007A6CDB"/>
    <w:rsid w:val="007A6F63"/>
    <w:rsid w:val="007A71B3"/>
    <w:rsid w:val="007A7F25"/>
    <w:rsid w:val="007A7F9B"/>
    <w:rsid w:val="007A7FA2"/>
    <w:rsid w:val="007B06F2"/>
    <w:rsid w:val="007B0FB1"/>
    <w:rsid w:val="007B1B48"/>
    <w:rsid w:val="007B27FB"/>
    <w:rsid w:val="007B28E3"/>
    <w:rsid w:val="007B325C"/>
    <w:rsid w:val="007B3656"/>
    <w:rsid w:val="007B3A29"/>
    <w:rsid w:val="007B3E2F"/>
    <w:rsid w:val="007B434A"/>
    <w:rsid w:val="007B4857"/>
    <w:rsid w:val="007B4FF1"/>
    <w:rsid w:val="007B5754"/>
    <w:rsid w:val="007B6B67"/>
    <w:rsid w:val="007C00AF"/>
    <w:rsid w:val="007C02B7"/>
    <w:rsid w:val="007C0E3E"/>
    <w:rsid w:val="007C150A"/>
    <w:rsid w:val="007C2376"/>
    <w:rsid w:val="007C246D"/>
    <w:rsid w:val="007C254F"/>
    <w:rsid w:val="007C2E5D"/>
    <w:rsid w:val="007C36FA"/>
    <w:rsid w:val="007C3A05"/>
    <w:rsid w:val="007C48AD"/>
    <w:rsid w:val="007C5657"/>
    <w:rsid w:val="007C568F"/>
    <w:rsid w:val="007C603F"/>
    <w:rsid w:val="007C6587"/>
    <w:rsid w:val="007C7007"/>
    <w:rsid w:val="007C7221"/>
    <w:rsid w:val="007C7C58"/>
    <w:rsid w:val="007D10B1"/>
    <w:rsid w:val="007D1C0C"/>
    <w:rsid w:val="007D1C3C"/>
    <w:rsid w:val="007D20A9"/>
    <w:rsid w:val="007D21A9"/>
    <w:rsid w:val="007D2677"/>
    <w:rsid w:val="007D3A72"/>
    <w:rsid w:val="007D3A76"/>
    <w:rsid w:val="007D3C2D"/>
    <w:rsid w:val="007D4171"/>
    <w:rsid w:val="007D43D2"/>
    <w:rsid w:val="007D5251"/>
    <w:rsid w:val="007D575F"/>
    <w:rsid w:val="007D57DE"/>
    <w:rsid w:val="007D5947"/>
    <w:rsid w:val="007D61F3"/>
    <w:rsid w:val="007D65C4"/>
    <w:rsid w:val="007D6791"/>
    <w:rsid w:val="007D6E91"/>
    <w:rsid w:val="007D72E4"/>
    <w:rsid w:val="007D7398"/>
    <w:rsid w:val="007D78DC"/>
    <w:rsid w:val="007D7943"/>
    <w:rsid w:val="007D7ADA"/>
    <w:rsid w:val="007E0A1F"/>
    <w:rsid w:val="007E1A99"/>
    <w:rsid w:val="007E21CC"/>
    <w:rsid w:val="007E2DAF"/>
    <w:rsid w:val="007E3A15"/>
    <w:rsid w:val="007E3C04"/>
    <w:rsid w:val="007E5443"/>
    <w:rsid w:val="007E5840"/>
    <w:rsid w:val="007E5BA5"/>
    <w:rsid w:val="007E5CB4"/>
    <w:rsid w:val="007E5CB9"/>
    <w:rsid w:val="007E5FE0"/>
    <w:rsid w:val="007E62F8"/>
    <w:rsid w:val="007E67BA"/>
    <w:rsid w:val="007E6987"/>
    <w:rsid w:val="007E778B"/>
    <w:rsid w:val="007E7EC0"/>
    <w:rsid w:val="007F036F"/>
    <w:rsid w:val="007F072B"/>
    <w:rsid w:val="007F1BF8"/>
    <w:rsid w:val="007F1E25"/>
    <w:rsid w:val="007F1F92"/>
    <w:rsid w:val="007F1F9B"/>
    <w:rsid w:val="007F327C"/>
    <w:rsid w:val="007F3363"/>
    <w:rsid w:val="007F36AC"/>
    <w:rsid w:val="007F3BC2"/>
    <w:rsid w:val="007F3C9A"/>
    <w:rsid w:val="007F416E"/>
    <w:rsid w:val="007F4829"/>
    <w:rsid w:val="007F5719"/>
    <w:rsid w:val="007F5B98"/>
    <w:rsid w:val="007F5FDE"/>
    <w:rsid w:val="007F6820"/>
    <w:rsid w:val="007F6D6B"/>
    <w:rsid w:val="007F7007"/>
    <w:rsid w:val="007F7A35"/>
    <w:rsid w:val="00800C9B"/>
    <w:rsid w:val="00801187"/>
    <w:rsid w:val="00802163"/>
    <w:rsid w:val="0080363C"/>
    <w:rsid w:val="0080369A"/>
    <w:rsid w:val="0080496D"/>
    <w:rsid w:val="00804E7C"/>
    <w:rsid w:val="008053E7"/>
    <w:rsid w:val="00805D79"/>
    <w:rsid w:val="0080644F"/>
    <w:rsid w:val="00806E50"/>
    <w:rsid w:val="008078A8"/>
    <w:rsid w:val="00810C5E"/>
    <w:rsid w:val="00810DA2"/>
    <w:rsid w:val="00810E9F"/>
    <w:rsid w:val="0081229E"/>
    <w:rsid w:val="008123BF"/>
    <w:rsid w:val="0081247A"/>
    <w:rsid w:val="0081248B"/>
    <w:rsid w:val="008131BC"/>
    <w:rsid w:val="0081396F"/>
    <w:rsid w:val="00814412"/>
    <w:rsid w:val="00814EDB"/>
    <w:rsid w:val="00815AEE"/>
    <w:rsid w:val="00815F14"/>
    <w:rsid w:val="00815F44"/>
    <w:rsid w:val="00816001"/>
    <w:rsid w:val="00817060"/>
    <w:rsid w:val="0081780F"/>
    <w:rsid w:val="00817B32"/>
    <w:rsid w:val="00817D96"/>
    <w:rsid w:val="0082004A"/>
    <w:rsid w:val="00820AF8"/>
    <w:rsid w:val="0082148E"/>
    <w:rsid w:val="00821AA1"/>
    <w:rsid w:val="00821D6E"/>
    <w:rsid w:val="0082238F"/>
    <w:rsid w:val="00822872"/>
    <w:rsid w:val="00822AED"/>
    <w:rsid w:val="008231D9"/>
    <w:rsid w:val="00824355"/>
    <w:rsid w:val="00824881"/>
    <w:rsid w:val="00825118"/>
    <w:rsid w:val="008251BC"/>
    <w:rsid w:val="008257E4"/>
    <w:rsid w:val="00826107"/>
    <w:rsid w:val="00826A0B"/>
    <w:rsid w:val="00827131"/>
    <w:rsid w:val="0082756E"/>
    <w:rsid w:val="00827A4C"/>
    <w:rsid w:val="00830132"/>
    <w:rsid w:val="008302AC"/>
    <w:rsid w:val="00830DA2"/>
    <w:rsid w:val="008311BF"/>
    <w:rsid w:val="008312C8"/>
    <w:rsid w:val="00831CBD"/>
    <w:rsid w:val="008326A8"/>
    <w:rsid w:val="00832A41"/>
    <w:rsid w:val="008339F1"/>
    <w:rsid w:val="00833A9E"/>
    <w:rsid w:val="00833CE9"/>
    <w:rsid w:val="00833E83"/>
    <w:rsid w:val="00834023"/>
    <w:rsid w:val="00834146"/>
    <w:rsid w:val="00834BC6"/>
    <w:rsid w:val="0083507A"/>
    <w:rsid w:val="008350A0"/>
    <w:rsid w:val="00835395"/>
    <w:rsid w:val="008358EF"/>
    <w:rsid w:val="0083645E"/>
    <w:rsid w:val="00836E57"/>
    <w:rsid w:val="008372C9"/>
    <w:rsid w:val="00837433"/>
    <w:rsid w:val="00837DF1"/>
    <w:rsid w:val="00840BD6"/>
    <w:rsid w:val="008414DA"/>
    <w:rsid w:val="008417FE"/>
    <w:rsid w:val="00841E2D"/>
    <w:rsid w:val="00843471"/>
    <w:rsid w:val="0084348A"/>
    <w:rsid w:val="00843695"/>
    <w:rsid w:val="00844B24"/>
    <w:rsid w:val="008456DF"/>
    <w:rsid w:val="008459FF"/>
    <w:rsid w:val="0084682E"/>
    <w:rsid w:val="00847ABE"/>
    <w:rsid w:val="00850044"/>
    <w:rsid w:val="008500AD"/>
    <w:rsid w:val="00850279"/>
    <w:rsid w:val="00850D8E"/>
    <w:rsid w:val="00851760"/>
    <w:rsid w:val="00851973"/>
    <w:rsid w:val="00852036"/>
    <w:rsid w:val="008528CC"/>
    <w:rsid w:val="0085375A"/>
    <w:rsid w:val="0085383B"/>
    <w:rsid w:val="00853D18"/>
    <w:rsid w:val="00854022"/>
    <w:rsid w:val="0085459A"/>
    <w:rsid w:val="00854D28"/>
    <w:rsid w:val="0085566C"/>
    <w:rsid w:val="00856C34"/>
    <w:rsid w:val="00857D6C"/>
    <w:rsid w:val="0086054D"/>
    <w:rsid w:val="00860624"/>
    <w:rsid w:val="00860781"/>
    <w:rsid w:val="00861FE9"/>
    <w:rsid w:val="00862587"/>
    <w:rsid w:val="00862985"/>
    <w:rsid w:val="00863657"/>
    <w:rsid w:val="00863CB6"/>
    <w:rsid w:val="00864118"/>
    <w:rsid w:val="0086453D"/>
    <w:rsid w:val="00864C6E"/>
    <w:rsid w:val="00864CF7"/>
    <w:rsid w:val="00864DF3"/>
    <w:rsid w:val="00865426"/>
    <w:rsid w:val="008669EA"/>
    <w:rsid w:val="00866CB8"/>
    <w:rsid w:val="00867146"/>
    <w:rsid w:val="008672D3"/>
    <w:rsid w:val="00867420"/>
    <w:rsid w:val="008679A2"/>
    <w:rsid w:val="0087096A"/>
    <w:rsid w:val="00870B53"/>
    <w:rsid w:val="0087105A"/>
    <w:rsid w:val="00871C10"/>
    <w:rsid w:val="00871F46"/>
    <w:rsid w:val="00872353"/>
    <w:rsid w:val="008726F9"/>
    <w:rsid w:val="008737D3"/>
    <w:rsid w:val="008738D0"/>
    <w:rsid w:val="00873B40"/>
    <w:rsid w:val="00874CFF"/>
    <w:rsid w:val="00875336"/>
    <w:rsid w:val="00875517"/>
    <w:rsid w:val="00875971"/>
    <w:rsid w:val="00875C53"/>
    <w:rsid w:val="00875E77"/>
    <w:rsid w:val="008762E0"/>
    <w:rsid w:val="00876AD2"/>
    <w:rsid w:val="00876B72"/>
    <w:rsid w:val="00876E22"/>
    <w:rsid w:val="00877724"/>
    <w:rsid w:val="00877772"/>
    <w:rsid w:val="00880124"/>
    <w:rsid w:val="00880947"/>
    <w:rsid w:val="008825B7"/>
    <w:rsid w:val="00883905"/>
    <w:rsid w:val="0088411F"/>
    <w:rsid w:val="00884588"/>
    <w:rsid w:val="00884CF4"/>
    <w:rsid w:val="008853E6"/>
    <w:rsid w:val="00885B23"/>
    <w:rsid w:val="0088610A"/>
    <w:rsid w:val="008869D3"/>
    <w:rsid w:val="00887D41"/>
    <w:rsid w:val="00887FA5"/>
    <w:rsid w:val="0089005C"/>
    <w:rsid w:val="008905EF"/>
    <w:rsid w:val="00890968"/>
    <w:rsid w:val="00890D5F"/>
    <w:rsid w:val="0089132A"/>
    <w:rsid w:val="00891568"/>
    <w:rsid w:val="00892666"/>
    <w:rsid w:val="00892BD6"/>
    <w:rsid w:val="00892D7F"/>
    <w:rsid w:val="00892EF3"/>
    <w:rsid w:val="00894319"/>
    <w:rsid w:val="008944AF"/>
    <w:rsid w:val="008944D7"/>
    <w:rsid w:val="008947FB"/>
    <w:rsid w:val="00894C25"/>
    <w:rsid w:val="00895648"/>
    <w:rsid w:val="008965D7"/>
    <w:rsid w:val="00896B0F"/>
    <w:rsid w:val="0089768F"/>
    <w:rsid w:val="008976D5"/>
    <w:rsid w:val="00897AF5"/>
    <w:rsid w:val="00897DED"/>
    <w:rsid w:val="008A0ACC"/>
    <w:rsid w:val="008A20A7"/>
    <w:rsid w:val="008A26B3"/>
    <w:rsid w:val="008A2D0A"/>
    <w:rsid w:val="008A2D47"/>
    <w:rsid w:val="008A2ECB"/>
    <w:rsid w:val="008A358B"/>
    <w:rsid w:val="008A35A5"/>
    <w:rsid w:val="008A3C56"/>
    <w:rsid w:val="008A4D99"/>
    <w:rsid w:val="008A5C69"/>
    <w:rsid w:val="008A5E2B"/>
    <w:rsid w:val="008A5EB3"/>
    <w:rsid w:val="008A5F54"/>
    <w:rsid w:val="008A6436"/>
    <w:rsid w:val="008A6523"/>
    <w:rsid w:val="008A66E6"/>
    <w:rsid w:val="008A67DC"/>
    <w:rsid w:val="008A690B"/>
    <w:rsid w:val="008A6D14"/>
    <w:rsid w:val="008A6D8E"/>
    <w:rsid w:val="008A75A1"/>
    <w:rsid w:val="008A7D3F"/>
    <w:rsid w:val="008A7FED"/>
    <w:rsid w:val="008B034E"/>
    <w:rsid w:val="008B10DA"/>
    <w:rsid w:val="008B12B0"/>
    <w:rsid w:val="008B249E"/>
    <w:rsid w:val="008B2D87"/>
    <w:rsid w:val="008B4714"/>
    <w:rsid w:val="008B4C1D"/>
    <w:rsid w:val="008B5614"/>
    <w:rsid w:val="008B57F4"/>
    <w:rsid w:val="008B592A"/>
    <w:rsid w:val="008B5B38"/>
    <w:rsid w:val="008B5B8A"/>
    <w:rsid w:val="008B5E53"/>
    <w:rsid w:val="008B6085"/>
    <w:rsid w:val="008B699F"/>
    <w:rsid w:val="008B6D2A"/>
    <w:rsid w:val="008B79B8"/>
    <w:rsid w:val="008C025B"/>
    <w:rsid w:val="008C02C7"/>
    <w:rsid w:val="008C053A"/>
    <w:rsid w:val="008C06AE"/>
    <w:rsid w:val="008C1225"/>
    <w:rsid w:val="008C1693"/>
    <w:rsid w:val="008C1DB5"/>
    <w:rsid w:val="008C23EA"/>
    <w:rsid w:val="008C26BB"/>
    <w:rsid w:val="008C2942"/>
    <w:rsid w:val="008C2F39"/>
    <w:rsid w:val="008C380A"/>
    <w:rsid w:val="008C3B6B"/>
    <w:rsid w:val="008C53BF"/>
    <w:rsid w:val="008C5F7C"/>
    <w:rsid w:val="008C67B5"/>
    <w:rsid w:val="008C6A21"/>
    <w:rsid w:val="008C6D8C"/>
    <w:rsid w:val="008C6F1B"/>
    <w:rsid w:val="008D014A"/>
    <w:rsid w:val="008D02CC"/>
    <w:rsid w:val="008D03FD"/>
    <w:rsid w:val="008D177F"/>
    <w:rsid w:val="008D1950"/>
    <w:rsid w:val="008D20DB"/>
    <w:rsid w:val="008D26CA"/>
    <w:rsid w:val="008D2723"/>
    <w:rsid w:val="008D2B78"/>
    <w:rsid w:val="008D36E5"/>
    <w:rsid w:val="008D3801"/>
    <w:rsid w:val="008D3BF2"/>
    <w:rsid w:val="008D3EB3"/>
    <w:rsid w:val="008D49B9"/>
    <w:rsid w:val="008D4EE8"/>
    <w:rsid w:val="008D6409"/>
    <w:rsid w:val="008D7123"/>
    <w:rsid w:val="008D71FA"/>
    <w:rsid w:val="008D76CF"/>
    <w:rsid w:val="008D7EAA"/>
    <w:rsid w:val="008E0A98"/>
    <w:rsid w:val="008E1735"/>
    <w:rsid w:val="008E2562"/>
    <w:rsid w:val="008E2EA4"/>
    <w:rsid w:val="008E5A81"/>
    <w:rsid w:val="008E5DD9"/>
    <w:rsid w:val="008E6396"/>
    <w:rsid w:val="008E660F"/>
    <w:rsid w:val="008E6B5C"/>
    <w:rsid w:val="008E6C73"/>
    <w:rsid w:val="008E736B"/>
    <w:rsid w:val="008E742E"/>
    <w:rsid w:val="008F0031"/>
    <w:rsid w:val="008F0D5C"/>
    <w:rsid w:val="008F17FF"/>
    <w:rsid w:val="008F1C9B"/>
    <w:rsid w:val="008F22F2"/>
    <w:rsid w:val="008F2BFB"/>
    <w:rsid w:val="008F3E0F"/>
    <w:rsid w:val="008F4FB3"/>
    <w:rsid w:val="008F52B1"/>
    <w:rsid w:val="008F55C6"/>
    <w:rsid w:val="008F5731"/>
    <w:rsid w:val="008F5CFD"/>
    <w:rsid w:val="008F5F4D"/>
    <w:rsid w:val="008F710A"/>
    <w:rsid w:val="008F7415"/>
    <w:rsid w:val="009010C7"/>
    <w:rsid w:val="009020B3"/>
    <w:rsid w:val="0090234A"/>
    <w:rsid w:val="009023C2"/>
    <w:rsid w:val="00902CDF"/>
    <w:rsid w:val="00902D15"/>
    <w:rsid w:val="0090388F"/>
    <w:rsid w:val="00903A01"/>
    <w:rsid w:val="009042FC"/>
    <w:rsid w:val="009043A0"/>
    <w:rsid w:val="009056BF"/>
    <w:rsid w:val="0090589E"/>
    <w:rsid w:val="00905995"/>
    <w:rsid w:val="00906316"/>
    <w:rsid w:val="00906790"/>
    <w:rsid w:val="00906F7A"/>
    <w:rsid w:val="00907249"/>
    <w:rsid w:val="009103FE"/>
    <w:rsid w:val="009107F6"/>
    <w:rsid w:val="00910B04"/>
    <w:rsid w:val="00910BC8"/>
    <w:rsid w:val="009113F5"/>
    <w:rsid w:val="00911971"/>
    <w:rsid w:val="00912F5A"/>
    <w:rsid w:val="009130D3"/>
    <w:rsid w:val="009133B7"/>
    <w:rsid w:val="00913869"/>
    <w:rsid w:val="0091444A"/>
    <w:rsid w:val="009150DA"/>
    <w:rsid w:val="00915327"/>
    <w:rsid w:val="00915465"/>
    <w:rsid w:val="009161AC"/>
    <w:rsid w:val="009166B6"/>
    <w:rsid w:val="009169D6"/>
    <w:rsid w:val="00916C3C"/>
    <w:rsid w:val="00916CA1"/>
    <w:rsid w:val="00917187"/>
    <w:rsid w:val="009171B7"/>
    <w:rsid w:val="009173DF"/>
    <w:rsid w:val="00917A0C"/>
    <w:rsid w:val="009200FB"/>
    <w:rsid w:val="00920E42"/>
    <w:rsid w:val="00921581"/>
    <w:rsid w:val="009216DD"/>
    <w:rsid w:val="009221AB"/>
    <w:rsid w:val="009224FE"/>
    <w:rsid w:val="00922EE8"/>
    <w:rsid w:val="0092300B"/>
    <w:rsid w:val="009245D9"/>
    <w:rsid w:val="00926C8D"/>
    <w:rsid w:val="009272DE"/>
    <w:rsid w:val="00927387"/>
    <w:rsid w:val="00927B04"/>
    <w:rsid w:val="00927C29"/>
    <w:rsid w:val="00927C9A"/>
    <w:rsid w:val="00927DF9"/>
    <w:rsid w:val="00931DD1"/>
    <w:rsid w:val="00931E80"/>
    <w:rsid w:val="00932229"/>
    <w:rsid w:val="0093281D"/>
    <w:rsid w:val="009338E5"/>
    <w:rsid w:val="00933900"/>
    <w:rsid w:val="009353F2"/>
    <w:rsid w:val="00935428"/>
    <w:rsid w:val="00936793"/>
    <w:rsid w:val="009367A9"/>
    <w:rsid w:val="00936C70"/>
    <w:rsid w:val="0094044C"/>
    <w:rsid w:val="00940872"/>
    <w:rsid w:val="00940953"/>
    <w:rsid w:val="00941919"/>
    <w:rsid w:val="00941DA2"/>
    <w:rsid w:val="00942437"/>
    <w:rsid w:val="00942D4B"/>
    <w:rsid w:val="00943232"/>
    <w:rsid w:val="0094359E"/>
    <w:rsid w:val="00943956"/>
    <w:rsid w:val="00944257"/>
    <w:rsid w:val="009455E9"/>
    <w:rsid w:val="009464E4"/>
    <w:rsid w:val="00946B14"/>
    <w:rsid w:val="0094743B"/>
    <w:rsid w:val="00947AA4"/>
    <w:rsid w:val="009500F2"/>
    <w:rsid w:val="0095030F"/>
    <w:rsid w:val="00950DAE"/>
    <w:rsid w:val="00951BE8"/>
    <w:rsid w:val="00951ECF"/>
    <w:rsid w:val="00952188"/>
    <w:rsid w:val="00952378"/>
    <w:rsid w:val="009523B6"/>
    <w:rsid w:val="009537D0"/>
    <w:rsid w:val="00953989"/>
    <w:rsid w:val="00954373"/>
    <w:rsid w:val="00954380"/>
    <w:rsid w:val="00954802"/>
    <w:rsid w:val="00954C6A"/>
    <w:rsid w:val="00954D1D"/>
    <w:rsid w:val="00955C01"/>
    <w:rsid w:val="0095644F"/>
    <w:rsid w:val="00956DA0"/>
    <w:rsid w:val="00956DB2"/>
    <w:rsid w:val="0095795B"/>
    <w:rsid w:val="00957BBE"/>
    <w:rsid w:val="00961379"/>
    <w:rsid w:val="00961F01"/>
    <w:rsid w:val="00963C38"/>
    <w:rsid w:val="0096452D"/>
    <w:rsid w:val="00964951"/>
    <w:rsid w:val="00965776"/>
    <w:rsid w:val="00965828"/>
    <w:rsid w:val="00966082"/>
    <w:rsid w:val="00966665"/>
    <w:rsid w:val="00966811"/>
    <w:rsid w:val="00966F66"/>
    <w:rsid w:val="009674D9"/>
    <w:rsid w:val="009675DD"/>
    <w:rsid w:val="00967D12"/>
    <w:rsid w:val="00971829"/>
    <w:rsid w:val="009721ED"/>
    <w:rsid w:val="009722D9"/>
    <w:rsid w:val="009729BD"/>
    <w:rsid w:val="00972A8B"/>
    <w:rsid w:val="00972C57"/>
    <w:rsid w:val="00973A2F"/>
    <w:rsid w:val="00974D85"/>
    <w:rsid w:val="009758A9"/>
    <w:rsid w:val="0097646E"/>
    <w:rsid w:val="0097715E"/>
    <w:rsid w:val="009772FB"/>
    <w:rsid w:val="0097764F"/>
    <w:rsid w:val="00977739"/>
    <w:rsid w:val="00977970"/>
    <w:rsid w:val="00977CF2"/>
    <w:rsid w:val="00977EC9"/>
    <w:rsid w:val="00977EDF"/>
    <w:rsid w:val="009808A3"/>
    <w:rsid w:val="00980917"/>
    <w:rsid w:val="00980B1E"/>
    <w:rsid w:val="009813A9"/>
    <w:rsid w:val="00981719"/>
    <w:rsid w:val="009817AF"/>
    <w:rsid w:val="00981A6F"/>
    <w:rsid w:val="00981FD2"/>
    <w:rsid w:val="00982B31"/>
    <w:rsid w:val="00982BA8"/>
    <w:rsid w:val="00983A5F"/>
    <w:rsid w:val="009844F5"/>
    <w:rsid w:val="009845B1"/>
    <w:rsid w:val="009845F9"/>
    <w:rsid w:val="009850B1"/>
    <w:rsid w:val="00985821"/>
    <w:rsid w:val="00985D68"/>
    <w:rsid w:val="009860E9"/>
    <w:rsid w:val="009863C3"/>
    <w:rsid w:val="00986AEA"/>
    <w:rsid w:val="00986B02"/>
    <w:rsid w:val="00990071"/>
    <w:rsid w:val="00990074"/>
    <w:rsid w:val="00990132"/>
    <w:rsid w:val="00990278"/>
    <w:rsid w:val="00992619"/>
    <w:rsid w:val="00992B22"/>
    <w:rsid w:val="00992BD9"/>
    <w:rsid w:val="0099318D"/>
    <w:rsid w:val="009933D2"/>
    <w:rsid w:val="00993EB1"/>
    <w:rsid w:val="00993EE1"/>
    <w:rsid w:val="0099495B"/>
    <w:rsid w:val="00994B9A"/>
    <w:rsid w:val="00995324"/>
    <w:rsid w:val="009954E6"/>
    <w:rsid w:val="0099633B"/>
    <w:rsid w:val="009965C5"/>
    <w:rsid w:val="00997237"/>
    <w:rsid w:val="00997379"/>
    <w:rsid w:val="00997D13"/>
    <w:rsid w:val="00997D30"/>
    <w:rsid w:val="00997E2A"/>
    <w:rsid w:val="009A0445"/>
    <w:rsid w:val="009A06C7"/>
    <w:rsid w:val="009A0CD2"/>
    <w:rsid w:val="009A1002"/>
    <w:rsid w:val="009A13D8"/>
    <w:rsid w:val="009A166C"/>
    <w:rsid w:val="009A1A6F"/>
    <w:rsid w:val="009A1DF2"/>
    <w:rsid w:val="009A1E20"/>
    <w:rsid w:val="009A21A7"/>
    <w:rsid w:val="009A2334"/>
    <w:rsid w:val="009A274F"/>
    <w:rsid w:val="009A2B06"/>
    <w:rsid w:val="009A2E28"/>
    <w:rsid w:val="009A36B6"/>
    <w:rsid w:val="009A3A63"/>
    <w:rsid w:val="009A3A9C"/>
    <w:rsid w:val="009A3E42"/>
    <w:rsid w:val="009A3EF5"/>
    <w:rsid w:val="009A4E39"/>
    <w:rsid w:val="009A4E84"/>
    <w:rsid w:val="009A5CB3"/>
    <w:rsid w:val="009A64C4"/>
    <w:rsid w:val="009A6531"/>
    <w:rsid w:val="009A69BD"/>
    <w:rsid w:val="009A6A27"/>
    <w:rsid w:val="009A6AF4"/>
    <w:rsid w:val="009A6F53"/>
    <w:rsid w:val="009A7390"/>
    <w:rsid w:val="009A7CD5"/>
    <w:rsid w:val="009B09C3"/>
    <w:rsid w:val="009B0CF1"/>
    <w:rsid w:val="009B18BE"/>
    <w:rsid w:val="009B1D13"/>
    <w:rsid w:val="009B1DF6"/>
    <w:rsid w:val="009B2261"/>
    <w:rsid w:val="009B23A8"/>
    <w:rsid w:val="009B2998"/>
    <w:rsid w:val="009B31A5"/>
    <w:rsid w:val="009B336E"/>
    <w:rsid w:val="009B36A9"/>
    <w:rsid w:val="009B3892"/>
    <w:rsid w:val="009B3C7F"/>
    <w:rsid w:val="009B41FB"/>
    <w:rsid w:val="009B47ED"/>
    <w:rsid w:val="009B5163"/>
    <w:rsid w:val="009B5837"/>
    <w:rsid w:val="009B5CCD"/>
    <w:rsid w:val="009B6EA2"/>
    <w:rsid w:val="009B7155"/>
    <w:rsid w:val="009B79B4"/>
    <w:rsid w:val="009B7FB1"/>
    <w:rsid w:val="009C0133"/>
    <w:rsid w:val="009C04E9"/>
    <w:rsid w:val="009C0576"/>
    <w:rsid w:val="009C0842"/>
    <w:rsid w:val="009C0E55"/>
    <w:rsid w:val="009C179D"/>
    <w:rsid w:val="009C19D2"/>
    <w:rsid w:val="009C1A65"/>
    <w:rsid w:val="009C2CBA"/>
    <w:rsid w:val="009C2E51"/>
    <w:rsid w:val="009C3B38"/>
    <w:rsid w:val="009C4305"/>
    <w:rsid w:val="009C465A"/>
    <w:rsid w:val="009C4865"/>
    <w:rsid w:val="009C54FA"/>
    <w:rsid w:val="009C5EBA"/>
    <w:rsid w:val="009C5ED4"/>
    <w:rsid w:val="009C6606"/>
    <w:rsid w:val="009C73B7"/>
    <w:rsid w:val="009C7EA6"/>
    <w:rsid w:val="009D0925"/>
    <w:rsid w:val="009D12FD"/>
    <w:rsid w:val="009D1623"/>
    <w:rsid w:val="009D1DE1"/>
    <w:rsid w:val="009D2AA8"/>
    <w:rsid w:val="009D2D31"/>
    <w:rsid w:val="009D3278"/>
    <w:rsid w:val="009D3666"/>
    <w:rsid w:val="009D3B44"/>
    <w:rsid w:val="009D3B8A"/>
    <w:rsid w:val="009D3C51"/>
    <w:rsid w:val="009D3D69"/>
    <w:rsid w:val="009D4205"/>
    <w:rsid w:val="009D4E82"/>
    <w:rsid w:val="009D501D"/>
    <w:rsid w:val="009D5BDB"/>
    <w:rsid w:val="009E03A2"/>
    <w:rsid w:val="009E0837"/>
    <w:rsid w:val="009E133B"/>
    <w:rsid w:val="009E217E"/>
    <w:rsid w:val="009E2240"/>
    <w:rsid w:val="009E2829"/>
    <w:rsid w:val="009E30B3"/>
    <w:rsid w:val="009E33D5"/>
    <w:rsid w:val="009E3562"/>
    <w:rsid w:val="009E3CC3"/>
    <w:rsid w:val="009E460F"/>
    <w:rsid w:val="009E47F8"/>
    <w:rsid w:val="009E528A"/>
    <w:rsid w:val="009E54BC"/>
    <w:rsid w:val="009E5FB1"/>
    <w:rsid w:val="009E6F8B"/>
    <w:rsid w:val="009E70F5"/>
    <w:rsid w:val="009E7118"/>
    <w:rsid w:val="009F01B6"/>
    <w:rsid w:val="009F0360"/>
    <w:rsid w:val="009F07CF"/>
    <w:rsid w:val="009F0900"/>
    <w:rsid w:val="009F0C05"/>
    <w:rsid w:val="009F0C83"/>
    <w:rsid w:val="009F0FFA"/>
    <w:rsid w:val="009F13EE"/>
    <w:rsid w:val="009F1FED"/>
    <w:rsid w:val="009F2FE0"/>
    <w:rsid w:val="009F30F5"/>
    <w:rsid w:val="009F37C4"/>
    <w:rsid w:val="009F3829"/>
    <w:rsid w:val="009F387A"/>
    <w:rsid w:val="009F3B00"/>
    <w:rsid w:val="009F419A"/>
    <w:rsid w:val="009F455A"/>
    <w:rsid w:val="009F4748"/>
    <w:rsid w:val="009F4C64"/>
    <w:rsid w:val="009F5219"/>
    <w:rsid w:val="009F5DAD"/>
    <w:rsid w:val="009F63C6"/>
    <w:rsid w:val="009F699C"/>
    <w:rsid w:val="009F6B42"/>
    <w:rsid w:val="009F6B61"/>
    <w:rsid w:val="009F6C9D"/>
    <w:rsid w:val="009F7AE5"/>
    <w:rsid w:val="009F7CA9"/>
    <w:rsid w:val="009F7CFA"/>
    <w:rsid w:val="00A00B86"/>
    <w:rsid w:val="00A01415"/>
    <w:rsid w:val="00A018CB"/>
    <w:rsid w:val="00A02171"/>
    <w:rsid w:val="00A02AB2"/>
    <w:rsid w:val="00A0308F"/>
    <w:rsid w:val="00A037D0"/>
    <w:rsid w:val="00A03EB1"/>
    <w:rsid w:val="00A04034"/>
    <w:rsid w:val="00A062FD"/>
    <w:rsid w:val="00A06777"/>
    <w:rsid w:val="00A07535"/>
    <w:rsid w:val="00A07BE1"/>
    <w:rsid w:val="00A07C1D"/>
    <w:rsid w:val="00A07D1F"/>
    <w:rsid w:val="00A10FEC"/>
    <w:rsid w:val="00A110BE"/>
    <w:rsid w:val="00A1159F"/>
    <w:rsid w:val="00A119DD"/>
    <w:rsid w:val="00A11D20"/>
    <w:rsid w:val="00A12919"/>
    <w:rsid w:val="00A12D92"/>
    <w:rsid w:val="00A132EC"/>
    <w:rsid w:val="00A13C8F"/>
    <w:rsid w:val="00A1437F"/>
    <w:rsid w:val="00A14616"/>
    <w:rsid w:val="00A14DF7"/>
    <w:rsid w:val="00A1571B"/>
    <w:rsid w:val="00A1585E"/>
    <w:rsid w:val="00A1591C"/>
    <w:rsid w:val="00A15C16"/>
    <w:rsid w:val="00A15E21"/>
    <w:rsid w:val="00A16031"/>
    <w:rsid w:val="00A16399"/>
    <w:rsid w:val="00A1649F"/>
    <w:rsid w:val="00A166F1"/>
    <w:rsid w:val="00A172BB"/>
    <w:rsid w:val="00A200B9"/>
    <w:rsid w:val="00A20195"/>
    <w:rsid w:val="00A2043F"/>
    <w:rsid w:val="00A21841"/>
    <w:rsid w:val="00A21875"/>
    <w:rsid w:val="00A226E5"/>
    <w:rsid w:val="00A228B9"/>
    <w:rsid w:val="00A22C09"/>
    <w:rsid w:val="00A22FCD"/>
    <w:rsid w:val="00A23234"/>
    <w:rsid w:val="00A232D7"/>
    <w:rsid w:val="00A240D0"/>
    <w:rsid w:val="00A2430C"/>
    <w:rsid w:val="00A2455A"/>
    <w:rsid w:val="00A246FD"/>
    <w:rsid w:val="00A24D0A"/>
    <w:rsid w:val="00A24F9B"/>
    <w:rsid w:val="00A25554"/>
    <w:rsid w:val="00A25B38"/>
    <w:rsid w:val="00A25D12"/>
    <w:rsid w:val="00A26DE7"/>
    <w:rsid w:val="00A272E7"/>
    <w:rsid w:val="00A27E4D"/>
    <w:rsid w:val="00A309CA"/>
    <w:rsid w:val="00A31ABE"/>
    <w:rsid w:val="00A31E7A"/>
    <w:rsid w:val="00A32058"/>
    <w:rsid w:val="00A3273F"/>
    <w:rsid w:val="00A32F28"/>
    <w:rsid w:val="00A33662"/>
    <w:rsid w:val="00A3404E"/>
    <w:rsid w:val="00A3416C"/>
    <w:rsid w:val="00A347E2"/>
    <w:rsid w:val="00A350AB"/>
    <w:rsid w:val="00A35FC9"/>
    <w:rsid w:val="00A366A0"/>
    <w:rsid w:val="00A36FD9"/>
    <w:rsid w:val="00A375BC"/>
    <w:rsid w:val="00A379B5"/>
    <w:rsid w:val="00A40176"/>
    <w:rsid w:val="00A40872"/>
    <w:rsid w:val="00A40942"/>
    <w:rsid w:val="00A40E9C"/>
    <w:rsid w:val="00A4122A"/>
    <w:rsid w:val="00A41294"/>
    <w:rsid w:val="00A41334"/>
    <w:rsid w:val="00A413D4"/>
    <w:rsid w:val="00A414C5"/>
    <w:rsid w:val="00A41CB2"/>
    <w:rsid w:val="00A42965"/>
    <w:rsid w:val="00A42A39"/>
    <w:rsid w:val="00A42E15"/>
    <w:rsid w:val="00A42F2D"/>
    <w:rsid w:val="00A4367F"/>
    <w:rsid w:val="00A43E9C"/>
    <w:rsid w:val="00A44108"/>
    <w:rsid w:val="00A445E6"/>
    <w:rsid w:val="00A44AC7"/>
    <w:rsid w:val="00A45191"/>
    <w:rsid w:val="00A451F5"/>
    <w:rsid w:val="00A45582"/>
    <w:rsid w:val="00A46420"/>
    <w:rsid w:val="00A46A29"/>
    <w:rsid w:val="00A47656"/>
    <w:rsid w:val="00A47716"/>
    <w:rsid w:val="00A47AB0"/>
    <w:rsid w:val="00A50022"/>
    <w:rsid w:val="00A50A1B"/>
    <w:rsid w:val="00A51227"/>
    <w:rsid w:val="00A52369"/>
    <w:rsid w:val="00A524FB"/>
    <w:rsid w:val="00A529D7"/>
    <w:rsid w:val="00A53A2F"/>
    <w:rsid w:val="00A53CA9"/>
    <w:rsid w:val="00A544ED"/>
    <w:rsid w:val="00A55499"/>
    <w:rsid w:val="00A558C9"/>
    <w:rsid w:val="00A56979"/>
    <w:rsid w:val="00A5698A"/>
    <w:rsid w:val="00A56AA7"/>
    <w:rsid w:val="00A56B4D"/>
    <w:rsid w:val="00A56BE0"/>
    <w:rsid w:val="00A57067"/>
    <w:rsid w:val="00A5782B"/>
    <w:rsid w:val="00A57BA9"/>
    <w:rsid w:val="00A6015D"/>
    <w:rsid w:val="00A6146B"/>
    <w:rsid w:val="00A62810"/>
    <w:rsid w:val="00A62996"/>
    <w:rsid w:val="00A63023"/>
    <w:rsid w:val="00A6345D"/>
    <w:rsid w:val="00A63E20"/>
    <w:rsid w:val="00A640B2"/>
    <w:rsid w:val="00A65065"/>
    <w:rsid w:val="00A65136"/>
    <w:rsid w:val="00A65284"/>
    <w:rsid w:val="00A6630C"/>
    <w:rsid w:val="00A6634B"/>
    <w:rsid w:val="00A66ACD"/>
    <w:rsid w:val="00A66D0C"/>
    <w:rsid w:val="00A67069"/>
    <w:rsid w:val="00A701E6"/>
    <w:rsid w:val="00A710C0"/>
    <w:rsid w:val="00A71181"/>
    <w:rsid w:val="00A71245"/>
    <w:rsid w:val="00A71373"/>
    <w:rsid w:val="00A71A20"/>
    <w:rsid w:val="00A71CB8"/>
    <w:rsid w:val="00A71E9E"/>
    <w:rsid w:val="00A720B2"/>
    <w:rsid w:val="00A722B0"/>
    <w:rsid w:val="00A72870"/>
    <w:rsid w:val="00A73488"/>
    <w:rsid w:val="00A73983"/>
    <w:rsid w:val="00A7399C"/>
    <w:rsid w:val="00A739E4"/>
    <w:rsid w:val="00A73B50"/>
    <w:rsid w:val="00A73BAD"/>
    <w:rsid w:val="00A73F66"/>
    <w:rsid w:val="00A74EF2"/>
    <w:rsid w:val="00A7548E"/>
    <w:rsid w:val="00A75FF0"/>
    <w:rsid w:val="00A76A7E"/>
    <w:rsid w:val="00A76D42"/>
    <w:rsid w:val="00A76D55"/>
    <w:rsid w:val="00A76F6C"/>
    <w:rsid w:val="00A77193"/>
    <w:rsid w:val="00A77A53"/>
    <w:rsid w:val="00A77F4D"/>
    <w:rsid w:val="00A80798"/>
    <w:rsid w:val="00A80E2F"/>
    <w:rsid w:val="00A8170F"/>
    <w:rsid w:val="00A820C0"/>
    <w:rsid w:val="00A82147"/>
    <w:rsid w:val="00A82358"/>
    <w:rsid w:val="00A82435"/>
    <w:rsid w:val="00A828D1"/>
    <w:rsid w:val="00A82BF7"/>
    <w:rsid w:val="00A83440"/>
    <w:rsid w:val="00A837F4"/>
    <w:rsid w:val="00A83B2B"/>
    <w:rsid w:val="00A85881"/>
    <w:rsid w:val="00A8616A"/>
    <w:rsid w:val="00A86740"/>
    <w:rsid w:val="00A86C36"/>
    <w:rsid w:val="00A86E04"/>
    <w:rsid w:val="00A8777B"/>
    <w:rsid w:val="00A87C63"/>
    <w:rsid w:val="00A87E84"/>
    <w:rsid w:val="00A90388"/>
    <w:rsid w:val="00A91D59"/>
    <w:rsid w:val="00A91EDB"/>
    <w:rsid w:val="00A91F75"/>
    <w:rsid w:val="00A922B8"/>
    <w:rsid w:val="00A92957"/>
    <w:rsid w:val="00A92F8D"/>
    <w:rsid w:val="00A93231"/>
    <w:rsid w:val="00A938C1"/>
    <w:rsid w:val="00A93B15"/>
    <w:rsid w:val="00A9467E"/>
    <w:rsid w:val="00A96288"/>
    <w:rsid w:val="00A96464"/>
    <w:rsid w:val="00A96B83"/>
    <w:rsid w:val="00A96FAF"/>
    <w:rsid w:val="00A97401"/>
    <w:rsid w:val="00A97B9D"/>
    <w:rsid w:val="00AA036A"/>
    <w:rsid w:val="00AA069F"/>
    <w:rsid w:val="00AA14C2"/>
    <w:rsid w:val="00AA15B5"/>
    <w:rsid w:val="00AA18A9"/>
    <w:rsid w:val="00AA1A49"/>
    <w:rsid w:val="00AA1CAC"/>
    <w:rsid w:val="00AA1FB3"/>
    <w:rsid w:val="00AA2F0C"/>
    <w:rsid w:val="00AA345C"/>
    <w:rsid w:val="00AA3EF8"/>
    <w:rsid w:val="00AA418E"/>
    <w:rsid w:val="00AA4FBC"/>
    <w:rsid w:val="00AA60BE"/>
    <w:rsid w:val="00AA65E9"/>
    <w:rsid w:val="00AA7822"/>
    <w:rsid w:val="00AA7AB3"/>
    <w:rsid w:val="00AB0551"/>
    <w:rsid w:val="00AB1205"/>
    <w:rsid w:val="00AB16C1"/>
    <w:rsid w:val="00AB1B10"/>
    <w:rsid w:val="00AB1FC8"/>
    <w:rsid w:val="00AB1FF7"/>
    <w:rsid w:val="00AB3990"/>
    <w:rsid w:val="00AB41E4"/>
    <w:rsid w:val="00AB45A5"/>
    <w:rsid w:val="00AB59C1"/>
    <w:rsid w:val="00AB7422"/>
    <w:rsid w:val="00AB7631"/>
    <w:rsid w:val="00AB77A5"/>
    <w:rsid w:val="00AC07BA"/>
    <w:rsid w:val="00AC2035"/>
    <w:rsid w:val="00AC28F5"/>
    <w:rsid w:val="00AC2F4E"/>
    <w:rsid w:val="00AC357E"/>
    <w:rsid w:val="00AC3F81"/>
    <w:rsid w:val="00AC4090"/>
    <w:rsid w:val="00AC4DEA"/>
    <w:rsid w:val="00AC78F9"/>
    <w:rsid w:val="00AD01C8"/>
    <w:rsid w:val="00AD091E"/>
    <w:rsid w:val="00AD0DF7"/>
    <w:rsid w:val="00AD2408"/>
    <w:rsid w:val="00AD24ED"/>
    <w:rsid w:val="00AD3F1F"/>
    <w:rsid w:val="00AD488C"/>
    <w:rsid w:val="00AD4D60"/>
    <w:rsid w:val="00AD5623"/>
    <w:rsid w:val="00AD5B1F"/>
    <w:rsid w:val="00AD5C05"/>
    <w:rsid w:val="00AD5C89"/>
    <w:rsid w:val="00AD6681"/>
    <w:rsid w:val="00AD66B4"/>
    <w:rsid w:val="00AD6D9D"/>
    <w:rsid w:val="00AD70A8"/>
    <w:rsid w:val="00AD7338"/>
    <w:rsid w:val="00AD736D"/>
    <w:rsid w:val="00AE0C64"/>
    <w:rsid w:val="00AE0CFB"/>
    <w:rsid w:val="00AE0D03"/>
    <w:rsid w:val="00AE0DBA"/>
    <w:rsid w:val="00AE0F9F"/>
    <w:rsid w:val="00AE12B8"/>
    <w:rsid w:val="00AE39E9"/>
    <w:rsid w:val="00AE3DAD"/>
    <w:rsid w:val="00AE4CDB"/>
    <w:rsid w:val="00AE55A3"/>
    <w:rsid w:val="00AE569B"/>
    <w:rsid w:val="00AE5A87"/>
    <w:rsid w:val="00AE5EC5"/>
    <w:rsid w:val="00AE60E6"/>
    <w:rsid w:val="00AE61BB"/>
    <w:rsid w:val="00AE64FC"/>
    <w:rsid w:val="00AE6586"/>
    <w:rsid w:val="00AE6F9A"/>
    <w:rsid w:val="00AE795B"/>
    <w:rsid w:val="00AE79F9"/>
    <w:rsid w:val="00AF075F"/>
    <w:rsid w:val="00AF0C5D"/>
    <w:rsid w:val="00AF0D2C"/>
    <w:rsid w:val="00AF1B77"/>
    <w:rsid w:val="00AF2008"/>
    <w:rsid w:val="00AF2118"/>
    <w:rsid w:val="00AF2215"/>
    <w:rsid w:val="00AF2B31"/>
    <w:rsid w:val="00AF2FB2"/>
    <w:rsid w:val="00AF35AF"/>
    <w:rsid w:val="00AF3894"/>
    <w:rsid w:val="00AF47A7"/>
    <w:rsid w:val="00AF4DCF"/>
    <w:rsid w:val="00AF4E8D"/>
    <w:rsid w:val="00AF556B"/>
    <w:rsid w:val="00AF5CE3"/>
    <w:rsid w:val="00AF6CA9"/>
    <w:rsid w:val="00AF71E7"/>
    <w:rsid w:val="00AF7829"/>
    <w:rsid w:val="00AF7EC3"/>
    <w:rsid w:val="00B00940"/>
    <w:rsid w:val="00B00F8E"/>
    <w:rsid w:val="00B0110D"/>
    <w:rsid w:val="00B016C8"/>
    <w:rsid w:val="00B01A27"/>
    <w:rsid w:val="00B01E80"/>
    <w:rsid w:val="00B0310A"/>
    <w:rsid w:val="00B04225"/>
    <w:rsid w:val="00B04531"/>
    <w:rsid w:val="00B0492D"/>
    <w:rsid w:val="00B04951"/>
    <w:rsid w:val="00B04CA3"/>
    <w:rsid w:val="00B0527E"/>
    <w:rsid w:val="00B064D8"/>
    <w:rsid w:val="00B067CC"/>
    <w:rsid w:val="00B06E6A"/>
    <w:rsid w:val="00B0705C"/>
    <w:rsid w:val="00B07266"/>
    <w:rsid w:val="00B0731C"/>
    <w:rsid w:val="00B07CF8"/>
    <w:rsid w:val="00B10029"/>
    <w:rsid w:val="00B101F2"/>
    <w:rsid w:val="00B109BB"/>
    <w:rsid w:val="00B10F50"/>
    <w:rsid w:val="00B113FF"/>
    <w:rsid w:val="00B11A2B"/>
    <w:rsid w:val="00B121EC"/>
    <w:rsid w:val="00B12D70"/>
    <w:rsid w:val="00B14212"/>
    <w:rsid w:val="00B14598"/>
    <w:rsid w:val="00B14724"/>
    <w:rsid w:val="00B14760"/>
    <w:rsid w:val="00B15E10"/>
    <w:rsid w:val="00B1638F"/>
    <w:rsid w:val="00B1665B"/>
    <w:rsid w:val="00B16E83"/>
    <w:rsid w:val="00B17126"/>
    <w:rsid w:val="00B17717"/>
    <w:rsid w:val="00B20724"/>
    <w:rsid w:val="00B20CEE"/>
    <w:rsid w:val="00B211CD"/>
    <w:rsid w:val="00B2270F"/>
    <w:rsid w:val="00B230EE"/>
    <w:rsid w:val="00B23983"/>
    <w:rsid w:val="00B24742"/>
    <w:rsid w:val="00B247B2"/>
    <w:rsid w:val="00B24F49"/>
    <w:rsid w:val="00B251DB"/>
    <w:rsid w:val="00B25C11"/>
    <w:rsid w:val="00B25DD4"/>
    <w:rsid w:val="00B26908"/>
    <w:rsid w:val="00B26964"/>
    <w:rsid w:val="00B26EEB"/>
    <w:rsid w:val="00B26F70"/>
    <w:rsid w:val="00B27C1E"/>
    <w:rsid w:val="00B27E08"/>
    <w:rsid w:val="00B27E75"/>
    <w:rsid w:val="00B309DB"/>
    <w:rsid w:val="00B30BE2"/>
    <w:rsid w:val="00B30DCC"/>
    <w:rsid w:val="00B30FD0"/>
    <w:rsid w:val="00B31D5D"/>
    <w:rsid w:val="00B32AA9"/>
    <w:rsid w:val="00B337FA"/>
    <w:rsid w:val="00B33F7B"/>
    <w:rsid w:val="00B3489B"/>
    <w:rsid w:val="00B353B9"/>
    <w:rsid w:val="00B354E2"/>
    <w:rsid w:val="00B35CC9"/>
    <w:rsid w:val="00B3607E"/>
    <w:rsid w:val="00B3644E"/>
    <w:rsid w:val="00B3673D"/>
    <w:rsid w:val="00B36859"/>
    <w:rsid w:val="00B36E44"/>
    <w:rsid w:val="00B37DF7"/>
    <w:rsid w:val="00B37ECC"/>
    <w:rsid w:val="00B4153F"/>
    <w:rsid w:val="00B41A3C"/>
    <w:rsid w:val="00B41D77"/>
    <w:rsid w:val="00B4277C"/>
    <w:rsid w:val="00B42D22"/>
    <w:rsid w:val="00B4414C"/>
    <w:rsid w:val="00B4428A"/>
    <w:rsid w:val="00B44732"/>
    <w:rsid w:val="00B45147"/>
    <w:rsid w:val="00B45597"/>
    <w:rsid w:val="00B45C2D"/>
    <w:rsid w:val="00B45F8F"/>
    <w:rsid w:val="00B463C8"/>
    <w:rsid w:val="00B466CA"/>
    <w:rsid w:val="00B46963"/>
    <w:rsid w:val="00B473FF"/>
    <w:rsid w:val="00B4743C"/>
    <w:rsid w:val="00B47911"/>
    <w:rsid w:val="00B50097"/>
    <w:rsid w:val="00B501AD"/>
    <w:rsid w:val="00B514DE"/>
    <w:rsid w:val="00B51613"/>
    <w:rsid w:val="00B529F0"/>
    <w:rsid w:val="00B537C6"/>
    <w:rsid w:val="00B54520"/>
    <w:rsid w:val="00B557AC"/>
    <w:rsid w:val="00B55DD2"/>
    <w:rsid w:val="00B55F50"/>
    <w:rsid w:val="00B56F57"/>
    <w:rsid w:val="00B57B6F"/>
    <w:rsid w:val="00B60AC6"/>
    <w:rsid w:val="00B60BAF"/>
    <w:rsid w:val="00B61041"/>
    <w:rsid w:val="00B61566"/>
    <w:rsid w:val="00B62B4A"/>
    <w:rsid w:val="00B62DE7"/>
    <w:rsid w:val="00B63744"/>
    <w:rsid w:val="00B64AEB"/>
    <w:rsid w:val="00B64E16"/>
    <w:rsid w:val="00B64EAB"/>
    <w:rsid w:val="00B6511F"/>
    <w:rsid w:val="00B65343"/>
    <w:rsid w:val="00B66F0C"/>
    <w:rsid w:val="00B67AFD"/>
    <w:rsid w:val="00B67CF1"/>
    <w:rsid w:val="00B704E9"/>
    <w:rsid w:val="00B7063C"/>
    <w:rsid w:val="00B711BF"/>
    <w:rsid w:val="00B712C3"/>
    <w:rsid w:val="00B71824"/>
    <w:rsid w:val="00B718B2"/>
    <w:rsid w:val="00B729B0"/>
    <w:rsid w:val="00B72C75"/>
    <w:rsid w:val="00B730E8"/>
    <w:rsid w:val="00B73653"/>
    <w:rsid w:val="00B739B8"/>
    <w:rsid w:val="00B73ADF"/>
    <w:rsid w:val="00B73E23"/>
    <w:rsid w:val="00B74546"/>
    <w:rsid w:val="00B7550D"/>
    <w:rsid w:val="00B758A7"/>
    <w:rsid w:val="00B76287"/>
    <w:rsid w:val="00B76C18"/>
    <w:rsid w:val="00B77199"/>
    <w:rsid w:val="00B803A0"/>
    <w:rsid w:val="00B81A35"/>
    <w:rsid w:val="00B82E68"/>
    <w:rsid w:val="00B830F9"/>
    <w:rsid w:val="00B841C9"/>
    <w:rsid w:val="00B847FD"/>
    <w:rsid w:val="00B84F3C"/>
    <w:rsid w:val="00B852A6"/>
    <w:rsid w:val="00B8532E"/>
    <w:rsid w:val="00B8539C"/>
    <w:rsid w:val="00B853BC"/>
    <w:rsid w:val="00B8593E"/>
    <w:rsid w:val="00B86201"/>
    <w:rsid w:val="00B862E0"/>
    <w:rsid w:val="00B86B3C"/>
    <w:rsid w:val="00B90633"/>
    <w:rsid w:val="00B90C20"/>
    <w:rsid w:val="00B919CB"/>
    <w:rsid w:val="00B91C97"/>
    <w:rsid w:val="00B92E3A"/>
    <w:rsid w:val="00B92F96"/>
    <w:rsid w:val="00B93A31"/>
    <w:rsid w:val="00B93D9E"/>
    <w:rsid w:val="00B94AD1"/>
    <w:rsid w:val="00B95064"/>
    <w:rsid w:val="00B959C0"/>
    <w:rsid w:val="00B95D51"/>
    <w:rsid w:val="00B963E1"/>
    <w:rsid w:val="00B96840"/>
    <w:rsid w:val="00B96A50"/>
    <w:rsid w:val="00B96DF0"/>
    <w:rsid w:val="00B9747F"/>
    <w:rsid w:val="00B97ED4"/>
    <w:rsid w:val="00B97F81"/>
    <w:rsid w:val="00BA00A3"/>
    <w:rsid w:val="00BA05DB"/>
    <w:rsid w:val="00BA077C"/>
    <w:rsid w:val="00BA1CD1"/>
    <w:rsid w:val="00BA1E7C"/>
    <w:rsid w:val="00BA208F"/>
    <w:rsid w:val="00BA21EF"/>
    <w:rsid w:val="00BA2C77"/>
    <w:rsid w:val="00BA2D74"/>
    <w:rsid w:val="00BA3716"/>
    <w:rsid w:val="00BA42CA"/>
    <w:rsid w:val="00BA4380"/>
    <w:rsid w:val="00BA45FC"/>
    <w:rsid w:val="00BA4C6D"/>
    <w:rsid w:val="00BA51C3"/>
    <w:rsid w:val="00BA56F2"/>
    <w:rsid w:val="00BA5A8E"/>
    <w:rsid w:val="00BA5A9A"/>
    <w:rsid w:val="00BA62C6"/>
    <w:rsid w:val="00BA6936"/>
    <w:rsid w:val="00BA6B09"/>
    <w:rsid w:val="00BB02D7"/>
    <w:rsid w:val="00BB0530"/>
    <w:rsid w:val="00BB0E93"/>
    <w:rsid w:val="00BB0F71"/>
    <w:rsid w:val="00BB1000"/>
    <w:rsid w:val="00BB1582"/>
    <w:rsid w:val="00BB16D7"/>
    <w:rsid w:val="00BB1F7C"/>
    <w:rsid w:val="00BB21AF"/>
    <w:rsid w:val="00BB244A"/>
    <w:rsid w:val="00BB2D8A"/>
    <w:rsid w:val="00BB319F"/>
    <w:rsid w:val="00BB476E"/>
    <w:rsid w:val="00BB5268"/>
    <w:rsid w:val="00BB547D"/>
    <w:rsid w:val="00BB60A2"/>
    <w:rsid w:val="00BB6C1A"/>
    <w:rsid w:val="00BB6FD5"/>
    <w:rsid w:val="00BB761E"/>
    <w:rsid w:val="00BB7B62"/>
    <w:rsid w:val="00BB7BA3"/>
    <w:rsid w:val="00BC0460"/>
    <w:rsid w:val="00BC06CD"/>
    <w:rsid w:val="00BC07A8"/>
    <w:rsid w:val="00BC24B2"/>
    <w:rsid w:val="00BC457A"/>
    <w:rsid w:val="00BC47A0"/>
    <w:rsid w:val="00BC5013"/>
    <w:rsid w:val="00BC6751"/>
    <w:rsid w:val="00BC6760"/>
    <w:rsid w:val="00BC72C1"/>
    <w:rsid w:val="00BC7373"/>
    <w:rsid w:val="00BC7BB0"/>
    <w:rsid w:val="00BC7C17"/>
    <w:rsid w:val="00BD0046"/>
    <w:rsid w:val="00BD018A"/>
    <w:rsid w:val="00BD07DF"/>
    <w:rsid w:val="00BD09AB"/>
    <w:rsid w:val="00BD0F23"/>
    <w:rsid w:val="00BD13FD"/>
    <w:rsid w:val="00BD2714"/>
    <w:rsid w:val="00BD2A05"/>
    <w:rsid w:val="00BD2A79"/>
    <w:rsid w:val="00BD2A8F"/>
    <w:rsid w:val="00BD2D51"/>
    <w:rsid w:val="00BD3111"/>
    <w:rsid w:val="00BD3543"/>
    <w:rsid w:val="00BD3820"/>
    <w:rsid w:val="00BD431C"/>
    <w:rsid w:val="00BD49C1"/>
    <w:rsid w:val="00BD4B8B"/>
    <w:rsid w:val="00BD533D"/>
    <w:rsid w:val="00BD5BA4"/>
    <w:rsid w:val="00BD6DF7"/>
    <w:rsid w:val="00BD7066"/>
    <w:rsid w:val="00BD71D8"/>
    <w:rsid w:val="00BD737A"/>
    <w:rsid w:val="00BD750F"/>
    <w:rsid w:val="00BE0DEA"/>
    <w:rsid w:val="00BE1184"/>
    <w:rsid w:val="00BE167B"/>
    <w:rsid w:val="00BE249F"/>
    <w:rsid w:val="00BE31AC"/>
    <w:rsid w:val="00BE35F2"/>
    <w:rsid w:val="00BE3926"/>
    <w:rsid w:val="00BE3F60"/>
    <w:rsid w:val="00BE4BEB"/>
    <w:rsid w:val="00BE4C94"/>
    <w:rsid w:val="00BE6211"/>
    <w:rsid w:val="00BE62BB"/>
    <w:rsid w:val="00BE6579"/>
    <w:rsid w:val="00BE66F1"/>
    <w:rsid w:val="00BE6932"/>
    <w:rsid w:val="00BE73D3"/>
    <w:rsid w:val="00BE7911"/>
    <w:rsid w:val="00BF0035"/>
    <w:rsid w:val="00BF0269"/>
    <w:rsid w:val="00BF0386"/>
    <w:rsid w:val="00BF0E72"/>
    <w:rsid w:val="00BF1DD0"/>
    <w:rsid w:val="00BF318E"/>
    <w:rsid w:val="00BF367F"/>
    <w:rsid w:val="00BF3C3E"/>
    <w:rsid w:val="00BF61CA"/>
    <w:rsid w:val="00BF6F14"/>
    <w:rsid w:val="00BF7C5F"/>
    <w:rsid w:val="00BF7E64"/>
    <w:rsid w:val="00C00311"/>
    <w:rsid w:val="00C010EF"/>
    <w:rsid w:val="00C01260"/>
    <w:rsid w:val="00C013DA"/>
    <w:rsid w:val="00C01607"/>
    <w:rsid w:val="00C0283F"/>
    <w:rsid w:val="00C03883"/>
    <w:rsid w:val="00C03910"/>
    <w:rsid w:val="00C0402F"/>
    <w:rsid w:val="00C0455C"/>
    <w:rsid w:val="00C05EBF"/>
    <w:rsid w:val="00C060BC"/>
    <w:rsid w:val="00C07361"/>
    <w:rsid w:val="00C101C9"/>
    <w:rsid w:val="00C10EE0"/>
    <w:rsid w:val="00C11541"/>
    <w:rsid w:val="00C117BE"/>
    <w:rsid w:val="00C11DC4"/>
    <w:rsid w:val="00C12A0C"/>
    <w:rsid w:val="00C13BC9"/>
    <w:rsid w:val="00C13BD8"/>
    <w:rsid w:val="00C144C9"/>
    <w:rsid w:val="00C14C44"/>
    <w:rsid w:val="00C202DA"/>
    <w:rsid w:val="00C203F4"/>
    <w:rsid w:val="00C206C3"/>
    <w:rsid w:val="00C211C5"/>
    <w:rsid w:val="00C2155A"/>
    <w:rsid w:val="00C21CA8"/>
    <w:rsid w:val="00C22035"/>
    <w:rsid w:val="00C221CD"/>
    <w:rsid w:val="00C23029"/>
    <w:rsid w:val="00C23C2D"/>
    <w:rsid w:val="00C243C4"/>
    <w:rsid w:val="00C24910"/>
    <w:rsid w:val="00C24A2D"/>
    <w:rsid w:val="00C24D2F"/>
    <w:rsid w:val="00C2545B"/>
    <w:rsid w:val="00C256F2"/>
    <w:rsid w:val="00C25E21"/>
    <w:rsid w:val="00C26080"/>
    <w:rsid w:val="00C26589"/>
    <w:rsid w:val="00C26603"/>
    <w:rsid w:val="00C26C04"/>
    <w:rsid w:val="00C27E93"/>
    <w:rsid w:val="00C301EC"/>
    <w:rsid w:val="00C30945"/>
    <w:rsid w:val="00C31211"/>
    <w:rsid w:val="00C31575"/>
    <w:rsid w:val="00C31643"/>
    <w:rsid w:val="00C32000"/>
    <w:rsid w:val="00C322B0"/>
    <w:rsid w:val="00C32778"/>
    <w:rsid w:val="00C33444"/>
    <w:rsid w:val="00C33E96"/>
    <w:rsid w:val="00C34445"/>
    <w:rsid w:val="00C3472F"/>
    <w:rsid w:val="00C355B5"/>
    <w:rsid w:val="00C361ED"/>
    <w:rsid w:val="00C36DD3"/>
    <w:rsid w:val="00C37049"/>
    <w:rsid w:val="00C37CF8"/>
    <w:rsid w:val="00C4020A"/>
    <w:rsid w:val="00C402D9"/>
    <w:rsid w:val="00C40358"/>
    <w:rsid w:val="00C403E0"/>
    <w:rsid w:val="00C40DD1"/>
    <w:rsid w:val="00C41A72"/>
    <w:rsid w:val="00C41B91"/>
    <w:rsid w:val="00C420B3"/>
    <w:rsid w:val="00C421D8"/>
    <w:rsid w:val="00C42241"/>
    <w:rsid w:val="00C42CD3"/>
    <w:rsid w:val="00C42D9B"/>
    <w:rsid w:val="00C42FE4"/>
    <w:rsid w:val="00C43BFD"/>
    <w:rsid w:val="00C44ADE"/>
    <w:rsid w:val="00C44F01"/>
    <w:rsid w:val="00C453C2"/>
    <w:rsid w:val="00C45F88"/>
    <w:rsid w:val="00C467A1"/>
    <w:rsid w:val="00C46AA0"/>
    <w:rsid w:val="00C46CE7"/>
    <w:rsid w:val="00C47C91"/>
    <w:rsid w:val="00C501DF"/>
    <w:rsid w:val="00C5056F"/>
    <w:rsid w:val="00C50A0A"/>
    <w:rsid w:val="00C50B54"/>
    <w:rsid w:val="00C50B6F"/>
    <w:rsid w:val="00C5184E"/>
    <w:rsid w:val="00C51A05"/>
    <w:rsid w:val="00C53269"/>
    <w:rsid w:val="00C53ED9"/>
    <w:rsid w:val="00C5656E"/>
    <w:rsid w:val="00C56771"/>
    <w:rsid w:val="00C568A7"/>
    <w:rsid w:val="00C572C2"/>
    <w:rsid w:val="00C57839"/>
    <w:rsid w:val="00C57A14"/>
    <w:rsid w:val="00C57F2A"/>
    <w:rsid w:val="00C60001"/>
    <w:rsid w:val="00C60289"/>
    <w:rsid w:val="00C611A1"/>
    <w:rsid w:val="00C61694"/>
    <w:rsid w:val="00C62505"/>
    <w:rsid w:val="00C6285D"/>
    <w:rsid w:val="00C63351"/>
    <w:rsid w:val="00C63836"/>
    <w:rsid w:val="00C64426"/>
    <w:rsid w:val="00C6464D"/>
    <w:rsid w:val="00C6513F"/>
    <w:rsid w:val="00C65867"/>
    <w:rsid w:val="00C65A9A"/>
    <w:rsid w:val="00C65C0D"/>
    <w:rsid w:val="00C665B2"/>
    <w:rsid w:val="00C66A4E"/>
    <w:rsid w:val="00C66EC9"/>
    <w:rsid w:val="00C70DBC"/>
    <w:rsid w:val="00C712E7"/>
    <w:rsid w:val="00C71AC1"/>
    <w:rsid w:val="00C71EEE"/>
    <w:rsid w:val="00C71F17"/>
    <w:rsid w:val="00C722C9"/>
    <w:rsid w:val="00C7245F"/>
    <w:rsid w:val="00C72F3A"/>
    <w:rsid w:val="00C73282"/>
    <w:rsid w:val="00C7378B"/>
    <w:rsid w:val="00C73CD8"/>
    <w:rsid w:val="00C73E7C"/>
    <w:rsid w:val="00C74AE3"/>
    <w:rsid w:val="00C75114"/>
    <w:rsid w:val="00C752B1"/>
    <w:rsid w:val="00C754A8"/>
    <w:rsid w:val="00C75F58"/>
    <w:rsid w:val="00C75FDC"/>
    <w:rsid w:val="00C766BB"/>
    <w:rsid w:val="00C768C0"/>
    <w:rsid w:val="00C771F7"/>
    <w:rsid w:val="00C7738A"/>
    <w:rsid w:val="00C774F1"/>
    <w:rsid w:val="00C775CA"/>
    <w:rsid w:val="00C77B78"/>
    <w:rsid w:val="00C77C4C"/>
    <w:rsid w:val="00C811CD"/>
    <w:rsid w:val="00C81400"/>
    <w:rsid w:val="00C820CE"/>
    <w:rsid w:val="00C8263D"/>
    <w:rsid w:val="00C8305F"/>
    <w:rsid w:val="00C83A7D"/>
    <w:rsid w:val="00C83FA2"/>
    <w:rsid w:val="00C844E5"/>
    <w:rsid w:val="00C84594"/>
    <w:rsid w:val="00C84AE0"/>
    <w:rsid w:val="00C84C67"/>
    <w:rsid w:val="00C85B0A"/>
    <w:rsid w:val="00C861C3"/>
    <w:rsid w:val="00C864C2"/>
    <w:rsid w:val="00C86E47"/>
    <w:rsid w:val="00C8738E"/>
    <w:rsid w:val="00C87B32"/>
    <w:rsid w:val="00C87FF3"/>
    <w:rsid w:val="00C915E5"/>
    <w:rsid w:val="00C917D5"/>
    <w:rsid w:val="00C91DE1"/>
    <w:rsid w:val="00C92983"/>
    <w:rsid w:val="00C92B3A"/>
    <w:rsid w:val="00C92F2A"/>
    <w:rsid w:val="00C92FFA"/>
    <w:rsid w:val="00C938A1"/>
    <w:rsid w:val="00C93CDE"/>
    <w:rsid w:val="00C94222"/>
    <w:rsid w:val="00C95511"/>
    <w:rsid w:val="00C95522"/>
    <w:rsid w:val="00C96DF4"/>
    <w:rsid w:val="00C977E8"/>
    <w:rsid w:val="00CA0349"/>
    <w:rsid w:val="00CA0CFB"/>
    <w:rsid w:val="00CA12A0"/>
    <w:rsid w:val="00CA2085"/>
    <w:rsid w:val="00CA26EF"/>
    <w:rsid w:val="00CA2BFF"/>
    <w:rsid w:val="00CA31CD"/>
    <w:rsid w:val="00CA3998"/>
    <w:rsid w:val="00CA4D5C"/>
    <w:rsid w:val="00CA5BD8"/>
    <w:rsid w:val="00CA659E"/>
    <w:rsid w:val="00CA68F8"/>
    <w:rsid w:val="00CA7939"/>
    <w:rsid w:val="00CA7F06"/>
    <w:rsid w:val="00CB0E98"/>
    <w:rsid w:val="00CB1094"/>
    <w:rsid w:val="00CB10DD"/>
    <w:rsid w:val="00CB1A15"/>
    <w:rsid w:val="00CB1AAB"/>
    <w:rsid w:val="00CB258F"/>
    <w:rsid w:val="00CB261E"/>
    <w:rsid w:val="00CB27A4"/>
    <w:rsid w:val="00CB430B"/>
    <w:rsid w:val="00CB4E68"/>
    <w:rsid w:val="00CB51DA"/>
    <w:rsid w:val="00CB5B1F"/>
    <w:rsid w:val="00CB5BE3"/>
    <w:rsid w:val="00CB64EB"/>
    <w:rsid w:val="00CB66F2"/>
    <w:rsid w:val="00CB6B29"/>
    <w:rsid w:val="00CB77FB"/>
    <w:rsid w:val="00CB7A86"/>
    <w:rsid w:val="00CB7D06"/>
    <w:rsid w:val="00CC0363"/>
    <w:rsid w:val="00CC1045"/>
    <w:rsid w:val="00CC1497"/>
    <w:rsid w:val="00CC152E"/>
    <w:rsid w:val="00CC1F82"/>
    <w:rsid w:val="00CC2BC2"/>
    <w:rsid w:val="00CC3051"/>
    <w:rsid w:val="00CC307D"/>
    <w:rsid w:val="00CC317A"/>
    <w:rsid w:val="00CC35E0"/>
    <w:rsid w:val="00CC3D6E"/>
    <w:rsid w:val="00CC4576"/>
    <w:rsid w:val="00CC4707"/>
    <w:rsid w:val="00CC4777"/>
    <w:rsid w:val="00CC4CBF"/>
    <w:rsid w:val="00CC58E9"/>
    <w:rsid w:val="00CC5A12"/>
    <w:rsid w:val="00CC5B8C"/>
    <w:rsid w:val="00CC5C7D"/>
    <w:rsid w:val="00CC6409"/>
    <w:rsid w:val="00CC6CB5"/>
    <w:rsid w:val="00CC6CF3"/>
    <w:rsid w:val="00CC7E8C"/>
    <w:rsid w:val="00CD0943"/>
    <w:rsid w:val="00CD1AFC"/>
    <w:rsid w:val="00CD1CFD"/>
    <w:rsid w:val="00CD2670"/>
    <w:rsid w:val="00CD29B3"/>
    <w:rsid w:val="00CD2A48"/>
    <w:rsid w:val="00CD3567"/>
    <w:rsid w:val="00CD368A"/>
    <w:rsid w:val="00CD3964"/>
    <w:rsid w:val="00CD3C24"/>
    <w:rsid w:val="00CD4E55"/>
    <w:rsid w:val="00CD540A"/>
    <w:rsid w:val="00CD54C3"/>
    <w:rsid w:val="00CD5987"/>
    <w:rsid w:val="00CD5D5A"/>
    <w:rsid w:val="00CD6151"/>
    <w:rsid w:val="00CD65CD"/>
    <w:rsid w:val="00CD6F13"/>
    <w:rsid w:val="00CD71B7"/>
    <w:rsid w:val="00CD7556"/>
    <w:rsid w:val="00CD79DA"/>
    <w:rsid w:val="00CD7BC1"/>
    <w:rsid w:val="00CD7F2D"/>
    <w:rsid w:val="00CE1079"/>
    <w:rsid w:val="00CE174A"/>
    <w:rsid w:val="00CE1978"/>
    <w:rsid w:val="00CE1998"/>
    <w:rsid w:val="00CE1B5F"/>
    <w:rsid w:val="00CE1C42"/>
    <w:rsid w:val="00CE235F"/>
    <w:rsid w:val="00CE2460"/>
    <w:rsid w:val="00CE2AE1"/>
    <w:rsid w:val="00CE2AF7"/>
    <w:rsid w:val="00CE2B4E"/>
    <w:rsid w:val="00CE3066"/>
    <w:rsid w:val="00CE460C"/>
    <w:rsid w:val="00CE4F4C"/>
    <w:rsid w:val="00CE50E6"/>
    <w:rsid w:val="00CE520F"/>
    <w:rsid w:val="00CE5288"/>
    <w:rsid w:val="00CE53C5"/>
    <w:rsid w:val="00CE5611"/>
    <w:rsid w:val="00CE6819"/>
    <w:rsid w:val="00CE72AE"/>
    <w:rsid w:val="00CE7A26"/>
    <w:rsid w:val="00CE7DD2"/>
    <w:rsid w:val="00CF0675"/>
    <w:rsid w:val="00CF1324"/>
    <w:rsid w:val="00CF13B9"/>
    <w:rsid w:val="00CF189A"/>
    <w:rsid w:val="00CF218D"/>
    <w:rsid w:val="00CF2ED2"/>
    <w:rsid w:val="00CF330A"/>
    <w:rsid w:val="00CF3996"/>
    <w:rsid w:val="00CF3DAF"/>
    <w:rsid w:val="00CF409D"/>
    <w:rsid w:val="00CF44AB"/>
    <w:rsid w:val="00CF4FE1"/>
    <w:rsid w:val="00CF5282"/>
    <w:rsid w:val="00CF676B"/>
    <w:rsid w:val="00CF6F73"/>
    <w:rsid w:val="00CF7711"/>
    <w:rsid w:val="00CF7BF1"/>
    <w:rsid w:val="00CF7DD7"/>
    <w:rsid w:val="00CF7E56"/>
    <w:rsid w:val="00D00A93"/>
    <w:rsid w:val="00D00DB3"/>
    <w:rsid w:val="00D0155A"/>
    <w:rsid w:val="00D02196"/>
    <w:rsid w:val="00D0238C"/>
    <w:rsid w:val="00D024E5"/>
    <w:rsid w:val="00D02ED7"/>
    <w:rsid w:val="00D03481"/>
    <w:rsid w:val="00D04858"/>
    <w:rsid w:val="00D0486F"/>
    <w:rsid w:val="00D05AA4"/>
    <w:rsid w:val="00D05BD4"/>
    <w:rsid w:val="00D05F01"/>
    <w:rsid w:val="00D05F98"/>
    <w:rsid w:val="00D05FC9"/>
    <w:rsid w:val="00D065BB"/>
    <w:rsid w:val="00D0673B"/>
    <w:rsid w:val="00D0746D"/>
    <w:rsid w:val="00D078C8"/>
    <w:rsid w:val="00D07B16"/>
    <w:rsid w:val="00D07CCD"/>
    <w:rsid w:val="00D07EE8"/>
    <w:rsid w:val="00D11776"/>
    <w:rsid w:val="00D127BE"/>
    <w:rsid w:val="00D1357B"/>
    <w:rsid w:val="00D137F1"/>
    <w:rsid w:val="00D1452C"/>
    <w:rsid w:val="00D1522C"/>
    <w:rsid w:val="00D163F4"/>
    <w:rsid w:val="00D16450"/>
    <w:rsid w:val="00D164BE"/>
    <w:rsid w:val="00D16948"/>
    <w:rsid w:val="00D17F23"/>
    <w:rsid w:val="00D2045F"/>
    <w:rsid w:val="00D206A0"/>
    <w:rsid w:val="00D20F64"/>
    <w:rsid w:val="00D2101E"/>
    <w:rsid w:val="00D21212"/>
    <w:rsid w:val="00D2150D"/>
    <w:rsid w:val="00D21A4F"/>
    <w:rsid w:val="00D21DD9"/>
    <w:rsid w:val="00D224F1"/>
    <w:rsid w:val="00D2259E"/>
    <w:rsid w:val="00D22986"/>
    <w:rsid w:val="00D22D3F"/>
    <w:rsid w:val="00D23192"/>
    <w:rsid w:val="00D23548"/>
    <w:rsid w:val="00D23E72"/>
    <w:rsid w:val="00D24268"/>
    <w:rsid w:val="00D242F2"/>
    <w:rsid w:val="00D2430E"/>
    <w:rsid w:val="00D2431C"/>
    <w:rsid w:val="00D25237"/>
    <w:rsid w:val="00D252FE"/>
    <w:rsid w:val="00D26B7D"/>
    <w:rsid w:val="00D26BE6"/>
    <w:rsid w:val="00D26FA3"/>
    <w:rsid w:val="00D3075C"/>
    <w:rsid w:val="00D308C0"/>
    <w:rsid w:val="00D30CB1"/>
    <w:rsid w:val="00D3108D"/>
    <w:rsid w:val="00D311D9"/>
    <w:rsid w:val="00D318FA"/>
    <w:rsid w:val="00D32461"/>
    <w:rsid w:val="00D32F66"/>
    <w:rsid w:val="00D330B6"/>
    <w:rsid w:val="00D3318C"/>
    <w:rsid w:val="00D3455B"/>
    <w:rsid w:val="00D3502F"/>
    <w:rsid w:val="00D35A08"/>
    <w:rsid w:val="00D3699D"/>
    <w:rsid w:val="00D373DF"/>
    <w:rsid w:val="00D37D70"/>
    <w:rsid w:val="00D40129"/>
    <w:rsid w:val="00D403C8"/>
    <w:rsid w:val="00D40D69"/>
    <w:rsid w:val="00D40E95"/>
    <w:rsid w:val="00D41250"/>
    <w:rsid w:val="00D41ACC"/>
    <w:rsid w:val="00D41B45"/>
    <w:rsid w:val="00D427E1"/>
    <w:rsid w:val="00D428EA"/>
    <w:rsid w:val="00D42EEF"/>
    <w:rsid w:val="00D43092"/>
    <w:rsid w:val="00D4344E"/>
    <w:rsid w:val="00D437FF"/>
    <w:rsid w:val="00D43970"/>
    <w:rsid w:val="00D43994"/>
    <w:rsid w:val="00D43AAC"/>
    <w:rsid w:val="00D43C4A"/>
    <w:rsid w:val="00D43C75"/>
    <w:rsid w:val="00D44220"/>
    <w:rsid w:val="00D44A2D"/>
    <w:rsid w:val="00D44A6B"/>
    <w:rsid w:val="00D44FA0"/>
    <w:rsid w:val="00D4556A"/>
    <w:rsid w:val="00D45F60"/>
    <w:rsid w:val="00D46533"/>
    <w:rsid w:val="00D46C8D"/>
    <w:rsid w:val="00D50108"/>
    <w:rsid w:val="00D5043E"/>
    <w:rsid w:val="00D52910"/>
    <w:rsid w:val="00D541CE"/>
    <w:rsid w:val="00D5460F"/>
    <w:rsid w:val="00D54FA8"/>
    <w:rsid w:val="00D55350"/>
    <w:rsid w:val="00D554D1"/>
    <w:rsid w:val="00D55BA5"/>
    <w:rsid w:val="00D56A00"/>
    <w:rsid w:val="00D56D5D"/>
    <w:rsid w:val="00D57485"/>
    <w:rsid w:val="00D57598"/>
    <w:rsid w:val="00D5784A"/>
    <w:rsid w:val="00D57A3F"/>
    <w:rsid w:val="00D57C34"/>
    <w:rsid w:val="00D610B1"/>
    <w:rsid w:val="00D61668"/>
    <w:rsid w:val="00D61B2A"/>
    <w:rsid w:val="00D61E11"/>
    <w:rsid w:val="00D63652"/>
    <w:rsid w:val="00D64BF7"/>
    <w:rsid w:val="00D64CC8"/>
    <w:rsid w:val="00D655C0"/>
    <w:rsid w:val="00D655C7"/>
    <w:rsid w:val="00D65DB9"/>
    <w:rsid w:val="00D65ED8"/>
    <w:rsid w:val="00D66262"/>
    <w:rsid w:val="00D66E1D"/>
    <w:rsid w:val="00D671B5"/>
    <w:rsid w:val="00D67497"/>
    <w:rsid w:val="00D67EEF"/>
    <w:rsid w:val="00D708E1"/>
    <w:rsid w:val="00D70E79"/>
    <w:rsid w:val="00D72532"/>
    <w:rsid w:val="00D72BBA"/>
    <w:rsid w:val="00D73752"/>
    <w:rsid w:val="00D73FF4"/>
    <w:rsid w:val="00D74293"/>
    <w:rsid w:val="00D74BE9"/>
    <w:rsid w:val="00D74DD2"/>
    <w:rsid w:val="00D7532C"/>
    <w:rsid w:val="00D7665B"/>
    <w:rsid w:val="00D77DCB"/>
    <w:rsid w:val="00D803C7"/>
    <w:rsid w:val="00D80D86"/>
    <w:rsid w:val="00D81C24"/>
    <w:rsid w:val="00D81FE7"/>
    <w:rsid w:val="00D82612"/>
    <w:rsid w:val="00D82CDE"/>
    <w:rsid w:val="00D83C57"/>
    <w:rsid w:val="00D8415A"/>
    <w:rsid w:val="00D84541"/>
    <w:rsid w:val="00D8488D"/>
    <w:rsid w:val="00D84C16"/>
    <w:rsid w:val="00D84EAB"/>
    <w:rsid w:val="00D855C6"/>
    <w:rsid w:val="00D860F4"/>
    <w:rsid w:val="00D86637"/>
    <w:rsid w:val="00D86C6B"/>
    <w:rsid w:val="00D87151"/>
    <w:rsid w:val="00D872A4"/>
    <w:rsid w:val="00D87413"/>
    <w:rsid w:val="00D87D3C"/>
    <w:rsid w:val="00D917F9"/>
    <w:rsid w:val="00D928D1"/>
    <w:rsid w:val="00D929D3"/>
    <w:rsid w:val="00D92F9B"/>
    <w:rsid w:val="00D93B50"/>
    <w:rsid w:val="00D940F9"/>
    <w:rsid w:val="00D94375"/>
    <w:rsid w:val="00D9543B"/>
    <w:rsid w:val="00D9583C"/>
    <w:rsid w:val="00D95B4F"/>
    <w:rsid w:val="00D95DCE"/>
    <w:rsid w:val="00D96626"/>
    <w:rsid w:val="00D96F17"/>
    <w:rsid w:val="00D9785E"/>
    <w:rsid w:val="00D97DE3"/>
    <w:rsid w:val="00DA00A1"/>
    <w:rsid w:val="00DA043D"/>
    <w:rsid w:val="00DA07DD"/>
    <w:rsid w:val="00DA0D5A"/>
    <w:rsid w:val="00DA11F4"/>
    <w:rsid w:val="00DA162B"/>
    <w:rsid w:val="00DA1743"/>
    <w:rsid w:val="00DA1D0D"/>
    <w:rsid w:val="00DA20D2"/>
    <w:rsid w:val="00DA224B"/>
    <w:rsid w:val="00DA25C8"/>
    <w:rsid w:val="00DA2D37"/>
    <w:rsid w:val="00DA2E5B"/>
    <w:rsid w:val="00DA42BA"/>
    <w:rsid w:val="00DA4484"/>
    <w:rsid w:val="00DA4B3D"/>
    <w:rsid w:val="00DA50C4"/>
    <w:rsid w:val="00DA6B86"/>
    <w:rsid w:val="00DA7CF3"/>
    <w:rsid w:val="00DA7EC6"/>
    <w:rsid w:val="00DA7F18"/>
    <w:rsid w:val="00DB045C"/>
    <w:rsid w:val="00DB1374"/>
    <w:rsid w:val="00DB1911"/>
    <w:rsid w:val="00DB1D50"/>
    <w:rsid w:val="00DB292B"/>
    <w:rsid w:val="00DB2DC9"/>
    <w:rsid w:val="00DB3BD1"/>
    <w:rsid w:val="00DB3CCF"/>
    <w:rsid w:val="00DB48B5"/>
    <w:rsid w:val="00DB51BD"/>
    <w:rsid w:val="00DB58C6"/>
    <w:rsid w:val="00DB5CF7"/>
    <w:rsid w:val="00DB5F6F"/>
    <w:rsid w:val="00DB679C"/>
    <w:rsid w:val="00DB6A86"/>
    <w:rsid w:val="00DB712D"/>
    <w:rsid w:val="00DC01E4"/>
    <w:rsid w:val="00DC07DB"/>
    <w:rsid w:val="00DC085E"/>
    <w:rsid w:val="00DC0C6C"/>
    <w:rsid w:val="00DC2276"/>
    <w:rsid w:val="00DC2835"/>
    <w:rsid w:val="00DC291D"/>
    <w:rsid w:val="00DC2D4E"/>
    <w:rsid w:val="00DC3061"/>
    <w:rsid w:val="00DC309A"/>
    <w:rsid w:val="00DC35B6"/>
    <w:rsid w:val="00DC385A"/>
    <w:rsid w:val="00DC410D"/>
    <w:rsid w:val="00DC466F"/>
    <w:rsid w:val="00DC5038"/>
    <w:rsid w:val="00DC5A88"/>
    <w:rsid w:val="00DC5F9C"/>
    <w:rsid w:val="00DC65CC"/>
    <w:rsid w:val="00DC68E4"/>
    <w:rsid w:val="00DC798D"/>
    <w:rsid w:val="00DD0518"/>
    <w:rsid w:val="00DD09DE"/>
    <w:rsid w:val="00DD0DDB"/>
    <w:rsid w:val="00DD1CDC"/>
    <w:rsid w:val="00DD24CA"/>
    <w:rsid w:val="00DD3200"/>
    <w:rsid w:val="00DD364E"/>
    <w:rsid w:val="00DD61B0"/>
    <w:rsid w:val="00DD6A1E"/>
    <w:rsid w:val="00DD708A"/>
    <w:rsid w:val="00DE0063"/>
    <w:rsid w:val="00DE0EF5"/>
    <w:rsid w:val="00DE1351"/>
    <w:rsid w:val="00DE1BBB"/>
    <w:rsid w:val="00DE1BE7"/>
    <w:rsid w:val="00DE1FE9"/>
    <w:rsid w:val="00DE2927"/>
    <w:rsid w:val="00DE2EDC"/>
    <w:rsid w:val="00DE4406"/>
    <w:rsid w:val="00DE46C7"/>
    <w:rsid w:val="00DE4892"/>
    <w:rsid w:val="00DE633D"/>
    <w:rsid w:val="00DE6644"/>
    <w:rsid w:val="00DE7AA8"/>
    <w:rsid w:val="00DF0033"/>
    <w:rsid w:val="00DF04F8"/>
    <w:rsid w:val="00DF04FD"/>
    <w:rsid w:val="00DF0E0B"/>
    <w:rsid w:val="00DF1FFE"/>
    <w:rsid w:val="00DF29E2"/>
    <w:rsid w:val="00DF3257"/>
    <w:rsid w:val="00DF33B0"/>
    <w:rsid w:val="00DF3EB1"/>
    <w:rsid w:val="00DF4119"/>
    <w:rsid w:val="00DF4A47"/>
    <w:rsid w:val="00DF4ADB"/>
    <w:rsid w:val="00DF5B2D"/>
    <w:rsid w:val="00DF5E5E"/>
    <w:rsid w:val="00DF712A"/>
    <w:rsid w:val="00DF74A0"/>
    <w:rsid w:val="00DF7D3D"/>
    <w:rsid w:val="00DF7D96"/>
    <w:rsid w:val="00E00119"/>
    <w:rsid w:val="00E00480"/>
    <w:rsid w:val="00E00524"/>
    <w:rsid w:val="00E00ADE"/>
    <w:rsid w:val="00E01606"/>
    <w:rsid w:val="00E02458"/>
    <w:rsid w:val="00E02BEA"/>
    <w:rsid w:val="00E03633"/>
    <w:rsid w:val="00E03E5F"/>
    <w:rsid w:val="00E0564E"/>
    <w:rsid w:val="00E05A46"/>
    <w:rsid w:val="00E06580"/>
    <w:rsid w:val="00E06B6E"/>
    <w:rsid w:val="00E07972"/>
    <w:rsid w:val="00E10A55"/>
    <w:rsid w:val="00E10E0A"/>
    <w:rsid w:val="00E11885"/>
    <w:rsid w:val="00E1362C"/>
    <w:rsid w:val="00E1369E"/>
    <w:rsid w:val="00E13DAC"/>
    <w:rsid w:val="00E141C3"/>
    <w:rsid w:val="00E146FC"/>
    <w:rsid w:val="00E15234"/>
    <w:rsid w:val="00E15276"/>
    <w:rsid w:val="00E15DC8"/>
    <w:rsid w:val="00E15E9E"/>
    <w:rsid w:val="00E15F39"/>
    <w:rsid w:val="00E16391"/>
    <w:rsid w:val="00E1679F"/>
    <w:rsid w:val="00E17B8D"/>
    <w:rsid w:val="00E203B1"/>
    <w:rsid w:val="00E211AE"/>
    <w:rsid w:val="00E21330"/>
    <w:rsid w:val="00E22D41"/>
    <w:rsid w:val="00E250A4"/>
    <w:rsid w:val="00E2530B"/>
    <w:rsid w:val="00E25CF5"/>
    <w:rsid w:val="00E2606C"/>
    <w:rsid w:val="00E26369"/>
    <w:rsid w:val="00E26901"/>
    <w:rsid w:val="00E27362"/>
    <w:rsid w:val="00E27647"/>
    <w:rsid w:val="00E27B33"/>
    <w:rsid w:val="00E27EED"/>
    <w:rsid w:val="00E30803"/>
    <w:rsid w:val="00E30E7D"/>
    <w:rsid w:val="00E31829"/>
    <w:rsid w:val="00E3193A"/>
    <w:rsid w:val="00E31963"/>
    <w:rsid w:val="00E32BF2"/>
    <w:rsid w:val="00E33017"/>
    <w:rsid w:val="00E33A6F"/>
    <w:rsid w:val="00E33E98"/>
    <w:rsid w:val="00E33F5E"/>
    <w:rsid w:val="00E348F9"/>
    <w:rsid w:val="00E357AB"/>
    <w:rsid w:val="00E3596B"/>
    <w:rsid w:val="00E3723A"/>
    <w:rsid w:val="00E37671"/>
    <w:rsid w:val="00E40810"/>
    <w:rsid w:val="00E4086E"/>
    <w:rsid w:val="00E40880"/>
    <w:rsid w:val="00E40B05"/>
    <w:rsid w:val="00E40CA8"/>
    <w:rsid w:val="00E40FA8"/>
    <w:rsid w:val="00E41B44"/>
    <w:rsid w:val="00E4251B"/>
    <w:rsid w:val="00E42E33"/>
    <w:rsid w:val="00E433CB"/>
    <w:rsid w:val="00E43C7C"/>
    <w:rsid w:val="00E4418E"/>
    <w:rsid w:val="00E4431E"/>
    <w:rsid w:val="00E4465D"/>
    <w:rsid w:val="00E45F82"/>
    <w:rsid w:val="00E4675D"/>
    <w:rsid w:val="00E47A9C"/>
    <w:rsid w:val="00E47E79"/>
    <w:rsid w:val="00E5005A"/>
    <w:rsid w:val="00E516C1"/>
    <w:rsid w:val="00E5216D"/>
    <w:rsid w:val="00E525F2"/>
    <w:rsid w:val="00E52D33"/>
    <w:rsid w:val="00E52EDD"/>
    <w:rsid w:val="00E5319F"/>
    <w:rsid w:val="00E532EB"/>
    <w:rsid w:val="00E53CCA"/>
    <w:rsid w:val="00E53DBA"/>
    <w:rsid w:val="00E53E6C"/>
    <w:rsid w:val="00E53E83"/>
    <w:rsid w:val="00E5486D"/>
    <w:rsid w:val="00E55311"/>
    <w:rsid w:val="00E55B45"/>
    <w:rsid w:val="00E56096"/>
    <w:rsid w:val="00E572CC"/>
    <w:rsid w:val="00E577DA"/>
    <w:rsid w:val="00E57F9C"/>
    <w:rsid w:val="00E60BAD"/>
    <w:rsid w:val="00E60BC5"/>
    <w:rsid w:val="00E60DD6"/>
    <w:rsid w:val="00E612DA"/>
    <w:rsid w:val="00E61AAD"/>
    <w:rsid w:val="00E62017"/>
    <w:rsid w:val="00E62EE5"/>
    <w:rsid w:val="00E63801"/>
    <w:rsid w:val="00E651CF"/>
    <w:rsid w:val="00E65553"/>
    <w:rsid w:val="00E65D83"/>
    <w:rsid w:val="00E66819"/>
    <w:rsid w:val="00E6681E"/>
    <w:rsid w:val="00E669C9"/>
    <w:rsid w:val="00E66BA9"/>
    <w:rsid w:val="00E67EBE"/>
    <w:rsid w:val="00E71725"/>
    <w:rsid w:val="00E71A23"/>
    <w:rsid w:val="00E72730"/>
    <w:rsid w:val="00E74AD6"/>
    <w:rsid w:val="00E74F7D"/>
    <w:rsid w:val="00E75127"/>
    <w:rsid w:val="00E76081"/>
    <w:rsid w:val="00E770DB"/>
    <w:rsid w:val="00E80149"/>
    <w:rsid w:val="00E807D0"/>
    <w:rsid w:val="00E81960"/>
    <w:rsid w:val="00E81A3D"/>
    <w:rsid w:val="00E81C81"/>
    <w:rsid w:val="00E837AA"/>
    <w:rsid w:val="00E83A8B"/>
    <w:rsid w:val="00E83B9C"/>
    <w:rsid w:val="00E83F5D"/>
    <w:rsid w:val="00E83FDA"/>
    <w:rsid w:val="00E8489F"/>
    <w:rsid w:val="00E85EB6"/>
    <w:rsid w:val="00E865F0"/>
    <w:rsid w:val="00E86B87"/>
    <w:rsid w:val="00E8734A"/>
    <w:rsid w:val="00E87900"/>
    <w:rsid w:val="00E87A4B"/>
    <w:rsid w:val="00E87C6C"/>
    <w:rsid w:val="00E87DF9"/>
    <w:rsid w:val="00E904FD"/>
    <w:rsid w:val="00E90F70"/>
    <w:rsid w:val="00E916C9"/>
    <w:rsid w:val="00E92552"/>
    <w:rsid w:val="00E92CAD"/>
    <w:rsid w:val="00E934AD"/>
    <w:rsid w:val="00E93A4D"/>
    <w:rsid w:val="00E93D40"/>
    <w:rsid w:val="00E9409E"/>
    <w:rsid w:val="00E9438A"/>
    <w:rsid w:val="00E94948"/>
    <w:rsid w:val="00E949B2"/>
    <w:rsid w:val="00E94E31"/>
    <w:rsid w:val="00E95A89"/>
    <w:rsid w:val="00E95EBA"/>
    <w:rsid w:val="00E96794"/>
    <w:rsid w:val="00E96B01"/>
    <w:rsid w:val="00E97C95"/>
    <w:rsid w:val="00EA018D"/>
    <w:rsid w:val="00EA03CE"/>
    <w:rsid w:val="00EA10AB"/>
    <w:rsid w:val="00EA1A61"/>
    <w:rsid w:val="00EA1F10"/>
    <w:rsid w:val="00EA226C"/>
    <w:rsid w:val="00EA2CB7"/>
    <w:rsid w:val="00EA2EF8"/>
    <w:rsid w:val="00EA38F2"/>
    <w:rsid w:val="00EA3A87"/>
    <w:rsid w:val="00EA4E67"/>
    <w:rsid w:val="00EA5C51"/>
    <w:rsid w:val="00EA6457"/>
    <w:rsid w:val="00EA65CC"/>
    <w:rsid w:val="00EA678E"/>
    <w:rsid w:val="00EA7724"/>
    <w:rsid w:val="00EA7FB0"/>
    <w:rsid w:val="00EB1773"/>
    <w:rsid w:val="00EB17DD"/>
    <w:rsid w:val="00EB20E6"/>
    <w:rsid w:val="00EB2179"/>
    <w:rsid w:val="00EB2273"/>
    <w:rsid w:val="00EB22CF"/>
    <w:rsid w:val="00EB23C6"/>
    <w:rsid w:val="00EB2547"/>
    <w:rsid w:val="00EB328F"/>
    <w:rsid w:val="00EB3A59"/>
    <w:rsid w:val="00EB4B7B"/>
    <w:rsid w:val="00EB51ED"/>
    <w:rsid w:val="00EB5298"/>
    <w:rsid w:val="00EB58AF"/>
    <w:rsid w:val="00EB5D91"/>
    <w:rsid w:val="00EB659D"/>
    <w:rsid w:val="00EB68E2"/>
    <w:rsid w:val="00EB69F5"/>
    <w:rsid w:val="00EC027E"/>
    <w:rsid w:val="00EC1074"/>
    <w:rsid w:val="00EC15C5"/>
    <w:rsid w:val="00EC1D6B"/>
    <w:rsid w:val="00EC1E47"/>
    <w:rsid w:val="00EC21FE"/>
    <w:rsid w:val="00EC243C"/>
    <w:rsid w:val="00EC2AB5"/>
    <w:rsid w:val="00EC312B"/>
    <w:rsid w:val="00EC3318"/>
    <w:rsid w:val="00EC358C"/>
    <w:rsid w:val="00EC3C38"/>
    <w:rsid w:val="00EC3DE8"/>
    <w:rsid w:val="00EC423E"/>
    <w:rsid w:val="00EC43FA"/>
    <w:rsid w:val="00EC5296"/>
    <w:rsid w:val="00EC5A8C"/>
    <w:rsid w:val="00EC6CEC"/>
    <w:rsid w:val="00EC6DEA"/>
    <w:rsid w:val="00EC6F6E"/>
    <w:rsid w:val="00EC7CEA"/>
    <w:rsid w:val="00ED0B8E"/>
    <w:rsid w:val="00ED0C4C"/>
    <w:rsid w:val="00ED0D45"/>
    <w:rsid w:val="00ED112B"/>
    <w:rsid w:val="00ED1360"/>
    <w:rsid w:val="00ED18A0"/>
    <w:rsid w:val="00ED2506"/>
    <w:rsid w:val="00ED2F0D"/>
    <w:rsid w:val="00ED33C2"/>
    <w:rsid w:val="00ED3A11"/>
    <w:rsid w:val="00ED3C5C"/>
    <w:rsid w:val="00ED3C7A"/>
    <w:rsid w:val="00ED57B2"/>
    <w:rsid w:val="00ED5E48"/>
    <w:rsid w:val="00ED5E92"/>
    <w:rsid w:val="00ED6FAC"/>
    <w:rsid w:val="00ED7D3E"/>
    <w:rsid w:val="00EE006F"/>
    <w:rsid w:val="00EE0E96"/>
    <w:rsid w:val="00EE178F"/>
    <w:rsid w:val="00EE209B"/>
    <w:rsid w:val="00EE2281"/>
    <w:rsid w:val="00EE277A"/>
    <w:rsid w:val="00EE27CF"/>
    <w:rsid w:val="00EE299C"/>
    <w:rsid w:val="00EE2A7C"/>
    <w:rsid w:val="00EE2BA5"/>
    <w:rsid w:val="00EE2F1F"/>
    <w:rsid w:val="00EE300B"/>
    <w:rsid w:val="00EE319B"/>
    <w:rsid w:val="00EE398A"/>
    <w:rsid w:val="00EE4336"/>
    <w:rsid w:val="00EE45F1"/>
    <w:rsid w:val="00EE4671"/>
    <w:rsid w:val="00EE4B70"/>
    <w:rsid w:val="00EE4C7D"/>
    <w:rsid w:val="00EE4EB7"/>
    <w:rsid w:val="00EE56E5"/>
    <w:rsid w:val="00EE581D"/>
    <w:rsid w:val="00EE5A41"/>
    <w:rsid w:val="00EE5E42"/>
    <w:rsid w:val="00EE5E63"/>
    <w:rsid w:val="00EE7F4A"/>
    <w:rsid w:val="00EF04F3"/>
    <w:rsid w:val="00EF0606"/>
    <w:rsid w:val="00EF079B"/>
    <w:rsid w:val="00EF09BA"/>
    <w:rsid w:val="00EF0AA2"/>
    <w:rsid w:val="00EF0DD3"/>
    <w:rsid w:val="00EF1163"/>
    <w:rsid w:val="00EF1271"/>
    <w:rsid w:val="00EF17E4"/>
    <w:rsid w:val="00EF1868"/>
    <w:rsid w:val="00EF1EB2"/>
    <w:rsid w:val="00EF20DF"/>
    <w:rsid w:val="00EF24BC"/>
    <w:rsid w:val="00EF2B92"/>
    <w:rsid w:val="00EF2FFA"/>
    <w:rsid w:val="00EF309C"/>
    <w:rsid w:val="00EF3FFB"/>
    <w:rsid w:val="00EF411B"/>
    <w:rsid w:val="00EF4249"/>
    <w:rsid w:val="00EF5482"/>
    <w:rsid w:val="00EF58C6"/>
    <w:rsid w:val="00EF601D"/>
    <w:rsid w:val="00EF62DE"/>
    <w:rsid w:val="00EF73D1"/>
    <w:rsid w:val="00EF7414"/>
    <w:rsid w:val="00F004B0"/>
    <w:rsid w:val="00F006EB"/>
    <w:rsid w:val="00F00FD2"/>
    <w:rsid w:val="00F01132"/>
    <w:rsid w:val="00F03068"/>
    <w:rsid w:val="00F03739"/>
    <w:rsid w:val="00F03AD9"/>
    <w:rsid w:val="00F03F32"/>
    <w:rsid w:val="00F045EE"/>
    <w:rsid w:val="00F050DC"/>
    <w:rsid w:val="00F0741B"/>
    <w:rsid w:val="00F10051"/>
    <w:rsid w:val="00F10D7D"/>
    <w:rsid w:val="00F12568"/>
    <w:rsid w:val="00F12633"/>
    <w:rsid w:val="00F1301B"/>
    <w:rsid w:val="00F133C0"/>
    <w:rsid w:val="00F138B5"/>
    <w:rsid w:val="00F14207"/>
    <w:rsid w:val="00F14362"/>
    <w:rsid w:val="00F14E16"/>
    <w:rsid w:val="00F15F24"/>
    <w:rsid w:val="00F15F59"/>
    <w:rsid w:val="00F160E8"/>
    <w:rsid w:val="00F16462"/>
    <w:rsid w:val="00F16A6A"/>
    <w:rsid w:val="00F17C4D"/>
    <w:rsid w:val="00F17CFA"/>
    <w:rsid w:val="00F17DEC"/>
    <w:rsid w:val="00F2020F"/>
    <w:rsid w:val="00F2071A"/>
    <w:rsid w:val="00F20DEB"/>
    <w:rsid w:val="00F21369"/>
    <w:rsid w:val="00F21630"/>
    <w:rsid w:val="00F218E5"/>
    <w:rsid w:val="00F218FA"/>
    <w:rsid w:val="00F21F1F"/>
    <w:rsid w:val="00F230E0"/>
    <w:rsid w:val="00F23508"/>
    <w:rsid w:val="00F235E3"/>
    <w:rsid w:val="00F236F9"/>
    <w:rsid w:val="00F24268"/>
    <w:rsid w:val="00F2498B"/>
    <w:rsid w:val="00F24C24"/>
    <w:rsid w:val="00F25580"/>
    <w:rsid w:val="00F3101C"/>
    <w:rsid w:val="00F31A4C"/>
    <w:rsid w:val="00F31D79"/>
    <w:rsid w:val="00F32514"/>
    <w:rsid w:val="00F32CD0"/>
    <w:rsid w:val="00F33573"/>
    <w:rsid w:val="00F3412F"/>
    <w:rsid w:val="00F351E9"/>
    <w:rsid w:val="00F352E7"/>
    <w:rsid w:val="00F353BB"/>
    <w:rsid w:val="00F353CB"/>
    <w:rsid w:val="00F370B5"/>
    <w:rsid w:val="00F372D9"/>
    <w:rsid w:val="00F373B0"/>
    <w:rsid w:val="00F400B8"/>
    <w:rsid w:val="00F4051E"/>
    <w:rsid w:val="00F41BC2"/>
    <w:rsid w:val="00F43A5F"/>
    <w:rsid w:val="00F43B9A"/>
    <w:rsid w:val="00F447BE"/>
    <w:rsid w:val="00F44836"/>
    <w:rsid w:val="00F44936"/>
    <w:rsid w:val="00F4519B"/>
    <w:rsid w:val="00F452D3"/>
    <w:rsid w:val="00F45465"/>
    <w:rsid w:val="00F46936"/>
    <w:rsid w:val="00F4726A"/>
    <w:rsid w:val="00F47316"/>
    <w:rsid w:val="00F47F93"/>
    <w:rsid w:val="00F50920"/>
    <w:rsid w:val="00F50A98"/>
    <w:rsid w:val="00F50F4B"/>
    <w:rsid w:val="00F517B4"/>
    <w:rsid w:val="00F51F6D"/>
    <w:rsid w:val="00F52C04"/>
    <w:rsid w:val="00F52D33"/>
    <w:rsid w:val="00F5355F"/>
    <w:rsid w:val="00F5368A"/>
    <w:rsid w:val="00F541FC"/>
    <w:rsid w:val="00F54328"/>
    <w:rsid w:val="00F54C8D"/>
    <w:rsid w:val="00F56CC2"/>
    <w:rsid w:val="00F56DDE"/>
    <w:rsid w:val="00F57545"/>
    <w:rsid w:val="00F57905"/>
    <w:rsid w:val="00F57C43"/>
    <w:rsid w:val="00F57C87"/>
    <w:rsid w:val="00F60023"/>
    <w:rsid w:val="00F604C4"/>
    <w:rsid w:val="00F60BFC"/>
    <w:rsid w:val="00F617A4"/>
    <w:rsid w:val="00F62097"/>
    <w:rsid w:val="00F627B0"/>
    <w:rsid w:val="00F629A0"/>
    <w:rsid w:val="00F6527A"/>
    <w:rsid w:val="00F65C41"/>
    <w:rsid w:val="00F66885"/>
    <w:rsid w:val="00F66B71"/>
    <w:rsid w:val="00F66DA9"/>
    <w:rsid w:val="00F66EB2"/>
    <w:rsid w:val="00F6741B"/>
    <w:rsid w:val="00F67669"/>
    <w:rsid w:val="00F67858"/>
    <w:rsid w:val="00F7040E"/>
    <w:rsid w:val="00F7078F"/>
    <w:rsid w:val="00F7090B"/>
    <w:rsid w:val="00F70992"/>
    <w:rsid w:val="00F70F09"/>
    <w:rsid w:val="00F71022"/>
    <w:rsid w:val="00F71399"/>
    <w:rsid w:val="00F716EA"/>
    <w:rsid w:val="00F71FE9"/>
    <w:rsid w:val="00F7248E"/>
    <w:rsid w:val="00F72896"/>
    <w:rsid w:val="00F72E42"/>
    <w:rsid w:val="00F72F20"/>
    <w:rsid w:val="00F7419F"/>
    <w:rsid w:val="00F749BE"/>
    <w:rsid w:val="00F75EA3"/>
    <w:rsid w:val="00F75FEA"/>
    <w:rsid w:val="00F76125"/>
    <w:rsid w:val="00F763DD"/>
    <w:rsid w:val="00F76D5C"/>
    <w:rsid w:val="00F777A4"/>
    <w:rsid w:val="00F777C8"/>
    <w:rsid w:val="00F802FB"/>
    <w:rsid w:val="00F8066D"/>
    <w:rsid w:val="00F8073F"/>
    <w:rsid w:val="00F808D4"/>
    <w:rsid w:val="00F809CD"/>
    <w:rsid w:val="00F81EC2"/>
    <w:rsid w:val="00F8252F"/>
    <w:rsid w:val="00F826A1"/>
    <w:rsid w:val="00F829B0"/>
    <w:rsid w:val="00F82AE8"/>
    <w:rsid w:val="00F83142"/>
    <w:rsid w:val="00F8352B"/>
    <w:rsid w:val="00F8374F"/>
    <w:rsid w:val="00F83C13"/>
    <w:rsid w:val="00F83D73"/>
    <w:rsid w:val="00F8457E"/>
    <w:rsid w:val="00F84CA8"/>
    <w:rsid w:val="00F84DFF"/>
    <w:rsid w:val="00F856F7"/>
    <w:rsid w:val="00F85D89"/>
    <w:rsid w:val="00F86E59"/>
    <w:rsid w:val="00F87430"/>
    <w:rsid w:val="00F876E7"/>
    <w:rsid w:val="00F87987"/>
    <w:rsid w:val="00F90809"/>
    <w:rsid w:val="00F91E1E"/>
    <w:rsid w:val="00F92C11"/>
    <w:rsid w:val="00F92C93"/>
    <w:rsid w:val="00F92F7C"/>
    <w:rsid w:val="00F930A2"/>
    <w:rsid w:val="00F935B6"/>
    <w:rsid w:val="00F9370D"/>
    <w:rsid w:val="00F93A09"/>
    <w:rsid w:val="00F93BC9"/>
    <w:rsid w:val="00F943D6"/>
    <w:rsid w:val="00F95513"/>
    <w:rsid w:val="00F95E4A"/>
    <w:rsid w:val="00F961CD"/>
    <w:rsid w:val="00F96532"/>
    <w:rsid w:val="00F96C20"/>
    <w:rsid w:val="00F96D8A"/>
    <w:rsid w:val="00F97A5C"/>
    <w:rsid w:val="00FA003B"/>
    <w:rsid w:val="00FA00A3"/>
    <w:rsid w:val="00FA0EA0"/>
    <w:rsid w:val="00FA1081"/>
    <w:rsid w:val="00FA1C56"/>
    <w:rsid w:val="00FA2378"/>
    <w:rsid w:val="00FA2758"/>
    <w:rsid w:val="00FA2850"/>
    <w:rsid w:val="00FA30CC"/>
    <w:rsid w:val="00FA3160"/>
    <w:rsid w:val="00FA3297"/>
    <w:rsid w:val="00FA32AB"/>
    <w:rsid w:val="00FA34AB"/>
    <w:rsid w:val="00FA42FA"/>
    <w:rsid w:val="00FA49B5"/>
    <w:rsid w:val="00FA6F40"/>
    <w:rsid w:val="00FA6F96"/>
    <w:rsid w:val="00FB125E"/>
    <w:rsid w:val="00FB15E9"/>
    <w:rsid w:val="00FB1D42"/>
    <w:rsid w:val="00FB2587"/>
    <w:rsid w:val="00FB2634"/>
    <w:rsid w:val="00FB2714"/>
    <w:rsid w:val="00FB2FB5"/>
    <w:rsid w:val="00FB3AE3"/>
    <w:rsid w:val="00FB494C"/>
    <w:rsid w:val="00FB4E53"/>
    <w:rsid w:val="00FB50F4"/>
    <w:rsid w:val="00FB55DC"/>
    <w:rsid w:val="00FB55F7"/>
    <w:rsid w:val="00FB5947"/>
    <w:rsid w:val="00FB61B8"/>
    <w:rsid w:val="00FB631C"/>
    <w:rsid w:val="00FB6E3A"/>
    <w:rsid w:val="00FC1E0C"/>
    <w:rsid w:val="00FC25DD"/>
    <w:rsid w:val="00FC3515"/>
    <w:rsid w:val="00FC3B5A"/>
    <w:rsid w:val="00FC45E3"/>
    <w:rsid w:val="00FC4951"/>
    <w:rsid w:val="00FC5425"/>
    <w:rsid w:val="00FC555E"/>
    <w:rsid w:val="00FC5F63"/>
    <w:rsid w:val="00FC600B"/>
    <w:rsid w:val="00FC6573"/>
    <w:rsid w:val="00FC6885"/>
    <w:rsid w:val="00FC6976"/>
    <w:rsid w:val="00FC6D2F"/>
    <w:rsid w:val="00FC7215"/>
    <w:rsid w:val="00FC7239"/>
    <w:rsid w:val="00FC747E"/>
    <w:rsid w:val="00FC7A9F"/>
    <w:rsid w:val="00FC7D48"/>
    <w:rsid w:val="00FD03DE"/>
    <w:rsid w:val="00FD070D"/>
    <w:rsid w:val="00FD08EA"/>
    <w:rsid w:val="00FD23AD"/>
    <w:rsid w:val="00FD2577"/>
    <w:rsid w:val="00FD3758"/>
    <w:rsid w:val="00FD3B44"/>
    <w:rsid w:val="00FD3FC1"/>
    <w:rsid w:val="00FD4555"/>
    <w:rsid w:val="00FD4AB7"/>
    <w:rsid w:val="00FD5831"/>
    <w:rsid w:val="00FD5B00"/>
    <w:rsid w:val="00FD5D19"/>
    <w:rsid w:val="00FD6F5F"/>
    <w:rsid w:val="00FE08C1"/>
    <w:rsid w:val="00FE0BCB"/>
    <w:rsid w:val="00FE0EB7"/>
    <w:rsid w:val="00FE1131"/>
    <w:rsid w:val="00FE1D1D"/>
    <w:rsid w:val="00FE2230"/>
    <w:rsid w:val="00FE2E0C"/>
    <w:rsid w:val="00FE3116"/>
    <w:rsid w:val="00FE3273"/>
    <w:rsid w:val="00FE37A4"/>
    <w:rsid w:val="00FE37F1"/>
    <w:rsid w:val="00FE39CF"/>
    <w:rsid w:val="00FE3AA8"/>
    <w:rsid w:val="00FE4423"/>
    <w:rsid w:val="00FE455F"/>
    <w:rsid w:val="00FE47A4"/>
    <w:rsid w:val="00FE4D11"/>
    <w:rsid w:val="00FE56F8"/>
    <w:rsid w:val="00FE574D"/>
    <w:rsid w:val="00FE5E89"/>
    <w:rsid w:val="00FE627B"/>
    <w:rsid w:val="00FE63E3"/>
    <w:rsid w:val="00FE6AC8"/>
    <w:rsid w:val="00FE6D62"/>
    <w:rsid w:val="00FE7575"/>
    <w:rsid w:val="00FE75C7"/>
    <w:rsid w:val="00FE7804"/>
    <w:rsid w:val="00FE7B4A"/>
    <w:rsid w:val="00FF0442"/>
    <w:rsid w:val="00FF0550"/>
    <w:rsid w:val="00FF0558"/>
    <w:rsid w:val="00FF0AB0"/>
    <w:rsid w:val="00FF0FF2"/>
    <w:rsid w:val="00FF1114"/>
    <w:rsid w:val="00FF128B"/>
    <w:rsid w:val="00FF1441"/>
    <w:rsid w:val="00FF14F9"/>
    <w:rsid w:val="00FF1935"/>
    <w:rsid w:val="00FF1A4D"/>
    <w:rsid w:val="00FF2F22"/>
    <w:rsid w:val="00FF368A"/>
    <w:rsid w:val="00FF3F39"/>
    <w:rsid w:val="00FF5312"/>
    <w:rsid w:val="00FF540E"/>
    <w:rsid w:val="00FF56BA"/>
    <w:rsid w:val="00FF5D2C"/>
    <w:rsid w:val="00FF5ECD"/>
    <w:rsid w:val="00FF63F5"/>
    <w:rsid w:val="00FF6418"/>
    <w:rsid w:val="00FF73B7"/>
    <w:rsid w:val="00FF754E"/>
    <w:rsid w:val="00FF754F"/>
    <w:rsid w:val="00FF7840"/>
    <w:rsid w:val="00FF795F"/>
    <w:rsid w:val="00FF7D83"/>
    <w:rsid w:val="010351AA"/>
    <w:rsid w:val="0109515E"/>
    <w:rsid w:val="011078C7"/>
    <w:rsid w:val="011473B7"/>
    <w:rsid w:val="011C2D0B"/>
    <w:rsid w:val="011E2D38"/>
    <w:rsid w:val="01207B0A"/>
    <w:rsid w:val="012539DB"/>
    <w:rsid w:val="0127533C"/>
    <w:rsid w:val="012C2953"/>
    <w:rsid w:val="01325A8F"/>
    <w:rsid w:val="01341807"/>
    <w:rsid w:val="01361A05"/>
    <w:rsid w:val="013B6B5D"/>
    <w:rsid w:val="01431A4A"/>
    <w:rsid w:val="01437C9C"/>
    <w:rsid w:val="0154289E"/>
    <w:rsid w:val="015772A4"/>
    <w:rsid w:val="0159792A"/>
    <w:rsid w:val="015D0D5E"/>
    <w:rsid w:val="01687703"/>
    <w:rsid w:val="016D4D19"/>
    <w:rsid w:val="016F37D8"/>
    <w:rsid w:val="0179546C"/>
    <w:rsid w:val="018B7BC6"/>
    <w:rsid w:val="018D7EF2"/>
    <w:rsid w:val="01910A08"/>
    <w:rsid w:val="019B53E2"/>
    <w:rsid w:val="01A240C2"/>
    <w:rsid w:val="01B4086F"/>
    <w:rsid w:val="01BB7833"/>
    <w:rsid w:val="01C34939"/>
    <w:rsid w:val="01CA3F1A"/>
    <w:rsid w:val="01D1338A"/>
    <w:rsid w:val="01D134FA"/>
    <w:rsid w:val="01D2735F"/>
    <w:rsid w:val="01DB2E0E"/>
    <w:rsid w:val="01DE3640"/>
    <w:rsid w:val="01E03724"/>
    <w:rsid w:val="01E150A5"/>
    <w:rsid w:val="01E52B01"/>
    <w:rsid w:val="01E70628"/>
    <w:rsid w:val="01E7687A"/>
    <w:rsid w:val="01E850A3"/>
    <w:rsid w:val="01F000C2"/>
    <w:rsid w:val="01F33470"/>
    <w:rsid w:val="01F62F61"/>
    <w:rsid w:val="01F64D0F"/>
    <w:rsid w:val="02021905"/>
    <w:rsid w:val="020411DA"/>
    <w:rsid w:val="0204742C"/>
    <w:rsid w:val="020510A1"/>
    <w:rsid w:val="020C4532"/>
    <w:rsid w:val="02104DC9"/>
    <w:rsid w:val="0216715F"/>
    <w:rsid w:val="02201D4B"/>
    <w:rsid w:val="022A76E3"/>
    <w:rsid w:val="02306473"/>
    <w:rsid w:val="02412E30"/>
    <w:rsid w:val="0241303B"/>
    <w:rsid w:val="02447828"/>
    <w:rsid w:val="02497534"/>
    <w:rsid w:val="024C2B81"/>
    <w:rsid w:val="02555161"/>
    <w:rsid w:val="025609C5"/>
    <w:rsid w:val="025D4496"/>
    <w:rsid w:val="02614E03"/>
    <w:rsid w:val="026A2F71"/>
    <w:rsid w:val="02720839"/>
    <w:rsid w:val="027306D0"/>
    <w:rsid w:val="027619AC"/>
    <w:rsid w:val="0281633B"/>
    <w:rsid w:val="028265A2"/>
    <w:rsid w:val="028415AA"/>
    <w:rsid w:val="02843A23"/>
    <w:rsid w:val="028A4153"/>
    <w:rsid w:val="028D7421"/>
    <w:rsid w:val="028F58D9"/>
    <w:rsid w:val="02924A37"/>
    <w:rsid w:val="029702A0"/>
    <w:rsid w:val="02A23BF1"/>
    <w:rsid w:val="02A23F5D"/>
    <w:rsid w:val="02A93B2F"/>
    <w:rsid w:val="02AB3D4B"/>
    <w:rsid w:val="02AE55E9"/>
    <w:rsid w:val="02B20C36"/>
    <w:rsid w:val="02B32C00"/>
    <w:rsid w:val="02B61C6F"/>
    <w:rsid w:val="02B726F0"/>
    <w:rsid w:val="02B7449E"/>
    <w:rsid w:val="02BE441C"/>
    <w:rsid w:val="02BE61EA"/>
    <w:rsid w:val="02C42F4A"/>
    <w:rsid w:val="02C5039B"/>
    <w:rsid w:val="02C62933"/>
    <w:rsid w:val="02C72207"/>
    <w:rsid w:val="02C84876"/>
    <w:rsid w:val="02D50DC8"/>
    <w:rsid w:val="02DA1F3A"/>
    <w:rsid w:val="02DB63F2"/>
    <w:rsid w:val="02DC548F"/>
    <w:rsid w:val="02E465FD"/>
    <w:rsid w:val="02EE3C38"/>
    <w:rsid w:val="02F565B8"/>
    <w:rsid w:val="02FA35F7"/>
    <w:rsid w:val="02FB5F01"/>
    <w:rsid w:val="03004E02"/>
    <w:rsid w:val="0315776F"/>
    <w:rsid w:val="031713E0"/>
    <w:rsid w:val="03192A63"/>
    <w:rsid w:val="031C3BCC"/>
    <w:rsid w:val="03261624"/>
    <w:rsid w:val="03305DBD"/>
    <w:rsid w:val="0332621A"/>
    <w:rsid w:val="0334789D"/>
    <w:rsid w:val="03362040"/>
    <w:rsid w:val="033E4BBF"/>
    <w:rsid w:val="03404493"/>
    <w:rsid w:val="03422E78"/>
    <w:rsid w:val="034321D6"/>
    <w:rsid w:val="03483348"/>
    <w:rsid w:val="034A70C0"/>
    <w:rsid w:val="034B55D8"/>
    <w:rsid w:val="034C72DC"/>
    <w:rsid w:val="03541CED"/>
    <w:rsid w:val="03555A65"/>
    <w:rsid w:val="03577A2F"/>
    <w:rsid w:val="035E2B6B"/>
    <w:rsid w:val="035F6D40"/>
    <w:rsid w:val="03600692"/>
    <w:rsid w:val="0360556D"/>
    <w:rsid w:val="0364016E"/>
    <w:rsid w:val="03675EC4"/>
    <w:rsid w:val="03681C3C"/>
    <w:rsid w:val="036A171F"/>
    <w:rsid w:val="036D2DAF"/>
    <w:rsid w:val="0370464D"/>
    <w:rsid w:val="037203C5"/>
    <w:rsid w:val="037405E1"/>
    <w:rsid w:val="0374413D"/>
    <w:rsid w:val="037C7496"/>
    <w:rsid w:val="03820E78"/>
    <w:rsid w:val="03895B20"/>
    <w:rsid w:val="038B270C"/>
    <w:rsid w:val="03903C1F"/>
    <w:rsid w:val="03914CEF"/>
    <w:rsid w:val="0394702E"/>
    <w:rsid w:val="039E565E"/>
    <w:rsid w:val="03A02A00"/>
    <w:rsid w:val="03A16874"/>
    <w:rsid w:val="03A16A61"/>
    <w:rsid w:val="03A31CF9"/>
    <w:rsid w:val="03A4774E"/>
    <w:rsid w:val="03A52548"/>
    <w:rsid w:val="03AA491B"/>
    <w:rsid w:val="03B142F6"/>
    <w:rsid w:val="03B863D4"/>
    <w:rsid w:val="03BC2FA1"/>
    <w:rsid w:val="03C07382"/>
    <w:rsid w:val="03C17F50"/>
    <w:rsid w:val="03C30C20"/>
    <w:rsid w:val="03C5328B"/>
    <w:rsid w:val="03CA0524"/>
    <w:rsid w:val="03CD109D"/>
    <w:rsid w:val="03CF5817"/>
    <w:rsid w:val="03D41080"/>
    <w:rsid w:val="03DA48E8"/>
    <w:rsid w:val="03E05C76"/>
    <w:rsid w:val="03E43571"/>
    <w:rsid w:val="04001F15"/>
    <w:rsid w:val="040C0819"/>
    <w:rsid w:val="040E27E3"/>
    <w:rsid w:val="04115E30"/>
    <w:rsid w:val="04117BDE"/>
    <w:rsid w:val="0414147C"/>
    <w:rsid w:val="04181A86"/>
    <w:rsid w:val="04194CE4"/>
    <w:rsid w:val="04246877"/>
    <w:rsid w:val="04293179"/>
    <w:rsid w:val="042A0CA0"/>
    <w:rsid w:val="042F134C"/>
    <w:rsid w:val="043A3F7F"/>
    <w:rsid w:val="04443659"/>
    <w:rsid w:val="04471852"/>
    <w:rsid w:val="04477AA3"/>
    <w:rsid w:val="044C330C"/>
    <w:rsid w:val="044E0E32"/>
    <w:rsid w:val="04575F38"/>
    <w:rsid w:val="04581CB1"/>
    <w:rsid w:val="0464619F"/>
    <w:rsid w:val="046B508B"/>
    <w:rsid w:val="04781A0B"/>
    <w:rsid w:val="047A7A72"/>
    <w:rsid w:val="047E3A7D"/>
    <w:rsid w:val="04810F1A"/>
    <w:rsid w:val="04845087"/>
    <w:rsid w:val="04895240"/>
    <w:rsid w:val="04896013"/>
    <w:rsid w:val="049F343C"/>
    <w:rsid w:val="04A24CDA"/>
    <w:rsid w:val="04A921D1"/>
    <w:rsid w:val="04AB0FFD"/>
    <w:rsid w:val="04AB1DE0"/>
    <w:rsid w:val="04AC7907"/>
    <w:rsid w:val="04AE18D1"/>
    <w:rsid w:val="04B912D9"/>
    <w:rsid w:val="04BC3FEE"/>
    <w:rsid w:val="04BF3ADE"/>
    <w:rsid w:val="04C3537C"/>
    <w:rsid w:val="04C94C9B"/>
    <w:rsid w:val="04CD691B"/>
    <w:rsid w:val="04CE1F73"/>
    <w:rsid w:val="04D05CEB"/>
    <w:rsid w:val="04D60767"/>
    <w:rsid w:val="04DE0B22"/>
    <w:rsid w:val="04E87DBA"/>
    <w:rsid w:val="04EB48D3"/>
    <w:rsid w:val="04ED41A7"/>
    <w:rsid w:val="04EF43C3"/>
    <w:rsid w:val="04F73278"/>
    <w:rsid w:val="04FC263C"/>
    <w:rsid w:val="04FF23B1"/>
    <w:rsid w:val="05020D34"/>
    <w:rsid w:val="050B0AD1"/>
    <w:rsid w:val="050C024B"/>
    <w:rsid w:val="050E0E60"/>
    <w:rsid w:val="050F160F"/>
    <w:rsid w:val="051A0D14"/>
    <w:rsid w:val="0522654F"/>
    <w:rsid w:val="05263B5D"/>
    <w:rsid w:val="053B7608"/>
    <w:rsid w:val="054C2BF3"/>
    <w:rsid w:val="055B3806"/>
    <w:rsid w:val="055C757F"/>
    <w:rsid w:val="05616943"/>
    <w:rsid w:val="05622323"/>
    <w:rsid w:val="056621AB"/>
    <w:rsid w:val="056703FD"/>
    <w:rsid w:val="056A1C9B"/>
    <w:rsid w:val="0571302A"/>
    <w:rsid w:val="05726DA2"/>
    <w:rsid w:val="05785125"/>
    <w:rsid w:val="057A1A3A"/>
    <w:rsid w:val="057A683F"/>
    <w:rsid w:val="057B7A05"/>
    <w:rsid w:val="058C7E64"/>
    <w:rsid w:val="059C5BCD"/>
    <w:rsid w:val="05A21435"/>
    <w:rsid w:val="05A60D08"/>
    <w:rsid w:val="05A7034E"/>
    <w:rsid w:val="05AC22B4"/>
    <w:rsid w:val="05B9052D"/>
    <w:rsid w:val="05BE1FE7"/>
    <w:rsid w:val="05C375FE"/>
    <w:rsid w:val="05C75836"/>
    <w:rsid w:val="05C940A2"/>
    <w:rsid w:val="05CA098C"/>
    <w:rsid w:val="05CF6EFA"/>
    <w:rsid w:val="05D52DC9"/>
    <w:rsid w:val="05D610DF"/>
    <w:rsid w:val="05D830A9"/>
    <w:rsid w:val="05DA3601"/>
    <w:rsid w:val="05DE1D42"/>
    <w:rsid w:val="05E732EC"/>
    <w:rsid w:val="05E91398"/>
    <w:rsid w:val="05EA6938"/>
    <w:rsid w:val="05ED13B3"/>
    <w:rsid w:val="05EF2F96"/>
    <w:rsid w:val="05FE58B2"/>
    <w:rsid w:val="06035C4C"/>
    <w:rsid w:val="06091535"/>
    <w:rsid w:val="060A67AF"/>
    <w:rsid w:val="060F2843"/>
    <w:rsid w:val="06127C3D"/>
    <w:rsid w:val="0618720B"/>
    <w:rsid w:val="061F28BB"/>
    <w:rsid w:val="06224324"/>
    <w:rsid w:val="062260D2"/>
    <w:rsid w:val="06231CCF"/>
    <w:rsid w:val="062736E9"/>
    <w:rsid w:val="06415F02"/>
    <w:rsid w:val="06430CCF"/>
    <w:rsid w:val="065546FA"/>
    <w:rsid w:val="06555D37"/>
    <w:rsid w:val="06587D46"/>
    <w:rsid w:val="066153DF"/>
    <w:rsid w:val="066160DF"/>
    <w:rsid w:val="06640499"/>
    <w:rsid w:val="066B5CCB"/>
    <w:rsid w:val="066E2B97"/>
    <w:rsid w:val="066F3EB7"/>
    <w:rsid w:val="066F5090"/>
    <w:rsid w:val="067508F8"/>
    <w:rsid w:val="067B1C86"/>
    <w:rsid w:val="067D59FE"/>
    <w:rsid w:val="067D77AC"/>
    <w:rsid w:val="0680104B"/>
    <w:rsid w:val="06810AB9"/>
    <w:rsid w:val="068A5032"/>
    <w:rsid w:val="069025ED"/>
    <w:rsid w:val="069B45DD"/>
    <w:rsid w:val="069C16EE"/>
    <w:rsid w:val="06A02BE2"/>
    <w:rsid w:val="06A31B81"/>
    <w:rsid w:val="06A92350"/>
    <w:rsid w:val="06B00EE4"/>
    <w:rsid w:val="06B036DE"/>
    <w:rsid w:val="06B07B82"/>
    <w:rsid w:val="06C96DE5"/>
    <w:rsid w:val="06D33870"/>
    <w:rsid w:val="06DF3FC3"/>
    <w:rsid w:val="06E45A7E"/>
    <w:rsid w:val="06E50BF8"/>
    <w:rsid w:val="06F061D0"/>
    <w:rsid w:val="06F40028"/>
    <w:rsid w:val="06F701F2"/>
    <w:rsid w:val="06FA0DFD"/>
    <w:rsid w:val="06FA704F"/>
    <w:rsid w:val="07013F3A"/>
    <w:rsid w:val="07027CB2"/>
    <w:rsid w:val="070954E4"/>
    <w:rsid w:val="071A324D"/>
    <w:rsid w:val="0721638A"/>
    <w:rsid w:val="073C31C4"/>
    <w:rsid w:val="073C35E3"/>
    <w:rsid w:val="073F2CB4"/>
    <w:rsid w:val="07416A2C"/>
    <w:rsid w:val="07484347"/>
    <w:rsid w:val="074B2F2B"/>
    <w:rsid w:val="07524795"/>
    <w:rsid w:val="07571DAC"/>
    <w:rsid w:val="0757624F"/>
    <w:rsid w:val="07591FC8"/>
    <w:rsid w:val="07630750"/>
    <w:rsid w:val="076444C8"/>
    <w:rsid w:val="076646E5"/>
    <w:rsid w:val="07691ADF"/>
    <w:rsid w:val="076D7821"/>
    <w:rsid w:val="07743A9C"/>
    <w:rsid w:val="07837045"/>
    <w:rsid w:val="0788465B"/>
    <w:rsid w:val="0790350F"/>
    <w:rsid w:val="07987D21"/>
    <w:rsid w:val="079A613C"/>
    <w:rsid w:val="079C7F32"/>
    <w:rsid w:val="07A62D33"/>
    <w:rsid w:val="07A7743A"/>
    <w:rsid w:val="07AA4BA0"/>
    <w:rsid w:val="07B00766"/>
    <w:rsid w:val="07B436A2"/>
    <w:rsid w:val="07BF4985"/>
    <w:rsid w:val="07C136C9"/>
    <w:rsid w:val="07C90C5E"/>
    <w:rsid w:val="07CE3B6C"/>
    <w:rsid w:val="07E06245"/>
    <w:rsid w:val="07E51AAD"/>
    <w:rsid w:val="07E5385B"/>
    <w:rsid w:val="07EA2C20"/>
    <w:rsid w:val="07F226D3"/>
    <w:rsid w:val="07F95559"/>
    <w:rsid w:val="07F95ADE"/>
    <w:rsid w:val="08091E9C"/>
    <w:rsid w:val="080B2B96"/>
    <w:rsid w:val="0813711E"/>
    <w:rsid w:val="0817778D"/>
    <w:rsid w:val="08236B0E"/>
    <w:rsid w:val="08251291"/>
    <w:rsid w:val="082A74C0"/>
    <w:rsid w:val="082B7863"/>
    <w:rsid w:val="08314716"/>
    <w:rsid w:val="083612A8"/>
    <w:rsid w:val="083640B7"/>
    <w:rsid w:val="0842480A"/>
    <w:rsid w:val="08444A26"/>
    <w:rsid w:val="084C5688"/>
    <w:rsid w:val="084E1401"/>
    <w:rsid w:val="08534C69"/>
    <w:rsid w:val="08601134"/>
    <w:rsid w:val="08627618"/>
    <w:rsid w:val="08646E76"/>
    <w:rsid w:val="086E55FF"/>
    <w:rsid w:val="087118E4"/>
    <w:rsid w:val="08744F7A"/>
    <w:rsid w:val="08832ED9"/>
    <w:rsid w:val="088C1F29"/>
    <w:rsid w:val="089D7C92"/>
    <w:rsid w:val="08A52E0C"/>
    <w:rsid w:val="08A96637"/>
    <w:rsid w:val="08AF79C5"/>
    <w:rsid w:val="08B6462D"/>
    <w:rsid w:val="08B651F8"/>
    <w:rsid w:val="08BA17C6"/>
    <w:rsid w:val="08C43471"/>
    <w:rsid w:val="08C8368E"/>
    <w:rsid w:val="08D31432"/>
    <w:rsid w:val="08D613F6"/>
    <w:rsid w:val="08D67FF6"/>
    <w:rsid w:val="08D71A65"/>
    <w:rsid w:val="08DA0030"/>
    <w:rsid w:val="08E60609"/>
    <w:rsid w:val="08F10DED"/>
    <w:rsid w:val="08F16230"/>
    <w:rsid w:val="08FB4A65"/>
    <w:rsid w:val="09023F99"/>
    <w:rsid w:val="09067F2D"/>
    <w:rsid w:val="09167A44"/>
    <w:rsid w:val="092263E9"/>
    <w:rsid w:val="09287EA3"/>
    <w:rsid w:val="092D781C"/>
    <w:rsid w:val="092E2FE0"/>
    <w:rsid w:val="092F562C"/>
    <w:rsid w:val="094353EE"/>
    <w:rsid w:val="09436A8B"/>
    <w:rsid w:val="09491BC8"/>
    <w:rsid w:val="094B5940"/>
    <w:rsid w:val="095011A8"/>
    <w:rsid w:val="0956479B"/>
    <w:rsid w:val="095F346D"/>
    <w:rsid w:val="09622C8A"/>
    <w:rsid w:val="09630EDC"/>
    <w:rsid w:val="096802A0"/>
    <w:rsid w:val="0969457A"/>
    <w:rsid w:val="097338EA"/>
    <w:rsid w:val="097430E9"/>
    <w:rsid w:val="097839D8"/>
    <w:rsid w:val="097C01EF"/>
    <w:rsid w:val="09801C3A"/>
    <w:rsid w:val="09821F98"/>
    <w:rsid w:val="09845645"/>
    <w:rsid w:val="098826F0"/>
    <w:rsid w:val="0992356F"/>
    <w:rsid w:val="099700EE"/>
    <w:rsid w:val="09A84B40"/>
    <w:rsid w:val="09AA4D5C"/>
    <w:rsid w:val="09BC4A90"/>
    <w:rsid w:val="09C120A6"/>
    <w:rsid w:val="09C556F2"/>
    <w:rsid w:val="09CA440C"/>
    <w:rsid w:val="09D171C5"/>
    <w:rsid w:val="09D51F72"/>
    <w:rsid w:val="09DB4F16"/>
    <w:rsid w:val="09E3201C"/>
    <w:rsid w:val="09E33DCA"/>
    <w:rsid w:val="09F258F5"/>
    <w:rsid w:val="09F623CE"/>
    <w:rsid w:val="09FA2358"/>
    <w:rsid w:val="0A03621B"/>
    <w:rsid w:val="0A0F4281"/>
    <w:rsid w:val="0A106E52"/>
    <w:rsid w:val="0A185604"/>
    <w:rsid w:val="0A195A3E"/>
    <w:rsid w:val="0A2111FE"/>
    <w:rsid w:val="0A22681A"/>
    <w:rsid w:val="0A342878"/>
    <w:rsid w:val="0A382368"/>
    <w:rsid w:val="0A4009B1"/>
    <w:rsid w:val="0A424F95"/>
    <w:rsid w:val="0A477E03"/>
    <w:rsid w:val="0A4A5BF8"/>
    <w:rsid w:val="0A4B5C12"/>
    <w:rsid w:val="0A4F2821"/>
    <w:rsid w:val="0A56047D"/>
    <w:rsid w:val="0A5922DF"/>
    <w:rsid w:val="0A595E3B"/>
    <w:rsid w:val="0A5B6057"/>
    <w:rsid w:val="0A5D6A2C"/>
    <w:rsid w:val="0A60541B"/>
    <w:rsid w:val="0A6071C9"/>
    <w:rsid w:val="0A66087D"/>
    <w:rsid w:val="0A6F38B0"/>
    <w:rsid w:val="0A7B2255"/>
    <w:rsid w:val="0A7C3C8A"/>
    <w:rsid w:val="0A7E3AF3"/>
    <w:rsid w:val="0A864A3F"/>
    <w:rsid w:val="0A8E01DA"/>
    <w:rsid w:val="0A92556F"/>
    <w:rsid w:val="0A943317"/>
    <w:rsid w:val="0A98229C"/>
    <w:rsid w:val="0A9B069A"/>
    <w:rsid w:val="0AA017EC"/>
    <w:rsid w:val="0AA5353C"/>
    <w:rsid w:val="0AA55524"/>
    <w:rsid w:val="0AA62B26"/>
    <w:rsid w:val="0AA74DF8"/>
    <w:rsid w:val="0ABB08A3"/>
    <w:rsid w:val="0ABC3FED"/>
    <w:rsid w:val="0ACF221D"/>
    <w:rsid w:val="0AD41965"/>
    <w:rsid w:val="0ADF48B9"/>
    <w:rsid w:val="0AE918B4"/>
    <w:rsid w:val="0AE93662"/>
    <w:rsid w:val="0AFA761E"/>
    <w:rsid w:val="0AFB3396"/>
    <w:rsid w:val="0AFB6FF6"/>
    <w:rsid w:val="0B032E7A"/>
    <w:rsid w:val="0B072B3A"/>
    <w:rsid w:val="0B0A43BB"/>
    <w:rsid w:val="0B0C7351"/>
    <w:rsid w:val="0B154457"/>
    <w:rsid w:val="0B183CC0"/>
    <w:rsid w:val="0B1A7CEE"/>
    <w:rsid w:val="0B2226D0"/>
    <w:rsid w:val="0B2D2A19"/>
    <w:rsid w:val="0B2E5519"/>
    <w:rsid w:val="0B304DED"/>
    <w:rsid w:val="0B316DB7"/>
    <w:rsid w:val="0B361AA6"/>
    <w:rsid w:val="0B380146"/>
    <w:rsid w:val="0B3A2110"/>
    <w:rsid w:val="0B3D750A"/>
    <w:rsid w:val="0B472137"/>
    <w:rsid w:val="0B4765DB"/>
    <w:rsid w:val="0B57681E"/>
    <w:rsid w:val="0B5A630E"/>
    <w:rsid w:val="0B5F3925"/>
    <w:rsid w:val="0B6009BF"/>
    <w:rsid w:val="0B6034A0"/>
    <w:rsid w:val="0B607562"/>
    <w:rsid w:val="0B651029"/>
    <w:rsid w:val="0B70448E"/>
    <w:rsid w:val="0B720882"/>
    <w:rsid w:val="0B73117E"/>
    <w:rsid w:val="0B754EF6"/>
    <w:rsid w:val="0B756E97"/>
    <w:rsid w:val="0B763412"/>
    <w:rsid w:val="0B7A6CEC"/>
    <w:rsid w:val="0B805C85"/>
    <w:rsid w:val="0B811AED"/>
    <w:rsid w:val="0B82496D"/>
    <w:rsid w:val="0B85016F"/>
    <w:rsid w:val="0B925AA8"/>
    <w:rsid w:val="0B9B7B81"/>
    <w:rsid w:val="0B9D61FB"/>
    <w:rsid w:val="0B9F3D21"/>
    <w:rsid w:val="0BAC3809"/>
    <w:rsid w:val="0BB97AC8"/>
    <w:rsid w:val="0BBC71F2"/>
    <w:rsid w:val="0BBE2317"/>
    <w:rsid w:val="0BC32105"/>
    <w:rsid w:val="0BC835B0"/>
    <w:rsid w:val="0BC85FF0"/>
    <w:rsid w:val="0BCA3494"/>
    <w:rsid w:val="0BCB399A"/>
    <w:rsid w:val="0BCE4606"/>
    <w:rsid w:val="0BCF606E"/>
    <w:rsid w:val="0BD065D0"/>
    <w:rsid w:val="0BDD4444"/>
    <w:rsid w:val="0BEB51B8"/>
    <w:rsid w:val="0BFC1173"/>
    <w:rsid w:val="0BFE2AAC"/>
    <w:rsid w:val="0C061FF2"/>
    <w:rsid w:val="0C0645F0"/>
    <w:rsid w:val="0C0A7D34"/>
    <w:rsid w:val="0C0B13B7"/>
    <w:rsid w:val="0C120997"/>
    <w:rsid w:val="0C122745"/>
    <w:rsid w:val="0C152235"/>
    <w:rsid w:val="0C1B3CF0"/>
    <w:rsid w:val="0C1E10EA"/>
    <w:rsid w:val="0C2631B2"/>
    <w:rsid w:val="0C272694"/>
    <w:rsid w:val="0C275F3F"/>
    <w:rsid w:val="0C2A5CE1"/>
    <w:rsid w:val="0C396A19"/>
    <w:rsid w:val="0C3C3DB8"/>
    <w:rsid w:val="0C405504"/>
    <w:rsid w:val="0C482861"/>
    <w:rsid w:val="0C4A6C5B"/>
    <w:rsid w:val="0C4D19CF"/>
    <w:rsid w:val="0C5745FC"/>
    <w:rsid w:val="0C5B0590"/>
    <w:rsid w:val="0C5C7E64"/>
    <w:rsid w:val="0C662A91"/>
    <w:rsid w:val="0C66524E"/>
    <w:rsid w:val="0C673F81"/>
    <w:rsid w:val="0C684A5B"/>
    <w:rsid w:val="0C796C68"/>
    <w:rsid w:val="0C7B478E"/>
    <w:rsid w:val="0C7D5E81"/>
    <w:rsid w:val="0C7E427E"/>
    <w:rsid w:val="0C8527EA"/>
    <w:rsid w:val="0C923886"/>
    <w:rsid w:val="0C967A01"/>
    <w:rsid w:val="0C970E9C"/>
    <w:rsid w:val="0CA75583"/>
    <w:rsid w:val="0CAA6E21"/>
    <w:rsid w:val="0CAC6535"/>
    <w:rsid w:val="0CAE24F9"/>
    <w:rsid w:val="0CB13789"/>
    <w:rsid w:val="0CB15D9B"/>
    <w:rsid w:val="0CB47CA0"/>
    <w:rsid w:val="0CBB3FF9"/>
    <w:rsid w:val="0CBF701E"/>
    <w:rsid w:val="0CC06645"/>
    <w:rsid w:val="0CC31C91"/>
    <w:rsid w:val="0CC336B3"/>
    <w:rsid w:val="0CC55A09"/>
    <w:rsid w:val="0CCE1629"/>
    <w:rsid w:val="0CD111CF"/>
    <w:rsid w:val="0CD12600"/>
    <w:rsid w:val="0CD42F61"/>
    <w:rsid w:val="0CD45C4C"/>
    <w:rsid w:val="0CD910AD"/>
    <w:rsid w:val="0CDC49D2"/>
    <w:rsid w:val="0CDC4F61"/>
    <w:rsid w:val="0CDD07CE"/>
    <w:rsid w:val="0CDF5CB6"/>
    <w:rsid w:val="0CE57E5A"/>
    <w:rsid w:val="0CF15CF4"/>
    <w:rsid w:val="0CF92C7B"/>
    <w:rsid w:val="0D084DCD"/>
    <w:rsid w:val="0D1F524B"/>
    <w:rsid w:val="0D2546FA"/>
    <w:rsid w:val="0D270472"/>
    <w:rsid w:val="0D272220"/>
    <w:rsid w:val="0D2F3F69"/>
    <w:rsid w:val="0D354F69"/>
    <w:rsid w:val="0D4032E2"/>
    <w:rsid w:val="0D4874A9"/>
    <w:rsid w:val="0D5F5E5E"/>
    <w:rsid w:val="0D705975"/>
    <w:rsid w:val="0D725B91"/>
    <w:rsid w:val="0D7511DD"/>
    <w:rsid w:val="0D77211D"/>
    <w:rsid w:val="0D7D0761"/>
    <w:rsid w:val="0D804797"/>
    <w:rsid w:val="0D893055"/>
    <w:rsid w:val="0D8D29CB"/>
    <w:rsid w:val="0D907DC5"/>
    <w:rsid w:val="0D913B3D"/>
    <w:rsid w:val="0D9D24E2"/>
    <w:rsid w:val="0D9F625A"/>
    <w:rsid w:val="0DA0358F"/>
    <w:rsid w:val="0DA1300A"/>
    <w:rsid w:val="0DA675E9"/>
    <w:rsid w:val="0DAD4E1B"/>
    <w:rsid w:val="0DB02216"/>
    <w:rsid w:val="0DB22432"/>
    <w:rsid w:val="0DBA3094"/>
    <w:rsid w:val="0DBA7538"/>
    <w:rsid w:val="0DBD4932"/>
    <w:rsid w:val="0DC2161A"/>
    <w:rsid w:val="0DC3019B"/>
    <w:rsid w:val="0DC363ED"/>
    <w:rsid w:val="0DC618C7"/>
    <w:rsid w:val="0DCF16EF"/>
    <w:rsid w:val="0DD26844"/>
    <w:rsid w:val="0DD979BE"/>
    <w:rsid w:val="0DE100BF"/>
    <w:rsid w:val="0DE87C01"/>
    <w:rsid w:val="0DF11314"/>
    <w:rsid w:val="0DF2282E"/>
    <w:rsid w:val="0E010CC3"/>
    <w:rsid w:val="0E060087"/>
    <w:rsid w:val="0E0C012B"/>
    <w:rsid w:val="0E131B45"/>
    <w:rsid w:val="0E1E401F"/>
    <w:rsid w:val="0E223CCA"/>
    <w:rsid w:val="0E2C0A8C"/>
    <w:rsid w:val="0E3F6C7C"/>
    <w:rsid w:val="0E473391"/>
    <w:rsid w:val="0E4A4418"/>
    <w:rsid w:val="0E517A1B"/>
    <w:rsid w:val="0E59465B"/>
    <w:rsid w:val="0E61696E"/>
    <w:rsid w:val="0E6B25E0"/>
    <w:rsid w:val="0E707FAD"/>
    <w:rsid w:val="0E7771D7"/>
    <w:rsid w:val="0E794DEA"/>
    <w:rsid w:val="0E7E40C2"/>
    <w:rsid w:val="0E81124B"/>
    <w:rsid w:val="0E8611C8"/>
    <w:rsid w:val="0E901910"/>
    <w:rsid w:val="0E9C01D8"/>
    <w:rsid w:val="0E9C7FC8"/>
    <w:rsid w:val="0EA004DC"/>
    <w:rsid w:val="0EA224A6"/>
    <w:rsid w:val="0EA40CAF"/>
    <w:rsid w:val="0EB0506B"/>
    <w:rsid w:val="0EB304BC"/>
    <w:rsid w:val="0EB45D35"/>
    <w:rsid w:val="0EC35F79"/>
    <w:rsid w:val="0ECD7D40"/>
    <w:rsid w:val="0ED20405"/>
    <w:rsid w:val="0ED407AA"/>
    <w:rsid w:val="0ED92269"/>
    <w:rsid w:val="0EE165B6"/>
    <w:rsid w:val="0EE52393"/>
    <w:rsid w:val="0EE7435D"/>
    <w:rsid w:val="0EED16E8"/>
    <w:rsid w:val="0EEE1FB3"/>
    <w:rsid w:val="0EF8634B"/>
    <w:rsid w:val="0F00541F"/>
    <w:rsid w:val="0F020C19"/>
    <w:rsid w:val="0F040A6B"/>
    <w:rsid w:val="0F052A35"/>
    <w:rsid w:val="0F15053F"/>
    <w:rsid w:val="0F1F541B"/>
    <w:rsid w:val="0F2065EE"/>
    <w:rsid w:val="0F292DE5"/>
    <w:rsid w:val="0F2F360E"/>
    <w:rsid w:val="0F3244A3"/>
    <w:rsid w:val="0F384BB8"/>
    <w:rsid w:val="0F4870A8"/>
    <w:rsid w:val="0F491C79"/>
    <w:rsid w:val="0F4A0448"/>
    <w:rsid w:val="0F515C7A"/>
    <w:rsid w:val="0F550F53"/>
    <w:rsid w:val="0F5512C6"/>
    <w:rsid w:val="0F565DC7"/>
    <w:rsid w:val="0F566D70"/>
    <w:rsid w:val="0F587009"/>
    <w:rsid w:val="0F5B2655"/>
    <w:rsid w:val="0F5B471D"/>
    <w:rsid w:val="0F5D253D"/>
    <w:rsid w:val="0F5F598C"/>
    <w:rsid w:val="0F7D6A6F"/>
    <w:rsid w:val="0F8B4CE8"/>
    <w:rsid w:val="0F8F3AB5"/>
    <w:rsid w:val="0F90435C"/>
    <w:rsid w:val="0F9067A2"/>
    <w:rsid w:val="0F9472BA"/>
    <w:rsid w:val="0F957915"/>
    <w:rsid w:val="0FA062BA"/>
    <w:rsid w:val="0FA22032"/>
    <w:rsid w:val="0FA45DAA"/>
    <w:rsid w:val="0FA91EC1"/>
    <w:rsid w:val="0FAB0EE6"/>
    <w:rsid w:val="0FAB6B10"/>
    <w:rsid w:val="0FAD05B9"/>
    <w:rsid w:val="0FAE4E7B"/>
    <w:rsid w:val="0FB00BF3"/>
    <w:rsid w:val="0FB26719"/>
    <w:rsid w:val="0FB56135"/>
    <w:rsid w:val="0FC71A98"/>
    <w:rsid w:val="0FC95811"/>
    <w:rsid w:val="0FD221D2"/>
    <w:rsid w:val="0FDD270D"/>
    <w:rsid w:val="0FED0431"/>
    <w:rsid w:val="0FEE34C9"/>
    <w:rsid w:val="0FF705D0"/>
    <w:rsid w:val="10042CED"/>
    <w:rsid w:val="10090303"/>
    <w:rsid w:val="101148A2"/>
    <w:rsid w:val="10125409"/>
    <w:rsid w:val="10182D10"/>
    <w:rsid w:val="102B2027"/>
    <w:rsid w:val="1034712E"/>
    <w:rsid w:val="10423E68"/>
    <w:rsid w:val="10432B4B"/>
    <w:rsid w:val="10450FF1"/>
    <w:rsid w:val="10484987"/>
    <w:rsid w:val="104906FF"/>
    <w:rsid w:val="104D2AFA"/>
    <w:rsid w:val="105337CE"/>
    <w:rsid w:val="1054157E"/>
    <w:rsid w:val="10572E1C"/>
    <w:rsid w:val="10593038"/>
    <w:rsid w:val="10606175"/>
    <w:rsid w:val="106063AA"/>
    <w:rsid w:val="10611EED"/>
    <w:rsid w:val="10653BD9"/>
    <w:rsid w:val="106612B1"/>
    <w:rsid w:val="106A6FF4"/>
    <w:rsid w:val="106B68C8"/>
    <w:rsid w:val="106F18A1"/>
    <w:rsid w:val="107439CE"/>
    <w:rsid w:val="107B379B"/>
    <w:rsid w:val="107F6DE4"/>
    <w:rsid w:val="108160EB"/>
    <w:rsid w:val="108241EC"/>
    <w:rsid w:val="10881228"/>
    <w:rsid w:val="10885856"/>
    <w:rsid w:val="108C6F6A"/>
    <w:rsid w:val="109B71AD"/>
    <w:rsid w:val="10A818CA"/>
    <w:rsid w:val="10A87B1C"/>
    <w:rsid w:val="10AB3168"/>
    <w:rsid w:val="10B052F5"/>
    <w:rsid w:val="10B65D95"/>
    <w:rsid w:val="10BE10ED"/>
    <w:rsid w:val="10CF32FA"/>
    <w:rsid w:val="10D51B29"/>
    <w:rsid w:val="10D840C9"/>
    <w:rsid w:val="10D97CD5"/>
    <w:rsid w:val="10F96B81"/>
    <w:rsid w:val="10FE14EA"/>
    <w:rsid w:val="1102722C"/>
    <w:rsid w:val="11086EBE"/>
    <w:rsid w:val="110B2843"/>
    <w:rsid w:val="110D4F61"/>
    <w:rsid w:val="110E048D"/>
    <w:rsid w:val="110F33C7"/>
    <w:rsid w:val="111676F8"/>
    <w:rsid w:val="11186A50"/>
    <w:rsid w:val="111E393A"/>
    <w:rsid w:val="111F7DDE"/>
    <w:rsid w:val="112453F4"/>
    <w:rsid w:val="112768A5"/>
    <w:rsid w:val="1131366D"/>
    <w:rsid w:val="11415DF7"/>
    <w:rsid w:val="11447845"/>
    <w:rsid w:val="114A3B4D"/>
    <w:rsid w:val="114E06C3"/>
    <w:rsid w:val="115349B0"/>
    <w:rsid w:val="11561C8F"/>
    <w:rsid w:val="11566C8C"/>
    <w:rsid w:val="115F467E"/>
    <w:rsid w:val="116972AB"/>
    <w:rsid w:val="116F0D7B"/>
    <w:rsid w:val="11750B6F"/>
    <w:rsid w:val="117A7878"/>
    <w:rsid w:val="117B0D8C"/>
    <w:rsid w:val="11812847"/>
    <w:rsid w:val="118400B0"/>
    <w:rsid w:val="118440E5"/>
    <w:rsid w:val="11934F04"/>
    <w:rsid w:val="119F2F9C"/>
    <w:rsid w:val="11A2456B"/>
    <w:rsid w:val="11A7392F"/>
    <w:rsid w:val="11AC53EA"/>
    <w:rsid w:val="11AE2F4A"/>
    <w:rsid w:val="11B07E16"/>
    <w:rsid w:val="11B5604C"/>
    <w:rsid w:val="11B970BF"/>
    <w:rsid w:val="11BA18B5"/>
    <w:rsid w:val="11C269BB"/>
    <w:rsid w:val="11C40985"/>
    <w:rsid w:val="11C537A2"/>
    <w:rsid w:val="11C924C1"/>
    <w:rsid w:val="11CA5601"/>
    <w:rsid w:val="11CC783A"/>
    <w:rsid w:val="11D230A2"/>
    <w:rsid w:val="11D72467"/>
    <w:rsid w:val="11D864E1"/>
    <w:rsid w:val="11E22431"/>
    <w:rsid w:val="11E479CB"/>
    <w:rsid w:val="11E76422"/>
    <w:rsid w:val="11EB5F12"/>
    <w:rsid w:val="11F16D5E"/>
    <w:rsid w:val="11F8418B"/>
    <w:rsid w:val="11F95924"/>
    <w:rsid w:val="11FD79F3"/>
    <w:rsid w:val="1201257E"/>
    <w:rsid w:val="12035A07"/>
    <w:rsid w:val="12040D82"/>
    <w:rsid w:val="120B0362"/>
    <w:rsid w:val="12121331"/>
    <w:rsid w:val="121F3E0E"/>
    <w:rsid w:val="122E4051"/>
    <w:rsid w:val="123449D0"/>
    <w:rsid w:val="123553DF"/>
    <w:rsid w:val="12380A2C"/>
    <w:rsid w:val="12384D02"/>
    <w:rsid w:val="12445622"/>
    <w:rsid w:val="1246139A"/>
    <w:rsid w:val="12462401"/>
    <w:rsid w:val="124755D5"/>
    <w:rsid w:val="12490E8B"/>
    <w:rsid w:val="124D097B"/>
    <w:rsid w:val="124F64A1"/>
    <w:rsid w:val="125900B2"/>
    <w:rsid w:val="12610B6D"/>
    <w:rsid w:val="12614426"/>
    <w:rsid w:val="126B3E0D"/>
    <w:rsid w:val="126B3EEF"/>
    <w:rsid w:val="126F08F1"/>
    <w:rsid w:val="12744E48"/>
    <w:rsid w:val="12755C92"/>
    <w:rsid w:val="127736F8"/>
    <w:rsid w:val="127952CC"/>
    <w:rsid w:val="127E28E2"/>
    <w:rsid w:val="128123D2"/>
    <w:rsid w:val="12891287"/>
    <w:rsid w:val="128A572B"/>
    <w:rsid w:val="128D0644"/>
    <w:rsid w:val="128D6FC9"/>
    <w:rsid w:val="129105F5"/>
    <w:rsid w:val="12911EF1"/>
    <w:rsid w:val="129810EB"/>
    <w:rsid w:val="129B61A1"/>
    <w:rsid w:val="12A56222"/>
    <w:rsid w:val="12AE2D66"/>
    <w:rsid w:val="12AF2577"/>
    <w:rsid w:val="12B92E70"/>
    <w:rsid w:val="12BC340B"/>
    <w:rsid w:val="12BE6B73"/>
    <w:rsid w:val="12BF4EB8"/>
    <w:rsid w:val="12C14EC5"/>
    <w:rsid w:val="12C56763"/>
    <w:rsid w:val="12CA1FCB"/>
    <w:rsid w:val="12CC7AF2"/>
    <w:rsid w:val="12CF1390"/>
    <w:rsid w:val="12D60970"/>
    <w:rsid w:val="12D6271E"/>
    <w:rsid w:val="12E51E04"/>
    <w:rsid w:val="12ED5CBA"/>
    <w:rsid w:val="12F86B39"/>
    <w:rsid w:val="12F928B1"/>
    <w:rsid w:val="130A36C0"/>
    <w:rsid w:val="130B7721"/>
    <w:rsid w:val="132475B6"/>
    <w:rsid w:val="1324792E"/>
    <w:rsid w:val="132536A6"/>
    <w:rsid w:val="13274D28"/>
    <w:rsid w:val="132A0CBC"/>
    <w:rsid w:val="135350C1"/>
    <w:rsid w:val="135705CC"/>
    <w:rsid w:val="135F091C"/>
    <w:rsid w:val="135F2879"/>
    <w:rsid w:val="13653AA2"/>
    <w:rsid w:val="137B5074"/>
    <w:rsid w:val="138C102F"/>
    <w:rsid w:val="138E2FF9"/>
    <w:rsid w:val="13912AE9"/>
    <w:rsid w:val="13931707"/>
    <w:rsid w:val="139B5716"/>
    <w:rsid w:val="139C7B5A"/>
    <w:rsid w:val="139E0996"/>
    <w:rsid w:val="139E19ED"/>
    <w:rsid w:val="13A4281C"/>
    <w:rsid w:val="13AA61E0"/>
    <w:rsid w:val="13AC72E2"/>
    <w:rsid w:val="13B526E3"/>
    <w:rsid w:val="13BC5DB8"/>
    <w:rsid w:val="13C43F2A"/>
    <w:rsid w:val="13C54541"/>
    <w:rsid w:val="13D15645"/>
    <w:rsid w:val="13D6674E"/>
    <w:rsid w:val="13D84274"/>
    <w:rsid w:val="13D87C3E"/>
    <w:rsid w:val="13DC588E"/>
    <w:rsid w:val="13DF14C8"/>
    <w:rsid w:val="13E1581F"/>
    <w:rsid w:val="13E56991"/>
    <w:rsid w:val="13EB1851"/>
    <w:rsid w:val="14061C1F"/>
    <w:rsid w:val="140C03C2"/>
    <w:rsid w:val="14100102"/>
    <w:rsid w:val="141352AC"/>
    <w:rsid w:val="14182CF5"/>
    <w:rsid w:val="141B23B3"/>
    <w:rsid w:val="141C6857"/>
    <w:rsid w:val="141F44C0"/>
    <w:rsid w:val="14223741"/>
    <w:rsid w:val="142E658A"/>
    <w:rsid w:val="14312B79"/>
    <w:rsid w:val="14333BA0"/>
    <w:rsid w:val="1437543F"/>
    <w:rsid w:val="143C14DB"/>
    <w:rsid w:val="14404A34"/>
    <w:rsid w:val="1441006B"/>
    <w:rsid w:val="14494080"/>
    <w:rsid w:val="144C629F"/>
    <w:rsid w:val="144E4536"/>
    <w:rsid w:val="145A50B4"/>
    <w:rsid w:val="146124BC"/>
    <w:rsid w:val="14636234"/>
    <w:rsid w:val="14661880"/>
    <w:rsid w:val="14670B76"/>
    <w:rsid w:val="1468384A"/>
    <w:rsid w:val="14693A81"/>
    <w:rsid w:val="146D0E60"/>
    <w:rsid w:val="14700951"/>
    <w:rsid w:val="147D6BCA"/>
    <w:rsid w:val="148C2CB4"/>
    <w:rsid w:val="148E0DD7"/>
    <w:rsid w:val="149A54A8"/>
    <w:rsid w:val="149E54BE"/>
    <w:rsid w:val="14AE3227"/>
    <w:rsid w:val="14B00C14"/>
    <w:rsid w:val="14B32A8F"/>
    <w:rsid w:val="14B4083D"/>
    <w:rsid w:val="14B46A8F"/>
    <w:rsid w:val="14BC5EE0"/>
    <w:rsid w:val="14BC76F2"/>
    <w:rsid w:val="14C34F24"/>
    <w:rsid w:val="14DE58BA"/>
    <w:rsid w:val="14E0370A"/>
    <w:rsid w:val="14EC447B"/>
    <w:rsid w:val="14ED05C3"/>
    <w:rsid w:val="14F275B8"/>
    <w:rsid w:val="14F52C04"/>
    <w:rsid w:val="14F670A8"/>
    <w:rsid w:val="14F90946"/>
    <w:rsid w:val="14FC3F92"/>
    <w:rsid w:val="150D231C"/>
    <w:rsid w:val="15120349"/>
    <w:rsid w:val="15121A08"/>
    <w:rsid w:val="151E215B"/>
    <w:rsid w:val="152754B3"/>
    <w:rsid w:val="152B3223"/>
    <w:rsid w:val="153365DC"/>
    <w:rsid w:val="15363948"/>
    <w:rsid w:val="153B4ABB"/>
    <w:rsid w:val="1554489C"/>
    <w:rsid w:val="15551088"/>
    <w:rsid w:val="156404B5"/>
    <w:rsid w:val="15684AB8"/>
    <w:rsid w:val="156C55BC"/>
    <w:rsid w:val="156C736A"/>
    <w:rsid w:val="156E6271"/>
    <w:rsid w:val="15774ACC"/>
    <w:rsid w:val="15802E15"/>
    <w:rsid w:val="15816760"/>
    <w:rsid w:val="158C5316"/>
    <w:rsid w:val="159159C0"/>
    <w:rsid w:val="159266A5"/>
    <w:rsid w:val="15973CBB"/>
    <w:rsid w:val="159B37AB"/>
    <w:rsid w:val="159C0716"/>
    <w:rsid w:val="159D39C7"/>
    <w:rsid w:val="15A07014"/>
    <w:rsid w:val="15A44D56"/>
    <w:rsid w:val="15A64FDD"/>
    <w:rsid w:val="15A72150"/>
    <w:rsid w:val="15AA1C40"/>
    <w:rsid w:val="15AA3A18"/>
    <w:rsid w:val="15AC1251"/>
    <w:rsid w:val="15AD3816"/>
    <w:rsid w:val="15D078F9"/>
    <w:rsid w:val="15D31197"/>
    <w:rsid w:val="15E05662"/>
    <w:rsid w:val="15E46F00"/>
    <w:rsid w:val="15E77D94"/>
    <w:rsid w:val="15EC2259"/>
    <w:rsid w:val="15EF58A5"/>
    <w:rsid w:val="15F1786F"/>
    <w:rsid w:val="15F2239C"/>
    <w:rsid w:val="15F72E61"/>
    <w:rsid w:val="15FA2BC8"/>
    <w:rsid w:val="15FF517B"/>
    <w:rsid w:val="16013C17"/>
    <w:rsid w:val="1607010F"/>
    <w:rsid w:val="161517B0"/>
    <w:rsid w:val="161B2305"/>
    <w:rsid w:val="161D0664"/>
    <w:rsid w:val="161F6BD5"/>
    <w:rsid w:val="16201F02"/>
    <w:rsid w:val="16205108"/>
    <w:rsid w:val="1621190A"/>
    <w:rsid w:val="16291E54"/>
    <w:rsid w:val="16322A9F"/>
    <w:rsid w:val="163B1EFD"/>
    <w:rsid w:val="163B705A"/>
    <w:rsid w:val="163D6DEC"/>
    <w:rsid w:val="16461969"/>
    <w:rsid w:val="16493207"/>
    <w:rsid w:val="164B53B3"/>
    <w:rsid w:val="164D719B"/>
    <w:rsid w:val="164E6A70"/>
    <w:rsid w:val="1657280D"/>
    <w:rsid w:val="1658169C"/>
    <w:rsid w:val="16695657"/>
    <w:rsid w:val="167143CC"/>
    <w:rsid w:val="16740020"/>
    <w:rsid w:val="167835B4"/>
    <w:rsid w:val="1682323F"/>
    <w:rsid w:val="16823A23"/>
    <w:rsid w:val="16846935"/>
    <w:rsid w:val="168B7CC4"/>
    <w:rsid w:val="1693258A"/>
    <w:rsid w:val="1695644C"/>
    <w:rsid w:val="16985257"/>
    <w:rsid w:val="169C3C7F"/>
    <w:rsid w:val="169D182C"/>
    <w:rsid w:val="16A13043"/>
    <w:rsid w:val="16A3500D"/>
    <w:rsid w:val="16A82624"/>
    <w:rsid w:val="16AF286C"/>
    <w:rsid w:val="16B56AEF"/>
    <w:rsid w:val="16BA5EB3"/>
    <w:rsid w:val="16BC1C2B"/>
    <w:rsid w:val="16BC39F0"/>
    <w:rsid w:val="16BD3139"/>
    <w:rsid w:val="16BF34C9"/>
    <w:rsid w:val="16CA07EC"/>
    <w:rsid w:val="16D43177"/>
    <w:rsid w:val="16E425A0"/>
    <w:rsid w:val="16E573D4"/>
    <w:rsid w:val="16E86EC4"/>
    <w:rsid w:val="16EA1297"/>
    <w:rsid w:val="16EE5252"/>
    <w:rsid w:val="16F27DA7"/>
    <w:rsid w:val="16F83F95"/>
    <w:rsid w:val="16FC296F"/>
    <w:rsid w:val="16FE3FF2"/>
    <w:rsid w:val="16FF1B3E"/>
    <w:rsid w:val="1703785A"/>
    <w:rsid w:val="170D06D9"/>
    <w:rsid w:val="1711641B"/>
    <w:rsid w:val="17124264"/>
    <w:rsid w:val="1715252F"/>
    <w:rsid w:val="17163A31"/>
    <w:rsid w:val="17190B83"/>
    <w:rsid w:val="171E4368"/>
    <w:rsid w:val="17263548"/>
    <w:rsid w:val="17283764"/>
    <w:rsid w:val="173B3498"/>
    <w:rsid w:val="17451D57"/>
    <w:rsid w:val="17455C69"/>
    <w:rsid w:val="17465999"/>
    <w:rsid w:val="17535B2F"/>
    <w:rsid w:val="17566817"/>
    <w:rsid w:val="17571954"/>
    <w:rsid w:val="17604CAC"/>
    <w:rsid w:val="17626C76"/>
    <w:rsid w:val="1767603B"/>
    <w:rsid w:val="176A6AD4"/>
    <w:rsid w:val="17744441"/>
    <w:rsid w:val="178766DD"/>
    <w:rsid w:val="178D5376"/>
    <w:rsid w:val="17920BDE"/>
    <w:rsid w:val="17A63418"/>
    <w:rsid w:val="17A728DB"/>
    <w:rsid w:val="17AC1CA0"/>
    <w:rsid w:val="17AD0E8A"/>
    <w:rsid w:val="17B7090E"/>
    <w:rsid w:val="17B80644"/>
    <w:rsid w:val="17BE7C25"/>
    <w:rsid w:val="17C211D0"/>
    <w:rsid w:val="17C43F85"/>
    <w:rsid w:val="17C76AD9"/>
    <w:rsid w:val="17CB360D"/>
    <w:rsid w:val="17D47448"/>
    <w:rsid w:val="17DD6997"/>
    <w:rsid w:val="17E22C4E"/>
    <w:rsid w:val="17E86A50"/>
    <w:rsid w:val="17ED79BD"/>
    <w:rsid w:val="180E295A"/>
    <w:rsid w:val="180E4708"/>
    <w:rsid w:val="18115FA7"/>
    <w:rsid w:val="181B5077"/>
    <w:rsid w:val="181B6E25"/>
    <w:rsid w:val="18216B7B"/>
    <w:rsid w:val="1836010C"/>
    <w:rsid w:val="183E5080"/>
    <w:rsid w:val="18422604"/>
    <w:rsid w:val="184E7566"/>
    <w:rsid w:val="18511F7B"/>
    <w:rsid w:val="18514D04"/>
    <w:rsid w:val="185A16FC"/>
    <w:rsid w:val="185F4F64"/>
    <w:rsid w:val="18697B91"/>
    <w:rsid w:val="18711A77"/>
    <w:rsid w:val="18714C97"/>
    <w:rsid w:val="187A0DF7"/>
    <w:rsid w:val="187B7D7B"/>
    <w:rsid w:val="187D53EA"/>
    <w:rsid w:val="18835697"/>
    <w:rsid w:val="188A56C0"/>
    <w:rsid w:val="188E75F7"/>
    <w:rsid w:val="18925339"/>
    <w:rsid w:val="189B2329"/>
    <w:rsid w:val="18A137CE"/>
    <w:rsid w:val="18A254E0"/>
    <w:rsid w:val="18AB63FB"/>
    <w:rsid w:val="18AF5EEB"/>
    <w:rsid w:val="18B015C6"/>
    <w:rsid w:val="18B54B84"/>
    <w:rsid w:val="18C13529"/>
    <w:rsid w:val="18C43019"/>
    <w:rsid w:val="18C64FE3"/>
    <w:rsid w:val="18C87522"/>
    <w:rsid w:val="18CD2347"/>
    <w:rsid w:val="18CD6371"/>
    <w:rsid w:val="18CE20EA"/>
    <w:rsid w:val="18CE5F1F"/>
    <w:rsid w:val="18D3325C"/>
    <w:rsid w:val="18D6132D"/>
    <w:rsid w:val="18D721F3"/>
    <w:rsid w:val="18DA1C8B"/>
    <w:rsid w:val="18DA283C"/>
    <w:rsid w:val="18E45469"/>
    <w:rsid w:val="18E67433"/>
    <w:rsid w:val="18E765BB"/>
    <w:rsid w:val="18E84F59"/>
    <w:rsid w:val="18F002B2"/>
    <w:rsid w:val="18F112B9"/>
    <w:rsid w:val="19020A55"/>
    <w:rsid w:val="19033B41"/>
    <w:rsid w:val="19102431"/>
    <w:rsid w:val="19145D4E"/>
    <w:rsid w:val="191C2E55"/>
    <w:rsid w:val="191C4C03"/>
    <w:rsid w:val="19266489"/>
    <w:rsid w:val="192A046B"/>
    <w:rsid w:val="192A5572"/>
    <w:rsid w:val="192F4936"/>
    <w:rsid w:val="193F08F1"/>
    <w:rsid w:val="19404D95"/>
    <w:rsid w:val="19456052"/>
    <w:rsid w:val="19502AFF"/>
    <w:rsid w:val="1956151F"/>
    <w:rsid w:val="19595E57"/>
    <w:rsid w:val="195F2281"/>
    <w:rsid w:val="19600F94"/>
    <w:rsid w:val="19630A84"/>
    <w:rsid w:val="1966641E"/>
    <w:rsid w:val="196C5B8A"/>
    <w:rsid w:val="196D16E9"/>
    <w:rsid w:val="196D472F"/>
    <w:rsid w:val="196D545F"/>
    <w:rsid w:val="19702308"/>
    <w:rsid w:val="1972506F"/>
    <w:rsid w:val="19856C4C"/>
    <w:rsid w:val="198C1D89"/>
    <w:rsid w:val="199B1FCC"/>
    <w:rsid w:val="199C38C7"/>
    <w:rsid w:val="199E386A"/>
    <w:rsid w:val="19A6191B"/>
    <w:rsid w:val="19A70A54"/>
    <w:rsid w:val="19AA0461"/>
    <w:rsid w:val="19AC5F87"/>
    <w:rsid w:val="19BE215E"/>
    <w:rsid w:val="19C065D3"/>
    <w:rsid w:val="19CE2059"/>
    <w:rsid w:val="19D43730"/>
    <w:rsid w:val="19E959EB"/>
    <w:rsid w:val="19EB33D0"/>
    <w:rsid w:val="19EC2827"/>
    <w:rsid w:val="19EC5694"/>
    <w:rsid w:val="19F1077B"/>
    <w:rsid w:val="19F17E3E"/>
    <w:rsid w:val="19F33BB6"/>
    <w:rsid w:val="19F416DC"/>
    <w:rsid w:val="19F90A68"/>
    <w:rsid w:val="19F93196"/>
    <w:rsid w:val="19FA13E8"/>
    <w:rsid w:val="19FA25FA"/>
    <w:rsid w:val="19FD4A34"/>
    <w:rsid w:val="1A0314F5"/>
    <w:rsid w:val="1A057B8F"/>
    <w:rsid w:val="1A0D33B2"/>
    <w:rsid w:val="1A0F29BA"/>
    <w:rsid w:val="1A0F645B"/>
    <w:rsid w:val="1A10540D"/>
    <w:rsid w:val="1A254201"/>
    <w:rsid w:val="1A2E2E40"/>
    <w:rsid w:val="1A3F6DFB"/>
    <w:rsid w:val="1A404921"/>
    <w:rsid w:val="1A4162BA"/>
    <w:rsid w:val="1A455016"/>
    <w:rsid w:val="1A4563DB"/>
    <w:rsid w:val="1A491C1E"/>
    <w:rsid w:val="1A4E34E2"/>
    <w:rsid w:val="1A587EBD"/>
    <w:rsid w:val="1A5A3C35"/>
    <w:rsid w:val="1A5E0B32"/>
    <w:rsid w:val="1A622AE9"/>
    <w:rsid w:val="1A6478D0"/>
    <w:rsid w:val="1A6B4094"/>
    <w:rsid w:val="1A7578F5"/>
    <w:rsid w:val="1A7F3543"/>
    <w:rsid w:val="1A856B1C"/>
    <w:rsid w:val="1A864A2A"/>
    <w:rsid w:val="1A872550"/>
    <w:rsid w:val="1A8B2040"/>
    <w:rsid w:val="1A8E7D82"/>
    <w:rsid w:val="1A9052EF"/>
    <w:rsid w:val="1A943D1C"/>
    <w:rsid w:val="1A954C6D"/>
    <w:rsid w:val="1A9B5FFB"/>
    <w:rsid w:val="1A9D1D74"/>
    <w:rsid w:val="1AA475A6"/>
    <w:rsid w:val="1AAE21D3"/>
    <w:rsid w:val="1AAE3F81"/>
    <w:rsid w:val="1AAE5D2F"/>
    <w:rsid w:val="1AB136EC"/>
    <w:rsid w:val="1AB84DFF"/>
    <w:rsid w:val="1AB86BAD"/>
    <w:rsid w:val="1ACE6D7A"/>
    <w:rsid w:val="1AD5150D"/>
    <w:rsid w:val="1AD82DAC"/>
    <w:rsid w:val="1ADF413A"/>
    <w:rsid w:val="1AE16104"/>
    <w:rsid w:val="1AE8166C"/>
    <w:rsid w:val="1AEC04B2"/>
    <w:rsid w:val="1AF8540B"/>
    <w:rsid w:val="1AFD2812"/>
    <w:rsid w:val="1B001DD6"/>
    <w:rsid w:val="1B066D72"/>
    <w:rsid w:val="1B1F4E7E"/>
    <w:rsid w:val="1B23502C"/>
    <w:rsid w:val="1B2B0B2B"/>
    <w:rsid w:val="1B2F4FA8"/>
    <w:rsid w:val="1B315AE2"/>
    <w:rsid w:val="1B3401EA"/>
    <w:rsid w:val="1B3B17AF"/>
    <w:rsid w:val="1B430B6D"/>
    <w:rsid w:val="1B4459E3"/>
    <w:rsid w:val="1B4B06D5"/>
    <w:rsid w:val="1B530684"/>
    <w:rsid w:val="1B5419E7"/>
    <w:rsid w:val="1B542D7A"/>
    <w:rsid w:val="1B657548"/>
    <w:rsid w:val="1B6B0257"/>
    <w:rsid w:val="1B6B1E72"/>
    <w:rsid w:val="1B75684C"/>
    <w:rsid w:val="1B762CF0"/>
    <w:rsid w:val="1B775612"/>
    <w:rsid w:val="1B87029B"/>
    <w:rsid w:val="1B8751B7"/>
    <w:rsid w:val="1B8C1DFB"/>
    <w:rsid w:val="1B9211AC"/>
    <w:rsid w:val="1B9B2757"/>
    <w:rsid w:val="1B9E2C8F"/>
    <w:rsid w:val="1BA333BA"/>
    <w:rsid w:val="1BAD248A"/>
    <w:rsid w:val="1BB04ED2"/>
    <w:rsid w:val="1BB05793"/>
    <w:rsid w:val="1BB630ED"/>
    <w:rsid w:val="1BC25F36"/>
    <w:rsid w:val="1BC3580A"/>
    <w:rsid w:val="1BC47F37"/>
    <w:rsid w:val="1BCA30A8"/>
    <w:rsid w:val="1BCC44FF"/>
    <w:rsid w:val="1BD01CD5"/>
    <w:rsid w:val="1BE058C3"/>
    <w:rsid w:val="1BE13EE2"/>
    <w:rsid w:val="1BE95FD3"/>
    <w:rsid w:val="1BEC4D61"/>
    <w:rsid w:val="1BF1692E"/>
    <w:rsid w:val="1BF41E67"/>
    <w:rsid w:val="1BF46F59"/>
    <w:rsid w:val="1BFC0F14"/>
    <w:rsid w:val="1BFF32E4"/>
    <w:rsid w:val="1C0F6782"/>
    <w:rsid w:val="1C0F6CA1"/>
    <w:rsid w:val="1C144B4A"/>
    <w:rsid w:val="1C1B5646"/>
    <w:rsid w:val="1C250273"/>
    <w:rsid w:val="1C2838BF"/>
    <w:rsid w:val="1C2B7608"/>
    <w:rsid w:val="1C35495A"/>
    <w:rsid w:val="1C3E1334"/>
    <w:rsid w:val="1C406E5A"/>
    <w:rsid w:val="1C4C57FF"/>
    <w:rsid w:val="1C4F52EF"/>
    <w:rsid w:val="1C5D7A0C"/>
    <w:rsid w:val="1C5F3784"/>
    <w:rsid w:val="1C626DD1"/>
    <w:rsid w:val="1C755930"/>
    <w:rsid w:val="1C787AFD"/>
    <w:rsid w:val="1C7B5167"/>
    <w:rsid w:val="1C7C24C7"/>
    <w:rsid w:val="1C847665"/>
    <w:rsid w:val="1C876837"/>
    <w:rsid w:val="1C8E14EE"/>
    <w:rsid w:val="1C8E290F"/>
    <w:rsid w:val="1C930D61"/>
    <w:rsid w:val="1C9E7F7A"/>
    <w:rsid w:val="1CA078F9"/>
    <w:rsid w:val="1CA13D9D"/>
    <w:rsid w:val="1CA2357A"/>
    <w:rsid w:val="1CA500C6"/>
    <w:rsid w:val="1CAA49BD"/>
    <w:rsid w:val="1CB25FAA"/>
    <w:rsid w:val="1CB57848"/>
    <w:rsid w:val="1CC00D0E"/>
    <w:rsid w:val="1CC47D5F"/>
    <w:rsid w:val="1CC932F4"/>
    <w:rsid w:val="1CCC06EE"/>
    <w:rsid w:val="1CCF11A1"/>
    <w:rsid w:val="1CD221A8"/>
    <w:rsid w:val="1CD359F6"/>
    <w:rsid w:val="1CD81789"/>
    <w:rsid w:val="1CE12983"/>
    <w:rsid w:val="1CEC56C6"/>
    <w:rsid w:val="1CF57C45"/>
    <w:rsid w:val="1CFC0FD3"/>
    <w:rsid w:val="1D05532B"/>
    <w:rsid w:val="1D0C44B0"/>
    <w:rsid w:val="1D12396D"/>
    <w:rsid w:val="1D1327C1"/>
    <w:rsid w:val="1D17405F"/>
    <w:rsid w:val="1D1D20C9"/>
    <w:rsid w:val="1D210A3A"/>
    <w:rsid w:val="1D235D75"/>
    <w:rsid w:val="1D2C5AC6"/>
    <w:rsid w:val="1D3249F5"/>
    <w:rsid w:val="1D351BD5"/>
    <w:rsid w:val="1D44297A"/>
    <w:rsid w:val="1D4A3283"/>
    <w:rsid w:val="1D4B651F"/>
    <w:rsid w:val="1D4C4AF7"/>
    <w:rsid w:val="1D592BF8"/>
    <w:rsid w:val="1D5A79CD"/>
    <w:rsid w:val="1D5C5F16"/>
    <w:rsid w:val="1D630766"/>
    <w:rsid w:val="1D706292"/>
    <w:rsid w:val="1D706448"/>
    <w:rsid w:val="1D754BF1"/>
    <w:rsid w:val="1D756FD8"/>
    <w:rsid w:val="1D7C3EC2"/>
    <w:rsid w:val="1D8B67FB"/>
    <w:rsid w:val="1D9456B0"/>
    <w:rsid w:val="1D994A74"/>
    <w:rsid w:val="1D9C16B0"/>
    <w:rsid w:val="1D9C5D26"/>
    <w:rsid w:val="1D9D4085"/>
    <w:rsid w:val="1DA11B7B"/>
    <w:rsid w:val="1DA21F76"/>
    <w:rsid w:val="1DA33B45"/>
    <w:rsid w:val="1DAF24EA"/>
    <w:rsid w:val="1DAF6D38"/>
    <w:rsid w:val="1DB00D10"/>
    <w:rsid w:val="1DB5436A"/>
    <w:rsid w:val="1DB63878"/>
    <w:rsid w:val="1DBA0B1F"/>
    <w:rsid w:val="1DBE097F"/>
    <w:rsid w:val="1DBF0DD0"/>
    <w:rsid w:val="1DC07338"/>
    <w:rsid w:val="1DD0420E"/>
    <w:rsid w:val="1DD942EA"/>
    <w:rsid w:val="1DDB4025"/>
    <w:rsid w:val="1DE15B9B"/>
    <w:rsid w:val="1DE37048"/>
    <w:rsid w:val="1DE55F0B"/>
    <w:rsid w:val="1DED6B6E"/>
    <w:rsid w:val="1DF148B0"/>
    <w:rsid w:val="1DF443A0"/>
    <w:rsid w:val="1DF47EFC"/>
    <w:rsid w:val="1DFE0D7B"/>
    <w:rsid w:val="1E0C3498"/>
    <w:rsid w:val="1E117377"/>
    <w:rsid w:val="1E1933BA"/>
    <w:rsid w:val="1E247731"/>
    <w:rsid w:val="1E262080"/>
    <w:rsid w:val="1E2A6014"/>
    <w:rsid w:val="1E2C7696"/>
    <w:rsid w:val="1E2F362A"/>
    <w:rsid w:val="1E336153"/>
    <w:rsid w:val="1E3824DF"/>
    <w:rsid w:val="1E3D5D47"/>
    <w:rsid w:val="1E48797C"/>
    <w:rsid w:val="1E4C01D3"/>
    <w:rsid w:val="1E4D4545"/>
    <w:rsid w:val="1E4E1D03"/>
    <w:rsid w:val="1E5170FD"/>
    <w:rsid w:val="1E522E75"/>
    <w:rsid w:val="1E5310C7"/>
    <w:rsid w:val="1E536A27"/>
    <w:rsid w:val="1E60140C"/>
    <w:rsid w:val="1E607108"/>
    <w:rsid w:val="1E641526"/>
    <w:rsid w:val="1E6943E1"/>
    <w:rsid w:val="1E6A25F7"/>
    <w:rsid w:val="1E6B66E3"/>
    <w:rsid w:val="1E6D7CAF"/>
    <w:rsid w:val="1E707ECB"/>
    <w:rsid w:val="1E7C0235"/>
    <w:rsid w:val="1E831280"/>
    <w:rsid w:val="1E8A260F"/>
    <w:rsid w:val="1E8C6387"/>
    <w:rsid w:val="1E912BAE"/>
    <w:rsid w:val="1E917E41"/>
    <w:rsid w:val="1E9516DF"/>
    <w:rsid w:val="1E967206"/>
    <w:rsid w:val="1E9D2342"/>
    <w:rsid w:val="1EA90CE7"/>
    <w:rsid w:val="1EA96F39"/>
    <w:rsid w:val="1EA97F2A"/>
    <w:rsid w:val="1EAD6901"/>
    <w:rsid w:val="1EAE3636"/>
    <w:rsid w:val="1EB37344"/>
    <w:rsid w:val="1EBE6643"/>
    <w:rsid w:val="1EBF49AE"/>
    <w:rsid w:val="1EC450BA"/>
    <w:rsid w:val="1EC45B21"/>
    <w:rsid w:val="1EC475AC"/>
    <w:rsid w:val="1ECB3ABB"/>
    <w:rsid w:val="1ED32208"/>
    <w:rsid w:val="1ED347D1"/>
    <w:rsid w:val="1EDD4E34"/>
    <w:rsid w:val="1EE73F05"/>
    <w:rsid w:val="1EEE06B3"/>
    <w:rsid w:val="1EF108E0"/>
    <w:rsid w:val="1EFA59E6"/>
    <w:rsid w:val="1EFF124F"/>
    <w:rsid w:val="1F0108E9"/>
    <w:rsid w:val="1F0625DD"/>
    <w:rsid w:val="1F071EB1"/>
    <w:rsid w:val="1F073C5F"/>
    <w:rsid w:val="1F073E4B"/>
    <w:rsid w:val="1F0829BA"/>
    <w:rsid w:val="1F093E7B"/>
    <w:rsid w:val="1F100D66"/>
    <w:rsid w:val="1F1F369F"/>
    <w:rsid w:val="1F231D0D"/>
    <w:rsid w:val="1F242E92"/>
    <w:rsid w:val="1F244811"/>
    <w:rsid w:val="1F286A0B"/>
    <w:rsid w:val="1F2962CC"/>
    <w:rsid w:val="1F2B5BA0"/>
    <w:rsid w:val="1F2F7577"/>
    <w:rsid w:val="1F336601"/>
    <w:rsid w:val="1F374545"/>
    <w:rsid w:val="1F3C4E81"/>
    <w:rsid w:val="1F423B9A"/>
    <w:rsid w:val="1F470500"/>
    <w:rsid w:val="1F525966"/>
    <w:rsid w:val="1F552885"/>
    <w:rsid w:val="1F584E4F"/>
    <w:rsid w:val="1F5C0367"/>
    <w:rsid w:val="1F603402"/>
    <w:rsid w:val="1F613647"/>
    <w:rsid w:val="1F6272CF"/>
    <w:rsid w:val="1F6D7B33"/>
    <w:rsid w:val="1F6F5903"/>
    <w:rsid w:val="1F7312F5"/>
    <w:rsid w:val="1F8B2AE2"/>
    <w:rsid w:val="1F8D23B7"/>
    <w:rsid w:val="1F8F25D3"/>
    <w:rsid w:val="1F9B2041"/>
    <w:rsid w:val="1FA12306"/>
    <w:rsid w:val="1FA802B9"/>
    <w:rsid w:val="1FAD7766"/>
    <w:rsid w:val="1FB6316D"/>
    <w:rsid w:val="1FBA6856"/>
    <w:rsid w:val="1FBA6F24"/>
    <w:rsid w:val="1FCA323B"/>
    <w:rsid w:val="1FCB7383"/>
    <w:rsid w:val="1FD71884"/>
    <w:rsid w:val="1FEA6512"/>
    <w:rsid w:val="20010622"/>
    <w:rsid w:val="200148E1"/>
    <w:rsid w:val="20036B1D"/>
    <w:rsid w:val="200A1C59"/>
    <w:rsid w:val="200F09DD"/>
    <w:rsid w:val="200F54C2"/>
    <w:rsid w:val="2012571E"/>
    <w:rsid w:val="20137350"/>
    <w:rsid w:val="2015557A"/>
    <w:rsid w:val="202145AB"/>
    <w:rsid w:val="202866BE"/>
    <w:rsid w:val="2029112A"/>
    <w:rsid w:val="202A5E57"/>
    <w:rsid w:val="202B047B"/>
    <w:rsid w:val="202B15C3"/>
    <w:rsid w:val="202E37B6"/>
    <w:rsid w:val="20315438"/>
    <w:rsid w:val="20340A84"/>
    <w:rsid w:val="20344F28"/>
    <w:rsid w:val="2035005E"/>
    <w:rsid w:val="20355839"/>
    <w:rsid w:val="203647FC"/>
    <w:rsid w:val="203942EC"/>
    <w:rsid w:val="203C5B8B"/>
    <w:rsid w:val="203C6CAE"/>
    <w:rsid w:val="203E1903"/>
    <w:rsid w:val="203E7B55"/>
    <w:rsid w:val="204213F3"/>
    <w:rsid w:val="204809D3"/>
    <w:rsid w:val="204D5FEA"/>
    <w:rsid w:val="2050449D"/>
    <w:rsid w:val="205C6849"/>
    <w:rsid w:val="205D447F"/>
    <w:rsid w:val="205E7196"/>
    <w:rsid w:val="206879C4"/>
    <w:rsid w:val="206A094A"/>
    <w:rsid w:val="206F41B2"/>
    <w:rsid w:val="20713A86"/>
    <w:rsid w:val="207215AC"/>
    <w:rsid w:val="207318E2"/>
    <w:rsid w:val="207C1FE9"/>
    <w:rsid w:val="207F6CD8"/>
    <w:rsid w:val="20827A42"/>
    <w:rsid w:val="208C08C0"/>
    <w:rsid w:val="2099122F"/>
    <w:rsid w:val="209F5B27"/>
    <w:rsid w:val="20A200E4"/>
    <w:rsid w:val="20A53730"/>
    <w:rsid w:val="20A976C4"/>
    <w:rsid w:val="20AC2D10"/>
    <w:rsid w:val="20B519C6"/>
    <w:rsid w:val="20B6593D"/>
    <w:rsid w:val="20B73672"/>
    <w:rsid w:val="20BB11A5"/>
    <w:rsid w:val="20BE4F05"/>
    <w:rsid w:val="20D64A1C"/>
    <w:rsid w:val="20DD55C0"/>
    <w:rsid w:val="20DF33BF"/>
    <w:rsid w:val="20E06E5E"/>
    <w:rsid w:val="20EF0E4F"/>
    <w:rsid w:val="20F46465"/>
    <w:rsid w:val="20FA7F20"/>
    <w:rsid w:val="210668C5"/>
    <w:rsid w:val="21067B13"/>
    <w:rsid w:val="21073380"/>
    <w:rsid w:val="21095FEA"/>
    <w:rsid w:val="21154D5A"/>
    <w:rsid w:val="21162880"/>
    <w:rsid w:val="211D776A"/>
    <w:rsid w:val="212B00D9"/>
    <w:rsid w:val="212B621B"/>
    <w:rsid w:val="212C5BFF"/>
    <w:rsid w:val="21354AB4"/>
    <w:rsid w:val="213F3B84"/>
    <w:rsid w:val="2144119B"/>
    <w:rsid w:val="214967B1"/>
    <w:rsid w:val="215154DC"/>
    <w:rsid w:val="21562C7C"/>
    <w:rsid w:val="215D225D"/>
    <w:rsid w:val="216B2BCB"/>
    <w:rsid w:val="216E0C7E"/>
    <w:rsid w:val="21720694"/>
    <w:rsid w:val="217F0425"/>
    <w:rsid w:val="2181419D"/>
    <w:rsid w:val="21815F4B"/>
    <w:rsid w:val="2191122E"/>
    <w:rsid w:val="219B707D"/>
    <w:rsid w:val="219C6341"/>
    <w:rsid w:val="21A34113"/>
    <w:rsid w:val="21B1573D"/>
    <w:rsid w:val="21B87493"/>
    <w:rsid w:val="21BC51D5"/>
    <w:rsid w:val="21C34C84"/>
    <w:rsid w:val="21C61BB0"/>
    <w:rsid w:val="21D10C1B"/>
    <w:rsid w:val="21DB28CB"/>
    <w:rsid w:val="21E14C3C"/>
    <w:rsid w:val="21E604A4"/>
    <w:rsid w:val="21EA1722"/>
    <w:rsid w:val="21EE4E29"/>
    <w:rsid w:val="21F91F85"/>
    <w:rsid w:val="22160D89"/>
    <w:rsid w:val="2217141C"/>
    <w:rsid w:val="221943D6"/>
    <w:rsid w:val="22250FCC"/>
    <w:rsid w:val="222E2BCF"/>
    <w:rsid w:val="2230171F"/>
    <w:rsid w:val="22351050"/>
    <w:rsid w:val="22372AAE"/>
    <w:rsid w:val="223869A6"/>
    <w:rsid w:val="22394A78"/>
    <w:rsid w:val="2244516D"/>
    <w:rsid w:val="22576CAC"/>
    <w:rsid w:val="225A7C7A"/>
    <w:rsid w:val="22631AF5"/>
    <w:rsid w:val="2265586D"/>
    <w:rsid w:val="22655D1C"/>
    <w:rsid w:val="22725CD1"/>
    <w:rsid w:val="227930C6"/>
    <w:rsid w:val="227B299A"/>
    <w:rsid w:val="2288155B"/>
    <w:rsid w:val="22934188"/>
    <w:rsid w:val="229D60CC"/>
    <w:rsid w:val="22A12D10"/>
    <w:rsid w:val="22A32754"/>
    <w:rsid w:val="22A53EBB"/>
    <w:rsid w:val="22A87507"/>
    <w:rsid w:val="22B3482A"/>
    <w:rsid w:val="22B57588"/>
    <w:rsid w:val="22BA014F"/>
    <w:rsid w:val="22C24A6D"/>
    <w:rsid w:val="22C733E0"/>
    <w:rsid w:val="22C91390"/>
    <w:rsid w:val="22D60519"/>
    <w:rsid w:val="22D64075"/>
    <w:rsid w:val="22DC5FF2"/>
    <w:rsid w:val="22DD3655"/>
    <w:rsid w:val="22ED69EA"/>
    <w:rsid w:val="22F4099F"/>
    <w:rsid w:val="22F82FE0"/>
    <w:rsid w:val="22F86AB7"/>
    <w:rsid w:val="22FD5AA5"/>
    <w:rsid w:val="22FF583D"/>
    <w:rsid w:val="23005084"/>
    <w:rsid w:val="23014CCC"/>
    <w:rsid w:val="23046E34"/>
    <w:rsid w:val="23050CAB"/>
    <w:rsid w:val="23056708"/>
    <w:rsid w:val="2309269C"/>
    <w:rsid w:val="2309444A"/>
    <w:rsid w:val="23197531"/>
    <w:rsid w:val="231A7DFC"/>
    <w:rsid w:val="231B0800"/>
    <w:rsid w:val="233174FD"/>
    <w:rsid w:val="233C481F"/>
    <w:rsid w:val="233D40F4"/>
    <w:rsid w:val="234F1862"/>
    <w:rsid w:val="23503E27"/>
    <w:rsid w:val="23531B69"/>
    <w:rsid w:val="235378AB"/>
    <w:rsid w:val="23563407"/>
    <w:rsid w:val="235A6E60"/>
    <w:rsid w:val="235C20D3"/>
    <w:rsid w:val="235D02F2"/>
    <w:rsid w:val="23645B24"/>
    <w:rsid w:val="236553F8"/>
    <w:rsid w:val="236B3950"/>
    <w:rsid w:val="237268C0"/>
    <w:rsid w:val="237D2742"/>
    <w:rsid w:val="23810FFF"/>
    <w:rsid w:val="23854494"/>
    <w:rsid w:val="23897339"/>
    <w:rsid w:val="2392443F"/>
    <w:rsid w:val="23A16EA8"/>
    <w:rsid w:val="23A61396"/>
    <w:rsid w:val="23A97407"/>
    <w:rsid w:val="23AE6D9F"/>
    <w:rsid w:val="23B05A23"/>
    <w:rsid w:val="23B90E2C"/>
    <w:rsid w:val="23BA2A2E"/>
    <w:rsid w:val="23BF7B2A"/>
    <w:rsid w:val="23C12F77"/>
    <w:rsid w:val="23C6058D"/>
    <w:rsid w:val="23C6233B"/>
    <w:rsid w:val="23C71C0F"/>
    <w:rsid w:val="23D000D7"/>
    <w:rsid w:val="23E12CD1"/>
    <w:rsid w:val="23E32EED"/>
    <w:rsid w:val="23E34C9B"/>
    <w:rsid w:val="23E46C65"/>
    <w:rsid w:val="23E80503"/>
    <w:rsid w:val="23F073B8"/>
    <w:rsid w:val="23FB537B"/>
    <w:rsid w:val="23FC763B"/>
    <w:rsid w:val="23FF75FB"/>
    <w:rsid w:val="24003A9F"/>
    <w:rsid w:val="240F65F1"/>
    <w:rsid w:val="24134E54"/>
    <w:rsid w:val="2418071C"/>
    <w:rsid w:val="2418780C"/>
    <w:rsid w:val="241C63FF"/>
    <w:rsid w:val="24214B3D"/>
    <w:rsid w:val="24253506"/>
    <w:rsid w:val="242552B4"/>
    <w:rsid w:val="2426692F"/>
    <w:rsid w:val="2428627F"/>
    <w:rsid w:val="2428729B"/>
    <w:rsid w:val="242B0CE0"/>
    <w:rsid w:val="242E43EB"/>
    <w:rsid w:val="243454F7"/>
    <w:rsid w:val="2435301D"/>
    <w:rsid w:val="24392625"/>
    <w:rsid w:val="243948BB"/>
    <w:rsid w:val="243C4BFD"/>
    <w:rsid w:val="24431BDE"/>
    <w:rsid w:val="2446522A"/>
    <w:rsid w:val="2450754A"/>
    <w:rsid w:val="24507E57"/>
    <w:rsid w:val="245416F5"/>
    <w:rsid w:val="24577437"/>
    <w:rsid w:val="245A2A83"/>
    <w:rsid w:val="245B0EF6"/>
    <w:rsid w:val="246456B0"/>
    <w:rsid w:val="24674E07"/>
    <w:rsid w:val="24773C37"/>
    <w:rsid w:val="247C0C4C"/>
    <w:rsid w:val="247C7C96"/>
    <w:rsid w:val="247D056D"/>
    <w:rsid w:val="248159A8"/>
    <w:rsid w:val="248221CF"/>
    <w:rsid w:val="248D10AB"/>
    <w:rsid w:val="249146F7"/>
    <w:rsid w:val="24961D0D"/>
    <w:rsid w:val="24997A50"/>
    <w:rsid w:val="249B1B7C"/>
    <w:rsid w:val="249E1B16"/>
    <w:rsid w:val="24A33F82"/>
    <w:rsid w:val="24A81A41"/>
    <w:rsid w:val="24AF1021"/>
    <w:rsid w:val="24AF2DCF"/>
    <w:rsid w:val="24B46637"/>
    <w:rsid w:val="24BB1774"/>
    <w:rsid w:val="24BC104F"/>
    <w:rsid w:val="24BC4B7C"/>
    <w:rsid w:val="24C35FFD"/>
    <w:rsid w:val="24C7636B"/>
    <w:rsid w:val="24CD14A7"/>
    <w:rsid w:val="24CF51B7"/>
    <w:rsid w:val="24D528C8"/>
    <w:rsid w:val="24DB57CD"/>
    <w:rsid w:val="24F1107B"/>
    <w:rsid w:val="24F13E0A"/>
    <w:rsid w:val="24F609FE"/>
    <w:rsid w:val="24F60D1D"/>
    <w:rsid w:val="24FF3D57"/>
    <w:rsid w:val="250273A3"/>
    <w:rsid w:val="25037266"/>
    <w:rsid w:val="250A6257"/>
    <w:rsid w:val="250A78B2"/>
    <w:rsid w:val="250E5D48"/>
    <w:rsid w:val="250F7D12"/>
    <w:rsid w:val="251175E6"/>
    <w:rsid w:val="251E565A"/>
    <w:rsid w:val="25237319"/>
    <w:rsid w:val="252B4B4C"/>
    <w:rsid w:val="252E14EB"/>
    <w:rsid w:val="25317C88"/>
    <w:rsid w:val="2533755C"/>
    <w:rsid w:val="253432D4"/>
    <w:rsid w:val="2536704D"/>
    <w:rsid w:val="25372975"/>
    <w:rsid w:val="253D30E8"/>
    <w:rsid w:val="25441769"/>
    <w:rsid w:val="25473008"/>
    <w:rsid w:val="254A7C7B"/>
    <w:rsid w:val="254C2D14"/>
    <w:rsid w:val="254C6870"/>
    <w:rsid w:val="25687529"/>
    <w:rsid w:val="256B13EC"/>
    <w:rsid w:val="256C2A6E"/>
    <w:rsid w:val="256E51F3"/>
    <w:rsid w:val="2577560E"/>
    <w:rsid w:val="257F6C45"/>
    <w:rsid w:val="25861B66"/>
    <w:rsid w:val="258B4548"/>
    <w:rsid w:val="25900E53"/>
    <w:rsid w:val="25901034"/>
    <w:rsid w:val="259D70CC"/>
    <w:rsid w:val="25A61150"/>
    <w:rsid w:val="25AC730F"/>
    <w:rsid w:val="25AE12D9"/>
    <w:rsid w:val="25AE752B"/>
    <w:rsid w:val="25B07326"/>
    <w:rsid w:val="25B508B9"/>
    <w:rsid w:val="25B83F05"/>
    <w:rsid w:val="25BC0ABD"/>
    <w:rsid w:val="25C36459"/>
    <w:rsid w:val="25C603D0"/>
    <w:rsid w:val="25C94365"/>
    <w:rsid w:val="25D0124F"/>
    <w:rsid w:val="25D02FFD"/>
    <w:rsid w:val="25D7082F"/>
    <w:rsid w:val="25DF76E4"/>
    <w:rsid w:val="25E22D30"/>
    <w:rsid w:val="25E371D4"/>
    <w:rsid w:val="25F2263E"/>
    <w:rsid w:val="25F25669"/>
    <w:rsid w:val="25F50CB6"/>
    <w:rsid w:val="25F52012"/>
    <w:rsid w:val="25F969F8"/>
    <w:rsid w:val="25FB2263"/>
    <w:rsid w:val="25FC58BB"/>
    <w:rsid w:val="26007228"/>
    <w:rsid w:val="26061115"/>
    <w:rsid w:val="260F67A9"/>
    <w:rsid w:val="26142B86"/>
    <w:rsid w:val="26174B81"/>
    <w:rsid w:val="26180815"/>
    <w:rsid w:val="261C6242"/>
    <w:rsid w:val="26215F4F"/>
    <w:rsid w:val="2624159B"/>
    <w:rsid w:val="262670C1"/>
    <w:rsid w:val="26306192"/>
    <w:rsid w:val="26345C82"/>
    <w:rsid w:val="26361A05"/>
    <w:rsid w:val="263732B9"/>
    <w:rsid w:val="26414073"/>
    <w:rsid w:val="26492DAF"/>
    <w:rsid w:val="264D0AF2"/>
    <w:rsid w:val="264D28A0"/>
    <w:rsid w:val="26584F46"/>
    <w:rsid w:val="26586048"/>
    <w:rsid w:val="265A6D6B"/>
    <w:rsid w:val="26667E05"/>
    <w:rsid w:val="26795443"/>
    <w:rsid w:val="267B565F"/>
    <w:rsid w:val="268169ED"/>
    <w:rsid w:val="26861912"/>
    <w:rsid w:val="268A7650"/>
    <w:rsid w:val="268D5392"/>
    <w:rsid w:val="268F110A"/>
    <w:rsid w:val="269229A8"/>
    <w:rsid w:val="269360B3"/>
    <w:rsid w:val="26940BB8"/>
    <w:rsid w:val="269C55D5"/>
    <w:rsid w:val="269E208E"/>
    <w:rsid w:val="269E30FB"/>
    <w:rsid w:val="26A71E26"/>
    <w:rsid w:val="26A76454"/>
    <w:rsid w:val="26A821CC"/>
    <w:rsid w:val="26AC3A6A"/>
    <w:rsid w:val="26B11081"/>
    <w:rsid w:val="26B730FC"/>
    <w:rsid w:val="26BD06A7"/>
    <w:rsid w:val="26BD5C77"/>
    <w:rsid w:val="26BE72FA"/>
    <w:rsid w:val="26C3146B"/>
    <w:rsid w:val="26C708A4"/>
    <w:rsid w:val="26CF59AB"/>
    <w:rsid w:val="26D10020"/>
    <w:rsid w:val="26E054C2"/>
    <w:rsid w:val="26E1500A"/>
    <w:rsid w:val="26E36D60"/>
    <w:rsid w:val="26E52AD8"/>
    <w:rsid w:val="26E86A6C"/>
    <w:rsid w:val="26EC20B9"/>
    <w:rsid w:val="26F07935"/>
    <w:rsid w:val="26F22019"/>
    <w:rsid w:val="26F759B9"/>
    <w:rsid w:val="270B04C3"/>
    <w:rsid w:val="27103C37"/>
    <w:rsid w:val="271572C7"/>
    <w:rsid w:val="271B0BF0"/>
    <w:rsid w:val="27247AA4"/>
    <w:rsid w:val="27374C98"/>
    <w:rsid w:val="27400656"/>
    <w:rsid w:val="274A6DDF"/>
    <w:rsid w:val="274E0A59"/>
    <w:rsid w:val="274F0899"/>
    <w:rsid w:val="274F43F6"/>
    <w:rsid w:val="2752510C"/>
    <w:rsid w:val="276A143F"/>
    <w:rsid w:val="276B5295"/>
    <w:rsid w:val="27750300"/>
    <w:rsid w:val="27767BD4"/>
    <w:rsid w:val="277B7C10"/>
    <w:rsid w:val="27805CFD"/>
    <w:rsid w:val="27814EF7"/>
    <w:rsid w:val="27856069"/>
    <w:rsid w:val="27906EE8"/>
    <w:rsid w:val="27985D9D"/>
    <w:rsid w:val="279C5CB3"/>
    <w:rsid w:val="27A143AE"/>
    <w:rsid w:val="27A75FE0"/>
    <w:rsid w:val="27AB3D22"/>
    <w:rsid w:val="27AD7DA2"/>
    <w:rsid w:val="27B23A46"/>
    <w:rsid w:val="27B274EC"/>
    <w:rsid w:val="27BF3329"/>
    <w:rsid w:val="27CC5A46"/>
    <w:rsid w:val="27D26EBF"/>
    <w:rsid w:val="27D35027"/>
    <w:rsid w:val="27D668C5"/>
    <w:rsid w:val="27E64D5A"/>
    <w:rsid w:val="27EF271C"/>
    <w:rsid w:val="28060840"/>
    <w:rsid w:val="28095B17"/>
    <w:rsid w:val="280C22E7"/>
    <w:rsid w:val="280D5A34"/>
    <w:rsid w:val="28101FE6"/>
    <w:rsid w:val="281E2746"/>
    <w:rsid w:val="28284BD4"/>
    <w:rsid w:val="2829733C"/>
    <w:rsid w:val="28333D17"/>
    <w:rsid w:val="28373807"/>
    <w:rsid w:val="28397580"/>
    <w:rsid w:val="28441A80"/>
    <w:rsid w:val="284657F9"/>
    <w:rsid w:val="28480BD5"/>
    <w:rsid w:val="28487915"/>
    <w:rsid w:val="284A0FF5"/>
    <w:rsid w:val="284D75D2"/>
    <w:rsid w:val="28590260"/>
    <w:rsid w:val="285A12A4"/>
    <w:rsid w:val="285F670D"/>
    <w:rsid w:val="28620159"/>
    <w:rsid w:val="28795BCE"/>
    <w:rsid w:val="287C56BE"/>
    <w:rsid w:val="287C746C"/>
    <w:rsid w:val="28810F26"/>
    <w:rsid w:val="28856053"/>
    <w:rsid w:val="28872733"/>
    <w:rsid w:val="288E0F4E"/>
    <w:rsid w:val="28916E8B"/>
    <w:rsid w:val="289C4061"/>
    <w:rsid w:val="289E3886"/>
    <w:rsid w:val="28BB61E6"/>
    <w:rsid w:val="28BD72A1"/>
    <w:rsid w:val="28C037FD"/>
    <w:rsid w:val="28CD1A76"/>
    <w:rsid w:val="28D21782"/>
    <w:rsid w:val="28D406FC"/>
    <w:rsid w:val="28DE0127"/>
    <w:rsid w:val="28E079FB"/>
    <w:rsid w:val="28E81B48"/>
    <w:rsid w:val="28EC5824"/>
    <w:rsid w:val="28EF7C3E"/>
    <w:rsid w:val="28F54945"/>
    <w:rsid w:val="28F811E9"/>
    <w:rsid w:val="29053906"/>
    <w:rsid w:val="29080D00"/>
    <w:rsid w:val="29086F52"/>
    <w:rsid w:val="290C07F0"/>
    <w:rsid w:val="291A5FE7"/>
    <w:rsid w:val="291B4ED7"/>
    <w:rsid w:val="291E4B2B"/>
    <w:rsid w:val="292559B5"/>
    <w:rsid w:val="293B1047"/>
    <w:rsid w:val="293D3EB3"/>
    <w:rsid w:val="29534671"/>
    <w:rsid w:val="295959FF"/>
    <w:rsid w:val="295E660F"/>
    <w:rsid w:val="295E6B72"/>
    <w:rsid w:val="29626662"/>
    <w:rsid w:val="29657F00"/>
    <w:rsid w:val="29671ECA"/>
    <w:rsid w:val="296877F8"/>
    <w:rsid w:val="29690ECF"/>
    <w:rsid w:val="296A5517"/>
    <w:rsid w:val="296C5733"/>
    <w:rsid w:val="296E3259"/>
    <w:rsid w:val="29824994"/>
    <w:rsid w:val="29844243"/>
    <w:rsid w:val="2984482A"/>
    <w:rsid w:val="298962E5"/>
    <w:rsid w:val="298A7967"/>
    <w:rsid w:val="298D0473"/>
    <w:rsid w:val="299D58EC"/>
    <w:rsid w:val="299E3412"/>
    <w:rsid w:val="29A263F9"/>
    <w:rsid w:val="29A632EB"/>
    <w:rsid w:val="29A7676B"/>
    <w:rsid w:val="29AD34DF"/>
    <w:rsid w:val="29B04E61"/>
    <w:rsid w:val="29B31040"/>
    <w:rsid w:val="29B41A9A"/>
    <w:rsid w:val="29B570DA"/>
    <w:rsid w:val="29BB2216"/>
    <w:rsid w:val="29BC13EC"/>
    <w:rsid w:val="29BF3AB4"/>
    <w:rsid w:val="29C27101"/>
    <w:rsid w:val="29C7034A"/>
    <w:rsid w:val="29CA2459"/>
    <w:rsid w:val="29D62BAC"/>
    <w:rsid w:val="29E057D9"/>
    <w:rsid w:val="29E74DB9"/>
    <w:rsid w:val="29E929AE"/>
    <w:rsid w:val="29F37C02"/>
    <w:rsid w:val="29F6324E"/>
    <w:rsid w:val="2A063491"/>
    <w:rsid w:val="2A092F82"/>
    <w:rsid w:val="2A0E67EA"/>
    <w:rsid w:val="2A104310"/>
    <w:rsid w:val="2A1805FD"/>
    <w:rsid w:val="2A1A5586"/>
    <w:rsid w:val="2A2111BF"/>
    <w:rsid w:val="2A255ACC"/>
    <w:rsid w:val="2A2C6C70"/>
    <w:rsid w:val="2A367C21"/>
    <w:rsid w:val="2A37462E"/>
    <w:rsid w:val="2A391AB9"/>
    <w:rsid w:val="2A3C6EB3"/>
    <w:rsid w:val="2A3E70CF"/>
    <w:rsid w:val="2A426494"/>
    <w:rsid w:val="2A532F2C"/>
    <w:rsid w:val="2A5B4410"/>
    <w:rsid w:val="2A5C57A7"/>
    <w:rsid w:val="2A5F0DF4"/>
    <w:rsid w:val="2A64640A"/>
    <w:rsid w:val="2A6E1037"/>
    <w:rsid w:val="2A711836"/>
    <w:rsid w:val="2A81520E"/>
    <w:rsid w:val="2A8820F8"/>
    <w:rsid w:val="2A886691"/>
    <w:rsid w:val="2A9071FF"/>
    <w:rsid w:val="2A930A9D"/>
    <w:rsid w:val="2AAD6003"/>
    <w:rsid w:val="2AB4113F"/>
    <w:rsid w:val="2AB50D09"/>
    <w:rsid w:val="2AB5244A"/>
    <w:rsid w:val="2AB70C30"/>
    <w:rsid w:val="2AC1560A"/>
    <w:rsid w:val="2AC443C0"/>
    <w:rsid w:val="2AC776EE"/>
    <w:rsid w:val="2ADB029A"/>
    <w:rsid w:val="2ADB491E"/>
    <w:rsid w:val="2AE80DE9"/>
    <w:rsid w:val="2AE82B97"/>
    <w:rsid w:val="2AF16E79"/>
    <w:rsid w:val="2AF76001"/>
    <w:rsid w:val="2AFA6471"/>
    <w:rsid w:val="2AFC6642"/>
    <w:rsid w:val="2AFE23BA"/>
    <w:rsid w:val="2B0D2CED"/>
    <w:rsid w:val="2B0E7D9D"/>
    <w:rsid w:val="2B0F45C8"/>
    <w:rsid w:val="2B102FB5"/>
    <w:rsid w:val="2B1F714C"/>
    <w:rsid w:val="2B2014AE"/>
    <w:rsid w:val="2B261911"/>
    <w:rsid w:val="2B28102B"/>
    <w:rsid w:val="2B294AAA"/>
    <w:rsid w:val="2B2B6040"/>
    <w:rsid w:val="2B30453E"/>
    <w:rsid w:val="2B3109E2"/>
    <w:rsid w:val="2B33475A"/>
    <w:rsid w:val="2B342280"/>
    <w:rsid w:val="2B514F0A"/>
    <w:rsid w:val="2B575A34"/>
    <w:rsid w:val="2B5B014C"/>
    <w:rsid w:val="2B623A1A"/>
    <w:rsid w:val="2B6A14A8"/>
    <w:rsid w:val="2B6C01DB"/>
    <w:rsid w:val="2B714350"/>
    <w:rsid w:val="2B715282"/>
    <w:rsid w:val="2B7E52A9"/>
    <w:rsid w:val="2B82123D"/>
    <w:rsid w:val="2B85488A"/>
    <w:rsid w:val="2B886128"/>
    <w:rsid w:val="2B8D039B"/>
    <w:rsid w:val="2B90195F"/>
    <w:rsid w:val="2B9B5E5B"/>
    <w:rsid w:val="2B9F0788"/>
    <w:rsid w:val="2B9F3B9D"/>
    <w:rsid w:val="2B9F687E"/>
    <w:rsid w:val="2BAA4604"/>
    <w:rsid w:val="2BAC0068"/>
    <w:rsid w:val="2BB1742D"/>
    <w:rsid w:val="2BB21A69"/>
    <w:rsid w:val="2BB44AC4"/>
    <w:rsid w:val="2BB86A0D"/>
    <w:rsid w:val="2BC26BE9"/>
    <w:rsid w:val="2BD0505A"/>
    <w:rsid w:val="2BD17ACF"/>
    <w:rsid w:val="2BDF21EC"/>
    <w:rsid w:val="2BE9306B"/>
    <w:rsid w:val="2BEB3377"/>
    <w:rsid w:val="2BEE5CA9"/>
    <w:rsid w:val="2C0A4127"/>
    <w:rsid w:val="2C0D6779"/>
    <w:rsid w:val="2C183950"/>
    <w:rsid w:val="2C274940"/>
    <w:rsid w:val="2C292619"/>
    <w:rsid w:val="2C324A12"/>
    <w:rsid w:val="2C363DD6"/>
    <w:rsid w:val="2C372028"/>
    <w:rsid w:val="2C395B26"/>
    <w:rsid w:val="2C416A03"/>
    <w:rsid w:val="2C42277B"/>
    <w:rsid w:val="2C530710"/>
    <w:rsid w:val="2C5A79A9"/>
    <w:rsid w:val="2C5B55EB"/>
    <w:rsid w:val="2C5D1363"/>
    <w:rsid w:val="2C657D51"/>
    <w:rsid w:val="2C6B1CD2"/>
    <w:rsid w:val="2C6E17C2"/>
    <w:rsid w:val="2C7566AC"/>
    <w:rsid w:val="2C772424"/>
    <w:rsid w:val="2C807E2F"/>
    <w:rsid w:val="2C8114F5"/>
    <w:rsid w:val="2C8132A3"/>
    <w:rsid w:val="2C844B41"/>
    <w:rsid w:val="2C954FA0"/>
    <w:rsid w:val="2C9872AB"/>
    <w:rsid w:val="2C9E2ECC"/>
    <w:rsid w:val="2C9E6AF0"/>
    <w:rsid w:val="2C9F2793"/>
    <w:rsid w:val="2CA13945"/>
    <w:rsid w:val="2CA46F92"/>
    <w:rsid w:val="2CA64F96"/>
    <w:rsid w:val="2CAE117D"/>
    <w:rsid w:val="2CAE1BBE"/>
    <w:rsid w:val="2CB371D5"/>
    <w:rsid w:val="2CB4131A"/>
    <w:rsid w:val="2CB9711D"/>
    <w:rsid w:val="2CBA0563"/>
    <w:rsid w:val="2CBE44F7"/>
    <w:rsid w:val="2CC234F1"/>
    <w:rsid w:val="2CC80A91"/>
    <w:rsid w:val="2CC94C4A"/>
    <w:rsid w:val="2CCA0CCA"/>
    <w:rsid w:val="2CD8247E"/>
    <w:rsid w:val="2CD94E8D"/>
    <w:rsid w:val="2CDC497D"/>
    <w:rsid w:val="2CE13D42"/>
    <w:rsid w:val="2CEC36FF"/>
    <w:rsid w:val="2CED44CE"/>
    <w:rsid w:val="2CEE645F"/>
    <w:rsid w:val="2CF47F19"/>
    <w:rsid w:val="2D016192"/>
    <w:rsid w:val="2D031489"/>
    <w:rsid w:val="2D032A7B"/>
    <w:rsid w:val="2D055F0E"/>
    <w:rsid w:val="2D0A14EA"/>
    <w:rsid w:val="2D151C3D"/>
    <w:rsid w:val="2D1C2005"/>
    <w:rsid w:val="2D257DDB"/>
    <w:rsid w:val="2D263E4A"/>
    <w:rsid w:val="2D303F58"/>
    <w:rsid w:val="2D341F2A"/>
    <w:rsid w:val="2D35408E"/>
    <w:rsid w:val="2D400007"/>
    <w:rsid w:val="2D43338B"/>
    <w:rsid w:val="2D4542D1"/>
    <w:rsid w:val="2D480265"/>
    <w:rsid w:val="2D485B6F"/>
    <w:rsid w:val="2D5244E5"/>
    <w:rsid w:val="2D524C40"/>
    <w:rsid w:val="2D57250A"/>
    <w:rsid w:val="2D6055AE"/>
    <w:rsid w:val="2D616C31"/>
    <w:rsid w:val="2D672EFF"/>
    <w:rsid w:val="2D6F35DC"/>
    <w:rsid w:val="2D7626DC"/>
    <w:rsid w:val="2D7801D2"/>
    <w:rsid w:val="2D796670"/>
    <w:rsid w:val="2D7C1CBC"/>
    <w:rsid w:val="2D9B0395"/>
    <w:rsid w:val="2D9B2143"/>
    <w:rsid w:val="2DA42C0C"/>
    <w:rsid w:val="2DA52FC1"/>
    <w:rsid w:val="2DA566DD"/>
    <w:rsid w:val="2DA90D03"/>
    <w:rsid w:val="2DAF3E40"/>
    <w:rsid w:val="2DB43204"/>
    <w:rsid w:val="2DB476A8"/>
    <w:rsid w:val="2DB72CF5"/>
    <w:rsid w:val="2DBC4548"/>
    <w:rsid w:val="2DC23B73"/>
    <w:rsid w:val="2DCA03B0"/>
    <w:rsid w:val="2DCB1A27"/>
    <w:rsid w:val="2DCD2FA3"/>
    <w:rsid w:val="2DD90EBD"/>
    <w:rsid w:val="2DE24215"/>
    <w:rsid w:val="2DE30427"/>
    <w:rsid w:val="2DE735DA"/>
    <w:rsid w:val="2DE75388"/>
    <w:rsid w:val="2DE871BD"/>
    <w:rsid w:val="2DF872ED"/>
    <w:rsid w:val="2E020414"/>
    <w:rsid w:val="2E190DEA"/>
    <w:rsid w:val="2E192945"/>
    <w:rsid w:val="2E2959A0"/>
    <w:rsid w:val="2E312AA7"/>
    <w:rsid w:val="2E40405E"/>
    <w:rsid w:val="2E4427DA"/>
    <w:rsid w:val="2E4B1DBB"/>
    <w:rsid w:val="2E4E5407"/>
    <w:rsid w:val="2E530C6F"/>
    <w:rsid w:val="2E5549E7"/>
    <w:rsid w:val="2E56250D"/>
    <w:rsid w:val="2E5642BC"/>
    <w:rsid w:val="2E57204A"/>
    <w:rsid w:val="2E5A1FFE"/>
    <w:rsid w:val="2E633990"/>
    <w:rsid w:val="2E660EFE"/>
    <w:rsid w:val="2E666BF4"/>
    <w:rsid w:val="2E725599"/>
    <w:rsid w:val="2E755089"/>
    <w:rsid w:val="2E7C6418"/>
    <w:rsid w:val="2E7F7CB6"/>
    <w:rsid w:val="2E8026E6"/>
    <w:rsid w:val="2E81758A"/>
    <w:rsid w:val="2E826747"/>
    <w:rsid w:val="2E840E29"/>
    <w:rsid w:val="2E8A1071"/>
    <w:rsid w:val="2EA2374F"/>
    <w:rsid w:val="2EC47989"/>
    <w:rsid w:val="2EDE49DD"/>
    <w:rsid w:val="2EF04710"/>
    <w:rsid w:val="2EF064BE"/>
    <w:rsid w:val="2EF44200"/>
    <w:rsid w:val="2EFC1307"/>
    <w:rsid w:val="2F01691D"/>
    <w:rsid w:val="2F0343B1"/>
    <w:rsid w:val="2F041F69"/>
    <w:rsid w:val="2F067A90"/>
    <w:rsid w:val="2F106B60"/>
    <w:rsid w:val="2F1918C7"/>
    <w:rsid w:val="2F1A5A56"/>
    <w:rsid w:val="2F1C5505"/>
    <w:rsid w:val="2F1C72B3"/>
    <w:rsid w:val="2F262CF3"/>
    <w:rsid w:val="2F2919D0"/>
    <w:rsid w:val="2F2B1BEC"/>
    <w:rsid w:val="2F2B7FC7"/>
    <w:rsid w:val="2F302D5E"/>
    <w:rsid w:val="2F3318C0"/>
    <w:rsid w:val="2F4405B8"/>
    <w:rsid w:val="2F4F47F1"/>
    <w:rsid w:val="2F546A4D"/>
    <w:rsid w:val="2F567BD3"/>
    <w:rsid w:val="2F5B4F94"/>
    <w:rsid w:val="2F5C1DA5"/>
    <w:rsid w:val="2F61116A"/>
    <w:rsid w:val="2F632BBC"/>
    <w:rsid w:val="2F6641B9"/>
    <w:rsid w:val="2F6F3887"/>
    <w:rsid w:val="2F7013AD"/>
    <w:rsid w:val="2F750D0C"/>
    <w:rsid w:val="2F7B2FAD"/>
    <w:rsid w:val="2F805A94"/>
    <w:rsid w:val="2F827A5E"/>
    <w:rsid w:val="2F837332"/>
    <w:rsid w:val="2F971030"/>
    <w:rsid w:val="2F9953DE"/>
    <w:rsid w:val="2FA67BEF"/>
    <w:rsid w:val="2FA84FEB"/>
    <w:rsid w:val="2FA86D99"/>
    <w:rsid w:val="2FAC4ADB"/>
    <w:rsid w:val="2FB92D54"/>
    <w:rsid w:val="2FC82F97"/>
    <w:rsid w:val="2FCB67B3"/>
    <w:rsid w:val="2FCC0CD9"/>
    <w:rsid w:val="2FD23E16"/>
    <w:rsid w:val="2FDE7839"/>
    <w:rsid w:val="2FDF6A95"/>
    <w:rsid w:val="2FE45109"/>
    <w:rsid w:val="2FEE6EA1"/>
    <w:rsid w:val="2FF65D56"/>
    <w:rsid w:val="2FF95846"/>
    <w:rsid w:val="300246FB"/>
    <w:rsid w:val="30093CDB"/>
    <w:rsid w:val="300F63F2"/>
    <w:rsid w:val="30134B5A"/>
    <w:rsid w:val="30134B9E"/>
    <w:rsid w:val="301937F3"/>
    <w:rsid w:val="301D7787"/>
    <w:rsid w:val="302F3016"/>
    <w:rsid w:val="303643A5"/>
    <w:rsid w:val="303845C1"/>
    <w:rsid w:val="303B7C0D"/>
    <w:rsid w:val="303C485F"/>
    <w:rsid w:val="30406FD1"/>
    <w:rsid w:val="30422D49"/>
    <w:rsid w:val="30450A8C"/>
    <w:rsid w:val="304E5B92"/>
    <w:rsid w:val="304F36B8"/>
    <w:rsid w:val="30515682"/>
    <w:rsid w:val="30534F57"/>
    <w:rsid w:val="30607673"/>
    <w:rsid w:val="306B6744"/>
    <w:rsid w:val="306E7B96"/>
    <w:rsid w:val="3071362F"/>
    <w:rsid w:val="307779B6"/>
    <w:rsid w:val="30783291"/>
    <w:rsid w:val="308570DA"/>
    <w:rsid w:val="308B70BE"/>
    <w:rsid w:val="30962F52"/>
    <w:rsid w:val="30964BCF"/>
    <w:rsid w:val="30A43A04"/>
    <w:rsid w:val="30A56676"/>
    <w:rsid w:val="30A6777C"/>
    <w:rsid w:val="30A93220"/>
    <w:rsid w:val="30BE1F06"/>
    <w:rsid w:val="30BF25EC"/>
    <w:rsid w:val="30C145B6"/>
    <w:rsid w:val="30C831C7"/>
    <w:rsid w:val="30D616E4"/>
    <w:rsid w:val="30DC13F0"/>
    <w:rsid w:val="30DE58EA"/>
    <w:rsid w:val="30DF2C8E"/>
    <w:rsid w:val="30E536AA"/>
    <w:rsid w:val="30F00CA3"/>
    <w:rsid w:val="30F85AFE"/>
    <w:rsid w:val="30FE1366"/>
    <w:rsid w:val="310855D7"/>
    <w:rsid w:val="31132938"/>
    <w:rsid w:val="311344B3"/>
    <w:rsid w:val="311346E6"/>
    <w:rsid w:val="311B750B"/>
    <w:rsid w:val="311E5564"/>
    <w:rsid w:val="311F12DD"/>
    <w:rsid w:val="31232B7B"/>
    <w:rsid w:val="312A6542"/>
    <w:rsid w:val="313421A7"/>
    <w:rsid w:val="31496359"/>
    <w:rsid w:val="314D409C"/>
    <w:rsid w:val="314D44A4"/>
    <w:rsid w:val="314F1EA4"/>
    <w:rsid w:val="31557F29"/>
    <w:rsid w:val="315947EF"/>
    <w:rsid w:val="315E1E05"/>
    <w:rsid w:val="316311C9"/>
    <w:rsid w:val="31717D8A"/>
    <w:rsid w:val="31741628"/>
    <w:rsid w:val="317C5629"/>
    <w:rsid w:val="317C672F"/>
    <w:rsid w:val="318A0E4C"/>
    <w:rsid w:val="318B0720"/>
    <w:rsid w:val="318B4ACA"/>
    <w:rsid w:val="318C4BC4"/>
    <w:rsid w:val="31973569"/>
    <w:rsid w:val="31985D5B"/>
    <w:rsid w:val="31B163D9"/>
    <w:rsid w:val="31B82C24"/>
    <w:rsid w:val="31BD2FCF"/>
    <w:rsid w:val="31BF0628"/>
    <w:rsid w:val="31CB005B"/>
    <w:rsid w:val="31DC0F7C"/>
    <w:rsid w:val="31E52004"/>
    <w:rsid w:val="31E569C4"/>
    <w:rsid w:val="31F2254D"/>
    <w:rsid w:val="31FD7870"/>
    <w:rsid w:val="3207424B"/>
    <w:rsid w:val="320F1A2D"/>
    <w:rsid w:val="32133D5A"/>
    <w:rsid w:val="32140991"/>
    <w:rsid w:val="32161171"/>
    <w:rsid w:val="321815D1"/>
    <w:rsid w:val="321921D0"/>
    <w:rsid w:val="3220273D"/>
    <w:rsid w:val="322D4ACD"/>
    <w:rsid w:val="3235386A"/>
    <w:rsid w:val="323808A8"/>
    <w:rsid w:val="323922EC"/>
    <w:rsid w:val="324234D5"/>
    <w:rsid w:val="324A2266"/>
    <w:rsid w:val="324D6924"/>
    <w:rsid w:val="324E2CE2"/>
    <w:rsid w:val="32526702"/>
    <w:rsid w:val="32546D64"/>
    <w:rsid w:val="32555EB0"/>
    <w:rsid w:val="325A7D56"/>
    <w:rsid w:val="326162E8"/>
    <w:rsid w:val="32700042"/>
    <w:rsid w:val="327318E0"/>
    <w:rsid w:val="3276317E"/>
    <w:rsid w:val="32794A1C"/>
    <w:rsid w:val="327B600A"/>
    <w:rsid w:val="327F4D78"/>
    <w:rsid w:val="32836549"/>
    <w:rsid w:val="3287538B"/>
    <w:rsid w:val="32A509BB"/>
    <w:rsid w:val="32AC094E"/>
    <w:rsid w:val="32B50CED"/>
    <w:rsid w:val="32B9580A"/>
    <w:rsid w:val="32BC3F4B"/>
    <w:rsid w:val="32C1089D"/>
    <w:rsid w:val="32CB3728"/>
    <w:rsid w:val="32D27F9E"/>
    <w:rsid w:val="32DC56D7"/>
    <w:rsid w:val="32E0684A"/>
    <w:rsid w:val="32E4458C"/>
    <w:rsid w:val="32EA5924"/>
    <w:rsid w:val="32EC3440"/>
    <w:rsid w:val="32EE7197"/>
    <w:rsid w:val="32F43EB9"/>
    <w:rsid w:val="32F93107"/>
    <w:rsid w:val="33002903"/>
    <w:rsid w:val="33014FE2"/>
    <w:rsid w:val="33042538"/>
    <w:rsid w:val="33062754"/>
    <w:rsid w:val="33071BBC"/>
    <w:rsid w:val="33106F7B"/>
    <w:rsid w:val="331309CD"/>
    <w:rsid w:val="331532D3"/>
    <w:rsid w:val="3316226B"/>
    <w:rsid w:val="3317670F"/>
    <w:rsid w:val="33233533"/>
    <w:rsid w:val="332525B0"/>
    <w:rsid w:val="332901F1"/>
    <w:rsid w:val="332C1A8F"/>
    <w:rsid w:val="332E1CAB"/>
    <w:rsid w:val="332F6F63"/>
    <w:rsid w:val="333077D1"/>
    <w:rsid w:val="33354DE7"/>
    <w:rsid w:val="333D68D1"/>
    <w:rsid w:val="33423060"/>
    <w:rsid w:val="3348512D"/>
    <w:rsid w:val="334B1737"/>
    <w:rsid w:val="334E7C57"/>
    <w:rsid w:val="335039CF"/>
    <w:rsid w:val="33583BE9"/>
    <w:rsid w:val="335D7E9A"/>
    <w:rsid w:val="33635E53"/>
    <w:rsid w:val="33641229"/>
    <w:rsid w:val="33656452"/>
    <w:rsid w:val="33707BCD"/>
    <w:rsid w:val="33767FA9"/>
    <w:rsid w:val="337C6572"/>
    <w:rsid w:val="33803237"/>
    <w:rsid w:val="339C6957"/>
    <w:rsid w:val="339C6C14"/>
    <w:rsid w:val="339E2CFE"/>
    <w:rsid w:val="33A14B6A"/>
    <w:rsid w:val="33A15FD9"/>
    <w:rsid w:val="33A31D51"/>
    <w:rsid w:val="33A930DF"/>
    <w:rsid w:val="33AB50A9"/>
    <w:rsid w:val="33B45D0C"/>
    <w:rsid w:val="33BA52ED"/>
    <w:rsid w:val="33C5616B"/>
    <w:rsid w:val="33C65A3F"/>
    <w:rsid w:val="33D26ADA"/>
    <w:rsid w:val="33DB773D"/>
    <w:rsid w:val="33E006B7"/>
    <w:rsid w:val="33E16D1D"/>
    <w:rsid w:val="33ED121E"/>
    <w:rsid w:val="33EF57B7"/>
    <w:rsid w:val="33F054D3"/>
    <w:rsid w:val="33F24A86"/>
    <w:rsid w:val="340225C1"/>
    <w:rsid w:val="34024B6F"/>
    <w:rsid w:val="34034EE6"/>
    <w:rsid w:val="340A1DD0"/>
    <w:rsid w:val="340D7B12"/>
    <w:rsid w:val="340E140B"/>
    <w:rsid w:val="341669C7"/>
    <w:rsid w:val="341B222F"/>
    <w:rsid w:val="341E1D1F"/>
    <w:rsid w:val="341E3ACD"/>
    <w:rsid w:val="34235B6C"/>
    <w:rsid w:val="34254E5C"/>
    <w:rsid w:val="342A2472"/>
    <w:rsid w:val="343155AF"/>
    <w:rsid w:val="343230D5"/>
    <w:rsid w:val="34346E4D"/>
    <w:rsid w:val="3445105A"/>
    <w:rsid w:val="344828F8"/>
    <w:rsid w:val="3448340A"/>
    <w:rsid w:val="34497086"/>
    <w:rsid w:val="344A6670"/>
    <w:rsid w:val="344F07E5"/>
    <w:rsid w:val="3451335B"/>
    <w:rsid w:val="345E3ECA"/>
    <w:rsid w:val="346810AD"/>
    <w:rsid w:val="34692D0C"/>
    <w:rsid w:val="346F257B"/>
    <w:rsid w:val="346F60D7"/>
    <w:rsid w:val="34763909"/>
    <w:rsid w:val="347D07F4"/>
    <w:rsid w:val="348002E4"/>
    <w:rsid w:val="348E0C53"/>
    <w:rsid w:val="349124F1"/>
    <w:rsid w:val="34943237"/>
    <w:rsid w:val="349618B6"/>
    <w:rsid w:val="349E4CF3"/>
    <w:rsid w:val="34A45F42"/>
    <w:rsid w:val="34A7178A"/>
    <w:rsid w:val="34A73AC3"/>
    <w:rsid w:val="34B527FB"/>
    <w:rsid w:val="34B64ABF"/>
    <w:rsid w:val="34BA1A48"/>
    <w:rsid w:val="34BB30CA"/>
    <w:rsid w:val="34C849A9"/>
    <w:rsid w:val="34CB5B1B"/>
    <w:rsid w:val="34D26068"/>
    <w:rsid w:val="34D90FE6"/>
    <w:rsid w:val="34E26D79"/>
    <w:rsid w:val="34E357E5"/>
    <w:rsid w:val="34E44723"/>
    <w:rsid w:val="34F32569"/>
    <w:rsid w:val="34F47453"/>
    <w:rsid w:val="34FE7690"/>
    <w:rsid w:val="34FF17C5"/>
    <w:rsid w:val="34FF407A"/>
    <w:rsid w:val="35011425"/>
    <w:rsid w:val="35020CF9"/>
    <w:rsid w:val="35044A71"/>
    <w:rsid w:val="35095D36"/>
    <w:rsid w:val="350E5C1B"/>
    <w:rsid w:val="35142B6E"/>
    <w:rsid w:val="35154ED0"/>
    <w:rsid w:val="35175EB0"/>
    <w:rsid w:val="351A4DEC"/>
    <w:rsid w:val="351D1FD7"/>
    <w:rsid w:val="35215623"/>
    <w:rsid w:val="35274BB7"/>
    <w:rsid w:val="352D1338"/>
    <w:rsid w:val="35301D0A"/>
    <w:rsid w:val="35311EFE"/>
    <w:rsid w:val="3538296D"/>
    <w:rsid w:val="35391CE5"/>
    <w:rsid w:val="3539462C"/>
    <w:rsid w:val="35415CC5"/>
    <w:rsid w:val="35457A02"/>
    <w:rsid w:val="35472BB0"/>
    <w:rsid w:val="35475F4E"/>
    <w:rsid w:val="354B6B44"/>
    <w:rsid w:val="355A0B35"/>
    <w:rsid w:val="356419B4"/>
    <w:rsid w:val="3575771D"/>
    <w:rsid w:val="357A11D7"/>
    <w:rsid w:val="35812566"/>
    <w:rsid w:val="358B5A5F"/>
    <w:rsid w:val="358C0119"/>
    <w:rsid w:val="3595159F"/>
    <w:rsid w:val="35984358"/>
    <w:rsid w:val="35987004"/>
    <w:rsid w:val="359A7022"/>
    <w:rsid w:val="359D5EC3"/>
    <w:rsid w:val="35A66F4F"/>
    <w:rsid w:val="35AA1ED7"/>
    <w:rsid w:val="35B75F88"/>
    <w:rsid w:val="35BB33C8"/>
    <w:rsid w:val="35BE2E72"/>
    <w:rsid w:val="35C4759E"/>
    <w:rsid w:val="35D02BA5"/>
    <w:rsid w:val="35D56FBA"/>
    <w:rsid w:val="35E0728C"/>
    <w:rsid w:val="35E33436"/>
    <w:rsid w:val="35F20D6E"/>
    <w:rsid w:val="35F40F8A"/>
    <w:rsid w:val="35F920FC"/>
    <w:rsid w:val="35FA08D1"/>
    <w:rsid w:val="35FA7C22"/>
    <w:rsid w:val="35FC5E78"/>
    <w:rsid w:val="360A4309"/>
    <w:rsid w:val="36107446"/>
    <w:rsid w:val="36140CB9"/>
    <w:rsid w:val="361B6516"/>
    <w:rsid w:val="361E2874"/>
    <w:rsid w:val="36211653"/>
    <w:rsid w:val="36257395"/>
    <w:rsid w:val="36370E76"/>
    <w:rsid w:val="363932F5"/>
    <w:rsid w:val="363E2205"/>
    <w:rsid w:val="364F0283"/>
    <w:rsid w:val="364F4412"/>
    <w:rsid w:val="36511F38"/>
    <w:rsid w:val="3652180C"/>
    <w:rsid w:val="365C268B"/>
    <w:rsid w:val="365E3B0D"/>
    <w:rsid w:val="365E4655"/>
    <w:rsid w:val="36653C36"/>
    <w:rsid w:val="366A124C"/>
    <w:rsid w:val="366D4898"/>
    <w:rsid w:val="367125DA"/>
    <w:rsid w:val="36723C5D"/>
    <w:rsid w:val="367774C5"/>
    <w:rsid w:val="368045CB"/>
    <w:rsid w:val="36851EDC"/>
    <w:rsid w:val="36853990"/>
    <w:rsid w:val="36932F45"/>
    <w:rsid w:val="369D517D"/>
    <w:rsid w:val="369E4A52"/>
    <w:rsid w:val="36A50F20"/>
    <w:rsid w:val="36AE738B"/>
    <w:rsid w:val="36B3674F"/>
    <w:rsid w:val="36B812AD"/>
    <w:rsid w:val="36BB1AA7"/>
    <w:rsid w:val="36BD56F1"/>
    <w:rsid w:val="36BE3744"/>
    <w:rsid w:val="36BE5504"/>
    <w:rsid w:val="36C070BE"/>
    <w:rsid w:val="36E42DAC"/>
    <w:rsid w:val="36E7464B"/>
    <w:rsid w:val="36EF34FF"/>
    <w:rsid w:val="36EF52AD"/>
    <w:rsid w:val="36F6663C"/>
    <w:rsid w:val="36FF3742"/>
    <w:rsid w:val="370451FC"/>
    <w:rsid w:val="37113475"/>
    <w:rsid w:val="3711477B"/>
    <w:rsid w:val="371B60A2"/>
    <w:rsid w:val="371E0791"/>
    <w:rsid w:val="371F3DE4"/>
    <w:rsid w:val="371F7B4F"/>
    <w:rsid w:val="37247B2D"/>
    <w:rsid w:val="3727621C"/>
    <w:rsid w:val="372A4537"/>
    <w:rsid w:val="372C4753"/>
    <w:rsid w:val="372C6501"/>
    <w:rsid w:val="372D208E"/>
    <w:rsid w:val="37305FF2"/>
    <w:rsid w:val="373B4EC8"/>
    <w:rsid w:val="373C4996"/>
    <w:rsid w:val="373D2DFA"/>
    <w:rsid w:val="374851FE"/>
    <w:rsid w:val="374C6AA7"/>
    <w:rsid w:val="375647D6"/>
    <w:rsid w:val="375B7008"/>
    <w:rsid w:val="37604154"/>
    <w:rsid w:val="37684B3E"/>
    <w:rsid w:val="37695060"/>
    <w:rsid w:val="376D2DA2"/>
    <w:rsid w:val="37732382"/>
    <w:rsid w:val="3776528F"/>
    <w:rsid w:val="37823DA5"/>
    <w:rsid w:val="37891C41"/>
    <w:rsid w:val="378974B0"/>
    <w:rsid w:val="378D51F2"/>
    <w:rsid w:val="379876F3"/>
    <w:rsid w:val="379B110E"/>
    <w:rsid w:val="37A04FCA"/>
    <w:rsid w:val="37A42999"/>
    <w:rsid w:val="37AA6032"/>
    <w:rsid w:val="37B207B5"/>
    <w:rsid w:val="37B564F7"/>
    <w:rsid w:val="37B92247"/>
    <w:rsid w:val="37BC1229"/>
    <w:rsid w:val="37BF2ED1"/>
    <w:rsid w:val="37CD7BFE"/>
    <w:rsid w:val="37D33C22"/>
    <w:rsid w:val="37D96B10"/>
    <w:rsid w:val="37DA51A5"/>
    <w:rsid w:val="37DC7F27"/>
    <w:rsid w:val="37E62B54"/>
    <w:rsid w:val="37E64902"/>
    <w:rsid w:val="37EA43F2"/>
    <w:rsid w:val="37EC2768"/>
    <w:rsid w:val="37F0284C"/>
    <w:rsid w:val="37F45271"/>
    <w:rsid w:val="37F54B45"/>
    <w:rsid w:val="37F7266B"/>
    <w:rsid w:val="37F76B0F"/>
    <w:rsid w:val="37FC5ED4"/>
    <w:rsid w:val="38033706"/>
    <w:rsid w:val="38073D44"/>
    <w:rsid w:val="3810198A"/>
    <w:rsid w:val="38105B84"/>
    <w:rsid w:val="381274A5"/>
    <w:rsid w:val="38186543"/>
    <w:rsid w:val="381C47C8"/>
    <w:rsid w:val="38250279"/>
    <w:rsid w:val="383E473E"/>
    <w:rsid w:val="38455ACD"/>
    <w:rsid w:val="384A443D"/>
    <w:rsid w:val="384F06F9"/>
    <w:rsid w:val="38580A64"/>
    <w:rsid w:val="385950D4"/>
    <w:rsid w:val="385E26EA"/>
    <w:rsid w:val="38611B4B"/>
    <w:rsid w:val="38635F53"/>
    <w:rsid w:val="3873436A"/>
    <w:rsid w:val="3883307A"/>
    <w:rsid w:val="388365F5"/>
    <w:rsid w:val="3885236D"/>
    <w:rsid w:val="388A017C"/>
    <w:rsid w:val="38912AC0"/>
    <w:rsid w:val="3894610C"/>
    <w:rsid w:val="38A81357"/>
    <w:rsid w:val="38B1729A"/>
    <w:rsid w:val="38B93DC5"/>
    <w:rsid w:val="38BB18EB"/>
    <w:rsid w:val="38BB7B3D"/>
    <w:rsid w:val="38C509BB"/>
    <w:rsid w:val="38CD0F8C"/>
    <w:rsid w:val="38D46E50"/>
    <w:rsid w:val="38D94BBA"/>
    <w:rsid w:val="38DF7CCF"/>
    <w:rsid w:val="38E01351"/>
    <w:rsid w:val="38E05B49"/>
    <w:rsid w:val="38E075A3"/>
    <w:rsid w:val="38E1420B"/>
    <w:rsid w:val="38E27E68"/>
    <w:rsid w:val="38ED3A6E"/>
    <w:rsid w:val="38EF5A38"/>
    <w:rsid w:val="38F04EFE"/>
    <w:rsid w:val="38FB7F54"/>
    <w:rsid w:val="39047736"/>
    <w:rsid w:val="39052C4B"/>
    <w:rsid w:val="39072D82"/>
    <w:rsid w:val="390810C8"/>
    <w:rsid w:val="390A24E3"/>
    <w:rsid w:val="390A2872"/>
    <w:rsid w:val="390B6EF7"/>
    <w:rsid w:val="39112E4E"/>
    <w:rsid w:val="39184F8F"/>
    <w:rsid w:val="391C307B"/>
    <w:rsid w:val="391D752C"/>
    <w:rsid w:val="391E71C1"/>
    <w:rsid w:val="39240A54"/>
    <w:rsid w:val="392865B3"/>
    <w:rsid w:val="392B4CC2"/>
    <w:rsid w:val="392D4A0A"/>
    <w:rsid w:val="39333B77"/>
    <w:rsid w:val="393578EF"/>
    <w:rsid w:val="3938118D"/>
    <w:rsid w:val="39406294"/>
    <w:rsid w:val="394144E6"/>
    <w:rsid w:val="39447B32"/>
    <w:rsid w:val="39480AC1"/>
    <w:rsid w:val="394A237A"/>
    <w:rsid w:val="394C4C39"/>
    <w:rsid w:val="395025EE"/>
    <w:rsid w:val="39567866"/>
    <w:rsid w:val="39583C9F"/>
    <w:rsid w:val="395B4E7C"/>
    <w:rsid w:val="395D73D0"/>
    <w:rsid w:val="3961094E"/>
    <w:rsid w:val="39700927"/>
    <w:rsid w:val="39754190"/>
    <w:rsid w:val="397A15B2"/>
    <w:rsid w:val="397C3770"/>
    <w:rsid w:val="39893631"/>
    <w:rsid w:val="39A44A75"/>
    <w:rsid w:val="39A54D71"/>
    <w:rsid w:val="39A71E6F"/>
    <w:rsid w:val="39AE1450"/>
    <w:rsid w:val="39AF6B99"/>
    <w:rsid w:val="39B30062"/>
    <w:rsid w:val="39B60304"/>
    <w:rsid w:val="39B744F9"/>
    <w:rsid w:val="39C90037"/>
    <w:rsid w:val="39D05CA1"/>
    <w:rsid w:val="39D12944"/>
    <w:rsid w:val="39D154B9"/>
    <w:rsid w:val="39DA3FF3"/>
    <w:rsid w:val="39E7589A"/>
    <w:rsid w:val="39E906DA"/>
    <w:rsid w:val="39EB4452"/>
    <w:rsid w:val="39F07CBA"/>
    <w:rsid w:val="39F1482F"/>
    <w:rsid w:val="39F31088"/>
    <w:rsid w:val="39FC2C7A"/>
    <w:rsid w:val="39FC7DA9"/>
    <w:rsid w:val="3A0B0650"/>
    <w:rsid w:val="3A0B3C30"/>
    <w:rsid w:val="3A1F0E7F"/>
    <w:rsid w:val="3A26221A"/>
    <w:rsid w:val="3A276794"/>
    <w:rsid w:val="3A2C0AE9"/>
    <w:rsid w:val="3A4F2C33"/>
    <w:rsid w:val="3A52002D"/>
    <w:rsid w:val="3A571AE7"/>
    <w:rsid w:val="3A5868EC"/>
    <w:rsid w:val="3A59760D"/>
    <w:rsid w:val="3A5C70FE"/>
    <w:rsid w:val="3A655F55"/>
    <w:rsid w:val="3A672189"/>
    <w:rsid w:val="3A6C28F2"/>
    <w:rsid w:val="3A727012"/>
    <w:rsid w:val="3A747E84"/>
    <w:rsid w:val="3A79380C"/>
    <w:rsid w:val="3A7C35B8"/>
    <w:rsid w:val="3A856654"/>
    <w:rsid w:val="3A960861"/>
    <w:rsid w:val="3A971EE4"/>
    <w:rsid w:val="3AA35DD3"/>
    <w:rsid w:val="3AAF547F"/>
    <w:rsid w:val="3AB46F3A"/>
    <w:rsid w:val="3ABA6DA6"/>
    <w:rsid w:val="3ABE56C2"/>
    <w:rsid w:val="3AC30A47"/>
    <w:rsid w:val="3AC86541"/>
    <w:rsid w:val="3ACC4E51"/>
    <w:rsid w:val="3AD62A0C"/>
    <w:rsid w:val="3ADF1782"/>
    <w:rsid w:val="3AE03C9D"/>
    <w:rsid w:val="3AE61078"/>
    <w:rsid w:val="3AEA37C6"/>
    <w:rsid w:val="3AF25027"/>
    <w:rsid w:val="3AF866BC"/>
    <w:rsid w:val="3AFE5C11"/>
    <w:rsid w:val="3B070E17"/>
    <w:rsid w:val="3B077069"/>
    <w:rsid w:val="3B0D21A6"/>
    <w:rsid w:val="3B0F4170"/>
    <w:rsid w:val="3B1874C8"/>
    <w:rsid w:val="3B32190E"/>
    <w:rsid w:val="3B443E1A"/>
    <w:rsid w:val="3B451940"/>
    <w:rsid w:val="3B464036"/>
    <w:rsid w:val="3B502F8E"/>
    <w:rsid w:val="3B534A75"/>
    <w:rsid w:val="3B5953EB"/>
    <w:rsid w:val="3B6049CB"/>
    <w:rsid w:val="3B616845"/>
    <w:rsid w:val="3B64380F"/>
    <w:rsid w:val="3B660234"/>
    <w:rsid w:val="3B6722D3"/>
    <w:rsid w:val="3B736951"/>
    <w:rsid w:val="3B824942"/>
    <w:rsid w:val="3B84690C"/>
    <w:rsid w:val="3B8E784F"/>
    <w:rsid w:val="3B9259C0"/>
    <w:rsid w:val="3BAC7C11"/>
    <w:rsid w:val="3BB43A35"/>
    <w:rsid w:val="3BB4717C"/>
    <w:rsid w:val="3BB6252F"/>
    <w:rsid w:val="3BB6283D"/>
    <w:rsid w:val="3BB91FE7"/>
    <w:rsid w:val="3BBC42F8"/>
    <w:rsid w:val="3BC431AC"/>
    <w:rsid w:val="3BCB3FD3"/>
    <w:rsid w:val="3BD31641"/>
    <w:rsid w:val="3BDB05F6"/>
    <w:rsid w:val="3BE431A3"/>
    <w:rsid w:val="3BE455FD"/>
    <w:rsid w:val="3BE475A2"/>
    <w:rsid w:val="3BE60A52"/>
    <w:rsid w:val="3BE830AD"/>
    <w:rsid w:val="3BFA097C"/>
    <w:rsid w:val="3BFA0A04"/>
    <w:rsid w:val="3C0001FC"/>
    <w:rsid w:val="3C017F5D"/>
    <w:rsid w:val="3C033CD5"/>
    <w:rsid w:val="3C0417FB"/>
    <w:rsid w:val="3C097069"/>
    <w:rsid w:val="3C0F7707"/>
    <w:rsid w:val="3C125CC6"/>
    <w:rsid w:val="3C131A3E"/>
    <w:rsid w:val="3C1557B6"/>
    <w:rsid w:val="3C1A2DCC"/>
    <w:rsid w:val="3C243C4B"/>
    <w:rsid w:val="3C2D6FA3"/>
    <w:rsid w:val="3C3E2F5F"/>
    <w:rsid w:val="3C463BC1"/>
    <w:rsid w:val="3C4E65DA"/>
    <w:rsid w:val="3C534D04"/>
    <w:rsid w:val="3C567AE3"/>
    <w:rsid w:val="3C57138A"/>
    <w:rsid w:val="3C5E715D"/>
    <w:rsid w:val="3C5F4C83"/>
    <w:rsid w:val="3C6109FB"/>
    <w:rsid w:val="3C620EB2"/>
    <w:rsid w:val="3C645056"/>
    <w:rsid w:val="3C6B4CC5"/>
    <w:rsid w:val="3C700C3E"/>
    <w:rsid w:val="3C706E90"/>
    <w:rsid w:val="3C74072E"/>
    <w:rsid w:val="3C776471"/>
    <w:rsid w:val="3C787A30"/>
    <w:rsid w:val="3C793F97"/>
    <w:rsid w:val="3C860462"/>
    <w:rsid w:val="3C885F88"/>
    <w:rsid w:val="3C8A61A4"/>
    <w:rsid w:val="3C8B3CCA"/>
    <w:rsid w:val="3C8B453E"/>
    <w:rsid w:val="3C925059"/>
    <w:rsid w:val="3C945797"/>
    <w:rsid w:val="3C9B215F"/>
    <w:rsid w:val="3CAC611A"/>
    <w:rsid w:val="3CB90837"/>
    <w:rsid w:val="3CBE05CE"/>
    <w:rsid w:val="3CBE19AA"/>
    <w:rsid w:val="3CC64DD6"/>
    <w:rsid w:val="3CD636FE"/>
    <w:rsid w:val="3CE957CA"/>
    <w:rsid w:val="3CEC1737"/>
    <w:rsid w:val="3CF3655B"/>
    <w:rsid w:val="3CFB6910"/>
    <w:rsid w:val="3D0539A1"/>
    <w:rsid w:val="3D073C65"/>
    <w:rsid w:val="3D0C6BB9"/>
    <w:rsid w:val="3D112421"/>
    <w:rsid w:val="3D2008B6"/>
    <w:rsid w:val="3D233F03"/>
    <w:rsid w:val="3D2832C7"/>
    <w:rsid w:val="3D361E88"/>
    <w:rsid w:val="3D393726"/>
    <w:rsid w:val="3D402D06"/>
    <w:rsid w:val="3D407F0C"/>
    <w:rsid w:val="3D4103E4"/>
    <w:rsid w:val="3D440107"/>
    <w:rsid w:val="3D4E5423"/>
    <w:rsid w:val="3D513680"/>
    <w:rsid w:val="3D734E8A"/>
    <w:rsid w:val="3D791D75"/>
    <w:rsid w:val="3D891FB8"/>
    <w:rsid w:val="3D89635E"/>
    <w:rsid w:val="3D8F3346"/>
    <w:rsid w:val="3D912DD0"/>
    <w:rsid w:val="3D9907AC"/>
    <w:rsid w:val="3D995500"/>
    <w:rsid w:val="3D9B1CEB"/>
    <w:rsid w:val="3DA4074B"/>
    <w:rsid w:val="3DB17760"/>
    <w:rsid w:val="3DC254CA"/>
    <w:rsid w:val="3DD31EFC"/>
    <w:rsid w:val="3DD32146"/>
    <w:rsid w:val="3DD671C7"/>
    <w:rsid w:val="3DD86A9B"/>
    <w:rsid w:val="3DDA6CB7"/>
    <w:rsid w:val="3DDE728C"/>
    <w:rsid w:val="3DE03BA2"/>
    <w:rsid w:val="3DED69EA"/>
    <w:rsid w:val="3DEE5EEA"/>
    <w:rsid w:val="3DF22BCF"/>
    <w:rsid w:val="3DFF474F"/>
    <w:rsid w:val="3DFF671E"/>
    <w:rsid w:val="3E0755D2"/>
    <w:rsid w:val="3E203150"/>
    <w:rsid w:val="3E237759"/>
    <w:rsid w:val="3E2D328B"/>
    <w:rsid w:val="3E3E1ADA"/>
    <w:rsid w:val="3E3E7246"/>
    <w:rsid w:val="3E3F6B1A"/>
    <w:rsid w:val="3E437BFD"/>
    <w:rsid w:val="3E483C21"/>
    <w:rsid w:val="3E4A5DD5"/>
    <w:rsid w:val="3E4B3711"/>
    <w:rsid w:val="3E5500EC"/>
    <w:rsid w:val="3E55419C"/>
    <w:rsid w:val="3E5A7DF8"/>
    <w:rsid w:val="3E630A5B"/>
    <w:rsid w:val="3E6B6EBE"/>
    <w:rsid w:val="3E707E79"/>
    <w:rsid w:val="3E7375E2"/>
    <w:rsid w:val="3E75078E"/>
    <w:rsid w:val="3E79027E"/>
    <w:rsid w:val="3E7C38CA"/>
    <w:rsid w:val="3E817133"/>
    <w:rsid w:val="3E8407E0"/>
    <w:rsid w:val="3E861193"/>
    <w:rsid w:val="3E8B1D5F"/>
    <w:rsid w:val="3E9055C8"/>
    <w:rsid w:val="3E95136C"/>
    <w:rsid w:val="3E9C21BE"/>
    <w:rsid w:val="3E9C3F6D"/>
    <w:rsid w:val="3E9E53BA"/>
    <w:rsid w:val="3EAD1CD6"/>
    <w:rsid w:val="3EB32859"/>
    <w:rsid w:val="3EB40CEE"/>
    <w:rsid w:val="3EBA2645"/>
    <w:rsid w:val="3EBB0897"/>
    <w:rsid w:val="3EBC460F"/>
    <w:rsid w:val="3EBD586D"/>
    <w:rsid w:val="3EBF7C5B"/>
    <w:rsid w:val="3ECD2378"/>
    <w:rsid w:val="3ED24B60"/>
    <w:rsid w:val="3ED951C1"/>
    <w:rsid w:val="3EE80F60"/>
    <w:rsid w:val="3EE84E4F"/>
    <w:rsid w:val="3EF411AD"/>
    <w:rsid w:val="3EF55704"/>
    <w:rsid w:val="3EFB54FF"/>
    <w:rsid w:val="3F021889"/>
    <w:rsid w:val="3F0328C5"/>
    <w:rsid w:val="3F0C204C"/>
    <w:rsid w:val="3F1834E2"/>
    <w:rsid w:val="3F1B41EA"/>
    <w:rsid w:val="3F223AA0"/>
    <w:rsid w:val="3F2301EA"/>
    <w:rsid w:val="3F2350B4"/>
    <w:rsid w:val="3F253F62"/>
    <w:rsid w:val="3F2C3542"/>
    <w:rsid w:val="3F3348D1"/>
    <w:rsid w:val="3F34287B"/>
    <w:rsid w:val="3F4940F4"/>
    <w:rsid w:val="3F496E81"/>
    <w:rsid w:val="3F4A7E6C"/>
    <w:rsid w:val="3F4D76DD"/>
    <w:rsid w:val="3F4E2026"/>
    <w:rsid w:val="3F4F7231"/>
    <w:rsid w:val="3F512DDB"/>
    <w:rsid w:val="3F514D57"/>
    <w:rsid w:val="3F56236D"/>
    <w:rsid w:val="3F5D7151"/>
    <w:rsid w:val="3F6820A1"/>
    <w:rsid w:val="3F7217F0"/>
    <w:rsid w:val="3F770324"/>
    <w:rsid w:val="3F7B0026"/>
    <w:rsid w:val="3F7E18C4"/>
    <w:rsid w:val="3F84512C"/>
    <w:rsid w:val="3F8664D8"/>
    <w:rsid w:val="3F890995"/>
    <w:rsid w:val="3F8A2017"/>
    <w:rsid w:val="3F981C83"/>
    <w:rsid w:val="3F9966FE"/>
    <w:rsid w:val="3FA1467E"/>
    <w:rsid w:val="3FA43C9B"/>
    <w:rsid w:val="3FB452E6"/>
    <w:rsid w:val="3FB86B84"/>
    <w:rsid w:val="3FBA6DA0"/>
    <w:rsid w:val="3FBD063E"/>
    <w:rsid w:val="3FC03C8B"/>
    <w:rsid w:val="3FC432BB"/>
    <w:rsid w:val="3FCB2D5B"/>
    <w:rsid w:val="3FCC262F"/>
    <w:rsid w:val="3FCD7432"/>
    <w:rsid w:val="3FD00372"/>
    <w:rsid w:val="3FD15E98"/>
    <w:rsid w:val="3FD634AE"/>
    <w:rsid w:val="3FE77469"/>
    <w:rsid w:val="3FEE6A4A"/>
    <w:rsid w:val="3FF322B2"/>
    <w:rsid w:val="3FFA53EF"/>
    <w:rsid w:val="3FFC13DB"/>
    <w:rsid w:val="3FFF0CBD"/>
    <w:rsid w:val="400C6ED0"/>
    <w:rsid w:val="401435B0"/>
    <w:rsid w:val="40167D4F"/>
    <w:rsid w:val="401F3A0E"/>
    <w:rsid w:val="4024421A"/>
    <w:rsid w:val="40275AB8"/>
    <w:rsid w:val="403703F1"/>
    <w:rsid w:val="4037219F"/>
    <w:rsid w:val="403749A1"/>
    <w:rsid w:val="403838CF"/>
    <w:rsid w:val="403F61D0"/>
    <w:rsid w:val="403F72A5"/>
    <w:rsid w:val="40416B7A"/>
    <w:rsid w:val="404928AB"/>
    <w:rsid w:val="40503261"/>
    <w:rsid w:val="40512B35"/>
    <w:rsid w:val="40577D12"/>
    <w:rsid w:val="405A5E8D"/>
    <w:rsid w:val="4061165D"/>
    <w:rsid w:val="40640ABA"/>
    <w:rsid w:val="40655DAC"/>
    <w:rsid w:val="40692574"/>
    <w:rsid w:val="40697B54"/>
    <w:rsid w:val="406F3C61"/>
    <w:rsid w:val="40745B6C"/>
    <w:rsid w:val="40784565"/>
    <w:rsid w:val="407955BC"/>
    <w:rsid w:val="407A2B6E"/>
    <w:rsid w:val="407F661D"/>
    <w:rsid w:val="4081166C"/>
    <w:rsid w:val="40866C82"/>
    <w:rsid w:val="40896772"/>
    <w:rsid w:val="408E47C7"/>
    <w:rsid w:val="409B286F"/>
    <w:rsid w:val="409E221E"/>
    <w:rsid w:val="409F1AF2"/>
    <w:rsid w:val="40A23AD8"/>
    <w:rsid w:val="40AF414B"/>
    <w:rsid w:val="40BC4452"/>
    <w:rsid w:val="40C31C84"/>
    <w:rsid w:val="40C91F0D"/>
    <w:rsid w:val="40C9460E"/>
    <w:rsid w:val="40D40E0E"/>
    <w:rsid w:val="40D739F2"/>
    <w:rsid w:val="40D9483A"/>
    <w:rsid w:val="40E15914"/>
    <w:rsid w:val="40E47ED6"/>
    <w:rsid w:val="40E57E4D"/>
    <w:rsid w:val="40F24318"/>
    <w:rsid w:val="40F462E2"/>
    <w:rsid w:val="40FA4F7A"/>
    <w:rsid w:val="41061B71"/>
    <w:rsid w:val="410A45DD"/>
    <w:rsid w:val="410E3720"/>
    <w:rsid w:val="411725F3"/>
    <w:rsid w:val="41173D7E"/>
    <w:rsid w:val="411B386E"/>
    <w:rsid w:val="411C310C"/>
    <w:rsid w:val="411E138B"/>
    <w:rsid w:val="41200E85"/>
    <w:rsid w:val="412344D1"/>
    <w:rsid w:val="41250259"/>
    <w:rsid w:val="412546ED"/>
    <w:rsid w:val="41285F8B"/>
    <w:rsid w:val="41306BEE"/>
    <w:rsid w:val="413466DE"/>
    <w:rsid w:val="41354204"/>
    <w:rsid w:val="41405083"/>
    <w:rsid w:val="41411E71"/>
    <w:rsid w:val="41443AE3"/>
    <w:rsid w:val="41460F8F"/>
    <w:rsid w:val="4149483A"/>
    <w:rsid w:val="414C3A28"/>
    <w:rsid w:val="415723CD"/>
    <w:rsid w:val="415A69D6"/>
    <w:rsid w:val="41635215"/>
    <w:rsid w:val="416E27E2"/>
    <w:rsid w:val="417979B4"/>
    <w:rsid w:val="417B60BB"/>
    <w:rsid w:val="418036D2"/>
    <w:rsid w:val="418F1B67"/>
    <w:rsid w:val="41984EBF"/>
    <w:rsid w:val="419D7C0F"/>
    <w:rsid w:val="41A028AC"/>
    <w:rsid w:val="41A35272"/>
    <w:rsid w:val="41A76EB0"/>
    <w:rsid w:val="41AB6C30"/>
    <w:rsid w:val="41AD023F"/>
    <w:rsid w:val="41AF3FB7"/>
    <w:rsid w:val="41B35408"/>
    <w:rsid w:val="41BB0510"/>
    <w:rsid w:val="41D27F9E"/>
    <w:rsid w:val="41D659E7"/>
    <w:rsid w:val="41D8350E"/>
    <w:rsid w:val="41DA12FB"/>
    <w:rsid w:val="41DA7286"/>
    <w:rsid w:val="41DD6D76"/>
    <w:rsid w:val="41E2438C"/>
    <w:rsid w:val="41EA1493"/>
    <w:rsid w:val="41EB6656"/>
    <w:rsid w:val="41FC2EA7"/>
    <w:rsid w:val="42004812"/>
    <w:rsid w:val="42042555"/>
    <w:rsid w:val="42044303"/>
    <w:rsid w:val="420662CD"/>
    <w:rsid w:val="420A734B"/>
    <w:rsid w:val="420E250F"/>
    <w:rsid w:val="421107CE"/>
    <w:rsid w:val="42187DAE"/>
    <w:rsid w:val="421B6F3F"/>
    <w:rsid w:val="422512FB"/>
    <w:rsid w:val="42260235"/>
    <w:rsid w:val="422724D3"/>
    <w:rsid w:val="42312C1E"/>
    <w:rsid w:val="42313785"/>
    <w:rsid w:val="423C1CEE"/>
    <w:rsid w:val="423E3462"/>
    <w:rsid w:val="42434C7D"/>
    <w:rsid w:val="424B1F31"/>
    <w:rsid w:val="42530DE6"/>
    <w:rsid w:val="4253528A"/>
    <w:rsid w:val="425414F0"/>
    <w:rsid w:val="42576B28"/>
    <w:rsid w:val="425A03C6"/>
    <w:rsid w:val="426052B1"/>
    <w:rsid w:val="42695D69"/>
    <w:rsid w:val="42703746"/>
    <w:rsid w:val="42723962"/>
    <w:rsid w:val="42760F52"/>
    <w:rsid w:val="42776299"/>
    <w:rsid w:val="427C0C6D"/>
    <w:rsid w:val="427C658F"/>
    <w:rsid w:val="427D40B5"/>
    <w:rsid w:val="427F3DA2"/>
    <w:rsid w:val="4287667D"/>
    <w:rsid w:val="42886C9F"/>
    <w:rsid w:val="429107C7"/>
    <w:rsid w:val="42915594"/>
    <w:rsid w:val="42997141"/>
    <w:rsid w:val="429D6505"/>
    <w:rsid w:val="42A20F87"/>
    <w:rsid w:val="42AB6380"/>
    <w:rsid w:val="42AC04F6"/>
    <w:rsid w:val="42AD2961"/>
    <w:rsid w:val="42AD5223"/>
    <w:rsid w:val="42B21FB1"/>
    <w:rsid w:val="42B44153"/>
    <w:rsid w:val="42B76DE9"/>
    <w:rsid w:val="42BE0955"/>
    <w:rsid w:val="42C24FD2"/>
    <w:rsid w:val="42C259CE"/>
    <w:rsid w:val="42C34B3A"/>
    <w:rsid w:val="42C51789"/>
    <w:rsid w:val="42C615B8"/>
    <w:rsid w:val="42C83C9E"/>
    <w:rsid w:val="42CE66BF"/>
    <w:rsid w:val="42D24401"/>
    <w:rsid w:val="42D31F27"/>
    <w:rsid w:val="42D71A17"/>
    <w:rsid w:val="42DF6B1E"/>
    <w:rsid w:val="42E07A7D"/>
    <w:rsid w:val="42E859D2"/>
    <w:rsid w:val="42EB7271"/>
    <w:rsid w:val="42F94AE0"/>
    <w:rsid w:val="42F95E64"/>
    <w:rsid w:val="43010842"/>
    <w:rsid w:val="43056584"/>
    <w:rsid w:val="43081BD1"/>
    <w:rsid w:val="430D6CE7"/>
    <w:rsid w:val="43122A4F"/>
    <w:rsid w:val="431B3177"/>
    <w:rsid w:val="43217136"/>
    <w:rsid w:val="432804C5"/>
    <w:rsid w:val="43291B47"/>
    <w:rsid w:val="432D7889"/>
    <w:rsid w:val="4333000A"/>
    <w:rsid w:val="43364990"/>
    <w:rsid w:val="43365387"/>
    <w:rsid w:val="43373CF9"/>
    <w:rsid w:val="433A54D5"/>
    <w:rsid w:val="433D167D"/>
    <w:rsid w:val="434067DF"/>
    <w:rsid w:val="43444EC6"/>
    <w:rsid w:val="434460FE"/>
    <w:rsid w:val="43452E25"/>
    <w:rsid w:val="43482915"/>
    <w:rsid w:val="434A4497"/>
    <w:rsid w:val="434E6604"/>
    <w:rsid w:val="434F5A51"/>
    <w:rsid w:val="435419B5"/>
    <w:rsid w:val="43562321"/>
    <w:rsid w:val="43566872"/>
    <w:rsid w:val="43572B58"/>
    <w:rsid w:val="435C3CCA"/>
    <w:rsid w:val="43657F58"/>
    <w:rsid w:val="43670FED"/>
    <w:rsid w:val="436F52E9"/>
    <w:rsid w:val="437614F2"/>
    <w:rsid w:val="437F46CD"/>
    <w:rsid w:val="43805C0B"/>
    <w:rsid w:val="438A245E"/>
    <w:rsid w:val="438C0A54"/>
    <w:rsid w:val="438C45B0"/>
    <w:rsid w:val="439813C3"/>
    <w:rsid w:val="439E42E3"/>
    <w:rsid w:val="43A31DF5"/>
    <w:rsid w:val="43AE647A"/>
    <w:rsid w:val="43AF6CB4"/>
    <w:rsid w:val="43B6162D"/>
    <w:rsid w:val="43C26223"/>
    <w:rsid w:val="43C71A8C"/>
    <w:rsid w:val="43D45F57"/>
    <w:rsid w:val="43DB2D79"/>
    <w:rsid w:val="43DD12AF"/>
    <w:rsid w:val="43E715B7"/>
    <w:rsid w:val="43EE526A"/>
    <w:rsid w:val="43FB1735"/>
    <w:rsid w:val="43FE4C25"/>
    <w:rsid w:val="43FF1225"/>
    <w:rsid w:val="44044A8E"/>
    <w:rsid w:val="440473D1"/>
    <w:rsid w:val="44096233"/>
    <w:rsid w:val="440A247E"/>
    <w:rsid w:val="440A5C22"/>
    <w:rsid w:val="440A7BCA"/>
    <w:rsid w:val="440B2993"/>
    <w:rsid w:val="441D5B50"/>
    <w:rsid w:val="4428381B"/>
    <w:rsid w:val="44307631"/>
    <w:rsid w:val="44354C47"/>
    <w:rsid w:val="443552D4"/>
    <w:rsid w:val="4436451B"/>
    <w:rsid w:val="44384737"/>
    <w:rsid w:val="4441183E"/>
    <w:rsid w:val="444D64E0"/>
    <w:rsid w:val="444E121C"/>
    <w:rsid w:val="445D419E"/>
    <w:rsid w:val="445D7CFA"/>
    <w:rsid w:val="44616FD3"/>
    <w:rsid w:val="447504D4"/>
    <w:rsid w:val="447F4B92"/>
    <w:rsid w:val="448259B3"/>
    <w:rsid w:val="448654A3"/>
    <w:rsid w:val="448B0D0B"/>
    <w:rsid w:val="44986F84"/>
    <w:rsid w:val="449A14D1"/>
    <w:rsid w:val="44A92F3F"/>
    <w:rsid w:val="44B042CE"/>
    <w:rsid w:val="44BB02B2"/>
    <w:rsid w:val="44C4421D"/>
    <w:rsid w:val="44CB73D2"/>
    <w:rsid w:val="44D108E9"/>
    <w:rsid w:val="44D16614"/>
    <w:rsid w:val="44D83825"/>
    <w:rsid w:val="44E03886"/>
    <w:rsid w:val="44E11217"/>
    <w:rsid w:val="44E26451"/>
    <w:rsid w:val="44EA2395"/>
    <w:rsid w:val="44EB619B"/>
    <w:rsid w:val="44ED4010"/>
    <w:rsid w:val="44EF24B6"/>
    <w:rsid w:val="44F56185"/>
    <w:rsid w:val="44F87A23"/>
    <w:rsid w:val="44FC59D4"/>
    <w:rsid w:val="450C0C5A"/>
    <w:rsid w:val="450F1F1B"/>
    <w:rsid w:val="451313F6"/>
    <w:rsid w:val="45187B20"/>
    <w:rsid w:val="45192845"/>
    <w:rsid w:val="45195706"/>
    <w:rsid w:val="45216F7A"/>
    <w:rsid w:val="452D1A51"/>
    <w:rsid w:val="45344EFF"/>
    <w:rsid w:val="45392515"/>
    <w:rsid w:val="45462E84"/>
    <w:rsid w:val="4550093F"/>
    <w:rsid w:val="4550160D"/>
    <w:rsid w:val="455354ED"/>
    <w:rsid w:val="45571DB1"/>
    <w:rsid w:val="45576E3F"/>
    <w:rsid w:val="45596713"/>
    <w:rsid w:val="455E3D2A"/>
    <w:rsid w:val="455E6898"/>
    <w:rsid w:val="456F23DB"/>
    <w:rsid w:val="45763769"/>
    <w:rsid w:val="457D238B"/>
    <w:rsid w:val="45835E86"/>
    <w:rsid w:val="458536EE"/>
    <w:rsid w:val="45863281"/>
    <w:rsid w:val="458A0BEF"/>
    <w:rsid w:val="458D2861"/>
    <w:rsid w:val="45912351"/>
    <w:rsid w:val="45A831F7"/>
    <w:rsid w:val="45AB26B8"/>
    <w:rsid w:val="45AF0A29"/>
    <w:rsid w:val="45B1654F"/>
    <w:rsid w:val="45BA6330"/>
    <w:rsid w:val="45BE6BF8"/>
    <w:rsid w:val="45C049E4"/>
    <w:rsid w:val="45C36283"/>
    <w:rsid w:val="45C77E7B"/>
    <w:rsid w:val="45CF69D6"/>
    <w:rsid w:val="45D3296A"/>
    <w:rsid w:val="45DD01B5"/>
    <w:rsid w:val="45DD7344"/>
    <w:rsid w:val="45DE130F"/>
    <w:rsid w:val="45E12994"/>
    <w:rsid w:val="45ED2AC0"/>
    <w:rsid w:val="45F75EB9"/>
    <w:rsid w:val="45F96148"/>
    <w:rsid w:val="45FC3821"/>
    <w:rsid w:val="460102A4"/>
    <w:rsid w:val="460B37C4"/>
    <w:rsid w:val="460D0F18"/>
    <w:rsid w:val="46135147"/>
    <w:rsid w:val="46184820"/>
    <w:rsid w:val="461B60BF"/>
    <w:rsid w:val="461E7067"/>
    <w:rsid w:val="46207231"/>
    <w:rsid w:val="462A6302"/>
    <w:rsid w:val="462C3E28"/>
    <w:rsid w:val="462D5F0B"/>
    <w:rsid w:val="463B22BD"/>
    <w:rsid w:val="463D6035"/>
    <w:rsid w:val="463F7FFF"/>
    <w:rsid w:val="46413695"/>
    <w:rsid w:val="464506CE"/>
    <w:rsid w:val="464C0026"/>
    <w:rsid w:val="46517D32"/>
    <w:rsid w:val="465950E5"/>
    <w:rsid w:val="465E1F1B"/>
    <w:rsid w:val="466458CC"/>
    <w:rsid w:val="467453C1"/>
    <w:rsid w:val="468462A3"/>
    <w:rsid w:val="4689127A"/>
    <w:rsid w:val="468C0F41"/>
    <w:rsid w:val="46935C55"/>
    <w:rsid w:val="46965D88"/>
    <w:rsid w:val="46AC6D17"/>
    <w:rsid w:val="46B226AF"/>
    <w:rsid w:val="46B75F04"/>
    <w:rsid w:val="46BA1434"/>
    <w:rsid w:val="46BD0F1C"/>
    <w:rsid w:val="46CF702C"/>
    <w:rsid w:val="46D30747"/>
    <w:rsid w:val="46DC3AA0"/>
    <w:rsid w:val="46E07FFF"/>
    <w:rsid w:val="46E110B6"/>
    <w:rsid w:val="46F35188"/>
    <w:rsid w:val="46FF32EA"/>
    <w:rsid w:val="470433AC"/>
    <w:rsid w:val="4710242B"/>
    <w:rsid w:val="4714323A"/>
    <w:rsid w:val="471975D2"/>
    <w:rsid w:val="471E2247"/>
    <w:rsid w:val="471F5C4F"/>
    <w:rsid w:val="47222787"/>
    <w:rsid w:val="472E597E"/>
    <w:rsid w:val="47305B9A"/>
    <w:rsid w:val="4732546E"/>
    <w:rsid w:val="473311E6"/>
    <w:rsid w:val="473C009B"/>
    <w:rsid w:val="47431D24"/>
    <w:rsid w:val="47451645"/>
    <w:rsid w:val="4746716B"/>
    <w:rsid w:val="47482EE3"/>
    <w:rsid w:val="474A397C"/>
    <w:rsid w:val="474C2E23"/>
    <w:rsid w:val="47691672"/>
    <w:rsid w:val="476D20B2"/>
    <w:rsid w:val="47794E4B"/>
    <w:rsid w:val="478163F5"/>
    <w:rsid w:val="478666B6"/>
    <w:rsid w:val="478758D4"/>
    <w:rsid w:val="478D27D8"/>
    <w:rsid w:val="4791488A"/>
    <w:rsid w:val="47A50E5C"/>
    <w:rsid w:val="47A54BED"/>
    <w:rsid w:val="47AB44A7"/>
    <w:rsid w:val="47B169D4"/>
    <w:rsid w:val="47B42327"/>
    <w:rsid w:val="47B57E4D"/>
    <w:rsid w:val="47B70069"/>
    <w:rsid w:val="47BA5463"/>
    <w:rsid w:val="47BE31A6"/>
    <w:rsid w:val="47BE6D02"/>
    <w:rsid w:val="47C50090"/>
    <w:rsid w:val="47CA56A6"/>
    <w:rsid w:val="47CF53B3"/>
    <w:rsid w:val="47D26C51"/>
    <w:rsid w:val="47E03171"/>
    <w:rsid w:val="47E04ECA"/>
    <w:rsid w:val="47E32EDF"/>
    <w:rsid w:val="47E36278"/>
    <w:rsid w:val="47E66258"/>
    <w:rsid w:val="47F24BFD"/>
    <w:rsid w:val="47FB6345"/>
    <w:rsid w:val="47FE7A46"/>
    <w:rsid w:val="48001A16"/>
    <w:rsid w:val="48013092"/>
    <w:rsid w:val="480706A9"/>
    <w:rsid w:val="48097D9F"/>
    <w:rsid w:val="481728B6"/>
    <w:rsid w:val="48175F8B"/>
    <w:rsid w:val="48180B08"/>
    <w:rsid w:val="48193604"/>
    <w:rsid w:val="482024E1"/>
    <w:rsid w:val="48276F9D"/>
    <w:rsid w:val="48286871"/>
    <w:rsid w:val="482A25E9"/>
    <w:rsid w:val="482A3405"/>
    <w:rsid w:val="482B1F40"/>
    <w:rsid w:val="48347216"/>
    <w:rsid w:val="483529B5"/>
    <w:rsid w:val="483D40CA"/>
    <w:rsid w:val="483E7897"/>
    <w:rsid w:val="483F42E6"/>
    <w:rsid w:val="484336AB"/>
    <w:rsid w:val="484918BE"/>
    <w:rsid w:val="48587156"/>
    <w:rsid w:val="485B134D"/>
    <w:rsid w:val="485D29BF"/>
    <w:rsid w:val="485D69D2"/>
    <w:rsid w:val="48621D83"/>
    <w:rsid w:val="4871227C"/>
    <w:rsid w:val="4879708B"/>
    <w:rsid w:val="487C42CB"/>
    <w:rsid w:val="487E50B2"/>
    <w:rsid w:val="488A74EF"/>
    <w:rsid w:val="488C5052"/>
    <w:rsid w:val="488C6E00"/>
    <w:rsid w:val="48965ED0"/>
    <w:rsid w:val="4897000A"/>
    <w:rsid w:val="489F4D85"/>
    <w:rsid w:val="48AE4FC8"/>
    <w:rsid w:val="48B015E7"/>
    <w:rsid w:val="48B80F6E"/>
    <w:rsid w:val="48B90820"/>
    <w:rsid w:val="48BE4F8B"/>
    <w:rsid w:val="48BF5427"/>
    <w:rsid w:val="48C0725D"/>
    <w:rsid w:val="48C17C7F"/>
    <w:rsid w:val="48C41631"/>
    <w:rsid w:val="48C76ACC"/>
    <w:rsid w:val="48CC3D64"/>
    <w:rsid w:val="48CD26E3"/>
    <w:rsid w:val="48CE19E6"/>
    <w:rsid w:val="48CE7418"/>
    <w:rsid w:val="48D86147"/>
    <w:rsid w:val="48DB38E3"/>
    <w:rsid w:val="48DD765B"/>
    <w:rsid w:val="48E21116"/>
    <w:rsid w:val="48E357A6"/>
    <w:rsid w:val="48E617D4"/>
    <w:rsid w:val="48E9042E"/>
    <w:rsid w:val="48EC1A58"/>
    <w:rsid w:val="48EE6600"/>
    <w:rsid w:val="48F14EB5"/>
    <w:rsid w:val="48F27740"/>
    <w:rsid w:val="48F350D1"/>
    <w:rsid w:val="4904108C"/>
    <w:rsid w:val="49064E04"/>
    <w:rsid w:val="490948F4"/>
    <w:rsid w:val="490966A2"/>
    <w:rsid w:val="49156307"/>
    <w:rsid w:val="49170DBF"/>
    <w:rsid w:val="49180694"/>
    <w:rsid w:val="49197ED6"/>
    <w:rsid w:val="491D3EFC"/>
    <w:rsid w:val="491F38BC"/>
    <w:rsid w:val="49206677"/>
    <w:rsid w:val="49227764"/>
    <w:rsid w:val="49241DBC"/>
    <w:rsid w:val="492434DC"/>
    <w:rsid w:val="49296D45"/>
    <w:rsid w:val="493612BF"/>
    <w:rsid w:val="49373210"/>
    <w:rsid w:val="493C500A"/>
    <w:rsid w:val="49402D39"/>
    <w:rsid w:val="49431BB4"/>
    <w:rsid w:val="49494CF1"/>
    <w:rsid w:val="495A6A50"/>
    <w:rsid w:val="495C4A24"/>
    <w:rsid w:val="49641B2B"/>
    <w:rsid w:val="49647D7D"/>
    <w:rsid w:val="4968161B"/>
    <w:rsid w:val="49693CBF"/>
    <w:rsid w:val="496B2686"/>
    <w:rsid w:val="49736DCD"/>
    <w:rsid w:val="497912B4"/>
    <w:rsid w:val="498126DD"/>
    <w:rsid w:val="49951972"/>
    <w:rsid w:val="4997099A"/>
    <w:rsid w:val="49A40179"/>
    <w:rsid w:val="49A62143"/>
    <w:rsid w:val="49AC617A"/>
    <w:rsid w:val="49AE68DC"/>
    <w:rsid w:val="49B3739C"/>
    <w:rsid w:val="49B83F7E"/>
    <w:rsid w:val="49BD459D"/>
    <w:rsid w:val="49C12AD9"/>
    <w:rsid w:val="49C2361A"/>
    <w:rsid w:val="49C5081B"/>
    <w:rsid w:val="49C64593"/>
    <w:rsid w:val="49C86A61"/>
    <w:rsid w:val="49C94099"/>
    <w:rsid w:val="49D071C0"/>
    <w:rsid w:val="49D56585"/>
    <w:rsid w:val="49D942C7"/>
    <w:rsid w:val="49DA1007"/>
    <w:rsid w:val="49DA4E0E"/>
    <w:rsid w:val="49E435E0"/>
    <w:rsid w:val="49E56856"/>
    <w:rsid w:val="49E862B8"/>
    <w:rsid w:val="49EE03A8"/>
    <w:rsid w:val="49F51C02"/>
    <w:rsid w:val="49F70BF1"/>
    <w:rsid w:val="49FE1F7F"/>
    <w:rsid w:val="4A0330F2"/>
    <w:rsid w:val="4A037596"/>
    <w:rsid w:val="4A081A4B"/>
    <w:rsid w:val="4A08695A"/>
    <w:rsid w:val="4A0F7482"/>
    <w:rsid w:val="4A0F7CE8"/>
    <w:rsid w:val="4A105B3D"/>
    <w:rsid w:val="4A111CB3"/>
    <w:rsid w:val="4A143551"/>
    <w:rsid w:val="4A146C78"/>
    <w:rsid w:val="4A1D447C"/>
    <w:rsid w:val="4A24440E"/>
    <w:rsid w:val="4A2A2D74"/>
    <w:rsid w:val="4A30518F"/>
    <w:rsid w:val="4A357BCE"/>
    <w:rsid w:val="4A383EAC"/>
    <w:rsid w:val="4A4D25BF"/>
    <w:rsid w:val="4A565917"/>
    <w:rsid w:val="4A592677"/>
    <w:rsid w:val="4A5E657A"/>
    <w:rsid w:val="4A631216"/>
    <w:rsid w:val="4A652BA1"/>
    <w:rsid w:val="4A707CD5"/>
    <w:rsid w:val="4A722025"/>
    <w:rsid w:val="4A8150B3"/>
    <w:rsid w:val="4A82670C"/>
    <w:rsid w:val="4A89541B"/>
    <w:rsid w:val="4A8C758B"/>
    <w:rsid w:val="4A8E7950"/>
    <w:rsid w:val="4A8F4985"/>
    <w:rsid w:val="4A993A56"/>
    <w:rsid w:val="4A9B272E"/>
    <w:rsid w:val="4A9E2E1A"/>
    <w:rsid w:val="4AA541A9"/>
    <w:rsid w:val="4AC12FAB"/>
    <w:rsid w:val="4AC8224B"/>
    <w:rsid w:val="4ACE4B79"/>
    <w:rsid w:val="4ACF1C05"/>
    <w:rsid w:val="4AD30D16"/>
    <w:rsid w:val="4AD52CE0"/>
    <w:rsid w:val="4AD63E8B"/>
    <w:rsid w:val="4AD87C28"/>
    <w:rsid w:val="4ADD1BA1"/>
    <w:rsid w:val="4ADD3943"/>
    <w:rsid w:val="4AE271AB"/>
    <w:rsid w:val="4AE304BB"/>
    <w:rsid w:val="4AE63099"/>
    <w:rsid w:val="4AEC1DD8"/>
    <w:rsid w:val="4AF62BAB"/>
    <w:rsid w:val="4AF62C56"/>
    <w:rsid w:val="4B0610EB"/>
    <w:rsid w:val="4B133808"/>
    <w:rsid w:val="4B15079E"/>
    <w:rsid w:val="4B190B4A"/>
    <w:rsid w:val="4B1A4B97"/>
    <w:rsid w:val="4B1F03FF"/>
    <w:rsid w:val="4B217CD3"/>
    <w:rsid w:val="4B272E10"/>
    <w:rsid w:val="4B2B6DA4"/>
    <w:rsid w:val="4B3317B5"/>
    <w:rsid w:val="4B38326F"/>
    <w:rsid w:val="4B386DCB"/>
    <w:rsid w:val="4B397515"/>
    <w:rsid w:val="4B3D1AB5"/>
    <w:rsid w:val="4B3F0159"/>
    <w:rsid w:val="4B427C4A"/>
    <w:rsid w:val="4B447E66"/>
    <w:rsid w:val="4B4614E8"/>
    <w:rsid w:val="4B481704"/>
    <w:rsid w:val="4B4A3E32"/>
    <w:rsid w:val="4B4E6231"/>
    <w:rsid w:val="4B524836"/>
    <w:rsid w:val="4B533C05"/>
    <w:rsid w:val="4B5556D7"/>
    <w:rsid w:val="4B5619A4"/>
    <w:rsid w:val="4B5736F5"/>
    <w:rsid w:val="4B5D4A84"/>
    <w:rsid w:val="4B6338A5"/>
    <w:rsid w:val="4B6B71A0"/>
    <w:rsid w:val="4B707C68"/>
    <w:rsid w:val="4B775B45"/>
    <w:rsid w:val="4B7A496D"/>
    <w:rsid w:val="4B7E1A91"/>
    <w:rsid w:val="4B7F2C4C"/>
    <w:rsid w:val="4B840262"/>
    <w:rsid w:val="4B842010"/>
    <w:rsid w:val="4B8D35BB"/>
    <w:rsid w:val="4B906762"/>
    <w:rsid w:val="4B982181"/>
    <w:rsid w:val="4B9F0FFF"/>
    <w:rsid w:val="4B9F6E4A"/>
    <w:rsid w:val="4BA22AF7"/>
    <w:rsid w:val="4BA33FD7"/>
    <w:rsid w:val="4BA56A48"/>
    <w:rsid w:val="4BB05A0E"/>
    <w:rsid w:val="4BBE7206"/>
    <w:rsid w:val="4BC27510"/>
    <w:rsid w:val="4BC93EC7"/>
    <w:rsid w:val="4BD411EA"/>
    <w:rsid w:val="4BD54436"/>
    <w:rsid w:val="4BDB0469"/>
    <w:rsid w:val="4BDD7BA7"/>
    <w:rsid w:val="4BDE3E16"/>
    <w:rsid w:val="4BE11211"/>
    <w:rsid w:val="4BE16AFA"/>
    <w:rsid w:val="4BE8259F"/>
    <w:rsid w:val="4BEA4569"/>
    <w:rsid w:val="4BF61160"/>
    <w:rsid w:val="4BF722F3"/>
    <w:rsid w:val="4BFF151B"/>
    <w:rsid w:val="4C017B05"/>
    <w:rsid w:val="4C0B6FF0"/>
    <w:rsid w:val="4C110A6F"/>
    <w:rsid w:val="4C167D0A"/>
    <w:rsid w:val="4C1C493F"/>
    <w:rsid w:val="4C213D03"/>
    <w:rsid w:val="4C254572"/>
    <w:rsid w:val="4C3F4F71"/>
    <w:rsid w:val="4C404189"/>
    <w:rsid w:val="4C442D53"/>
    <w:rsid w:val="4C5B10B2"/>
    <w:rsid w:val="4C5E6D05"/>
    <w:rsid w:val="4C5F55F7"/>
    <w:rsid w:val="4C60482B"/>
    <w:rsid w:val="4C6562E6"/>
    <w:rsid w:val="4C6C31D0"/>
    <w:rsid w:val="4C6F1504"/>
    <w:rsid w:val="4C6F4853"/>
    <w:rsid w:val="4C720FC2"/>
    <w:rsid w:val="4C72455F"/>
    <w:rsid w:val="4C7E2F03"/>
    <w:rsid w:val="4C883D82"/>
    <w:rsid w:val="4C924E2D"/>
    <w:rsid w:val="4CA706AC"/>
    <w:rsid w:val="4CA832EE"/>
    <w:rsid w:val="4CAD5597"/>
    <w:rsid w:val="4CAF130F"/>
    <w:rsid w:val="4CB1386B"/>
    <w:rsid w:val="4CB16E35"/>
    <w:rsid w:val="4CB608EF"/>
    <w:rsid w:val="4CBC5A46"/>
    <w:rsid w:val="4CBD13AA"/>
    <w:rsid w:val="4CBD57DA"/>
    <w:rsid w:val="4CBF59F6"/>
    <w:rsid w:val="4CC528E0"/>
    <w:rsid w:val="4CC56D84"/>
    <w:rsid w:val="4CCD1240"/>
    <w:rsid w:val="4CD60F91"/>
    <w:rsid w:val="4CD63CA5"/>
    <w:rsid w:val="4CDF7E46"/>
    <w:rsid w:val="4CE52F83"/>
    <w:rsid w:val="4CE56B27"/>
    <w:rsid w:val="4CE92A73"/>
    <w:rsid w:val="4D004428"/>
    <w:rsid w:val="4D057181"/>
    <w:rsid w:val="4D111FCA"/>
    <w:rsid w:val="4D153868"/>
    <w:rsid w:val="4D1C1903"/>
    <w:rsid w:val="4D1F6494"/>
    <w:rsid w:val="4D2414EF"/>
    <w:rsid w:val="4D2C233B"/>
    <w:rsid w:val="4D2E4F0D"/>
    <w:rsid w:val="4D2F41FE"/>
    <w:rsid w:val="4D3121D0"/>
    <w:rsid w:val="4D31389E"/>
    <w:rsid w:val="4D37082D"/>
    <w:rsid w:val="4D395197"/>
    <w:rsid w:val="4D3A32CE"/>
    <w:rsid w:val="4D3A507C"/>
    <w:rsid w:val="4D474356"/>
    <w:rsid w:val="4D50664E"/>
    <w:rsid w:val="4D52686A"/>
    <w:rsid w:val="4D553D98"/>
    <w:rsid w:val="4D554464"/>
    <w:rsid w:val="4D5B0D0C"/>
    <w:rsid w:val="4D64034B"/>
    <w:rsid w:val="4D7B5FE1"/>
    <w:rsid w:val="4D7F33D7"/>
    <w:rsid w:val="4D7F4451"/>
    <w:rsid w:val="4D834C75"/>
    <w:rsid w:val="4D862425"/>
    <w:rsid w:val="4D8B58D8"/>
    <w:rsid w:val="4D8C494F"/>
    <w:rsid w:val="4D956757"/>
    <w:rsid w:val="4D9C7306"/>
    <w:rsid w:val="4DA02203"/>
    <w:rsid w:val="4DA150FB"/>
    <w:rsid w:val="4DA41222"/>
    <w:rsid w:val="4DA977C7"/>
    <w:rsid w:val="4DAC584E"/>
    <w:rsid w:val="4DAD3AA0"/>
    <w:rsid w:val="4DAE5A6A"/>
    <w:rsid w:val="4DAE6651"/>
    <w:rsid w:val="4DB473A2"/>
    <w:rsid w:val="4DB52955"/>
    <w:rsid w:val="4DB82445"/>
    <w:rsid w:val="4DC96400"/>
    <w:rsid w:val="4DCD321F"/>
    <w:rsid w:val="4DCD5EF0"/>
    <w:rsid w:val="4DCF687D"/>
    <w:rsid w:val="4DD74FC1"/>
    <w:rsid w:val="4DD94895"/>
    <w:rsid w:val="4DDC65B1"/>
    <w:rsid w:val="4DE35714"/>
    <w:rsid w:val="4DEB52B2"/>
    <w:rsid w:val="4DED20EF"/>
    <w:rsid w:val="4DEF40B9"/>
    <w:rsid w:val="4DEF45ED"/>
    <w:rsid w:val="4DF33E82"/>
    <w:rsid w:val="4DFC67D6"/>
    <w:rsid w:val="4E0929FA"/>
    <w:rsid w:val="4E0B07C7"/>
    <w:rsid w:val="4E121B55"/>
    <w:rsid w:val="4E1669DE"/>
    <w:rsid w:val="4E191DD9"/>
    <w:rsid w:val="4E1D492C"/>
    <w:rsid w:val="4E233D62"/>
    <w:rsid w:val="4E242250"/>
    <w:rsid w:val="4E2574FC"/>
    <w:rsid w:val="4E294F6C"/>
    <w:rsid w:val="4E3046D1"/>
    <w:rsid w:val="4E3B5550"/>
    <w:rsid w:val="4E3B694B"/>
    <w:rsid w:val="4E3D4FFA"/>
    <w:rsid w:val="4E4E2408"/>
    <w:rsid w:val="4E4F6905"/>
    <w:rsid w:val="4E5008D0"/>
    <w:rsid w:val="4E50267E"/>
    <w:rsid w:val="4E522718"/>
    <w:rsid w:val="4E5524F6"/>
    <w:rsid w:val="4E593C28"/>
    <w:rsid w:val="4E61488B"/>
    <w:rsid w:val="4E751272"/>
    <w:rsid w:val="4E772300"/>
    <w:rsid w:val="4E7939C1"/>
    <w:rsid w:val="4E812E8E"/>
    <w:rsid w:val="4E8A08DC"/>
    <w:rsid w:val="4E8C30EE"/>
    <w:rsid w:val="4E8C3CA1"/>
    <w:rsid w:val="4E8D6FCE"/>
    <w:rsid w:val="4E907D8B"/>
    <w:rsid w:val="4E927F61"/>
    <w:rsid w:val="4E956C60"/>
    <w:rsid w:val="4E9823FF"/>
    <w:rsid w:val="4E9B1B4B"/>
    <w:rsid w:val="4E9C3B15"/>
    <w:rsid w:val="4EAA7FE0"/>
    <w:rsid w:val="4EB37674"/>
    <w:rsid w:val="4EB4172E"/>
    <w:rsid w:val="4EC310A1"/>
    <w:rsid w:val="4EC866B8"/>
    <w:rsid w:val="4ECC61A8"/>
    <w:rsid w:val="4ECF7A46"/>
    <w:rsid w:val="4ED13775"/>
    <w:rsid w:val="4ED17C62"/>
    <w:rsid w:val="4ED34357"/>
    <w:rsid w:val="4ED432AF"/>
    <w:rsid w:val="4EDA49A4"/>
    <w:rsid w:val="4EDF04EB"/>
    <w:rsid w:val="4EE259CC"/>
    <w:rsid w:val="4EE31744"/>
    <w:rsid w:val="4EE62F10"/>
    <w:rsid w:val="4EF15C0F"/>
    <w:rsid w:val="4EF31E53"/>
    <w:rsid w:val="4EFB7EF9"/>
    <w:rsid w:val="4F000151"/>
    <w:rsid w:val="4F0010EA"/>
    <w:rsid w:val="4F004A6C"/>
    <w:rsid w:val="4F016ADD"/>
    <w:rsid w:val="4F021BCA"/>
    <w:rsid w:val="4F027E1C"/>
    <w:rsid w:val="4F0D7F2C"/>
    <w:rsid w:val="4F1B164B"/>
    <w:rsid w:val="4F253B0A"/>
    <w:rsid w:val="4F310701"/>
    <w:rsid w:val="4F3501F1"/>
    <w:rsid w:val="4F440434"/>
    <w:rsid w:val="4F443F90"/>
    <w:rsid w:val="4F456A25"/>
    <w:rsid w:val="4F4B17C3"/>
    <w:rsid w:val="4F4C1097"/>
    <w:rsid w:val="4F4E3EA4"/>
    <w:rsid w:val="4F512B51"/>
    <w:rsid w:val="4F5A0AB4"/>
    <w:rsid w:val="4F691C49"/>
    <w:rsid w:val="4F6B2B1F"/>
    <w:rsid w:val="4F6D3DC4"/>
    <w:rsid w:val="4F6E3703"/>
    <w:rsid w:val="4F754A92"/>
    <w:rsid w:val="4F7F321A"/>
    <w:rsid w:val="4F82477B"/>
    <w:rsid w:val="4F9D2381"/>
    <w:rsid w:val="4F9F185E"/>
    <w:rsid w:val="4FA2522A"/>
    <w:rsid w:val="4FAC0B4A"/>
    <w:rsid w:val="4FB25B1F"/>
    <w:rsid w:val="4FB530E0"/>
    <w:rsid w:val="4FBF11AA"/>
    <w:rsid w:val="4FC3672A"/>
    <w:rsid w:val="4FC675FE"/>
    <w:rsid w:val="4FCE41A2"/>
    <w:rsid w:val="4FCF20BE"/>
    <w:rsid w:val="4FD33566"/>
    <w:rsid w:val="4FD74D89"/>
    <w:rsid w:val="4FDA2B47"/>
    <w:rsid w:val="4FDD6193"/>
    <w:rsid w:val="4FDE2637"/>
    <w:rsid w:val="4FEC5731"/>
    <w:rsid w:val="4FF36048"/>
    <w:rsid w:val="4FFF435B"/>
    <w:rsid w:val="5001388B"/>
    <w:rsid w:val="50066CDB"/>
    <w:rsid w:val="50081433"/>
    <w:rsid w:val="500E27F0"/>
    <w:rsid w:val="50147408"/>
    <w:rsid w:val="50195A76"/>
    <w:rsid w:val="501A1195"/>
    <w:rsid w:val="501A73E7"/>
    <w:rsid w:val="501E2A33"/>
    <w:rsid w:val="502245A8"/>
    <w:rsid w:val="50250266"/>
    <w:rsid w:val="502E69EF"/>
    <w:rsid w:val="50354221"/>
    <w:rsid w:val="503B124D"/>
    <w:rsid w:val="503C110B"/>
    <w:rsid w:val="503F29AA"/>
    <w:rsid w:val="50460C49"/>
    <w:rsid w:val="505105A8"/>
    <w:rsid w:val="505226DD"/>
    <w:rsid w:val="50536DD0"/>
    <w:rsid w:val="50574197"/>
    <w:rsid w:val="505E72D4"/>
    <w:rsid w:val="50630D4D"/>
    <w:rsid w:val="506348EA"/>
    <w:rsid w:val="50697817"/>
    <w:rsid w:val="506E62E8"/>
    <w:rsid w:val="50792360"/>
    <w:rsid w:val="508C721A"/>
    <w:rsid w:val="50970A38"/>
    <w:rsid w:val="50A867A1"/>
    <w:rsid w:val="50AA7726"/>
    <w:rsid w:val="50AB003F"/>
    <w:rsid w:val="50AF5D81"/>
    <w:rsid w:val="50B52C6C"/>
    <w:rsid w:val="50B96C00"/>
    <w:rsid w:val="50BB305F"/>
    <w:rsid w:val="50C80BF1"/>
    <w:rsid w:val="50CA6717"/>
    <w:rsid w:val="50D21A70"/>
    <w:rsid w:val="50DA0D51"/>
    <w:rsid w:val="50EA43F6"/>
    <w:rsid w:val="50F8401E"/>
    <w:rsid w:val="50FA3A11"/>
    <w:rsid w:val="51022355"/>
    <w:rsid w:val="51024103"/>
    <w:rsid w:val="51051E45"/>
    <w:rsid w:val="5107008C"/>
    <w:rsid w:val="51087240"/>
    <w:rsid w:val="510C6D30"/>
    <w:rsid w:val="5118100E"/>
    <w:rsid w:val="511856D5"/>
    <w:rsid w:val="512978E2"/>
    <w:rsid w:val="512E6655"/>
    <w:rsid w:val="513E4F39"/>
    <w:rsid w:val="513F7105"/>
    <w:rsid w:val="51426BF5"/>
    <w:rsid w:val="51512619"/>
    <w:rsid w:val="515406D7"/>
    <w:rsid w:val="51556929"/>
    <w:rsid w:val="51585DA9"/>
    <w:rsid w:val="515E7029"/>
    <w:rsid w:val="515F6BC4"/>
    <w:rsid w:val="51694182"/>
    <w:rsid w:val="51711289"/>
    <w:rsid w:val="518D27D7"/>
    <w:rsid w:val="51960CEF"/>
    <w:rsid w:val="519619FC"/>
    <w:rsid w:val="519630FA"/>
    <w:rsid w:val="51974326"/>
    <w:rsid w:val="51982514"/>
    <w:rsid w:val="519B757D"/>
    <w:rsid w:val="519D2D48"/>
    <w:rsid w:val="51A0391C"/>
    <w:rsid w:val="51A61200"/>
    <w:rsid w:val="51A90A23"/>
    <w:rsid w:val="51AA6D0A"/>
    <w:rsid w:val="51AB47EE"/>
    <w:rsid w:val="51AC3A8A"/>
    <w:rsid w:val="51AD0775"/>
    <w:rsid w:val="51B24B1C"/>
    <w:rsid w:val="51B26791"/>
    <w:rsid w:val="51B318A1"/>
    <w:rsid w:val="51B82A14"/>
    <w:rsid w:val="51C83263"/>
    <w:rsid w:val="51CC4711"/>
    <w:rsid w:val="51CC5C50"/>
    <w:rsid w:val="51D068B2"/>
    <w:rsid w:val="51E17DD8"/>
    <w:rsid w:val="51E27A91"/>
    <w:rsid w:val="51E5351D"/>
    <w:rsid w:val="51F003FF"/>
    <w:rsid w:val="51F6353C"/>
    <w:rsid w:val="51FC2A48"/>
    <w:rsid w:val="51FF6894"/>
    <w:rsid w:val="52011CB2"/>
    <w:rsid w:val="5201260D"/>
    <w:rsid w:val="520D7203"/>
    <w:rsid w:val="520E6AD8"/>
    <w:rsid w:val="52187956"/>
    <w:rsid w:val="521A547C"/>
    <w:rsid w:val="521F0CE5"/>
    <w:rsid w:val="522956BF"/>
    <w:rsid w:val="522B768A"/>
    <w:rsid w:val="522B7EBA"/>
    <w:rsid w:val="522D1654"/>
    <w:rsid w:val="52304D2F"/>
    <w:rsid w:val="52326C6A"/>
    <w:rsid w:val="523350A2"/>
    <w:rsid w:val="523C53F3"/>
    <w:rsid w:val="52472FB7"/>
    <w:rsid w:val="5248023B"/>
    <w:rsid w:val="5259532C"/>
    <w:rsid w:val="525E7A5F"/>
    <w:rsid w:val="525F7333"/>
    <w:rsid w:val="526C0B94"/>
    <w:rsid w:val="526F57C8"/>
    <w:rsid w:val="5274333E"/>
    <w:rsid w:val="528648C0"/>
    <w:rsid w:val="52880638"/>
    <w:rsid w:val="528B1ED6"/>
    <w:rsid w:val="52917701"/>
    <w:rsid w:val="52946909"/>
    <w:rsid w:val="529E60AD"/>
    <w:rsid w:val="52AB2578"/>
    <w:rsid w:val="52AC708D"/>
    <w:rsid w:val="52AD4542"/>
    <w:rsid w:val="52B07B8F"/>
    <w:rsid w:val="52B302A6"/>
    <w:rsid w:val="52B814FE"/>
    <w:rsid w:val="52BE7D56"/>
    <w:rsid w:val="52C06024"/>
    <w:rsid w:val="52C84ED8"/>
    <w:rsid w:val="52CA0C50"/>
    <w:rsid w:val="52CA0FA4"/>
    <w:rsid w:val="52D7511B"/>
    <w:rsid w:val="52DE1094"/>
    <w:rsid w:val="52E77591"/>
    <w:rsid w:val="52EC1CE1"/>
    <w:rsid w:val="52F04AE9"/>
    <w:rsid w:val="52F203B0"/>
    <w:rsid w:val="52F3107C"/>
    <w:rsid w:val="52F552A5"/>
    <w:rsid w:val="52FE6B4C"/>
    <w:rsid w:val="53071EA5"/>
    <w:rsid w:val="530879CB"/>
    <w:rsid w:val="530D6D8F"/>
    <w:rsid w:val="530E6CE2"/>
    <w:rsid w:val="530F3533"/>
    <w:rsid w:val="531445C2"/>
    <w:rsid w:val="53224DA7"/>
    <w:rsid w:val="532742F5"/>
    <w:rsid w:val="532E0DDC"/>
    <w:rsid w:val="533407C0"/>
    <w:rsid w:val="533B1B4E"/>
    <w:rsid w:val="533C051F"/>
    <w:rsid w:val="53486019"/>
    <w:rsid w:val="53540E2E"/>
    <w:rsid w:val="53565C5E"/>
    <w:rsid w:val="535F10F2"/>
    <w:rsid w:val="53634C01"/>
    <w:rsid w:val="536746F1"/>
    <w:rsid w:val="5367649F"/>
    <w:rsid w:val="53682EE2"/>
    <w:rsid w:val="53684930"/>
    <w:rsid w:val="5369210C"/>
    <w:rsid w:val="536A5F90"/>
    <w:rsid w:val="536D5076"/>
    <w:rsid w:val="53704398"/>
    <w:rsid w:val="53755060"/>
    <w:rsid w:val="537B1F4B"/>
    <w:rsid w:val="537D1507"/>
    <w:rsid w:val="53860F02"/>
    <w:rsid w:val="5386702F"/>
    <w:rsid w:val="538E1C7E"/>
    <w:rsid w:val="538F59F6"/>
    <w:rsid w:val="539D0113"/>
    <w:rsid w:val="539F4C8A"/>
    <w:rsid w:val="53AA47B9"/>
    <w:rsid w:val="53AC378D"/>
    <w:rsid w:val="53B06098"/>
    <w:rsid w:val="53B10062"/>
    <w:rsid w:val="53C27B7A"/>
    <w:rsid w:val="53C47D96"/>
    <w:rsid w:val="53C51035"/>
    <w:rsid w:val="53C6376C"/>
    <w:rsid w:val="53C63FD1"/>
    <w:rsid w:val="53C733E2"/>
    <w:rsid w:val="53C7491B"/>
    <w:rsid w:val="53CA4C80"/>
    <w:rsid w:val="53D07F45"/>
    <w:rsid w:val="53D855EF"/>
    <w:rsid w:val="53DB0C3B"/>
    <w:rsid w:val="53DF24DA"/>
    <w:rsid w:val="53DF697E"/>
    <w:rsid w:val="53E126F6"/>
    <w:rsid w:val="53E144A4"/>
    <w:rsid w:val="53E4700B"/>
    <w:rsid w:val="53EE6BC1"/>
    <w:rsid w:val="53F32429"/>
    <w:rsid w:val="53F73CC7"/>
    <w:rsid w:val="53FA3C53"/>
    <w:rsid w:val="53FA59B7"/>
    <w:rsid w:val="53FA7313"/>
    <w:rsid w:val="53FD6E04"/>
    <w:rsid w:val="54071C8E"/>
    <w:rsid w:val="540B7773"/>
    <w:rsid w:val="540C7047"/>
    <w:rsid w:val="540E2DBF"/>
    <w:rsid w:val="54102FDB"/>
    <w:rsid w:val="54216F96"/>
    <w:rsid w:val="5422686A"/>
    <w:rsid w:val="542645AC"/>
    <w:rsid w:val="5426635A"/>
    <w:rsid w:val="542B571F"/>
    <w:rsid w:val="542F7F88"/>
    <w:rsid w:val="543322F9"/>
    <w:rsid w:val="543350B2"/>
    <w:rsid w:val="543A7D6A"/>
    <w:rsid w:val="54493DF7"/>
    <w:rsid w:val="544B5DC1"/>
    <w:rsid w:val="545318ED"/>
    <w:rsid w:val="545735D8"/>
    <w:rsid w:val="545F361A"/>
    <w:rsid w:val="54617393"/>
    <w:rsid w:val="54716CC6"/>
    <w:rsid w:val="5472334E"/>
    <w:rsid w:val="54752E3E"/>
    <w:rsid w:val="54754BEC"/>
    <w:rsid w:val="54755F87"/>
    <w:rsid w:val="54764B37"/>
    <w:rsid w:val="547C241E"/>
    <w:rsid w:val="548412D3"/>
    <w:rsid w:val="54860B39"/>
    <w:rsid w:val="54890697"/>
    <w:rsid w:val="54995E0B"/>
    <w:rsid w:val="549A4580"/>
    <w:rsid w:val="549C0855"/>
    <w:rsid w:val="54A07B2F"/>
    <w:rsid w:val="54A62630"/>
    <w:rsid w:val="54AD082A"/>
    <w:rsid w:val="54B03E76"/>
    <w:rsid w:val="54B41BB8"/>
    <w:rsid w:val="54B90F7D"/>
    <w:rsid w:val="54C44F4A"/>
    <w:rsid w:val="54C618EB"/>
    <w:rsid w:val="54CE07E8"/>
    <w:rsid w:val="54D23DEC"/>
    <w:rsid w:val="54D97871"/>
    <w:rsid w:val="54E029AD"/>
    <w:rsid w:val="54E1260A"/>
    <w:rsid w:val="54EA382C"/>
    <w:rsid w:val="54EA7388"/>
    <w:rsid w:val="54F92EF3"/>
    <w:rsid w:val="54FE7711"/>
    <w:rsid w:val="55007040"/>
    <w:rsid w:val="55021394"/>
    <w:rsid w:val="55050B9B"/>
    <w:rsid w:val="55052414"/>
    <w:rsid w:val="550F6DEF"/>
    <w:rsid w:val="5512068D"/>
    <w:rsid w:val="551C4417"/>
    <w:rsid w:val="55216B22"/>
    <w:rsid w:val="552503C0"/>
    <w:rsid w:val="55254864"/>
    <w:rsid w:val="552F1ED1"/>
    <w:rsid w:val="553134CB"/>
    <w:rsid w:val="55342CF9"/>
    <w:rsid w:val="553529FA"/>
    <w:rsid w:val="553973C4"/>
    <w:rsid w:val="55407BF5"/>
    <w:rsid w:val="554C0043"/>
    <w:rsid w:val="55591B89"/>
    <w:rsid w:val="55621614"/>
    <w:rsid w:val="55674FA4"/>
    <w:rsid w:val="5568451C"/>
    <w:rsid w:val="556F5ADF"/>
    <w:rsid w:val="557169A3"/>
    <w:rsid w:val="55733821"/>
    <w:rsid w:val="5573405C"/>
    <w:rsid w:val="557821C2"/>
    <w:rsid w:val="557D4431"/>
    <w:rsid w:val="55853555"/>
    <w:rsid w:val="5586381E"/>
    <w:rsid w:val="559030DD"/>
    <w:rsid w:val="5596306C"/>
    <w:rsid w:val="55A9187F"/>
    <w:rsid w:val="55AF2CD7"/>
    <w:rsid w:val="55B15612"/>
    <w:rsid w:val="55B55D4B"/>
    <w:rsid w:val="55BD684B"/>
    <w:rsid w:val="55C20305"/>
    <w:rsid w:val="55C220B3"/>
    <w:rsid w:val="55C4407D"/>
    <w:rsid w:val="55C56B4E"/>
    <w:rsid w:val="55C92486"/>
    <w:rsid w:val="55D50038"/>
    <w:rsid w:val="55E22755"/>
    <w:rsid w:val="55E95D9F"/>
    <w:rsid w:val="55EC7130"/>
    <w:rsid w:val="55EE4C56"/>
    <w:rsid w:val="55F432B8"/>
    <w:rsid w:val="55F61D5C"/>
    <w:rsid w:val="55F8121C"/>
    <w:rsid w:val="55FF6E63"/>
    <w:rsid w:val="56053A7E"/>
    <w:rsid w:val="560D1830"/>
    <w:rsid w:val="560D3DAD"/>
    <w:rsid w:val="560D6F51"/>
    <w:rsid w:val="56184303"/>
    <w:rsid w:val="56184A51"/>
    <w:rsid w:val="56187B5D"/>
    <w:rsid w:val="56200210"/>
    <w:rsid w:val="56323178"/>
    <w:rsid w:val="56351A54"/>
    <w:rsid w:val="5648419A"/>
    <w:rsid w:val="564C33E3"/>
    <w:rsid w:val="564E1B99"/>
    <w:rsid w:val="5651115B"/>
    <w:rsid w:val="5651609A"/>
    <w:rsid w:val="56570A4D"/>
    <w:rsid w:val="56574EF1"/>
    <w:rsid w:val="565F7902"/>
    <w:rsid w:val="5661367A"/>
    <w:rsid w:val="56646662"/>
    <w:rsid w:val="566832A7"/>
    <w:rsid w:val="566E3FE9"/>
    <w:rsid w:val="567A0BDF"/>
    <w:rsid w:val="56824C41"/>
    <w:rsid w:val="5683366D"/>
    <w:rsid w:val="56835CE6"/>
    <w:rsid w:val="568A4384"/>
    <w:rsid w:val="56921A85"/>
    <w:rsid w:val="56957A31"/>
    <w:rsid w:val="569861B1"/>
    <w:rsid w:val="56B063AF"/>
    <w:rsid w:val="56B212FD"/>
    <w:rsid w:val="56B85264"/>
    <w:rsid w:val="56BC6B02"/>
    <w:rsid w:val="56C035E5"/>
    <w:rsid w:val="56D976B4"/>
    <w:rsid w:val="56DA342C"/>
    <w:rsid w:val="56DC4D8F"/>
    <w:rsid w:val="56DE2F1C"/>
    <w:rsid w:val="56DF0A43"/>
    <w:rsid w:val="56E0724C"/>
    <w:rsid w:val="56E10C5F"/>
    <w:rsid w:val="56E72DDF"/>
    <w:rsid w:val="56E81623"/>
    <w:rsid w:val="56EA7B13"/>
    <w:rsid w:val="56F91B04"/>
    <w:rsid w:val="56F95FA8"/>
    <w:rsid w:val="56FD753C"/>
    <w:rsid w:val="570A1F63"/>
    <w:rsid w:val="570C0637"/>
    <w:rsid w:val="570F757A"/>
    <w:rsid w:val="571A1A7B"/>
    <w:rsid w:val="572172AD"/>
    <w:rsid w:val="572528F9"/>
    <w:rsid w:val="57392849"/>
    <w:rsid w:val="573967DC"/>
    <w:rsid w:val="573C7C43"/>
    <w:rsid w:val="574014E1"/>
    <w:rsid w:val="574057D9"/>
    <w:rsid w:val="57435475"/>
    <w:rsid w:val="574A05B2"/>
    <w:rsid w:val="575267EE"/>
    <w:rsid w:val="57540446"/>
    <w:rsid w:val="575642B2"/>
    <w:rsid w:val="575729E9"/>
    <w:rsid w:val="575907F5"/>
    <w:rsid w:val="575A0494"/>
    <w:rsid w:val="576D42A0"/>
    <w:rsid w:val="576E7B5B"/>
    <w:rsid w:val="577D0987"/>
    <w:rsid w:val="57825F9E"/>
    <w:rsid w:val="57853398"/>
    <w:rsid w:val="5785783C"/>
    <w:rsid w:val="57900884"/>
    <w:rsid w:val="5794182D"/>
    <w:rsid w:val="57946072"/>
    <w:rsid w:val="5798020F"/>
    <w:rsid w:val="5798756F"/>
    <w:rsid w:val="579D29FC"/>
    <w:rsid w:val="57A34752"/>
    <w:rsid w:val="57AA2DFF"/>
    <w:rsid w:val="57AF6667"/>
    <w:rsid w:val="57B036A5"/>
    <w:rsid w:val="57B36157"/>
    <w:rsid w:val="57B4088C"/>
    <w:rsid w:val="57B84FBA"/>
    <w:rsid w:val="57BE7E3C"/>
    <w:rsid w:val="57C2639A"/>
    <w:rsid w:val="57C27F27"/>
    <w:rsid w:val="57C57C38"/>
    <w:rsid w:val="57C9719E"/>
    <w:rsid w:val="57CA6DF2"/>
    <w:rsid w:val="57CC0FC7"/>
    <w:rsid w:val="57CC546B"/>
    <w:rsid w:val="57CF0AB7"/>
    <w:rsid w:val="57CF5E09"/>
    <w:rsid w:val="57D4431F"/>
    <w:rsid w:val="57D83E10"/>
    <w:rsid w:val="57DD1426"/>
    <w:rsid w:val="57E07B2A"/>
    <w:rsid w:val="57E91CCB"/>
    <w:rsid w:val="57F64F51"/>
    <w:rsid w:val="57F66044"/>
    <w:rsid w:val="57FB18AC"/>
    <w:rsid w:val="57FE314A"/>
    <w:rsid w:val="58020E8D"/>
    <w:rsid w:val="580249E9"/>
    <w:rsid w:val="580B5F93"/>
    <w:rsid w:val="581035A9"/>
    <w:rsid w:val="58185A7A"/>
    <w:rsid w:val="581A4428"/>
    <w:rsid w:val="58207565"/>
    <w:rsid w:val="58240E03"/>
    <w:rsid w:val="583A0626"/>
    <w:rsid w:val="583B239C"/>
    <w:rsid w:val="58442B47"/>
    <w:rsid w:val="58494664"/>
    <w:rsid w:val="58502ABA"/>
    <w:rsid w:val="5851771E"/>
    <w:rsid w:val="58597148"/>
    <w:rsid w:val="58600972"/>
    <w:rsid w:val="58605180"/>
    <w:rsid w:val="58627B7D"/>
    <w:rsid w:val="586C27AA"/>
    <w:rsid w:val="58727DC0"/>
    <w:rsid w:val="58737694"/>
    <w:rsid w:val="58773629"/>
    <w:rsid w:val="587A291B"/>
    <w:rsid w:val="587F48DE"/>
    <w:rsid w:val="588418A2"/>
    <w:rsid w:val="5886548E"/>
    <w:rsid w:val="58920462"/>
    <w:rsid w:val="5892605D"/>
    <w:rsid w:val="58977827"/>
    <w:rsid w:val="5898138F"/>
    <w:rsid w:val="589A10C5"/>
    <w:rsid w:val="589C1084"/>
    <w:rsid w:val="589E6E07"/>
    <w:rsid w:val="58A14202"/>
    <w:rsid w:val="58AE63FA"/>
    <w:rsid w:val="58B06B3A"/>
    <w:rsid w:val="58B34C11"/>
    <w:rsid w:val="58B77EC9"/>
    <w:rsid w:val="58BD7A53"/>
    <w:rsid w:val="58C35A5C"/>
    <w:rsid w:val="58C373C9"/>
    <w:rsid w:val="58C45F54"/>
    <w:rsid w:val="58C779E0"/>
    <w:rsid w:val="58CB0ECD"/>
    <w:rsid w:val="58D259FC"/>
    <w:rsid w:val="58E6430A"/>
    <w:rsid w:val="58E662A8"/>
    <w:rsid w:val="58F06F37"/>
    <w:rsid w:val="58F5454D"/>
    <w:rsid w:val="58FC1D80"/>
    <w:rsid w:val="59017396"/>
    <w:rsid w:val="59030A18"/>
    <w:rsid w:val="59036C6A"/>
    <w:rsid w:val="59084281"/>
    <w:rsid w:val="59102873"/>
    <w:rsid w:val="59123351"/>
    <w:rsid w:val="5915074C"/>
    <w:rsid w:val="59156760"/>
    <w:rsid w:val="591A5A7B"/>
    <w:rsid w:val="592201AE"/>
    <w:rsid w:val="592310BA"/>
    <w:rsid w:val="59246BE1"/>
    <w:rsid w:val="59253085"/>
    <w:rsid w:val="592D39AB"/>
    <w:rsid w:val="5934151A"/>
    <w:rsid w:val="59411541"/>
    <w:rsid w:val="59412B2A"/>
    <w:rsid w:val="59444C41"/>
    <w:rsid w:val="5952374E"/>
    <w:rsid w:val="59537B91"/>
    <w:rsid w:val="595B379D"/>
    <w:rsid w:val="59622AE1"/>
    <w:rsid w:val="59646258"/>
    <w:rsid w:val="59701E26"/>
    <w:rsid w:val="597459BF"/>
    <w:rsid w:val="597C07CB"/>
    <w:rsid w:val="597C6A1D"/>
    <w:rsid w:val="597E7244"/>
    <w:rsid w:val="598002BB"/>
    <w:rsid w:val="5980475F"/>
    <w:rsid w:val="59853B23"/>
    <w:rsid w:val="59981AA8"/>
    <w:rsid w:val="59995821"/>
    <w:rsid w:val="599B3347"/>
    <w:rsid w:val="599E6971"/>
    <w:rsid w:val="59A17C3D"/>
    <w:rsid w:val="59B15B2F"/>
    <w:rsid w:val="59B166C6"/>
    <w:rsid w:val="59C669A8"/>
    <w:rsid w:val="59C83A10"/>
    <w:rsid w:val="59CC52AE"/>
    <w:rsid w:val="59CD7278"/>
    <w:rsid w:val="59CF4D9E"/>
    <w:rsid w:val="59D52E71"/>
    <w:rsid w:val="59D6437F"/>
    <w:rsid w:val="59D708D6"/>
    <w:rsid w:val="59D800F7"/>
    <w:rsid w:val="59D94E1E"/>
    <w:rsid w:val="59DC6116"/>
    <w:rsid w:val="59E76F1A"/>
    <w:rsid w:val="59E77A8E"/>
    <w:rsid w:val="59E940B2"/>
    <w:rsid w:val="59E944B5"/>
    <w:rsid w:val="59EC5950"/>
    <w:rsid w:val="59EE791A"/>
    <w:rsid w:val="59F64A21"/>
    <w:rsid w:val="59F667CF"/>
    <w:rsid w:val="59F824B8"/>
    <w:rsid w:val="59FC67E7"/>
    <w:rsid w:val="5A00551A"/>
    <w:rsid w:val="5A074538"/>
    <w:rsid w:val="5A0A04CC"/>
    <w:rsid w:val="5A1164E0"/>
    <w:rsid w:val="5A130709"/>
    <w:rsid w:val="5A13112F"/>
    <w:rsid w:val="5A165FC8"/>
    <w:rsid w:val="5A174AEB"/>
    <w:rsid w:val="5A19426B"/>
    <w:rsid w:val="5A2A1379"/>
    <w:rsid w:val="5A2C3F9F"/>
    <w:rsid w:val="5A2F3A8F"/>
    <w:rsid w:val="5A395F05"/>
    <w:rsid w:val="5A3966BC"/>
    <w:rsid w:val="5A494BC1"/>
    <w:rsid w:val="5A4C2893"/>
    <w:rsid w:val="5A551748"/>
    <w:rsid w:val="5A582FE6"/>
    <w:rsid w:val="5A5B79B4"/>
    <w:rsid w:val="5A621F92"/>
    <w:rsid w:val="5A667E66"/>
    <w:rsid w:val="5A6D6C90"/>
    <w:rsid w:val="5A722EBF"/>
    <w:rsid w:val="5A7A2F5C"/>
    <w:rsid w:val="5A844281"/>
    <w:rsid w:val="5A89319F"/>
    <w:rsid w:val="5A897643"/>
    <w:rsid w:val="5A8B6F17"/>
    <w:rsid w:val="5A8C4FCC"/>
    <w:rsid w:val="5A8F6383"/>
    <w:rsid w:val="5A9304C2"/>
    <w:rsid w:val="5A987931"/>
    <w:rsid w:val="5A9B4B84"/>
    <w:rsid w:val="5AA1498D"/>
    <w:rsid w:val="5AA4447D"/>
    <w:rsid w:val="5AB26B9A"/>
    <w:rsid w:val="5AB31742"/>
    <w:rsid w:val="5AB87F28"/>
    <w:rsid w:val="5AC10B8B"/>
    <w:rsid w:val="5AC266B1"/>
    <w:rsid w:val="5AC75083"/>
    <w:rsid w:val="5AD14B46"/>
    <w:rsid w:val="5AD308BE"/>
    <w:rsid w:val="5AE04594"/>
    <w:rsid w:val="5AF42587"/>
    <w:rsid w:val="5AF50835"/>
    <w:rsid w:val="5AF80C77"/>
    <w:rsid w:val="5AFC7E15"/>
    <w:rsid w:val="5AFF3461"/>
    <w:rsid w:val="5B012D94"/>
    <w:rsid w:val="5B0311A3"/>
    <w:rsid w:val="5B0373F5"/>
    <w:rsid w:val="5B0647F0"/>
    <w:rsid w:val="5B0664B5"/>
    <w:rsid w:val="5B0F13AB"/>
    <w:rsid w:val="5B125EE8"/>
    <w:rsid w:val="5B150ED7"/>
    <w:rsid w:val="5B1A029B"/>
    <w:rsid w:val="5B201C2D"/>
    <w:rsid w:val="5B2B4256"/>
    <w:rsid w:val="5B2C6E0F"/>
    <w:rsid w:val="5B2F1760"/>
    <w:rsid w:val="5B33135D"/>
    <w:rsid w:val="5B3951AC"/>
    <w:rsid w:val="5B4E75CF"/>
    <w:rsid w:val="5B547C51"/>
    <w:rsid w:val="5B5852AB"/>
    <w:rsid w:val="5B5C6B06"/>
    <w:rsid w:val="5B670635"/>
    <w:rsid w:val="5B6D486F"/>
    <w:rsid w:val="5B743E4F"/>
    <w:rsid w:val="5B773940"/>
    <w:rsid w:val="5B783FF8"/>
    <w:rsid w:val="5B7C0F56"/>
    <w:rsid w:val="5B8027F4"/>
    <w:rsid w:val="5B8402CF"/>
    <w:rsid w:val="5B8F47E5"/>
    <w:rsid w:val="5B901433"/>
    <w:rsid w:val="5BA1276A"/>
    <w:rsid w:val="5BA20379"/>
    <w:rsid w:val="5BA22FF9"/>
    <w:rsid w:val="5BA34735"/>
    <w:rsid w:val="5BAD2FE0"/>
    <w:rsid w:val="5BB16E51"/>
    <w:rsid w:val="5BB701E0"/>
    <w:rsid w:val="5BB7574F"/>
    <w:rsid w:val="5BBA79E8"/>
    <w:rsid w:val="5BBE50CA"/>
    <w:rsid w:val="5BBF7D40"/>
    <w:rsid w:val="5BC37463"/>
    <w:rsid w:val="5BC8419B"/>
    <w:rsid w:val="5BD17E18"/>
    <w:rsid w:val="5BD57A5E"/>
    <w:rsid w:val="5BF14E79"/>
    <w:rsid w:val="5BF40AEC"/>
    <w:rsid w:val="5BF44F90"/>
    <w:rsid w:val="5BF50713"/>
    <w:rsid w:val="5BF60D08"/>
    <w:rsid w:val="5BF84A80"/>
    <w:rsid w:val="5BFB1E7B"/>
    <w:rsid w:val="5BFB631F"/>
    <w:rsid w:val="5BFD0E7B"/>
    <w:rsid w:val="5BFD32B2"/>
    <w:rsid w:val="5C001082"/>
    <w:rsid w:val="5C043425"/>
    <w:rsid w:val="5C074A7D"/>
    <w:rsid w:val="5C2018E1"/>
    <w:rsid w:val="5C2A2760"/>
    <w:rsid w:val="5C2C297C"/>
    <w:rsid w:val="5C2C541B"/>
    <w:rsid w:val="5C2C57D9"/>
    <w:rsid w:val="5C2D3FFE"/>
    <w:rsid w:val="5C311D40"/>
    <w:rsid w:val="5C313978"/>
    <w:rsid w:val="5C391A9C"/>
    <w:rsid w:val="5C3A6E47"/>
    <w:rsid w:val="5C3E7FB9"/>
    <w:rsid w:val="5C3F76AA"/>
    <w:rsid w:val="5C403CBA"/>
    <w:rsid w:val="5C475989"/>
    <w:rsid w:val="5C4E644E"/>
    <w:rsid w:val="5C527136"/>
    <w:rsid w:val="5C545A2F"/>
    <w:rsid w:val="5C5D0D87"/>
    <w:rsid w:val="5C602626"/>
    <w:rsid w:val="5C62639E"/>
    <w:rsid w:val="5C64278E"/>
    <w:rsid w:val="5C6C4B26"/>
    <w:rsid w:val="5C6E01B4"/>
    <w:rsid w:val="5C74325C"/>
    <w:rsid w:val="5C7659A5"/>
    <w:rsid w:val="5C8400C2"/>
    <w:rsid w:val="5C9127DF"/>
    <w:rsid w:val="5C9A5B38"/>
    <w:rsid w:val="5C9D1184"/>
    <w:rsid w:val="5CC42BB4"/>
    <w:rsid w:val="5CCC1A69"/>
    <w:rsid w:val="5CD050B5"/>
    <w:rsid w:val="5CD56B70"/>
    <w:rsid w:val="5CD64696"/>
    <w:rsid w:val="5CD8040E"/>
    <w:rsid w:val="5CDB424F"/>
    <w:rsid w:val="5CDD3C76"/>
    <w:rsid w:val="5CE30A60"/>
    <w:rsid w:val="5CE40B61"/>
    <w:rsid w:val="5CE9261B"/>
    <w:rsid w:val="5CEE5E83"/>
    <w:rsid w:val="5CF36871"/>
    <w:rsid w:val="5CFE4309"/>
    <w:rsid w:val="5D000F24"/>
    <w:rsid w:val="5D053658"/>
    <w:rsid w:val="5D09151F"/>
    <w:rsid w:val="5D101956"/>
    <w:rsid w:val="5D1F7DEB"/>
    <w:rsid w:val="5D211DB5"/>
    <w:rsid w:val="5D221689"/>
    <w:rsid w:val="5D284EF1"/>
    <w:rsid w:val="5D2C22D6"/>
    <w:rsid w:val="5D314D60"/>
    <w:rsid w:val="5D3550EC"/>
    <w:rsid w:val="5D355860"/>
    <w:rsid w:val="5D3874C9"/>
    <w:rsid w:val="5D3E4715"/>
    <w:rsid w:val="5D445AA3"/>
    <w:rsid w:val="5D521F6E"/>
    <w:rsid w:val="5D5435D0"/>
    <w:rsid w:val="5D5B704F"/>
    <w:rsid w:val="5D5E2925"/>
    <w:rsid w:val="5D647EF4"/>
    <w:rsid w:val="5D665A1A"/>
    <w:rsid w:val="5D786D1A"/>
    <w:rsid w:val="5D7B2BE9"/>
    <w:rsid w:val="5D7C3154"/>
    <w:rsid w:val="5D7C523D"/>
    <w:rsid w:val="5D7C6FEB"/>
    <w:rsid w:val="5D7F7C86"/>
    <w:rsid w:val="5D8159AA"/>
    <w:rsid w:val="5D8365CC"/>
    <w:rsid w:val="5D850596"/>
    <w:rsid w:val="5D8A308E"/>
    <w:rsid w:val="5D900B7B"/>
    <w:rsid w:val="5D902A97"/>
    <w:rsid w:val="5D9A3915"/>
    <w:rsid w:val="5D9E47C0"/>
    <w:rsid w:val="5D9F0F2C"/>
    <w:rsid w:val="5DA55635"/>
    <w:rsid w:val="5DAB167E"/>
    <w:rsid w:val="5DAB78D0"/>
    <w:rsid w:val="5DAF5613"/>
    <w:rsid w:val="5DB42C29"/>
    <w:rsid w:val="5DB70023"/>
    <w:rsid w:val="5DB86706"/>
    <w:rsid w:val="5DBD7190"/>
    <w:rsid w:val="5DC866D4"/>
    <w:rsid w:val="5DCB1D21"/>
    <w:rsid w:val="5DD0462F"/>
    <w:rsid w:val="5DD166EA"/>
    <w:rsid w:val="5DD50E72"/>
    <w:rsid w:val="5DD60DF1"/>
    <w:rsid w:val="5DD76D12"/>
    <w:rsid w:val="5DE27796"/>
    <w:rsid w:val="5DF136C0"/>
    <w:rsid w:val="5DF179D9"/>
    <w:rsid w:val="5DF333DB"/>
    <w:rsid w:val="5DF64FF0"/>
    <w:rsid w:val="5DF70D68"/>
    <w:rsid w:val="5DFE3EA4"/>
    <w:rsid w:val="5E075446"/>
    <w:rsid w:val="5E0B4F4B"/>
    <w:rsid w:val="5E111E29"/>
    <w:rsid w:val="5E14191A"/>
    <w:rsid w:val="5E1436C8"/>
    <w:rsid w:val="5E23390B"/>
    <w:rsid w:val="5E282CCF"/>
    <w:rsid w:val="5E2A6A47"/>
    <w:rsid w:val="5E3E6996"/>
    <w:rsid w:val="5E511610"/>
    <w:rsid w:val="5E5341F0"/>
    <w:rsid w:val="5E6F08FE"/>
    <w:rsid w:val="5E734892"/>
    <w:rsid w:val="5E766130"/>
    <w:rsid w:val="5E812F0A"/>
    <w:rsid w:val="5E83050C"/>
    <w:rsid w:val="5E8343A9"/>
    <w:rsid w:val="5E8E6FD6"/>
    <w:rsid w:val="5E8F1076"/>
    <w:rsid w:val="5E991118"/>
    <w:rsid w:val="5E9B5B97"/>
    <w:rsid w:val="5EA66A16"/>
    <w:rsid w:val="5EA80C86"/>
    <w:rsid w:val="5EAA7669"/>
    <w:rsid w:val="5EAE6868"/>
    <w:rsid w:val="5EBA02EC"/>
    <w:rsid w:val="5EC944B2"/>
    <w:rsid w:val="5ED66BCF"/>
    <w:rsid w:val="5ED679F2"/>
    <w:rsid w:val="5EDF7832"/>
    <w:rsid w:val="5EE1723E"/>
    <w:rsid w:val="5EE80469"/>
    <w:rsid w:val="5EEC31DD"/>
    <w:rsid w:val="5EF04772"/>
    <w:rsid w:val="5EF05EE3"/>
    <w:rsid w:val="5EF36EB6"/>
    <w:rsid w:val="5EF808F3"/>
    <w:rsid w:val="5F021772"/>
    <w:rsid w:val="5F096FA4"/>
    <w:rsid w:val="5F0B0627"/>
    <w:rsid w:val="5F13397F"/>
    <w:rsid w:val="5F171192"/>
    <w:rsid w:val="5F241273"/>
    <w:rsid w:val="5F243081"/>
    <w:rsid w:val="5F2A12F8"/>
    <w:rsid w:val="5F2D2C93"/>
    <w:rsid w:val="5F2F6E79"/>
    <w:rsid w:val="5F334021"/>
    <w:rsid w:val="5F342B25"/>
    <w:rsid w:val="5F3C58B7"/>
    <w:rsid w:val="5F3E6E9B"/>
    <w:rsid w:val="5F426012"/>
    <w:rsid w:val="5F443B39"/>
    <w:rsid w:val="5F49114F"/>
    <w:rsid w:val="5F4E193D"/>
    <w:rsid w:val="5F4F0E5B"/>
    <w:rsid w:val="5F5E5BD7"/>
    <w:rsid w:val="5F642583"/>
    <w:rsid w:val="5F6441DB"/>
    <w:rsid w:val="5F6A0654"/>
    <w:rsid w:val="5F70492E"/>
    <w:rsid w:val="5F7225DD"/>
    <w:rsid w:val="5F751F44"/>
    <w:rsid w:val="5F7A755A"/>
    <w:rsid w:val="5F7C2BC5"/>
    <w:rsid w:val="5F831114"/>
    <w:rsid w:val="5F85487D"/>
    <w:rsid w:val="5F866F22"/>
    <w:rsid w:val="5F8913FD"/>
    <w:rsid w:val="5F8A6BF4"/>
    <w:rsid w:val="5F8F4D7B"/>
    <w:rsid w:val="5F8F74AA"/>
    <w:rsid w:val="5F915CB4"/>
    <w:rsid w:val="5F920D48"/>
    <w:rsid w:val="5F9745B0"/>
    <w:rsid w:val="5F9C361C"/>
    <w:rsid w:val="5FA42829"/>
    <w:rsid w:val="5FBC14C5"/>
    <w:rsid w:val="5FBE5526"/>
    <w:rsid w:val="5FBF1411"/>
    <w:rsid w:val="5FCA0D9F"/>
    <w:rsid w:val="5FCA6734"/>
    <w:rsid w:val="5FCE126B"/>
    <w:rsid w:val="5FD44EBD"/>
    <w:rsid w:val="5FD67828"/>
    <w:rsid w:val="5FDD304B"/>
    <w:rsid w:val="5FDD388C"/>
    <w:rsid w:val="5FDE04BB"/>
    <w:rsid w:val="5FDE3F8D"/>
    <w:rsid w:val="5FE4753D"/>
    <w:rsid w:val="5FE70674"/>
    <w:rsid w:val="5FF97FD7"/>
    <w:rsid w:val="5FFD4684"/>
    <w:rsid w:val="600A6B30"/>
    <w:rsid w:val="600D6620"/>
    <w:rsid w:val="600F2399"/>
    <w:rsid w:val="600F3107"/>
    <w:rsid w:val="6017749F"/>
    <w:rsid w:val="6017753B"/>
    <w:rsid w:val="601C6864"/>
    <w:rsid w:val="60235E44"/>
    <w:rsid w:val="602478DB"/>
    <w:rsid w:val="60363DC9"/>
    <w:rsid w:val="603747E8"/>
    <w:rsid w:val="603845A2"/>
    <w:rsid w:val="6045400C"/>
    <w:rsid w:val="60481228"/>
    <w:rsid w:val="60496E03"/>
    <w:rsid w:val="604A33D1"/>
    <w:rsid w:val="60533A3D"/>
    <w:rsid w:val="60567FC7"/>
    <w:rsid w:val="605A639A"/>
    <w:rsid w:val="605B738C"/>
    <w:rsid w:val="606F4BE5"/>
    <w:rsid w:val="6071095D"/>
    <w:rsid w:val="6071159A"/>
    <w:rsid w:val="607D5554"/>
    <w:rsid w:val="60824CE9"/>
    <w:rsid w:val="60870181"/>
    <w:rsid w:val="608B4D11"/>
    <w:rsid w:val="608C5797"/>
    <w:rsid w:val="608F6033"/>
    <w:rsid w:val="609603C4"/>
    <w:rsid w:val="609644F7"/>
    <w:rsid w:val="609C3324"/>
    <w:rsid w:val="609D1752"/>
    <w:rsid w:val="60A24FBB"/>
    <w:rsid w:val="60A76A75"/>
    <w:rsid w:val="60AF2BCD"/>
    <w:rsid w:val="60BC0341"/>
    <w:rsid w:val="60C473C9"/>
    <w:rsid w:val="60C858E5"/>
    <w:rsid w:val="60CC6205"/>
    <w:rsid w:val="60DB227B"/>
    <w:rsid w:val="60E4166B"/>
    <w:rsid w:val="60E75352"/>
    <w:rsid w:val="60EA0710"/>
    <w:rsid w:val="60EB1E1F"/>
    <w:rsid w:val="60FF065F"/>
    <w:rsid w:val="610067AB"/>
    <w:rsid w:val="61016185"/>
    <w:rsid w:val="61024E87"/>
    <w:rsid w:val="61037CF4"/>
    <w:rsid w:val="61045C75"/>
    <w:rsid w:val="610C038F"/>
    <w:rsid w:val="61137C66"/>
    <w:rsid w:val="611D1A4C"/>
    <w:rsid w:val="611D2893"/>
    <w:rsid w:val="611F485D"/>
    <w:rsid w:val="612105D5"/>
    <w:rsid w:val="612C5E74"/>
    <w:rsid w:val="61300818"/>
    <w:rsid w:val="613F6CAD"/>
    <w:rsid w:val="61406582"/>
    <w:rsid w:val="61471ACE"/>
    <w:rsid w:val="614A2D2C"/>
    <w:rsid w:val="615950B5"/>
    <w:rsid w:val="615F10FE"/>
    <w:rsid w:val="61677FB2"/>
    <w:rsid w:val="617821BF"/>
    <w:rsid w:val="617862D8"/>
    <w:rsid w:val="617C580C"/>
    <w:rsid w:val="61866A86"/>
    <w:rsid w:val="6189617B"/>
    <w:rsid w:val="618C46F3"/>
    <w:rsid w:val="61907509"/>
    <w:rsid w:val="61946FF9"/>
    <w:rsid w:val="619C1A0A"/>
    <w:rsid w:val="619D0D81"/>
    <w:rsid w:val="619E1C26"/>
    <w:rsid w:val="61A158C4"/>
    <w:rsid w:val="61A82AA5"/>
    <w:rsid w:val="61AB4343"/>
    <w:rsid w:val="61AF262E"/>
    <w:rsid w:val="61B437D3"/>
    <w:rsid w:val="61BA27D8"/>
    <w:rsid w:val="61BC3E5A"/>
    <w:rsid w:val="61BF2475"/>
    <w:rsid w:val="61C176C2"/>
    <w:rsid w:val="61C33088"/>
    <w:rsid w:val="61C947C9"/>
    <w:rsid w:val="61D07906"/>
    <w:rsid w:val="61D54F1C"/>
    <w:rsid w:val="61D73F2D"/>
    <w:rsid w:val="61DE513F"/>
    <w:rsid w:val="61DF3FED"/>
    <w:rsid w:val="61EB0423"/>
    <w:rsid w:val="61ED0120"/>
    <w:rsid w:val="61F25A52"/>
    <w:rsid w:val="6200468F"/>
    <w:rsid w:val="6200643D"/>
    <w:rsid w:val="62061579"/>
    <w:rsid w:val="62083543"/>
    <w:rsid w:val="620A1884"/>
    <w:rsid w:val="621041A6"/>
    <w:rsid w:val="62116FB3"/>
    <w:rsid w:val="62134E5E"/>
    <w:rsid w:val="6214107C"/>
    <w:rsid w:val="6220263B"/>
    <w:rsid w:val="623954AB"/>
    <w:rsid w:val="623D6784"/>
    <w:rsid w:val="62483D95"/>
    <w:rsid w:val="624A3B5C"/>
    <w:rsid w:val="624A76B8"/>
    <w:rsid w:val="624B51DE"/>
    <w:rsid w:val="62512EA1"/>
    <w:rsid w:val="625C1559"/>
    <w:rsid w:val="625C58C6"/>
    <w:rsid w:val="626A1B08"/>
    <w:rsid w:val="626F35C2"/>
    <w:rsid w:val="62744735"/>
    <w:rsid w:val="627D06E2"/>
    <w:rsid w:val="627D5CDF"/>
    <w:rsid w:val="627E6257"/>
    <w:rsid w:val="62922E0D"/>
    <w:rsid w:val="629D0130"/>
    <w:rsid w:val="62AE1B7E"/>
    <w:rsid w:val="62BB2364"/>
    <w:rsid w:val="62BC4273"/>
    <w:rsid w:val="62C51434"/>
    <w:rsid w:val="62C92CD3"/>
    <w:rsid w:val="62CB283C"/>
    <w:rsid w:val="62CE653B"/>
    <w:rsid w:val="62D376AD"/>
    <w:rsid w:val="62D653F0"/>
    <w:rsid w:val="62DA698E"/>
    <w:rsid w:val="62ED0FD3"/>
    <w:rsid w:val="62FD0BCE"/>
    <w:rsid w:val="62FD472A"/>
    <w:rsid w:val="630B5A9F"/>
    <w:rsid w:val="630E2DDB"/>
    <w:rsid w:val="6320666B"/>
    <w:rsid w:val="63332842"/>
    <w:rsid w:val="63343EC4"/>
    <w:rsid w:val="633B5253"/>
    <w:rsid w:val="633D721D"/>
    <w:rsid w:val="63461B81"/>
    <w:rsid w:val="63511D57"/>
    <w:rsid w:val="63627F72"/>
    <w:rsid w:val="636603A4"/>
    <w:rsid w:val="63702B97"/>
    <w:rsid w:val="63780255"/>
    <w:rsid w:val="63860BC4"/>
    <w:rsid w:val="63860E60"/>
    <w:rsid w:val="638C28AB"/>
    <w:rsid w:val="638E1826"/>
    <w:rsid w:val="639037F0"/>
    <w:rsid w:val="639808F7"/>
    <w:rsid w:val="639855AC"/>
    <w:rsid w:val="639A569E"/>
    <w:rsid w:val="639A6746"/>
    <w:rsid w:val="63A177AC"/>
    <w:rsid w:val="63A46C3D"/>
    <w:rsid w:val="63AB4186"/>
    <w:rsid w:val="63AB687C"/>
    <w:rsid w:val="63AE1EC8"/>
    <w:rsid w:val="63B219B9"/>
    <w:rsid w:val="63BD210C"/>
    <w:rsid w:val="63BD3EBA"/>
    <w:rsid w:val="63C11BFC"/>
    <w:rsid w:val="63C139AA"/>
    <w:rsid w:val="63C416EC"/>
    <w:rsid w:val="63C77D26"/>
    <w:rsid w:val="63CD6CBE"/>
    <w:rsid w:val="63CF256B"/>
    <w:rsid w:val="63D27965"/>
    <w:rsid w:val="63D47B81"/>
    <w:rsid w:val="63D5361B"/>
    <w:rsid w:val="63DC6A36"/>
    <w:rsid w:val="63E2436F"/>
    <w:rsid w:val="63EA73A4"/>
    <w:rsid w:val="63ED479F"/>
    <w:rsid w:val="63EE4356"/>
    <w:rsid w:val="63F150E2"/>
    <w:rsid w:val="63F172BF"/>
    <w:rsid w:val="63F279DE"/>
    <w:rsid w:val="63F975E8"/>
    <w:rsid w:val="63FA3360"/>
    <w:rsid w:val="6403064C"/>
    <w:rsid w:val="64046C3B"/>
    <w:rsid w:val="640F6E0B"/>
    <w:rsid w:val="6417181C"/>
    <w:rsid w:val="641C5084"/>
    <w:rsid w:val="641F5809"/>
    <w:rsid w:val="64233302"/>
    <w:rsid w:val="64264155"/>
    <w:rsid w:val="642F3009"/>
    <w:rsid w:val="64354398"/>
    <w:rsid w:val="643C74D4"/>
    <w:rsid w:val="644353F5"/>
    <w:rsid w:val="644D7933"/>
    <w:rsid w:val="644F546A"/>
    <w:rsid w:val="645706A8"/>
    <w:rsid w:val="645804F4"/>
    <w:rsid w:val="645B56F0"/>
    <w:rsid w:val="645C3964"/>
    <w:rsid w:val="645C7B76"/>
    <w:rsid w:val="646363DF"/>
    <w:rsid w:val="646507D9"/>
    <w:rsid w:val="64694528"/>
    <w:rsid w:val="646A7B3B"/>
    <w:rsid w:val="6477050C"/>
    <w:rsid w:val="64871480"/>
    <w:rsid w:val="6487730D"/>
    <w:rsid w:val="648D1ADE"/>
    <w:rsid w:val="648F1CFA"/>
    <w:rsid w:val="649E3CEB"/>
    <w:rsid w:val="64A038CF"/>
    <w:rsid w:val="64A15589"/>
    <w:rsid w:val="64AC28AC"/>
    <w:rsid w:val="64AD03D2"/>
    <w:rsid w:val="64B472D0"/>
    <w:rsid w:val="64BC415B"/>
    <w:rsid w:val="64BD0615"/>
    <w:rsid w:val="64BE25DF"/>
    <w:rsid w:val="64C5008F"/>
    <w:rsid w:val="64CF20F6"/>
    <w:rsid w:val="64D9450A"/>
    <w:rsid w:val="64DC42B2"/>
    <w:rsid w:val="64DD1634"/>
    <w:rsid w:val="64E220FD"/>
    <w:rsid w:val="64EE4C72"/>
    <w:rsid w:val="64F00736"/>
    <w:rsid w:val="64F34037"/>
    <w:rsid w:val="64F41B5D"/>
    <w:rsid w:val="64F51D34"/>
    <w:rsid w:val="64F61FBA"/>
    <w:rsid w:val="64FB113D"/>
    <w:rsid w:val="65156591"/>
    <w:rsid w:val="65294DFC"/>
    <w:rsid w:val="652977A7"/>
    <w:rsid w:val="652C424A"/>
    <w:rsid w:val="652F0DE7"/>
    <w:rsid w:val="6530072B"/>
    <w:rsid w:val="653319F2"/>
    <w:rsid w:val="65366A7B"/>
    <w:rsid w:val="65493C57"/>
    <w:rsid w:val="65532D27"/>
    <w:rsid w:val="65544F71"/>
    <w:rsid w:val="655C1270"/>
    <w:rsid w:val="655C757F"/>
    <w:rsid w:val="656932F7"/>
    <w:rsid w:val="65695546"/>
    <w:rsid w:val="65742020"/>
    <w:rsid w:val="657A02B4"/>
    <w:rsid w:val="65801643"/>
    <w:rsid w:val="65837903"/>
    <w:rsid w:val="65864EAB"/>
    <w:rsid w:val="65896749"/>
    <w:rsid w:val="658E01CE"/>
    <w:rsid w:val="659349B5"/>
    <w:rsid w:val="6593581A"/>
    <w:rsid w:val="65962C14"/>
    <w:rsid w:val="659D3DE6"/>
    <w:rsid w:val="65A76BCF"/>
    <w:rsid w:val="65A92947"/>
    <w:rsid w:val="65B512EC"/>
    <w:rsid w:val="65BC08CD"/>
    <w:rsid w:val="65C854C3"/>
    <w:rsid w:val="65CC6636"/>
    <w:rsid w:val="65CE23AE"/>
    <w:rsid w:val="65D26342"/>
    <w:rsid w:val="65D33E68"/>
    <w:rsid w:val="65D8147F"/>
    <w:rsid w:val="65DA0D53"/>
    <w:rsid w:val="65DD280C"/>
    <w:rsid w:val="65DD6A95"/>
    <w:rsid w:val="65E25E59"/>
    <w:rsid w:val="65E322FD"/>
    <w:rsid w:val="65E6594A"/>
    <w:rsid w:val="65EE0CA2"/>
    <w:rsid w:val="65F21520"/>
    <w:rsid w:val="65FF07B9"/>
    <w:rsid w:val="66180023"/>
    <w:rsid w:val="661C136B"/>
    <w:rsid w:val="661C5518"/>
    <w:rsid w:val="661D6DEA"/>
    <w:rsid w:val="661E7DF0"/>
    <w:rsid w:val="66214BD4"/>
    <w:rsid w:val="66266DCE"/>
    <w:rsid w:val="66284AF4"/>
    <w:rsid w:val="663A5C95"/>
    <w:rsid w:val="66415276"/>
    <w:rsid w:val="66486604"/>
    <w:rsid w:val="664A237C"/>
    <w:rsid w:val="66501015"/>
    <w:rsid w:val="665066E6"/>
    <w:rsid w:val="66540B05"/>
    <w:rsid w:val="6663423B"/>
    <w:rsid w:val="666920D7"/>
    <w:rsid w:val="666B22F3"/>
    <w:rsid w:val="66794A10"/>
    <w:rsid w:val="66817EF2"/>
    <w:rsid w:val="6683763C"/>
    <w:rsid w:val="669140FA"/>
    <w:rsid w:val="669C425A"/>
    <w:rsid w:val="66A74E0F"/>
    <w:rsid w:val="66AB26EF"/>
    <w:rsid w:val="66AB7C09"/>
    <w:rsid w:val="66B47F1D"/>
    <w:rsid w:val="66B93329"/>
    <w:rsid w:val="66BB0B84"/>
    <w:rsid w:val="66BC5FE0"/>
    <w:rsid w:val="66C11F13"/>
    <w:rsid w:val="66D02156"/>
    <w:rsid w:val="66D30817"/>
    <w:rsid w:val="66D71736"/>
    <w:rsid w:val="66D932E1"/>
    <w:rsid w:val="66E8749F"/>
    <w:rsid w:val="66FF15B3"/>
    <w:rsid w:val="67006B7B"/>
    <w:rsid w:val="6703252B"/>
    <w:rsid w:val="670562A3"/>
    <w:rsid w:val="670F2C7E"/>
    <w:rsid w:val="67112E9A"/>
    <w:rsid w:val="67134D8E"/>
    <w:rsid w:val="671362D9"/>
    <w:rsid w:val="67136C12"/>
    <w:rsid w:val="671604B0"/>
    <w:rsid w:val="67185FD7"/>
    <w:rsid w:val="671939D8"/>
    <w:rsid w:val="671C6B25"/>
    <w:rsid w:val="67226E55"/>
    <w:rsid w:val="67240B64"/>
    <w:rsid w:val="67307B4D"/>
    <w:rsid w:val="673426E5"/>
    <w:rsid w:val="6736645D"/>
    <w:rsid w:val="674768BC"/>
    <w:rsid w:val="674A63AC"/>
    <w:rsid w:val="674C5C80"/>
    <w:rsid w:val="67535261"/>
    <w:rsid w:val="67544B35"/>
    <w:rsid w:val="67582877"/>
    <w:rsid w:val="67584625"/>
    <w:rsid w:val="675863D3"/>
    <w:rsid w:val="675E5115"/>
    <w:rsid w:val="67656D42"/>
    <w:rsid w:val="676C4760"/>
    <w:rsid w:val="677156E7"/>
    <w:rsid w:val="6784475E"/>
    <w:rsid w:val="6784541A"/>
    <w:rsid w:val="67917B37"/>
    <w:rsid w:val="679F04A6"/>
    <w:rsid w:val="67A21D44"/>
    <w:rsid w:val="67A61834"/>
    <w:rsid w:val="67A71109"/>
    <w:rsid w:val="67AD7DD6"/>
    <w:rsid w:val="67B21312"/>
    <w:rsid w:val="67B21438"/>
    <w:rsid w:val="67BA07B7"/>
    <w:rsid w:val="67BB7EBB"/>
    <w:rsid w:val="67BC1058"/>
    <w:rsid w:val="67BD26DA"/>
    <w:rsid w:val="67C779FD"/>
    <w:rsid w:val="67C938CC"/>
    <w:rsid w:val="67CA7EC8"/>
    <w:rsid w:val="67DB0DB2"/>
    <w:rsid w:val="67DD3A75"/>
    <w:rsid w:val="67DF4D46"/>
    <w:rsid w:val="67ED03C9"/>
    <w:rsid w:val="67EE31DB"/>
    <w:rsid w:val="67F120DA"/>
    <w:rsid w:val="67F51E74"/>
    <w:rsid w:val="67FF2CF3"/>
    <w:rsid w:val="68060525"/>
    <w:rsid w:val="680D18B3"/>
    <w:rsid w:val="680E630A"/>
    <w:rsid w:val="68110E42"/>
    <w:rsid w:val="68124EB0"/>
    <w:rsid w:val="681364CD"/>
    <w:rsid w:val="68242759"/>
    <w:rsid w:val="68243885"/>
    <w:rsid w:val="68246BFD"/>
    <w:rsid w:val="68297D70"/>
    <w:rsid w:val="682D3D04"/>
    <w:rsid w:val="682E182A"/>
    <w:rsid w:val="6832790E"/>
    <w:rsid w:val="68381733"/>
    <w:rsid w:val="683B3B1F"/>
    <w:rsid w:val="683F7593"/>
    <w:rsid w:val="68490412"/>
    <w:rsid w:val="685272C6"/>
    <w:rsid w:val="687234C5"/>
    <w:rsid w:val="687436E1"/>
    <w:rsid w:val="68744D1D"/>
    <w:rsid w:val="68850646"/>
    <w:rsid w:val="688558EE"/>
    <w:rsid w:val="688C5948"/>
    <w:rsid w:val="689478DF"/>
    <w:rsid w:val="689C6793"/>
    <w:rsid w:val="689E69AF"/>
    <w:rsid w:val="68A044D6"/>
    <w:rsid w:val="68A613C0"/>
    <w:rsid w:val="68A71F0C"/>
    <w:rsid w:val="68AD1144"/>
    <w:rsid w:val="68B51B7E"/>
    <w:rsid w:val="68B65AA7"/>
    <w:rsid w:val="68BC4845"/>
    <w:rsid w:val="68C606AA"/>
    <w:rsid w:val="68CB0E27"/>
    <w:rsid w:val="68D423D1"/>
    <w:rsid w:val="68D66127"/>
    <w:rsid w:val="68E50599"/>
    <w:rsid w:val="68EF0FB9"/>
    <w:rsid w:val="68EF2D67"/>
    <w:rsid w:val="68FB5BB0"/>
    <w:rsid w:val="69032E72"/>
    <w:rsid w:val="690744F8"/>
    <w:rsid w:val="690C1B6B"/>
    <w:rsid w:val="6917406C"/>
    <w:rsid w:val="691C6622"/>
    <w:rsid w:val="6922138F"/>
    <w:rsid w:val="69286279"/>
    <w:rsid w:val="692C3FBB"/>
    <w:rsid w:val="693B5DB2"/>
    <w:rsid w:val="694105EE"/>
    <w:rsid w:val="69513A22"/>
    <w:rsid w:val="69566E7A"/>
    <w:rsid w:val="695B21AB"/>
    <w:rsid w:val="695B3372"/>
    <w:rsid w:val="695E7EED"/>
    <w:rsid w:val="69603C65"/>
    <w:rsid w:val="696075A1"/>
    <w:rsid w:val="69623539"/>
    <w:rsid w:val="69660ABA"/>
    <w:rsid w:val="696B0B76"/>
    <w:rsid w:val="697678E2"/>
    <w:rsid w:val="69797B93"/>
    <w:rsid w:val="697A6D19"/>
    <w:rsid w:val="69847953"/>
    <w:rsid w:val="69872FA0"/>
    <w:rsid w:val="698F2FC0"/>
    <w:rsid w:val="69913E1E"/>
    <w:rsid w:val="699723DB"/>
    <w:rsid w:val="69A022B3"/>
    <w:rsid w:val="69AC2A06"/>
    <w:rsid w:val="69B02243"/>
    <w:rsid w:val="69B16A82"/>
    <w:rsid w:val="69C51D1A"/>
    <w:rsid w:val="69C67B3E"/>
    <w:rsid w:val="69C75A92"/>
    <w:rsid w:val="69CE4E6D"/>
    <w:rsid w:val="69CF4947"/>
    <w:rsid w:val="69D57C48"/>
    <w:rsid w:val="69DD5D56"/>
    <w:rsid w:val="69DD7064"/>
    <w:rsid w:val="69E228CC"/>
    <w:rsid w:val="69E76134"/>
    <w:rsid w:val="69E77EE2"/>
    <w:rsid w:val="69F61B52"/>
    <w:rsid w:val="69F745C9"/>
    <w:rsid w:val="69F8719C"/>
    <w:rsid w:val="69FF2B55"/>
    <w:rsid w:val="6A0517DF"/>
    <w:rsid w:val="6A0A361D"/>
    <w:rsid w:val="6A0B1E23"/>
    <w:rsid w:val="6A0C7949"/>
    <w:rsid w:val="6A1113CA"/>
    <w:rsid w:val="6A1707C7"/>
    <w:rsid w:val="6A184B90"/>
    <w:rsid w:val="6A19661F"/>
    <w:rsid w:val="6A1A3E14"/>
    <w:rsid w:val="6A1C5DDE"/>
    <w:rsid w:val="6A20375A"/>
    <w:rsid w:val="6A25387A"/>
    <w:rsid w:val="6A2627B9"/>
    <w:rsid w:val="6A2C3B47"/>
    <w:rsid w:val="6A3749C6"/>
    <w:rsid w:val="6A3A2708"/>
    <w:rsid w:val="6A406F46"/>
    <w:rsid w:val="6A445335"/>
    <w:rsid w:val="6A470981"/>
    <w:rsid w:val="6A5F3BB4"/>
    <w:rsid w:val="6A5F3F1C"/>
    <w:rsid w:val="6A650922"/>
    <w:rsid w:val="6A6B1D0C"/>
    <w:rsid w:val="6A6F6406"/>
    <w:rsid w:val="6A731776"/>
    <w:rsid w:val="6A7A2B04"/>
    <w:rsid w:val="6A8120E5"/>
    <w:rsid w:val="6A8614A9"/>
    <w:rsid w:val="6A8676FB"/>
    <w:rsid w:val="6A883473"/>
    <w:rsid w:val="6A8B2F63"/>
    <w:rsid w:val="6A933BC6"/>
    <w:rsid w:val="6A9516EC"/>
    <w:rsid w:val="6A9A6D03"/>
    <w:rsid w:val="6A9C2A7B"/>
    <w:rsid w:val="6A9F256B"/>
    <w:rsid w:val="6AA41B3A"/>
    <w:rsid w:val="6AA55DB5"/>
    <w:rsid w:val="6AB63143"/>
    <w:rsid w:val="6AC370B0"/>
    <w:rsid w:val="6AC67AF8"/>
    <w:rsid w:val="6AD37B7E"/>
    <w:rsid w:val="6AD95A7D"/>
    <w:rsid w:val="6ADF6E0B"/>
    <w:rsid w:val="6AE6019A"/>
    <w:rsid w:val="6AEA7C8A"/>
    <w:rsid w:val="6AF06F23"/>
    <w:rsid w:val="6AF22AF0"/>
    <w:rsid w:val="6AF24D91"/>
    <w:rsid w:val="6AFA59F3"/>
    <w:rsid w:val="6AFB1E97"/>
    <w:rsid w:val="6AFB3C45"/>
    <w:rsid w:val="6B09579B"/>
    <w:rsid w:val="6B225676"/>
    <w:rsid w:val="6B2B3DFF"/>
    <w:rsid w:val="6B2B5108"/>
    <w:rsid w:val="6B32469D"/>
    <w:rsid w:val="6B3453A9"/>
    <w:rsid w:val="6B347157"/>
    <w:rsid w:val="6B364C7D"/>
    <w:rsid w:val="6B3709F5"/>
    <w:rsid w:val="6B39476E"/>
    <w:rsid w:val="6B3B2294"/>
    <w:rsid w:val="6B425A43"/>
    <w:rsid w:val="6B4534B2"/>
    <w:rsid w:val="6B4A0729"/>
    <w:rsid w:val="6B4A43F1"/>
    <w:rsid w:val="6B513865"/>
    <w:rsid w:val="6B533A81"/>
    <w:rsid w:val="6B581098"/>
    <w:rsid w:val="6B655563"/>
    <w:rsid w:val="6B685E24"/>
    <w:rsid w:val="6B6A0DCB"/>
    <w:rsid w:val="6B6A2C01"/>
    <w:rsid w:val="6B712B27"/>
    <w:rsid w:val="6B721F30"/>
    <w:rsid w:val="6B7457A6"/>
    <w:rsid w:val="6B80239C"/>
    <w:rsid w:val="6B84510D"/>
    <w:rsid w:val="6B8A6C42"/>
    <w:rsid w:val="6B8E4AB9"/>
    <w:rsid w:val="6B8F438D"/>
    <w:rsid w:val="6B99520C"/>
    <w:rsid w:val="6BA77929"/>
    <w:rsid w:val="6BAF6037"/>
    <w:rsid w:val="6BBD38BD"/>
    <w:rsid w:val="6BBF1117"/>
    <w:rsid w:val="6BCD3CC0"/>
    <w:rsid w:val="6BD00FC6"/>
    <w:rsid w:val="6BD44496"/>
    <w:rsid w:val="6BDA0D35"/>
    <w:rsid w:val="6BEC17E0"/>
    <w:rsid w:val="6BEF307E"/>
    <w:rsid w:val="6BF3491C"/>
    <w:rsid w:val="6C094140"/>
    <w:rsid w:val="6C0A4BCD"/>
    <w:rsid w:val="6C0E79A8"/>
    <w:rsid w:val="6C163A2B"/>
    <w:rsid w:val="6C1D29BA"/>
    <w:rsid w:val="6C200F3D"/>
    <w:rsid w:val="6C2E004A"/>
    <w:rsid w:val="6C2E143A"/>
    <w:rsid w:val="6C2E3BA6"/>
    <w:rsid w:val="6C300DB3"/>
    <w:rsid w:val="6C353187"/>
    <w:rsid w:val="6C3C4515"/>
    <w:rsid w:val="6C3D028D"/>
    <w:rsid w:val="6C3F7B62"/>
    <w:rsid w:val="6C4E4249"/>
    <w:rsid w:val="6C663340"/>
    <w:rsid w:val="6C690350"/>
    <w:rsid w:val="6C692E30"/>
    <w:rsid w:val="6C70308B"/>
    <w:rsid w:val="6C7812C6"/>
    <w:rsid w:val="6C7D068A"/>
    <w:rsid w:val="6C7F4402"/>
    <w:rsid w:val="6C877AA8"/>
    <w:rsid w:val="6C8C4C6F"/>
    <w:rsid w:val="6C8D4D71"/>
    <w:rsid w:val="6C975BF0"/>
    <w:rsid w:val="6C9A748E"/>
    <w:rsid w:val="6C9E1B12"/>
    <w:rsid w:val="6C9F6852"/>
    <w:rsid w:val="6CA07073"/>
    <w:rsid w:val="6CA87DFD"/>
    <w:rsid w:val="6CAB169B"/>
    <w:rsid w:val="6CAD0F6F"/>
    <w:rsid w:val="6CAD5413"/>
    <w:rsid w:val="6CAF118B"/>
    <w:rsid w:val="6CB272BB"/>
    <w:rsid w:val="6CB30550"/>
    <w:rsid w:val="6CB322FE"/>
    <w:rsid w:val="6CB5251A"/>
    <w:rsid w:val="6CB56076"/>
    <w:rsid w:val="6CBE7962"/>
    <w:rsid w:val="6CBF0CA2"/>
    <w:rsid w:val="6CC5493F"/>
    <w:rsid w:val="6CCA7D73"/>
    <w:rsid w:val="6CCC538B"/>
    <w:rsid w:val="6CD02EB0"/>
    <w:rsid w:val="6CD3474E"/>
    <w:rsid w:val="6CD52274"/>
    <w:rsid w:val="6CD56718"/>
    <w:rsid w:val="6CD609FE"/>
    <w:rsid w:val="6CD96208"/>
    <w:rsid w:val="6CDC1B00"/>
    <w:rsid w:val="6CDC7AA6"/>
    <w:rsid w:val="6CE10C19"/>
    <w:rsid w:val="6CE8644B"/>
    <w:rsid w:val="6CEA20A3"/>
    <w:rsid w:val="6CF546C4"/>
    <w:rsid w:val="6CFC5A53"/>
    <w:rsid w:val="6CFF09DC"/>
    <w:rsid w:val="6CFF7F81"/>
    <w:rsid w:val="6D08089B"/>
    <w:rsid w:val="6D0A63C2"/>
    <w:rsid w:val="6D125276"/>
    <w:rsid w:val="6D17288C"/>
    <w:rsid w:val="6D286848"/>
    <w:rsid w:val="6D2A6553"/>
    <w:rsid w:val="6D317DF2"/>
    <w:rsid w:val="6D321474"/>
    <w:rsid w:val="6D341690"/>
    <w:rsid w:val="6D373473"/>
    <w:rsid w:val="6D396CA7"/>
    <w:rsid w:val="6D4F2719"/>
    <w:rsid w:val="6D505A47"/>
    <w:rsid w:val="6D526662"/>
    <w:rsid w:val="6D561607"/>
    <w:rsid w:val="6D586A86"/>
    <w:rsid w:val="6D5B09CB"/>
    <w:rsid w:val="6D5D0BE7"/>
    <w:rsid w:val="6D645431"/>
    <w:rsid w:val="6D6B4986"/>
    <w:rsid w:val="6D6F0791"/>
    <w:rsid w:val="6D6F26C8"/>
    <w:rsid w:val="6D715EDD"/>
    <w:rsid w:val="6D723F67"/>
    <w:rsid w:val="6D75698C"/>
    <w:rsid w:val="6D7B106D"/>
    <w:rsid w:val="6D7C62D1"/>
    <w:rsid w:val="6D7E46BA"/>
    <w:rsid w:val="6D855A48"/>
    <w:rsid w:val="6D885538"/>
    <w:rsid w:val="6D8F3676"/>
    <w:rsid w:val="6D9B480C"/>
    <w:rsid w:val="6D9D7236"/>
    <w:rsid w:val="6DA34120"/>
    <w:rsid w:val="6DA82D3D"/>
    <w:rsid w:val="6DB4632D"/>
    <w:rsid w:val="6DB644D4"/>
    <w:rsid w:val="6DBE53FE"/>
    <w:rsid w:val="6DC179FA"/>
    <w:rsid w:val="6DC249BF"/>
    <w:rsid w:val="6DC36570"/>
    <w:rsid w:val="6DCF4F15"/>
    <w:rsid w:val="6DD15131"/>
    <w:rsid w:val="6DD30FEB"/>
    <w:rsid w:val="6DE05374"/>
    <w:rsid w:val="6DE51FC5"/>
    <w:rsid w:val="6DEA61F3"/>
    <w:rsid w:val="6DF00C5C"/>
    <w:rsid w:val="6DF41368"/>
    <w:rsid w:val="6DF456B4"/>
    <w:rsid w:val="6DFB21AE"/>
    <w:rsid w:val="6E03170B"/>
    <w:rsid w:val="6E072901"/>
    <w:rsid w:val="6E0E7DF8"/>
    <w:rsid w:val="6E2A4841"/>
    <w:rsid w:val="6E301E58"/>
    <w:rsid w:val="6E366170"/>
    <w:rsid w:val="6E3B56D2"/>
    <w:rsid w:val="6E3C2BCA"/>
    <w:rsid w:val="6E3F02ED"/>
    <w:rsid w:val="6E423939"/>
    <w:rsid w:val="6E470F4F"/>
    <w:rsid w:val="6E526272"/>
    <w:rsid w:val="6E584EF8"/>
    <w:rsid w:val="6E587601"/>
    <w:rsid w:val="6E59013E"/>
    <w:rsid w:val="6E654F2C"/>
    <w:rsid w:val="6E677844"/>
    <w:rsid w:val="6E681AD6"/>
    <w:rsid w:val="6E6D6FE0"/>
    <w:rsid w:val="6E707791"/>
    <w:rsid w:val="6E773940"/>
    <w:rsid w:val="6E801D36"/>
    <w:rsid w:val="6E8D36BE"/>
    <w:rsid w:val="6E923636"/>
    <w:rsid w:val="6E985C4F"/>
    <w:rsid w:val="6E9C74ED"/>
    <w:rsid w:val="6E9D4600"/>
    <w:rsid w:val="6EA27A4F"/>
    <w:rsid w:val="6EA57E47"/>
    <w:rsid w:val="6EA6162E"/>
    <w:rsid w:val="6EA6211A"/>
    <w:rsid w:val="6EA6688B"/>
    <w:rsid w:val="6EAB14DE"/>
    <w:rsid w:val="6EAF43DA"/>
    <w:rsid w:val="6EB557D6"/>
    <w:rsid w:val="6EBC053F"/>
    <w:rsid w:val="6EC6456A"/>
    <w:rsid w:val="6ED00F45"/>
    <w:rsid w:val="6EDC3D8E"/>
    <w:rsid w:val="6EE135E3"/>
    <w:rsid w:val="6EE36ECA"/>
    <w:rsid w:val="6EEC49B2"/>
    <w:rsid w:val="6EFD5AB2"/>
    <w:rsid w:val="6EFE1F56"/>
    <w:rsid w:val="6EFF5CCE"/>
    <w:rsid w:val="6F083291"/>
    <w:rsid w:val="6F1057E5"/>
    <w:rsid w:val="6F1C23DC"/>
    <w:rsid w:val="6F2542F6"/>
    <w:rsid w:val="6F2A4AF9"/>
    <w:rsid w:val="6F3B4F58"/>
    <w:rsid w:val="6F3C65DA"/>
    <w:rsid w:val="6F4D4C8B"/>
    <w:rsid w:val="6F541B76"/>
    <w:rsid w:val="6F547DC8"/>
    <w:rsid w:val="6F60051B"/>
    <w:rsid w:val="6F665B7C"/>
    <w:rsid w:val="6F674E23"/>
    <w:rsid w:val="6F6B6EC0"/>
    <w:rsid w:val="6F800BBD"/>
    <w:rsid w:val="6F8166E3"/>
    <w:rsid w:val="6F946416"/>
    <w:rsid w:val="6F951522"/>
    <w:rsid w:val="6F9957DB"/>
    <w:rsid w:val="6FA441A8"/>
    <w:rsid w:val="6FA52550"/>
    <w:rsid w:val="6FA80114"/>
    <w:rsid w:val="6FB6638D"/>
    <w:rsid w:val="6FB91A91"/>
    <w:rsid w:val="6FBA413A"/>
    <w:rsid w:val="6FC1608F"/>
    <w:rsid w:val="6FC565D0"/>
    <w:rsid w:val="6FC569FF"/>
    <w:rsid w:val="6FCB0CF7"/>
    <w:rsid w:val="6FD35191"/>
    <w:rsid w:val="6FD46C64"/>
    <w:rsid w:val="6FD9651F"/>
    <w:rsid w:val="6FDC36EA"/>
    <w:rsid w:val="6FDD2296"/>
    <w:rsid w:val="6FE4739E"/>
    <w:rsid w:val="6FE63B07"/>
    <w:rsid w:val="6FF055CD"/>
    <w:rsid w:val="6FF07E3C"/>
    <w:rsid w:val="6FF15617"/>
    <w:rsid w:val="6FF70753"/>
    <w:rsid w:val="6FF97C7B"/>
    <w:rsid w:val="6FFF2A18"/>
    <w:rsid w:val="700215D2"/>
    <w:rsid w:val="700510C2"/>
    <w:rsid w:val="70126A6A"/>
    <w:rsid w:val="70190E0F"/>
    <w:rsid w:val="7019688F"/>
    <w:rsid w:val="701C6162"/>
    <w:rsid w:val="70221C74"/>
    <w:rsid w:val="702C664F"/>
    <w:rsid w:val="7036127C"/>
    <w:rsid w:val="70371866"/>
    <w:rsid w:val="70390E66"/>
    <w:rsid w:val="70453BB5"/>
    <w:rsid w:val="70531E2E"/>
    <w:rsid w:val="70551132"/>
    <w:rsid w:val="70553D17"/>
    <w:rsid w:val="705931BC"/>
    <w:rsid w:val="705D2AD6"/>
    <w:rsid w:val="705E5AAA"/>
    <w:rsid w:val="70657DB3"/>
    <w:rsid w:val="706B361B"/>
    <w:rsid w:val="7072622A"/>
    <w:rsid w:val="707324D0"/>
    <w:rsid w:val="70745727"/>
    <w:rsid w:val="70757FF6"/>
    <w:rsid w:val="70820965"/>
    <w:rsid w:val="7082528E"/>
    <w:rsid w:val="70881F5C"/>
    <w:rsid w:val="708A15C7"/>
    <w:rsid w:val="709D6098"/>
    <w:rsid w:val="70A07FA3"/>
    <w:rsid w:val="70A64653"/>
    <w:rsid w:val="70A73F27"/>
    <w:rsid w:val="70A94143"/>
    <w:rsid w:val="70B6681B"/>
    <w:rsid w:val="70B7060E"/>
    <w:rsid w:val="70BA00FF"/>
    <w:rsid w:val="70BA3C5B"/>
    <w:rsid w:val="70BD7BEF"/>
    <w:rsid w:val="70C45C38"/>
    <w:rsid w:val="70C97A41"/>
    <w:rsid w:val="70D34D1C"/>
    <w:rsid w:val="70DD3DED"/>
    <w:rsid w:val="70E10EAD"/>
    <w:rsid w:val="70E21403"/>
    <w:rsid w:val="70E23ED0"/>
    <w:rsid w:val="70EE2D4A"/>
    <w:rsid w:val="70F51656"/>
    <w:rsid w:val="70F84783"/>
    <w:rsid w:val="70FA273A"/>
    <w:rsid w:val="70FF2DCA"/>
    <w:rsid w:val="71154EDC"/>
    <w:rsid w:val="71186BD3"/>
    <w:rsid w:val="711A294B"/>
    <w:rsid w:val="711F7F62"/>
    <w:rsid w:val="71245578"/>
    <w:rsid w:val="71297032"/>
    <w:rsid w:val="71370742"/>
    <w:rsid w:val="713C6D66"/>
    <w:rsid w:val="714106E5"/>
    <w:rsid w:val="714A7C64"/>
    <w:rsid w:val="714C2B45"/>
    <w:rsid w:val="7150636D"/>
    <w:rsid w:val="71535959"/>
    <w:rsid w:val="715851FD"/>
    <w:rsid w:val="715C5FD9"/>
    <w:rsid w:val="717C1858"/>
    <w:rsid w:val="717C7162"/>
    <w:rsid w:val="71816E6E"/>
    <w:rsid w:val="71817BFF"/>
    <w:rsid w:val="718907D9"/>
    <w:rsid w:val="719C5A56"/>
    <w:rsid w:val="719F001B"/>
    <w:rsid w:val="71A30E03"/>
    <w:rsid w:val="71A863B8"/>
    <w:rsid w:val="71AC3EEB"/>
    <w:rsid w:val="71B211A1"/>
    <w:rsid w:val="71B72890"/>
    <w:rsid w:val="71B74082"/>
    <w:rsid w:val="71BB412E"/>
    <w:rsid w:val="71BE777B"/>
    <w:rsid w:val="71C50D8A"/>
    <w:rsid w:val="71C8684B"/>
    <w:rsid w:val="71C97242"/>
    <w:rsid w:val="71CC1958"/>
    <w:rsid w:val="71CF3736"/>
    <w:rsid w:val="71CF6311"/>
    <w:rsid w:val="71D04977"/>
    <w:rsid w:val="71D45ECD"/>
    <w:rsid w:val="71E90971"/>
    <w:rsid w:val="71EA0570"/>
    <w:rsid w:val="71F17B50"/>
    <w:rsid w:val="71F66F14"/>
    <w:rsid w:val="71F7344B"/>
    <w:rsid w:val="71F81E69"/>
    <w:rsid w:val="71FD2D1D"/>
    <w:rsid w:val="7203702B"/>
    <w:rsid w:val="72037883"/>
    <w:rsid w:val="72141A90"/>
    <w:rsid w:val="721B4BCD"/>
    <w:rsid w:val="722021E3"/>
    <w:rsid w:val="72225F5B"/>
    <w:rsid w:val="722436B3"/>
    <w:rsid w:val="722A3062"/>
    <w:rsid w:val="722A3ABC"/>
    <w:rsid w:val="722C51DE"/>
    <w:rsid w:val="724335ED"/>
    <w:rsid w:val="72455208"/>
    <w:rsid w:val="724C4072"/>
    <w:rsid w:val="725105EF"/>
    <w:rsid w:val="72536897"/>
    <w:rsid w:val="72577769"/>
    <w:rsid w:val="72632DD6"/>
    <w:rsid w:val="72671BC0"/>
    <w:rsid w:val="726E11A1"/>
    <w:rsid w:val="72710C91"/>
    <w:rsid w:val="727128B9"/>
    <w:rsid w:val="72713736"/>
    <w:rsid w:val="727B1B10"/>
    <w:rsid w:val="727B38BE"/>
    <w:rsid w:val="727D2B35"/>
    <w:rsid w:val="72897D89"/>
    <w:rsid w:val="728B1DE3"/>
    <w:rsid w:val="729606F7"/>
    <w:rsid w:val="72964253"/>
    <w:rsid w:val="729A01E8"/>
    <w:rsid w:val="729A75CE"/>
    <w:rsid w:val="72A050D2"/>
    <w:rsid w:val="72A15DC8"/>
    <w:rsid w:val="72A42E14"/>
    <w:rsid w:val="72B017B9"/>
    <w:rsid w:val="72B03567"/>
    <w:rsid w:val="72B175CC"/>
    <w:rsid w:val="72B333C6"/>
    <w:rsid w:val="72B77970"/>
    <w:rsid w:val="72D134AC"/>
    <w:rsid w:val="72D90F0C"/>
    <w:rsid w:val="72DC100F"/>
    <w:rsid w:val="72DD6326"/>
    <w:rsid w:val="72EB459F"/>
    <w:rsid w:val="72F77CB0"/>
    <w:rsid w:val="730438B3"/>
    <w:rsid w:val="73143081"/>
    <w:rsid w:val="73214CF6"/>
    <w:rsid w:val="732B0E40"/>
    <w:rsid w:val="732C4748"/>
    <w:rsid w:val="73317DD8"/>
    <w:rsid w:val="73375A36"/>
    <w:rsid w:val="733B7698"/>
    <w:rsid w:val="73410663"/>
    <w:rsid w:val="7352461E"/>
    <w:rsid w:val="73552361"/>
    <w:rsid w:val="73552881"/>
    <w:rsid w:val="73612FD8"/>
    <w:rsid w:val="73691968"/>
    <w:rsid w:val="736B1B84"/>
    <w:rsid w:val="736B56E0"/>
    <w:rsid w:val="736B748E"/>
    <w:rsid w:val="736D1458"/>
    <w:rsid w:val="737E18B7"/>
    <w:rsid w:val="73816CB2"/>
    <w:rsid w:val="738320CD"/>
    <w:rsid w:val="7394423F"/>
    <w:rsid w:val="73981633"/>
    <w:rsid w:val="739939DD"/>
    <w:rsid w:val="73A00E5C"/>
    <w:rsid w:val="73A368C1"/>
    <w:rsid w:val="73B04E40"/>
    <w:rsid w:val="73BE7F06"/>
    <w:rsid w:val="73C26A1C"/>
    <w:rsid w:val="73C63158"/>
    <w:rsid w:val="73C6500C"/>
    <w:rsid w:val="73CD1EF7"/>
    <w:rsid w:val="73CF2113"/>
    <w:rsid w:val="73D50AB3"/>
    <w:rsid w:val="73D634A1"/>
    <w:rsid w:val="73D76CAF"/>
    <w:rsid w:val="73E223A7"/>
    <w:rsid w:val="73E536E4"/>
    <w:rsid w:val="73E83B54"/>
    <w:rsid w:val="73E86DDB"/>
    <w:rsid w:val="73EF1E6D"/>
    <w:rsid w:val="73F12089"/>
    <w:rsid w:val="73F76F74"/>
    <w:rsid w:val="73FC458A"/>
    <w:rsid w:val="74033B6B"/>
    <w:rsid w:val="74075FB0"/>
    <w:rsid w:val="74094463"/>
    <w:rsid w:val="740C0C71"/>
    <w:rsid w:val="7416616B"/>
    <w:rsid w:val="741778AC"/>
    <w:rsid w:val="74193F58"/>
    <w:rsid w:val="741B2C62"/>
    <w:rsid w:val="741D778A"/>
    <w:rsid w:val="741E2752"/>
    <w:rsid w:val="7427135A"/>
    <w:rsid w:val="742C30C1"/>
    <w:rsid w:val="742C42E4"/>
    <w:rsid w:val="74387CB8"/>
    <w:rsid w:val="7445482C"/>
    <w:rsid w:val="74467A52"/>
    <w:rsid w:val="74493C73"/>
    <w:rsid w:val="744B07FC"/>
    <w:rsid w:val="744F6DB0"/>
    <w:rsid w:val="745240E9"/>
    <w:rsid w:val="74640AAD"/>
    <w:rsid w:val="746A5998"/>
    <w:rsid w:val="7470370E"/>
    <w:rsid w:val="74736F42"/>
    <w:rsid w:val="74744A68"/>
    <w:rsid w:val="74784559"/>
    <w:rsid w:val="74784D53"/>
    <w:rsid w:val="74822CE1"/>
    <w:rsid w:val="7491561A"/>
    <w:rsid w:val="74980BA6"/>
    <w:rsid w:val="749A17CB"/>
    <w:rsid w:val="749E5641"/>
    <w:rsid w:val="74A71A4B"/>
    <w:rsid w:val="74AC1C9D"/>
    <w:rsid w:val="74AF784E"/>
    <w:rsid w:val="74B72C97"/>
    <w:rsid w:val="74C23A26"/>
    <w:rsid w:val="74C4154C"/>
    <w:rsid w:val="74CA78A7"/>
    <w:rsid w:val="74D06143"/>
    <w:rsid w:val="74D27F2D"/>
    <w:rsid w:val="74D33D47"/>
    <w:rsid w:val="74D774D1"/>
    <w:rsid w:val="74DA48CB"/>
    <w:rsid w:val="74DD0860"/>
    <w:rsid w:val="74E36A44"/>
    <w:rsid w:val="74E90FB2"/>
    <w:rsid w:val="74EB5C99"/>
    <w:rsid w:val="74EE481B"/>
    <w:rsid w:val="74F45B7B"/>
    <w:rsid w:val="74F86FE9"/>
    <w:rsid w:val="74FE7754"/>
    <w:rsid w:val="74FF6B82"/>
    <w:rsid w:val="74FF6D12"/>
    <w:rsid w:val="75037369"/>
    <w:rsid w:val="750603EC"/>
    <w:rsid w:val="750671AB"/>
    <w:rsid w:val="750B6C7D"/>
    <w:rsid w:val="750E0A19"/>
    <w:rsid w:val="751002ED"/>
    <w:rsid w:val="751C3441"/>
    <w:rsid w:val="752124FA"/>
    <w:rsid w:val="75241FEA"/>
    <w:rsid w:val="75283036"/>
    <w:rsid w:val="752A2DE7"/>
    <w:rsid w:val="752B3379"/>
    <w:rsid w:val="752E55CB"/>
    <w:rsid w:val="75377F70"/>
    <w:rsid w:val="754200FE"/>
    <w:rsid w:val="754206C3"/>
    <w:rsid w:val="754601B3"/>
    <w:rsid w:val="754D7793"/>
    <w:rsid w:val="7553467E"/>
    <w:rsid w:val="75564988"/>
    <w:rsid w:val="755C3532"/>
    <w:rsid w:val="755C79D6"/>
    <w:rsid w:val="755F3023"/>
    <w:rsid w:val="75616D9B"/>
    <w:rsid w:val="75642008"/>
    <w:rsid w:val="75752846"/>
    <w:rsid w:val="757614C7"/>
    <w:rsid w:val="758233BE"/>
    <w:rsid w:val="75834F63"/>
    <w:rsid w:val="758523B4"/>
    <w:rsid w:val="75894543"/>
    <w:rsid w:val="758B5863"/>
    <w:rsid w:val="7592164A"/>
    <w:rsid w:val="759D60A7"/>
    <w:rsid w:val="75A60C51"/>
    <w:rsid w:val="75B34AF2"/>
    <w:rsid w:val="75B53949"/>
    <w:rsid w:val="75C01EA3"/>
    <w:rsid w:val="75C630A2"/>
    <w:rsid w:val="75CA033B"/>
    <w:rsid w:val="75CD61DE"/>
    <w:rsid w:val="75D52827"/>
    <w:rsid w:val="75E41D5D"/>
    <w:rsid w:val="75E46FC4"/>
    <w:rsid w:val="75E672A0"/>
    <w:rsid w:val="75E72CC8"/>
    <w:rsid w:val="75E8126A"/>
    <w:rsid w:val="75E90518"/>
    <w:rsid w:val="75ED4AD2"/>
    <w:rsid w:val="75ED6880"/>
    <w:rsid w:val="75EF084A"/>
    <w:rsid w:val="75F419BD"/>
    <w:rsid w:val="75F57246"/>
    <w:rsid w:val="760360A4"/>
    <w:rsid w:val="7608190C"/>
    <w:rsid w:val="761262E7"/>
    <w:rsid w:val="76126817"/>
    <w:rsid w:val="761612B3"/>
    <w:rsid w:val="76164029"/>
    <w:rsid w:val="762B1157"/>
    <w:rsid w:val="76350F96"/>
    <w:rsid w:val="76360227"/>
    <w:rsid w:val="76391AC6"/>
    <w:rsid w:val="76393874"/>
    <w:rsid w:val="763B49C3"/>
    <w:rsid w:val="763C5295"/>
    <w:rsid w:val="763E1C7A"/>
    <w:rsid w:val="763E2206"/>
    <w:rsid w:val="76465F91"/>
    <w:rsid w:val="765B39FF"/>
    <w:rsid w:val="766351AE"/>
    <w:rsid w:val="76645C78"/>
    <w:rsid w:val="766905FD"/>
    <w:rsid w:val="767174B1"/>
    <w:rsid w:val="76740D50"/>
    <w:rsid w:val="767825EE"/>
    <w:rsid w:val="767B2F7C"/>
    <w:rsid w:val="767F3E5C"/>
    <w:rsid w:val="7682346D"/>
    <w:rsid w:val="76876225"/>
    <w:rsid w:val="76876CD5"/>
    <w:rsid w:val="769036A0"/>
    <w:rsid w:val="7691545E"/>
    <w:rsid w:val="76966F18"/>
    <w:rsid w:val="76972F5A"/>
    <w:rsid w:val="769D0129"/>
    <w:rsid w:val="769E7B7B"/>
    <w:rsid w:val="769F6722"/>
    <w:rsid w:val="76A35191"/>
    <w:rsid w:val="76A417B2"/>
    <w:rsid w:val="76A96C4B"/>
    <w:rsid w:val="76AE3E58"/>
    <w:rsid w:val="76B15B00"/>
    <w:rsid w:val="76B60262"/>
    <w:rsid w:val="76B75626"/>
    <w:rsid w:val="76BB7D9C"/>
    <w:rsid w:val="76BF6130"/>
    <w:rsid w:val="76CF5F86"/>
    <w:rsid w:val="76D8308D"/>
    <w:rsid w:val="76D96E05"/>
    <w:rsid w:val="76DB2B7D"/>
    <w:rsid w:val="76E20F52"/>
    <w:rsid w:val="76E77774"/>
    <w:rsid w:val="76F0011C"/>
    <w:rsid w:val="77054020"/>
    <w:rsid w:val="770A5210"/>
    <w:rsid w:val="770C2D36"/>
    <w:rsid w:val="770C71DA"/>
    <w:rsid w:val="77106CCA"/>
    <w:rsid w:val="771340C5"/>
    <w:rsid w:val="771816DB"/>
    <w:rsid w:val="771F2A69"/>
    <w:rsid w:val="772042D9"/>
    <w:rsid w:val="77291B3A"/>
    <w:rsid w:val="772937FE"/>
    <w:rsid w:val="77336515"/>
    <w:rsid w:val="77372CC4"/>
    <w:rsid w:val="773C699C"/>
    <w:rsid w:val="773D55E5"/>
    <w:rsid w:val="773D6C67"/>
    <w:rsid w:val="77420E4E"/>
    <w:rsid w:val="77521091"/>
    <w:rsid w:val="775C1F10"/>
    <w:rsid w:val="77601CBF"/>
    <w:rsid w:val="77617526"/>
    <w:rsid w:val="7762556B"/>
    <w:rsid w:val="776D2980"/>
    <w:rsid w:val="77732DB5"/>
    <w:rsid w:val="778F0FBE"/>
    <w:rsid w:val="7790745B"/>
    <w:rsid w:val="77923A19"/>
    <w:rsid w:val="77A15B74"/>
    <w:rsid w:val="77A64F39"/>
    <w:rsid w:val="77C875A5"/>
    <w:rsid w:val="77DC095A"/>
    <w:rsid w:val="77E90BBD"/>
    <w:rsid w:val="77ED2B68"/>
    <w:rsid w:val="77EE068E"/>
    <w:rsid w:val="77F35CA4"/>
    <w:rsid w:val="77F4039A"/>
    <w:rsid w:val="77F75794"/>
    <w:rsid w:val="78013512"/>
    <w:rsid w:val="780600CD"/>
    <w:rsid w:val="780954C8"/>
    <w:rsid w:val="780C028E"/>
    <w:rsid w:val="780F6F82"/>
    <w:rsid w:val="78153E6C"/>
    <w:rsid w:val="78281DF2"/>
    <w:rsid w:val="782A3912"/>
    <w:rsid w:val="78393FFF"/>
    <w:rsid w:val="783C352A"/>
    <w:rsid w:val="7840713B"/>
    <w:rsid w:val="784732DF"/>
    <w:rsid w:val="78474C8B"/>
    <w:rsid w:val="784C1F84"/>
    <w:rsid w:val="784F27C1"/>
    <w:rsid w:val="78591FAB"/>
    <w:rsid w:val="7868575B"/>
    <w:rsid w:val="786A00BE"/>
    <w:rsid w:val="78746DE5"/>
    <w:rsid w:val="78762534"/>
    <w:rsid w:val="787E7C64"/>
    <w:rsid w:val="788259A6"/>
    <w:rsid w:val="788A2AAC"/>
    <w:rsid w:val="788C2381"/>
    <w:rsid w:val="788F00C3"/>
    <w:rsid w:val="78913050"/>
    <w:rsid w:val="78964FAD"/>
    <w:rsid w:val="78A7292D"/>
    <w:rsid w:val="78A74AFF"/>
    <w:rsid w:val="78B13B95"/>
    <w:rsid w:val="78B43685"/>
    <w:rsid w:val="78B673FD"/>
    <w:rsid w:val="78B90C9C"/>
    <w:rsid w:val="78BB0E3D"/>
    <w:rsid w:val="78CE2999"/>
    <w:rsid w:val="78D417E2"/>
    <w:rsid w:val="78D635FC"/>
    <w:rsid w:val="78DA7590"/>
    <w:rsid w:val="78DB325B"/>
    <w:rsid w:val="78DB6E64"/>
    <w:rsid w:val="78DD2859"/>
    <w:rsid w:val="78E71CAD"/>
    <w:rsid w:val="78E81387"/>
    <w:rsid w:val="78F61EF0"/>
    <w:rsid w:val="78FB3062"/>
    <w:rsid w:val="79002D6F"/>
    <w:rsid w:val="790F4D60"/>
    <w:rsid w:val="79102FB2"/>
    <w:rsid w:val="791D122B"/>
    <w:rsid w:val="79246A5D"/>
    <w:rsid w:val="793175A6"/>
    <w:rsid w:val="793230AC"/>
    <w:rsid w:val="79332AFC"/>
    <w:rsid w:val="79381EC6"/>
    <w:rsid w:val="794013BD"/>
    <w:rsid w:val="794146B9"/>
    <w:rsid w:val="794909BC"/>
    <w:rsid w:val="794B1A7D"/>
    <w:rsid w:val="794B3FEA"/>
    <w:rsid w:val="79504562"/>
    <w:rsid w:val="795135CA"/>
    <w:rsid w:val="79517126"/>
    <w:rsid w:val="795B7FA5"/>
    <w:rsid w:val="795D3C1D"/>
    <w:rsid w:val="795F7A95"/>
    <w:rsid w:val="79607369"/>
    <w:rsid w:val="796075AF"/>
    <w:rsid w:val="79667075"/>
    <w:rsid w:val="79703A50"/>
    <w:rsid w:val="79823784"/>
    <w:rsid w:val="798A2EAF"/>
    <w:rsid w:val="798B2638"/>
    <w:rsid w:val="798C63B0"/>
    <w:rsid w:val="798E2128"/>
    <w:rsid w:val="798E42B3"/>
    <w:rsid w:val="7992668B"/>
    <w:rsid w:val="7993773F"/>
    <w:rsid w:val="79943B71"/>
    <w:rsid w:val="79AA3928"/>
    <w:rsid w:val="79AC0800"/>
    <w:rsid w:val="79AC25AE"/>
    <w:rsid w:val="79AD6A52"/>
    <w:rsid w:val="79AE27CB"/>
    <w:rsid w:val="79B17BC5"/>
    <w:rsid w:val="79B576B5"/>
    <w:rsid w:val="79B80F53"/>
    <w:rsid w:val="79B853F7"/>
    <w:rsid w:val="79BF5F60"/>
    <w:rsid w:val="79CB45C8"/>
    <w:rsid w:val="79D02741"/>
    <w:rsid w:val="79D4234B"/>
    <w:rsid w:val="79D5608F"/>
    <w:rsid w:val="79D773BE"/>
    <w:rsid w:val="79D80EF1"/>
    <w:rsid w:val="79E4061A"/>
    <w:rsid w:val="79EE5FFB"/>
    <w:rsid w:val="79F04B91"/>
    <w:rsid w:val="79F0693F"/>
    <w:rsid w:val="79F226B7"/>
    <w:rsid w:val="7A013357"/>
    <w:rsid w:val="7A036672"/>
    <w:rsid w:val="7A0423EA"/>
    <w:rsid w:val="7A1258B0"/>
    <w:rsid w:val="7A155F22"/>
    <w:rsid w:val="7A1E3683"/>
    <w:rsid w:val="7A2465E9"/>
    <w:rsid w:val="7A2C376D"/>
    <w:rsid w:val="7A304F8E"/>
    <w:rsid w:val="7A370F38"/>
    <w:rsid w:val="7A392094"/>
    <w:rsid w:val="7A3E3B4E"/>
    <w:rsid w:val="7A410F49"/>
    <w:rsid w:val="7A49604F"/>
    <w:rsid w:val="7A4D3D91"/>
    <w:rsid w:val="7A4E3666"/>
    <w:rsid w:val="7A5073DE"/>
    <w:rsid w:val="7A52458F"/>
    <w:rsid w:val="7A574C10"/>
    <w:rsid w:val="7A5C5D83"/>
    <w:rsid w:val="7A6047E0"/>
    <w:rsid w:val="7A635363"/>
    <w:rsid w:val="7A6D61E2"/>
    <w:rsid w:val="7A721A4A"/>
    <w:rsid w:val="7A7272AE"/>
    <w:rsid w:val="7A7632E8"/>
    <w:rsid w:val="7A76533C"/>
    <w:rsid w:val="7A85177D"/>
    <w:rsid w:val="7A9674E6"/>
    <w:rsid w:val="7A9F4B33"/>
    <w:rsid w:val="7AAA1FDB"/>
    <w:rsid w:val="7AAD1D53"/>
    <w:rsid w:val="7AB61937"/>
    <w:rsid w:val="7AB91427"/>
    <w:rsid w:val="7AB931D5"/>
    <w:rsid w:val="7ABC2730"/>
    <w:rsid w:val="7ABD0F17"/>
    <w:rsid w:val="7ABD5BC0"/>
    <w:rsid w:val="7AC733F4"/>
    <w:rsid w:val="7AD26045"/>
    <w:rsid w:val="7AD32427"/>
    <w:rsid w:val="7AD87AFF"/>
    <w:rsid w:val="7ADB314B"/>
    <w:rsid w:val="7ADB4DD1"/>
    <w:rsid w:val="7ADE2C3C"/>
    <w:rsid w:val="7AE00762"/>
    <w:rsid w:val="7AE244DA"/>
    <w:rsid w:val="7AE30252"/>
    <w:rsid w:val="7AE51809"/>
    <w:rsid w:val="7AE77D42"/>
    <w:rsid w:val="7AEA7832"/>
    <w:rsid w:val="7AED55D2"/>
    <w:rsid w:val="7AEF6077"/>
    <w:rsid w:val="7AF95CC7"/>
    <w:rsid w:val="7AFA5427"/>
    <w:rsid w:val="7B03675F"/>
    <w:rsid w:val="7B0408F4"/>
    <w:rsid w:val="7B084A14"/>
    <w:rsid w:val="7B0F257F"/>
    <w:rsid w:val="7B1B3E90"/>
    <w:rsid w:val="7B1E128A"/>
    <w:rsid w:val="7B252618"/>
    <w:rsid w:val="7B297EA4"/>
    <w:rsid w:val="7B2E3BC3"/>
    <w:rsid w:val="7B2F3497"/>
    <w:rsid w:val="7B3024C9"/>
    <w:rsid w:val="7B3604DD"/>
    <w:rsid w:val="7B3960C4"/>
    <w:rsid w:val="7B3A25E7"/>
    <w:rsid w:val="7B3B62E0"/>
    <w:rsid w:val="7B474C85"/>
    <w:rsid w:val="7B530F64"/>
    <w:rsid w:val="7B533629"/>
    <w:rsid w:val="7B610EBF"/>
    <w:rsid w:val="7B6475E5"/>
    <w:rsid w:val="7B65510B"/>
    <w:rsid w:val="7B670E83"/>
    <w:rsid w:val="7B6B5423"/>
    <w:rsid w:val="7B6E0463"/>
    <w:rsid w:val="7B72293D"/>
    <w:rsid w:val="7B753997"/>
    <w:rsid w:val="7B784E3E"/>
    <w:rsid w:val="7B787A4F"/>
    <w:rsid w:val="7B7B048A"/>
    <w:rsid w:val="7B8130BE"/>
    <w:rsid w:val="7B8F3A15"/>
    <w:rsid w:val="7B8F3F36"/>
    <w:rsid w:val="7B931C78"/>
    <w:rsid w:val="7BA2010D"/>
    <w:rsid w:val="7BA93249"/>
    <w:rsid w:val="7BAE2FFF"/>
    <w:rsid w:val="7BB345C7"/>
    <w:rsid w:val="7BBD0AA3"/>
    <w:rsid w:val="7BBF019E"/>
    <w:rsid w:val="7BC260B9"/>
    <w:rsid w:val="7BC41A78"/>
    <w:rsid w:val="7BC9569A"/>
    <w:rsid w:val="7BCD4FC7"/>
    <w:rsid w:val="7BCE4A5E"/>
    <w:rsid w:val="7BD86151"/>
    <w:rsid w:val="7BDA78A7"/>
    <w:rsid w:val="7BE023AE"/>
    <w:rsid w:val="7BE40725"/>
    <w:rsid w:val="7BE44282"/>
    <w:rsid w:val="7BE95D3C"/>
    <w:rsid w:val="7BEB3F96"/>
    <w:rsid w:val="7BEC1388"/>
    <w:rsid w:val="7BEE5100"/>
    <w:rsid w:val="7C044924"/>
    <w:rsid w:val="7C073499"/>
    <w:rsid w:val="7C086E90"/>
    <w:rsid w:val="7C0E57A2"/>
    <w:rsid w:val="7C1054AD"/>
    <w:rsid w:val="7C152E9F"/>
    <w:rsid w:val="7C1B21EC"/>
    <w:rsid w:val="7C1C1C6D"/>
    <w:rsid w:val="7C1D1542"/>
    <w:rsid w:val="7C1F175E"/>
    <w:rsid w:val="7C2E374F"/>
    <w:rsid w:val="7C336D80"/>
    <w:rsid w:val="7C3A5D4A"/>
    <w:rsid w:val="7C3F3BAE"/>
    <w:rsid w:val="7C4078A8"/>
    <w:rsid w:val="7C4250E9"/>
    <w:rsid w:val="7C45537B"/>
    <w:rsid w:val="7C4A39BD"/>
    <w:rsid w:val="7C4E5B9F"/>
    <w:rsid w:val="7C4F3DF1"/>
    <w:rsid w:val="7C5F5F1B"/>
    <w:rsid w:val="7C605FFE"/>
    <w:rsid w:val="7C6453C2"/>
    <w:rsid w:val="7C66738C"/>
    <w:rsid w:val="7C6944CC"/>
    <w:rsid w:val="7C6D24C9"/>
    <w:rsid w:val="7C725D31"/>
    <w:rsid w:val="7C741AA9"/>
    <w:rsid w:val="7C7C44BA"/>
    <w:rsid w:val="7C857813"/>
    <w:rsid w:val="7C8D6A46"/>
    <w:rsid w:val="7C8E3521"/>
    <w:rsid w:val="7C907F65"/>
    <w:rsid w:val="7C995777"/>
    <w:rsid w:val="7C9D3D1B"/>
    <w:rsid w:val="7C9E79C2"/>
    <w:rsid w:val="7C9F1FF3"/>
    <w:rsid w:val="7CAD6D69"/>
    <w:rsid w:val="7CAE75E0"/>
    <w:rsid w:val="7CAF663E"/>
    <w:rsid w:val="7CB24380"/>
    <w:rsid w:val="7CB25957"/>
    <w:rsid w:val="7CC15684"/>
    <w:rsid w:val="7CC16371"/>
    <w:rsid w:val="7CC534D5"/>
    <w:rsid w:val="7CC84C09"/>
    <w:rsid w:val="7CD2719C"/>
    <w:rsid w:val="7CDE33C7"/>
    <w:rsid w:val="7CDE5175"/>
    <w:rsid w:val="7CDE6F23"/>
    <w:rsid w:val="7CE32552"/>
    <w:rsid w:val="7CE87DA1"/>
    <w:rsid w:val="7CEC7892"/>
    <w:rsid w:val="7CED7166"/>
    <w:rsid w:val="7CEF1130"/>
    <w:rsid w:val="7CF2727E"/>
    <w:rsid w:val="7CFC7473"/>
    <w:rsid w:val="7D0A41BC"/>
    <w:rsid w:val="7D1961AD"/>
    <w:rsid w:val="7D1D3EEF"/>
    <w:rsid w:val="7D206299"/>
    <w:rsid w:val="7D257B78"/>
    <w:rsid w:val="7D293836"/>
    <w:rsid w:val="7D2A018E"/>
    <w:rsid w:val="7D3134F6"/>
    <w:rsid w:val="7D41294B"/>
    <w:rsid w:val="7D4415A9"/>
    <w:rsid w:val="7D4C5992"/>
    <w:rsid w:val="7D5457AA"/>
    <w:rsid w:val="7D5471E5"/>
    <w:rsid w:val="7D550E9E"/>
    <w:rsid w:val="7D5947FB"/>
    <w:rsid w:val="7D5E0064"/>
    <w:rsid w:val="7D60025D"/>
    <w:rsid w:val="7D6067A7"/>
    <w:rsid w:val="7D630C0D"/>
    <w:rsid w:val="7D6507AA"/>
    <w:rsid w:val="7D6A07B6"/>
    <w:rsid w:val="7D7004C3"/>
    <w:rsid w:val="7D717D97"/>
    <w:rsid w:val="7D721A7F"/>
    <w:rsid w:val="7D733B0F"/>
    <w:rsid w:val="7D7635FF"/>
    <w:rsid w:val="7D767CCF"/>
    <w:rsid w:val="7D781125"/>
    <w:rsid w:val="7D7D0EC6"/>
    <w:rsid w:val="7D841263"/>
    <w:rsid w:val="7D897FB0"/>
    <w:rsid w:val="7D8C08A4"/>
    <w:rsid w:val="7D8C5801"/>
    <w:rsid w:val="7D983576"/>
    <w:rsid w:val="7D9F4260"/>
    <w:rsid w:val="7DA21751"/>
    <w:rsid w:val="7DA261A2"/>
    <w:rsid w:val="7DA513CC"/>
    <w:rsid w:val="7DA55C93"/>
    <w:rsid w:val="7DB06D12"/>
    <w:rsid w:val="7DB52379"/>
    <w:rsid w:val="7DB62063"/>
    <w:rsid w:val="7DBB7264"/>
    <w:rsid w:val="7DCC76C3"/>
    <w:rsid w:val="7DD6660C"/>
    <w:rsid w:val="7DD8381F"/>
    <w:rsid w:val="7DD87AEC"/>
    <w:rsid w:val="7DDD141E"/>
    <w:rsid w:val="7DE41430"/>
    <w:rsid w:val="7DE5777F"/>
    <w:rsid w:val="7DEE13E8"/>
    <w:rsid w:val="7DFA5FDE"/>
    <w:rsid w:val="7DFC7B1B"/>
    <w:rsid w:val="7DFF1847"/>
    <w:rsid w:val="7E1370A0"/>
    <w:rsid w:val="7E152E18"/>
    <w:rsid w:val="7E1627B9"/>
    <w:rsid w:val="7E215319"/>
    <w:rsid w:val="7E24305B"/>
    <w:rsid w:val="7E27490B"/>
    <w:rsid w:val="7E2B263C"/>
    <w:rsid w:val="7E2E3EDA"/>
    <w:rsid w:val="7E3E2F36"/>
    <w:rsid w:val="7E3F575C"/>
    <w:rsid w:val="7E464D80"/>
    <w:rsid w:val="7E485582"/>
    <w:rsid w:val="7E5378C5"/>
    <w:rsid w:val="7E5F4093"/>
    <w:rsid w:val="7E5F5996"/>
    <w:rsid w:val="7E611BB9"/>
    <w:rsid w:val="7E61605D"/>
    <w:rsid w:val="7E6B25BB"/>
    <w:rsid w:val="7E6C3D1C"/>
    <w:rsid w:val="7E6E2528"/>
    <w:rsid w:val="7E725B75"/>
    <w:rsid w:val="7E747B3F"/>
    <w:rsid w:val="7E7713DD"/>
    <w:rsid w:val="7E7B420A"/>
    <w:rsid w:val="7E7C69F3"/>
    <w:rsid w:val="7E7D4D5D"/>
    <w:rsid w:val="7E7F0481"/>
    <w:rsid w:val="7E8104AE"/>
    <w:rsid w:val="7E865AC4"/>
    <w:rsid w:val="7E8F67B5"/>
    <w:rsid w:val="7E926217"/>
    <w:rsid w:val="7E9271C8"/>
    <w:rsid w:val="7E941F8F"/>
    <w:rsid w:val="7E9425CD"/>
    <w:rsid w:val="7E962D6C"/>
    <w:rsid w:val="7E9802BB"/>
    <w:rsid w:val="7E9A331D"/>
    <w:rsid w:val="7EA0182D"/>
    <w:rsid w:val="7EA1645A"/>
    <w:rsid w:val="7EA47CF8"/>
    <w:rsid w:val="7EAA512E"/>
    <w:rsid w:val="7EC108AA"/>
    <w:rsid w:val="7EC272FC"/>
    <w:rsid w:val="7ED42AEF"/>
    <w:rsid w:val="7EDC3936"/>
    <w:rsid w:val="7EDC55AA"/>
    <w:rsid w:val="7EDF54D0"/>
    <w:rsid w:val="7EEA7E01"/>
    <w:rsid w:val="7EEB1D75"/>
    <w:rsid w:val="7EF173E1"/>
    <w:rsid w:val="7EF23159"/>
    <w:rsid w:val="7EFA1D68"/>
    <w:rsid w:val="7EFB200E"/>
    <w:rsid w:val="7F0950B4"/>
    <w:rsid w:val="7F0C2702"/>
    <w:rsid w:val="7F0E68CA"/>
    <w:rsid w:val="7F121106"/>
    <w:rsid w:val="7F1430D0"/>
    <w:rsid w:val="7F203823"/>
    <w:rsid w:val="7F233313"/>
    <w:rsid w:val="7F25708B"/>
    <w:rsid w:val="7F2822B2"/>
    <w:rsid w:val="7F2C15B3"/>
    <w:rsid w:val="7F2F3374"/>
    <w:rsid w:val="7F3472CE"/>
    <w:rsid w:val="7F383F22"/>
    <w:rsid w:val="7F427C3D"/>
    <w:rsid w:val="7F495F30"/>
    <w:rsid w:val="7F531E4A"/>
    <w:rsid w:val="7F555E5A"/>
    <w:rsid w:val="7F565496"/>
    <w:rsid w:val="7F5D6511"/>
    <w:rsid w:val="7F5F6C2F"/>
    <w:rsid w:val="7F604567"/>
    <w:rsid w:val="7F63160A"/>
    <w:rsid w:val="7F69341C"/>
    <w:rsid w:val="7F6C4C41"/>
    <w:rsid w:val="7F6F0306"/>
    <w:rsid w:val="7F71407E"/>
    <w:rsid w:val="7F737DF6"/>
    <w:rsid w:val="7F8253D1"/>
    <w:rsid w:val="7F8518D8"/>
    <w:rsid w:val="7F8C710A"/>
    <w:rsid w:val="7F8E2E82"/>
    <w:rsid w:val="7F923880"/>
    <w:rsid w:val="7F933E41"/>
    <w:rsid w:val="7F947D6D"/>
    <w:rsid w:val="7F9963BC"/>
    <w:rsid w:val="7F9B10FB"/>
    <w:rsid w:val="7F9D4908"/>
    <w:rsid w:val="7F9E4EE6"/>
    <w:rsid w:val="7FA5765E"/>
    <w:rsid w:val="7FA85ABC"/>
    <w:rsid w:val="7FAF70F7"/>
    <w:rsid w:val="7FC40652"/>
    <w:rsid w:val="7FCC7507"/>
    <w:rsid w:val="7FD129C1"/>
    <w:rsid w:val="7FD567C9"/>
    <w:rsid w:val="7FD840FD"/>
    <w:rsid w:val="7FDA60C7"/>
    <w:rsid w:val="7FDF37FA"/>
    <w:rsid w:val="7FE02FB2"/>
    <w:rsid w:val="7FE17456"/>
    <w:rsid w:val="7FE72592"/>
    <w:rsid w:val="7FE84467"/>
    <w:rsid w:val="7FEC7BA9"/>
    <w:rsid w:val="7FF56A5D"/>
    <w:rsid w:val="7FF70EA2"/>
    <w:rsid w:val="7FFE397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39" w:semiHidden="0" w:name="toc 1"/>
    <w:lsdException w:unhideWhenUsed="0" w:uiPriority="39" w:semiHidden="0" w:name="toc 2"/>
    <w:lsdException w:unhideWhenUsed="0" w:uiPriority="39" w:semiHidden="0" w:name="toc 3"/>
    <w:lsdException w:unhideWhenUsed="0" w:uiPriority="0" w:semiHidden="0" w:name="toc 4"/>
    <w:lsdException w:unhideWhenUsed="0" w:uiPriority="0" w:semiHidden="0" w:name="toc 5"/>
    <w:lsdException w:qFormat="1" w:unhideWhenUsed="0" w:uiPriority="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1"/>
    <w:basedOn w:val="1"/>
    <w:next w:val="1"/>
    <w:link w:val="52"/>
    <w:qFormat/>
    <w:uiPriority w:val="0"/>
    <w:pPr>
      <w:keepNext/>
      <w:jc w:val="center"/>
      <w:outlineLvl w:val="0"/>
    </w:pPr>
    <w:rPr>
      <w:rFonts w:ascii="楷体_GB2312" w:eastAsia="楷体_GB2312"/>
      <w:b/>
      <w:bCs/>
    </w:rPr>
  </w:style>
  <w:style w:type="paragraph" w:styleId="3">
    <w:name w:val="heading 2"/>
    <w:basedOn w:val="1"/>
    <w:next w:val="1"/>
    <w:link w:val="53"/>
    <w:qFormat/>
    <w:uiPriority w:val="0"/>
    <w:pPr>
      <w:keepNext/>
      <w:keepLines/>
      <w:spacing w:before="260" w:beforeLines="0" w:after="260" w:afterLines="0" w:line="416" w:lineRule="auto"/>
      <w:outlineLvl w:val="1"/>
    </w:pPr>
    <w:rPr>
      <w:rFonts w:ascii="Arial" w:hAnsi="Arial" w:eastAsia="黑体"/>
      <w:b/>
      <w:bCs/>
      <w:sz w:val="32"/>
      <w:szCs w:val="32"/>
    </w:rPr>
  </w:style>
  <w:style w:type="paragraph" w:styleId="4">
    <w:name w:val="heading 3"/>
    <w:basedOn w:val="1"/>
    <w:next w:val="1"/>
    <w:link w:val="54"/>
    <w:qFormat/>
    <w:uiPriority w:val="0"/>
    <w:pPr>
      <w:keepNext/>
      <w:keepLines/>
      <w:spacing w:before="260" w:beforeLines="0" w:after="260" w:afterLines="0" w:line="416" w:lineRule="auto"/>
      <w:outlineLvl w:val="2"/>
    </w:pPr>
    <w:rPr>
      <w:b/>
      <w:bCs/>
      <w:sz w:val="32"/>
      <w:szCs w:val="32"/>
    </w:rPr>
  </w:style>
  <w:style w:type="paragraph" w:styleId="5">
    <w:name w:val="heading 4"/>
    <w:basedOn w:val="1"/>
    <w:next w:val="1"/>
    <w:link w:val="55"/>
    <w:qFormat/>
    <w:uiPriority w:val="0"/>
    <w:pPr>
      <w:keepNext/>
      <w:keepLines/>
      <w:spacing w:before="280" w:beforeLines="0" w:after="290" w:afterLines="0" w:line="376" w:lineRule="auto"/>
      <w:outlineLvl w:val="3"/>
    </w:pPr>
    <w:rPr>
      <w:rFonts w:ascii="Cambria" w:hAnsi="Cambria"/>
      <w:b/>
      <w:bCs/>
      <w:sz w:val="28"/>
      <w:szCs w:val="28"/>
    </w:rPr>
  </w:style>
  <w:style w:type="paragraph" w:styleId="6">
    <w:name w:val="heading 5"/>
    <w:basedOn w:val="1"/>
    <w:next w:val="1"/>
    <w:link w:val="56"/>
    <w:qFormat/>
    <w:uiPriority w:val="0"/>
    <w:pPr>
      <w:keepNext/>
      <w:keepLines/>
      <w:spacing w:before="280" w:after="290" w:line="376" w:lineRule="auto"/>
      <w:outlineLvl w:val="4"/>
    </w:pPr>
    <w:rPr>
      <w:b/>
      <w:bCs/>
      <w:sz w:val="28"/>
      <w:szCs w:val="28"/>
    </w:rPr>
  </w:style>
  <w:style w:type="paragraph" w:styleId="7">
    <w:name w:val="heading 6"/>
    <w:basedOn w:val="1"/>
    <w:next w:val="1"/>
    <w:qFormat/>
    <w:uiPriority w:val="0"/>
    <w:pPr>
      <w:keepNext/>
      <w:keepLines/>
      <w:spacing w:before="240" w:beforeLines="0" w:after="64" w:afterLines="0" w:line="320" w:lineRule="auto"/>
      <w:outlineLvl w:val="5"/>
    </w:pPr>
    <w:rPr>
      <w:rFonts w:ascii="Arial" w:hAnsi="Arial" w:eastAsia="黑体"/>
      <w:b/>
      <w:bCs/>
      <w:sz w:val="24"/>
    </w:rPr>
  </w:style>
  <w:style w:type="paragraph" w:styleId="8">
    <w:name w:val="heading 7"/>
    <w:basedOn w:val="1"/>
    <w:next w:val="1"/>
    <w:link w:val="57"/>
    <w:qFormat/>
    <w:uiPriority w:val="0"/>
    <w:pPr>
      <w:keepNext/>
      <w:keepLines/>
      <w:tabs>
        <w:tab w:val="left" w:pos="1296"/>
      </w:tabs>
      <w:spacing w:before="240" w:after="64" w:line="320" w:lineRule="auto"/>
      <w:ind w:left="1296" w:hanging="1296"/>
      <w:outlineLvl w:val="6"/>
    </w:pPr>
    <w:rPr>
      <w:b/>
      <w:bCs/>
      <w:sz w:val="24"/>
    </w:rPr>
  </w:style>
  <w:style w:type="paragraph" w:styleId="9">
    <w:name w:val="heading 8"/>
    <w:basedOn w:val="1"/>
    <w:next w:val="1"/>
    <w:link w:val="58"/>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0">
    <w:name w:val="heading 9"/>
    <w:basedOn w:val="1"/>
    <w:next w:val="1"/>
    <w:link w:val="59"/>
    <w:qFormat/>
    <w:uiPriority w:val="0"/>
    <w:pPr>
      <w:keepNext/>
      <w:keepLines/>
      <w:tabs>
        <w:tab w:val="left" w:pos="1584"/>
      </w:tabs>
      <w:spacing w:before="240" w:after="64" w:line="320" w:lineRule="auto"/>
      <w:ind w:left="1584" w:hanging="1584"/>
      <w:outlineLvl w:val="8"/>
    </w:pPr>
    <w:rPr>
      <w:rFonts w:ascii="Arial" w:hAnsi="Arial" w:eastAsia="黑体"/>
      <w:sz w:val="24"/>
      <w:szCs w:val="21"/>
    </w:rPr>
  </w:style>
  <w:style w:type="character" w:default="1" w:styleId="37">
    <w:name w:val="Default Paragraph Font"/>
    <w:unhideWhenUsed/>
    <w:uiPriority w:val="1"/>
  </w:style>
  <w:style w:type="table" w:default="1" w:styleId="35">
    <w:name w:val="Normal Table"/>
    <w:semiHidden/>
    <w:uiPriority w:val="0"/>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Style w:val="35"/>
      <w:tblCellMar>
        <w:top w:w="0" w:type="dxa"/>
        <w:left w:w="108" w:type="dxa"/>
        <w:bottom w:w="0" w:type="dxa"/>
        <w:right w:w="108" w:type="dxa"/>
      </w:tblCellMar>
    </w:tblPr>
  </w:style>
  <w:style w:type="paragraph" w:styleId="11">
    <w:name w:val="Normal Indent"/>
    <w:basedOn w:val="1"/>
    <w:link w:val="60"/>
    <w:qFormat/>
    <w:uiPriority w:val="0"/>
    <w:pPr>
      <w:adjustRightInd w:val="0"/>
      <w:spacing w:line="312" w:lineRule="atLeast"/>
      <w:ind w:firstLine="420"/>
      <w:textAlignment w:val="baseline"/>
    </w:pPr>
    <w:rPr>
      <w:kern w:val="0"/>
      <w:szCs w:val="20"/>
    </w:rPr>
  </w:style>
  <w:style w:type="paragraph" w:styleId="12">
    <w:name w:val="Document Map"/>
    <w:basedOn w:val="1"/>
    <w:uiPriority w:val="0"/>
    <w:pPr>
      <w:shd w:val="clear" w:color="auto" w:fill="000080"/>
    </w:pPr>
  </w:style>
  <w:style w:type="paragraph" w:styleId="13">
    <w:name w:val="annotation text"/>
    <w:basedOn w:val="1"/>
    <w:link w:val="61"/>
    <w:uiPriority w:val="0"/>
    <w:pPr>
      <w:jc w:val="left"/>
    </w:pPr>
  </w:style>
  <w:style w:type="paragraph" w:styleId="14">
    <w:name w:val="Body Text"/>
    <w:basedOn w:val="1"/>
    <w:next w:val="15"/>
    <w:link w:val="62"/>
    <w:uiPriority w:val="0"/>
    <w:pPr>
      <w:keepNext w:val="0"/>
      <w:keepLines w:val="0"/>
      <w:widowControl w:val="0"/>
      <w:suppressLineNumbers w:val="0"/>
      <w:spacing w:before="0" w:beforeAutospacing="0" w:after="120" w:afterAutospacing="0"/>
      <w:ind w:left="0" w:right="0"/>
      <w:jc w:val="both"/>
    </w:pPr>
  </w:style>
  <w:style w:type="paragraph" w:styleId="15">
    <w:name w:val="Body Text First Indent"/>
    <w:basedOn w:val="14"/>
    <w:next w:val="16"/>
    <w:link w:val="63"/>
    <w:uiPriority w:val="0"/>
    <w:pPr>
      <w:ind w:firstLine="420" w:firstLineChars="100"/>
    </w:pPr>
  </w:style>
  <w:style w:type="paragraph" w:styleId="16">
    <w:name w:val="toc 6"/>
    <w:basedOn w:val="1"/>
    <w:next w:val="1"/>
    <w:semiHidden/>
    <w:qFormat/>
    <w:uiPriority w:val="0"/>
    <w:pPr>
      <w:ind w:left="1050"/>
      <w:jc w:val="left"/>
    </w:pPr>
    <w:rPr>
      <w:sz w:val="18"/>
      <w:szCs w:val="18"/>
    </w:rPr>
  </w:style>
  <w:style w:type="paragraph" w:styleId="17">
    <w:name w:val="Body Text Indent"/>
    <w:basedOn w:val="1"/>
    <w:next w:val="1"/>
    <w:link w:val="64"/>
    <w:uiPriority w:val="0"/>
    <w:pPr>
      <w:ind w:left="480" w:hanging="480" w:hangingChars="200"/>
    </w:pPr>
    <w:rPr>
      <w:sz w:val="24"/>
    </w:rPr>
  </w:style>
  <w:style w:type="paragraph" w:styleId="18">
    <w:name w:val="Block Text"/>
    <w:basedOn w:val="1"/>
    <w:qFormat/>
    <w:uiPriority w:val="0"/>
    <w:pPr>
      <w:spacing w:before="156" w:beforeLines="50" w:after="156" w:afterLines="50"/>
      <w:ind w:left="426" w:right="-11" w:hanging="426" w:hangingChars="203"/>
    </w:pPr>
    <w:rPr>
      <w:rFonts w:eastAsia="楷体_GB2312"/>
    </w:rPr>
  </w:style>
  <w:style w:type="paragraph" w:styleId="19">
    <w:name w:val="toc 3"/>
    <w:basedOn w:val="1"/>
    <w:next w:val="1"/>
    <w:uiPriority w:val="39"/>
    <w:pPr>
      <w:ind w:left="840" w:leftChars="400"/>
    </w:pPr>
  </w:style>
  <w:style w:type="paragraph" w:styleId="20">
    <w:name w:val="Plain Text"/>
    <w:basedOn w:val="1"/>
    <w:next w:val="1"/>
    <w:link w:val="65"/>
    <w:uiPriority w:val="0"/>
    <w:pPr>
      <w:widowControl/>
      <w:overflowPunct w:val="0"/>
      <w:autoSpaceDE w:val="0"/>
      <w:autoSpaceDN w:val="0"/>
      <w:adjustRightInd w:val="0"/>
      <w:jc w:val="left"/>
      <w:textAlignment w:val="baseline"/>
    </w:pPr>
    <w:rPr>
      <w:rFonts w:ascii="宋体" w:hAnsi="Courier New"/>
      <w:kern w:val="0"/>
      <w:szCs w:val="21"/>
    </w:rPr>
  </w:style>
  <w:style w:type="paragraph" w:styleId="21">
    <w:name w:val="Date"/>
    <w:basedOn w:val="1"/>
    <w:next w:val="1"/>
    <w:link w:val="66"/>
    <w:uiPriority w:val="0"/>
    <w:pPr>
      <w:ind w:left="100" w:leftChars="2500"/>
    </w:pPr>
  </w:style>
  <w:style w:type="paragraph" w:styleId="22">
    <w:name w:val="Body Text Indent 2"/>
    <w:basedOn w:val="1"/>
    <w:uiPriority w:val="0"/>
    <w:pPr>
      <w:spacing w:line="500" w:lineRule="exact"/>
      <w:ind w:firstLine="511" w:firstLineChars="213"/>
    </w:pPr>
    <w:rPr>
      <w:sz w:val="24"/>
    </w:rPr>
  </w:style>
  <w:style w:type="paragraph" w:styleId="23">
    <w:name w:val="Balloon Text"/>
    <w:basedOn w:val="1"/>
    <w:uiPriority w:val="0"/>
    <w:rPr>
      <w:sz w:val="18"/>
      <w:szCs w:val="18"/>
    </w:rPr>
  </w:style>
  <w:style w:type="paragraph" w:styleId="24">
    <w:name w:val="footer"/>
    <w:basedOn w:val="1"/>
    <w:link w:val="67"/>
    <w:uiPriority w:val="0"/>
    <w:pPr>
      <w:tabs>
        <w:tab w:val="center" w:pos="4153"/>
        <w:tab w:val="right" w:pos="8306"/>
      </w:tabs>
      <w:snapToGrid w:val="0"/>
      <w:jc w:val="left"/>
    </w:pPr>
    <w:rPr>
      <w:sz w:val="18"/>
      <w:szCs w:val="18"/>
    </w:rPr>
  </w:style>
  <w:style w:type="paragraph" w:styleId="25">
    <w:name w:val="header"/>
    <w:basedOn w:val="1"/>
    <w:link w:val="68"/>
    <w:uiPriority w:val="0"/>
    <w:pPr>
      <w:pBdr>
        <w:bottom w:val="single" w:color="auto" w:sz="6" w:space="1"/>
      </w:pBdr>
      <w:tabs>
        <w:tab w:val="center" w:pos="4153"/>
        <w:tab w:val="right" w:pos="8306"/>
      </w:tabs>
      <w:snapToGrid w:val="0"/>
      <w:jc w:val="center"/>
    </w:pPr>
    <w:rPr>
      <w:sz w:val="18"/>
      <w:szCs w:val="18"/>
    </w:rPr>
  </w:style>
  <w:style w:type="paragraph" w:styleId="26">
    <w:name w:val="toc 1"/>
    <w:basedOn w:val="1"/>
    <w:next w:val="1"/>
    <w:uiPriority w:val="39"/>
    <w:pPr>
      <w:tabs>
        <w:tab w:val="right" w:leader="dot" w:pos="9628"/>
      </w:tabs>
      <w:spacing w:line="480" w:lineRule="auto"/>
    </w:pPr>
    <w:rPr>
      <w:rFonts w:ascii="Arial" w:hAnsi="Arial" w:eastAsia="新宋体" w:cs="Arial"/>
      <w:bCs/>
      <w:sz w:val="24"/>
      <w:lang/>
    </w:rPr>
  </w:style>
  <w:style w:type="paragraph" w:styleId="27">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28">
    <w:name w:val="Body Text Indent 3"/>
    <w:basedOn w:val="1"/>
    <w:link w:val="69"/>
    <w:uiPriority w:val="0"/>
    <w:pPr>
      <w:spacing w:line="500" w:lineRule="exact"/>
      <w:ind w:left="511" w:hanging="511" w:hangingChars="213"/>
    </w:pPr>
    <w:rPr>
      <w:sz w:val="24"/>
    </w:rPr>
  </w:style>
  <w:style w:type="paragraph" w:styleId="29">
    <w:name w:val="toc 2"/>
    <w:basedOn w:val="1"/>
    <w:next w:val="1"/>
    <w:uiPriority w:val="39"/>
    <w:pPr>
      <w:ind w:left="420" w:leftChars="200"/>
    </w:pPr>
  </w:style>
  <w:style w:type="paragraph" w:styleId="30">
    <w:name w:val="Body Text 2"/>
    <w:basedOn w:val="1"/>
    <w:qFormat/>
    <w:uiPriority w:val="0"/>
    <w:pPr>
      <w:spacing w:after="120" w:line="480" w:lineRule="auto"/>
    </w:pPr>
    <w:rPr>
      <w:rFonts w:ascii="Calibri" w:hAnsi="Calibri" w:eastAsia="宋体" w:cs="Times New Roman"/>
    </w:rPr>
  </w:style>
  <w:style w:type="paragraph" w:styleId="31">
    <w:name w:val="Normal (Web)"/>
    <w:basedOn w:val="1"/>
    <w:uiPriority w:val="0"/>
    <w:pPr>
      <w:widowControl/>
      <w:spacing w:before="100" w:beforeLines="0" w:beforeAutospacing="1" w:after="100" w:afterLines="0" w:afterAutospacing="1"/>
      <w:jc w:val="left"/>
    </w:pPr>
    <w:rPr>
      <w:rFonts w:ascii="宋体" w:hAnsi="宋体" w:cs="宋体"/>
      <w:kern w:val="0"/>
      <w:sz w:val="24"/>
    </w:rPr>
  </w:style>
  <w:style w:type="paragraph" w:styleId="32">
    <w:name w:val="Title"/>
    <w:basedOn w:val="1"/>
    <w:next w:val="1"/>
    <w:link w:val="70"/>
    <w:qFormat/>
    <w:uiPriority w:val="0"/>
    <w:pPr>
      <w:spacing w:before="240" w:after="60"/>
      <w:jc w:val="center"/>
      <w:outlineLvl w:val="0"/>
    </w:pPr>
    <w:rPr>
      <w:rFonts w:ascii="Cambria" w:hAnsi="Cambria"/>
      <w:b/>
      <w:bCs/>
      <w:sz w:val="32"/>
      <w:szCs w:val="32"/>
    </w:rPr>
  </w:style>
  <w:style w:type="paragraph" w:styleId="33">
    <w:name w:val="annotation subject"/>
    <w:basedOn w:val="13"/>
    <w:next w:val="13"/>
    <w:link w:val="71"/>
    <w:uiPriority w:val="0"/>
    <w:rPr>
      <w:b/>
      <w:bCs/>
    </w:rPr>
  </w:style>
  <w:style w:type="paragraph" w:styleId="34">
    <w:name w:val="Body Text First Indent 2"/>
    <w:basedOn w:val="17"/>
    <w:unhideWhenUsed/>
    <w:qFormat/>
    <w:uiPriority w:val="99"/>
    <w:pPr>
      <w:ind w:firstLine="420" w:firstLineChars="200"/>
    </w:pPr>
  </w:style>
  <w:style w:type="table" w:styleId="36">
    <w:name w:val="Table Grid"/>
    <w:basedOn w:val="35"/>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Style w:val="35"/>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8">
    <w:name w:val="Strong"/>
    <w:qFormat/>
    <w:uiPriority w:val="0"/>
    <w:rPr>
      <w:b/>
      <w:bCs/>
    </w:rPr>
  </w:style>
  <w:style w:type="character" w:styleId="39">
    <w:name w:val="page number"/>
    <w:uiPriority w:val="0"/>
  </w:style>
  <w:style w:type="character" w:styleId="40">
    <w:name w:val="FollowedHyperlink"/>
    <w:uiPriority w:val="0"/>
    <w:rPr>
      <w:color w:val="800080"/>
      <w:u w:val="none"/>
    </w:rPr>
  </w:style>
  <w:style w:type="character" w:styleId="41">
    <w:name w:val="Emphasis"/>
    <w:qFormat/>
    <w:uiPriority w:val="0"/>
  </w:style>
  <w:style w:type="character" w:styleId="42">
    <w:name w:val="HTML Definition"/>
    <w:basedOn w:val="37"/>
    <w:uiPriority w:val="0"/>
  </w:style>
  <w:style w:type="character" w:styleId="43">
    <w:name w:val="HTML Typewriter"/>
    <w:basedOn w:val="37"/>
    <w:uiPriority w:val="0"/>
    <w:rPr>
      <w:rFonts w:hint="default" w:ascii="monospace" w:hAnsi="monospace" w:eastAsia="monospace" w:cs="monospace"/>
      <w:sz w:val="20"/>
    </w:rPr>
  </w:style>
  <w:style w:type="character" w:styleId="44">
    <w:name w:val="HTML Acronym"/>
    <w:basedOn w:val="37"/>
    <w:uiPriority w:val="0"/>
  </w:style>
  <w:style w:type="character" w:styleId="45">
    <w:name w:val="HTML Variable"/>
    <w:basedOn w:val="37"/>
    <w:uiPriority w:val="0"/>
  </w:style>
  <w:style w:type="character" w:styleId="46">
    <w:name w:val="Hyperlink"/>
    <w:uiPriority w:val="99"/>
    <w:rPr>
      <w:color w:val="000000"/>
      <w:sz w:val="20"/>
      <w:szCs w:val="20"/>
      <w:u w:val="none"/>
    </w:rPr>
  </w:style>
  <w:style w:type="character" w:styleId="47">
    <w:name w:val="HTML Code"/>
    <w:uiPriority w:val="0"/>
    <w:rPr>
      <w:rFonts w:ascii="Courier New" w:hAnsi="Courier New"/>
      <w:sz w:val="20"/>
    </w:rPr>
  </w:style>
  <w:style w:type="character" w:styleId="48">
    <w:name w:val="annotation reference"/>
    <w:uiPriority w:val="0"/>
    <w:rPr>
      <w:sz w:val="21"/>
      <w:szCs w:val="21"/>
    </w:rPr>
  </w:style>
  <w:style w:type="character" w:styleId="49">
    <w:name w:val="HTML Cite"/>
    <w:uiPriority w:val="0"/>
  </w:style>
  <w:style w:type="character" w:styleId="50">
    <w:name w:val="HTML Keyboard"/>
    <w:basedOn w:val="37"/>
    <w:uiPriority w:val="0"/>
    <w:rPr>
      <w:rFonts w:ascii="monospace" w:hAnsi="monospace" w:eastAsia="monospace" w:cs="monospace"/>
      <w:sz w:val="20"/>
      <w:bdr w:val="single" w:color="DBDEC1" w:sz="6" w:space="0"/>
      <w:shd w:val="clear" w:color="auto" w:fill="FFFFFF"/>
    </w:rPr>
  </w:style>
  <w:style w:type="character" w:styleId="51">
    <w:name w:val="HTML Sample"/>
    <w:basedOn w:val="37"/>
    <w:uiPriority w:val="0"/>
    <w:rPr>
      <w:rFonts w:hint="default" w:ascii="monospace" w:hAnsi="monospace" w:eastAsia="monospace" w:cs="monospace"/>
    </w:rPr>
  </w:style>
  <w:style w:type="character" w:customStyle="1" w:styleId="52">
    <w:name w:val="标题 1 字符"/>
    <w:link w:val="2"/>
    <w:uiPriority w:val="0"/>
    <w:rPr>
      <w:rFonts w:ascii="楷体_GB2312" w:eastAsia="楷体_GB2312"/>
      <w:b/>
      <w:bCs/>
      <w:kern w:val="2"/>
      <w:sz w:val="21"/>
      <w:szCs w:val="24"/>
      <w:lang w:val="en-US" w:eastAsia="zh-CN" w:bidi="ar-SA"/>
    </w:rPr>
  </w:style>
  <w:style w:type="character" w:customStyle="1" w:styleId="53">
    <w:name w:val="标题 2 字符"/>
    <w:link w:val="3"/>
    <w:uiPriority w:val="0"/>
    <w:rPr>
      <w:rFonts w:ascii="Arial" w:hAnsi="Arial" w:eastAsia="黑体"/>
      <w:b/>
      <w:bCs/>
      <w:kern w:val="2"/>
      <w:sz w:val="32"/>
      <w:szCs w:val="32"/>
    </w:rPr>
  </w:style>
  <w:style w:type="character" w:customStyle="1" w:styleId="54">
    <w:name w:val="标题 3 字符"/>
    <w:link w:val="4"/>
    <w:uiPriority w:val="0"/>
    <w:rPr>
      <w:b/>
      <w:bCs/>
      <w:kern w:val="2"/>
      <w:sz w:val="32"/>
      <w:szCs w:val="32"/>
      <w:lang w:bidi="ar-SA"/>
    </w:rPr>
  </w:style>
  <w:style w:type="character" w:customStyle="1" w:styleId="55">
    <w:name w:val="标题 4 字符"/>
    <w:link w:val="5"/>
    <w:uiPriority w:val="0"/>
    <w:rPr>
      <w:rFonts w:ascii="Cambria" w:hAnsi="Cambria" w:eastAsia="宋体"/>
      <w:b/>
      <w:bCs/>
      <w:kern w:val="2"/>
      <w:sz w:val="28"/>
      <w:szCs w:val="28"/>
      <w:lang w:bidi="ar-SA"/>
    </w:rPr>
  </w:style>
  <w:style w:type="character" w:customStyle="1" w:styleId="56">
    <w:name w:val="标题 5 字符"/>
    <w:link w:val="6"/>
    <w:uiPriority w:val="0"/>
    <w:rPr>
      <w:b/>
      <w:bCs/>
      <w:kern w:val="2"/>
      <w:sz w:val="28"/>
      <w:szCs w:val="28"/>
    </w:rPr>
  </w:style>
  <w:style w:type="character" w:customStyle="1" w:styleId="57">
    <w:name w:val="标题 7 字符"/>
    <w:link w:val="8"/>
    <w:uiPriority w:val="0"/>
    <w:rPr>
      <w:b/>
      <w:bCs/>
      <w:kern w:val="2"/>
      <w:sz w:val="24"/>
      <w:szCs w:val="24"/>
    </w:rPr>
  </w:style>
  <w:style w:type="character" w:customStyle="1" w:styleId="58">
    <w:name w:val="标题 8 字符"/>
    <w:link w:val="9"/>
    <w:uiPriority w:val="0"/>
    <w:rPr>
      <w:rFonts w:ascii="Arial" w:hAnsi="Arial" w:eastAsia="黑体"/>
      <w:kern w:val="2"/>
      <w:sz w:val="24"/>
      <w:szCs w:val="24"/>
    </w:rPr>
  </w:style>
  <w:style w:type="character" w:customStyle="1" w:styleId="59">
    <w:name w:val="标题 9 字符"/>
    <w:link w:val="10"/>
    <w:uiPriority w:val="0"/>
    <w:rPr>
      <w:rFonts w:ascii="Arial" w:hAnsi="Arial" w:eastAsia="黑体"/>
      <w:kern w:val="2"/>
      <w:sz w:val="24"/>
      <w:szCs w:val="21"/>
    </w:rPr>
  </w:style>
  <w:style w:type="character" w:customStyle="1" w:styleId="60">
    <w:name w:val="正文缩进 字符"/>
    <w:link w:val="11"/>
    <w:qFormat/>
    <w:uiPriority w:val="0"/>
    <w:rPr>
      <w:rFonts w:eastAsia="宋体"/>
      <w:sz w:val="21"/>
      <w:lang w:val="en-US" w:eastAsia="zh-CN" w:bidi="ar-SA"/>
    </w:rPr>
  </w:style>
  <w:style w:type="character" w:customStyle="1" w:styleId="61">
    <w:name w:val="批注文字 字符"/>
    <w:link w:val="13"/>
    <w:uiPriority w:val="0"/>
    <w:rPr>
      <w:kern w:val="2"/>
      <w:sz w:val="21"/>
      <w:szCs w:val="24"/>
    </w:rPr>
  </w:style>
  <w:style w:type="character" w:customStyle="1" w:styleId="62">
    <w:name w:val="正文文本 字符"/>
    <w:link w:val="14"/>
    <w:uiPriority w:val="0"/>
    <w:rPr>
      <w:kern w:val="2"/>
      <w:sz w:val="21"/>
      <w:szCs w:val="24"/>
    </w:rPr>
  </w:style>
  <w:style w:type="character" w:customStyle="1" w:styleId="63">
    <w:name w:val="正文文本首行缩进 字符"/>
    <w:link w:val="15"/>
    <w:uiPriority w:val="0"/>
  </w:style>
  <w:style w:type="character" w:customStyle="1" w:styleId="64">
    <w:name w:val="正文文本缩进 字符"/>
    <w:link w:val="17"/>
    <w:uiPriority w:val="0"/>
    <w:rPr>
      <w:kern w:val="2"/>
      <w:sz w:val="24"/>
      <w:szCs w:val="24"/>
    </w:rPr>
  </w:style>
  <w:style w:type="character" w:customStyle="1" w:styleId="65">
    <w:name w:val="纯文本 字符"/>
    <w:link w:val="20"/>
    <w:uiPriority w:val="0"/>
    <w:rPr>
      <w:rFonts w:ascii="宋体" w:hAnsi="Courier New" w:eastAsia="宋体"/>
      <w:sz w:val="21"/>
      <w:szCs w:val="21"/>
      <w:lang w:val="en-US" w:eastAsia="zh-CN" w:bidi="ar-SA"/>
    </w:rPr>
  </w:style>
  <w:style w:type="character" w:customStyle="1" w:styleId="66">
    <w:name w:val="日期 字符"/>
    <w:link w:val="21"/>
    <w:uiPriority w:val="0"/>
    <w:rPr>
      <w:kern w:val="2"/>
      <w:sz w:val="21"/>
      <w:szCs w:val="24"/>
    </w:rPr>
  </w:style>
  <w:style w:type="character" w:customStyle="1" w:styleId="67">
    <w:name w:val="页脚 字符"/>
    <w:link w:val="24"/>
    <w:uiPriority w:val="0"/>
    <w:rPr>
      <w:kern w:val="2"/>
      <w:sz w:val="18"/>
      <w:szCs w:val="18"/>
    </w:rPr>
  </w:style>
  <w:style w:type="character" w:customStyle="1" w:styleId="68">
    <w:name w:val="页眉 字符"/>
    <w:link w:val="25"/>
    <w:uiPriority w:val="0"/>
    <w:rPr>
      <w:kern w:val="2"/>
      <w:sz w:val="18"/>
      <w:szCs w:val="18"/>
    </w:rPr>
  </w:style>
  <w:style w:type="character" w:customStyle="1" w:styleId="69">
    <w:name w:val="正文文本缩进 3 字符"/>
    <w:link w:val="28"/>
    <w:uiPriority w:val="0"/>
    <w:rPr>
      <w:kern w:val="2"/>
      <w:sz w:val="24"/>
      <w:szCs w:val="24"/>
    </w:rPr>
  </w:style>
  <w:style w:type="character" w:customStyle="1" w:styleId="70">
    <w:name w:val="标题 字符"/>
    <w:link w:val="32"/>
    <w:uiPriority w:val="0"/>
    <w:rPr>
      <w:rFonts w:ascii="Cambria" w:hAnsi="Cambria" w:cs="Times New Roman"/>
      <w:b/>
      <w:bCs/>
      <w:kern w:val="2"/>
      <w:sz w:val="32"/>
      <w:szCs w:val="32"/>
    </w:rPr>
  </w:style>
  <w:style w:type="character" w:customStyle="1" w:styleId="71">
    <w:name w:val="批注主题 字符"/>
    <w:link w:val="33"/>
    <w:uiPriority w:val="0"/>
    <w:rPr>
      <w:b/>
      <w:bCs/>
      <w:kern w:val="2"/>
      <w:sz w:val="21"/>
      <w:szCs w:val="24"/>
    </w:rPr>
  </w:style>
  <w:style w:type="paragraph" w:customStyle="1" w:styleId="72">
    <w:name w:val="BodyText1I"/>
    <w:basedOn w:val="73"/>
    <w:qFormat/>
    <w:uiPriority w:val="0"/>
    <w:pPr>
      <w:spacing w:after="120" w:line="240" w:lineRule="auto"/>
      <w:ind w:firstLine="420" w:firstLineChars="100"/>
      <w:jc w:val="both"/>
    </w:pPr>
  </w:style>
  <w:style w:type="paragraph" w:customStyle="1" w:styleId="73">
    <w:name w:val="BodyText"/>
    <w:basedOn w:val="1"/>
    <w:qFormat/>
    <w:uiPriority w:val="0"/>
    <w:pPr>
      <w:spacing w:after="120" w:line="240" w:lineRule="auto"/>
      <w:jc w:val="both"/>
    </w:pPr>
  </w:style>
  <w:style w:type="character" w:customStyle="1" w:styleId="74">
    <w:name w:val="正文（缩进） Char Char"/>
    <w:link w:val="75"/>
    <w:uiPriority w:val="0"/>
    <w:rPr>
      <w:sz w:val="24"/>
      <w:szCs w:val="24"/>
    </w:rPr>
  </w:style>
  <w:style w:type="paragraph" w:customStyle="1" w:styleId="75">
    <w:name w:val="正文（缩进）"/>
    <w:basedOn w:val="1"/>
    <w:link w:val="74"/>
    <w:uiPriority w:val="0"/>
    <w:pPr>
      <w:spacing w:before="156" w:beforeLines="50" w:after="156" w:afterLines="50" w:line="360" w:lineRule="auto"/>
      <w:ind w:firstLine="480" w:firstLineChars="200"/>
    </w:pPr>
    <w:rPr>
      <w:kern w:val="0"/>
      <w:sz w:val="24"/>
    </w:rPr>
  </w:style>
  <w:style w:type="character" w:customStyle="1" w:styleId="76">
    <w:name w:val="正文（标记） Char Char"/>
    <w:link w:val="77"/>
    <w:uiPriority w:val="0"/>
    <w:rPr>
      <w:sz w:val="24"/>
      <w:szCs w:val="24"/>
    </w:rPr>
  </w:style>
  <w:style w:type="paragraph" w:customStyle="1" w:styleId="77">
    <w:name w:val="正文（标记）"/>
    <w:basedOn w:val="1"/>
    <w:link w:val="76"/>
    <w:uiPriority w:val="0"/>
    <w:pPr>
      <w:numPr>
        <w:ilvl w:val="0"/>
        <w:numId w:val="1"/>
      </w:numPr>
      <w:spacing w:before="156" w:beforeLines="50" w:after="156" w:afterLines="50"/>
    </w:pPr>
    <w:rPr>
      <w:kern w:val="0"/>
      <w:sz w:val="24"/>
    </w:rPr>
  </w:style>
  <w:style w:type="character" w:customStyle="1" w:styleId="78">
    <w:name w:val="文档正文 Char"/>
    <w:link w:val="79"/>
    <w:uiPriority w:val="0"/>
    <w:rPr>
      <w:rFonts w:ascii="Tahoma" w:hAnsi="Tahoma" w:eastAsia="仿宋_GB2312"/>
      <w:sz w:val="28"/>
      <w:lang w:val="en-US" w:eastAsia="zh-CN" w:bidi="ar-SA"/>
    </w:rPr>
  </w:style>
  <w:style w:type="paragraph" w:customStyle="1" w:styleId="79">
    <w:name w:val="文档正文"/>
    <w:basedOn w:val="1"/>
    <w:link w:val="78"/>
    <w:uiPriority w:val="0"/>
    <w:pPr>
      <w:spacing w:line="360" w:lineRule="auto"/>
      <w:ind w:firstLine="480" w:firstLineChars="200"/>
    </w:pPr>
    <w:rPr>
      <w:rFonts w:ascii="Tahoma" w:hAnsi="Tahoma" w:eastAsia="仿宋_GB2312"/>
      <w:kern w:val="0"/>
      <w:sz w:val="28"/>
      <w:szCs w:val="20"/>
    </w:rPr>
  </w:style>
  <w:style w:type="character" w:customStyle="1" w:styleId="80">
    <w:name w:val="unnamed51"/>
    <w:uiPriority w:val="0"/>
    <w:rPr>
      <w:sz w:val="22"/>
      <w:szCs w:val="22"/>
    </w:rPr>
  </w:style>
  <w:style w:type="character" w:customStyle="1" w:styleId="81">
    <w:name w:val="textcolor1"/>
    <w:uiPriority w:val="0"/>
    <w:rPr>
      <w:color w:val="FF6600"/>
    </w:rPr>
  </w:style>
  <w:style w:type="character" w:customStyle="1" w:styleId="82">
    <w:name w:val="Char Char2"/>
    <w:uiPriority w:val="0"/>
    <w:rPr>
      <w:rFonts w:ascii="宋体" w:hAnsi="Courier New" w:eastAsia="宋体"/>
      <w:kern w:val="2"/>
      <w:sz w:val="21"/>
      <w:lang w:val="en-US" w:eastAsia="zh-CN"/>
    </w:rPr>
  </w:style>
  <w:style w:type="character" w:customStyle="1" w:styleId="83">
    <w:name w:val="无间隔 Char Char"/>
    <w:link w:val="84"/>
    <w:uiPriority w:val="0"/>
    <w:rPr>
      <w:rFonts w:ascii="楷体_GB2312" w:hAnsi="宋体" w:eastAsia="楷体_GB2312"/>
      <w:bCs/>
      <w:kern w:val="2"/>
      <w:sz w:val="24"/>
      <w:szCs w:val="24"/>
      <w:u w:val="single"/>
      <w:lang w:val="en-US" w:eastAsia="zh-CN" w:bidi="ar-SA"/>
    </w:rPr>
  </w:style>
  <w:style w:type="paragraph" w:customStyle="1" w:styleId="84">
    <w:name w:val="无间隔1"/>
    <w:link w:val="83"/>
    <w:uiPriority w:val="0"/>
    <w:pPr>
      <w:widowControl w:val="0"/>
      <w:spacing w:line="300" w:lineRule="auto"/>
    </w:pPr>
    <w:rPr>
      <w:rFonts w:ascii="楷体_GB2312" w:hAnsi="宋体" w:eastAsia="楷体_GB2312"/>
      <w:bCs/>
      <w:kern w:val="2"/>
      <w:sz w:val="24"/>
      <w:szCs w:val="24"/>
      <w:u w:val="single"/>
      <w:lang w:val="en-US" w:eastAsia="zh-CN" w:bidi="ar-SA"/>
    </w:rPr>
  </w:style>
  <w:style w:type="character" w:customStyle="1" w:styleId="85">
    <w:name w:val="彩色列表 - 强调文字颜色 1 Char"/>
    <w:link w:val="86"/>
    <w:uiPriority w:val="0"/>
    <w:rPr>
      <w:rFonts w:ascii="Calibri" w:hAnsi="Calibri"/>
      <w:kern w:val="2"/>
      <w:sz w:val="21"/>
      <w:szCs w:val="24"/>
    </w:rPr>
  </w:style>
  <w:style w:type="paragraph" w:customStyle="1" w:styleId="86">
    <w:name w:val="彩色列表 - 强调文字颜色 11"/>
    <w:basedOn w:val="1"/>
    <w:link w:val="85"/>
    <w:uiPriority w:val="0"/>
    <w:pPr>
      <w:ind w:firstLine="420" w:firstLineChars="200"/>
    </w:pPr>
    <w:rPr>
      <w:rFonts w:ascii="Calibri" w:hAnsi="Calibri"/>
    </w:rPr>
  </w:style>
  <w:style w:type="character" w:customStyle="1" w:styleId="87">
    <w:name w:val="样式6 列表并列 Char"/>
    <w:link w:val="88"/>
    <w:locked/>
    <w:uiPriority w:val="0"/>
    <w:rPr>
      <w:rFonts w:ascii="Arial" w:hAnsi="Arial" w:cs="Arial"/>
      <w:kern w:val="21"/>
      <w:sz w:val="21"/>
      <w:szCs w:val="24"/>
      <w:lang w:val="en-US" w:eastAsia="zh-CN" w:bidi="ar-SA"/>
    </w:rPr>
  </w:style>
  <w:style w:type="paragraph" w:customStyle="1" w:styleId="88">
    <w:name w:val="样式6 列表并列"/>
    <w:link w:val="87"/>
    <w:uiPriority w:val="0"/>
    <w:pPr>
      <w:widowControl w:val="0"/>
      <w:numPr>
        <w:ilvl w:val="0"/>
        <w:numId w:val="2"/>
      </w:numPr>
      <w:spacing w:before="40" w:after="40" w:line="240" w:lineRule="atLeast"/>
      <w:ind w:left="840" w:hanging="420"/>
    </w:pPr>
    <w:rPr>
      <w:rFonts w:ascii="Arial" w:hAnsi="Arial" w:cs="Arial"/>
      <w:kern w:val="21"/>
      <w:sz w:val="21"/>
      <w:szCs w:val="24"/>
      <w:lang w:val="en-US" w:eastAsia="zh-CN" w:bidi="ar-SA"/>
    </w:rPr>
  </w:style>
  <w:style w:type="character" w:customStyle="1" w:styleId="89">
    <w:name w:val="证 Char Char"/>
    <w:link w:val="90"/>
    <w:uiPriority w:val="0"/>
    <w:rPr>
      <w:rFonts w:ascii="宋体" w:hAnsi="宋体"/>
      <w:kern w:val="2"/>
      <w:sz w:val="24"/>
      <w:szCs w:val="24"/>
    </w:rPr>
  </w:style>
  <w:style w:type="paragraph" w:customStyle="1" w:styleId="90">
    <w:name w:val="证"/>
    <w:basedOn w:val="1"/>
    <w:link w:val="89"/>
    <w:uiPriority w:val="0"/>
    <w:pPr>
      <w:spacing w:line="360" w:lineRule="auto"/>
      <w:ind w:firstLine="480" w:firstLineChars="200"/>
    </w:pPr>
    <w:rPr>
      <w:rFonts w:ascii="宋体" w:hAnsi="宋体"/>
      <w:sz w:val="24"/>
    </w:rPr>
  </w:style>
  <w:style w:type="character" w:customStyle="1" w:styleId="91">
    <w:name w:val="font31"/>
    <w:uiPriority w:val="0"/>
    <w:rPr>
      <w:rFonts w:hint="eastAsia" w:ascii="宋体" w:hAnsi="宋体" w:eastAsia="宋体" w:cs="宋体"/>
      <w:color w:val="000000"/>
      <w:sz w:val="20"/>
      <w:szCs w:val="20"/>
      <w:u w:val="none"/>
    </w:rPr>
  </w:style>
  <w:style w:type="character" w:customStyle="1" w:styleId="92">
    <w:name w:val="List Paragraph Char"/>
    <w:link w:val="93"/>
    <w:uiPriority w:val="0"/>
    <w:rPr>
      <w:rFonts w:ascii="Calibri" w:hAnsi="Calibri" w:eastAsia="宋体"/>
      <w:kern w:val="2"/>
      <w:sz w:val="21"/>
      <w:szCs w:val="22"/>
      <w:lang w:val="en-US" w:eastAsia="zh-CN" w:bidi="ar-SA"/>
    </w:rPr>
  </w:style>
  <w:style w:type="paragraph" w:customStyle="1" w:styleId="93">
    <w:name w:val="List Paragraph"/>
    <w:basedOn w:val="1"/>
    <w:link w:val="92"/>
    <w:qFormat/>
    <w:uiPriority w:val="0"/>
    <w:pPr>
      <w:ind w:firstLine="420" w:firstLineChars="200"/>
    </w:pPr>
    <w:rPr>
      <w:rFonts w:ascii="Calibri" w:hAnsi="Calibri"/>
      <w:szCs w:val="22"/>
    </w:rPr>
  </w:style>
  <w:style w:type="character" w:customStyle="1" w:styleId="94">
    <w:name w:val="标准文本 Char Char"/>
    <w:link w:val="95"/>
    <w:uiPriority w:val="0"/>
    <w:rPr>
      <w:sz w:val="24"/>
    </w:rPr>
  </w:style>
  <w:style w:type="paragraph" w:customStyle="1" w:styleId="95">
    <w:name w:val="标准文本"/>
    <w:basedOn w:val="1"/>
    <w:link w:val="94"/>
    <w:uiPriority w:val="0"/>
    <w:pPr>
      <w:spacing w:line="360" w:lineRule="auto"/>
      <w:ind w:firstLine="480" w:firstLineChars="200"/>
    </w:pPr>
    <w:rPr>
      <w:kern w:val="0"/>
      <w:sz w:val="24"/>
      <w:szCs w:val="20"/>
    </w:rPr>
  </w:style>
  <w:style w:type="character" w:customStyle="1" w:styleId="96">
    <w:name w:val="Char Char1"/>
    <w:aliases w:val="Texte Char,小 Char Char"/>
    <w:uiPriority w:val="0"/>
    <w:rPr>
      <w:rFonts w:ascii="宋体" w:hAnsi="Courier New" w:eastAsia="宋体"/>
      <w:kern w:val="2"/>
      <w:sz w:val="21"/>
      <w:lang w:val="en-US" w:eastAsia="zh-CN" w:bidi="ar-SA"/>
    </w:rPr>
  </w:style>
  <w:style w:type="character" w:customStyle="1" w:styleId="97">
    <w:name w:val="ca-18"/>
    <w:uiPriority w:val="0"/>
  </w:style>
  <w:style w:type="character" w:customStyle="1" w:styleId="98">
    <w:name w:val="Texte Char Char"/>
    <w:uiPriority w:val="0"/>
    <w:rPr>
      <w:rFonts w:ascii="宋体" w:hAnsi="Courier New" w:eastAsia="宋体"/>
      <w:sz w:val="21"/>
      <w:szCs w:val="21"/>
      <w:lang w:val="en-US" w:eastAsia="zh-CN" w:bidi="ar-SA"/>
    </w:rPr>
  </w:style>
  <w:style w:type="character" w:customStyle="1" w:styleId="99">
    <w:name w:val="目录1 Char"/>
    <w:link w:val="100"/>
    <w:uiPriority w:val="0"/>
    <w:rPr>
      <w:b/>
      <w:bCs/>
      <w:kern w:val="44"/>
      <w:sz w:val="36"/>
      <w:szCs w:val="36"/>
    </w:rPr>
  </w:style>
  <w:style w:type="paragraph" w:customStyle="1" w:styleId="100">
    <w:name w:val="目录1"/>
    <w:basedOn w:val="2"/>
    <w:link w:val="99"/>
    <w:qFormat/>
    <w:uiPriority w:val="0"/>
    <w:pPr>
      <w:keepLines/>
      <w:spacing w:before="340" w:after="330" w:line="440" w:lineRule="exact"/>
    </w:pPr>
    <w:rPr>
      <w:rFonts w:ascii="Times New Roman" w:eastAsia="宋体"/>
      <w:kern w:val="44"/>
      <w:sz w:val="36"/>
      <w:szCs w:val="36"/>
    </w:rPr>
  </w:style>
  <w:style w:type="character" w:customStyle="1" w:styleId="101">
    <w:name w:val="Char Char Char"/>
    <w:uiPriority w:val="0"/>
    <w:rPr>
      <w:rFonts w:ascii="宋体" w:hAnsi="Courier New" w:eastAsia="宋体"/>
      <w:sz w:val="21"/>
      <w:szCs w:val="21"/>
      <w:lang w:val="en-US" w:eastAsia="zh-CN" w:bidi="ar-SA"/>
    </w:rPr>
  </w:style>
  <w:style w:type="character" w:customStyle="1" w:styleId="102">
    <w:name w:val="表内 Char Char"/>
    <w:link w:val="103"/>
    <w:uiPriority w:val="0"/>
    <w:rPr>
      <w:rFonts w:ascii="宋体" w:hAnsi="宋体"/>
      <w:kern w:val="2"/>
      <w:sz w:val="18"/>
      <w:szCs w:val="18"/>
    </w:rPr>
  </w:style>
  <w:style w:type="paragraph" w:customStyle="1" w:styleId="103">
    <w:name w:val="表内"/>
    <w:basedOn w:val="1"/>
    <w:link w:val="102"/>
    <w:uiPriority w:val="0"/>
    <w:rPr>
      <w:rFonts w:ascii="宋体" w:hAnsi="宋体"/>
      <w:sz w:val="18"/>
      <w:szCs w:val="18"/>
    </w:rPr>
  </w:style>
  <w:style w:type="character" w:customStyle="1" w:styleId="104">
    <w:name w:val="font01"/>
    <w:uiPriority w:val="0"/>
    <w:rPr>
      <w:rFonts w:ascii="font-weight : 400" w:hAnsi="font-weight : 400" w:eastAsia="font-weight : 400" w:cs="font-weight : 400"/>
      <w:color w:val="000000"/>
      <w:sz w:val="22"/>
      <w:szCs w:val="22"/>
      <w:u w:val="none"/>
    </w:rPr>
  </w:style>
  <w:style w:type="character" w:customStyle="1" w:styleId="105">
    <w:name w:val="style21"/>
    <w:uiPriority w:val="0"/>
    <w:rPr>
      <w:sz w:val="15"/>
      <w:szCs w:val="15"/>
    </w:rPr>
  </w:style>
  <w:style w:type="character" w:customStyle="1" w:styleId="106">
    <w:name w:val="apple-converted-space"/>
    <w:uiPriority w:val="0"/>
  </w:style>
  <w:style w:type="character" w:customStyle="1" w:styleId="107">
    <w:name w:val="哈哈正文 Char"/>
    <w:link w:val="108"/>
    <w:uiPriority w:val="0"/>
    <w:rPr>
      <w:rFonts w:ascii="宋体" w:hAnsi="宋体" w:eastAsia="宋体" w:cs="宋体"/>
      <w:kern w:val="2"/>
      <w:sz w:val="24"/>
      <w:lang w:val="en-US" w:eastAsia="zh-CN" w:bidi="ar-SA"/>
    </w:rPr>
  </w:style>
  <w:style w:type="paragraph" w:customStyle="1" w:styleId="108">
    <w:name w:val="哈哈正文"/>
    <w:basedOn w:val="1"/>
    <w:link w:val="107"/>
    <w:uiPriority w:val="0"/>
    <w:pPr>
      <w:spacing w:line="360" w:lineRule="auto"/>
      <w:ind w:firstLine="200" w:firstLineChars="200"/>
    </w:pPr>
    <w:rPr>
      <w:rFonts w:ascii="宋体" w:hAnsi="宋体" w:cs="宋体"/>
      <w:sz w:val="24"/>
      <w:szCs w:val="20"/>
    </w:rPr>
  </w:style>
  <w:style w:type="character" w:customStyle="1" w:styleId="109">
    <w:name w:val="font11"/>
    <w:uiPriority w:val="0"/>
    <w:rPr>
      <w:rFonts w:hint="eastAsia" w:ascii="宋体" w:hAnsi="宋体" w:eastAsia="宋体" w:cs="宋体"/>
      <w:color w:val="000000"/>
      <w:sz w:val="22"/>
      <w:szCs w:val="22"/>
      <w:u w:val="none"/>
    </w:rPr>
  </w:style>
  <w:style w:type="paragraph" w:customStyle="1" w:styleId="110">
    <w:name w:val="Char Char Char Char"/>
    <w:basedOn w:val="12"/>
    <w:uiPriority w:val="0"/>
    <w:rPr>
      <w:rFonts w:ascii="Tahoma" w:hAnsi="Tahoma"/>
      <w:sz w:val="24"/>
    </w:rPr>
  </w:style>
  <w:style w:type="paragraph" w:customStyle="1" w:styleId="111">
    <w:name w:val="style31"/>
    <w:basedOn w:val="1"/>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12">
    <w:name w:val="Char Char Char Char Char Char"/>
    <w:basedOn w:val="1"/>
    <w:uiPriority w:val="0"/>
    <w:rPr>
      <w:rFonts w:ascii="Tahoma" w:hAnsi="Tahoma"/>
      <w:sz w:val="24"/>
      <w:szCs w:val="20"/>
    </w:rPr>
  </w:style>
  <w:style w:type="paragraph" w:customStyle="1" w:styleId="113">
    <w:name w:val="四级目录 Char Char Char Char Char"/>
    <w:next w:val="1"/>
    <w:uiPriority w:val="0"/>
    <w:pPr>
      <w:spacing w:line="360" w:lineRule="auto"/>
      <w:ind w:left="200" w:leftChars="200"/>
    </w:pPr>
    <w:rPr>
      <w:rFonts w:eastAsia="仿宋_GB2312"/>
      <w:sz w:val="30"/>
      <w:lang w:val="en-US" w:eastAsia="en-US" w:bidi="ar-SA"/>
    </w:rPr>
  </w:style>
  <w:style w:type="paragraph" w:customStyle="1" w:styleId="114">
    <w:name w:val="列表内容"/>
    <w:basedOn w:val="1"/>
    <w:next w:val="1"/>
    <w:uiPriority w:val="0"/>
    <w:pPr>
      <w:widowControl/>
      <w:tabs>
        <w:tab w:val="left" w:pos="840"/>
      </w:tabs>
      <w:ind w:left="360"/>
      <w:jc w:val="left"/>
    </w:pPr>
    <w:rPr>
      <w:kern w:val="0"/>
      <w:sz w:val="18"/>
      <w:szCs w:val="20"/>
    </w:rPr>
  </w:style>
  <w:style w:type="paragraph" w:customStyle="1" w:styleId="115">
    <w:name w:val="_Style 1"/>
    <w:uiPriority w:val="0"/>
    <w:pPr>
      <w:widowControl w:val="0"/>
      <w:jc w:val="both"/>
    </w:pPr>
    <w:rPr>
      <w:kern w:val="2"/>
      <w:sz w:val="21"/>
      <w:szCs w:val="24"/>
      <w:lang w:val="en-US" w:eastAsia="zh-CN" w:bidi="ar-SA"/>
    </w:rPr>
  </w:style>
  <w:style w:type="paragraph" w:customStyle="1" w:styleId="116">
    <w:name w:val="xl35"/>
    <w:basedOn w:val="1"/>
    <w:uiPriority w:val="0"/>
    <w:pPr>
      <w:widowControl/>
      <w:pBdr>
        <w:left w:val="single" w:color="auto" w:sz="0" w:space="0"/>
        <w:bottom w:val="single" w:color="auto" w:sz="0" w:space="0"/>
        <w:right w:val="single" w:color="auto" w:sz="0" w:space="0"/>
      </w:pBdr>
      <w:spacing w:before="100" w:beforeAutospacing="1" w:after="100" w:afterAutospacing="1"/>
      <w:textAlignment w:val="center"/>
    </w:pPr>
    <w:rPr>
      <w:rFonts w:ascii="Arial Unicode MS" w:hAnsi="Arial Unicode MS" w:eastAsia="Arial Unicode MS"/>
      <w:kern w:val="0"/>
      <w:sz w:val="24"/>
    </w:rPr>
  </w:style>
  <w:style w:type="paragraph" w:customStyle="1" w:styleId="117">
    <w:name w:val="Char Char1 Char Char Char Char Char Char"/>
    <w:basedOn w:val="1"/>
    <w:uiPriority w:val="0"/>
    <w:pPr>
      <w:widowControl/>
      <w:spacing w:after="160" w:afterLines="0" w:line="240" w:lineRule="exact"/>
      <w:jc w:val="left"/>
    </w:pPr>
    <w:rPr>
      <w:rFonts w:ascii="宋体" w:hAnsi="宋体" w:cs="宋体"/>
      <w:kern w:val="0"/>
      <w:szCs w:val="20"/>
    </w:rPr>
  </w:style>
  <w:style w:type="paragraph" w:customStyle="1" w:styleId="118">
    <w:name w:val="列出段落1"/>
    <w:basedOn w:val="1"/>
    <w:uiPriority w:val="0"/>
    <w:pPr>
      <w:spacing w:line="415" w:lineRule="auto"/>
      <w:ind w:left="420" w:firstLine="420" w:firstLineChars="200"/>
      <w:jc w:val="left"/>
    </w:pPr>
    <w:rPr>
      <w:rFonts w:ascii="Calibri" w:hAnsi="Calibri"/>
      <w:sz w:val="28"/>
      <w:szCs w:val="22"/>
    </w:rPr>
  </w:style>
  <w:style w:type="paragraph" w:customStyle="1" w:styleId="119">
    <w:name w:val="Char Char Char Char Char Char Char Char Char Char Char Char Char1"/>
    <w:basedOn w:val="1"/>
    <w:uiPriority w:val="0"/>
    <w:rPr>
      <w:rFonts w:ascii="Tahoma" w:hAnsi="Tahoma"/>
      <w:sz w:val="24"/>
      <w:szCs w:val="20"/>
    </w:rPr>
  </w:style>
  <w:style w:type="paragraph" w:customStyle="1" w:styleId="120">
    <w:name w:val=" Char3"/>
    <w:basedOn w:val="12"/>
    <w:uiPriority w:val="0"/>
  </w:style>
  <w:style w:type="paragraph" w:customStyle="1" w:styleId="121">
    <w:name w:val=" Char Char7 Char"/>
    <w:basedOn w:val="1"/>
    <w:uiPriority w:val="0"/>
    <w:pPr>
      <w:tabs>
        <w:tab w:val="left" w:pos="425"/>
      </w:tabs>
      <w:ind w:left="420" w:leftChars="200" w:firstLine="270" w:firstLineChars="150"/>
    </w:pPr>
  </w:style>
  <w:style w:type="paragraph" w:customStyle="1" w:styleId="122">
    <w:name w:val="正文2"/>
    <w:basedOn w:val="1"/>
    <w:uiPriority w:val="0"/>
    <w:pPr>
      <w:spacing w:before="156" w:beforeLines="0" w:line="360" w:lineRule="auto"/>
      <w:ind w:firstLine="510" w:firstLineChars="200"/>
    </w:pPr>
    <w:rPr>
      <w:sz w:val="24"/>
      <w:szCs w:val="20"/>
    </w:rPr>
  </w:style>
  <w:style w:type="paragraph" w:customStyle="1" w:styleId="123">
    <w:name w:val="正文－恩普"/>
    <w:basedOn w:val="11"/>
    <w:uiPriority w:val="0"/>
    <w:pPr>
      <w:framePr w:wrap="around" w:vAnchor="text" w:hAnchor="text" w:y="1"/>
      <w:adjustRightInd/>
      <w:spacing w:line="360" w:lineRule="auto"/>
      <w:ind w:firstLine="200" w:firstLineChars="200"/>
      <w:textAlignment w:val="auto"/>
    </w:pPr>
    <w:rPr>
      <w:kern w:val="2"/>
      <w:sz w:val="24"/>
      <w:szCs w:val="24"/>
    </w:rPr>
  </w:style>
  <w:style w:type="paragraph" w:customStyle="1" w:styleId="124">
    <w:name w:val="默认段落字体 Para Char"/>
    <w:basedOn w:val="1"/>
    <w:uiPriority w:val="0"/>
    <w:pPr>
      <w:tabs>
        <w:tab w:val="left" w:pos="360"/>
      </w:tabs>
      <w:adjustRightInd w:val="0"/>
      <w:textAlignment w:val="baseline"/>
    </w:pPr>
  </w:style>
  <w:style w:type="paragraph" w:customStyle="1" w:styleId="125">
    <w:name w:val=" Char Char Char Char Char Char Char"/>
    <w:basedOn w:val="1"/>
    <w:uiPriority w:val="0"/>
    <w:rPr>
      <w:rFonts w:ascii="仿宋_GB2312" w:eastAsia="仿宋_GB2312"/>
      <w:b/>
      <w:sz w:val="32"/>
      <w:szCs w:val="32"/>
    </w:rPr>
  </w:style>
  <w:style w:type="paragraph" w:customStyle="1" w:styleId="126">
    <w:name w:val=" Char Char1 Char Char Char Char Char Char"/>
    <w:basedOn w:val="1"/>
    <w:uiPriority w:val="0"/>
    <w:rPr>
      <w:rFonts w:ascii="仿宋_GB2312" w:eastAsia="仿宋_GB2312"/>
      <w:b/>
      <w:sz w:val="32"/>
      <w:szCs w:val="32"/>
    </w:rPr>
  </w:style>
  <w:style w:type="paragraph" w:customStyle="1" w:styleId="127">
    <w:name w:val="空格"/>
    <w:basedOn w:val="1"/>
    <w:next w:val="1"/>
    <w:qFormat/>
    <w:uiPriority w:val="0"/>
    <w:pPr>
      <w:autoSpaceDE w:val="0"/>
      <w:autoSpaceDN w:val="0"/>
      <w:adjustRightInd w:val="0"/>
      <w:snapToGrid w:val="0"/>
      <w:ind w:firstLine="200" w:firstLineChars="200"/>
      <w:jc w:val="left"/>
    </w:pPr>
    <w:rPr>
      <w:rFonts w:ascii="Calibri" w:hAnsi="Calibri"/>
      <w:snapToGrid w:val="0"/>
      <w:kern w:val="0"/>
      <w:szCs w:val="21"/>
    </w:rPr>
  </w:style>
  <w:style w:type="paragraph" w:customStyle="1" w:styleId="128">
    <w:name w:val="合同标题"/>
    <w:basedOn w:val="1"/>
    <w:qFormat/>
    <w:uiPriority w:val="0"/>
    <w:pPr>
      <w:autoSpaceDE w:val="0"/>
      <w:autoSpaceDN w:val="0"/>
      <w:adjustRightInd w:val="0"/>
      <w:spacing w:beforeLines="50" w:afterLines="50" w:line="360" w:lineRule="auto"/>
      <w:jc w:val="center"/>
    </w:pPr>
    <w:rPr>
      <w:rFonts w:ascii="黑体" w:hAnsi="黑体" w:eastAsia="黑体" w:cs="宋体"/>
      <w:bCs/>
      <w:sz w:val="28"/>
      <w:szCs w:val="28"/>
      <w:lang w:val="zh-CN"/>
    </w:rPr>
  </w:style>
  <w:style w:type="paragraph" w:customStyle="1" w:styleId="129">
    <w:name w:val="默认段落字体 Para Char Char Char Char Char Char Char"/>
    <w:basedOn w:val="1"/>
    <w:uiPriority w:val="0"/>
    <w:pPr>
      <w:adjustRightInd w:val="0"/>
      <w:spacing w:line="360" w:lineRule="auto"/>
    </w:pPr>
    <w:rPr>
      <w:rFonts w:ascii="Tahoma" w:hAnsi="Tahoma"/>
      <w:kern w:val="0"/>
      <w:sz w:val="24"/>
      <w:szCs w:val="20"/>
    </w:rPr>
  </w:style>
  <w:style w:type="paragraph" w:styleId="130">
    <w:name w:val=""/>
    <w:basedOn w:val="2"/>
    <w:next w:val="1"/>
    <w:qFormat/>
    <w:uiPriority w:val="39"/>
    <w:pPr>
      <w:keepLines/>
      <w:widowControl/>
      <w:spacing w:before="480" w:line="276" w:lineRule="auto"/>
      <w:jc w:val="left"/>
      <w:outlineLvl w:val="9"/>
    </w:pPr>
    <w:rPr>
      <w:rFonts w:ascii="Cambria" w:hAnsi="Cambria" w:eastAsia="宋体"/>
      <w:color w:val="365F91"/>
      <w:kern w:val="0"/>
      <w:sz w:val="28"/>
      <w:szCs w:val="28"/>
    </w:rPr>
  </w:style>
  <w:style w:type="paragraph" w:customStyle="1" w:styleId="131">
    <w:name w:val="GP标题1"/>
    <w:basedOn w:val="1"/>
    <w:next w:val="1"/>
    <w:uiPriority w:val="0"/>
    <w:pPr>
      <w:numPr>
        <w:ilvl w:val="0"/>
        <w:numId w:val="3"/>
      </w:numPr>
      <w:tabs>
        <w:tab w:val="left" w:pos="360"/>
      </w:tabs>
      <w:spacing w:before="312" w:beforeLines="100" w:after="312" w:afterLines="100" w:line="360" w:lineRule="auto"/>
      <w:jc w:val="center"/>
      <w:outlineLvl w:val="0"/>
    </w:pPr>
    <w:rPr>
      <w:rFonts w:ascii="黑体" w:hAnsi="黑体" w:eastAsia="黑体"/>
      <w:b/>
      <w:sz w:val="36"/>
      <w:szCs w:val="21"/>
    </w:rPr>
  </w:style>
  <w:style w:type="paragraph" w:customStyle="1" w:styleId="132">
    <w:name w:val="样式 首行缩进:  0 字符"/>
    <w:basedOn w:val="1"/>
    <w:uiPriority w:val="0"/>
    <w:pPr>
      <w:spacing w:line="360" w:lineRule="auto"/>
      <w:ind w:firstLine="200" w:firstLineChars="200"/>
    </w:pPr>
    <w:rPr>
      <w:rFonts w:ascii="Arial" w:hAnsi="Arial" w:cs="宋体"/>
      <w:sz w:val="24"/>
      <w:szCs w:val="20"/>
    </w:rPr>
  </w:style>
  <w:style w:type="paragraph" w:customStyle="1" w:styleId="133">
    <w:name w:val="简单回函地址"/>
    <w:basedOn w:val="1"/>
    <w:uiPriority w:val="0"/>
  </w:style>
  <w:style w:type="paragraph" w:customStyle="1" w:styleId="134">
    <w:name w:val=" Char Char Char Char Char Char Char Char Char Char Char Char Char"/>
    <w:basedOn w:val="1"/>
    <w:uiPriority w:val="0"/>
    <w:rPr>
      <w:rFonts w:ascii="Tahoma" w:hAnsi="Tahoma"/>
      <w:sz w:val="24"/>
      <w:szCs w:val="20"/>
    </w:rPr>
  </w:style>
  <w:style w:type="paragraph" w:customStyle="1" w:styleId="135">
    <w:name w:val="正文首行缩进1"/>
    <w:basedOn w:val="14"/>
    <w:uiPriority w:val="0"/>
    <w:pPr>
      <w:ind w:firstLine="420" w:firstLineChars="100"/>
    </w:pPr>
    <w:rPr>
      <w:rFonts w:ascii="Calibri" w:hAnsi="Calibri"/>
    </w:rPr>
  </w:style>
  <w:style w:type="paragraph" w:customStyle="1" w:styleId="136">
    <w:name w:val="reader-word-layer reader-word-s1-2"/>
    <w:basedOn w:val="1"/>
    <w:uiPriority w:val="0"/>
    <w:pPr>
      <w:widowControl/>
      <w:spacing w:before="100" w:beforeAutospacing="1" w:after="100" w:afterAutospacing="1"/>
      <w:jc w:val="left"/>
    </w:pPr>
    <w:rPr>
      <w:rFonts w:ascii="宋体" w:hAnsi="宋体" w:cs="宋体"/>
      <w:kern w:val="0"/>
      <w:sz w:val="24"/>
    </w:rPr>
  </w:style>
  <w:style w:type="paragraph" w:customStyle="1" w:styleId="137">
    <w:name w:val="xl55"/>
    <w:basedOn w:val="1"/>
    <w:uiPriority w:val="0"/>
    <w:pPr>
      <w:widowControl/>
      <w:spacing w:before="100" w:beforeLines="0" w:beforeAutospacing="1" w:after="100" w:afterLines="0" w:afterAutospacing="1"/>
      <w:jc w:val="center"/>
      <w:textAlignment w:val="center"/>
    </w:pPr>
    <w:rPr>
      <w:rFonts w:ascii="Arial Unicode MS" w:hAnsi="Arial Unicode MS"/>
      <w:kern w:val="0"/>
      <w:sz w:val="24"/>
      <w:szCs w:val="20"/>
    </w:rPr>
  </w:style>
  <w:style w:type="paragraph" w:customStyle="1" w:styleId="138">
    <w:name w:val="编号，小四"/>
    <w:basedOn w:val="1"/>
    <w:qFormat/>
    <w:uiPriority w:val="0"/>
    <w:pPr>
      <w:numPr>
        <w:ilvl w:val="0"/>
        <w:numId w:val="4"/>
      </w:numPr>
      <w:spacing w:line="360" w:lineRule="auto"/>
    </w:pPr>
    <w:rPr>
      <w:rFonts w:ascii="Arial" w:hAnsi="Arial" w:cs="宋体"/>
      <w:sz w:val="24"/>
      <w:szCs w:val="20"/>
    </w:rPr>
  </w:style>
  <w:style w:type="paragraph" w:customStyle="1" w:styleId="139">
    <w:name w:val="p0"/>
    <w:basedOn w:val="1"/>
    <w:uiPriority w:val="0"/>
    <w:pPr>
      <w:widowControl/>
    </w:pPr>
    <w:rPr>
      <w:rFonts w:ascii="Calibri" w:hAnsi="Calibri" w:cs="Calibri"/>
      <w:kern w:val="0"/>
      <w:szCs w:val="21"/>
    </w:rPr>
  </w:style>
  <w:style w:type="paragraph" w:customStyle="1" w:styleId="140">
    <w:name w:val="Default"/>
    <w:uiPriority w:val="0"/>
    <w:pPr>
      <w:widowControl w:val="0"/>
      <w:autoSpaceDE w:val="0"/>
      <w:autoSpaceDN w:val="0"/>
      <w:adjustRightInd w:val="0"/>
    </w:pPr>
    <w:rPr>
      <w:rFonts w:ascii="宋体" w:cs="宋体"/>
      <w:color w:val="000000"/>
      <w:sz w:val="24"/>
      <w:szCs w:val="24"/>
      <w:lang w:val="en-US" w:eastAsia="zh-CN" w:bidi="ar-SA"/>
    </w:rPr>
  </w:style>
  <w:style w:type="paragraph" w:customStyle="1" w:styleId="141">
    <w:name w:val="_Style 13"/>
    <w:basedOn w:val="1"/>
    <w:uiPriority w:val="0"/>
    <w:rPr>
      <w:rFonts w:ascii="Tahoma" w:hAnsi="Tahoma"/>
      <w:sz w:val="24"/>
      <w:szCs w:val="20"/>
    </w:rPr>
  </w:style>
  <w:style w:type="paragraph" w:customStyle="1" w:styleId="142">
    <w:name w:val="表内文字"/>
    <w:basedOn w:val="1"/>
    <w:uiPriority w:val="0"/>
    <w:pPr>
      <w:spacing w:line="240" w:lineRule="atLeast"/>
      <w:jc w:val="center"/>
    </w:pPr>
    <w:rPr>
      <w:rFonts w:ascii="Arial" w:hAnsi="Arial" w:eastAsia="宋体" w:cs="Arial"/>
      <w:b/>
      <w:bCs/>
    </w:rPr>
  </w:style>
  <w:style w:type="paragraph" w:styleId="143">
    <w:name w:val="No Spacing"/>
    <w:basedOn w:val="4"/>
    <w:qFormat/>
    <w:uiPriority w:val="0"/>
    <w:pPr>
      <w:widowControl w:val="0"/>
      <w:jc w:val="both"/>
    </w:pPr>
    <w:rPr>
      <w:kern w:val="2"/>
      <w:sz w:val="21"/>
      <w:szCs w:val="24"/>
      <w:lang w:val="en-US" w:eastAsia="zh-CN" w:bidi="ar-SA"/>
    </w:rPr>
  </w:style>
  <w:style w:type="paragraph" w:customStyle="1" w:styleId="144">
    <w:name w:val="样式 Arial 小四 首行缩进:  0.85 厘米"/>
    <w:basedOn w:val="1"/>
    <w:uiPriority w:val="0"/>
    <w:pPr>
      <w:spacing w:line="360" w:lineRule="auto"/>
      <w:ind w:firstLine="482"/>
    </w:pPr>
    <w:rPr>
      <w:rFonts w:ascii="Arial" w:hAnsi="Arial" w:cs="宋体"/>
      <w:sz w:val="24"/>
      <w:szCs w:val="20"/>
    </w:rPr>
  </w:style>
  <w:style w:type="paragraph" w:customStyle="1" w:styleId="145">
    <w:name w:val="Char Char Char Char Char Char Char"/>
    <w:basedOn w:val="1"/>
    <w:uiPriority w:val="0"/>
    <w:rPr>
      <w:rFonts w:ascii="仿宋_GB2312" w:eastAsia="仿宋_GB2312"/>
      <w:b/>
      <w:sz w:val="32"/>
      <w:szCs w:val="32"/>
    </w:rPr>
  </w:style>
  <w:style w:type="paragraph" w:customStyle="1" w:styleId="146">
    <w:name w:val="Char Char"/>
    <w:basedOn w:val="1"/>
    <w:uiPriority w:val="0"/>
    <w:rPr>
      <w:rFonts w:ascii="仿宋_GB2312" w:eastAsia="仿宋_GB2312"/>
      <w:b/>
      <w:sz w:val="32"/>
      <w:szCs w:val="32"/>
    </w:rPr>
  </w:style>
  <w:style w:type="paragraph" w:customStyle="1" w:styleId="147">
    <w:name w:val="Char Char Char Char Char Char Char Char Char Char Char Char Char"/>
    <w:basedOn w:val="1"/>
    <w:uiPriority w:val="0"/>
    <w:rPr>
      <w:rFonts w:ascii="Tahoma" w:hAnsi="Tahoma"/>
      <w:sz w:val="24"/>
      <w:szCs w:val="20"/>
    </w:rPr>
  </w:style>
  <w:style w:type="paragraph" w:customStyle="1" w:styleId="148">
    <w:name w:val="段"/>
    <w:qFormat/>
    <w:uiPriority w:val="0"/>
    <w:pPr>
      <w:autoSpaceDE w:val="0"/>
      <w:autoSpaceDN w:val="0"/>
      <w:ind w:firstLine="200" w:firstLineChars="200"/>
      <w:jc w:val="both"/>
    </w:pPr>
    <w:rPr>
      <w:rFonts w:ascii="宋体"/>
      <w:sz w:val="21"/>
      <w:lang w:val="en-US" w:eastAsia="zh-CN" w:bidi="ar-SA"/>
    </w:rPr>
  </w:style>
  <w:style w:type="paragraph" w:customStyle="1" w:styleId="149">
    <w:name w:val=" Char Char Char Char"/>
    <w:basedOn w:val="12"/>
    <w:uiPriority w:val="0"/>
    <w:rPr>
      <w:rFonts w:ascii="Tahoma" w:hAnsi="Tahoma"/>
      <w:sz w:val="24"/>
    </w:rPr>
  </w:style>
  <w:style w:type="paragraph" w:customStyle="1" w:styleId="150">
    <w:name w:val="正文1"/>
    <w:basedOn w:val="1"/>
    <w:uiPriority w:val="0"/>
    <w:pPr>
      <w:spacing w:line="480" w:lineRule="exact"/>
      <w:ind w:firstLine="480" w:firstLineChars="200"/>
    </w:pPr>
    <w:rPr>
      <w:rFonts w:ascii="宋体"/>
      <w:sz w:val="24"/>
      <w:szCs w:val="20"/>
    </w:rPr>
  </w:style>
  <w:style w:type="paragraph" w:customStyle="1" w:styleId="151">
    <w:name w:val="Char1 Char Char Char Char"/>
    <w:basedOn w:val="12"/>
    <w:uiPriority w:val="0"/>
    <w:rPr>
      <w:rFonts w:ascii="Tahoma" w:hAnsi="Tahoma" w:cs="Tahoma"/>
      <w:kern w:val="0"/>
      <w:sz w:val="18"/>
    </w:rPr>
  </w:style>
  <w:style w:type="paragraph" w:customStyle="1" w:styleId="152">
    <w:name w:val="无间距"/>
    <w:uiPriority w:val="0"/>
    <w:pPr>
      <w:widowControl w:val="0"/>
      <w:jc w:val="both"/>
    </w:pPr>
    <w:rPr>
      <w:kern w:val="2"/>
      <w:sz w:val="21"/>
      <w:szCs w:val="24"/>
      <w:lang w:val="en-US" w:eastAsia="zh-CN" w:bidi="ar-SA"/>
    </w:rPr>
  </w:style>
  <w:style w:type="paragraph" w:customStyle="1" w:styleId="153">
    <w:name w:val="正文表标题"/>
    <w:next w:val="148"/>
    <w:qFormat/>
    <w:uiPriority w:val="0"/>
    <w:pPr>
      <w:tabs>
        <w:tab w:val="left" w:pos="360"/>
      </w:tabs>
      <w:spacing w:beforeLines="50" w:afterLines="50"/>
      <w:ind w:left="630" w:hanging="420"/>
      <w:jc w:val="center"/>
    </w:pPr>
    <w:rPr>
      <w:rFonts w:ascii="黑体" w:eastAsia="黑体"/>
      <w:sz w:val="21"/>
      <w:lang w:val="en-US" w:eastAsia="zh-CN" w:bidi="ar-SA"/>
    </w:rPr>
  </w:style>
  <w:style w:type="paragraph" w:customStyle="1" w:styleId="154">
    <w:name w:val="表内容"/>
    <w:basedOn w:val="1"/>
    <w:uiPriority w:val="0"/>
    <w:pPr>
      <w:widowControl/>
      <w:spacing w:line="320" w:lineRule="exact"/>
      <w:jc w:val="left"/>
    </w:pPr>
    <w:rPr>
      <w:rFonts w:cs="Arial"/>
      <w:kern w:val="0"/>
      <w:sz w:val="20"/>
      <w:szCs w:val="20"/>
    </w:rPr>
  </w:style>
  <w:style w:type="paragraph" w:customStyle="1" w:styleId="155">
    <w:name w:val="保留正文"/>
    <w:basedOn w:val="14"/>
    <w:uiPriority w:val="0"/>
    <w:pPr>
      <w:keepNext/>
      <w:spacing w:after="160" w:afterLines="0"/>
    </w:pPr>
  </w:style>
  <w:style w:type="paragraph" w:customStyle="1" w:styleId="156">
    <w:name w:val="TableCaption Char"/>
    <w:next w:val="1"/>
    <w:uiPriority w:val="0"/>
    <w:pPr>
      <w:numPr>
        <w:ilvl w:val="0"/>
        <w:numId w:val="2"/>
      </w:numPr>
      <w:tabs>
        <w:tab w:val="left" w:pos="720"/>
      </w:tabs>
      <w:spacing w:line="480" w:lineRule="auto"/>
      <w:ind w:left="907" w:hanging="907"/>
    </w:pPr>
    <w:rPr>
      <w:rFonts w:ascii="Arial" w:hAnsi="Arial"/>
      <w:color w:val="000000"/>
      <w:sz w:val="18"/>
      <w:lang w:val="en-US" w:eastAsia="en-US" w:bidi="ar-SA"/>
    </w:rPr>
  </w:style>
  <w:style w:type="paragraph" w:customStyle="1" w:styleId="157">
    <w:name w:val="pa-8"/>
    <w:basedOn w:val="1"/>
    <w:uiPriority w:val="0"/>
    <w:pPr>
      <w:widowControl/>
      <w:spacing w:before="150" w:after="150"/>
      <w:jc w:val="left"/>
    </w:pPr>
    <w:rPr>
      <w:rFonts w:ascii="宋体" w:hAnsi="宋体" w:cs="宋体"/>
      <w:kern w:val="0"/>
      <w:sz w:val="24"/>
    </w:rPr>
  </w:style>
  <w:style w:type="paragraph" w:styleId="158">
    <w:name w:val="List Paragraph"/>
    <w:basedOn w:val="1"/>
    <w:qFormat/>
    <w:uiPriority w:val="34"/>
    <w:pPr>
      <w:ind w:firstLine="420" w:firstLineChars="200"/>
    </w:pPr>
  </w:style>
  <w:style w:type="paragraph" w:customStyle="1" w:styleId="159">
    <w:name w:val="Char Char Char Char1"/>
    <w:basedOn w:val="1"/>
    <w:uiPriority w:val="0"/>
    <w:rPr>
      <w:rFonts w:ascii="Tahoma" w:hAnsi="Tahoma"/>
      <w:sz w:val="24"/>
      <w:szCs w:val="20"/>
    </w:rPr>
  </w:style>
  <w:style w:type="paragraph" w:customStyle="1" w:styleId="160">
    <w:name w:val="pbulletcmt"/>
    <w:basedOn w:val="1"/>
    <w:uiPriority w:val="0"/>
    <w:pPr>
      <w:widowControl/>
      <w:spacing w:before="100" w:beforeAutospacing="1" w:after="100" w:afterAutospacing="1"/>
      <w:jc w:val="left"/>
    </w:pPr>
    <w:rPr>
      <w:kern w:val="0"/>
      <w:sz w:val="24"/>
    </w:rPr>
  </w:style>
  <w:style w:type="paragraph" w:customStyle="1" w:styleId="161">
    <w:name w:val="项目标号"/>
    <w:uiPriority w:val="0"/>
    <w:pPr>
      <w:numPr>
        <w:ilvl w:val="1"/>
        <w:numId w:val="5"/>
      </w:numPr>
      <w:tabs>
        <w:tab w:val="left" w:pos="780"/>
      </w:tabs>
      <w:spacing w:line="360" w:lineRule="auto"/>
    </w:pPr>
    <w:rPr>
      <w:sz w:val="24"/>
      <w:lang w:val="en-US" w:eastAsia="zh-CN" w:bidi="ar-SA"/>
    </w:rPr>
  </w:style>
  <w:style w:type="paragraph" w:customStyle="1" w:styleId="162">
    <w:name w:val="样式 四号 首行缩进:  1 厘米"/>
    <w:basedOn w:val="1"/>
    <w:uiPriority w:val="0"/>
    <w:pPr>
      <w:spacing w:line="440" w:lineRule="exact"/>
      <w:ind w:firstLine="567"/>
    </w:pPr>
    <w:rPr>
      <w:rFonts w:cs="宋体"/>
      <w:sz w:val="28"/>
      <w:szCs w:val="20"/>
    </w:rPr>
  </w:style>
  <w:style w:type="paragraph" w:customStyle="1" w:styleId="163">
    <w:name w:val="表格"/>
    <w:basedOn w:val="164"/>
    <w:next w:val="1"/>
    <w:qFormat/>
    <w:uiPriority w:val="99"/>
    <w:pPr>
      <w:tabs>
        <w:tab w:val="left" w:pos="540"/>
      </w:tabs>
      <w:adjustRightInd w:val="0"/>
      <w:snapToGrid w:val="0"/>
      <w:spacing w:line="240" w:lineRule="atLeast"/>
      <w:jc w:val="center"/>
      <w:textAlignment w:val="baseline"/>
    </w:pPr>
    <w:rPr>
      <w:rFonts w:ascii="仿宋_GB2312" w:eastAsia="仿宋"/>
      <w:kern w:val="0"/>
      <w:sz w:val="28"/>
      <w:szCs w:val="20"/>
    </w:rPr>
  </w:style>
  <w:style w:type="paragraph" w:customStyle="1" w:styleId="164">
    <w:name w:val="表头"/>
    <w:basedOn w:val="143"/>
    <w:qFormat/>
    <w:uiPriority w:val="0"/>
    <w:pPr>
      <w:jc w:val="center"/>
    </w:pPr>
    <w:rPr>
      <w:rFonts w:ascii="楷体_GB2312"/>
      <w:kern w:val="28"/>
      <w:sz w:val="28"/>
      <w:szCs w:val="28"/>
    </w:rPr>
  </w:style>
  <w:style w:type="paragraph" w:customStyle="1" w:styleId="165">
    <w:name w:val="正文文本首行缩进1"/>
    <w:basedOn w:val="14"/>
    <w:qFormat/>
    <w:uiPriority w:val="0"/>
    <w:pPr>
      <w:ind w:firstLine="420" w:firstLineChars="100"/>
    </w:pPr>
    <w:rPr>
      <w:szCs w:val="21"/>
    </w:rPr>
  </w:style>
  <w:style w:type="paragraph" w:customStyle="1" w:styleId="166">
    <w:name w:val="[Normal]"/>
    <w:qFormat/>
    <w:uiPriority w:val="0"/>
    <w:rPr>
      <w:rFonts w:ascii="宋体" w:hAnsi="宋体"/>
      <w:sz w:val="24"/>
      <w:szCs w:val="22"/>
      <w:lang w:val="zh-CN" w:eastAsia="zh-CN" w:bidi="ar-SA"/>
    </w:rPr>
  </w:style>
  <w:style w:type="paragraph" w:customStyle="1" w:styleId="167">
    <w:name w:val="txt"/>
    <w:basedOn w:val="1"/>
    <w:qFormat/>
    <w:uiPriority w:val="0"/>
    <w:pPr>
      <w:widowControl/>
      <w:spacing w:before="100" w:beforeAutospacing="1" w:after="100" w:afterAutospacing="1"/>
      <w:jc w:val="left"/>
    </w:pPr>
    <w:rPr>
      <w:rFonts w:ascii="宋体" w:hAnsi="宋体" w:cs="宋体"/>
      <w:kern w:val="0"/>
      <w:sz w:val="24"/>
    </w:rPr>
  </w:style>
  <w:style w:type="paragraph" w:customStyle="1" w:styleId="168">
    <w:name w:val="msonospacing"/>
    <w:basedOn w:val="1"/>
    <w:uiPriority w:val="0"/>
    <w:pPr>
      <w:keepNext w:val="0"/>
      <w:keepLines w:val="0"/>
      <w:widowControl w:val="0"/>
      <w:suppressLineNumbers w:val="0"/>
      <w:spacing w:before="0" w:beforeAutospacing="0" w:after="0" w:afterAutospacing="0" w:line="240" w:lineRule="auto"/>
      <w:ind w:left="0" w:right="0" w:firstLine="0" w:firstLineChars="0"/>
      <w:jc w:val="both"/>
    </w:pPr>
    <w:rPr>
      <w:rFonts w:hint="default" w:ascii="Times New Roman" w:hAnsi="Times New Roman" w:eastAsia="宋体" w:cs="Times New Roman"/>
      <w:kern w:val="2"/>
      <w:sz w:val="21"/>
      <w:szCs w:val="22"/>
      <w:lang w:val="en-US" w:eastAsia="zh-CN" w:bidi="ar"/>
    </w:rPr>
  </w:style>
  <w:style w:type="paragraph" w:customStyle="1" w:styleId="169">
    <w:name w:val="首行缩进"/>
    <w:basedOn w:val="1"/>
    <w:qFormat/>
    <w:uiPriority w:val="0"/>
    <w:pPr>
      <w:spacing w:line="360" w:lineRule="auto"/>
      <w:ind w:firstLine="480" w:firstLineChars="200"/>
    </w:pPr>
    <w:rPr>
      <w:rFonts w:hAnsi="宋体" w:cs="宋体"/>
      <w:sz w:val="24"/>
    </w:rPr>
  </w:style>
  <w:style w:type="paragraph" w:customStyle="1" w:styleId="170">
    <w:name w:val="列表段落1"/>
    <w:basedOn w:val="1"/>
    <w:qFormat/>
    <w:uiPriority w:val="0"/>
    <w:pPr>
      <w:ind w:firstLine="420" w:firstLineChars="200"/>
    </w:pPr>
    <w:rPr>
      <w:rFonts w:ascii="Calibri" w:hAnsi="Calibri"/>
      <w:szCs w:val="22"/>
    </w:rPr>
  </w:style>
  <w:style w:type="table" w:customStyle="1" w:styleId="171">
    <w:name w:val="Table Normal"/>
    <w:unhideWhenUsed/>
    <w:qFormat/>
    <w:uiPriority w:val="0"/>
    <w:rPr>
      <w:lang w:val="en-US" w:eastAsia="zh-CN" w:bidi="ar-SA"/>
    </w:rPr>
    <w:tblPr>
      <w:tblStyle w:val="35"/>
      <w:tblCellMar>
        <w:top w:w="0" w:type="dxa"/>
        <w:left w:w="0" w:type="dxa"/>
        <w:bottom w:w="0" w:type="dxa"/>
        <w:right w:w="0" w:type="dxa"/>
      </w:tblCellMar>
    </w:tblPr>
  </w:style>
  <w:style w:type="paragraph" w:customStyle="1" w:styleId="172">
    <w:name w:val="Table Text"/>
    <w:basedOn w:val="1"/>
    <w:semiHidden/>
    <w:qFormat/>
    <w:uiPriority w:val="0"/>
    <w:rPr>
      <w:rFonts w:ascii="宋体" w:hAnsi="宋体" w:eastAsia="宋体" w:cs="宋体"/>
      <w:sz w:val="24"/>
      <w:szCs w:val="24"/>
      <w:lang w:val="en-US" w:eastAsia="en-US" w:bidi="ar-SA"/>
    </w:rPr>
  </w:style>
  <w:style w:type="character" w:customStyle="1" w:styleId="173">
    <w:name w:val="font21"/>
    <w:uiPriority w:val="0"/>
    <w:rPr>
      <w:rFonts w:ascii="Arial" w:hAnsi="Arial" w:cs="Arial"/>
      <w:color w:val="000000"/>
      <w:sz w:val="24"/>
      <w:szCs w:val="24"/>
      <w:u w:val="none"/>
    </w:rPr>
  </w:style>
  <w:style w:type="paragraph" w:customStyle="1" w:styleId="174">
    <w:name w:val="正文正"/>
    <w:basedOn w:val="1"/>
    <w:qFormat/>
    <w:uiPriority w:val="0"/>
    <w:pPr>
      <w:spacing w:line="560" w:lineRule="exact"/>
      <w:ind w:firstLine="561"/>
    </w:pPr>
    <w:rPr>
      <w:rFonts w:eastAsia="仿宋_GB2312"/>
      <w:sz w:val="28"/>
      <w:szCs w:val="24"/>
    </w:rPr>
  </w:style>
  <w:style w:type="character" w:customStyle="1" w:styleId="175">
    <w:name w:val="font41"/>
    <w:qFormat/>
    <w:uiPriority w:val="0"/>
    <w:rPr>
      <w:rFonts w:ascii="Arial" w:hAnsi="Arial" w:cs="Arial"/>
      <w:color w:val="FF0000"/>
      <w:sz w:val="20"/>
      <w:szCs w:val="20"/>
      <w:u w:val="none"/>
      <w:lang w:bidi="ar-SA"/>
    </w:rPr>
  </w:style>
  <w:style w:type="character" w:customStyle="1" w:styleId="176">
    <w:name w:val="NormalCharacter"/>
    <w:qFormat/>
    <w:uiPriority w:val="0"/>
    <w:rPr>
      <w:rFonts w:eastAsia="宋体"/>
      <w:kern w:val="2"/>
      <w:sz w:val="21"/>
      <w:szCs w:val="24"/>
      <w:lang w:val="en-US" w:eastAsia="zh-CN" w:bidi="ar-SA"/>
    </w:rPr>
  </w:style>
  <w:style w:type="character" w:customStyle="1" w:styleId="177">
    <w:name w:val="font101"/>
    <w:qFormat/>
    <w:uiPriority w:val="0"/>
    <w:rPr>
      <w:rFonts w:hint="eastAsia" w:ascii="宋体" w:hAnsi="宋体" w:eastAsia="宋体" w:cs="宋体"/>
      <w:color w:val="000000"/>
      <w:sz w:val="20"/>
      <w:szCs w:val="20"/>
      <w:u w:val="none"/>
      <w:vertAlign w:val="superscript"/>
    </w:rPr>
  </w:style>
  <w:style w:type="paragraph" w:customStyle="1" w:styleId="178">
    <w:name w:val="表格文字"/>
    <w:basedOn w:val="20"/>
    <w:next w:val="14"/>
    <w:qFormat/>
    <w:uiPriority w:val="0"/>
    <w:pPr>
      <w:adjustRightInd w:val="0"/>
      <w:spacing w:line="420" w:lineRule="atLeast"/>
      <w:jc w:val="left"/>
      <w:textAlignment w:val="baseline"/>
    </w:pPr>
    <w:rPr>
      <w:kern w:val="0"/>
    </w:rPr>
  </w:style>
  <w:style w:type="paragraph" w:customStyle="1" w:styleId="179">
    <w:name w:val="Plain Text"/>
    <w:basedOn w:val="180"/>
    <w:qFormat/>
    <w:uiPriority w:val="0"/>
    <w:pPr>
      <w:widowControl/>
      <w:jc w:val="left"/>
    </w:pPr>
    <w:rPr>
      <w:rFonts w:ascii="宋体" w:hAnsi="Courier New"/>
    </w:rPr>
  </w:style>
  <w:style w:type="paragraph" w:customStyle="1" w:styleId="180">
    <w:name w:val="Normal"/>
    <w:qFormat/>
    <w:uiPriority w:val="0"/>
    <w:pPr>
      <w:widowControl w:val="0"/>
      <w:jc w:val="both"/>
    </w:pPr>
    <w:rPr>
      <w:rFonts w:hint="eastAsia"/>
      <w:kern w:val="2"/>
      <w:sz w:val="21"/>
      <w:szCs w:val="22"/>
      <w:lang w:val="en-US" w:eastAsia="zh-CN" w:bidi="ar-SA"/>
    </w:rPr>
  </w:style>
  <w:style w:type="character" w:customStyle="1" w:styleId="181">
    <w:name w:val="status"/>
    <w:basedOn w:val="37"/>
    <w:uiPriority w:val="0"/>
    <w:rPr>
      <w:color w:val="0776DD"/>
    </w:rPr>
  </w:style>
  <w:style w:type="character" w:customStyle="1" w:styleId="182">
    <w:name w:val="time"/>
    <w:basedOn w:val="37"/>
    <w:uiPriority w:val="0"/>
  </w:style>
  <w:style w:type="paragraph" w:customStyle="1" w:styleId="183">
    <w:name w:val="正文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184">
    <w:name w:val="first-child"/>
    <w:basedOn w:val="37"/>
    <w:uiPriority w:val="0"/>
  </w:style>
  <w:style w:type="character" w:customStyle="1" w:styleId="185">
    <w:name w:val="layui-layer-tabnow"/>
    <w:basedOn w:val="37"/>
    <w:uiPriority w:val="0"/>
    <w:rPr>
      <w:bdr w:val="single" w:color="CCCCCC" w:sz="6" w:space="0"/>
      <w:shd w:val="clear" w:color="auto" w:fill="FFFFFF"/>
    </w:rPr>
  </w:style>
  <w:style w:type="character" w:customStyle="1" w:styleId="186">
    <w:name w:val="mini-outputtext1"/>
    <w:basedOn w:val="37"/>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69</Pages>
  <Words>23048</Words>
  <Characters>24433</Characters>
  <Lines>364</Lines>
  <Paragraphs>102</Paragraphs>
  <TotalTime>4</TotalTime>
  <ScaleCrop>false</ScaleCrop>
  <LinksUpToDate>false</LinksUpToDate>
  <CharactersWithSpaces>25580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2026-07-31T02:58:00Z</dcterms:created>
  <dc:creator>Administrator</dc:creator>
  <cp:lastModifiedBy>Sissi</cp:lastModifiedBy>
  <cp:lastPrinted>2023-05-24T04:46:00Z</cp:lastPrinted>
  <dcterms:modified xsi:type="dcterms:W3CDTF">2026-08-06T07:12:31Z</dcterms:modified>
  <dc:title>温州市国企采购</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77C05B747A324A92B1E7D3C69869BF89_13</vt:lpwstr>
  </property>
  <property fmtid="{D5CDD505-2E9C-101B-9397-08002B2CF9AE}" pid="4" name="KSOTemplateDocerSaveRecord">
    <vt:lpwstr>eyJoZGlkIjoiOGI5Yjc5OWYxNjRmZjI0Nzc3NDdkOThlYjY2MWNhNGUiLCJ1c2VySWQiOiIzMTgxMzUwMTQifQ==</vt:lpwstr>
  </property>
</Properties>
</file>