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02639">
      <w:pPr>
        <w:autoSpaceDE w:val="0"/>
        <w:autoSpaceDN w:val="0"/>
        <w:spacing w:line="500" w:lineRule="atLeast"/>
        <w:jc w:val="center"/>
        <w:textAlignment w:val="bottom"/>
        <w:rPr>
          <w:rFonts w:hint="eastAsia" w:asciiTheme="minorEastAsia" w:hAnsiTheme="minorEastAsia" w:eastAsiaTheme="minorEastAsia" w:cstheme="minorEastAsia"/>
          <w:bCs/>
          <w:spacing w:val="227"/>
          <w:sz w:val="36"/>
          <w:szCs w:val="36"/>
        </w:rPr>
      </w:pPr>
    </w:p>
    <w:p w14:paraId="1C871759">
      <w:pPr>
        <w:autoSpaceDE w:val="0"/>
        <w:autoSpaceDN w:val="0"/>
        <w:spacing w:line="500" w:lineRule="atLeast"/>
        <w:jc w:val="center"/>
        <w:textAlignment w:val="bottom"/>
        <w:rPr>
          <w:rFonts w:hint="eastAsia" w:asciiTheme="minorEastAsia" w:hAnsiTheme="minorEastAsia" w:eastAsiaTheme="minorEastAsia" w:cstheme="minorEastAsia"/>
          <w:b/>
          <w:spacing w:val="227"/>
          <w:sz w:val="72"/>
          <w:szCs w:val="72"/>
        </w:rPr>
      </w:pPr>
      <w:r>
        <w:rPr>
          <w:rFonts w:hint="eastAsia" w:asciiTheme="minorEastAsia" w:hAnsiTheme="minorEastAsia" w:eastAsiaTheme="minorEastAsia" w:cstheme="minorEastAsia"/>
          <w:b/>
          <w:spacing w:val="227"/>
          <w:sz w:val="72"/>
          <w:szCs w:val="72"/>
        </w:rPr>
        <w:t>温州市国有企业</w:t>
      </w:r>
    </w:p>
    <w:p w14:paraId="0597857B">
      <w:pPr>
        <w:spacing w:line="400" w:lineRule="atLeast"/>
        <w:jc w:val="center"/>
        <w:rPr>
          <w:rFonts w:hint="eastAsia" w:asciiTheme="minorEastAsia" w:hAnsiTheme="minorEastAsia" w:eastAsiaTheme="minorEastAsia" w:cstheme="minorEastAsia"/>
          <w:b/>
          <w:sz w:val="52"/>
        </w:rPr>
      </w:pPr>
    </w:p>
    <w:p w14:paraId="20E8727D">
      <w:pPr>
        <w:autoSpaceDE w:val="0"/>
        <w:autoSpaceDN w:val="0"/>
        <w:spacing w:line="500" w:lineRule="atLeast"/>
        <w:jc w:val="center"/>
        <w:textAlignment w:val="bottom"/>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采  购  文  件</w:t>
      </w:r>
    </w:p>
    <w:p w14:paraId="107CDEBC">
      <w:pPr>
        <w:spacing w:line="400" w:lineRule="exact"/>
        <w:jc w:val="center"/>
        <w:rPr>
          <w:rFonts w:hint="eastAsia" w:asciiTheme="minorEastAsia" w:hAnsiTheme="minorEastAsia" w:eastAsiaTheme="minorEastAsia" w:cstheme="minorEastAsia"/>
          <w:b/>
          <w:sz w:val="32"/>
        </w:rPr>
      </w:pPr>
      <w:r>
        <w:rPr>
          <w:rFonts w:ascii="黑体" w:hAnsi="黑体" w:eastAsia="黑体" w:cs="黑体"/>
          <w:b/>
          <w:sz w:val="52"/>
        </w:rPr>
        <w:drawing>
          <wp:anchor distT="0" distB="0" distL="114300" distR="114300" simplePos="0" relativeHeight="251660288" behindDoc="0" locked="0" layoutInCell="1" allowOverlap="1">
            <wp:simplePos x="0" y="0"/>
            <wp:positionH relativeFrom="column">
              <wp:posOffset>1285875</wp:posOffset>
            </wp:positionH>
            <wp:positionV relativeFrom="paragraph">
              <wp:posOffset>177165</wp:posOffset>
            </wp:positionV>
            <wp:extent cx="3050540" cy="1861820"/>
            <wp:effectExtent l="0" t="0" r="10160" b="5080"/>
            <wp:wrapSquare wrapText="bothSides"/>
            <wp:docPr id="6" name="图片 2" descr="浙江工汇项目管理有限公司_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浙江工汇项目管理有限公司_小"/>
                    <pic:cNvPicPr>
                      <a:picLocks noChangeAspect="1"/>
                    </pic:cNvPicPr>
                  </pic:nvPicPr>
                  <pic:blipFill>
                    <a:blip r:embed="rId8"/>
                    <a:stretch>
                      <a:fillRect/>
                    </a:stretch>
                  </pic:blipFill>
                  <pic:spPr>
                    <a:xfrm>
                      <a:off x="0" y="0"/>
                      <a:ext cx="3050540" cy="1861820"/>
                    </a:xfrm>
                    <a:prstGeom prst="rect">
                      <a:avLst/>
                    </a:prstGeom>
                    <a:noFill/>
                    <a:ln>
                      <a:noFill/>
                    </a:ln>
                  </pic:spPr>
                </pic:pic>
              </a:graphicData>
            </a:graphic>
          </wp:anchor>
        </w:drawing>
      </w:r>
    </w:p>
    <w:p w14:paraId="2179840D">
      <w:pPr>
        <w:spacing w:line="400" w:lineRule="exact"/>
        <w:jc w:val="center"/>
        <w:rPr>
          <w:rFonts w:hint="eastAsia" w:asciiTheme="minorEastAsia" w:hAnsiTheme="minorEastAsia" w:eastAsiaTheme="minorEastAsia" w:cstheme="minorEastAsia"/>
          <w:b/>
          <w:sz w:val="32"/>
        </w:rPr>
      </w:pPr>
    </w:p>
    <w:p w14:paraId="4DCBB193">
      <w:pPr>
        <w:spacing w:line="400" w:lineRule="exact"/>
        <w:jc w:val="center"/>
        <w:rPr>
          <w:rFonts w:hint="eastAsia" w:asciiTheme="minorEastAsia" w:hAnsiTheme="minorEastAsia" w:eastAsiaTheme="minorEastAsia" w:cstheme="minorEastAsia"/>
          <w:b/>
          <w:sz w:val="32"/>
        </w:rPr>
      </w:pPr>
    </w:p>
    <w:p w14:paraId="1A683FDA">
      <w:pPr>
        <w:spacing w:line="400" w:lineRule="exact"/>
        <w:jc w:val="center"/>
        <w:rPr>
          <w:rFonts w:hint="eastAsia" w:asciiTheme="minorEastAsia" w:hAnsiTheme="minorEastAsia" w:eastAsiaTheme="minorEastAsia" w:cstheme="minorEastAsia"/>
          <w:b/>
          <w:sz w:val="32"/>
        </w:rPr>
      </w:pPr>
    </w:p>
    <w:p w14:paraId="2C6653CE">
      <w:pPr>
        <w:spacing w:line="400" w:lineRule="exact"/>
        <w:jc w:val="center"/>
        <w:rPr>
          <w:rFonts w:hint="eastAsia" w:asciiTheme="minorEastAsia" w:hAnsiTheme="minorEastAsia" w:eastAsiaTheme="minorEastAsia" w:cstheme="minorEastAsia"/>
          <w:b/>
          <w:sz w:val="32"/>
        </w:rPr>
      </w:pPr>
    </w:p>
    <w:p w14:paraId="6CA9D5DB">
      <w:pPr>
        <w:spacing w:line="400" w:lineRule="exact"/>
        <w:jc w:val="center"/>
        <w:rPr>
          <w:rFonts w:hint="eastAsia" w:asciiTheme="minorEastAsia" w:hAnsiTheme="minorEastAsia" w:eastAsiaTheme="minorEastAsia" w:cstheme="minorEastAsia"/>
          <w:b/>
          <w:sz w:val="32"/>
        </w:rPr>
      </w:pPr>
    </w:p>
    <w:p w14:paraId="4A7E3276">
      <w:pPr>
        <w:spacing w:line="400" w:lineRule="exact"/>
        <w:jc w:val="center"/>
        <w:rPr>
          <w:rFonts w:hint="eastAsia" w:asciiTheme="minorEastAsia" w:hAnsiTheme="minorEastAsia" w:eastAsiaTheme="minorEastAsia" w:cstheme="minorEastAsia"/>
          <w:b/>
          <w:sz w:val="32"/>
        </w:rPr>
      </w:pPr>
    </w:p>
    <w:p w14:paraId="6662B51A">
      <w:pPr>
        <w:spacing w:line="400" w:lineRule="exact"/>
        <w:jc w:val="center"/>
        <w:rPr>
          <w:rFonts w:hint="eastAsia" w:asciiTheme="minorEastAsia" w:hAnsiTheme="minorEastAsia" w:eastAsiaTheme="minorEastAsia" w:cstheme="minorEastAsia"/>
          <w:b/>
          <w:sz w:val="32"/>
        </w:rPr>
      </w:pPr>
    </w:p>
    <w:p w14:paraId="73CA9749">
      <w:pPr>
        <w:spacing w:line="400" w:lineRule="exact"/>
        <w:jc w:val="center"/>
        <w:rPr>
          <w:rFonts w:hint="eastAsia" w:asciiTheme="minorEastAsia" w:hAnsiTheme="minorEastAsia" w:eastAsiaTheme="minorEastAsia" w:cstheme="minorEastAsia"/>
          <w:b/>
          <w:sz w:val="32"/>
        </w:rPr>
      </w:pPr>
    </w:p>
    <w:tbl>
      <w:tblPr>
        <w:tblStyle w:val="29"/>
        <w:tblW w:w="0" w:type="auto"/>
        <w:jc w:val="center"/>
        <w:tblLayout w:type="fixed"/>
        <w:tblCellMar>
          <w:top w:w="0" w:type="dxa"/>
          <w:left w:w="108" w:type="dxa"/>
          <w:bottom w:w="0" w:type="dxa"/>
          <w:right w:w="108" w:type="dxa"/>
        </w:tblCellMar>
      </w:tblPr>
      <w:tblGrid>
        <w:gridCol w:w="1753"/>
        <w:gridCol w:w="360"/>
        <w:gridCol w:w="3752"/>
      </w:tblGrid>
      <w:tr w14:paraId="090D1979">
        <w:trPr>
          <w:trHeight w:val="659" w:hRule="atLeast"/>
          <w:jc w:val="center"/>
        </w:trPr>
        <w:tc>
          <w:tcPr>
            <w:tcW w:w="1753" w:type="dxa"/>
            <w:vAlign w:val="center"/>
          </w:tcPr>
          <w:p w14:paraId="3E1ABA7D">
            <w:pPr>
              <w:adjustRightInd w:val="0"/>
              <w:snapToGrid w:val="0"/>
              <w:spacing w:line="440" w:lineRule="exact"/>
              <w:jc w:val="distribute"/>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pacing w:val="40"/>
                <w:sz w:val="30"/>
                <w:szCs w:val="30"/>
              </w:rPr>
              <w:t>项目编号</w:t>
            </w:r>
          </w:p>
        </w:tc>
        <w:tc>
          <w:tcPr>
            <w:tcW w:w="360" w:type="dxa"/>
            <w:vAlign w:val="center"/>
          </w:tcPr>
          <w:p w14:paraId="227127B3">
            <w:pPr>
              <w:adjustRightInd w:val="0"/>
              <w:snapToGrid w:val="0"/>
              <w:spacing w:line="440" w:lineRule="exact"/>
              <w:jc w:val="distribute"/>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w:t>
            </w:r>
          </w:p>
        </w:tc>
        <w:tc>
          <w:tcPr>
            <w:tcW w:w="3752" w:type="dxa"/>
            <w:vAlign w:val="center"/>
          </w:tcPr>
          <w:p w14:paraId="6A0CD325">
            <w:pPr>
              <w:adjustRightInd w:val="0"/>
              <w:snapToGrid w:val="0"/>
              <w:spacing w:line="440" w:lineRule="exact"/>
              <w:jc w:val="left"/>
              <w:rPr>
                <w:rFonts w:hint="eastAsia" w:asciiTheme="minorEastAsia" w:hAnsiTheme="minorEastAsia" w:eastAsiaTheme="minorEastAsia" w:cstheme="minorEastAsia"/>
                <w:b/>
                <w:spacing w:val="-20"/>
                <w:sz w:val="30"/>
                <w:szCs w:val="30"/>
              </w:rPr>
            </w:pPr>
            <w:r>
              <w:rPr>
                <w:rFonts w:hint="eastAsia" w:asciiTheme="minorEastAsia" w:hAnsiTheme="minorEastAsia" w:eastAsiaTheme="minorEastAsia" w:cstheme="minorEastAsia"/>
                <w:b/>
                <w:sz w:val="30"/>
                <w:szCs w:val="30"/>
              </w:rPr>
              <w:t>WGSS-JFJT-Z-2026002</w:t>
            </w:r>
          </w:p>
        </w:tc>
      </w:tr>
      <w:tr w14:paraId="3F805E6C">
        <w:tblPrEx>
          <w:tblCellMar>
            <w:top w:w="0" w:type="dxa"/>
            <w:left w:w="108" w:type="dxa"/>
            <w:bottom w:w="0" w:type="dxa"/>
            <w:right w:w="108" w:type="dxa"/>
          </w:tblCellMar>
        </w:tblPrEx>
        <w:trPr>
          <w:trHeight w:val="614" w:hRule="atLeast"/>
          <w:jc w:val="center"/>
        </w:trPr>
        <w:tc>
          <w:tcPr>
            <w:tcW w:w="1753" w:type="dxa"/>
            <w:vAlign w:val="center"/>
          </w:tcPr>
          <w:p w14:paraId="5696E111">
            <w:pPr>
              <w:adjustRightInd w:val="0"/>
              <w:snapToGrid w:val="0"/>
              <w:spacing w:line="440" w:lineRule="exact"/>
              <w:jc w:val="distribute"/>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pacing w:val="40"/>
                <w:sz w:val="30"/>
                <w:szCs w:val="30"/>
              </w:rPr>
              <w:t>采购项目</w:t>
            </w:r>
          </w:p>
        </w:tc>
        <w:tc>
          <w:tcPr>
            <w:tcW w:w="360" w:type="dxa"/>
            <w:vAlign w:val="center"/>
          </w:tcPr>
          <w:p w14:paraId="75452629">
            <w:pPr>
              <w:adjustRightInd w:val="0"/>
              <w:snapToGrid w:val="0"/>
              <w:spacing w:line="440" w:lineRule="exact"/>
              <w:jc w:val="distribute"/>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w:t>
            </w:r>
          </w:p>
        </w:tc>
        <w:tc>
          <w:tcPr>
            <w:tcW w:w="3752" w:type="dxa"/>
            <w:vAlign w:val="center"/>
          </w:tcPr>
          <w:p w14:paraId="78D5DCB1">
            <w:pPr>
              <w:adjustRightInd w:val="0"/>
              <w:snapToGrid w:val="0"/>
              <w:spacing w:line="440" w:lineRule="exact"/>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温州洞头丽笙酒店2026年劳务外包服务</w:t>
            </w:r>
          </w:p>
        </w:tc>
      </w:tr>
      <w:tr w14:paraId="61CE8A53">
        <w:tblPrEx>
          <w:tblCellMar>
            <w:top w:w="0" w:type="dxa"/>
            <w:left w:w="108" w:type="dxa"/>
            <w:bottom w:w="0" w:type="dxa"/>
            <w:right w:w="108" w:type="dxa"/>
          </w:tblCellMar>
        </w:tblPrEx>
        <w:trPr>
          <w:trHeight w:val="614" w:hRule="atLeast"/>
          <w:jc w:val="center"/>
        </w:trPr>
        <w:tc>
          <w:tcPr>
            <w:tcW w:w="1753" w:type="dxa"/>
            <w:vAlign w:val="center"/>
          </w:tcPr>
          <w:p w14:paraId="3AB33345">
            <w:pPr>
              <w:adjustRightInd w:val="0"/>
              <w:snapToGrid w:val="0"/>
              <w:spacing w:line="440" w:lineRule="exact"/>
              <w:jc w:val="distribute"/>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pacing w:val="40"/>
                <w:sz w:val="30"/>
                <w:szCs w:val="30"/>
              </w:rPr>
              <w:t>采购方式</w:t>
            </w:r>
          </w:p>
        </w:tc>
        <w:tc>
          <w:tcPr>
            <w:tcW w:w="360" w:type="dxa"/>
            <w:vAlign w:val="center"/>
          </w:tcPr>
          <w:p w14:paraId="07C2B656">
            <w:pPr>
              <w:adjustRightInd w:val="0"/>
              <w:snapToGrid w:val="0"/>
              <w:spacing w:line="440" w:lineRule="exact"/>
              <w:jc w:val="distribute"/>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w:t>
            </w:r>
          </w:p>
        </w:tc>
        <w:tc>
          <w:tcPr>
            <w:tcW w:w="3752" w:type="dxa"/>
            <w:vAlign w:val="center"/>
          </w:tcPr>
          <w:p w14:paraId="53D9B3AB">
            <w:pPr>
              <w:adjustRightInd w:val="0"/>
              <w:snapToGrid w:val="0"/>
              <w:spacing w:line="440" w:lineRule="exac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公开招标</w:t>
            </w:r>
          </w:p>
        </w:tc>
      </w:tr>
    </w:tbl>
    <w:p w14:paraId="4B9D7EDF">
      <w:pPr>
        <w:jc w:val="center"/>
        <w:rPr>
          <w:rFonts w:hint="eastAsia" w:asciiTheme="minorEastAsia" w:hAnsiTheme="minorEastAsia" w:eastAsiaTheme="minorEastAsia" w:cstheme="minorEastAsia"/>
          <w:b/>
          <w:sz w:val="24"/>
        </w:rPr>
      </w:pPr>
    </w:p>
    <w:p w14:paraId="7419205A">
      <w:pPr>
        <w:jc w:val="center"/>
        <w:rPr>
          <w:rFonts w:hint="eastAsia" w:asciiTheme="minorEastAsia" w:hAnsiTheme="minorEastAsia" w:eastAsiaTheme="minorEastAsia" w:cstheme="minorEastAsia"/>
          <w:b/>
          <w:sz w:val="24"/>
        </w:rPr>
      </w:pPr>
    </w:p>
    <w:p w14:paraId="02FB19C1">
      <w:pPr>
        <w:jc w:val="center"/>
        <w:rPr>
          <w:rFonts w:hint="eastAsia" w:asciiTheme="minorEastAsia" w:hAnsiTheme="minorEastAsia" w:eastAsiaTheme="minorEastAsia" w:cstheme="minorEastAsia"/>
          <w:b/>
          <w:sz w:val="24"/>
        </w:rPr>
      </w:pPr>
    </w:p>
    <w:p w14:paraId="7617BABB">
      <w:pPr>
        <w:jc w:val="center"/>
        <w:rPr>
          <w:rFonts w:hint="eastAsia" w:asciiTheme="minorEastAsia" w:hAnsiTheme="minorEastAsia" w:eastAsiaTheme="minorEastAsia" w:cstheme="minorEastAsia"/>
          <w:b/>
          <w:sz w:val="24"/>
        </w:rPr>
      </w:pPr>
    </w:p>
    <w:p w14:paraId="07638BEE">
      <w:pPr>
        <w:jc w:val="center"/>
        <w:rPr>
          <w:rFonts w:hint="eastAsia" w:asciiTheme="minorEastAsia" w:hAnsiTheme="minorEastAsia" w:eastAsiaTheme="minorEastAsia" w:cstheme="minorEastAsia"/>
          <w:b/>
          <w:sz w:val="24"/>
        </w:rPr>
      </w:pPr>
    </w:p>
    <w:p w14:paraId="10FBD48C">
      <w:pPr>
        <w:jc w:val="center"/>
        <w:rPr>
          <w:rFonts w:hint="eastAsia" w:asciiTheme="minorEastAsia" w:hAnsiTheme="minorEastAsia" w:eastAsiaTheme="minorEastAsia" w:cstheme="minorEastAsia"/>
          <w:b/>
          <w:sz w:val="24"/>
        </w:rPr>
      </w:pPr>
    </w:p>
    <w:tbl>
      <w:tblPr>
        <w:tblStyle w:val="29"/>
        <w:tblW w:w="0" w:type="auto"/>
        <w:jc w:val="center"/>
        <w:tblLayout w:type="fixed"/>
        <w:tblCellMar>
          <w:top w:w="0" w:type="dxa"/>
          <w:left w:w="108" w:type="dxa"/>
          <w:bottom w:w="0" w:type="dxa"/>
          <w:right w:w="108" w:type="dxa"/>
        </w:tblCellMar>
      </w:tblPr>
      <w:tblGrid>
        <w:gridCol w:w="2070"/>
        <w:gridCol w:w="360"/>
        <w:gridCol w:w="4135"/>
      </w:tblGrid>
      <w:tr w14:paraId="037A0550">
        <w:trPr>
          <w:trHeight w:val="614" w:hRule="atLeast"/>
          <w:jc w:val="center"/>
        </w:trPr>
        <w:tc>
          <w:tcPr>
            <w:tcW w:w="2070" w:type="dxa"/>
            <w:vAlign w:val="center"/>
          </w:tcPr>
          <w:p w14:paraId="2815C358">
            <w:pPr>
              <w:adjustRightInd w:val="0"/>
              <w:snapToGrid w:val="0"/>
              <w:spacing w:line="440" w:lineRule="exact"/>
              <w:jc w:val="distribute"/>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采购人</w:t>
            </w:r>
          </w:p>
        </w:tc>
        <w:tc>
          <w:tcPr>
            <w:tcW w:w="360" w:type="dxa"/>
            <w:tcBorders>
              <w:left w:val="nil"/>
            </w:tcBorders>
            <w:vAlign w:val="center"/>
          </w:tcPr>
          <w:p w14:paraId="65F3E18E">
            <w:pPr>
              <w:adjustRightInd w:val="0"/>
              <w:snapToGrid w:val="0"/>
              <w:spacing w:line="440" w:lineRule="exact"/>
              <w:jc w:val="distribute"/>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w:t>
            </w:r>
          </w:p>
        </w:tc>
        <w:tc>
          <w:tcPr>
            <w:tcW w:w="4135" w:type="dxa"/>
            <w:vAlign w:val="center"/>
          </w:tcPr>
          <w:p w14:paraId="5820F594">
            <w:pPr>
              <w:adjustRightInd w:val="0"/>
              <w:snapToGrid w:val="0"/>
              <w:spacing w:line="440" w:lineRule="exact"/>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温州市交发文旅产业有限公司洞头酒店管理分公司</w:t>
            </w:r>
          </w:p>
        </w:tc>
      </w:tr>
      <w:tr w14:paraId="55A98DE0">
        <w:tblPrEx>
          <w:tblCellMar>
            <w:top w:w="0" w:type="dxa"/>
            <w:left w:w="108" w:type="dxa"/>
            <w:bottom w:w="0" w:type="dxa"/>
            <w:right w:w="108" w:type="dxa"/>
          </w:tblCellMar>
        </w:tblPrEx>
        <w:trPr>
          <w:trHeight w:val="614" w:hRule="atLeast"/>
          <w:jc w:val="center"/>
        </w:trPr>
        <w:tc>
          <w:tcPr>
            <w:tcW w:w="2070" w:type="dxa"/>
            <w:vAlign w:val="center"/>
          </w:tcPr>
          <w:p w14:paraId="7B2A79AB">
            <w:pPr>
              <w:adjustRightInd w:val="0"/>
              <w:snapToGrid w:val="0"/>
              <w:spacing w:line="440" w:lineRule="exact"/>
              <w:jc w:val="distribute"/>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采购代理机构</w:t>
            </w:r>
          </w:p>
        </w:tc>
        <w:tc>
          <w:tcPr>
            <w:tcW w:w="360" w:type="dxa"/>
            <w:tcBorders>
              <w:left w:val="nil"/>
            </w:tcBorders>
            <w:vAlign w:val="center"/>
          </w:tcPr>
          <w:p w14:paraId="278A8A63">
            <w:pPr>
              <w:adjustRightInd w:val="0"/>
              <w:snapToGrid w:val="0"/>
              <w:spacing w:line="440" w:lineRule="exact"/>
              <w:jc w:val="distribute"/>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w:t>
            </w:r>
          </w:p>
        </w:tc>
        <w:tc>
          <w:tcPr>
            <w:tcW w:w="4135" w:type="dxa"/>
            <w:vAlign w:val="center"/>
          </w:tcPr>
          <w:p w14:paraId="08EBB5C9">
            <w:pPr>
              <w:adjustRightInd w:val="0"/>
              <w:snapToGrid w:val="0"/>
              <w:spacing w:line="440" w:lineRule="exact"/>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浙江工汇项目管理有限公司</w:t>
            </w:r>
          </w:p>
        </w:tc>
      </w:tr>
    </w:tbl>
    <w:p w14:paraId="64B4AA82">
      <w:pPr>
        <w:spacing w:before="156" w:beforeLines="50" w:line="360" w:lineRule="auto"/>
        <w:jc w:val="center"/>
        <w:rPr>
          <w:rFonts w:hint="eastAsia" w:asciiTheme="minorEastAsia" w:hAnsiTheme="minorEastAsia" w:eastAsiaTheme="minorEastAsia" w:cstheme="minorEastAsia"/>
          <w:b/>
          <w:spacing w:val="40"/>
          <w:sz w:val="30"/>
          <w:szCs w:val="30"/>
        </w:rPr>
      </w:pPr>
      <w:r>
        <w:rPr>
          <w:rFonts w:hint="eastAsia" w:asciiTheme="minorEastAsia" w:hAnsiTheme="minorEastAsia" w:eastAsiaTheme="minorEastAsia" w:cstheme="minorEastAsia"/>
          <w:b/>
          <w:spacing w:val="40"/>
          <w:sz w:val="30"/>
          <w:szCs w:val="30"/>
        </w:rPr>
        <w:t>二〇二六年</w:t>
      </w:r>
    </w:p>
    <w:p w14:paraId="04BD71C9">
      <w:pPr>
        <w:spacing w:before="156" w:beforeLines="50" w:line="360" w:lineRule="auto"/>
        <w:jc w:val="center"/>
        <w:rPr>
          <w:rFonts w:hint="eastAsia" w:asciiTheme="minorEastAsia" w:hAnsiTheme="minorEastAsia" w:eastAsiaTheme="minorEastAsia" w:cstheme="minorEastAsia"/>
          <w:b/>
          <w:spacing w:val="40"/>
          <w:sz w:val="30"/>
          <w:szCs w:val="30"/>
        </w:rPr>
        <w:sectPr>
          <w:headerReference r:id="rId3" w:type="first"/>
          <w:footerReference r:id="rId4" w:type="default"/>
          <w:pgSz w:w="11906" w:h="16838"/>
          <w:pgMar w:top="1440" w:right="1463" w:bottom="1440" w:left="1463" w:header="680" w:footer="907" w:gutter="0"/>
          <w:cols w:space="0" w:num="1"/>
          <w:docGrid w:type="lines" w:linePitch="312" w:charSpace="0"/>
        </w:sectPr>
      </w:pPr>
    </w:p>
    <w:p w14:paraId="0C09D5E0">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目    录</w:t>
      </w:r>
    </w:p>
    <w:p w14:paraId="705EB9B5">
      <w:pPr>
        <w:pStyle w:val="2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33"/>
        </w:rPr>
        <w:fldChar w:fldCharType="begin"/>
      </w:r>
      <w:r>
        <w:rPr>
          <w:rStyle w:val="34"/>
          <w:rFonts w:hint="eastAsia" w:asciiTheme="minorEastAsia" w:hAnsiTheme="minorEastAsia" w:eastAsiaTheme="minorEastAsia" w:cstheme="minorEastAsia"/>
          <w:color w:val="auto"/>
          <w:sz w:val="33"/>
        </w:rPr>
        <w:instrText xml:space="preserve"> TOC \o "1-3" \h \z \u </w:instrText>
      </w:r>
      <w:r>
        <w:rPr>
          <w:rFonts w:hint="eastAsia" w:asciiTheme="minorEastAsia" w:hAnsiTheme="minorEastAsia" w:eastAsiaTheme="minorEastAsia" w:cstheme="minorEastAsia"/>
          <w:sz w:val="33"/>
        </w:rPr>
        <w:fldChar w:fldCharType="separate"/>
      </w:r>
    </w:p>
    <w:p w14:paraId="7D074296">
      <w:pPr>
        <w:pStyle w:val="2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温州市交发集团所属温州市交发文旅产业有限公司洞头酒店管理分公司关于</w:t>
      </w:r>
      <w:r>
        <w:fldChar w:fldCharType="begin"/>
      </w:r>
      <w:r>
        <w:instrText xml:space="preserve"> HYPERLINK \l "_Toc491780521" </w:instrText>
      </w:r>
      <w:r>
        <w:fldChar w:fldCharType="separate"/>
      </w:r>
      <w:r>
        <w:rPr>
          <w:rStyle w:val="34"/>
          <w:rFonts w:hint="eastAsia" w:asciiTheme="minorEastAsia" w:hAnsiTheme="minorEastAsia" w:eastAsiaTheme="minorEastAsia" w:cstheme="minorEastAsia"/>
          <w:color w:val="auto"/>
          <w:szCs w:val="21"/>
        </w:rPr>
        <w:t>温州洞头丽笙酒店2026年劳务外包服务项目的采购公告</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3</w:t>
      </w:r>
    </w:p>
    <w:p w14:paraId="1A927080">
      <w:pPr>
        <w:pStyle w:val="21"/>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rPr>
        <w:t>温州市交发集团所属温州市交发文旅产业有限公司洞头酒店管理分公司关于</w:t>
      </w:r>
      <w:r>
        <w:fldChar w:fldCharType="begin"/>
      </w:r>
      <w:r>
        <w:instrText xml:space="preserve"> HYPERLINK \l "_Toc491780522" </w:instrText>
      </w:r>
      <w:r>
        <w:fldChar w:fldCharType="separate"/>
      </w:r>
      <w:r>
        <w:rPr>
          <w:rFonts w:hint="eastAsia" w:asciiTheme="minorEastAsia" w:hAnsiTheme="minorEastAsia" w:eastAsiaTheme="minorEastAsia" w:cstheme="minorEastAsia"/>
        </w:rPr>
        <w:t>温州洞头丽笙酒店2026年劳务外包服务项目</w:t>
      </w:r>
      <w:r>
        <w:rPr>
          <w:rStyle w:val="34"/>
          <w:rFonts w:hint="eastAsia" w:asciiTheme="minorEastAsia" w:hAnsiTheme="minorEastAsia" w:eastAsiaTheme="minorEastAsia" w:cstheme="minorEastAsia"/>
          <w:color w:val="auto"/>
        </w:rPr>
        <w:t>征求意见公示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5</w:t>
      </w:r>
    </w:p>
    <w:p w14:paraId="7EF2A9A6">
      <w:pPr>
        <w:pStyle w:val="21"/>
        <w:rPr>
          <w:rFonts w:hint="eastAsia" w:asciiTheme="minorEastAsia" w:hAnsiTheme="minorEastAsia" w:eastAsiaTheme="minorEastAsia" w:cstheme="minorEastAsia"/>
          <w:szCs w:val="22"/>
        </w:rPr>
      </w:pPr>
      <w:r>
        <w:fldChar w:fldCharType="begin"/>
      </w:r>
      <w:r>
        <w:instrText xml:space="preserve"> HYPERLINK \l "_Toc491780523" </w:instrText>
      </w:r>
      <w:r>
        <w:fldChar w:fldCharType="separate"/>
      </w:r>
      <w:r>
        <w:rPr>
          <w:rStyle w:val="34"/>
          <w:rFonts w:hint="eastAsia" w:asciiTheme="minorEastAsia" w:hAnsiTheme="minorEastAsia" w:eastAsiaTheme="minorEastAsia" w:cstheme="minorEastAsia"/>
          <w:color w:val="auto"/>
        </w:rPr>
        <w:t>第一部分 投标人须知及投标人须知前附表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6</w:t>
      </w:r>
    </w:p>
    <w:p w14:paraId="3E634CA0">
      <w:pPr>
        <w:pStyle w:val="21"/>
        <w:rPr>
          <w:rFonts w:hint="eastAsia" w:asciiTheme="minorEastAsia" w:hAnsiTheme="minorEastAsia" w:eastAsiaTheme="minorEastAsia" w:cstheme="minorEastAsia"/>
          <w:szCs w:val="22"/>
        </w:rPr>
      </w:pPr>
      <w:r>
        <w:fldChar w:fldCharType="begin"/>
      </w:r>
      <w:r>
        <w:instrText xml:space="preserve"> HYPERLINK \l "_Toc491780524" </w:instrText>
      </w:r>
      <w:r>
        <w:fldChar w:fldCharType="separate"/>
      </w:r>
      <w:r>
        <w:rPr>
          <w:rStyle w:val="34"/>
          <w:rFonts w:hint="eastAsia" w:asciiTheme="minorEastAsia" w:hAnsiTheme="minorEastAsia" w:eastAsiaTheme="minorEastAsia" w:cstheme="minorEastAsia"/>
          <w:color w:val="auto"/>
        </w:rPr>
        <w:t>第二部分 合同条款</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_Toc491780524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7</w:t>
      </w:r>
    </w:p>
    <w:p w14:paraId="027F71C4">
      <w:pPr>
        <w:pStyle w:val="21"/>
        <w:rPr>
          <w:rFonts w:hint="eastAsia" w:asciiTheme="minorEastAsia" w:hAnsiTheme="minorEastAsia" w:eastAsiaTheme="minorEastAsia" w:cstheme="minorEastAsia"/>
          <w:szCs w:val="22"/>
        </w:rPr>
      </w:pPr>
      <w:r>
        <w:fldChar w:fldCharType="begin"/>
      </w:r>
      <w:r>
        <w:instrText xml:space="preserve"> HYPERLINK \l "_Toc491780525" </w:instrText>
      </w:r>
      <w:r>
        <w:fldChar w:fldCharType="separate"/>
      </w:r>
      <w:r>
        <w:rPr>
          <w:rStyle w:val="34"/>
          <w:rFonts w:hint="eastAsia" w:asciiTheme="minorEastAsia" w:hAnsiTheme="minorEastAsia" w:eastAsiaTheme="minorEastAsia" w:cstheme="minorEastAsia"/>
          <w:color w:val="auto"/>
        </w:rPr>
        <w:t>第三部分 投标文件的编制格式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5</w:t>
      </w:r>
    </w:p>
    <w:p w14:paraId="6E3C254C">
      <w:pPr>
        <w:pStyle w:val="21"/>
        <w:rPr>
          <w:rFonts w:hint="eastAsia" w:asciiTheme="minorEastAsia" w:hAnsiTheme="minorEastAsia" w:eastAsiaTheme="minorEastAsia" w:cstheme="minorEastAsia"/>
          <w:szCs w:val="22"/>
        </w:rPr>
      </w:pPr>
      <w:r>
        <w:fldChar w:fldCharType="begin"/>
      </w:r>
      <w:r>
        <w:instrText xml:space="preserve"> HYPERLINK \l "_Toc491780526" </w:instrText>
      </w:r>
      <w:r>
        <w:fldChar w:fldCharType="separate"/>
      </w:r>
      <w:r>
        <w:rPr>
          <w:rStyle w:val="34"/>
          <w:rFonts w:hint="eastAsia" w:asciiTheme="minorEastAsia" w:hAnsiTheme="minorEastAsia" w:eastAsiaTheme="minorEastAsia" w:cstheme="minorEastAsia"/>
          <w:color w:val="auto"/>
        </w:rPr>
        <w:t>第四部分 采购内</w:t>
      </w:r>
      <w:bookmarkStart w:id="0" w:name="_Hlt491780538"/>
      <w:r>
        <w:rPr>
          <w:rStyle w:val="34"/>
          <w:rFonts w:hint="eastAsia" w:asciiTheme="minorEastAsia" w:hAnsiTheme="minorEastAsia" w:eastAsiaTheme="minorEastAsia" w:cstheme="minorEastAsia"/>
          <w:color w:val="auto"/>
        </w:rPr>
        <w:t>容</w:t>
      </w:r>
      <w:bookmarkEnd w:id="0"/>
      <w:r>
        <w:rPr>
          <w:rStyle w:val="34"/>
          <w:rFonts w:hint="eastAsia" w:asciiTheme="minorEastAsia" w:hAnsiTheme="minorEastAsia" w:eastAsiaTheme="minorEastAsia" w:cstheme="minorEastAsia"/>
          <w:color w:val="auto"/>
        </w:rPr>
        <w:t>及要求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49</w:t>
      </w:r>
    </w:p>
    <w:p w14:paraId="146FBE30">
      <w:pPr>
        <w:pStyle w:val="21"/>
        <w:rPr>
          <w:rFonts w:hint="eastAsia" w:asciiTheme="minorEastAsia" w:hAnsiTheme="minorEastAsia" w:eastAsiaTheme="minorEastAsia" w:cstheme="minorEastAsia"/>
          <w:szCs w:val="22"/>
        </w:rPr>
      </w:pPr>
      <w:r>
        <w:fldChar w:fldCharType="begin"/>
      </w:r>
      <w:r>
        <w:instrText xml:space="preserve"> HYPERLINK \l "_Toc491780527" </w:instrText>
      </w:r>
      <w:r>
        <w:fldChar w:fldCharType="separate"/>
      </w:r>
      <w:r>
        <w:rPr>
          <w:rStyle w:val="34"/>
          <w:rFonts w:hint="eastAsia" w:asciiTheme="minorEastAsia" w:hAnsiTheme="minorEastAsia" w:eastAsiaTheme="minorEastAsia" w:cstheme="minorEastAsia"/>
          <w:color w:val="auto"/>
        </w:rPr>
        <w:t>第五部分 评标原则及方法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53</w:t>
      </w:r>
    </w:p>
    <w:p w14:paraId="1DDFFF4C">
      <w:pPr>
        <w:pStyle w:val="21"/>
        <w:spacing w:line="360" w:lineRule="auto"/>
        <w:rPr>
          <w:rFonts w:hint="eastAsia" w:asciiTheme="minorEastAsia" w:hAnsiTheme="minorEastAsia" w:eastAsiaTheme="minorEastAsia" w:cstheme="minorEastAsia"/>
          <w:b/>
          <w:bCs/>
          <w:sz w:val="28"/>
          <w:szCs w:val="30"/>
        </w:rPr>
      </w:pPr>
      <w:r>
        <w:rPr>
          <w:rFonts w:hint="eastAsia" w:asciiTheme="minorEastAsia" w:hAnsiTheme="minorEastAsia" w:eastAsiaTheme="minorEastAsia" w:cstheme="minorEastAsia"/>
          <w:sz w:val="33"/>
        </w:rPr>
        <w:fldChar w:fldCharType="end"/>
      </w:r>
      <w:r>
        <w:rPr>
          <w:rFonts w:hint="eastAsia" w:asciiTheme="minorEastAsia" w:hAnsiTheme="minorEastAsia" w:eastAsiaTheme="minorEastAsia" w:cstheme="minorEastAsia"/>
          <w:b/>
          <w:bCs/>
          <w:sz w:val="28"/>
          <w:szCs w:val="30"/>
        </w:rPr>
        <w:t>注：本采购文件中加“▲”同时加下划线的条款，为采购文件的实质性要求和条件，着重提醒各投标人注意（不响应加“▲”同时加下划线条款的作无效标处理），并认真查看采购文件中的每一个条款及要求，因误读采购文件而造成的后果，采购人概不负责。</w:t>
      </w:r>
    </w:p>
    <w:p w14:paraId="3551C181">
      <w:pPr>
        <w:rPr>
          <w:rFonts w:hint="eastAsia" w:asciiTheme="minorEastAsia" w:hAnsiTheme="minorEastAsia" w:eastAsiaTheme="minorEastAsia" w:cstheme="minorEastAsia"/>
          <w:b/>
          <w:bCs/>
          <w:sz w:val="28"/>
          <w:szCs w:val="30"/>
        </w:rPr>
      </w:pPr>
      <w:r>
        <w:rPr>
          <w:rFonts w:hint="eastAsia" w:asciiTheme="minorEastAsia" w:hAnsiTheme="minorEastAsia" w:eastAsiaTheme="minorEastAsia" w:cstheme="minorEastAsia"/>
          <w:b/>
          <w:bCs/>
          <w:sz w:val="28"/>
          <w:szCs w:val="30"/>
        </w:rPr>
        <w:br w:type="page"/>
      </w:r>
    </w:p>
    <w:p w14:paraId="1C7942DD">
      <w:pPr>
        <w:pStyle w:val="2"/>
        <w:rPr>
          <w:rFonts w:hint="eastAsia" w:asciiTheme="minorEastAsia" w:hAnsiTheme="minorEastAsia" w:eastAsiaTheme="minorEastAsia" w:cstheme="minorEastAsia"/>
        </w:rPr>
      </w:pPr>
      <w:bookmarkStart w:id="1" w:name="_Hlk10719563"/>
      <w:bookmarkStart w:id="2" w:name="_Hlk10921265"/>
      <w:r>
        <w:rPr>
          <w:rFonts w:hint="eastAsia" w:asciiTheme="minorEastAsia" w:hAnsiTheme="minorEastAsia" w:eastAsiaTheme="minorEastAsia" w:cstheme="minorEastAsia"/>
        </w:rPr>
        <w:t>温州市交发集团所属温州市交发文旅产业有限公司洞头酒店管理分公司关于温州洞头丽笙酒店2026年劳务外包服务项目的</w:t>
      </w:r>
      <w:bookmarkStart w:id="3" w:name="_Hlk12290751"/>
      <w:r>
        <w:rPr>
          <w:rFonts w:hint="eastAsia" w:asciiTheme="minorEastAsia" w:hAnsiTheme="minorEastAsia" w:eastAsiaTheme="minorEastAsia" w:cstheme="minorEastAsia"/>
        </w:rPr>
        <w:t>采购</w:t>
      </w:r>
      <w:bookmarkEnd w:id="3"/>
      <w:r>
        <w:rPr>
          <w:rFonts w:hint="eastAsia" w:asciiTheme="minorEastAsia" w:hAnsiTheme="minorEastAsia" w:eastAsiaTheme="minorEastAsia" w:cstheme="minorEastAsia"/>
        </w:rPr>
        <w:t>公告</w:t>
      </w:r>
    </w:p>
    <w:p w14:paraId="7306D952">
      <w:pPr>
        <w:widowControl/>
        <w:spacing w:before="60" w:after="60"/>
        <w:ind w:right="60"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根据《温州市市属国有企业采购管理办法》（温国资委〔2024〕第51号）等</w:t>
      </w:r>
      <w:r>
        <w:rPr>
          <w:rFonts w:hint="eastAsia" w:asciiTheme="minorEastAsia" w:hAnsiTheme="minorEastAsia" w:eastAsiaTheme="minorEastAsia" w:cstheme="minorEastAsia"/>
          <w:kern w:val="0"/>
          <w:szCs w:val="21"/>
        </w:rPr>
        <w:t>有关法律、法规的规定</w:t>
      </w:r>
      <w:r>
        <w:rPr>
          <w:rFonts w:hint="eastAsia" w:asciiTheme="minorEastAsia" w:hAnsiTheme="minorEastAsia" w:eastAsiaTheme="minorEastAsia" w:cstheme="minorEastAsia"/>
        </w:rPr>
        <w:t>，浙江工汇项目管理有限公司受温州市交发文旅产业有限公司洞头酒店管理分公司的委托，就温州洞头丽笙酒店2026年劳务外包服务以公开招标方式进行国有企业自主采购，欢迎国内合格的投标人前来投标。</w:t>
      </w:r>
    </w:p>
    <w:p w14:paraId="68CC121A">
      <w:pPr>
        <w:widowControl/>
        <w:numPr>
          <w:ilvl w:val="0"/>
          <w:numId w:val="2"/>
        </w:numPr>
        <w:spacing w:before="60" w:after="60"/>
        <w:ind w:right="6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
          <w:kern w:val="0"/>
          <w:szCs w:val="21"/>
        </w:rPr>
        <w:t>项目编号：</w:t>
      </w:r>
      <w:r>
        <w:rPr>
          <w:rFonts w:hint="eastAsia" w:asciiTheme="minorEastAsia" w:hAnsiTheme="minorEastAsia" w:eastAsiaTheme="minorEastAsia" w:cstheme="minorEastAsia"/>
          <w:bCs/>
          <w:kern w:val="0"/>
          <w:szCs w:val="21"/>
        </w:rPr>
        <w:t>WGSS-JFJT-Z-2026002</w:t>
      </w:r>
    </w:p>
    <w:p w14:paraId="77DF5E43">
      <w:pPr>
        <w:widowControl/>
        <w:numPr>
          <w:ilvl w:val="0"/>
          <w:numId w:val="2"/>
        </w:numPr>
        <w:spacing w:before="60" w:after="60"/>
        <w:ind w:right="6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
          <w:kern w:val="0"/>
          <w:szCs w:val="21"/>
        </w:rPr>
        <w:t>项目名称：</w:t>
      </w:r>
      <w:r>
        <w:rPr>
          <w:rFonts w:hint="eastAsia" w:asciiTheme="minorEastAsia" w:hAnsiTheme="minorEastAsia" w:eastAsiaTheme="minorEastAsia" w:cstheme="minorEastAsia"/>
          <w:bCs/>
          <w:kern w:val="0"/>
          <w:szCs w:val="21"/>
        </w:rPr>
        <w:t>温州洞头丽笙酒店2026年劳务外包服务</w:t>
      </w:r>
    </w:p>
    <w:p w14:paraId="4F3022FB">
      <w:pPr>
        <w:widowControl/>
        <w:numPr>
          <w:ilvl w:val="0"/>
          <w:numId w:val="2"/>
        </w:numPr>
        <w:spacing w:before="60" w:after="60"/>
        <w:ind w:right="6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
          <w:kern w:val="0"/>
          <w:szCs w:val="21"/>
        </w:rPr>
        <w:t>项目性质：</w:t>
      </w:r>
      <w:r>
        <w:rPr>
          <w:rFonts w:hint="eastAsia" w:asciiTheme="minorEastAsia" w:hAnsiTheme="minorEastAsia" w:eastAsiaTheme="minorEastAsia" w:cstheme="minorEastAsia"/>
          <w:bCs/>
          <w:kern w:val="0"/>
          <w:szCs w:val="21"/>
        </w:rPr>
        <w:t>国企采购（非政府采购项目）</w:t>
      </w:r>
    </w:p>
    <w:p w14:paraId="04BACDBB">
      <w:pPr>
        <w:widowControl/>
        <w:numPr>
          <w:ilvl w:val="0"/>
          <w:numId w:val="2"/>
        </w:numPr>
        <w:spacing w:before="60" w:after="60"/>
        <w:ind w:right="6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
          <w:kern w:val="0"/>
          <w:szCs w:val="21"/>
        </w:rPr>
        <w:t>预算金额：</w:t>
      </w:r>
      <w:r>
        <w:rPr>
          <w:rFonts w:hint="eastAsia" w:asciiTheme="minorEastAsia" w:hAnsiTheme="minorEastAsia" w:eastAsiaTheme="minorEastAsia" w:cstheme="minorEastAsia"/>
          <w:bCs/>
          <w:kern w:val="0"/>
          <w:sz w:val="18"/>
          <w:szCs w:val="18"/>
        </w:rPr>
        <w:t>80万元</w:t>
      </w:r>
    </w:p>
    <w:p w14:paraId="0D732A8C">
      <w:pPr>
        <w:widowControl/>
        <w:numPr>
          <w:ilvl w:val="0"/>
          <w:numId w:val="2"/>
        </w:numPr>
        <w:spacing w:before="60" w:after="60"/>
        <w:ind w:right="6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
          <w:kern w:val="0"/>
          <w:szCs w:val="21"/>
        </w:rPr>
        <w:t>采购内容</w:t>
      </w:r>
      <w:r>
        <w:rPr>
          <w:rFonts w:hint="eastAsia" w:asciiTheme="minorEastAsia" w:hAnsiTheme="minorEastAsia" w:eastAsiaTheme="minorEastAsia" w:cstheme="minorEastAsia"/>
          <w:bCs/>
          <w:kern w:val="0"/>
          <w:szCs w:val="21"/>
        </w:rPr>
        <w:t>（内容、用途、数量、简要技术要求等）：</w:t>
      </w:r>
    </w:p>
    <w:tbl>
      <w:tblPr>
        <w:tblStyle w:val="29"/>
        <w:tblW w:w="9659" w:type="dxa"/>
        <w:jc w:val="center"/>
        <w:tblLayout w:type="fixed"/>
        <w:tblCellMar>
          <w:top w:w="0" w:type="dxa"/>
          <w:left w:w="108" w:type="dxa"/>
          <w:bottom w:w="0" w:type="dxa"/>
          <w:right w:w="108" w:type="dxa"/>
        </w:tblCellMar>
      </w:tblPr>
      <w:tblGrid>
        <w:gridCol w:w="760"/>
        <w:gridCol w:w="1878"/>
        <w:gridCol w:w="450"/>
        <w:gridCol w:w="575"/>
        <w:gridCol w:w="1312"/>
        <w:gridCol w:w="4684"/>
      </w:tblGrid>
      <w:tr w14:paraId="3D03CA18">
        <w:tblPrEx>
          <w:tblCellMar>
            <w:top w:w="0" w:type="dxa"/>
            <w:left w:w="108" w:type="dxa"/>
            <w:bottom w:w="0" w:type="dxa"/>
            <w:right w:w="108"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33E566">
            <w:pPr>
              <w:widowControl/>
              <w:spacing w:before="60" w:after="60"/>
              <w:ind w:left="60" w:right="60"/>
              <w:jc w:val="center"/>
              <w:rPr>
                <w:rFonts w:hint="eastAsia" w:asciiTheme="minorEastAsia" w:hAnsiTheme="minorEastAsia" w:eastAsiaTheme="minorEastAsia" w:cstheme="minorEastAsia"/>
                <w:b/>
                <w:kern w:val="0"/>
                <w:sz w:val="18"/>
                <w:szCs w:val="18"/>
              </w:rPr>
            </w:pPr>
            <w:bookmarkStart w:id="4" w:name="B09_招标内容"/>
            <w:bookmarkEnd w:id="4"/>
            <w:r>
              <w:rPr>
                <w:rFonts w:hint="eastAsia" w:asciiTheme="minorEastAsia" w:hAnsiTheme="minorEastAsia" w:eastAsiaTheme="minorEastAsia" w:cstheme="minorEastAsia"/>
                <w:b/>
                <w:kern w:val="0"/>
                <w:sz w:val="18"/>
                <w:szCs w:val="18"/>
              </w:rPr>
              <w:t>序号</w:t>
            </w:r>
          </w:p>
        </w:tc>
        <w:tc>
          <w:tcPr>
            <w:tcW w:w="18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F437CB">
            <w:pPr>
              <w:widowControl/>
              <w:spacing w:before="60" w:after="60"/>
              <w:ind w:left="60" w:right="60"/>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标项名称</w:t>
            </w:r>
          </w:p>
        </w:tc>
        <w:tc>
          <w:tcPr>
            <w:tcW w:w="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0D5A5C">
            <w:pPr>
              <w:widowControl/>
              <w:spacing w:before="60" w:after="60"/>
              <w:ind w:left="60" w:right="60"/>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数量</w:t>
            </w:r>
          </w:p>
        </w:tc>
        <w:tc>
          <w:tcPr>
            <w:tcW w:w="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505FAE">
            <w:pPr>
              <w:widowControl/>
              <w:spacing w:before="60" w:after="60"/>
              <w:ind w:left="60" w:right="60"/>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单位</w:t>
            </w:r>
          </w:p>
        </w:tc>
        <w:tc>
          <w:tcPr>
            <w:tcW w:w="1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734B0A">
            <w:pPr>
              <w:widowControl/>
              <w:spacing w:before="60" w:after="60"/>
              <w:ind w:left="60" w:right="60"/>
              <w:jc w:val="center"/>
              <w:rPr>
                <w:rFonts w:hint="eastAsia" w:asciiTheme="minorEastAsia" w:hAnsiTheme="minorEastAsia" w:eastAsiaTheme="minorEastAsia" w:cstheme="minorEastAsia"/>
                <w:b/>
                <w:strike/>
                <w:kern w:val="0"/>
                <w:sz w:val="18"/>
                <w:szCs w:val="18"/>
                <w:highlight w:val="yellow"/>
              </w:rPr>
            </w:pPr>
            <w:r>
              <w:rPr>
                <w:rFonts w:hint="eastAsia" w:asciiTheme="minorEastAsia" w:hAnsiTheme="minorEastAsia" w:eastAsiaTheme="minorEastAsia" w:cstheme="minorEastAsia"/>
                <w:b/>
                <w:kern w:val="0"/>
                <w:sz w:val="18"/>
                <w:szCs w:val="18"/>
              </w:rPr>
              <w:t>预算金额(万元)</w:t>
            </w:r>
          </w:p>
        </w:tc>
        <w:tc>
          <w:tcPr>
            <w:tcW w:w="46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127447">
            <w:pPr>
              <w:widowControl/>
              <w:spacing w:before="60" w:after="60"/>
              <w:ind w:left="60" w:right="60"/>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简要技术要求、用途</w:t>
            </w:r>
          </w:p>
        </w:tc>
      </w:tr>
      <w:tr w14:paraId="0D42F054">
        <w:tblPrEx>
          <w:tblCellMar>
            <w:top w:w="0" w:type="dxa"/>
            <w:left w:w="108" w:type="dxa"/>
            <w:bottom w:w="0" w:type="dxa"/>
            <w:right w:w="108"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6CCFC3">
            <w:pPr>
              <w:widowControl/>
              <w:spacing w:before="60" w:after="60"/>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w:t>
            </w:r>
          </w:p>
        </w:tc>
        <w:tc>
          <w:tcPr>
            <w:tcW w:w="18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6B4BE6">
            <w:pPr>
              <w:widowControl/>
              <w:spacing w:before="60" w:after="60"/>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温州洞头丽笙酒店2026年劳务外包服务</w:t>
            </w:r>
          </w:p>
        </w:tc>
        <w:tc>
          <w:tcPr>
            <w:tcW w:w="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4B8B27">
            <w:pPr>
              <w:widowControl/>
              <w:spacing w:before="60" w:after="60"/>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w:t>
            </w:r>
          </w:p>
        </w:tc>
        <w:tc>
          <w:tcPr>
            <w:tcW w:w="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260D6B">
            <w:pPr>
              <w:widowControl/>
              <w:spacing w:before="60" w:after="60"/>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项</w:t>
            </w:r>
          </w:p>
        </w:tc>
        <w:tc>
          <w:tcPr>
            <w:tcW w:w="1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DD88D4">
            <w:pPr>
              <w:widowControl/>
              <w:spacing w:before="60" w:after="60"/>
              <w:jc w:val="center"/>
              <w:rPr>
                <w:rFonts w:hint="eastAsia" w:asciiTheme="minorEastAsia" w:hAnsiTheme="minorEastAsia" w:eastAsiaTheme="minorEastAsia" w:cstheme="minorEastAsia"/>
                <w:bCs/>
                <w:strike/>
                <w:kern w:val="0"/>
                <w:sz w:val="18"/>
                <w:szCs w:val="18"/>
                <w:highlight w:val="yellow"/>
              </w:rPr>
            </w:pPr>
            <w:r>
              <w:rPr>
                <w:rFonts w:hint="eastAsia" w:asciiTheme="minorEastAsia" w:hAnsiTheme="minorEastAsia" w:eastAsiaTheme="minorEastAsia" w:cstheme="minorEastAsia"/>
                <w:bCs/>
                <w:kern w:val="0"/>
                <w:sz w:val="18"/>
                <w:szCs w:val="18"/>
              </w:rPr>
              <w:t>80</w:t>
            </w:r>
          </w:p>
        </w:tc>
        <w:tc>
          <w:tcPr>
            <w:tcW w:w="46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D70762">
            <w:pPr>
              <w:widowControl/>
              <w:wordWrap w:val="0"/>
              <w:spacing w:before="60" w:after="6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温州洞头丽笙酒店2026年劳务外包服务，服务期为1年，具体采购内容及详细技术要求见采购文件相关部分。</w:t>
            </w:r>
          </w:p>
        </w:tc>
      </w:tr>
    </w:tbl>
    <w:p w14:paraId="5C0A830E">
      <w:pPr>
        <w:widowControl/>
        <w:numPr>
          <w:ilvl w:val="0"/>
          <w:numId w:val="2"/>
        </w:numPr>
        <w:spacing w:before="60" w:after="60"/>
        <w:ind w:right="6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投标人资格要求：</w:t>
      </w:r>
    </w:p>
    <w:p w14:paraId="1A52A74D">
      <w:pPr>
        <w:widowControl/>
        <w:ind w:firstLine="420" w:firstLineChars="200"/>
        <w:jc w:val="left"/>
        <w:rPr>
          <w:rFonts w:hint="eastAsia" w:asciiTheme="minorEastAsia" w:hAnsiTheme="minorEastAsia" w:eastAsiaTheme="minorEastAsia" w:cstheme="minorEastAsia"/>
          <w:kern w:val="0"/>
          <w:szCs w:val="21"/>
        </w:rPr>
      </w:pPr>
      <w:bookmarkStart w:id="5" w:name="_Hlk13729147"/>
      <w:r>
        <w:rPr>
          <w:rFonts w:hint="eastAsia" w:asciiTheme="minorEastAsia" w:hAnsiTheme="minorEastAsia" w:eastAsiaTheme="minorEastAsia" w:cstheme="minorEastAsia"/>
          <w:kern w:val="0"/>
          <w:szCs w:val="21"/>
        </w:rPr>
        <w:t>1.符合《温州市市属国有企业采购管理办法》（温国资委〔2024〕第51号）第十八条对投标人参加温州市国有企业采购活动应当具备的条件的要求；</w:t>
      </w:r>
    </w:p>
    <w:p w14:paraId="6FE8E812">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2.具有有效的《劳务派遣经营许可证》；</w:t>
      </w:r>
    </w:p>
    <w:p w14:paraId="551BF618">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3.单位负责人为同一人或者存在直接控股、管理关系的不同投标人，不得同时参加本项目的投标活动，违反该款规定的，相关投标人的投标均无效；</w:t>
      </w:r>
    </w:p>
    <w:p w14:paraId="2CBCE4CA">
      <w:pPr>
        <w:widowControl/>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4.至本项目投标截止前未被列入“信用中国”网站(www.creditchina.gov.cn)“记录失信被执行人或重大税收违法案件严重失信主体名单”记录名单</w:t>
      </w:r>
      <w:r>
        <w:rPr>
          <w:rFonts w:hint="eastAsia" w:asciiTheme="minorEastAsia" w:hAnsiTheme="minorEastAsia" w:eastAsiaTheme="minorEastAsia" w:cstheme="minorEastAsia"/>
          <w:szCs w:val="21"/>
        </w:rPr>
        <w:t>；</w:t>
      </w:r>
    </w:p>
    <w:p w14:paraId="65A1ECB3">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5.本项目不接受联合体投标。</w:t>
      </w:r>
      <w:bookmarkEnd w:id="5"/>
    </w:p>
    <w:p w14:paraId="10028EA2">
      <w:pPr>
        <w:widowControl/>
        <w:numPr>
          <w:ilvl w:val="0"/>
          <w:numId w:val="2"/>
        </w:numPr>
        <w:spacing w:before="60" w:after="60"/>
        <w:ind w:right="60"/>
        <w:jc w:val="left"/>
        <w:rPr>
          <w:rFonts w:hint="eastAsia" w:asciiTheme="minorEastAsia" w:hAnsiTheme="minorEastAsia" w:eastAsiaTheme="minorEastAsia" w:cstheme="minorEastAsia"/>
          <w:b/>
          <w:kern w:val="0"/>
          <w:szCs w:val="21"/>
        </w:rPr>
      </w:pPr>
      <w:bookmarkStart w:id="6" w:name="_Hlk516555339"/>
      <w:bookmarkStart w:id="7" w:name="_Hlk3381632"/>
      <w:r>
        <w:rPr>
          <w:rFonts w:hint="eastAsia" w:asciiTheme="minorEastAsia" w:hAnsiTheme="minorEastAsia" w:eastAsiaTheme="minorEastAsia" w:cstheme="minorEastAsia"/>
          <w:b/>
          <w:kern w:val="0"/>
          <w:szCs w:val="21"/>
        </w:rPr>
        <w:t>获取采购文件的时间及地点</w:t>
      </w:r>
    </w:p>
    <w:p w14:paraId="4D269D24">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1.报名时间及采购文件获取时间：公告发布之日起至投标截止时间止（08：30-11：30，14：30-17：00，节假日除外，未购买采购文件的潜在投标人拒绝参加投标。）；</w:t>
      </w:r>
    </w:p>
    <w:p w14:paraId="5D674212">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2.获取采购文件：</w:t>
      </w:r>
    </w:p>
    <w:p w14:paraId="5D5E9E21">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（1）乐采云平台（https://www.lecaiyun.com）；</w:t>
      </w:r>
    </w:p>
    <w:p w14:paraId="11E53FEB">
      <w:pPr>
        <w:widowControl/>
        <w:wordWrap w:val="0"/>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（2）供应商网上报名操作指南：“乐采云-注册-供应商注册”（https://middle-lcy.lecaiyun.com/luban/registry/promotion?utm=luban.luban-PC-55609.387-pc-self-banner-new-front.d2001.886f5af0534611efa282f378895b071f）。</w:t>
      </w:r>
    </w:p>
    <w:p w14:paraId="22D1CB60">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采购文件获取方式：潜在投标人登陆乐采云平台，在线申请获取采购文件（进入“项目采购”应用，在获取采购文件菜单中选择项目，申请获取采购文件。仅需浏览采购文件的潜在投标人可点击“游客，浏览采购文件”直接下载采购文件浏览）。</w:t>
      </w:r>
    </w:p>
    <w:p w14:paraId="6573F3C5">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4.投标人获取采购文件时须提交的文件资料：无。</w:t>
      </w:r>
    </w:p>
    <w:p w14:paraId="2C5BBADD">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提示：采购公告附件内的采购文件（或采购需求）仅供阅览使用，投标人只有在“乐采云平台”完成获取采购文件申请并下载了采购文件后才视作依法获取采购文件（法律法规所指的供应商获取采购文件时间以供应商完成获取采购文件申请后下载采购文件的时间为准）。</w:t>
      </w:r>
    </w:p>
    <w:p w14:paraId="561C7225">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注：请投标人按上述要求获取采购文件，如未在“乐采云”系统内完成相关流程，引起的投标无效，责任自负。</w:t>
      </w:r>
    </w:p>
    <w:p w14:paraId="1C53E8AF">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6.采购文件售价：人民币500元整（售后不退），购买标书及注意事项：</w:t>
      </w:r>
    </w:p>
    <w:p w14:paraId="5A1242FC">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网上报名后，请将标书购买费汇入代理公司账户（缴纳报名费后将缴费截图、可以拷贝的开票信息等资料发代理机构电子邮箱670232624@qq.com）并马上联系采购代理公司审核，标书款汇入账户信息：</w:t>
      </w:r>
    </w:p>
    <w:p w14:paraId="09A0AD58">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单位名称：浙江工汇项目管理有限公司</w:t>
      </w:r>
    </w:p>
    <w:p w14:paraId="7426BCBE">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开户银行：兴业银行股份有限公司温州分行</w:t>
      </w:r>
    </w:p>
    <w:p w14:paraId="0D23B292">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000000"/>
          <w:kern w:val="0"/>
          <w:szCs w:val="21"/>
        </w:rPr>
        <w:t>账    号：355880100101056020</w:t>
      </w:r>
    </w:p>
    <w:p w14:paraId="2D865418">
      <w:pPr>
        <w:widowControl/>
        <w:numPr>
          <w:ilvl w:val="0"/>
          <w:numId w:val="2"/>
        </w:numPr>
        <w:spacing w:before="60" w:after="60"/>
        <w:ind w:right="6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投标文件递交截止时间、递交地点、开标时间及开标地点：</w:t>
      </w:r>
    </w:p>
    <w:p w14:paraId="1554FA62">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1.投标截止时间：</w:t>
      </w:r>
      <w:bookmarkStart w:id="8" w:name="B23_谈判响应文件提交截止日期"/>
      <w:bookmarkEnd w:id="8"/>
      <w:r>
        <w:rPr>
          <w:rFonts w:hint="eastAsia" w:asciiTheme="minorEastAsia" w:hAnsiTheme="minorEastAsia" w:eastAsiaTheme="minorEastAsia" w:cstheme="minorEastAsia"/>
          <w:color w:val="0000FF"/>
        </w:rPr>
        <w:t>2026年8月4日</w:t>
      </w:r>
      <w:r>
        <w:rPr>
          <w:rFonts w:hint="eastAsia" w:asciiTheme="minorEastAsia" w:hAnsiTheme="minorEastAsia" w:eastAsiaTheme="minorEastAsia" w:cstheme="minorEastAsia"/>
          <w:color w:val="0000FF"/>
          <w:kern w:val="0"/>
          <w:szCs w:val="21"/>
        </w:rPr>
        <w:t>9时30分(北京时间，下同)</w:t>
      </w:r>
      <w:r>
        <w:rPr>
          <w:rFonts w:hint="eastAsia" w:asciiTheme="minorEastAsia" w:hAnsiTheme="minorEastAsia" w:eastAsiaTheme="minorEastAsia" w:cstheme="minorEastAsia"/>
          <w:kern w:val="0"/>
          <w:szCs w:val="21"/>
        </w:rPr>
        <w:t>。</w:t>
      </w:r>
    </w:p>
    <w:p w14:paraId="78163706">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2.投标文件提交地点：温州市交通发展集团有限公司2楼开标大厅（温州市鹿城区车站大道669号尚品商务楼）</w:t>
      </w:r>
    </w:p>
    <w:p w14:paraId="0749CE94">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3.开标时间：</w:t>
      </w:r>
      <w:bookmarkStart w:id="9" w:name="B26_谈判时间日期"/>
      <w:bookmarkEnd w:id="9"/>
      <w:r>
        <w:rPr>
          <w:rFonts w:hint="eastAsia" w:asciiTheme="minorEastAsia" w:hAnsiTheme="minorEastAsia" w:eastAsiaTheme="minorEastAsia" w:cstheme="minorEastAsia"/>
          <w:kern w:val="0"/>
          <w:szCs w:val="21"/>
        </w:rPr>
        <w:t>同投标截止时间。</w:t>
      </w:r>
    </w:p>
    <w:p w14:paraId="3586BEBC">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4.开标地点：温州市交通发展集团有限公司2楼开标大厅（温州市鹿城区车站大道669号尚品商务楼）</w:t>
      </w:r>
    </w:p>
    <w:p w14:paraId="0D500A44">
      <w:pPr>
        <w:widowControl/>
        <w:numPr>
          <w:ilvl w:val="0"/>
          <w:numId w:val="2"/>
        </w:numPr>
        <w:spacing w:before="60" w:after="60"/>
        <w:ind w:right="6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投标保证金及交付方式：</w:t>
      </w:r>
    </w:p>
    <w:p w14:paraId="52A68F9E">
      <w:pPr>
        <w:widowControl/>
        <w:spacing w:before="60" w:after="60" w:line="280" w:lineRule="exact"/>
        <w:ind w:right="62" w:firstLine="420" w:firstLineChars="200"/>
        <w:jc w:val="left"/>
        <w:rPr>
          <w:rFonts w:hint="eastAsia" w:asciiTheme="minorEastAsia" w:hAnsiTheme="minorEastAsia" w:eastAsiaTheme="minorEastAsia" w:cstheme="minorEastAsia"/>
          <w:kern w:val="0"/>
          <w:szCs w:val="21"/>
          <w:u w:val="single"/>
        </w:rPr>
      </w:pPr>
      <w:bookmarkStart w:id="10" w:name="B29_谈判保证金"/>
      <w:bookmarkEnd w:id="10"/>
      <w:r>
        <w:rPr>
          <w:rFonts w:hint="eastAsia" w:asciiTheme="minorEastAsia" w:hAnsiTheme="minorEastAsia" w:eastAsiaTheme="minorEastAsia" w:cstheme="minorEastAsia"/>
          <w:kern w:val="0"/>
          <w:szCs w:val="21"/>
        </w:rPr>
        <w:t>投标保证金：人民币8000元整，采用银行转账形式，保证金缴纳截止时间：与投标截止时间相同。</w:t>
      </w:r>
      <w:r>
        <w:rPr>
          <w:rFonts w:hint="eastAsia" w:asciiTheme="minorEastAsia" w:hAnsiTheme="minorEastAsia" w:eastAsiaTheme="minorEastAsia" w:cstheme="minorEastAsia"/>
          <w:kern w:val="0"/>
          <w:szCs w:val="21"/>
          <w:u w:val="single"/>
        </w:rPr>
        <w:t>投标保证金要求从投标人的银行账号汇出，保证金缴纳时间以到账时间为准。保证金缴纳账户信息：</w:t>
      </w:r>
    </w:p>
    <w:p w14:paraId="5AE09416">
      <w:pPr>
        <w:widowControl/>
        <w:spacing w:before="60" w:after="60" w:line="280" w:lineRule="exact"/>
        <w:ind w:right="62" w:firstLine="420" w:firstLineChars="200"/>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u w:val="single"/>
        </w:rPr>
        <w:t>户名：浙江工汇项目管理有限公司</w:t>
      </w:r>
    </w:p>
    <w:p w14:paraId="749DFB36">
      <w:pPr>
        <w:widowControl/>
        <w:spacing w:before="60" w:after="60" w:line="280" w:lineRule="exact"/>
        <w:ind w:right="62" w:firstLine="420" w:firstLineChars="200"/>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u w:val="single"/>
        </w:rPr>
        <w:t>账号：355820100100183278</w:t>
      </w:r>
    </w:p>
    <w:p w14:paraId="6BBB440B">
      <w:pPr>
        <w:widowControl/>
        <w:spacing w:before="60" w:after="60" w:line="280" w:lineRule="exact"/>
        <w:ind w:right="62" w:firstLine="420" w:firstLineChars="200"/>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u w:val="single"/>
        </w:rPr>
        <w:t>开户行：兴业银行股份有限公司温州鹿城支行</w:t>
      </w:r>
    </w:p>
    <w:p w14:paraId="0A2E5CE6">
      <w:pPr>
        <w:widowControl/>
        <w:numPr>
          <w:ilvl w:val="0"/>
          <w:numId w:val="2"/>
        </w:numPr>
        <w:spacing w:before="60" w:after="60"/>
        <w:ind w:right="6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其他事项：</w:t>
      </w:r>
    </w:p>
    <w:p w14:paraId="2FAEA39F">
      <w:pPr>
        <w:widowControl/>
        <w:spacing w:before="60" w:after="60" w:line="280" w:lineRule="exact"/>
        <w:ind w:right="62" w:firstLine="420" w:firstLineChars="200"/>
        <w:jc w:val="left"/>
        <w:rPr>
          <w:rFonts w:hint="eastAsia" w:asciiTheme="minorEastAsia" w:hAnsiTheme="minorEastAsia" w:eastAsiaTheme="minorEastAsia" w:cstheme="minorEastAsia"/>
          <w:bCs/>
          <w:kern w:val="0"/>
          <w:szCs w:val="21"/>
          <w:u w:val="single"/>
        </w:rPr>
      </w:pPr>
      <w:r>
        <w:rPr>
          <w:rFonts w:hint="eastAsia" w:asciiTheme="minorEastAsia" w:hAnsiTheme="minorEastAsia" w:eastAsiaTheme="minorEastAsia" w:cstheme="minorEastAsia"/>
          <w:bCs/>
          <w:kern w:val="0"/>
          <w:szCs w:val="21"/>
        </w:rPr>
        <w:t>1.</w:t>
      </w:r>
      <w:r>
        <w:rPr>
          <w:rFonts w:hint="eastAsia" w:asciiTheme="minorEastAsia" w:hAnsiTheme="minorEastAsia" w:eastAsiaTheme="minorEastAsia" w:cstheme="minorEastAsia"/>
          <w:bCs/>
          <w:kern w:val="0"/>
          <w:szCs w:val="21"/>
          <w:u w:val="single"/>
        </w:rPr>
        <w:t>供应商认为采购文件使自己的权益受到损害的，可以自采购公告发出之日（采购公告发布当天不算）起6日内，以书面形式向采购人和采购代理机构提出质疑。</w:t>
      </w:r>
    </w:p>
    <w:p w14:paraId="59C7C9DA">
      <w:pPr>
        <w:widowControl/>
        <w:spacing w:before="60" w:after="60" w:line="280" w:lineRule="exact"/>
        <w:ind w:right="62" w:firstLine="420" w:firstLineChars="200"/>
        <w:jc w:val="left"/>
        <w:rPr>
          <w:rFonts w:hint="eastAsia" w:asciiTheme="minorEastAsia" w:hAnsiTheme="minorEastAsia" w:eastAsiaTheme="minorEastAsia" w:cstheme="minorEastAsia"/>
          <w:bCs/>
          <w:kern w:val="0"/>
          <w:szCs w:val="21"/>
          <w:u w:val="single"/>
        </w:rPr>
      </w:pPr>
      <w:r>
        <w:rPr>
          <w:rFonts w:hint="eastAsia" w:asciiTheme="minorEastAsia" w:hAnsiTheme="minorEastAsia" w:eastAsiaTheme="minorEastAsia" w:cstheme="minorEastAsia"/>
          <w:bCs/>
          <w:kern w:val="0"/>
          <w:szCs w:val="21"/>
          <w:u w:val="single"/>
        </w:rPr>
        <w:t>2.质疑供应商对采购人、采购代理机构的答复不满意或者采购人、采购代理机构未在规定的时间内作出答复的，可以在答复期满后15个工作日内向温州市交通发展集团有限公司纪检监察室投诉。</w:t>
      </w:r>
    </w:p>
    <w:p w14:paraId="609787C9">
      <w:pPr>
        <w:widowControl/>
        <w:spacing w:before="60" w:after="60" w:line="280" w:lineRule="exact"/>
        <w:ind w:right="62" w:firstLine="420" w:firstLineChars="200"/>
        <w:jc w:val="left"/>
        <w:rPr>
          <w:rFonts w:hint="eastAsia" w:asciiTheme="minorEastAsia" w:hAnsiTheme="minorEastAsia" w:eastAsiaTheme="minorEastAsia" w:cstheme="minorEastAsia"/>
          <w:bCs/>
          <w:kern w:val="0"/>
          <w:szCs w:val="21"/>
          <w:u w:val="single"/>
        </w:rPr>
      </w:pPr>
      <w:r>
        <w:rPr>
          <w:rFonts w:hint="eastAsia" w:asciiTheme="minorEastAsia" w:hAnsiTheme="minorEastAsia" w:eastAsiaTheme="minorEastAsia" w:cstheme="minorEastAsia"/>
          <w:bCs/>
          <w:kern w:val="0"/>
          <w:szCs w:val="21"/>
          <w:u w:val="single"/>
        </w:rPr>
        <w:t>3.温州市交通发展集团有限公司纪检监察室负责对投标人反映的企业本部及所属企业在采购活动中出现的违法违规问题进行投诉回复。投标人认为温州市交通发展集团有限公司纪检监察室投诉回复处理结果不合法的，可以采购人或采购代理机构为对象依法向人民法院提起诉讼。</w:t>
      </w:r>
    </w:p>
    <w:p w14:paraId="304110D3">
      <w:pPr>
        <w:widowControl/>
        <w:spacing w:before="60" w:after="60" w:line="280" w:lineRule="exact"/>
        <w:ind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4.采购公告附件的采购文件仅供阅览使用，未按照本公告规定的方式获取采购文件的潜在供应商提起的质疑，采购人及采购组织机构将不予受理、不予答复。</w:t>
      </w:r>
    </w:p>
    <w:p w14:paraId="4B2F2A38">
      <w:pPr>
        <w:widowControl/>
        <w:spacing w:before="60" w:after="60" w:line="280" w:lineRule="exact"/>
        <w:ind w:right="62" w:firstLine="420" w:firstLineChars="200"/>
        <w:jc w:val="left"/>
        <w:rPr>
          <w:rFonts w:hint="eastAsia" w:asciiTheme="minorEastAsia" w:hAnsiTheme="minorEastAsia" w:eastAsiaTheme="minorEastAsia" w:cstheme="minorEastAsia"/>
          <w:bCs/>
          <w:kern w:val="0"/>
          <w:szCs w:val="21"/>
        </w:rPr>
      </w:pPr>
      <w:bookmarkStart w:id="11" w:name="B38_其他事项"/>
      <w:r>
        <w:rPr>
          <w:rFonts w:hint="eastAsia" w:asciiTheme="minorEastAsia" w:hAnsiTheme="minorEastAsia" w:eastAsiaTheme="minorEastAsia" w:cstheme="minorEastAsia"/>
          <w:bCs/>
          <w:kern w:val="0"/>
          <w:szCs w:val="21"/>
        </w:rPr>
        <w:t>5</w:t>
      </w:r>
      <w:bookmarkEnd w:id="11"/>
      <w:r>
        <w:rPr>
          <w:rFonts w:hint="eastAsia" w:asciiTheme="minorEastAsia" w:hAnsiTheme="minorEastAsia" w:eastAsiaTheme="minorEastAsia" w:cstheme="minorEastAsia"/>
          <w:bCs/>
          <w:kern w:val="0"/>
          <w:szCs w:val="21"/>
        </w:rPr>
        <w:t>.供应商如对采购文件有疑问应按采购文件规定的询疑截止时间前提出，逾期提出的，采购组织机构可以不予受理、答复。</w:t>
      </w:r>
    </w:p>
    <w:p w14:paraId="6B738FB1">
      <w:pPr>
        <w:widowControl/>
        <w:numPr>
          <w:ilvl w:val="0"/>
          <w:numId w:val="2"/>
        </w:numPr>
        <w:spacing w:before="60" w:after="60"/>
        <w:ind w:right="6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联系方式：</w:t>
      </w:r>
    </w:p>
    <w:p w14:paraId="4B5C61FA">
      <w:pPr>
        <w:widowControl/>
        <w:spacing w:before="60" w:after="60"/>
        <w:ind w:right="62" w:firstLine="420" w:firstLineChars="200"/>
        <w:jc w:val="left"/>
        <w:rPr>
          <w:rFonts w:hint="eastAsia" w:asciiTheme="minorEastAsia" w:hAnsiTheme="minorEastAsia" w:eastAsiaTheme="minorEastAsia" w:cstheme="minorEastAsia"/>
        </w:rPr>
      </w:pPr>
      <w:bookmarkStart w:id="12" w:name="OLE_LINK2"/>
      <w:r>
        <w:rPr>
          <w:rFonts w:hint="eastAsia" w:asciiTheme="minorEastAsia" w:hAnsiTheme="minorEastAsia" w:eastAsiaTheme="minorEastAsia" w:cstheme="minorEastAsia"/>
        </w:rPr>
        <w:t>1.采购人名称：温州市交发文旅产业有限公司洞头酒店管理分公司</w:t>
      </w:r>
    </w:p>
    <w:p w14:paraId="32278438">
      <w:pPr>
        <w:widowControl/>
        <w:spacing w:before="60" w:after="60"/>
        <w:ind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rPr>
        <w:t>地址：浙江省温州市洞头区东屏街道临海路6号</w:t>
      </w:r>
    </w:p>
    <w:p w14:paraId="31082E5D">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联系人：马女士</w:t>
      </w:r>
    </w:p>
    <w:p w14:paraId="21E76D58">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联系电话：13355771527</w:t>
      </w:r>
    </w:p>
    <w:bookmarkEnd w:id="12"/>
    <w:p w14:paraId="465A8E5A">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2.采购代理机构名称：浙江工汇项目管理有限公司</w:t>
      </w:r>
    </w:p>
    <w:p w14:paraId="1B13F42E">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联系人：彭先生</w:t>
      </w:r>
    </w:p>
    <w:p w14:paraId="678B483F">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联系方式：</w:t>
      </w:r>
      <w:bookmarkStart w:id="13" w:name="OLE_LINK3"/>
      <w:r>
        <w:rPr>
          <w:rFonts w:hint="eastAsia" w:asciiTheme="minorEastAsia" w:hAnsiTheme="minorEastAsia" w:eastAsiaTheme="minorEastAsia" w:cstheme="minorEastAsia"/>
        </w:rPr>
        <w:t>13588841206</w:t>
      </w:r>
      <w:bookmarkEnd w:id="13"/>
      <w:r>
        <w:rPr>
          <w:rFonts w:hint="eastAsia" w:asciiTheme="minorEastAsia" w:hAnsiTheme="minorEastAsia" w:eastAsiaTheme="minorEastAsia" w:cstheme="minorEastAsia"/>
        </w:rPr>
        <w:t xml:space="preserve"> 邮箱：670232624@qq.com</w:t>
      </w:r>
    </w:p>
    <w:p w14:paraId="655F9A49">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质疑联系人：肖先生，联系电话：15305718087、13606874516</w:t>
      </w:r>
    </w:p>
    <w:p w14:paraId="1FAED6F6">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地址：温州市鹿城区（东瓯智库）清源路142号4楼</w:t>
      </w:r>
    </w:p>
    <w:p w14:paraId="11795930">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3.采购监管部门：温州市交通发展集团有限公司纪检监察室</w:t>
      </w:r>
    </w:p>
    <w:p w14:paraId="775F344A">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联系方式：0577-85559092</w:t>
      </w:r>
    </w:p>
    <w:p w14:paraId="1A660162">
      <w:pPr>
        <w:widowControl/>
        <w:spacing w:before="60" w:after="60"/>
        <w:ind w:left="62" w:right="62" w:firstLine="420" w:firstLineChars="200"/>
        <w:jc w:val="righ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kern w:val="0"/>
          <w:szCs w:val="21"/>
        </w:rPr>
        <w:t>温州市交发文旅产业有限公司洞头酒店管理分公司</w:t>
      </w:r>
      <w:r>
        <w:rPr>
          <w:rFonts w:hint="eastAsia" w:asciiTheme="minorEastAsia" w:hAnsiTheme="minorEastAsia" w:eastAsiaTheme="minorEastAsia" w:cstheme="minorEastAsia"/>
          <w:bCs/>
          <w:kern w:val="0"/>
          <w:szCs w:val="21"/>
        </w:rPr>
        <w:t xml:space="preserve"> </w:t>
      </w:r>
    </w:p>
    <w:p w14:paraId="564FC1E0">
      <w:pPr>
        <w:widowControl/>
        <w:spacing w:before="60" w:after="60"/>
        <w:ind w:left="62" w:right="62" w:firstLine="420" w:firstLineChars="200"/>
        <w:jc w:val="righ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浙江工汇项目管理有限公司</w:t>
      </w:r>
    </w:p>
    <w:bookmarkEnd w:id="6"/>
    <w:bookmarkEnd w:id="7"/>
    <w:p w14:paraId="4CCD8DD5">
      <w:pPr>
        <w:widowControl/>
        <w:spacing w:before="60" w:after="60"/>
        <w:ind w:left="62" w:right="62" w:firstLine="420" w:firstLineChars="200"/>
        <w:jc w:val="righ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2026年</w:t>
      </w:r>
      <w:r>
        <w:rPr>
          <w:rFonts w:hint="eastAsia" w:asciiTheme="minorEastAsia" w:hAnsiTheme="minorEastAsia" w:eastAsiaTheme="minorEastAsia" w:cstheme="minorEastAsia"/>
          <w:color w:val="0000FF"/>
          <w:kern w:val="0"/>
          <w:szCs w:val="21"/>
        </w:rPr>
        <w:t>7月2</w:t>
      </w:r>
      <w:r>
        <w:rPr>
          <w:rFonts w:hint="eastAsia" w:asciiTheme="minorEastAsia" w:hAnsiTheme="minorEastAsia" w:eastAsiaTheme="minorEastAsia" w:cstheme="minorEastAsia"/>
          <w:color w:val="0000FF"/>
          <w:kern w:val="0"/>
          <w:szCs w:val="21"/>
          <w:lang w:val="en-US" w:eastAsia="zh-CN"/>
        </w:rPr>
        <w:t>3</w:t>
      </w:r>
      <w:r>
        <w:rPr>
          <w:rFonts w:hint="eastAsia" w:asciiTheme="minorEastAsia" w:hAnsiTheme="minorEastAsia" w:eastAsiaTheme="minorEastAsia" w:cstheme="minorEastAsia"/>
          <w:color w:val="0000FF"/>
          <w:kern w:val="0"/>
          <w:szCs w:val="21"/>
        </w:rPr>
        <w:t>日</w:t>
      </w:r>
    </w:p>
    <w:p w14:paraId="04C70DF5">
      <w:pPr>
        <w:jc w:val="center"/>
        <w:rPr>
          <w:rFonts w:hint="eastAsia" w:asciiTheme="minorEastAsia" w:hAnsiTheme="minorEastAsia" w:eastAsiaTheme="minorEastAsia" w:cstheme="minorEastAsia"/>
          <w:kern w:val="0"/>
          <w:szCs w:val="21"/>
        </w:rPr>
      </w:pPr>
    </w:p>
    <w:p w14:paraId="636F20DB">
      <w:pPr>
        <w:pStyle w:val="2"/>
        <w:rPr>
          <w:rFonts w:hint="eastAsia" w:asciiTheme="minorEastAsia" w:hAnsiTheme="minorEastAsia" w:eastAsiaTheme="minorEastAsia" w:cstheme="minorEastAsia"/>
        </w:rPr>
      </w:pPr>
      <w:bookmarkStart w:id="14" w:name="_Hlk12290785"/>
      <w:bookmarkStart w:id="15" w:name="_Toc491780522"/>
      <w:r>
        <w:rPr>
          <w:rFonts w:hint="eastAsia" w:asciiTheme="minorEastAsia" w:hAnsiTheme="minorEastAsia" w:eastAsiaTheme="minorEastAsia" w:cstheme="minorEastAsia"/>
        </w:rPr>
        <w:t>温州市交发集团所属温州市交发文旅产业有限公司洞头酒店管理分公司关于温州洞头丽笙酒店2026年劳务外包服务项目征求意见公示</w:t>
      </w:r>
      <w:bookmarkEnd w:id="14"/>
      <w:bookmarkEnd w:id="15"/>
    </w:p>
    <w:p w14:paraId="394C5BE2">
      <w:pPr>
        <w:rPr>
          <w:rFonts w:hint="eastAsia" w:asciiTheme="minorEastAsia" w:hAnsiTheme="minorEastAsia" w:eastAsiaTheme="minorEastAsia" w:cstheme="minorEastAsia"/>
        </w:rPr>
      </w:pPr>
    </w:p>
    <w:p w14:paraId="416DBD46">
      <w:pPr>
        <w:widowControl/>
        <w:spacing w:before="60" w:after="60"/>
        <w:ind w:right="62" w:firstLine="420"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Cs/>
          <w:kern w:val="0"/>
          <w:szCs w:val="21"/>
        </w:rPr>
        <w:t>浙江工汇项目管理有限公司受温州市交发文旅产业有限公司洞头酒店管理分公司的委托，就温州洞头丽笙酒店2026年劳务外包服务项目以公开招标方式进行国企采购。现将本项目采购文件公布如下（详见附件），并公开征求投标人及专家意见。</w:t>
      </w:r>
    </w:p>
    <w:p w14:paraId="2A030DE8">
      <w:pPr>
        <w:widowControl/>
        <w:spacing w:before="60" w:after="60"/>
        <w:ind w:right="62"/>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一、征求意见范围：</w:t>
      </w:r>
    </w:p>
    <w:p w14:paraId="52395133">
      <w:pPr>
        <w:widowControl/>
        <w:spacing w:before="60" w:after="60"/>
        <w:ind w:left="62"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1.是否出现明显的倾向性意见和特定的性能指标；</w:t>
      </w:r>
    </w:p>
    <w:p w14:paraId="7BECFC26">
      <w:pPr>
        <w:widowControl/>
        <w:spacing w:before="60" w:after="60"/>
        <w:ind w:left="62"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2.投标人资格条件是否具有明显倾向性和歧视性；</w:t>
      </w:r>
    </w:p>
    <w:p w14:paraId="4D9229DA">
      <w:pPr>
        <w:widowControl/>
        <w:spacing w:before="60" w:after="60"/>
        <w:ind w:left="62"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3.影响温州市国有企业采购“公开、公平、公正”原则的其他情况。 </w:t>
      </w:r>
    </w:p>
    <w:p w14:paraId="7B5C6755">
      <w:pPr>
        <w:widowControl/>
        <w:spacing w:before="60" w:after="60"/>
        <w:ind w:right="62"/>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二、征求意见的回复：</w:t>
      </w:r>
    </w:p>
    <w:p w14:paraId="22F53199">
      <w:pPr>
        <w:widowControl/>
        <w:spacing w:before="60" w:after="60"/>
        <w:ind w:left="62"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各投标人及专家提出修改理由和建议的，请于</w:t>
      </w:r>
      <w:r>
        <w:rPr>
          <w:rFonts w:hint="eastAsia" w:asciiTheme="minorEastAsia" w:hAnsiTheme="minorEastAsia" w:eastAsiaTheme="minorEastAsia" w:cstheme="minorEastAsia"/>
          <w:kern w:val="0"/>
          <w:szCs w:val="21"/>
        </w:rPr>
        <w:t>2026年7月2</w:t>
      </w:r>
      <w:r>
        <w:rPr>
          <w:rFonts w:hint="eastAsia" w:asciiTheme="minorEastAsia" w:hAnsiTheme="minorEastAsia" w:eastAsiaTheme="minorEastAsia" w:cstheme="minorEastAsia"/>
          <w:kern w:val="0"/>
          <w:szCs w:val="21"/>
          <w:lang w:val="en-US" w:eastAsia="zh-CN"/>
        </w:rPr>
        <w:t>8</w:t>
      </w:r>
      <w:r>
        <w:rPr>
          <w:rFonts w:hint="eastAsia" w:asciiTheme="minorEastAsia" w:hAnsiTheme="minorEastAsia" w:eastAsiaTheme="minorEastAsia" w:cstheme="minorEastAsia"/>
          <w:kern w:val="0"/>
          <w:szCs w:val="21"/>
        </w:rPr>
        <w:t>日</w:t>
      </w:r>
      <w:r>
        <w:rPr>
          <w:rFonts w:hint="eastAsia" w:asciiTheme="minorEastAsia" w:hAnsiTheme="minorEastAsia" w:eastAsiaTheme="minorEastAsia" w:cstheme="minorEastAsia"/>
          <w:bCs/>
          <w:kern w:val="0"/>
          <w:szCs w:val="21"/>
        </w:rPr>
        <w:t>11时00分前将书面材料签字（盖公章）并密封后送至温州市鹿城区（东瓯智库）清源路142号4楼采购代理公司，或先将扫描件及电子版发送至邮箱670232624@qq.com，并同时将该原件书面寄至浙江工汇项目管理有限公司。</w:t>
      </w:r>
    </w:p>
    <w:p w14:paraId="337C8F07">
      <w:pPr>
        <w:widowControl/>
        <w:spacing w:before="60" w:after="60"/>
        <w:ind w:left="62"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联系人：肖先生，联系电话：15305718087、</w:t>
      </w:r>
      <w:r>
        <w:rPr>
          <w:rFonts w:hint="eastAsia" w:asciiTheme="minorEastAsia" w:hAnsiTheme="minorEastAsia" w:eastAsiaTheme="minorEastAsia" w:cstheme="minorEastAsia"/>
        </w:rPr>
        <w:t>13606874516</w:t>
      </w:r>
      <w:r>
        <w:rPr>
          <w:rFonts w:hint="eastAsia" w:asciiTheme="minorEastAsia" w:hAnsiTheme="minorEastAsia" w:eastAsiaTheme="minorEastAsia" w:cstheme="minorEastAsia"/>
          <w:bCs/>
          <w:kern w:val="0"/>
          <w:szCs w:val="21"/>
        </w:rPr>
        <w:t>。</w:t>
      </w:r>
    </w:p>
    <w:p w14:paraId="4C87CE38">
      <w:pPr>
        <w:widowControl/>
        <w:spacing w:before="60" w:after="60"/>
        <w:ind w:left="62"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对逾期送达的意见、建议书恕不接受。</w:t>
      </w:r>
    </w:p>
    <w:p w14:paraId="10FF098C">
      <w:pPr>
        <w:widowControl/>
        <w:spacing w:before="60" w:after="60"/>
        <w:ind w:right="62"/>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三、附本项目采购文件</w:t>
      </w:r>
    </w:p>
    <w:p w14:paraId="231DF31D">
      <w:pPr>
        <w:widowControl/>
        <w:spacing w:before="60" w:after="60"/>
        <w:ind w:left="62" w:right="62" w:firstLine="420" w:firstLineChars="200"/>
        <w:jc w:val="righ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温州市交发文旅产业有限公司洞头酒店管理分公司</w:t>
      </w:r>
    </w:p>
    <w:p w14:paraId="4F045C4D">
      <w:pPr>
        <w:widowControl/>
        <w:spacing w:before="60" w:after="60"/>
        <w:ind w:left="62" w:right="62" w:firstLine="420" w:firstLineChars="200"/>
        <w:jc w:val="righ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浙江工汇项目管理有限公司</w:t>
      </w:r>
    </w:p>
    <w:p w14:paraId="7555DBB9">
      <w:pPr>
        <w:widowControl/>
        <w:spacing w:before="60" w:after="60"/>
        <w:ind w:left="62" w:right="62" w:firstLine="420" w:firstLineChars="200"/>
        <w:jc w:val="righ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2026年</w:t>
      </w:r>
      <w:r>
        <w:rPr>
          <w:rFonts w:hint="eastAsia" w:asciiTheme="minorEastAsia" w:hAnsiTheme="minorEastAsia" w:eastAsiaTheme="minorEastAsia" w:cstheme="minorEastAsia"/>
          <w:bCs/>
          <w:color w:val="0000FF"/>
          <w:kern w:val="0"/>
          <w:szCs w:val="21"/>
        </w:rPr>
        <w:t>7月2</w:t>
      </w:r>
      <w:r>
        <w:rPr>
          <w:rFonts w:hint="eastAsia" w:asciiTheme="minorEastAsia" w:hAnsiTheme="minorEastAsia" w:eastAsiaTheme="minorEastAsia" w:cstheme="minorEastAsia"/>
          <w:bCs/>
          <w:color w:val="0000FF"/>
          <w:kern w:val="0"/>
          <w:szCs w:val="21"/>
          <w:lang w:val="en-US" w:eastAsia="zh-CN"/>
        </w:rPr>
        <w:t>3</w:t>
      </w:r>
      <w:r>
        <w:rPr>
          <w:rFonts w:hint="eastAsia" w:asciiTheme="minorEastAsia" w:hAnsiTheme="minorEastAsia" w:eastAsiaTheme="minorEastAsia" w:cstheme="minorEastAsia"/>
          <w:bCs/>
          <w:color w:val="0000FF"/>
          <w:kern w:val="0"/>
          <w:szCs w:val="21"/>
        </w:rPr>
        <w:t>日</w:t>
      </w:r>
      <w:bookmarkEnd w:id="1"/>
    </w:p>
    <w:p w14:paraId="79DB3BAB">
      <w:pP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br w:type="page"/>
      </w:r>
    </w:p>
    <w:p w14:paraId="6A8D0BE0">
      <w:pPr>
        <w:pStyle w:val="3"/>
        <w:rPr>
          <w:rFonts w:hint="eastAsia" w:asciiTheme="minorEastAsia" w:hAnsiTheme="minorEastAsia" w:eastAsiaTheme="minorEastAsia" w:cstheme="minorEastAsia"/>
        </w:rPr>
      </w:pPr>
      <w:bookmarkStart w:id="16" w:name="_Toc219538612"/>
      <w:bookmarkStart w:id="17" w:name="_Toc223933220"/>
      <w:bookmarkStart w:id="18" w:name="_Toc227057032"/>
      <w:bookmarkStart w:id="19" w:name="_Toc217460684"/>
      <w:bookmarkStart w:id="20" w:name="_Toc491780523"/>
      <w:bookmarkStart w:id="21" w:name="_Toc223717603"/>
      <w:bookmarkStart w:id="22" w:name="_Toc227056845"/>
      <w:bookmarkStart w:id="23" w:name="_Toc216667819"/>
      <w:bookmarkStart w:id="24" w:name="_Toc215415529"/>
      <w:bookmarkStart w:id="25" w:name="_Toc218041725"/>
      <w:bookmarkStart w:id="26" w:name="_Toc227489886"/>
      <w:r>
        <w:rPr>
          <w:rFonts w:hint="eastAsia" w:asciiTheme="minorEastAsia" w:hAnsiTheme="minorEastAsia" w:eastAsiaTheme="minorEastAsia" w:cstheme="minorEastAsia"/>
        </w:rPr>
        <w:t>第一部分 投标人须知</w:t>
      </w:r>
      <w:bookmarkEnd w:id="16"/>
      <w:bookmarkEnd w:id="17"/>
      <w:bookmarkEnd w:id="18"/>
      <w:bookmarkEnd w:id="19"/>
      <w:bookmarkEnd w:id="20"/>
      <w:bookmarkEnd w:id="21"/>
      <w:bookmarkEnd w:id="22"/>
      <w:bookmarkEnd w:id="23"/>
      <w:bookmarkEnd w:id="24"/>
      <w:bookmarkEnd w:id="25"/>
      <w:bookmarkEnd w:id="26"/>
      <w:r>
        <w:rPr>
          <w:rFonts w:hint="eastAsia" w:asciiTheme="minorEastAsia" w:hAnsiTheme="minorEastAsia" w:eastAsiaTheme="minorEastAsia" w:cstheme="minorEastAsia"/>
        </w:rPr>
        <w:t>及投标人须知前附表</w:t>
      </w:r>
    </w:p>
    <w:p w14:paraId="400D7AD9">
      <w:pPr>
        <w:spacing w:before="156" w:beforeLines="50" w:after="156" w:afterLines="50"/>
        <w:jc w:val="center"/>
        <w:rPr>
          <w:rFonts w:hint="eastAsia" w:asciiTheme="minorEastAsia" w:hAnsiTheme="minorEastAsia" w:eastAsiaTheme="minorEastAsia" w:cstheme="minorEastAsia"/>
          <w:b/>
          <w:sz w:val="28"/>
          <w:szCs w:val="28"/>
        </w:rPr>
      </w:pPr>
      <w:bookmarkStart w:id="27" w:name="_Toc433729304"/>
      <w:bookmarkStart w:id="28" w:name="_Toc401243876"/>
      <w:r>
        <w:rPr>
          <w:rFonts w:hint="eastAsia" w:asciiTheme="minorEastAsia" w:hAnsiTheme="minorEastAsia" w:eastAsiaTheme="minorEastAsia" w:cstheme="minorEastAsia"/>
          <w:b/>
          <w:sz w:val="28"/>
          <w:szCs w:val="28"/>
        </w:rPr>
        <w:t>投标人须知前附表</w:t>
      </w:r>
      <w:bookmarkEnd w:id="27"/>
      <w:bookmarkEnd w:id="28"/>
    </w:p>
    <w:tbl>
      <w:tblPr>
        <w:tblStyle w:val="29"/>
        <w:tblW w:w="8988" w:type="dxa"/>
        <w:jc w:val="center"/>
        <w:tblLayout w:type="fixed"/>
        <w:tblCellMar>
          <w:top w:w="0" w:type="dxa"/>
          <w:left w:w="108" w:type="dxa"/>
          <w:bottom w:w="0" w:type="dxa"/>
          <w:right w:w="108" w:type="dxa"/>
        </w:tblCellMar>
      </w:tblPr>
      <w:tblGrid>
        <w:gridCol w:w="836"/>
        <w:gridCol w:w="1624"/>
        <w:gridCol w:w="6528"/>
      </w:tblGrid>
      <w:tr w14:paraId="1ADEEAAB">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02EB4F1">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序号</w:t>
            </w:r>
          </w:p>
        </w:tc>
        <w:tc>
          <w:tcPr>
            <w:tcW w:w="1624" w:type="dxa"/>
            <w:tcBorders>
              <w:top w:val="single" w:color="auto" w:sz="4" w:space="0"/>
              <w:left w:val="single" w:color="auto" w:sz="4" w:space="0"/>
              <w:bottom w:val="single" w:color="auto" w:sz="4" w:space="0"/>
              <w:right w:val="single" w:color="auto" w:sz="4" w:space="0"/>
            </w:tcBorders>
            <w:vAlign w:val="center"/>
          </w:tcPr>
          <w:p w14:paraId="7AE060C8">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14:paraId="0CEDD3B1">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编列内容</w:t>
            </w:r>
          </w:p>
        </w:tc>
      </w:tr>
      <w:tr w14:paraId="4C0BCED1">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4DD72E4">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6E8D8DAF">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14:paraId="47817254">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温州洞头丽笙酒店2026年劳务外包服务</w:t>
            </w:r>
          </w:p>
        </w:tc>
      </w:tr>
      <w:tr w14:paraId="7EFD8108">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C09FAA5">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25E17A2A">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项目编号</w:t>
            </w:r>
          </w:p>
        </w:tc>
        <w:tc>
          <w:tcPr>
            <w:tcW w:w="6528" w:type="dxa"/>
            <w:tcBorders>
              <w:top w:val="single" w:color="auto" w:sz="4" w:space="0"/>
              <w:left w:val="single" w:color="auto" w:sz="4" w:space="0"/>
              <w:bottom w:val="single" w:color="auto" w:sz="4" w:space="0"/>
              <w:right w:val="single" w:color="auto" w:sz="4" w:space="0"/>
            </w:tcBorders>
            <w:vAlign w:val="center"/>
          </w:tcPr>
          <w:p w14:paraId="5618583A">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WGSS-JFJT-Z-2026002</w:t>
            </w:r>
          </w:p>
        </w:tc>
      </w:tr>
      <w:tr w14:paraId="3D993482">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E4C198C">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287D03A0">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采购人</w:t>
            </w:r>
          </w:p>
        </w:tc>
        <w:tc>
          <w:tcPr>
            <w:tcW w:w="6528" w:type="dxa"/>
            <w:tcBorders>
              <w:top w:val="single" w:color="auto" w:sz="4" w:space="0"/>
              <w:left w:val="single" w:color="auto" w:sz="4" w:space="0"/>
              <w:bottom w:val="single" w:color="auto" w:sz="4" w:space="0"/>
              <w:right w:val="single" w:color="auto" w:sz="4" w:space="0"/>
            </w:tcBorders>
            <w:vAlign w:val="center"/>
          </w:tcPr>
          <w:p w14:paraId="5F00DCF3">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采购人名称：温州市交发文旅产业有限公司洞头酒店管理分公司</w:t>
            </w:r>
          </w:p>
          <w:p w14:paraId="3F294F96">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联系人：马女士</w:t>
            </w:r>
          </w:p>
          <w:p w14:paraId="2EDF0A41">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联系电话：13355771527</w:t>
            </w:r>
          </w:p>
        </w:tc>
      </w:tr>
      <w:tr w14:paraId="24321B00">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9803159">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05F2002C">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14:paraId="2FFD4D7C">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代理机构名称：浙江工汇项目管理有限公司</w:t>
            </w:r>
          </w:p>
          <w:p w14:paraId="23925C0D">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代理机构地址：温州市鹿城区（东瓯智库）清源路142号4楼</w:t>
            </w:r>
          </w:p>
          <w:p w14:paraId="40E21592">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联系人：彭先生</w:t>
            </w:r>
          </w:p>
          <w:p w14:paraId="3C625A61">
            <w:pPr>
              <w:widowControl/>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联系方式：13588841206，邮箱：670232624@qq.com</w:t>
            </w:r>
          </w:p>
        </w:tc>
      </w:tr>
      <w:tr w14:paraId="6BD5062D">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14287B9">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605D8AF0">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14:paraId="7FA80501">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具体采购内容及要求见本采购文件相关部分。</w:t>
            </w:r>
          </w:p>
        </w:tc>
      </w:tr>
      <w:tr w14:paraId="62EEEE74">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65ACE47">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44A86338">
            <w:pPr>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bCs/>
                <w:kern w:val="0"/>
                <w:sz w:val="18"/>
                <w:szCs w:val="18"/>
              </w:rPr>
              <w:t>采购预算及综合单价最高限价</w:t>
            </w:r>
          </w:p>
        </w:tc>
        <w:tc>
          <w:tcPr>
            <w:tcW w:w="6528" w:type="dxa"/>
            <w:tcBorders>
              <w:top w:val="single" w:color="auto" w:sz="4" w:space="0"/>
              <w:left w:val="single" w:color="auto" w:sz="4" w:space="0"/>
              <w:bottom w:val="single" w:color="auto" w:sz="4" w:space="0"/>
              <w:right w:val="single" w:color="auto" w:sz="4" w:space="0"/>
            </w:tcBorders>
            <w:vAlign w:val="center"/>
          </w:tcPr>
          <w:p w14:paraId="0AF324A1">
            <w:pPr>
              <w:widowControl/>
              <w:spacing w:before="60" w:after="60"/>
              <w:ind w:firstLine="361" w:firstLineChars="200"/>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bCs/>
                <w:kern w:val="0"/>
                <w:sz w:val="18"/>
                <w:szCs w:val="18"/>
                <w:u w:val="single"/>
              </w:rPr>
              <w:t>▲本项目采购预算为人民币80万元；单价最高限价为：</w:t>
            </w:r>
          </w:p>
          <w:tbl>
            <w:tblPr>
              <w:tblStyle w:val="29"/>
              <w:tblW w:w="5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010"/>
              <w:gridCol w:w="688"/>
              <w:gridCol w:w="2290"/>
            </w:tblGrid>
            <w:tr w14:paraId="303C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2CD0DA5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序号</w:t>
                  </w:r>
                </w:p>
              </w:tc>
              <w:tc>
                <w:tcPr>
                  <w:tcW w:w="2010" w:type="dxa"/>
                  <w:vAlign w:val="center"/>
                </w:tcPr>
                <w:p w14:paraId="635497F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岗位名称</w:t>
                  </w:r>
                </w:p>
              </w:tc>
              <w:tc>
                <w:tcPr>
                  <w:tcW w:w="688" w:type="dxa"/>
                  <w:vAlign w:val="center"/>
                </w:tcPr>
                <w:p w14:paraId="3F55C0B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单位</w:t>
                  </w:r>
                </w:p>
              </w:tc>
              <w:tc>
                <w:tcPr>
                  <w:tcW w:w="2290" w:type="dxa"/>
                  <w:vAlign w:val="center"/>
                </w:tcPr>
                <w:p w14:paraId="57CEB685">
                  <w:pPr>
                    <w:widowControl/>
                    <w:spacing w:line="240" w:lineRule="exact"/>
                    <w:jc w:val="center"/>
                    <w:rPr>
                      <w:rFonts w:hint="eastAsia" w:ascii="宋体" w:hAnsi="宋体" w:cs="宋体"/>
                      <w:kern w:val="0"/>
                      <w:sz w:val="18"/>
                      <w:szCs w:val="18"/>
                    </w:rPr>
                  </w:pPr>
                  <w:r>
                    <w:rPr>
                      <w:rFonts w:hint="eastAsia" w:ascii="宋体" w:hAnsi="宋体" w:cs="宋体"/>
                      <w:b/>
                      <w:bCs/>
                      <w:kern w:val="0"/>
                      <w:sz w:val="18"/>
                      <w:szCs w:val="18"/>
                      <w:u w:val="single"/>
                    </w:rPr>
                    <w:t>▲含税综合单价最高限价</w:t>
                  </w:r>
                </w:p>
              </w:tc>
            </w:tr>
            <w:tr w14:paraId="0B73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2D4A87B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2010" w:type="dxa"/>
                  <w:vAlign w:val="center"/>
                </w:tcPr>
                <w:p w14:paraId="1F44C342">
                  <w:pPr>
                    <w:widowControl/>
                    <w:spacing w:line="240" w:lineRule="exact"/>
                    <w:rPr>
                      <w:rFonts w:hint="eastAsia" w:ascii="宋体" w:hAnsi="宋体" w:cs="宋体"/>
                      <w:kern w:val="0"/>
                      <w:sz w:val="18"/>
                      <w:szCs w:val="18"/>
                    </w:rPr>
                  </w:pPr>
                  <w:r>
                    <w:rPr>
                      <w:rFonts w:hint="eastAsia" w:ascii="宋体" w:hAnsi="宋体" w:cs="宋体"/>
                      <w:kern w:val="0"/>
                      <w:sz w:val="18"/>
                      <w:szCs w:val="18"/>
                    </w:rPr>
                    <w:t>A：客房清洁</w:t>
                  </w:r>
                </w:p>
              </w:tc>
              <w:tc>
                <w:tcPr>
                  <w:tcW w:w="688" w:type="dxa"/>
                  <w:vAlign w:val="center"/>
                </w:tcPr>
                <w:p w14:paraId="2C037DA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间</w:t>
                  </w:r>
                </w:p>
              </w:tc>
              <w:tc>
                <w:tcPr>
                  <w:tcW w:w="2290" w:type="dxa"/>
                  <w:vAlign w:val="center"/>
                </w:tcPr>
                <w:p w14:paraId="1CF8AF90">
                  <w:pPr>
                    <w:widowControl/>
                    <w:spacing w:line="240" w:lineRule="exact"/>
                    <w:jc w:val="center"/>
                    <w:rPr>
                      <w:rFonts w:hint="eastAsia" w:ascii="宋体" w:hAnsi="宋体" w:cs="宋体"/>
                      <w:b/>
                      <w:bCs/>
                      <w:kern w:val="0"/>
                      <w:sz w:val="18"/>
                      <w:szCs w:val="18"/>
                      <w:u w:val="single"/>
                    </w:rPr>
                  </w:pPr>
                  <w:r>
                    <w:rPr>
                      <w:rFonts w:hint="eastAsia" w:ascii="宋体" w:hAnsi="宋体" w:cs="宋体"/>
                      <w:b/>
                      <w:bCs/>
                      <w:kern w:val="0"/>
                      <w:sz w:val="18"/>
                      <w:szCs w:val="18"/>
                      <w:u w:val="single"/>
                    </w:rPr>
                    <w:t>29.5（元/间）</w:t>
                  </w:r>
                </w:p>
              </w:tc>
            </w:tr>
            <w:tr w14:paraId="3548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77A89D0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w:t>
                  </w:r>
                </w:p>
              </w:tc>
              <w:tc>
                <w:tcPr>
                  <w:tcW w:w="2010" w:type="dxa"/>
                  <w:vAlign w:val="center"/>
                </w:tcPr>
                <w:p w14:paraId="1A9CEF4F">
                  <w:pPr>
                    <w:widowControl/>
                    <w:spacing w:line="240" w:lineRule="exact"/>
                    <w:rPr>
                      <w:rFonts w:hint="eastAsia" w:ascii="宋体" w:hAnsi="宋体" w:cs="宋体"/>
                      <w:kern w:val="0"/>
                      <w:sz w:val="18"/>
                      <w:szCs w:val="18"/>
                    </w:rPr>
                  </w:pPr>
                  <w:r>
                    <w:rPr>
                      <w:rFonts w:hint="eastAsia" w:ascii="宋体" w:hAnsi="宋体" w:cs="宋体"/>
                      <w:kern w:val="0"/>
                      <w:sz w:val="18"/>
                      <w:szCs w:val="18"/>
                    </w:rPr>
                    <w:t>B：PA主管</w:t>
                  </w:r>
                </w:p>
              </w:tc>
              <w:tc>
                <w:tcPr>
                  <w:tcW w:w="688" w:type="dxa"/>
                  <w:vAlign w:val="center"/>
                </w:tcPr>
                <w:p w14:paraId="1195748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小时</w:t>
                  </w:r>
                </w:p>
              </w:tc>
              <w:tc>
                <w:tcPr>
                  <w:tcW w:w="2290" w:type="dxa"/>
                  <w:vAlign w:val="center"/>
                </w:tcPr>
                <w:p w14:paraId="2DA530AC">
                  <w:pPr>
                    <w:widowControl/>
                    <w:spacing w:line="240" w:lineRule="exact"/>
                    <w:jc w:val="center"/>
                    <w:rPr>
                      <w:rFonts w:hint="eastAsia" w:ascii="宋体" w:hAnsi="宋体" w:cs="宋体"/>
                      <w:b/>
                      <w:bCs/>
                      <w:kern w:val="0"/>
                      <w:sz w:val="18"/>
                      <w:szCs w:val="18"/>
                      <w:u w:val="single"/>
                    </w:rPr>
                  </w:pPr>
                  <w:r>
                    <w:rPr>
                      <w:rFonts w:hint="eastAsia" w:ascii="宋体" w:hAnsi="宋体" w:cs="宋体"/>
                      <w:b/>
                      <w:bCs/>
                      <w:kern w:val="0"/>
                      <w:sz w:val="18"/>
                      <w:szCs w:val="18"/>
                      <w:u w:val="single"/>
                    </w:rPr>
                    <w:t>38（元/小时）</w:t>
                  </w:r>
                </w:p>
              </w:tc>
            </w:tr>
            <w:tr w14:paraId="298C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4BFBF4B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w:t>
                  </w:r>
                </w:p>
              </w:tc>
              <w:tc>
                <w:tcPr>
                  <w:tcW w:w="2010" w:type="dxa"/>
                  <w:vAlign w:val="center"/>
                </w:tcPr>
                <w:p w14:paraId="1BE8F691">
                  <w:pPr>
                    <w:widowControl/>
                    <w:spacing w:line="240" w:lineRule="exact"/>
                    <w:rPr>
                      <w:rFonts w:hint="eastAsia" w:ascii="宋体" w:hAnsi="宋体" w:cs="宋体"/>
                      <w:kern w:val="0"/>
                      <w:sz w:val="18"/>
                      <w:szCs w:val="18"/>
                    </w:rPr>
                  </w:pPr>
                  <w:r>
                    <w:rPr>
                      <w:rFonts w:hint="eastAsia" w:ascii="宋体" w:hAnsi="宋体" w:cs="宋体"/>
                      <w:kern w:val="0"/>
                      <w:sz w:val="18"/>
                      <w:szCs w:val="18"/>
                    </w:rPr>
                    <w:t>C：PA技工</w:t>
                  </w:r>
                </w:p>
              </w:tc>
              <w:tc>
                <w:tcPr>
                  <w:tcW w:w="688" w:type="dxa"/>
                  <w:vAlign w:val="center"/>
                </w:tcPr>
                <w:p w14:paraId="5347CE7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小时</w:t>
                  </w:r>
                </w:p>
              </w:tc>
              <w:tc>
                <w:tcPr>
                  <w:tcW w:w="2290" w:type="dxa"/>
                  <w:vAlign w:val="center"/>
                </w:tcPr>
                <w:p w14:paraId="04C8E1D6">
                  <w:pPr>
                    <w:widowControl/>
                    <w:spacing w:line="240" w:lineRule="exact"/>
                    <w:jc w:val="center"/>
                    <w:rPr>
                      <w:rFonts w:hint="eastAsia" w:ascii="宋体" w:hAnsi="宋体" w:cs="宋体"/>
                      <w:b/>
                      <w:bCs/>
                      <w:kern w:val="0"/>
                      <w:sz w:val="18"/>
                      <w:szCs w:val="18"/>
                      <w:u w:val="single"/>
                    </w:rPr>
                  </w:pPr>
                  <w:r>
                    <w:rPr>
                      <w:rFonts w:hint="eastAsia" w:ascii="宋体" w:hAnsi="宋体" w:cs="宋体"/>
                      <w:b/>
                      <w:bCs/>
                      <w:kern w:val="0"/>
                      <w:sz w:val="18"/>
                      <w:szCs w:val="18"/>
                      <w:u w:val="single"/>
                    </w:rPr>
                    <w:t>30.9（元/小时）</w:t>
                  </w:r>
                </w:p>
              </w:tc>
            </w:tr>
            <w:tr w14:paraId="4039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0C7566A7">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4</w:t>
                  </w:r>
                </w:p>
              </w:tc>
              <w:tc>
                <w:tcPr>
                  <w:tcW w:w="2010" w:type="dxa"/>
                  <w:vAlign w:val="center"/>
                </w:tcPr>
                <w:p w14:paraId="0EEFBFFB">
                  <w:pPr>
                    <w:widowControl/>
                    <w:spacing w:line="240" w:lineRule="exact"/>
                    <w:rPr>
                      <w:rFonts w:hint="eastAsia" w:ascii="宋体" w:hAnsi="宋体" w:cs="宋体"/>
                      <w:kern w:val="0"/>
                      <w:sz w:val="18"/>
                      <w:szCs w:val="18"/>
                    </w:rPr>
                  </w:pPr>
                  <w:r>
                    <w:rPr>
                      <w:rFonts w:hint="eastAsia" w:ascii="宋体" w:hAnsi="宋体" w:cs="宋体"/>
                      <w:kern w:val="0"/>
                      <w:sz w:val="18"/>
                      <w:szCs w:val="18"/>
                    </w:rPr>
                    <w:t>D：PA保洁员、管事小时工、餐厅小时工</w:t>
                  </w:r>
                </w:p>
              </w:tc>
              <w:tc>
                <w:tcPr>
                  <w:tcW w:w="688" w:type="dxa"/>
                  <w:vAlign w:val="center"/>
                </w:tcPr>
                <w:p w14:paraId="1EA4B33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小时</w:t>
                  </w:r>
                </w:p>
              </w:tc>
              <w:tc>
                <w:tcPr>
                  <w:tcW w:w="2290" w:type="dxa"/>
                  <w:vAlign w:val="center"/>
                </w:tcPr>
                <w:p w14:paraId="2F7BECD8">
                  <w:pPr>
                    <w:widowControl/>
                    <w:spacing w:line="240" w:lineRule="exact"/>
                    <w:jc w:val="center"/>
                    <w:rPr>
                      <w:rFonts w:hint="eastAsia" w:ascii="宋体" w:hAnsi="宋体" w:cs="宋体"/>
                      <w:b/>
                      <w:bCs/>
                      <w:kern w:val="0"/>
                      <w:sz w:val="18"/>
                      <w:szCs w:val="18"/>
                      <w:u w:val="single"/>
                    </w:rPr>
                  </w:pPr>
                  <w:r>
                    <w:rPr>
                      <w:rFonts w:hint="eastAsia" w:ascii="宋体" w:hAnsi="宋体" w:cs="宋体"/>
                      <w:b/>
                      <w:bCs/>
                      <w:kern w:val="0"/>
                      <w:sz w:val="18"/>
                      <w:szCs w:val="18"/>
                      <w:u w:val="single"/>
                    </w:rPr>
                    <w:t>29（元/小时）</w:t>
                  </w:r>
                </w:p>
              </w:tc>
            </w:tr>
          </w:tbl>
          <w:p w14:paraId="0841E4B0">
            <w:pPr>
              <w:widowControl/>
              <w:spacing w:before="60" w:after="60"/>
              <w:ind w:firstLine="361" w:firstLineChars="200"/>
              <w:rPr>
                <w:rFonts w:hint="eastAsia" w:asciiTheme="minorEastAsia" w:hAnsiTheme="minorEastAsia" w:eastAsiaTheme="minorEastAsia" w:cstheme="minorEastAsia"/>
                <w:b/>
                <w:bCs/>
                <w:kern w:val="0"/>
                <w:sz w:val="18"/>
                <w:szCs w:val="18"/>
                <w:u w:val="single"/>
              </w:rPr>
            </w:pPr>
            <w:r>
              <w:rPr>
                <w:rFonts w:hint="eastAsia" w:asciiTheme="minorEastAsia" w:hAnsiTheme="minorEastAsia" w:eastAsiaTheme="minorEastAsia" w:cstheme="minorEastAsia"/>
                <w:b/>
                <w:kern w:val="0"/>
                <w:sz w:val="18"/>
                <w:szCs w:val="18"/>
                <w:u w:val="single"/>
              </w:rPr>
              <w:t>▲投标人开标一览表关于A--D项含税综合单价报价中，任一一项报价超过相应综合单价最高限价的作无效标处理。</w:t>
            </w:r>
          </w:p>
        </w:tc>
      </w:tr>
      <w:tr w14:paraId="05CA0DEE">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33ED307">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1C3262D3">
            <w:pPr>
              <w:jc w:val="center"/>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服务期限</w:t>
            </w:r>
          </w:p>
        </w:tc>
        <w:tc>
          <w:tcPr>
            <w:tcW w:w="6528" w:type="dxa"/>
            <w:tcBorders>
              <w:top w:val="single" w:color="auto" w:sz="4" w:space="0"/>
              <w:left w:val="single" w:color="auto" w:sz="4" w:space="0"/>
              <w:bottom w:val="single" w:color="auto" w:sz="4" w:space="0"/>
              <w:right w:val="single" w:color="auto" w:sz="4" w:space="0"/>
            </w:tcBorders>
            <w:vAlign w:val="center"/>
          </w:tcPr>
          <w:p w14:paraId="540603BB">
            <w:pPr>
              <w:pStyle w:val="9"/>
              <w:ind w:firstLine="360" w:firstLineChars="200"/>
              <w:rPr>
                <w:rFonts w:hint="eastAsia" w:asciiTheme="minorEastAsia" w:hAnsiTheme="minorEastAsia" w:eastAsiaTheme="minorEastAsia" w:cstheme="minorEastAsia"/>
                <w:b/>
                <w:bCs/>
                <w:sz w:val="24"/>
                <w:u w:val="single"/>
              </w:rPr>
            </w:pPr>
            <w:r>
              <w:rPr>
                <w:rFonts w:hint="eastAsia" w:asciiTheme="minorEastAsia" w:hAnsiTheme="minorEastAsia" w:eastAsiaTheme="minorEastAsia" w:cstheme="minorEastAsia"/>
                <w:kern w:val="0"/>
                <w:sz w:val="18"/>
                <w:szCs w:val="18"/>
              </w:rPr>
              <w:t>1年，</w:t>
            </w:r>
          </w:p>
        </w:tc>
      </w:tr>
      <w:tr w14:paraId="6864655D">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38513A4">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134F4C8D">
            <w:pPr>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投标人资格要求</w:t>
            </w:r>
          </w:p>
        </w:tc>
        <w:tc>
          <w:tcPr>
            <w:tcW w:w="6528" w:type="dxa"/>
            <w:tcBorders>
              <w:top w:val="single" w:color="auto" w:sz="4" w:space="0"/>
              <w:left w:val="single" w:color="auto" w:sz="4" w:space="0"/>
              <w:bottom w:val="single" w:color="auto" w:sz="4" w:space="0"/>
              <w:right w:val="single" w:color="auto" w:sz="4" w:space="0"/>
            </w:tcBorders>
            <w:vAlign w:val="center"/>
          </w:tcPr>
          <w:p w14:paraId="64388C1F">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见采购公告中的要求</w:t>
            </w:r>
          </w:p>
        </w:tc>
      </w:tr>
      <w:tr w14:paraId="27432638">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E919466">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61F6F14F">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14:paraId="59943F09">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kern w:val="0"/>
                <w:sz w:val="18"/>
                <w:szCs w:val="18"/>
              </w:rPr>
              <w:sym w:font="Wingdings" w:char="F0FE"/>
            </w:r>
            <w:r>
              <w:rPr>
                <w:rFonts w:hint="eastAsia" w:asciiTheme="minorEastAsia" w:hAnsiTheme="minorEastAsia" w:eastAsiaTheme="minorEastAsia" w:cstheme="minorEastAsia"/>
                <w:kern w:val="0"/>
                <w:sz w:val="18"/>
                <w:szCs w:val="18"/>
              </w:rPr>
              <w:t>不接受</w:t>
            </w:r>
          </w:p>
        </w:tc>
      </w:tr>
      <w:tr w14:paraId="2E937FE5">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61E060A">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58DA8359">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14:paraId="51EDE5BE">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snapToGrid w:val="0"/>
                <w:sz w:val="18"/>
                <w:szCs w:val="18"/>
              </w:rPr>
              <w:sym w:font="Wingdings" w:char="F0FE"/>
            </w:r>
            <w:r>
              <w:rPr>
                <w:rFonts w:hint="eastAsia" w:asciiTheme="minorEastAsia" w:hAnsiTheme="minorEastAsia" w:eastAsiaTheme="minorEastAsia" w:cstheme="minorEastAsia"/>
                <w:kern w:val="0"/>
                <w:sz w:val="18"/>
                <w:szCs w:val="18"/>
              </w:rPr>
              <w:t>不组织</w:t>
            </w:r>
          </w:p>
        </w:tc>
      </w:tr>
      <w:tr w14:paraId="43A44A91">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B9E2DCF">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2E505231">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14:paraId="5A6DDC2B">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snapToGrid w:val="0"/>
                <w:sz w:val="18"/>
                <w:szCs w:val="18"/>
              </w:rPr>
              <w:sym w:font="Wingdings" w:char="F0FE"/>
            </w:r>
            <w:r>
              <w:rPr>
                <w:rFonts w:hint="eastAsia" w:asciiTheme="minorEastAsia" w:hAnsiTheme="minorEastAsia" w:eastAsiaTheme="minorEastAsia" w:cstheme="minorEastAsia"/>
                <w:kern w:val="0"/>
                <w:sz w:val="18"/>
                <w:szCs w:val="18"/>
              </w:rPr>
              <w:t>不召开</w:t>
            </w:r>
          </w:p>
        </w:tc>
      </w:tr>
      <w:tr w14:paraId="5B2E9A8A">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0CD7A90">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35E3B0A4">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投标人对采购文件提出澄清疑问</w:t>
            </w:r>
          </w:p>
        </w:tc>
        <w:tc>
          <w:tcPr>
            <w:tcW w:w="6528" w:type="dxa"/>
            <w:tcBorders>
              <w:top w:val="single" w:color="auto" w:sz="4" w:space="0"/>
              <w:left w:val="single" w:color="auto" w:sz="4" w:space="0"/>
              <w:bottom w:val="single" w:color="auto" w:sz="4" w:space="0"/>
              <w:right w:val="single" w:color="auto" w:sz="4" w:space="0"/>
            </w:tcBorders>
            <w:vAlign w:val="center"/>
          </w:tcPr>
          <w:p w14:paraId="7AFC649B">
            <w:pPr>
              <w:wordWrap w:val="0"/>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询疑截止时间：2026年7月2</w:t>
            </w:r>
            <w:r>
              <w:rPr>
                <w:rFonts w:hint="eastAsia" w:asciiTheme="minorEastAsia" w:hAnsiTheme="minorEastAsia" w:eastAsiaTheme="minorEastAsia" w:cstheme="minorEastAsia"/>
                <w:kern w:val="0"/>
                <w:sz w:val="18"/>
                <w:szCs w:val="18"/>
                <w:lang w:val="en-US" w:eastAsia="zh-CN"/>
              </w:rPr>
              <w:t>8</w:t>
            </w:r>
            <w:bookmarkStart w:id="156" w:name="_GoBack"/>
            <w:bookmarkEnd w:id="156"/>
            <w:r>
              <w:rPr>
                <w:rFonts w:hint="eastAsia" w:asciiTheme="minorEastAsia" w:hAnsiTheme="minorEastAsia" w:eastAsiaTheme="minorEastAsia" w:cstheme="minorEastAsia"/>
                <w:kern w:val="0"/>
                <w:sz w:val="18"/>
                <w:szCs w:val="18"/>
              </w:rPr>
              <w:t>日11时00分之前</w:t>
            </w:r>
          </w:p>
          <w:p w14:paraId="3FAC9721">
            <w:pPr>
              <w:wordWrap w:val="0"/>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询疑文件提交：</w:t>
            </w:r>
            <w:r>
              <w:fldChar w:fldCharType="begin"/>
            </w:r>
            <w:r>
              <w:instrText xml:space="preserve"> HYPERLINK "mailto:质疑文件加盖公章后以照片或扫描件发送至邮箱517411407@qq.com" </w:instrText>
            </w:r>
            <w:r>
              <w:fldChar w:fldCharType="separate"/>
            </w:r>
            <w:r>
              <w:rPr>
                <w:rStyle w:val="34"/>
                <w:rFonts w:hint="eastAsia" w:asciiTheme="minorEastAsia" w:hAnsiTheme="minorEastAsia" w:eastAsiaTheme="minorEastAsia" w:cstheme="minorEastAsia"/>
                <w:color w:val="auto"/>
                <w:kern w:val="0"/>
                <w:sz w:val="18"/>
                <w:szCs w:val="18"/>
              </w:rPr>
              <w:t>澄清文件加盖公章后以照片或扫描件发送至邮箱670232624@qq.com</w:t>
            </w:r>
            <w:r>
              <w:rPr>
                <w:rStyle w:val="34"/>
                <w:rFonts w:hint="eastAsia" w:asciiTheme="minorEastAsia" w:hAnsiTheme="minorEastAsia" w:eastAsiaTheme="minorEastAsia" w:cstheme="minorEastAsia"/>
                <w:color w:val="auto"/>
                <w:kern w:val="0"/>
                <w:sz w:val="18"/>
                <w:szCs w:val="18"/>
              </w:rPr>
              <w:fldChar w:fldCharType="end"/>
            </w:r>
          </w:p>
        </w:tc>
      </w:tr>
      <w:tr w14:paraId="3BFFD543">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5EB79E6">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55B03742">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14:paraId="6444BC7C">
            <w:pPr>
              <w:adjustRightInd w:val="0"/>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napToGrid w:val="0"/>
                <w:sz w:val="18"/>
                <w:szCs w:val="18"/>
              </w:rPr>
              <w:sym w:font="Wingdings" w:char="F0FE"/>
            </w:r>
            <w:r>
              <w:rPr>
                <w:rFonts w:hint="eastAsia" w:asciiTheme="minorEastAsia" w:hAnsiTheme="minorEastAsia" w:eastAsiaTheme="minorEastAsia" w:cstheme="minorEastAsia"/>
                <w:kern w:val="0"/>
                <w:sz w:val="18"/>
                <w:szCs w:val="18"/>
              </w:rPr>
              <w:t>不允许</w:t>
            </w:r>
          </w:p>
        </w:tc>
      </w:tr>
      <w:tr w14:paraId="335558E9">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0A53A9D">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3DC6799E">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14:paraId="02348169">
            <w:pPr>
              <w:widowControl/>
              <w:adjustRightInd w:val="0"/>
              <w:jc w:val="left"/>
              <w:textAlignment w:val="baseline"/>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snapToGrid w:val="0"/>
                <w:sz w:val="18"/>
                <w:szCs w:val="18"/>
              </w:rPr>
              <w:sym w:font="Wingdings" w:char="F0FE"/>
            </w:r>
            <w:r>
              <w:rPr>
                <w:rFonts w:hint="eastAsia" w:asciiTheme="minorEastAsia" w:hAnsiTheme="minorEastAsia" w:eastAsiaTheme="minorEastAsia" w:cstheme="minorEastAsia"/>
                <w:kern w:val="0"/>
                <w:sz w:val="18"/>
                <w:szCs w:val="18"/>
              </w:rPr>
              <w:t>否，证照、证件和证明文件原件除外</w:t>
            </w:r>
          </w:p>
        </w:tc>
      </w:tr>
      <w:tr w14:paraId="23A6CA75">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C40AC39">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081C05CA">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偏离</w:t>
            </w:r>
          </w:p>
        </w:tc>
        <w:tc>
          <w:tcPr>
            <w:tcW w:w="6528" w:type="dxa"/>
            <w:tcBorders>
              <w:top w:val="single" w:color="auto" w:sz="4" w:space="0"/>
              <w:left w:val="single" w:color="auto" w:sz="4" w:space="0"/>
              <w:bottom w:val="single" w:color="auto" w:sz="4" w:space="0"/>
              <w:right w:val="single" w:color="auto" w:sz="4" w:space="0"/>
            </w:tcBorders>
            <w:vAlign w:val="center"/>
          </w:tcPr>
          <w:p w14:paraId="3616CC42">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偏差允许幅度及其处理方法：允许细微偏差，不允许重大偏差。由评标委员会判断，细微偏差要求投标人在评标结束前予以澄清、说明或补正，不按要求进行的澄清、说明或补正的，评标委员会有权作无效标处理，详见第一部分投标人须知条款“23.</w:t>
            </w:r>
            <w:r>
              <w:rPr>
                <w:rFonts w:hint="eastAsia" w:asciiTheme="minorEastAsia" w:hAnsiTheme="minorEastAsia" w:eastAsiaTheme="minorEastAsia" w:cstheme="minorEastAsia"/>
                <w:sz w:val="18"/>
                <w:szCs w:val="18"/>
              </w:rPr>
              <w:t>投标文件的澄清</w:t>
            </w:r>
            <w:r>
              <w:rPr>
                <w:rFonts w:hint="eastAsia" w:asciiTheme="minorEastAsia" w:hAnsiTheme="minorEastAsia" w:eastAsiaTheme="minorEastAsia" w:cstheme="minorEastAsia"/>
                <w:kern w:val="0"/>
                <w:sz w:val="18"/>
                <w:szCs w:val="18"/>
              </w:rPr>
              <w:t>”</w:t>
            </w:r>
          </w:p>
        </w:tc>
      </w:tr>
      <w:tr w14:paraId="4902C2AF">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0B1B31C">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4C311363">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14:paraId="11C18B1E">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投标文件自投标文件递交截止时间起生效，有效期90天。</w:t>
            </w:r>
          </w:p>
        </w:tc>
      </w:tr>
      <w:tr w14:paraId="28071450">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9F383AD">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5E0F3DFE">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14:paraId="09CA1151">
            <w:pPr>
              <w:rPr>
                <w:rFonts w:hint="eastAsia" w:asciiTheme="minorEastAsia" w:hAnsiTheme="minorEastAsia" w:cstheme="minorEastAsia"/>
                <w:b/>
                <w:kern w:val="0"/>
                <w:sz w:val="18"/>
                <w:szCs w:val="18"/>
              </w:rPr>
            </w:pPr>
            <w:r>
              <w:rPr>
                <w:rFonts w:hint="eastAsia" w:asciiTheme="minorEastAsia" w:hAnsiTheme="minorEastAsia" w:eastAsiaTheme="minorEastAsia" w:cstheme="minorEastAsia"/>
                <w:kern w:val="0"/>
                <w:sz w:val="18"/>
                <w:szCs w:val="18"/>
              </w:rPr>
              <w:t>见采购公告内容（采购公告第九条中的规定）</w:t>
            </w:r>
          </w:p>
        </w:tc>
      </w:tr>
      <w:tr w14:paraId="50357285">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2A30A45">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33CDBE4D">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14:paraId="770A6384">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1）提供技术资信标一式五份，正本一份，副本四份；</w:t>
            </w:r>
          </w:p>
          <w:p w14:paraId="6498AD19">
            <w:pPr>
              <w:ind w:firstLine="36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szCs w:val="18"/>
              </w:rPr>
              <w:t>2）提供商务（报价）标一式五份，正本一份，副本四份。</w:t>
            </w:r>
          </w:p>
        </w:tc>
      </w:tr>
      <w:tr w14:paraId="7C19D3BD">
        <w:tblPrEx>
          <w:tblCellMar>
            <w:top w:w="0" w:type="dxa"/>
            <w:left w:w="108" w:type="dxa"/>
            <w:bottom w:w="0" w:type="dxa"/>
            <w:right w:w="108" w:type="dxa"/>
          </w:tblCellMar>
        </w:tblPrEx>
        <w:trPr>
          <w:trHeight w:val="71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D773B60">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522D8A4C">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14:paraId="381F56D5">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投标文件递交截止时间：</w:t>
            </w:r>
            <w:r>
              <w:rPr>
                <w:rFonts w:hint="eastAsia" w:asciiTheme="minorEastAsia" w:hAnsiTheme="minorEastAsia" w:eastAsiaTheme="minorEastAsia" w:cstheme="minorEastAsia"/>
                <w:b/>
                <w:bCs/>
                <w:kern w:val="0"/>
                <w:sz w:val="18"/>
                <w:szCs w:val="18"/>
              </w:rPr>
              <w:t>2026年8月4日9时30分</w:t>
            </w:r>
          </w:p>
          <w:p w14:paraId="2552FF53">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递交地点：温州市交通发展集团有限公司2楼开标大厅（温州市鹿城区车站大道669号尚品商务楼）</w:t>
            </w:r>
          </w:p>
        </w:tc>
      </w:tr>
      <w:tr w14:paraId="632F705E">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5DCE988">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06F7C13B">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开标时间</w:t>
            </w:r>
          </w:p>
          <w:p w14:paraId="69BC9819">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和地点</w:t>
            </w:r>
          </w:p>
        </w:tc>
        <w:tc>
          <w:tcPr>
            <w:tcW w:w="6528" w:type="dxa"/>
            <w:tcBorders>
              <w:top w:val="single" w:color="auto" w:sz="4" w:space="0"/>
              <w:left w:val="single" w:color="auto" w:sz="4" w:space="0"/>
              <w:bottom w:val="single" w:color="auto" w:sz="4" w:space="0"/>
              <w:right w:val="single" w:color="auto" w:sz="4" w:space="0"/>
            </w:tcBorders>
            <w:vAlign w:val="center"/>
          </w:tcPr>
          <w:p w14:paraId="0323E29C">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开标时间：同投标文件递交截止时间</w:t>
            </w:r>
          </w:p>
          <w:p w14:paraId="12B920E3">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开标地点：温州市交通发展集团有限公司2楼开标大厅（温州市鹿城区车站大道669号尚品商务楼）</w:t>
            </w:r>
          </w:p>
        </w:tc>
      </w:tr>
      <w:tr w14:paraId="19CB9394">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DF6B711">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6CD9D6BF">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14:paraId="7C1059D7">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1.宣布开标纪律；</w:t>
            </w:r>
          </w:p>
          <w:p w14:paraId="1A538212">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2.公布在投标截止时间前递交投标文件的投标人名称，并点名确认投标供应商是否派授权代表到场；</w:t>
            </w:r>
          </w:p>
          <w:p w14:paraId="10B1B4D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3.宣布唱标人、记录人、监督人员等有关人员姓名；</w:t>
            </w:r>
          </w:p>
          <w:p w14:paraId="0C73A72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4.密封情况检查：由投标供应商或其推选的代表检查投标文件密封情况；</w:t>
            </w:r>
          </w:p>
          <w:p w14:paraId="4BE1219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5.开标顺序：同时开启技术资信部分投标文件、开启商务（报价）文件；</w:t>
            </w:r>
          </w:p>
          <w:p w14:paraId="16D3940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6.确认开标结果：投标供应商授权代表对开标记录进行当场校核及勘误，并签字确认；并同时由记录人、核对人当场签字确认。</w:t>
            </w:r>
          </w:p>
          <w:p w14:paraId="4DE36E8B">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7.宣布开标结束。</w:t>
            </w:r>
          </w:p>
          <w:p w14:paraId="2914B0B3">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8.投标人授权代表未参加开标会议；未到场签字确认的，不影响开标，评标过程，视同认可开标结果；事后不得对采购相关人员、开标过程和开标结果提出异议。</w:t>
            </w:r>
          </w:p>
        </w:tc>
      </w:tr>
      <w:tr w14:paraId="316ACE21">
        <w:tblPrEx>
          <w:tblCellMar>
            <w:top w:w="0" w:type="dxa"/>
            <w:left w:w="108" w:type="dxa"/>
            <w:bottom w:w="0" w:type="dxa"/>
            <w:right w:w="108" w:type="dxa"/>
          </w:tblCellMar>
        </w:tblPrEx>
        <w:trPr>
          <w:trHeight w:val="46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1E9525C">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5F0952BC">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评标委员会</w:t>
            </w:r>
          </w:p>
          <w:p w14:paraId="03B7E2CC">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的组建</w:t>
            </w:r>
          </w:p>
        </w:tc>
        <w:tc>
          <w:tcPr>
            <w:tcW w:w="6528" w:type="dxa"/>
            <w:tcBorders>
              <w:top w:val="single" w:color="auto" w:sz="4" w:space="0"/>
              <w:left w:val="single" w:color="auto" w:sz="4" w:space="0"/>
              <w:bottom w:val="single" w:color="auto" w:sz="4" w:space="0"/>
              <w:right w:val="single" w:color="auto" w:sz="4" w:space="0"/>
            </w:tcBorders>
            <w:vAlign w:val="center"/>
          </w:tcPr>
          <w:p w14:paraId="4084602F">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评标委员会成员依法由采购人代表和有关技术、经济等方面的专家组成，人数为5人及以上单数，除采购人代表外的专家将在评标专家库中按规定抽取产生。</w:t>
            </w:r>
          </w:p>
        </w:tc>
      </w:tr>
      <w:tr w14:paraId="1F40B233">
        <w:tblPrEx>
          <w:tblCellMar>
            <w:top w:w="0" w:type="dxa"/>
            <w:left w:w="108" w:type="dxa"/>
            <w:bottom w:w="0" w:type="dxa"/>
            <w:right w:w="108" w:type="dxa"/>
          </w:tblCellMar>
        </w:tblPrEx>
        <w:trPr>
          <w:trHeight w:val="46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972A6C5">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6E74CB26">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确定中标人</w:t>
            </w:r>
          </w:p>
        </w:tc>
        <w:tc>
          <w:tcPr>
            <w:tcW w:w="6528" w:type="dxa"/>
            <w:tcBorders>
              <w:top w:val="single" w:color="auto" w:sz="4" w:space="0"/>
              <w:left w:val="single" w:color="auto" w:sz="4" w:space="0"/>
              <w:bottom w:val="single" w:color="auto" w:sz="4" w:space="0"/>
              <w:right w:val="single" w:color="auto" w:sz="4" w:space="0"/>
            </w:tcBorders>
            <w:vAlign w:val="center"/>
          </w:tcPr>
          <w:p w14:paraId="11A26D1D">
            <w:pPr>
              <w:pStyle w:val="13"/>
              <w:spacing w:line="280" w:lineRule="exact"/>
              <w:ind w:left="0"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详见采购文件第五部分“评标原则及方法”中的规定。</w:t>
            </w:r>
          </w:p>
        </w:tc>
      </w:tr>
      <w:tr w14:paraId="76BAEC50">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0011F01">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160F1FFD">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kern w:val="0"/>
                <w:sz w:val="18"/>
                <w:szCs w:val="18"/>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14:paraId="5D4AF058">
            <w:pPr>
              <w:autoSpaceDE w:val="0"/>
              <w:autoSpaceDN w:val="0"/>
              <w:rPr>
                <w:rFonts w:hint="eastAsia" w:asciiTheme="minorEastAsia" w:hAnsiTheme="minorEastAsia" w:eastAsiaTheme="minorEastAsia" w:cstheme="minorEastAsia"/>
                <w:bCs/>
                <w:snapToGrid w:val="0"/>
                <w:sz w:val="18"/>
                <w:szCs w:val="18"/>
              </w:rPr>
            </w:pPr>
            <w:r>
              <w:rPr>
                <w:rFonts w:hint="eastAsia" w:asciiTheme="minorEastAsia" w:hAnsiTheme="minorEastAsia" w:eastAsiaTheme="minorEastAsia" w:cstheme="minorEastAsia"/>
                <w:bCs/>
                <w:snapToGrid w:val="0"/>
                <w:sz w:val="18"/>
                <w:szCs w:val="18"/>
              </w:rPr>
              <w:t>（1）中标人须在收到中标通知书之日起30天内与采购人签订合同。</w:t>
            </w:r>
          </w:p>
          <w:p w14:paraId="1EF34C18">
            <w:pP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Cs/>
                <w:snapToGrid w:val="0"/>
                <w:sz w:val="18"/>
                <w:szCs w:val="18"/>
              </w:rPr>
              <w:t>（2）合同签订后，中标人应在2个工作日内将合同扫描件电子版发给采购代理机构，由采购代理机构负责备案。邮箱：670232624@qq.com。</w:t>
            </w:r>
          </w:p>
        </w:tc>
      </w:tr>
      <w:tr w14:paraId="045F2F17">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C08B0B8">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74708631">
            <w:pPr>
              <w:spacing w:line="24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14:paraId="1BD8EFAD">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履约担保的形式：履约保证金（银行转账）</w:t>
            </w:r>
          </w:p>
          <w:p w14:paraId="6C6F8CA6">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履约担保的金额：人民币贰万元整</w:t>
            </w:r>
          </w:p>
          <w:p w14:paraId="0E739D1E">
            <w:pPr>
              <w:spacing w:line="240" w:lineRule="exac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须在签订合同前7天内，向采购人一次性提交履约担保。</w:t>
            </w:r>
          </w:p>
        </w:tc>
      </w:tr>
      <w:tr w14:paraId="5FED6F8E">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29E38C1">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1AF4352F">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合同履约管理</w:t>
            </w:r>
          </w:p>
        </w:tc>
        <w:tc>
          <w:tcPr>
            <w:tcW w:w="6528" w:type="dxa"/>
            <w:tcBorders>
              <w:top w:val="single" w:color="auto" w:sz="4" w:space="0"/>
              <w:left w:val="single" w:color="auto" w:sz="4" w:space="0"/>
              <w:bottom w:val="single" w:color="auto" w:sz="4" w:space="0"/>
              <w:right w:val="single" w:color="auto" w:sz="4" w:space="0"/>
            </w:tcBorders>
            <w:vAlign w:val="center"/>
          </w:tcPr>
          <w:p w14:paraId="25A90339">
            <w:pPr>
              <w:jc w:val="left"/>
              <w:rPr>
                <w:rFonts w:hint="eastAsia" w:asciiTheme="minorEastAsia" w:hAnsiTheme="minorEastAsia" w:eastAsiaTheme="minorEastAsia" w:cstheme="minorEastAsia"/>
                <w:bCs/>
                <w:snapToGrid w:val="0"/>
                <w:sz w:val="18"/>
                <w:szCs w:val="18"/>
              </w:rPr>
            </w:pPr>
            <w:r>
              <w:rPr>
                <w:rFonts w:hint="eastAsia" w:asciiTheme="minorEastAsia" w:hAnsiTheme="minorEastAsia" w:eastAsiaTheme="minorEastAsia" w:cstheme="minorEastAsia"/>
                <w:sz w:val="18"/>
                <w:szCs w:val="18"/>
              </w:rPr>
              <w:t>合同签订后，采购人依法加强对合同履约进行管理，并在中标单位服务、项目验收等重要关节，如实填写《合同验收报告》（或考核资料），并及时向有关部门报告验收过程中遇到的问题。</w:t>
            </w:r>
          </w:p>
        </w:tc>
      </w:tr>
      <w:tr w14:paraId="5129C034">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2DD9039">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78F2BB49">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1307E4E5">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1.采购文件、采购公告中如有前后不一致的，一律以本“投标人须知前附表”为准；</w:t>
            </w:r>
          </w:p>
          <w:p w14:paraId="30E4E4F5">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2.本采购文件涉及的时间为“北京时间”；</w:t>
            </w:r>
          </w:p>
          <w:p w14:paraId="58305495">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3.本采购文件涉及的货币为“人民币”</w:t>
            </w:r>
          </w:p>
        </w:tc>
      </w:tr>
      <w:tr w14:paraId="10593A47">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9BF7032">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503FF7D1">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4112FBF8">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u w:val="single"/>
              </w:rPr>
              <w:t>如发现采购文件中存在含糊不清、相互矛盾、多种含义等内容时，请在规定的答疑截止时间前向采购人、采购代理书面提出，逾期不得再对采购文件的条款提出澄清疑问。</w:t>
            </w:r>
          </w:p>
        </w:tc>
      </w:tr>
      <w:tr w14:paraId="68BD86CF">
        <w:tblPrEx>
          <w:tblCellMar>
            <w:top w:w="0" w:type="dxa"/>
            <w:left w:w="108" w:type="dxa"/>
            <w:bottom w:w="0" w:type="dxa"/>
            <w:right w:w="108" w:type="dxa"/>
          </w:tblCellMar>
        </w:tblPrEx>
        <w:trPr>
          <w:trHeight w:val="23"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4A1D7FD2">
            <w:pPr>
              <w:rPr>
                <w:rFonts w:hint="eastAsia" w:asciiTheme="minorEastAsia" w:hAnsiTheme="minorEastAsia" w:eastAsiaTheme="minorEastAsia" w:cstheme="minorEastAsia"/>
                <w:b/>
                <w:bCs/>
                <w:kern w:val="0"/>
                <w:sz w:val="18"/>
                <w:szCs w:val="18"/>
                <w:u w:val="single"/>
              </w:rPr>
            </w:pPr>
            <w:r>
              <w:rPr>
                <w:rFonts w:hint="eastAsia" w:asciiTheme="minorEastAsia" w:hAnsiTheme="minorEastAsia" w:eastAsiaTheme="minorEastAsia" w:cstheme="minorEastAsia"/>
                <w:bCs/>
                <w:sz w:val="18"/>
                <w:szCs w:val="18"/>
              </w:rPr>
              <w:t>“投标人须知前附表”中的内容是对“投标人须知”正文的补充和说明，“投标人须知”正文与“投标人须知前附表”的内容不一致时，以“投标人须知前附表”为准。</w:t>
            </w:r>
          </w:p>
        </w:tc>
      </w:tr>
    </w:tbl>
    <w:p w14:paraId="49E9A624">
      <w:pPr>
        <w:spacing w:before="156" w:beforeLines="50" w:after="156" w:afterLines="50"/>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sz w:val="36"/>
          <w:szCs w:val="36"/>
        </w:rPr>
        <w:t>投标人须知</w:t>
      </w:r>
    </w:p>
    <w:p w14:paraId="23977EFC">
      <w:pPr>
        <w:spacing w:before="156" w:beforeLines="50" w:after="156" w:afterLines="50" w:line="28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 说明</w:t>
      </w:r>
    </w:p>
    <w:p w14:paraId="05EF3D1A">
      <w:pPr>
        <w:numPr>
          <w:ilvl w:val="0"/>
          <w:numId w:val="4"/>
        </w:numPr>
        <w:tabs>
          <w:tab w:val="left" w:pos="525"/>
          <w:tab w:val="left" w:pos="900"/>
        </w:tabs>
        <w:wordWrap w:val="0"/>
        <w:spacing w:line="280" w:lineRule="exact"/>
        <w:ind w:left="527" w:hanging="52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本次采购工作是按照《温州市市属国有企业采购管理办法》（温国资委〔2024〕第51号）</w:t>
      </w:r>
      <w:r>
        <w:rPr>
          <w:rFonts w:hint="eastAsia" w:asciiTheme="minorEastAsia" w:hAnsiTheme="minorEastAsia" w:eastAsiaTheme="minorEastAsia" w:cstheme="minorEastAsia"/>
        </w:rPr>
        <w:t>等有关法律、法规组织和实施的。本项目采购公告在浙江企业采购信息服务网（https://b.zhengcaiyun.cn/）、温州国企采购平台（https://wzgzw-cg.zhengcaiyun.cn/home.html）和温州市交通发展集团有限公司网https://www.wzjfjt.cn/）（以下简称“项目采购公告发布的网站”）同时发布。</w:t>
      </w:r>
    </w:p>
    <w:p w14:paraId="4607C0B9">
      <w:pPr>
        <w:numPr>
          <w:ilvl w:val="0"/>
          <w:numId w:val="4"/>
        </w:numPr>
        <w:tabs>
          <w:tab w:val="left" w:pos="540"/>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采购人和采购代理机构：见投标人须知前附表。</w:t>
      </w:r>
    </w:p>
    <w:p w14:paraId="32794E7A">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u w:val="single"/>
        </w:rPr>
        <w:t>合格的投标人：以本项目采购公告及投标人须知前附表表述为准</w:t>
      </w:r>
      <w:r>
        <w:rPr>
          <w:rFonts w:hint="eastAsia" w:asciiTheme="minorEastAsia" w:hAnsiTheme="minorEastAsia" w:eastAsiaTheme="minorEastAsia" w:cstheme="minorEastAsia"/>
          <w:szCs w:val="21"/>
        </w:rPr>
        <w:t>。</w:t>
      </w:r>
    </w:p>
    <w:p w14:paraId="72C46CEB">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投标人代表</w:t>
      </w:r>
    </w:p>
    <w:p w14:paraId="749361F6">
      <w:pPr>
        <w:spacing w:line="280" w:lineRule="exact"/>
        <w:ind w:left="538" w:leftChars="25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指全权代表投标人参加投标活动并签署投标文件的人。如果投标人代表不是法定代表人，须持有《法定代表人授权书》。</w:t>
      </w:r>
    </w:p>
    <w:p w14:paraId="55221E77">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现场勘察及投标费用</w:t>
      </w:r>
    </w:p>
    <w:p w14:paraId="18F79E10">
      <w:pPr>
        <w:spacing w:line="280" w:lineRule="exact"/>
        <w:ind w:left="525" w:hanging="525" w:hangingChars="2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5.1  投标人须知前附表规定组织踏勘现场、召开标前会的，采购人按投标人须知前附表规定的时间、地点组织投标人踏勘项目现场、召开标前会。</w:t>
      </w:r>
    </w:p>
    <w:p w14:paraId="6E7795B0">
      <w:pPr>
        <w:spacing w:line="280" w:lineRule="exact"/>
        <w:ind w:left="525" w:hanging="525" w:hangingChars="2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5.2  为了便于编制投标文件，投标人自行对现场和周围环境进行现场察勘，察勘现场的费用由投标人自行承担。</w:t>
      </w:r>
    </w:p>
    <w:p w14:paraId="7CB684E2">
      <w:pPr>
        <w:spacing w:line="280" w:lineRule="exact"/>
        <w:ind w:left="525" w:hanging="525" w:hangingChars="2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5.3  在现场察勘中所发生的人员伤亡和财产损失应由投标人自行负责。</w:t>
      </w:r>
    </w:p>
    <w:p w14:paraId="0114CD5D">
      <w:pPr>
        <w:spacing w:line="280" w:lineRule="exact"/>
        <w:ind w:left="525" w:hanging="525" w:hangingChars="2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5.4  投标人应承担所有与准备和参加投标有关费用，不论投标的结果如何，采购人和采购代理机构（以下统称“采购单位”）均无义务和责任承担这些费用。</w:t>
      </w:r>
    </w:p>
    <w:p w14:paraId="1617149F">
      <w:pPr>
        <w:spacing w:before="156" w:beforeLines="50" w:after="156" w:afterLines="50" w:line="280" w:lineRule="exact"/>
        <w:jc w:val="center"/>
        <w:rPr>
          <w:rFonts w:hint="eastAsia" w:asciiTheme="minorEastAsia" w:hAnsiTheme="minorEastAsia" w:eastAsiaTheme="minorEastAsia" w:cstheme="minorEastAsia"/>
          <w:b/>
          <w:szCs w:val="21"/>
        </w:rPr>
      </w:pPr>
      <w:bookmarkStart w:id="29" w:name="_Toc227056847"/>
      <w:bookmarkStart w:id="30" w:name="_Toc217460686"/>
      <w:bookmarkStart w:id="31" w:name="_Toc207609182"/>
      <w:bookmarkStart w:id="32" w:name="_Toc223717605"/>
      <w:bookmarkStart w:id="33" w:name="_Toc205877558"/>
      <w:bookmarkStart w:id="34" w:name="_Toc219538614"/>
      <w:bookmarkStart w:id="35" w:name="_Toc214365791"/>
      <w:bookmarkStart w:id="36" w:name="_Toc227489888"/>
      <w:bookmarkStart w:id="37" w:name="_Toc227057034"/>
      <w:bookmarkStart w:id="38" w:name="_Toc223933222"/>
      <w:bookmarkStart w:id="39" w:name="_Toc215415531"/>
      <w:bookmarkStart w:id="40" w:name="_Toc209332634"/>
      <w:bookmarkStart w:id="41" w:name="_Toc216667821"/>
      <w:bookmarkStart w:id="42" w:name="_Toc205877453"/>
      <w:bookmarkStart w:id="43" w:name="_Toc205004969"/>
      <w:bookmarkStart w:id="44" w:name="_Toc218041727"/>
      <w:bookmarkStart w:id="45" w:name="_Toc204578576"/>
      <w:bookmarkStart w:id="46" w:name="_Toc209251128"/>
      <w:bookmarkStart w:id="47" w:name="_Toc209261366"/>
      <w:bookmarkStart w:id="48" w:name="_Toc209250720"/>
      <w:bookmarkStart w:id="49" w:name="_Toc205703103"/>
      <w:bookmarkStart w:id="50" w:name="_Toc204491318"/>
      <w:bookmarkStart w:id="51" w:name="_Toc205005287"/>
      <w:bookmarkStart w:id="52" w:name="_Toc210879709"/>
      <w:bookmarkStart w:id="53" w:name="_Toc209261433"/>
    </w:p>
    <w:p w14:paraId="0E7ED535">
      <w:pPr>
        <w:spacing w:before="156" w:beforeLines="50" w:after="156" w:afterLines="50" w:line="28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 采购文件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2C60F22">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采购文件由采购文件目录所列内容及相关资料等组成。</w:t>
      </w:r>
    </w:p>
    <w:p w14:paraId="733F685F">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采购文件的澄清</w:t>
      </w:r>
    </w:p>
    <w:p w14:paraId="629404F9">
      <w:pPr>
        <w:tabs>
          <w:tab w:val="left" w:pos="625"/>
          <w:tab w:val="left" w:pos="1080"/>
        </w:tabs>
        <w:spacing w:line="280" w:lineRule="exact"/>
        <w:ind w:left="500" w:hanging="499" w:hangingChars="23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7.1  </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投标人对采购文件如有疑点或未尽事宜要求澄清，或认为有必要与采购人或采购代理机构进行说明或交流，应于“投标人须知前附表”中规定的询疑截止时间之前，将书面材料（盖章）递交或邮寄给采购人或采购代理机构，截止期后的询疑将不予受理、答复。如果采购文件询疑截止时间前未收到有关疑问，视为投标人完全同意采购文件所有条款，且对于采购文件相关表述以及未尽事宜如有争议，以采购人解释为准。</w:t>
      </w:r>
    </w:p>
    <w:p w14:paraId="638FC1CF">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采购文件的修改</w:t>
      </w:r>
    </w:p>
    <w:p w14:paraId="1D0B1DFC">
      <w:pPr>
        <w:tabs>
          <w:tab w:val="left" w:pos="1080"/>
        </w:tabs>
        <w:spacing w:line="280" w:lineRule="exact"/>
        <w:ind w:left="500" w:hanging="499" w:hangingChars="23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5日前发布更正公告，不足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14:paraId="4E8A02B8">
      <w:pPr>
        <w:tabs>
          <w:tab w:val="left" w:pos="1080"/>
        </w:tabs>
        <w:spacing w:line="280" w:lineRule="exact"/>
        <w:ind w:left="500" w:hanging="499" w:hangingChars="23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8.2  采购文件的澄清修改将以更正公告形式在项目采购公告发布的网站上予以公示，以通知所有获取采购文件的潜在投标人。</w:t>
      </w:r>
    </w:p>
    <w:p w14:paraId="1F973333">
      <w:pPr>
        <w:tabs>
          <w:tab w:val="left" w:pos="1080"/>
        </w:tabs>
        <w:spacing w:line="280" w:lineRule="exact"/>
        <w:ind w:left="500" w:hanging="499" w:hangingChars="23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14:paraId="0693E3A7">
      <w:pPr>
        <w:tabs>
          <w:tab w:val="left" w:pos="1080"/>
        </w:tabs>
        <w:spacing w:line="280" w:lineRule="exact"/>
        <w:ind w:left="500" w:hanging="499" w:hangingChars="23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8.4</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本项目投标人均可在本项目采购公告附件下载采购文件，并按采购文件规定的时间、地点递交投标文件。投标人须在开标前自行查看是否有补充更正文件，并按补充更正文件要求投标，否则责任自负。</w:t>
      </w:r>
    </w:p>
    <w:p w14:paraId="72913304">
      <w:pPr>
        <w:tabs>
          <w:tab w:val="left" w:pos="1080"/>
        </w:tabs>
        <w:spacing w:line="280" w:lineRule="exact"/>
        <w:ind w:left="500" w:hanging="499" w:hangingChars="23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8.5  在采购文件规定的询疑、质疑截止时间后，经采购人及采购机构同意购买采购文件的投标人不得对采购文件及其补充文件提出询疑或质疑。</w:t>
      </w:r>
    </w:p>
    <w:p w14:paraId="475F06E1">
      <w:pPr>
        <w:spacing w:before="156" w:beforeLines="50" w:after="156" w:afterLines="50" w:line="280" w:lineRule="exact"/>
        <w:jc w:val="center"/>
        <w:rPr>
          <w:rFonts w:hint="eastAsia" w:asciiTheme="minorEastAsia" w:hAnsiTheme="minorEastAsia" w:eastAsiaTheme="minorEastAsia" w:cstheme="minorEastAsia"/>
          <w:b/>
          <w:szCs w:val="21"/>
        </w:rPr>
      </w:pPr>
      <w:bookmarkStart w:id="54" w:name="_Toc209251129"/>
      <w:bookmarkStart w:id="55" w:name="_Toc227057035"/>
      <w:bookmarkStart w:id="56" w:name="_Toc209332635"/>
      <w:bookmarkStart w:id="57" w:name="_Toc223933223"/>
      <w:bookmarkStart w:id="58" w:name="_Toc214365792"/>
      <w:bookmarkStart w:id="59" w:name="_Toc218041728"/>
      <w:bookmarkStart w:id="60" w:name="_Toc209261367"/>
      <w:bookmarkStart w:id="61" w:name="_Toc204578577"/>
      <w:bookmarkStart w:id="62" w:name="_Toc227489889"/>
      <w:bookmarkStart w:id="63" w:name="_Toc215415532"/>
      <w:bookmarkStart w:id="64" w:name="_Toc210879710"/>
      <w:bookmarkStart w:id="65" w:name="_Toc223717606"/>
      <w:bookmarkStart w:id="66" w:name="_Toc217460687"/>
      <w:bookmarkStart w:id="67" w:name="_Toc219538615"/>
      <w:bookmarkStart w:id="68" w:name="_Toc205877454"/>
      <w:bookmarkStart w:id="69" w:name="_Toc207609183"/>
      <w:bookmarkStart w:id="70" w:name="_Toc227056848"/>
      <w:bookmarkStart w:id="71" w:name="_Toc205877559"/>
      <w:bookmarkStart w:id="72" w:name="_Toc205004970"/>
      <w:bookmarkStart w:id="73" w:name="_Toc205703104"/>
      <w:bookmarkStart w:id="74" w:name="_Toc205005288"/>
      <w:bookmarkStart w:id="75" w:name="_Toc216667822"/>
      <w:bookmarkStart w:id="76" w:name="_Toc204491319"/>
      <w:bookmarkStart w:id="77" w:name="_Toc209261434"/>
      <w:bookmarkStart w:id="78" w:name="_Toc209250721"/>
    </w:p>
    <w:p w14:paraId="2397CB45">
      <w:pPr>
        <w:spacing w:before="156" w:beforeLines="50" w:after="156" w:afterLines="50" w:line="28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 投标文件的编制</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115DCE44">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投标人应认真阅读采购文件中所有事项格式、条款和技术规范等。投标人没有按照采购文件要求提交全部资料，或者没有对采购文件各个方面作出实质性响应，导致投标被拒绝的风险由投标人自行承担。</w:t>
      </w:r>
    </w:p>
    <w:p w14:paraId="56BEC305">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投标人应保证所提供文件资料的真实性，所有文件资料必须是针对本次采购的。如发现投标人提供了虚假文件资料，其投标将被拒绝，并自行承担相应的法律责任。</w:t>
      </w:r>
    </w:p>
    <w:p w14:paraId="6F4C791F">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投标文件的构成：</w:t>
      </w:r>
    </w:p>
    <w:p w14:paraId="63CF8016">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 投标文件由技术资信标、商务（报价）标二部分构成：</w:t>
      </w:r>
    </w:p>
    <w:p w14:paraId="2A71C680">
      <w:pPr>
        <w:spacing w:line="280" w:lineRule="exact"/>
        <w:ind w:left="186" w:leftChars="85" w:hanging="8" w:hangingChars="4"/>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（1）技术资信标</w:t>
      </w:r>
    </w:p>
    <w:tbl>
      <w:tblPr>
        <w:tblStyle w:val="29"/>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6951"/>
        <w:gridCol w:w="1049"/>
      </w:tblGrid>
      <w:tr w14:paraId="67E4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9D8F5AA">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序号</w:t>
            </w:r>
          </w:p>
        </w:tc>
        <w:tc>
          <w:tcPr>
            <w:tcW w:w="6951" w:type="dxa"/>
            <w:vAlign w:val="center"/>
          </w:tcPr>
          <w:p w14:paraId="43555A71">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内  容</w:t>
            </w:r>
          </w:p>
        </w:tc>
        <w:tc>
          <w:tcPr>
            <w:tcW w:w="1049" w:type="dxa"/>
            <w:vAlign w:val="center"/>
          </w:tcPr>
          <w:p w14:paraId="3C7B792B">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备注</w:t>
            </w:r>
          </w:p>
        </w:tc>
      </w:tr>
      <w:tr w14:paraId="73B4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84ADA68">
            <w:pPr>
              <w:spacing w:line="280" w:lineRule="exact"/>
              <w:jc w:val="center"/>
              <w:rPr>
                <w:rFonts w:hint="eastAsia" w:asciiTheme="minorEastAsia" w:hAnsiTheme="minorEastAsia" w:eastAsiaTheme="minorEastAsia" w:cstheme="minorEastAsia"/>
                <w:b/>
                <w:sz w:val="18"/>
                <w:szCs w:val="18"/>
              </w:rPr>
            </w:pPr>
          </w:p>
        </w:tc>
        <w:tc>
          <w:tcPr>
            <w:tcW w:w="6951" w:type="dxa"/>
            <w:vAlign w:val="center"/>
          </w:tcPr>
          <w:p w14:paraId="2AA98D64">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w:t>针对评分细则，编制目录索引，注明评标细则项目所在投标文件页码，格式自拟</w:t>
            </w:r>
          </w:p>
        </w:tc>
        <w:tc>
          <w:tcPr>
            <w:tcW w:w="1049" w:type="dxa"/>
            <w:vAlign w:val="center"/>
          </w:tcPr>
          <w:p w14:paraId="45A2055A">
            <w:pPr>
              <w:spacing w:line="280" w:lineRule="exact"/>
              <w:jc w:val="center"/>
              <w:rPr>
                <w:rFonts w:hint="eastAsia" w:asciiTheme="minorEastAsia" w:hAnsiTheme="minorEastAsia" w:eastAsiaTheme="minorEastAsia" w:cstheme="minorEastAsia"/>
                <w:b/>
                <w:sz w:val="18"/>
                <w:szCs w:val="18"/>
              </w:rPr>
            </w:pPr>
          </w:p>
        </w:tc>
      </w:tr>
      <w:tr w14:paraId="61FA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15204F5">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951" w:type="dxa"/>
            <w:vAlign w:val="center"/>
          </w:tcPr>
          <w:p w14:paraId="22951508">
            <w:pPr>
              <w:spacing w:line="28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投标函</w:t>
            </w:r>
          </w:p>
        </w:tc>
        <w:tc>
          <w:tcPr>
            <w:tcW w:w="1049" w:type="dxa"/>
            <w:vAlign w:val="center"/>
          </w:tcPr>
          <w:p w14:paraId="4C548835">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附件一</w:t>
            </w:r>
          </w:p>
        </w:tc>
      </w:tr>
      <w:tr w14:paraId="1E0A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54ABF9E">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951" w:type="dxa"/>
            <w:vAlign w:val="center"/>
          </w:tcPr>
          <w:p w14:paraId="2FA5E2BF">
            <w:pPr>
              <w:spacing w:line="28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技术规格、商务条款偏离表</w:t>
            </w:r>
          </w:p>
        </w:tc>
        <w:tc>
          <w:tcPr>
            <w:tcW w:w="1049" w:type="dxa"/>
            <w:vAlign w:val="center"/>
          </w:tcPr>
          <w:p w14:paraId="09F884C5">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附件二</w:t>
            </w:r>
          </w:p>
        </w:tc>
      </w:tr>
      <w:tr w14:paraId="5AEE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14:paraId="05E22285">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951" w:type="dxa"/>
            <w:vAlign w:val="center"/>
          </w:tcPr>
          <w:p w14:paraId="4F52F499">
            <w:pPr>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b/>
                <w:bCs/>
                <w:sz w:val="18"/>
                <w:szCs w:val="18"/>
                <w:u w:val="single"/>
              </w:rPr>
              <w:t>▲</w:t>
            </w:r>
            <w:r>
              <w:rPr>
                <w:rFonts w:hint="eastAsia" w:asciiTheme="minorEastAsia" w:hAnsiTheme="minorEastAsia" w:eastAsiaTheme="minorEastAsia" w:cstheme="minorEastAsia"/>
                <w:b/>
                <w:sz w:val="18"/>
                <w:szCs w:val="18"/>
                <w:u w:val="single"/>
              </w:rPr>
              <w:t>资格证明文件（本部分（1）、（2）、（3）、（4）为投标人资格审查内容，为实质性要求）：</w:t>
            </w:r>
          </w:p>
        </w:tc>
        <w:tc>
          <w:tcPr>
            <w:tcW w:w="1049" w:type="dxa"/>
            <w:vAlign w:val="center"/>
          </w:tcPr>
          <w:p w14:paraId="3C7E78D5">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附件三</w:t>
            </w:r>
          </w:p>
        </w:tc>
      </w:tr>
      <w:tr w14:paraId="4431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735AB1A">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951" w:type="dxa"/>
            <w:vAlign w:val="center"/>
          </w:tcPr>
          <w:p w14:paraId="30F1C902">
            <w:pPr>
              <w:tabs>
                <w:tab w:val="left" w:pos="5355"/>
              </w:tabs>
              <w:spacing w:line="280" w:lineRule="exact"/>
              <w:rPr>
                <w:rFonts w:hint="eastAsia" w:asciiTheme="minorEastAsia" w:hAnsiTheme="minorEastAsia" w:eastAsiaTheme="minorEastAsia" w:cstheme="minorEastAsia"/>
                <w:b/>
                <w:bCs/>
                <w:sz w:val="18"/>
                <w:szCs w:val="18"/>
                <w:u w:val="single"/>
              </w:rPr>
            </w:pPr>
            <w:r>
              <w:rPr>
                <w:rFonts w:hint="eastAsia" w:asciiTheme="minorEastAsia" w:hAnsiTheme="minorEastAsia" w:eastAsiaTheme="minorEastAsia" w:cstheme="minorEastAsia"/>
                <w:sz w:val="18"/>
                <w:szCs w:val="18"/>
                <w:u w:val="single"/>
              </w:rPr>
              <w:t>法定代表人授权书（如授权代表人参加投标时提供）</w:t>
            </w:r>
          </w:p>
        </w:tc>
        <w:tc>
          <w:tcPr>
            <w:tcW w:w="1049" w:type="dxa"/>
            <w:vAlign w:val="center"/>
          </w:tcPr>
          <w:p w14:paraId="46B90CEB">
            <w:pPr>
              <w:spacing w:line="280" w:lineRule="exact"/>
              <w:jc w:val="center"/>
              <w:rPr>
                <w:rFonts w:hint="eastAsia" w:asciiTheme="minorEastAsia" w:hAnsiTheme="minorEastAsia" w:eastAsiaTheme="minorEastAsia" w:cstheme="minorEastAsia"/>
                <w:sz w:val="18"/>
                <w:szCs w:val="18"/>
              </w:rPr>
            </w:pPr>
          </w:p>
        </w:tc>
      </w:tr>
      <w:tr w14:paraId="14F4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A11A171">
            <w:pPr>
              <w:spacing w:line="280" w:lineRule="exact"/>
              <w:jc w:val="center"/>
              <w:rPr>
                <w:rFonts w:hint="eastAsia" w:asciiTheme="minorEastAsia" w:hAnsiTheme="minorEastAsia" w:eastAsiaTheme="minorEastAsia" w:cstheme="minorEastAsia"/>
                <w:sz w:val="18"/>
                <w:szCs w:val="18"/>
              </w:rPr>
            </w:pPr>
          </w:p>
        </w:tc>
        <w:tc>
          <w:tcPr>
            <w:tcW w:w="6951" w:type="dxa"/>
            <w:vAlign w:val="center"/>
          </w:tcPr>
          <w:p w14:paraId="516B3A80">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法定代表人资格证明书</w:t>
            </w:r>
          </w:p>
        </w:tc>
        <w:tc>
          <w:tcPr>
            <w:tcW w:w="1049" w:type="dxa"/>
            <w:vAlign w:val="center"/>
          </w:tcPr>
          <w:p w14:paraId="19B02129">
            <w:pPr>
              <w:spacing w:line="280" w:lineRule="exact"/>
              <w:jc w:val="center"/>
              <w:rPr>
                <w:rFonts w:hint="eastAsia" w:asciiTheme="minorEastAsia" w:hAnsiTheme="minorEastAsia" w:eastAsiaTheme="minorEastAsia" w:cstheme="minorEastAsia"/>
                <w:sz w:val="18"/>
                <w:szCs w:val="18"/>
              </w:rPr>
            </w:pPr>
          </w:p>
        </w:tc>
      </w:tr>
      <w:tr w14:paraId="3338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17C1A3C">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951" w:type="dxa"/>
            <w:vAlign w:val="center"/>
          </w:tcPr>
          <w:p w14:paraId="610739C0">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企业法人有效营业执照</w:t>
            </w:r>
            <w:r>
              <w:rPr>
                <w:rFonts w:hint="eastAsia" w:asciiTheme="minorEastAsia" w:hAnsiTheme="minorEastAsia" w:eastAsiaTheme="minorEastAsia" w:cstheme="minorEastAsia"/>
                <w:snapToGrid w:val="0"/>
                <w:kern w:val="0"/>
                <w:sz w:val="18"/>
                <w:szCs w:val="18"/>
                <w:u w:val="single"/>
              </w:rPr>
              <w:t>（复印件加盖单位公章）</w:t>
            </w:r>
          </w:p>
        </w:tc>
        <w:tc>
          <w:tcPr>
            <w:tcW w:w="1049" w:type="dxa"/>
            <w:vAlign w:val="center"/>
          </w:tcPr>
          <w:p w14:paraId="6D3F5F4D">
            <w:pPr>
              <w:spacing w:line="280" w:lineRule="exact"/>
              <w:jc w:val="center"/>
              <w:rPr>
                <w:rFonts w:hint="eastAsia" w:asciiTheme="minorEastAsia" w:hAnsiTheme="minorEastAsia" w:eastAsiaTheme="minorEastAsia" w:cstheme="minorEastAsia"/>
                <w:sz w:val="18"/>
                <w:szCs w:val="18"/>
              </w:rPr>
            </w:pPr>
          </w:p>
        </w:tc>
      </w:tr>
      <w:tr w14:paraId="4D29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6FF98E0">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951" w:type="dxa"/>
            <w:vAlign w:val="center"/>
          </w:tcPr>
          <w:p w14:paraId="1698876B">
            <w:pPr>
              <w:tabs>
                <w:tab w:val="left" w:pos="5355"/>
              </w:tabs>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投标人具有的有效的《劳务派遣经营许可证》（复印件加盖单位公章）</w:t>
            </w:r>
          </w:p>
        </w:tc>
        <w:tc>
          <w:tcPr>
            <w:tcW w:w="1049" w:type="dxa"/>
            <w:vAlign w:val="center"/>
          </w:tcPr>
          <w:p w14:paraId="748FD6A1">
            <w:pPr>
              <w:spacing w:line="280" w:lineRule="exact"/>
              <w:jc w:val="center"/>
              <w:rPr>
                <w:rFonts w:hint="eastAsia" w:asciiTheme="minorEastAsia" w:hAnsiTheme="minorEastAsia" w:eastAsiaTheme="minorEastAsia" w:cstheme="minorEastAsia"/>
                <w:sz w:val="18"/>
                <w:szCs w:val="18"/>
              </w:rPr>
            </w:pPr>
          </w:p>
        </w:tc>
      </w:tr>
      <w:tr w14:paraId="2C70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9682899">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951" w:type="dxa"/>
            <w:vAlign w:val="center"/>
          </w:tcPr>
          <w:p w14:paraId="0BEA5173">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投标声明书</w:t>
            </w:r>
          </w:p>
        </w:tc>
        <w:tc>
          <w:tcPr>
            <w:tcW w:w="1049" w:type="dxa"/>
            <w:vAlign w:val="center"/>
          </w:tcPr>
          <w:p w14:paraId="3743506A">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附件四</w:t>
            </w:r>
          </w:p>
        </w:tc>
      </w:tr>
      <w:tr w14:paraId="048E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EDD9E2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w:t>
            </w:r>
          </w:p>
        </w:tc>
        <w:tc>
          <w:tcPr>
            <w:tcW w:w="6951" w:type="dxa"/>
            <w:vAlign w:val="center"/>
          </w:tcPr>
          <w:p w14:paraId="170A50D6">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参加国企采购活动前三年内，在经营活动中没有重大违法记录。请在投标声明书中如实填写（新成立不满三年的组织机构自成立之日起算）</w:t>
            </w:r>
          </w:p>
        </w:tc>
        <w:tc>
          <w:tcPr>
            <w:tcW w:w="1049" w:type="dxa"/>
            <w:vAlign w:val="center"/>
          </w:tcPr>
          <w:p w14:paraId="01CBDA9E">
            <w:pPr>
              <w:spacing w:line="280" w:lineRule="exact"/>
              <w:jc w:val="center"/>
              <w:rPr>
                <w:rFonts w:hint="eastAsia" w:asciiTheme="minorEastAsia" w:hAnsiTheme="minorEastAsia" w:eastAsiaTheme="minorEastAsia" w:cstheme="minorEastAsia"/>
                <w:sz w:val="18"/>
                <w:szCs w:val="18"/>
              </w:rPr>
            </w:pPr>
          </w:p>
        </w:tc>
      </w:tr>
      <w:tr w14:paraId="6922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BDF15F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b</w:t>
            </w:r>
          </w:p>
        </w:tc>
        <w:tc>
          <w:tcPr>
            <w:tcW w:w="6951" w:type="dxa"/>
            <w:vAlign w:val="center"/>
          </w:tcPr>
          <w:p w14:paraId="685ACB49">
            <w:pPr>
              <w:tabs>
                <w:tab w:val="left" w:pos="5355"/>
              </w:tabs>
              <w:spacing w:line="280" w:lineRule="exact"/>
              <w:jc w:val="lef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截至投标截止日前，投标人未被列入“信用中国”网(www.creditchina.gov.cn)失信被执行人、重大税收违法案件当事人名单内。请在投标声明书在如实填写，并以采购人或代理机构当天查询结果为准。</w:t>
            </w:r>
          </w:p>
        </w:tc>
        <w:tc>
          <w:tcPr>
            <w:tcW w:w="1049" w:type="dxa"/>
            <w:vAlign w:val="center"/>
          </w:tcPr>
          <w:p w14:paraId="7E359857">
            <w:pPr>
              <w:spacing w:line="280" w:lineRule="exact"/>
              <w:jc w:val="center"/>
              <w:rPr>
                <w:rFonts w:hint="eastAsia" w:asciiTheme="minorEastAsia" w:hAnsiTheme="minorEastAsia" w:eastAsiaTheme="minorEastAsia" w:cstheme="minorEastAsia"/>
                <w:sz w:val="18"/>
                <w:szCs w:val="18"/>
              </w:rPr>
            </w:pPr>
          </w:p>
        </w:tc>
      </w:tr>
      <w:tr w14:paraId="54D0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2ED0C6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951" w:type="dxa"/>
            <w:vAlign w:val="center"/>
          </w:tcPr>
          <w:p w14:paraId="3B0132B1">
            <w:pPr>
              <w:tabs>
                <w:tab w:val="left" w:pos="5355"/>
              </w:tabs>
              <w:spacing w:line="28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项目总负责人情况表</w:t>
            </w:r>
          </w:p>
        </w:tc>
        <w:tc>
          <w:tcPr>
            <w:tcW w:w="1049" w:type="dxa"/>
            <w:vAlign w:val="center"/>
          </w:tcPr>
          <w:p w14:paraId="38028C63">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附件五</w:t>
            </w:r>
          </w:p>
        </w:tc>
      </w:tr>
      <w:tr w14:paraId="199C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0EBFFD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6951" w:type="dxa"/>
            <w:vAlign w:val="center"/>
          </w:tcPr>
          <w:p w14:paraId="58C37463">
            <w:pPr>
              <w:spacing w:line="28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投标人需要说明的其他文件和说明</w:t>
            </w:r>
          </w:p>
        </w:tc>
        <w:tc>
          <w:tcPr>
            <w:tcW w:w="1049" w:type="dxa"/>
            <w:vAlign w:val="center"/>
          </w:tcPr>
          <w:p w14:paraId="5D54CF28">
            <w:pPr>
              <w:spacing w:line="280" w:lineRule="exact"/>
              <w:jc w:val="center"/>
              <w:rPr>
                <w:rFonts w:hint="eastAsia" w:asciiTheme="minorEastAsia" w:hAnsiTheme="minorEastAsia" w:eastAsiaTheme="minorEastAsia" w:cstheme="minorEastAsia"/>
                <w:b/>
                <w:bCs/>
                <w:sz w:val="18"/>
                <w:szCs w:val="18"/>
                <w:u w:val="single"/>
              </w:rPr>
            </w:pPr>
          </w:p>
        </w:tc>
      </w:tr>
      <w:tr w14:paraId="1832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14:paraId="15724A6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6951" w:type="dxa"/>
            <w:vAlign w:val="center"/>
          </w:tcPr>
          <w:p w14:paraId="5C9CE20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根据采购文件中的采购内容及要求以及技术资信评分项目逐项编制相关投标文件，需编制目录索引，注明评分细则项目所在投标文件页码。</w:t>
            </w:r>
          </w:p>
          <w:p w14:paraId="0998F301">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本文件《第三部分  附件》附件中未提供格式的，可自行拟定格式</w:t>
            </w:r>
          </w:p>
        </w:tc>
        <w:tc>
          <w:tcPr>
            <w:tcW w:w="1049" w:type="dxa"/>
            <w:vAlign w:val="center"/>
          </w:tcPr>
          <w:p w14:paraId="4BAF1E84">
            <w:pPr>
              <w:spacing w:line="280" w:lineRule="exact"/>
              <w:jc w:val="center"/>
              <w:rPr>
                <w:rFonts w:hint="eastAsia" w:asciiTheme="minorEastAsia" w:hAnsiTheme="minorEastAsia" w:eastAsiaTheme="minorEastAsia" w:cstheme="minorEastAsia"/>
                <w:b/>
                <w:bCs/>
                <w:sz w:val="18"/>
                <w:szCs w:val="18"/>
              </w:rPr>
            </w:pPr>
          </w:p>
        </w:tc>
      </w:tr>
    </w:tbl>
    <w:p w14:paraId="66763E12">
      <w:pPr>
        <w:spacing w:line="280" w:lineRule="exact"/>
        <w:ind w:left="186" w:leftChars="85" w:hanging="8" w:hangingChars="4"/>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★技术资信标说明：</w:t>
      </w:r>
    </w:p>
    <w:p w14:paraId="61382183">
      <w:pPr>
        <w:tabs>
          <w:tab w:val="left" w:pos="5355"/>
        </w:tabs>
        <w:spacing w:line="280" w:lineRule="exact"/>
        <w:ind w:left="36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1）投标人可根据采购文件中的技术规格书以及技术资信评分表，提供投标人认为需要提供的文件和资料。</w:t>
      </w:r>
    </w:p>
    <w:p w14:paraId="416A8AC9">
      <w:pPr>
        <w:tabs>
          <w:tab w:val="left" w:pos="5355"/>
        </w:tabs>
        <w:spacing w:line="280" w:lineRule="exact"/>
        <w:ind w:left="36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文件中应承诺：投标人所提供的服务所有权归采购人所有。如若发生侵权事件，其侵权责任与采购人及采购代理机构无关，由投标人承担全部责任。侵权造成的所有相关费用，均由投标人支付，保证不伤害采购人的利益。</w:t>
      </w:r>
    </w:p>
    <w:p w14:paraId="2F5B25F3">
      <w:pPr>
        <w:tabs>
          <w:tab w:val="left" w:pos="5355"/>
        </w:tabs>
        <w:spacing w:line="280" w:lineRule="exact"/>
        <w:ind w:left="36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3）以上所需的各种证书、证件、证明、执照若系复印件，须在复印件上加盖投标人有效的公章。</w:t>
      </w:r>
    </w:p>
    <w:p w14:paraId="56CBA874">
      <w:pPr>
        <w:tabs>
          <w:tab w:val="left" w:pos="5355"/>
        </w:tabs>
        <w:spacing w:line="280" w:lineRule="exact"/>
        <w:ind w:left="36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4）投标人可在采购文件中对采购服务/货物的技术规格和要求选用替代标准，但这些替代标准必须相当于或优于采购文件中提出的相应要求，并使采购人满意。同时在技术偏离表中作出详细说明。</w:t>
      </w:r>
    </w:p>
    <w:p w14:paraId="5E0A476D">
      <w:pPr>
        <w:spacing w:line="28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 商务（报价）标</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14:paraId="3DD6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4B62FFE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6323" w:type="dxa"/>
            <w:vAlign w:val="center"/>
          </w:tcPr>
          <w:p w14:paraId="300042E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内  容</w:t>
            </w:r>
          </w:p>
        </w:tc>
        <w:tc>
          <w:tcPr>
            <w:tcW w:w="1496" w:type="dxa"/>
            <w:vAlign w:val="center"/>
          </w:tcPr>
          <w:p w14:paraId="151410D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w:t>
            </w:r>
          </w:p>
        </w:tc>
      </w:tr>
      <w:tr w14:paraId="23CF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68C33E1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323" w:type="dxa"/>
            <w:vAlign w:val="center"/>
          </w:tcPr>
          <w:p w14:paraId="253122D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开标一览表</w:t>
            </w:r>
          </w:p>
        </w:tc>
        <w:tc>
          <w:tcPr>
            <w:tcW w:w="1496" w:type="dxa"/>
            <w:vAlign w:val="center"/>
          </w:tcPr>
          <w:p w14:paraId="6913487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附件六</w:t>
            </w:r>
          </w:p>
        </w:tc>
      </w:tr>
      <w:tr w14:paraId="4AC9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6E064C1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323" w:type="dxa"/>
            <w:vAlign w:val="center"/>
          </w:tcPr>
          <w:p w14:paraId="02A26C13">
            <w:pPr>
              <w:jc w:val="left"/>
              <w:rPr>
                <w:rFonts w:hint="eastAsia" w:asciiTheme="minorEastAsia" w:hAnsiTheme="minorEastAsia" w:eastAsiaTheme="minorEastAsia" w:cstheme="minorEastAsia"/>
                <w:sz w:val="18"/>
                <w:szCs w:val="18"/>
              </w:rPr>
            </w:pPr>
          </w:p>
        </w:tc>
        <w:tc>
          <w:tcPr>
            <w:tcW w:w="1496" w:type="dxa"/>
            <w:vAlign w:val="center"/>
          </w:tcPr>
          <w:p w14:paraId="2C18B44D">
            <w:pPr>
              <w:jc w:val="center"/>
              <w:rPr>
                <w:rFonts w:hint="eastAsia" w:asciiTheme="minorEastAsia" w:hAnsiTheme="minorEastAsia" w:eastAsiaTheme="minorEastAsia" w:cstheme="minorEastAsia"/>
                <w:sz w:val="18"/>
                <w:szCs w:val="18"/>
              </w:rPr>
            </w:pPr>
          </w:p>
        </w:tc>
      </w:tr>
    </w:tbl>
    <w:p w14:paraId="34E1BA57">
      <w:pPr>
        <w:spacing w:line="280" w:lineRule="exact"/>
        <w:rPr>
          <w:rFonts w:hint="eastAsia" w:asciiTheme="minorEastAsia" w:hAnsiTheme="minorEastAsia" w:eastAsiaTheme="minorEastAsia" w:cstheme="minorEastAsia"/>
          <w:b/>
          <w:szCs w:val="21"/>
        </w:rPr>
      </w:pPr>
    </w:p>
    <w:p w14:paraId="52B66F73">
      <w:pPr>
        <w:spacing w:line="28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11.2  投标文件格式</w:t>
      </w:r>
    </w:p>
    <w:p w14:paraId="3BDE726F">
      <w:pPr>
        <w:numPr>
          <w:ilvl w:val="0"/>
          <w:numId w:val="5"/>
        </w:numPr>
        <w:tabs>
          <w:tab w:val="left" w:pos="530"/>
        </w:tabs>
        <w:autoSpaceDE w:val="0"/>
        <w:autoSpaceDN w:val="0"/>
        <w:spacing w:line="28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投标人应根据采购文件中所提供的格式，内容按顺序填写并装订成册，不允许以活页夹形式装订投标文件，</w:t>
      </w:r>
      <w:r>
        <w:rPr>
          <w:rFonts w:hint="eastAsia" w:asciiTheme="minorEastAsia" w:hAnsiTheme="minorEastAsia" w:eastAsiaTheme="minorEastAsia" w:cstheme="minorEastAsia"/>
          <w:b/>
          <w:bCs/>
          <w:szCs w:val="21"/>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绝</w:t>
      </w:r>
      <w:r>
        <w:rPr>
          <w:rFonts w:hint="eastAsia" w:asciiTheme="minorEastAsia" w:hAnsiTheme="minorEastAsia" w:eastAsiaTheme="minorEastAsia" w:cstheme="minorEastAsia"/>
          <w:szCs w:val="21"/>
        </w:rPr>
        <w:t>。</w:t>
      </w:r>
    </w:p>
    <w:p w14:paraId="5FD8D621">
      <w:pPr>
        <w:numPr>
          <w:ilvl w:val="0"/>
          <w:numId w:val="5"/>
        </w:numPr>
        <w:tabs>
          <w:tab w:val="left" w:pos="530"/>
        </w:tabs>
        <w:autoSpaceDE w:val="0"/>
        <w:autoSpaceDN w:val="0"/>
        <w:spacing w:line="28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投标文件应有目录以及页码，以便评委检索。</w:t>
      </w:r>
    </w:p>
    <w:p w14:paraId="1C9B869C">
      <w:pPr>
        <w:numPr>
          <w:ilvl w:val="0"/>
          <w:numId w:val="5"/>
        </w:numPr>
        <w:tabs>
          <w:tab w:val="left" w:pos="530"/>
        </w:tabs>
        <w:autoSpaceDE w:val="0"/>
        <w:autoSpaceDN w:val="0"/>
        <w:spacing w:line="28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投标文件尽可能简练有针对性，双面打印/复印后装订。</w:t>
      </w:r>
    </w:p>
    <w:p w14:paraId="1587C140">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投标报价</w:t>
      </w:r>
    </w:p>
    <w:p w14:paraId="140D7F08">
      <w:pPr>
        <w:ind w:left="502" w:hanging="502" w:hangingChars="238"/>
        <w:rPr>
          <w:rFonts w:hint="eastAsia" w:asciiTheme="minorEastAsia" w:hAnsiTheme="minorEastAsia" w:eastAsiaTheme="minorEastAsia" w:cstheme="minorEastAsia"/>
          <w:b/>
          <w:sz w:val="22"/>
          <w:szCs w:val="20"/>
          <w:highlight w:val="yellow"/>
          <w:u w:val="single"/>
        </w:rPr>
      </w:pPr>
      <w:r>
        <w:rPr>
          <w:rFonts w:hint="eastAsia" w:asciiTheme="minorEastAsia" w:hAnsiTheme="minorEastAsia" w:eastAsiaTheme="minorEastAsia" w:cstheme="minorEastAsia"/>
          <w:b/>
          <w:bCs/>
          <w:szCs w:val="21"/>
        </w:rPr>
        <w:t xml:space="preserve">12.1 </w:t>
      </w:r>
      <w:r>
        <w:rPr>
          <w:rFonts w:hint="eastAsia" w:asciiTheme="minorEastAsia" w:hAnsiTheme="minorEastAsia" w:eastAsiaTheme="minorEastAsia" w:cstheme="minorEastAsia"/>
          <w:b/>
          <w:sz w:val="22"/>
          <w:u w:val="single"/>
        </w:rPr>
        <w:t>▲本项目投标报价是指投标人在正确地完全履行合同义务后采购人应支付给投标人的所有合同价款，本项目采用固定综合单价承包方式。综合单价包括提供劳务外包服务所需的人工费（包括工人工资、奖金、</w:t>
      </w:r>
      <w:r>
        <w:rPr>
          <w:rFonts w:hint="eastAsia" w:asciiTheme="minorEastAsia" w:hAnsiTheme="minorEastAsia" w:eastAsiaTheme="minorEastAsia" w:cstheme="minorEastAsia"/>
          <w:b/>
          <w:sz w:val="22"/>
          <w:szCs w:val="22"/>
          <w:u w:val="single"/>
        </w:rPr>
        <w:t>各种加班费、餐费补贴、</w:t>
      </w:r>
      <w:r>
        <w:rPr>
          <w:rFonts w:hint="eastAsia" w:asciiTheme="minorEastAsia" w:hAnsiTheme="minorEastAsia" w:eastAsiaTheme="minorEastAsia" w:cstheme="minorEastAsia"/>
          <w:b/>
          <w:sz w:val="22"/>
          <w:u w:val="single"/>
        </w:rPr>
        <w:t>劳保福利、社保、工伤费、教育培训费、暂住费、食宿与交通费及处理一切伤亡事故等费用）及工具材料费（如有）、企业应缴税金和应得利润、采购代理服务费等完成合同所需的一切本身和不可或缺的所有工作开支、政策性文件规定及合同包含的所有风险、责任等各项全部费用并承担一切风险责任。根据实际到岗服务人员数量、工作时间（完成工作量）及中标人最终中标报价表中各岗位中标单价进行结算。</w:t>
      </w:r>
    </w:p>
    <w:p w14:paraId="64CF1405">
      <w:pPr>
        <w:tabs>
          <w:tab w:val="left" w:pos="2730"/>
        </w:tabs>
        <w:spacing w:line="280" w:lineRule="exact"/>
        <w:ind w:left="502" w:hanging="502" w:hangingChars="238"/>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rPr>
        <w:t xml:space="preserve">12.2 </w:t>
      </w:r>
      <w:r>
        <w:rPr>
          <w:rFonts w:hint="eastAsia" w:asciiTheme="minorEastAsia" w:hAnsiTheme="minorEastAsia" w:eastAsiaTheme="minorEastAsia" w:cstheme="minorEastAsia"/>
          <w:b/>
          <w:bCs/>
          <w:sz w:val="22"/>
          <w:szCs w:val="22"/>
        </w:rPr>
        <w:t>投标人认为完成本采购文件规定的承包内容所需发生的直接成本、间接成本、利润、税金、政策性文件规定的费用及合同包含的所有风险、责任，采购代理服务费等一切费用均应在综合单价予以考虑；中标后，该综合单价固定不变，今后不得以任何理由追加或调整。</w:t>
      </w:r>
    </w:p>
    <w:p w14:paraId="773FF3E8">
      <w:pPr>
        <w:tabs>
          <w:tab w:val="left" w:pos="1080"/>
        </w:tabs>
        <w:spacing w:line="280" w:lineRule="exact"/>
        <w:ind w:left="502" w:hanging="502" w:hangingChars="238"/>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12.3 投标人必须按附件中的开标一览表、投标分项报价表（均统一格式，如有）内容填写单价、合价和总价，并由法定代表人或投标人代表签署。</w:t>
      </w:r>
    </w:p>
    <w:p w14:paraId="6B7D014A">
      <w:pPr>
        <w:tabs>
          <w:tab w:val="left" w:pos="1080"/>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12.4 所有报价均以人民币报价，投标人如需外汇购入某些货物，须折合成人民币计入投标报价中。</w:t>
      </w:r>
    </w:p>
    <w:p w14:paraId="35A77762">
      <w:pPr>
        <w:tabs>
          <w:tab w:val="left" w:pos="1080"/>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12.5 </w:t>
      </w:r>
      <w:r>
        <w:rPr>
          <w:rFonts w:hint="eastAsia" w:asciiTheme="minorEastAsia" w:hAnsiTheme="minorEastAsia" w:eastAsiaTheme="minorEastAsia" w:cstheme="minorEastAsia"/>
          <w:sz w:val="22"/>
          <w:u w:val="single"/>
        </w:rPr>
        <w:t>▲</w:t>
      </w:r>
      <w:r>
        <w:rPr>
          <w:rFonts w:hint="eastAsia" w:asciiTheme="minorEastAsia" w:hAnsiTheme="minorEastAsia" w:eastAsiaTheme="minorEastAsia" w:cstheme="minorEastAsia"/>
          <w:b/>
          <w:bCs/>
          <w:sz w:val="22"/>
          <w:u w:val="single"/>
        </w:rPr>
        <w:t>采购人不接受任何选择报价，每一种服务只允许一个报价</w:t>
      </w:r>
      <w:r>
        <w:rPr>
          <w:rFonts w:hint="eastAsia" w:asciiTheme="minorEastAsia" w:hAnsiTheme="minorEastAsia" w:eastAsiaTheme="minorEastAsia" w:cstheme="minorEastAsia"/>
          <w:b/>
          <w:bCs/>
          <w:sz w:val="22"/>
        </w:rPr>
        <w:t>。</w:t>
      </w:r>
    </w:p>
    <w:p w14:paraId="749BBC0C">
      <w:pPr>
        <w:tabs>
          <w:tab w:val="left" w:pos="1080"/>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12.6招标采购单位要求分类报价是为了方便评标，但在任何情况下不限制采购人以其认为最合适的条款、条件签订合同的权利。</w:t>
      </w:r>
    </w:p>
    <w:p w14:paraId="158A0336">
      <w:pPr>
        <w:tabs>
          <w:tab w:val="left" w:pos="-180"/>
          <w:tab w:val="left" w:pos="180"/>
          <w:tab w:val="left" w:pos="360"/>
        </w:tabs>
        <w:ind w:left="550" w:hanging="550" w:hangingChars="25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Cs/>
          <w:sz w:val="22"/>
          <w:u w:val="single"/>
        </w:rPr>
        <w:t>12.7▲</w:t>
      </w:r>
      <w:r>
        <w:rPr>
          <w:rFonts w:hint="eastAsia" w:asciiTheme="minorEastAsia" w:hAnsiTheme="minorEastAsia" w:eastAsiaTheme="minorEastAsia" w:cstheme="minorEastAsia"/>
          <w:b/>
          <w:sz w:val="22"/>
          <w:u w:val="single"/>
        </w:rPr>
        <w:t>投标报价报出后，投标人不得以任何理由予以变更。任何包含价格调整的要求，将被认为是非实质性响应投标而予以拒绝。</w:t>
      </w:r>
    </w:p>
    <w:p w14:paraId="6AA9E2FD">
      <w:pPr>
        <w:tabs>
          <w:tab w:val="left" w:pos="1080"/>
        </w:tabs>
        <w:ind w:left="524" w:hanging="523" w:hangingChars="238"/>
        <w:rPr>
          <w:rFonts w:hint="eastAsia" w:asciiTheme="minorEastAsia" w:hAnsiTheme="minorEastAsia" w:eastAsiaTheme="minorEastAsia" w:cstheme="minorEastAsia"/>
          <w:strike/>
          <w:sz w:val="22"/>
        </w:rPr>
      </w:pPr>
      <w:r>
        <w:rPr>
          <w:rFonts w:hint="eastAsia" w:asciiTheme="minorEastAsia" w:hAnsiTheme="minorEastAsia" w:eastAsiaTheme="minorEastAsia" w:cstheme="minorEastAsia"/>
          <w:sz w:val="22"/>
        </w:rPr>
        <w:t>12.8</w:t>
      </w:r>
      <w:r>
        <w:rPr>
          <w:rFonts w:hint="eastAsia" w:asciiTheme="minorEastAsia" w:hAnsiTheme="minorEastAsia" w:eastAsiaTheme="minorEastAsia" w:cstheme="minorEastAsia"/>
          <w:b/>
          <w:bCs/>
          <w:sz w:val="22"/>
        </w:rPr>
        <w:t>最低报价不作为中标的保证。</w:t>
      </w:r>
    </w:p>
    <w:p w14:paraId="127602D7">
      <w:pPr>
        <w:numPr>
          <w:ilvl w:val="0"/>
          <w:numId w:val="4"/>
        </w:numPr>
        <w:tabs>
          <w:tab w:val="left" w:pos="525"/>
          <w:tab w:val="left" w:pos="900"/>
        </w:tabs>
        <w:ind w:left="525" w:hanging="525"/>
        <w:rPr>
          <w:rFonts w:hint="eastAsia" w:asciiTheme="minorEastAsia" w:hAnsiTheme="minorEastAsia" w:eastAsiaTheme="minorEastAsia" w:cstheme="minorEastAsia"/>
          <w:b/>
          <w:sz w:val="22"/>
          <w:u w:val="single"/>
        </w:rPr>
      </w:pPr>
      <w:r>
        <w:rPr>
          <w:rFonts w:hint="eastAsia" w:asciiTheme="minorEastAsia" w:hAnsiTheme="minorEastAsia" w:eastAsiaTheme="minorEastAsia" w:cstheme="minorEastAsia"/>
          <w:b/>
          <w:sz w:val="22"/>
          <w:u w:val="single"/>
        </w:rPr>
        <w:t>▲投标保证金</w:t>
      </w:r>
    </w:p>
    <w:p w14:paraId="5457C068">
      <w:pPr>
        <w:tabs>
          <w:tab w:val="left" w:pos="851"/>
          <w:tab w:val="left" w:pos="1080"/>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13.1 </w:t>
      </w:r>
      <w:r>
        <w:rPr>
          <w:rFonts w:hint="eastAsia" w:asciiTheme="minorEastAsia" w:hAnsiTheme="minorEastAsia" w:eastAsiaTheme="minorEastAsia" w:cstheme="minorEastAsia"/>
          <w:b/>
          <w:bCs/>
          <w:sz w:val="22"/>
          <w:u w:val="single"/>
        </w:rPr>
        <w:t>投标人须按投标人须知前附表规定交纳投标保证金，否则将作无效标处理</w:t>
      </w:r>
      <w:r>
        <w:rPr>
          <w:rFonts w:hint="eastAsia" w:asciiTheme="minorEastAsia" w:hAnsiTheme="minorEastAsia" w:eastAsiaTheme="minorEastAsia" w:cstheme="minorEastAsia"/>
          <w:sz w:val="22"/>
        </w:rPr>
        <w:t>。</w:t>
      </w:r>
    </w:p>
    <w:p w14:paraId="457D2881">
      <w:pPr>
        <w:tabs>
          <w:tab w:val="left" w:pos="851"/>
          <w:tab w:val="left" w:pos="1080"/>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13.2</w:t>
      </w:r>
      <w:r>
        <w:rPr>
          <w:rFonts w:hint="eastAsia" w:asciiTheme="minorEastAsia" w:hAnsiTheme="minorEastAsia" w:eastAsiaTheme="minorEastAsia" w:cstheme="minorEastAsia"/>
          <w:b/>
          <w:bCs/>
          <w:sz w:val="22"/>
          <w:u w:val="single"/>
        </w:rPr>
        <w:t>投标保证金金额及形式详见采购公告及投标须知前附表规定。</w:t>
      </w:r>
    </w:p>
    <w:p w14:paraId="6D87A4B8">
      <w:pPr>
        <w:tabs>
          <w:tab w:val="left" w:pos="851"/>
          <w:tab w:val="left" w:pos="1080"/>
        </w:tabs>
        <w:ind w:left="524" w:hanging="523" w:hangingChars="238"/>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sz w:val="22"/>
        </w:rPr>
        <w:t>13.3 投标人的投标保证金在中标人提交履约担保并与采购人签订了合同且合同经备案后无息退还，未中标人的投标保证金将在确定中标人后无息退还。</w:t>
      </w:r>
    </w:p>
    <w:p w14:paraId="07C7081B">
      <w:pPr>
        <w:tabs>
          <w:tab w:val="left" w:pos="851"/>
          <w:tab w:val="left" w:pos="1080"/>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13.4 </w:t>
      </w:r>
      <w:r>
        <w:rPr>
          <w:rFonts w:hint="eastAsia" w:asciiTheme="minorEastAsia" w:hAnsiTheme="minorEastAsia" w:eastAsiaTheme="minorEastAsia" w:cstheme="minorEastAsia"/>
          <w:b/>
          <w:sz w:val="22"/>
          <w:u w:val="single"/>
        </w:rPr>
        <w:t>如发生下列情况之一，投标保证金将不予退还：</w:t>
      </w:r>
    </w:p>
    <w:p w14:paraId="798E9E97">
      <w:pPr>
        <w:numPr>
          <w:ilvl w:val="0"/>
          <w:numId w:val="6"/>
        </w:numPr>
        <w:tabs>
          <w:tab w:val="left" w:pos="525"/>
        </w:tabs>
        <w:ind w:left="525"/>
        <w:rPr>
          <w:rFonts w:hint="eastAsia" w:asciiTheme="minorEastAsia" w:hAnsiTheme="minorEastAsia" w:eastAsiaTheme="minorEastAsia" w:cstheme="minorEastAsia"/>
          <w:sz w:val="22"/>
          <w:u w:val="single"/>
        </w:rPr>
      </w:pPr>
      <w:r>
        <w:rPr>
          <w:rFonts w:hint="eastAsia" w:asciiTheme="minorEastAsia" w:hAnsiTheme="minorEastAsia" w:eastAsiaTheme="minorEastAsia" w:cstheme="minorEastAsia"/>
          <w:sz w:val="22"/>
          <w:u w:val="single"/>
        </w:rPr>
        <w:t>投标人在采购文件规定的投标有效期内撤回投标；</w:t>
      </w:r>
    </w:p>
    <w:p w14:paraId="6F66FC31">
      <w:pPr>
        <w:numPr>
          <w:ilvl w:val="0"/>
          <w:numId w:val="6"/>
        </w:numPr>
        <w:tabs>
          <w:tab w:val="left" w:pos="525"/>
        </w:tabs>
        <w:ind w:left="525"/>
        <w:rPr>
          <w:rFonts w:hint="eastAsia" w:asciiTheme="minorEastAsia" w:hAnsiTheme="minorEastAsia" w:eastAsiaTheme="minorEastAsia" w:cstheme="minorEastAsia"/>
          <w:sz w:val="22"/>
          <w:u w:val="single"/>
        </w:rPr>
      </w:pPr>
      <w:r>
        <w:rPr>
          <w:rFonts w:hint="eastAsia" w:asciiTheme="minorEastAsia" w:hAnsiTheme="minorEastAsia" w:eastAsiaTheme="minorEastAsia" w:cstheme="minorEastAsia"/>
          <w:sz w:val="22"/>
          <w:u w:val="single"/>
        </w:rPr>
        <w:t>中标人未按中标通知书中规定的时间与采购人签订合同；</w:t>
      </w:r>
    </w:p>
    <w:p w14:paraId="5CE5CF06">
      <w:pPr>
        <w:numPr>
          <w:ilvl w:val="0"/>
          <w:numId w:val="6"/>
        </w:numPr>
        <w:tabs>
          <w:tab w:val="left" w:pos="525"/>
        </w:tabs>
        <w:ind w:left="525"/>
        <w:rPr>
          <w:rFonts w:hint="eastAsia" w:asciiTheme="minorEastAsia" w:hAnsiTheme="minorEastAsia" w:eastAsiaTheme="minorEastAsia" w:cstheme="minorEastAsia"/>
          <w:sz w:val="22"/>
          <w:u w:val="single"/>
        </w:rPr>
      </w:pPr>
      <w:r>
        <w:rPr>
          <w:rFonts w:hint="eastAsia" w:asciiTheme="minorEastAsia" w:hAnsiTheme="minorEastAsia" w:eastAsiaTheme="minorEastAsia" w:cstheme="minorEastAsia"/>
          <w:sz w:val="22"/>
          <w:u w:val="single"/>
        </w:rPr>
        <w:t>中标人在规定期限内未能根据采购文件要求提供履约担保；</w:t>
      </w:r>
    </w:p>
    <w:p w14:paraId="7743F051">
      <w:pPr>
        <w:numPr>
          <w:ilvl w:val="0"/>
          <w:numId w:val="6"/>
        </w:numPr>
        <w:tabs>
          <w:tab w:val="left" w:pos="525"/>
        </w:tabs>
        <w:ind w:left="525"/>
        <w:rPr>
          <w:rFonts w:hint="eastAsia" w:asciiTheme="minorEastAsia" w:hAnsiTheme="minorEastAsia" w:eastAsiaTheme="minorEastAsia" w:cstheme="minorEastAsia"/>
          <w:sz w:val="22"/>
          <w:u w:val="single"/>
        </w:rPr>
      </w:pPr>
      <w:r>
        <w:rPr>
          <w:rFonts w:hint="eastAsia" w:asciiTheme="minorEastAsia" w:hAnsiTheme="minorEastAsia" w:eastAsiaTheme="minorEastAsia" w:cstheme="minorEastAsia"/>
          <w:sz w:val="22"/>
          <w:u w:val="single"/>
        </w:rPr>
        <w:t>投标人在投标文件中提供虚假技术指标及参数，经评标委员会确认属实的；</w:t>
      </w:r>
    </w:p>
    <w:p w14:paraId="04675D26">
      <w:pPr>
        <w:numPr>
          <w:ilvl w:val="0"/>
          <w:numId w:val="6"/>
        </w:numPr>
        <w:tabs>
          <w:tab w:val="left" w:pos="525"/>
        </w:tabs>
        <w:ind w:left="525"/>
        <w:rPr>
          <w:rFonts w:hint="eastAsia" w:asciiTheme="minorEastAsia" w:hAnsiTheme="minorEastAsia" w:eastAsiaTheme="minorEastAsia" w:cstheme="minorEastAsia"/>
          <w:sz w:val="22"/>
          <w:u w:val="single"/>
        </w:rPr>
      </w:pPr>
      <w:r>
        <w:rPr>
          <w:rFonts w:hint="eastAsia" w:asciiTheme="minorEastAsia" w:hAnsiTheme="minorEastAsia" w:eastAsiaTheme="minorEastAsia" w:cstheme="minorEastAsia"/>
          <w:sz w:val="22"/>
          <w:u w:val="single"/>
        </w:rPr>
        <w:t>经国企采购监督管理部门审查认定投标人有违反《温州市市属国有企业采购管理办法》（温国资委〔2024〕第51号）等有关法律法规的行为。</w:t>
      </w:r>
    </w:p>
    <w:p w14:paraId="0C6D28E4">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投标有效期</w:t>
      </w:r>
    </w:p>
    <w:p w14:paraId="52C65B24">
      <w:pPr>
        <w:tabs>
          <w:tab w:val="left" w:pos="1080"/>
          <w:tab w:val="left" w:pos="1287"/>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14.1 </w:t>
      </w:r>
      <w:r>
        <w:rPr>
          <w:rFonts w:hint="eastAsia" w:asciiTheme="minorEastAsia" w:hAnsiTheme="minorEastAsia" w:eastAsiaTheme="minorEastAsia" w:cstheme="minorEastAsia"/>
          <w:b/>
          <w:sz w:val="22"/>
          <w:u w:val="single"/>
        </w:rPr>
        <w:t>▲投标有效期见投标人须知前附表，投标文件有效期短于这个规定期限的将被拒绝。</w:t>
      </w:r>
    </w:p>
    <w:p w14:paraId="1EA34348">
      <w:pPr>
        <w:tabs>
          <w:tab w:val="left" w:pos="1080"/>
          <w:tab w:val="left" w:pos="1287"/>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14.2在投标人须知前附表规定的投标有效期内，投标人不得要求撤销或修改其投标文件。</w:t>
      </w:r>
    </w:p>
    <w:p w14:paraId="7858D467">
      <w:pPr>
        <w:tabs>
          <w:tab w:val="left" w:pos="1080"/>
          <w:tab w:val="left" w:pos="1287"/>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02D97CEA">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投标文件的签署和规定</w:t>
      </w:r>
    </w:p>
    <w:p w14:paraId="6C99DC78">
      <w:pPr>
        <w:numPr>
          <w:ilvl w:val="1"/>
          <w:numId w:val="7"/>
        </w:numPr>
        <w:tabs>
          <w:tab w:val="left" w:pos="525"/>
        </w:tabs>
        <w:ind w:left="525" w:hanging="525"/>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投标人应提供技术资信标、商务（报价）标各一式五份的投标文件，分别装订成册。其中正本一份、副本四份，每套投标文件的封面应清楚标明“正本”或“副本”字样，若“正本”与“副本”不符，以“正本”为准。</w:t>
      </w:r>
    </w:p>
    <w:p w14:paraId="65ABE207">
      <w:pPr>
        <w:numPr>
          <w:ilvl w:val="1"/>
          <w:numId w:val="7"/>
        </w:numPr>
        <w:tabs>
          <w:tab w:val="left" w:pos="525"/>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投标文件的正本必须打印或用不褪色的墨水书写，并由法定代表人或其授权代表签署，副本可用正本的复印件。</w:t>
      </w:r>
    </w:p>
    <w:p w14:paraId="0E0B0FD2">
      <w:pPr>
        <w:numPr>
          <w:ilvl w:val="1"/>
          <w:numId w:val="7"/>
        </w:numPr>
        <w:tabs>
          <w:tab w:val="left" w:pos="525"/>
        </w:tabs>
        <w:ind w:left="525" w:hanging="525"/>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投标文件如有修改和增删必须由投标文件签字人在修改和增删处旁签署或盖章，方才有效。</w:t>
      </w:r>
    </w:p>
    <w:p w14:paraId="596AA6A2">
      <w:pPr>
        <w:numPr>
          <w:ilvl w:val="1"/>
          <w:numId w:val="7"/>
        </w:numPr>
        <w:tabs>
          <w:tab w:val="left" w:pos="525"/>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投标文件字迹模糊或在关键的技术、商务条款上表述不清楚，将可能导致其投标被拒绝。</w:t>
      </w:r>
    </w:p>
    <w:p w14:paraId="6B87694B">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投标文件的密封及标记</w:t>
      </w:r>
    </w:p>
    <w:p w14:paraId="44DF5749">
      <w:pPr>
        <w:numPr>
          <w:ilvl w:val="1"/>
          <w:numId w:val="8"/>
        </w:numPr>
        <w:tabs>
          <w:tab w:val="left" w:pos="525"/>
        </w:tabs>
        <w:ind w:left="525" w:hanging="525"/>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投标人必须将投标文件的“技术资信标”、“商务（报价）标”分别单独密封，且在各自的密封袋上标明“技术资信标”、“商务（报价）标”字样。封口处贴上封条，启封处加盖投标单位公章并由法定代表人（负责人）或其授权代表签字。封皮上写明投标项目名称、项目编号，并注明“开标时启封”字样。</w:t>
      </w:r>
    </w:p>
    <w:p w14:paraId="47245ADE">
      <w:pPr>
        <w:numPr>
          <w:ilvl w:val="1"/>
          <w:numId w:val="8"/>
        </w:numPr>
        <w:tabs>
          <w:tab w:val="left" w:pos="525"/>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如果投标人未按上述要求密封及加写标记，采购人对投标文件的误投和提前启封不负责任。</w:t>
      </w:r>
    </w:p>
    <w:p w14:paraId="58BEDE33">
      <w:pPr>
        <w:spacing w:before="156" w:beforeLines="50" w:after="156" w:afterLines="5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 投标文件的递交</w:t>
      </w:r>
    </w:p>
    <w:p w14:paraId="2D5F256B">
      <w:pPr>
        <w:numPr>
          <w:ilvl w:val="0"/>
          <w:numId w:val="4"/>
        </w:numPr>
        <w:tabs>
          <w:tab w:val="left" w:pos="525"/>
          <w:tab w:val="left" w:pos="900"/>
        </w:tabs>
        <w:ind w:left="527" w:hanging="527"/>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投标文件的递交</w:t>
      </w:r>
    </w:p>
    <w:p w14:paraId="362B3A03">
      <w:pPr>
        <w:numPr>
          <w:ilvl w:val="1"/>
          <w:numId w:val="9"/>
        </w:numPr>
        <w:tabs>
          <w:tab w:val="left" w:pos="525"/>
        </w:tabs>
        <w:ind w:left="527" w:hanging="527"/>
        <w:rPr>
          <w:rFonts w:hint="eastAsia" w:asciiTheme="minorEastAsia" w:hAnsiTheme="minorEastAsia" w:eastAsiaTheme="minorEastAsia" w:cstheme="minorEastAsia"/>
          <w:b/>
          <w:sz w:val="22"/>
          <w:u w:val="single"/>
        </w:rPr>
      </w:pPr>
      <w:r>
        <w:rPr>
          <w:rFonts w:hint="eastAsia" w:asciiTheme="minorEastAsia" w:hAnsiTheme="minorEastAsia" w:eastAsiaTheme="minorEastAsia" w:cstheme="minorEastAsia"/>
          <w:b/>
          <w:bCs/>
          <w:sz w:val="22"/>
          <w:u w:val="single"/>
        </w:rPr>
        <w:t>▲</w:t>
      </w:r>
      <w:r>
        <w:rPr>
          <w:rFonts w:hint="eastAsia" w:asciiTheme="minorEastAsia" w:hAnsiTheme="minorEastAsia" w:eastAsiaTheme="minorEastAsia" w:cstheme="minorEastAsia"/>
          <w:b/>
          <w:sz w:val="22"/>
          <w:u w:val="single"/>
        </w:rPr>
        <w:t>投标文件必须在规定的投标文件递交截止时间前送达到投标文件递交地点；</w:t>
      </w:r>
    </w:p>
    <w:p w14:paraId="335D4B26">
      <w:pPr>
        <w:numPr>
          <w:ilvl w:val="1"/>
          <w:numId w:val="9"/>
        </w:numPr>
        <w:tabs>
          <w:tab w:val="left" w:pos="525"/>
        </w:tabs>
        <w:ind w:left="527" w:hanging="527"/>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在递交投标文件同时递交以下证明文件，由评标委员会确认投标资格：</w:t>
      </w:r>
    </w:p>
    <w:p w14:paraId="1D18C447">
      <w:pPr>
        <w:numPr>
          <w:ilvl w:val="0"/>
          <w:numId w:val="10"/>
        </w:numPr>
        <w:tabs>
          <w:tab w:val="left" w:pos="525"/>
        </w:tabs>
        <w:ind w:left="947"/>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投标保证金缴纳凭证；</w:t>
      </w:r>
    </w:p>
    <w:p w14:paraId="5A2E989B">
      <w:pPr>
        <w:numPr>
          <w:ilvl w:val="0"/>
          <w:numId w:val="10"/>
        </w:numPr>
        <w:tabs>
          <w:tab w:val="left" w:pos="525"/>
        </w:tabs>
        <w:ind w:left="947"/>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投标人代表有效身份证件；</w:t>
      </w:r>
    </w:p>
    <w:p w14:paraId="48A150B8">
      <w:pPr>
        <w:numPr>
          <w:ilvl w:val="0"/>
          <w:numId w:val="10"/>
        </w:numPr>
        <w:tabs>
          <w:tab w:val="left" w:pos="525"/>
        </w:tabs>
        <w:ind w:left="947"/>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如企业/事业单位法定代表人委派投标人代表的，需提交法定代表人授权书（原件）。</w:t>
      </w:r>
    </w:p>
    <w:p w14:paraId="6FA27796">
      <w:pPr>
        <w:numPr>
          <w:ilvl w:val="0"/>
          <w:numId w:val="4"/>
        </w:numPr>
        <w:tabs>
          <w:tab w:val="left" w:pos="525"/>
          <w:tab w:val="left" w:pos="900"/>
        </w:tabs>
        <w:ind w:left="527" w:hanging="527"/>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投标文件的修改和撤回</w:t>
      </w:r>
    </w:p>
    <w:p w14:paraId="46D2A00A">
      <w:pPr>
        <w:numPr>
          <w:ilvl w:val="1"/>
          <w:numId w:val="11"/>
        </w:numPr>
        <w:tabs>
          <w:tab w:val="left" w:pos="525"/>
        </w:tabs>
        <w:ind w:left="527" w:hanging="527"/>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在投标文件递交截止时间前，投标人可以用书面形式提出修改或撤回其投标并送达到采购人，但不得影响开标活动的正常进行。</w:t>
      </w:r>
    </w:p>
    <w:p w14:paraId="195284DD">
      <w:pPr>
        <w:numPr>
          <w:ilvl w:val="1"/>
          <w:numId w:val="11"/>
        </w:numPr>
        <w:tabs>
          <w:tab w:val="left" w:pos="525"/>
        </w:tabs>
        <w:ind w:left="527" w:hanging="527"/>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“投标文件修改”或“投标文件撤回通知”都应密封并在密封袋上写明投标项目名称、项目编号、投标单位名称，并注明“投标文件修改”或“投标文件撤回通知”字样。</w:t>
      </w:r>
    </w:p>
    <w:p w14:paraId="0DBFD4FA">
      <w:pPr>
        <w:numPr>
          <w:ilvl w:val="1"/>
          <w:numId w:val="11"/>
        </w:numPr>
        <w:tabs>
          <w:tab w:val="left" w:pos="525"/>
        </w:tabs>
        <w:ind w:left="527" w:hanging="527"/>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从投标文件递交截止时间起至投标有效期满这段时间内，投标人不得撤回其投标，否则投标保证金将被不予退还。</w:t>
      </w:r>
    </w:p>
    <w:p w14:paraId="135A2143">
      <w:pPr>
        <w:numPr>
          <w:ilvl w:val="0"/>
          <w:numId w:val="4"/>
        </w:numPr>
        <w:tabs>
          <w:tab w:val="left" w:pos="525"/>
          <w:tab w:val="left" w:pos="900"/>
        </w:tabs>
        <w:ind w:left="527" w:hanging="527"/>
        <w:rPr>
          <w:rFonts w:hint="eastAsia" w:asciiTheme="minorEastAsia" w:hAnsiTheme="minorEastAsia" w:eastAsiaTheme="minorEastAsia" w:cstheme="minorEastAsia"/>
          <w:b/>
          <w:sz w:val="22"/>
          <w:u w:val="single"/>
        </w:rPr>
      </w:pPr>
      <w:r>
        <w:rPr>
          <w:rFonts w:hint="eastAsia" w:asciiTheme="minorEastAsia" w:hAnsiTheme="minorEastAsia" w:eastAsiaTheme="minorEastAsia" w:cstheme="minorEastAsia"/>
          <w:b/>
          <w:sz w:val="22"/>
          <w:u w:val="single"/>
        </w:rPr>
        <w:t>▲发生下列情况之一的投标文件将拒收：</w:t>
      </w:r>
    </w:p>
    <w:p w14:paraId="03BAC1CA">
      <w:pPr>
        <w:numPr>
          <w:ilvl w:val="1"/>
          <w:numId w:val="12"/>
        </w:numPr>
        <w:tabs>
          <w:tab w:val="left" w:pos="525"/>
        </w:tabs>
        <w:ind w:left="527" w:hanging="527"/>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在投标文件递交截止时间以后送达的投标文件；</w:t>
      </w:r>
    </w:p>
    <w:p w14:paraId="2EA90992">
      <w:pPr>
        <w:numPr>
          <w:ilvl w:val="1"/>
          <w:numId w:val="12"/>
        </w:numPr>
        <w:tabs>
          <w:tab w:val="left" w:pos="525"/>
        </w:tabs>
        <w:ind w:left="527" w:hanging="527"/>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未购买采购文件；</w:t>
      </w:r>
    </w:p>
    <w:p w14:paraId="25E0FFCE">
      <w:pPr>
        <w:numPr>
          <w:ilvl w:val="1"/>
          <w:numId w:val="12"/>
        </w:numPr>
        <w:tabs>
          <w:tab w:val="left" w:pos="525"/>
        </w:tabs>
        <w:ind w:left="527" w:hanging="527"/>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未密封的投标文件及由于包装不妥致使在送达时严重破损或失散未能形成有效密封的投标文件；</w:t>
      </w:r>
    </w:p>
    <w:p w14:paraId="43C24C8A">
      <w:pPr>
        <w:numPr>
          <w:ilvl w:val="1"/>
          <w:numId w:val="12"/>
        </w:numPr>
        <w:tabs>
          <w:tab w:val="left" w:pos="525"/>
        </w:tabs>
        <w:ind w:left="527" w:hanging="527"/>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u w:val="single"/>
        </w:rPr>
        <w:t>以电讯形式递交的投标文件</w:t>
      </w:r>
      <w:r>
        <w:rPr>
          <w:rFonts w:hint="eastAsia" w:asciiTheme="minorEastAsia" w:hAnsiTheme="minorEastAsia" w:eastAsiaTheme="minorEastAsia" w:cstheme="minorEastAsia"/>
          <w:bCs/>
          <w:sz w:val="22"/>
        </w:rPr>
        <w:t>。</w:t>
      </w:r>
    </w:p>
    <w:p w14:paraId="0FFF27A6">
      <w:pPr>
        <w:spacing w:before="156" w:beforeLines="50" w:after="156" w:afterLines="5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 开标和评审</w:t>
      </w:r>
    </w:p>
    <w:p w14:paraId="4AA0B2CB">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评标委员会</w:t>
      </w:r>
    </w:p>
    <w:p w14:paraId="11F7E506">
      <w:pPr>
        <w:ind w:left="540" w:leftChars="257"/>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采购人依法组建评标委员会。评标委员会的成员在评标过程中必须严格遵守有关法律、法规的规定。</w:t>
      </w:r>
    </w:p>
    <w:p w14:paraId="6E19D166">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评标过程的保密性</w:t>
      </w:r>
    </w:p>
    <w:p w14:paraId="6F831510">
      <w:pPr>
        <w:ind w:left="540" w:leftChars="257"/>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开标后直至向中标人授予合同时止，凡与评审有关的资料均不得向投标人及与评标无关人员透露。如果投标人在评标过程中试图向</w:t>
      </w:r>
      <w:r>
        <w:rPr>
          <w:rFonts w:hint="eastAsia" w:asciiTheme="minorEastAsia" w:hAnsiTheme="minorEastAsia" w:eastAsiaTheme="minorEastAsia" w:cstheme="minorEastAsia"/>
          <w:sz w:val="22"/>
        </w:rPr>
        <w:t>采购单位、评标委员会</w:t>
      </w:r>
      <w:r>
        <w:rPr>
          <w:rFonts w:hint="eastAsia" w:asciiTheme="minorEastAsia" w:hAnsiTheme="minorEastAsia" w:eastAsiaTheme="minorEastAsia" w:cstheme="minorEastAsia"/>
          <w:bCs/>
          <w:sz w:val="22"/>
        </w:rPr>
        <w:t>施加影响，其投标将被拒绝。</w:t>
      </w:r>
    </w:p>
    <w:p w14:paraId="12CBECF1">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开标、评标</w:t>
      </w:r>
    </w:p>
    <w:p w14:paraId="344DA335">
      <w:pPr>
        <w:numPr>
          <w:ilvl w:val="1"/>
          <w:numId w:val="13"/>
        </w:numPr>
        <w:tabs>
          <w:tab w:val="left" w:pos="540"/>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开标程序：</w:t>
      </w:r>
    </w:p>
    <w:p w14:paraId="217AF0F0">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宣布开标纪律；</w:t>
      </w:r>
    </w:p>
    <w:p w14:paraId="0479E203">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公布在投标截止时间前递交投标文件的投标人名称，并点名确认投标人是否派授权代表到场；</w:t>
      </w:r>
    </w:p>
    <w:p w14:paraId="52E030C1">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宣布唱标人、记录人、监督人员等有关人员姓名；</w:t>
      </w:r>
    </w:p>
    <w:p w14:paraId="7DBB47A2">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密封情况检查：由投标人或其推选的代表检查投标文件密封情况；</w:t>
      </w:r>
    </w:p>
    <w:p w14:paraId="14B804CB">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开标顺序：同时开启技术资信部分投标文件、开启商务（报价）文件；</w:t>
      </w:r>
    </w:p>
    <w:p w14:paraId="729CABCC">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确认开标结果：投标人授权代表对开标书面记录进行当场校核及勘误，并签字确认；并同时由记录人、核对人当场签字确认。</w:t>
      </w:r>
    </w:p>
    <w:p w14:paraId="7F7798F5">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宣布开标结束。</w:t>
      </w:r>
    </w:p>
    <w:p w14:paraId="2A33E5EB">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投标人授权代表未参加开标会议；未到场签字确认的，不影响开标，评标过程，视同认可开标结果；事后不得对采购相关人员、开标过程和开标结果提出异议。</w:t>
      </w:r>
    </w:p>
    <w:p w14:paraId="2408260A">
      <w:pPr>
        <w:numPr>
          <w:ilvl w:val="1"/>
          <w:numId w:val="13"/>
        </w:numPr>
        <w:tabs>
          <w:tab w:val="left" w:pos="540"/>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评标程序：先对各投标文件进行初审，然后对初审合格的投标文件进行技术资信标评审，技术资信标评审结束后，再对各有效标进行商务（报价）评审。</w:t>
      </w:r>
    </w:p>
    <w:p w14:paraId="67A813EA">
      <w:pPr>
        <w:numPr>
          <w:ilvl w:val="1"/>
          <w:numId w:val="13"/>
        </w:numPr>
        <w:tabs>
          <w:tab w:val="left" w:pos="525"/>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投标文件的初审。初审分为资格性审查和符合性检查。</w:t>
      </w:r>
    </w:p>
    <w:p w14:paraId="3610E062">
      <w:pPr>
        <w:numPr>
          <w:ilvl w:val="0"/>
          <w:numId w:val="15"/>
        </w:numPr>
        <w:tabs>
          <w:tab w:val="left" w:pos="525"/>
        </w:tabs>
        <w:ind w:left="525" w:hanging="315"/>
        <w:rPr>
          <w:rFonts w:hint="eastAsia" w:asciiTheme="minorEastAsia" w:hAnsiTheme="minorEastAsia" w:eastAsiaTheme="minorEastAsia" w:cstheme="minorEastAsia"/>
          <w:b/>
          <w:bCs/>
          <w:sz w:val="22"/>
          <w:u w:val="single"/>
        </w:rPr>
      </w:pPr>
      <w:r>
        <w:rPr>
          <w:rFonts w:hint="eastAsia" w:asciiTheme="minorEastAsia" w:hAnsiTheme="minorEastAsia" w:eastAsiaTheme="minorEastAsia" w:cstheme="minorEastAsia"/>
          <w:bCs/>
          <w:sz w:val="22"/>
        </w:rPr>
        <w:t>资格性审查。依据法律、法规和采购文件的规定，评标委员会对各投标人进行资格性审查，资格性审查内容包括但不仅限于审查随投标文件一同提交的资格证明材料是否能证明符合本项目对投标人资格的实质性要求。</w:t>
      </w:r>
      <w:r>
        <w:rPr>
          <w:rFonts w:hint="eastAsia" w:asciiTheme="minorEastAsia" w:hAnsiTheme="minorEastAsia" w:eastAsiaTheme="minorEastAsia" w:cstheme="minorEastAsia"/>
          <w:b/>
          <w:sz w:val="22"/>
          <w:u w:val="single"/>
        </w:rPr>
        <w:t>▲</w:t>
      </w:r>
      <w:r>
        <w:rPr>
          <w:rFonts w:hint="eastAsia" w:asciiTheme="minorEastAsia" w:hAnsiTheme="minorEastAsia" w:eastAsiaTheme="minorEastAsia" w:cstheme="minorEastAsia"/>
          <w:b/>
          <w:bCs/>
          <w:sz w:val="22"/>
          <w:u w:val="single"/>
        </w:rPr>
        <w:t>审查不合格的投标文件将作无效标处理。</w:t>
      </w:r>
    </w:p>
    <w:p w14:paraId="407CEA6A">
      <w:pPr>
        <w:numPr>
          <w:ilvl w:val="0"/>
          <w:numId w:val="15"/>
        </w:numPr>
        <w:tabs>
          <w:tab w:val="left" w:pos="525"/>
        </w:tabs>
        <w:ind w:left="525" w:hanging="31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符合性检查。依据采购文件的规定，对投标文件的有效性、完整性和对采购文件的响应程度进行审查，以确定是否对采购文件的实质性要求作出响应。</w:t>
      </w:r>
      <w:r>
        <w:rPr>
          <w:rFonts w:hint="eastAsia" w:asciiTheme="minorEastAsia" w:hAnsiTheme="minorEastAsia" w:eastAsiaTheme="minorEastAsia" w:cstheme="minorEastAsia"/>
          <w:b/>
          <w:sz w:val="22"/>
          <w:u w:val="single"/>
        </w:rPr>
        <w:t>▲审查不合格的投标文件将将作无效标处理。</w:t>
      </w:r>
    </w:p>
    <w:p w14:paraId="1339C40B">
      <w:pPr>
        <w:tabs>
          <w:tab w:val="left" w:pos="525"/>
        </w:tabs>
        <w:ind w:left="548" w:leftChars="261"/>
        <w:rPr>
          <w:rFonts w:hint="eastAsia" w:asciiTheme="minorEastAsia" w:hAnsiTheme="minorEastAsia" w:eastAsiaTheme="minorEastAsia" w:cstheme="minorEastAsia"/>
          <w:b/>
          <w:bCs/>
          <w:sz w:val="22"/>
          <w:u w:val="single"/>
        </w:rPr>
      </w:pPr>
      <w:r>
        <w:rPr>
          <w:rFonts w:hint="eastAsia" w:asciiTheme="minorEastAsia" w:hAnsiTheme="minorEastAsia" w:eastAsiaTheme="minorEastAsia" w:cstheme="minorEastAsia"/>
          <w:b/>
          <w:bCs/>
          <w:sz w:val="22"/>
          <w:u w:val="single"/>
        </w:rPr>
        <w:t>▲通过资格性审查与符合性审查的技术资信标由评委进行综合评审，审查确认未通过的投标文件将作无效标处理，其技术资信标不再进行后续评审。</w:t>
      </w:r>
    </w:p>
    <w:p w14:paraId="2A22A42D">
      <w:pPr>
        <w:numPr>
          <w:ilvl w:val="1"/>
          <w:numId w:val="13"/>
        </w:numPr>
        <w:tabs>
          <w:tab w:val="left" w:pos="525"/>
        </w:tabs>
        <w:ind w:left="525" w:hanging="525"/>
        <w:rPr>
          <w:rFonts w:hint="eastAsia" w:asciiTheme="minorEastAsia" w:hAnsiTheme="minorEastAsia" w:eastAsiaTheme="minorEastAsia" w:cstheme="minorEastAsia"/>
          <w:b/>
          <w:bCs/>
          <w:sz w:val="22"/>
          <w:u w:val="single"/>
        </w:rPr>
      </w:pPr>
      <w:r>
        <w:rPr>
          <w:rFonts w:hint="eastAsia" w:asciiTheme="minorEastAsia" w:hAnsiTheme="minorEastAsia" w:eastAsiaTheme="minorEastAsia" w:cstheme="minorEastAsia"/>
          <w:b/>
          <w:bCs/>
          <w:sz w:val="22"/>
          <w:u w:val="single"/>
        </w:rPr>
        <w:t>▲在对各投标人的投标文件进行综合评审时，投标文件有下列情况之一的，经评标委员会认定后按无效标处理：</w:t>
      </w:r>
    </w:p>
    <w:p w14:paraId="0E012572">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投标文件未按要求（非实质性条款除外）加盖单位公章、无法定代表人或其授权代表签字或盖章的；</w:t>
      </w:r>
    </w:p>
    <w:p w14:paraId="5D064ABF">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投标文件附有采购人不能接受的条件；</w:t>
      </w:r>
    </w:p>
    <w:p w14:paraId="556E7467">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授权代表参加投标没有法定代表人合法、有效委托的；</w:t>
      </w:r>
    </w:p>
    <w:p w14:paraId="0974664B">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投标单位递交两份以上内容不同的投标书或报价，未声明哪一份有效的；</w:t>
      </w:r>
    </w:p>
    <w:p w14:paraId="5184FAAD">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投标单位未能按要求提交投标保证金的；</w:t>
      </w:r>
    </w:p>
    <w:p w14:paraId="759197DC">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未实质性响应采购文件中加“▲”同时加下划线条款的；</w:t>
      </w:r>
    </w:p>
    <w:p w14:paraId="6D7BCB08">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投标人开标一览表关于A--D项含税综合单价报价中，任一一项报价超过相应综合单价最高限价的；</w:t>
      </w:r>
    </w:p>
    <w:p w14:paraId="4128D257">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投标人提交的投标文件相关证书、材料经评标委员会认定有弄虚作假情况的；</w:t>
      </w:r>
    </w:p>
    <w:p w14:paraId="561A24C0">
      <w:pPr>
        <w:numPr>
          <w:ilvl w:val="0"/>
          <w:numId w:val="16"/>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u w:val="single"/>
        </w:rPr>
        <w:t>评标委员会认定不符合法律、法规和采购文件中规定的其他实质性要求的。</w:t>
      </w:r>
    </w:p>
    <w:p w14:paraId="4400CF16">
      <w:pPr>
        <w:tabs>
          <w:tab w:val="left" w:pos="525"/>
        </w:tabs>
        <w:ind w:firstLine="440" w:firstLineChars="200"/>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u w:val="single"/>
        </w:rPr>
        <w:t>▲</w:t>
      </w:r>
      <w:r>
        <w:rPr>
          <w:rFonts w:hint="eastAsia" w:asciiTheme="minorEastAsia" w:hAnsiTheme="minorEastAsia" w:eastAsiaTheme="minorEastAsia" w:cstheme="minorEastAsia"/>
          <w:b/>
          <w:bCs/>
          <w:kern w:val="0"/>
          <w:sz w:val="22"/>
          <w:u w:val="single"/>
        </w:rPr>
        <w:t>评标委员会发现投标文件有下列情形之一的属于重大偏差(评标委员会按少数服从多数原则认定),按照无效投标处理</w:t>
      </w:r>
      <w:r>
        <w:rPr>
          <w:rFonts w:hint="eastAsia" w:asciiTheme="minorEastAsia" w:hAnsiTheme="minorEastAsia" w:eastAsiaTheme="minorEastAsia" w:cstheme="minorEastAsia"/>
          <w:kern w:val="0"/>
          <w:sz w:val="22"/>
        </w:rPr>
        <w:t>：</w:t>
      </w:r>
    </w:p>
    <w:p w14:paraId="6E156A10">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1）主要内容未按采购文件要求编制、</w:t>
      </w:r>
      <w:r>
        <w:rPr>
          <w:rFonts w:hint="eastAsia" w:asciiTheme="minorEastAsia" w:hAnsiTheme="minorEastAsia" w:eastAsiaTheme="minorEastAsia" w:cstheme="minorEastAsia"/>
          <w:bCs/>
          <w:sz w:val="22"/>
          <w:u w:val="single"/>
        </w:rPr>
        <w:t>内容不全</w:t>
      </w:r>
      <w:r>
        <w:rPr>
          <w:rFonts w:hint="eastAsia" w:asciiTheme="minorEastAsia" w:hAnsiTheme="minorEastAsia" w:eastAsiaTheme="minorEastAsia" w:cstheme="minorEastAsia"/>
          <w:kern w:val="0"/>
          <w:sz w:val="22"/>
          <w:u w:val="single"/>
        </w:rPr>
        <w:t>或实质性内容字迹模糊、辨认不清的投标文件；</w:t>
      </w:r>
    </w:p>
    <w:p w14:paraId="4692D74E">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2）除22.4条款以外，出现其它明显不符合服务内容要求、技术指标、服务标准要求，对服务质量产生重大影响的投标文件；</w:t>
      </w:r>
    </w:p>
    <w:p w14:paraId="0A5AAFF8">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3）除22.4条款以外，出现投标项目数量与采购文件对比出现较大偏差，或商务报价明细表计算错误，出现较大差错；</w:t>
      </w:r>
    </w:p>
    <w:p w14:paraId="541D6E65">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4）除22.4条款以外，出现其它不符合采购文件中规定的实质性要求的投标文件，是否为偏离实质性要求由评标委员会认定。</w:t>
      </w:r>
    </w:p>
    <w:p w14:paraId="08210677">
      <w:pPr>
        <w:numPr>
          <w:ilvl w:val="1"/>
          <w:numId w:val="13"/>
        </w:numPr>
        <w:tabs>
          <w:tab w:val="left" w:pos="525"/>
        </w:tabs>
        <w:ind w:left="525" w:hanging="525"/>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u w:val="single"/>
        </w:rPr>
        <w:t>▲</w:t>
      </w:r>
      <w:r>
        <w:rPr>
          <w:rFonts w:hint="eastAsia" w:asciiTheme="minorEastAsia" w:hAnsiTheme="minorEastAsia" w:eastAsiaTheme="minorEastAsia" w:cstheme="minorEastAsia"/>
          <w:b/>
          <w:bCs/>
          <w:kern w:val="0"/>
          <w:sz w:val="22"/>
          <w:u w:val="single"/>
        </w:rPr>
        <w:t>有下列情形之一的，视为投标人串通投标，其投标无效</w:t>
      </w:r>
      <w:r>
        <w:rPr>
          <w:rFonts w:hint="eastAsia" w:asciiTheme="minorEastAsia" w:hAnsiTheme="minorEastAsia" w:eastAsiaTheme="minorEastAsia" w:cstheme="minorEastAsia"/>
          <w:kern w:val="0"/>
          <w:sz w:val="22"/>
        </w:rPr>
        <w:t>：</w:t>
      </w:r>
    </w:p>
    <w:p w14:paraId="7601BAAD">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1）不同投标人的投标文件由同一单位或者个人编制；</w:t>
      </w:r>
    </w:p>
    <w:p w14:paraId="3B636892">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2）不同投标人委托同一单位或者个人办理投标事宜；</w:t>
      </w:r>
    </w:p>
    <w:p w14:paraId="6FAF8E44">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3）不同投标人的投标文件载明的项目管理成员或者联系人员为同一人；</w:t>
      </w:r>
    </w:p>
    <w:p w14:paraId="3CF1AFC1">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4）不同投标人的投标文件异常一致或者投标报价呈规律性差异；</w:t>
      </w:r>
    </w:p>
    <w:p w14:paraId="1EF04C11">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5）不同投标人的投标文件相互混装；</w:t>
      </w:r>
    </w:p>
    <w:p w14:paraId="03A2F08F">
      <w:pPr>
        <w:ind w:firstLine="418" w:firstLineChars="190"/>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u w:val="single"/>
        </w:rPr>
        <w:t>6）不同投标人的投标保证金从同一单位或者个人的账户转出</w:t>
      </w:r>
      <w:r>
        <w:rPr>
          <w:rFonts w:hint="eastAsia" w:asciiTheme="minorEastAsia" w:hAnsiTheme="minorEastAsia" w:eastAsiaTheme="minorEastAsia" w:cstheme="minorEastAsia"/>
          <w:kern w:val="0"/>
          <w:sz w:val="22"/>
        </w:rPr>
        <w:t>。</w:t>
      </w:r>
    </w:p>
    <w:p w14:paraId="1CF36343">
      <w:pPr>
        <w:numPr>
          <w:ilvl w:val="1"/>
          <w:numId w:val="13"/>
        </w:numPr>
        <w:tabs>
          <w:tab w:val="left" w:pos="525"/>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 xml:space="preserve"> “技术资信标”评审结束后，由评标委员会对各投标人的商务报价进行核查，核查时发现投标报价内容不清楚可要求投标人书面澄清，计算上的错误，可按下面方法修正：</w:t>
      </w:r>
    </w:p>
    <w:p w14:paraId="4033B57E">
      <w:pPr>
        <w:numPr>
          <w:ilvl w:val="0"/>
          <w:numId w:val="17"/>
        </w:numPr>
        <w:tabs>
          <w:tab w:val="left" w:pos="735"/>
        </w:tabs>
        <w:ind w:left="735" w:hanging="31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投标文件中开标一览表(报价表)内容与投标文件中相应内容不一致的，以开标一览表(报价表)为准；</w:t>
      </w:r>
    </w:p>
    <w:p w14:paraId="1AC66670">
      <w:pPr>
        <w:numPr>
          <w:ilvl w:val="0"/>
          <w:numId w:val="17"/>
        </w:numPr>
        <w:tabs>
          <w:tab w:val="left" w:pos="735"/>
        </w:tabs>
        <w:ind w:left="735" w:hanging="31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大写金额和小写金额不一致的，以大写金额为准；</w:t>
      </w:r>
    </w:p>
    <w:p w14:paraId="48548AFD">
      <w:pPr>
        <w:numPr>
          <w:ilvl w:val="0"/>
          <w:numId w:val="17"/>
        </w:numPr>
        <w:tabs>
          <w:tab w:val="left" w:pos="735"/>
        </w:tabs>
        <w:ind w:left="735" w:hanging="31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单价金额小数点或者百分比有明显错位的，以开标一览表的总价为准，并修改单价；</w:t>
      </w:r>
    </w:p>
    <w:p w14:paraId="6E64DD81">
      <w:pPr>
        <w:numPr>
          <w:ilvl w:val="0"/>
          <w:numId w:val="17"/>
        </w:numPr>
        <w:tabs>
          <w:tab w:val="left" w:pos="735"/>
        </w:tabs>
        <w:ind w:left="735" w:hanging="31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总价金额与按单价汇总金额不一致的，以单价金额计算结果为准。</w:t>
      </w:r>
    </w:p>
    <w:p w14:paraId="2E9296A6">
      <w:pPr>
        <w:tabs>
          <w:tab w:val="left" w:pos="420"/>
          <w:tab w:val="left" w:pos="735"/>
        </w:tabs>
        <w:ind w:left="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同时出现两种以上不一致的，按照前款规定的顺序修正（前款优先顺序为1）→2）→3）→4））。</w:t>
      </w:r>
    </w:p>
    <w:p w14:paraId="48AA30A7">
      <w:pPr>
        <w:tabs>
          <w:tab w:val="left" w:pos="735"/>
        </w:tabs>
        <w:ind w:left="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u w:val="single"/>
        </w:rPr>
        <w:t>▲</w:t>
      </w:r>
      <w:r>
        <w:rPr>
          <w:rFonts w:hint="eastAsia" w:asciiTheme="minorEastAsia" w:hAnsiTheme="minorEastAsia" w:eastAsiaTheme="minorEastAsia" w:cstheme="minorEastAsia"/>
          <w:b/>
          <w:bCs/>
          <w:sz w:val="22"/>
          <w:u w:val="single"/>
        </w:rPr>
        <w:t>修正后的报价按照本投标须知第23.1条的规定经投标人确认后产生约束力，投标人不确认的，其投标无效</w:t>
      </w:r>
      <w:r>
        <w:rPr>
          <w:rFonts w:hint="eastAsia" w:asciiTheme="minorEastAsia" w:hAnsiTheme="minorEastAsia" w:eastAsiaTheme="minorEastAsia" w:cstheme="minorEastAsia"/>
          <w:b/>
          <w:bCs/>
          <w:sz w:val="22"/>
        </w:rPr>
        <w:t>。</w:t>
      </w:r>
    </w:p>
    <w:p w14:paraId="4419420C">
      <w:pPr>
        <w:numPr>
          <w:ilvl w:val="1"/>
          <w:numId w:val="13"/>
        </w:numPr>
        <w:tabs>
          <w:tab w:val="left" w:pos="525"/>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在详细评标之前，评标委员会要审查每份投标文件是否实质上响应了采购文件的要求。实质上响应的投标应该是与采购文件要求的全部条款、条件和规格基本相符，没有重大偏离。</w:t>
      </w:r>
      <w:r>
        <w:rPr>
          <w:rFonts w:hint="eastAsia" w:asciiTheme="minorEastAsia" w:hAnsiTheme="minorEastAsia" w:eastAsiaTheme="minorEastAsia" w:cstheme="minorEastAsia"/>
          <w:b/>
          <w:bCs/>
          <w:sz w:val="22"/>
        </w:rPr>
        <w:t>评标委员会决定投标的响应性只根据投标文件本身的内容，而不寻求外部的证据。</w:t>
      </w:r>
    </w:p>
    <w:p w14:paraId="180795DC">
      <w:pPr>
        <w:numPr>
          <w:ilvl w:val="1"/>
          <w:numId w:val="13"/>
        </w:numPr>
        <w:tabs>
          <w:tab w:val="left" w:pos="525"/>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实质上没有响应采购文件要求的投标将被拒绝，投标人不得通过修正或撤消不合要求的偏离或保留从而使其投标成为实质上响应的投标。</w:t>
      </w:r>
    </w:p>
    <w:p w14:paraId="760CE80B">
      <w:pPr>
        <w:numPr>
          <w:ilvl w:val="1"/>
          <w:numId w:val="13"/>
        </w:numPr>
        <w:tabs>
          <w:tab w:val="left" w:pos="525"/>
        </w:tabs>
        <w:ind w:left="525" w:hanging="525"/>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2"/>
        </w:rPr>
        <w:t>▲</w:t>
      </w:r>
      <w:r>
        <w:rPr>
          <w:rFonts w:hint="eastAsia" w:asciiTheme="minorEastAsia" w:hAnsiTheme="minorEastAsia" w:eastAsiaTheme="minorEastAsia" w:cstheme="minorEastAsia"/>
          <w:b/>
          <w:bCs/>
          <w:kern w:val="0"/>
          <w:sz w:val="22"/>
          <w:u w:val="single"/>
        </w:rPr>
        <w:t>评标委员会认为投标人的报价明显低于其他通过符合性审查投标人的报价，有可能影响产品及服务质量或者不能诚信履约的，应当要求其在评标现场合理的时间内提供书面说明，必要时提交相关证明材料；投标人不能证明其报价合理性的，评标委员会应当将其作为无效投标处理</w:t>
      </w:r>
      <w:r>
        <w:rPr>
          <w:rFonts w:hint="eastAsia" w:asciiTheme="minorEastAsia" w:hAnsiTheme="minorEastAsia" w:eastAsiaTheme="minorEastAsia" w:cstheme="minorEastAsia"/>
          <w:kern w:val="0"/>
          <w:sz w:val="22"/>
        </w:rPr>
        <w:t>。</w:t>
      </w:r>
    </w:p>
    <w:p w14:paraId="682EE701">
      <w:pPr>
        <w:numPr>
          <w:ilvl w:val="1"/>
          <w:numId w:val="13"/>
        </w:numPr>
        <w:tabs>
          <w:tab w:val="left" w:pos="525"/>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评标委员会对审查合格的投标文件按照采购文件中制订的评标方法进行综合评定打分。</w:t>
      </w:r>
    </w:p>
    <w:p w14:paraId="6A60F8B0">
      <w:pPr>
        <w:numPr>
          <w:ilvl w:val="1"/>
          <w:numId w:val="13"/>
        </w:numPr>
        <w:tabs>
          <w:tab w:val="left" w:pos="525"/>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评标过程中遇到特殊情况，由评标委员会遵循公开、公正原则，采取投票方式按照少数服从多数原则决定。</w:t>
      </w:r>
    </w:p>
    <w:p w14:paraId="25316449">
      <w:pPr>
        <w:numPr>
          <w:ilvl w:val="1"/>
          <w:numId w:val="13"/>
        </w:numPr>
        <w:tabs>
          <w:tab w:val="left" w:pos="525"/>
        </w:tabs>
        <w:ind w:left="525" w:hanging="525"/>
        <w:rPr>
          <w:rFonts w:hint="eastAsia" w:asciiTheme="minorEastAsia" w:hAnsiTheme="minorEastAsia" w:eastAsiaTheme="minorEastAsia" w:cstheme="minorEastAsia"/>
          <w:b/>
          <w:bCs/>
          <w:sz w:val="22"/>
          <w:u w:val="single"/>
          <w:shd w:val="clear" w:color="auto" w:fill="FFFF00"/>
        </w:rPr>
      </w:pPr>
      <w:r>
        <w:rPr>
          <w:rFonts w:hint="eastAsia" w:asciiTheme="minorEastAsia" w:hAnsiTheme="minorEastAsia" w:eastAsiaTheme="minorEastAsia" w:cstheme="minorEastAsia"/>
          <w:b/>
          <w:bCs/>
          <w:sz w:val="22"/>
          <w:u w:val="single"/>
        </w:rPr>
        <w:t>▲如果供应商的报价超出采购预算，则该供应商的报价作无效标处理。本次采购如果所有供应商的报价均超出采购预算，则本采购项目作废标处理。</w:t>
      </w:r>
    </w:p>
    <w:p w14:paraId="72E11105">
      <w:pPr>
        <w:numPr>
          <w:ilvl w:val="1"/>
          <w:numId w:val="13"/>
        </w:numPr>
        <w:tabs>
          <w:tab w:val="left" w:pos="525"/>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如投标截止时间、评审期间，出现有效供应商不足3家的，则本项目作废标处理。</w:t>
      </w:r>
    </w:p>
    <w:p w14:paraId="3F56D81D">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投标文件的澄清</w:t>
      </w:r>
    </w:p>
    <w:p w14:paraId="01ADAE93">
      <w:pPr>
        <w:numPr>
          <w:ilvl w:val="1"/>
          <w:numId w:val="18"/>
        </w:numPr>
        <w:tabs>
          <w:tab w:val="left" w:pos="420"/>
          <w:tab w:val="left" w:pos="45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 在评标期间，评标委员会可以书面方式要求投标人对投标文件中含义不明确、对同类问题表述不一致或者有明显文字和计算错误的内容作必要的澄清、说明或补正。澄清、说明或补正应以书面形式并由法定代表人或其授权代表签署，但澄清内容不得超出投标文件的范围或者改变投标文件的实质性内容。</w:t>
      </w:r>
      <w:r>
        <w:rPr>
          <w:rFonts w:hint="eastAsia" w:asciiTheme="minorEastAsia" w:hAnsiTheme="minorEastAsia" w:eastAsiaTheme="minorEastAsia" w:cstheme="minorEastAsia"/>
          <w:sz w:val="22"/>
          <w:u w:val="single"/>
        </w:rPr>
        <w:t>▲</w:t>
      </w:r>
      <w:r>
        <w:rPr>
          <w:rFonts w:hint="eastAsia" w:asciiTheme="minorEastAsia" w:hAnsiTheme="minorEastAsia" w:eastAsiaTheme="minorEastAsia" w:cstheme="minorEastAsia"/>
          <w:b/>
          <w:bCs/>
          <w:sz w:val="22"/>
          <w:u w:val="single"/>
        </w:rPr>
        <w:t>拒不按要求对其投标文件进行澄清，说明或补正的投标人，评标委员会将其作无效标处理</w:t>
      </w:r>
      <w:r>
        <w:rPr>
          <w:rFonts w:hint="eastAsia" w:asciiTheme="minorEastAsia" w:hAnsiTheme="minorEastAsia" w:eastAsiaTheme="minorEastAsia" w:cstheme="minorEastAsia"/>
          <w:sz w:val="22"/>
        </w:rPr>
        <w:t>。</w:t>
      </w:r>
    </w:p>
    <w:p w14:paraId="7F0EEF4D">
      <w:pPr>
        <w:numPr>
          <w:ilvl w:val="1"/>
          <w:numId w:val="18"/>
        </w:numPr>
        <w:tabs>
          <w:tab w:val="left" w:pos="420"/>
          <w:tab w:val="left" w:pos="45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 </w:t>
      </w:r>
      <w:r>
        <w:rPr>
          <w:rFonts w:hint="eastAsia" w:asciiTheme="minorEastAsia" w:hAnsiTheme="minorEastAsia" w:eastAsiaTheme="minorEastAsia" w:cstheme="minorEastAsia"/>
          <w:sz w:val="22"/>
          <w:u w:val="single"/>
        </w:rPr>
        <w:t>▲</w:t>
      </w:r>
      <w:r>
        <w:rPr>
          <w:rFonts w:hint="eastAsia" w:asciiTheme="minorEastAsia" w:hAnsiTheme="minorEastAsia" w:eastAsiaTheme="minorEastAsia" w:cstheme="minorEastAsia"/>
          <w:b/>
          <w:bCs/>
          <w:sz w:val="22"/>
          <w:u w:val="single"/>
        </w:rPr>
        <w:t>经澄清后，若偏差仍存在，且不可接受，评标委员会有权认定其为“没有实质性响应采购文件要求”，其投标不进入下一步评审</w:t>
      </w:r>
      <w:r>
        <w:rPr>
          <w:rFonts w:hint="eastAsia" w:asciiTheme="minorEastAsia" w:hAnsiTheme="minorEastAsia" w:eastAsiaTheme="minorEastAsia" w:cstheme="minorEastAsia"/>
          <w:sz w:val="22"/>
        </w:rPr>
        <w:t>。</w:t>
      </w:r>
    </w:p>
    <w:p w14:paraId="7AFF5C20">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确定中标候选人</w:t>
      </w:r>
    </w:p>
    <w:p w14:paraId="317E31D6">
      <w:pPr>
        <w:numPr>
          <w:ilvl w:val="1"/>
          <w:numId w:val="19"/>
        </w:numPr>
        <w:tabs>
          <w:tab w:val="left" w:pos="540"/>
        </w:tabs>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 本次采购由评标委员会推荐中标候选人，确定中标候选人细则详见采购文件第五部分“评标原则及方法”。</w:t>
      </w:r>
    </w:p>
    <w:p w14:paraId="514A9C1C">
      <w:pPr>
        <w:numPr>
          <w:ilvl w:val="1"/>
          <w:numId w:val="19"/>
        </w:numPr>
        <w:tabs>
          <w:tab w:val="left" w:pos="540"/>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rPr>
        <w:t xml:space="preserve"> 采购人、采购代理机构及评标委员会不向落标的投标人解释落标原因，也不公布评标过程中的相关细节</w:t>
      </w:r>
      <w:r>
        <w:rPr>
          <w:rFonts w:hint="eastAsia" w:asciiTheme="minorEastAsia" w:hAnsiTheme="minorEastAsia" w:eastAsiaTheme="minorEastAsia" w:cstheme="minorEastAsia"/>
          <w:sz w:val="22"/>
          <w:szCs w:val="22"/>
        </w:rPr>
        <w:t>。</w:t>
      </w:r>
    </w:p>
    <w:p w14:paraId="3653AEF2">
      <w:pPr>
        <w:numPr>
          <w:ilvl w:val="0"/>
          <w:numId w:val="4"/>
        </w:numPr>
        <w:tabs>
          <w:tab w:val="left" w:pos="525"/>
          <w:tab w:val="left" w:pos="900"/>
        </w:tabs>
        <w:ind w:left="525" w:hanging="525"/>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重新采购</w:t>
      </w:r>
    </w:p>
    <w:p w14:paraId="436B4C69">
      <w:pPr>
        <w:snapToGrid w:val="0"/>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如本项目第一次采购因有效投标人数量不足3家作废标处理，根据《温州市市属国有企业采购管理办法》（温国资委〔2024〕第51号）相关条款规定，采购人将重新组织采购。</w:t>
      </w:r>
    </w:p>
    <w:p w14:paraId="065F3177">
      <w:pPr>
        <w:snapToGrid w:val="0"/>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本项目属于国有企业采购项目，如重新采购后，在投标截止时间止及评审期间，出现有效供应商不足三家的情形，采购人可根据实际情况决定本项目继续按原有采购方式继续进行采购活动或转变采购方式或废标。</w:t>
      </w:r>
    </w:p>
    <w:p w14:paraId="0CF94321">
      <w:pPr>
        <w:numPr>
          <w:ilvl w:val="0"/>
          <w:numId w:val="4"/>
        </w:numPr>
        <w:tabs>
          <w:tab w:val="left" w:pos="525"/>
          <w:tab w:val="left" w:pos="900"/>
        </w:tabs>
        <w:ind w:left="525" w:hanging="52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评标细则详见本采购文件《评标原则及方法》。</w:t>
      </w:r>
    </w:p>
    <w:p w14:paraId="5190F27F">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未尽事宜遵循相关法律法规及规范性文件执行。</w:t>
      </w:r>
    </w:p>
    <w:p w14:paraId="40B3E41A">
      <w:pPr>
        <w:spacing w:before="156" w:beforeLines="50" w:after="156" w:afterLines="5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 授予合同</w:t>
      </w:r>
    </w:p>
    <w:p w14:paraId="50429DD9">
      <w:pPr>
        <w:numPr>
          <w:ilvl w:val="0"/>
          <w:numId w:val="4"/>
        </w:numPr>
        <w:tabs>
          <w:tab w:val="left" w:pos="540"/>
          <w:tab w:val="left" w:pos="900"/>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确定中标人</w:t>
      </w:r>
    </w:p>
    <w:p w14:paraId="26AE76F5">
      <w:pPr>
        <w:numPr>
          <w:ilvl w:val="1"/>
          <w:numId w:val="20"/>
        </w:numPr>
        <w:tabs>
          <w:tab w:val="left" w:pos="540"/>
        </w:tabs>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sz w:val="22"/>
        </w:rPr>
        <w:t>采购</w:t>
      </w:r>
      <w:r>
        <w:rPr>
          <w:rFonts w:hint="eastAsia" w:asciiTheme="minorEastAsia" w:hAnsiTheme="minorEastAsia" w:eastAsiaTheme="minorEastAsia" w:cstheme="minorEastAsia"/>
          <w:bCs/>
          <w:sz w:val="22"/>
        </w:rPr>
        <w:t>人自收到评标报告之日起5个工作日内，在评标报告确定的中标候选人名单中按顺序确定中标人。</w:t>
      </w:r>
    </w:p>
    <w:p w14:paraId="0E1668C7">
      <w:pPr>
        <w:numPr>
          <w:ilvl w:val="1"/>
          <w:numId w:val="20"/>
        </w:numPr>
        <w:tabs>
          <w:tab w:val="left" w:pos="540"/>
        </w:tabs>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sz w:val="22"/>
        </w:rPr>
        <w:t>中标人</w:t>
      </w:r>
      <w:r>
        <w:rPr>
          <w:rFonts w:hint="eastAsia" w:asciiTheme="minorEastAsia" w:hAnsiTheme="minorEastAsia" w:eastAsiaTheme="minorEastAsia" w:cstheme="minorEastAsia"/>
          <w:bCs/>
          <w:sz w:val="22"/>
        </w:rPr>
        <w:t>确定之日起2个工作日内，在</w:t>
      </w:r>
      <w:r>
        <w:rPr>
          <w:rFonts w:hint="eastAsia" w:asciiTheme="minorEastAsia" w:hAnsiTheme="minorEastAsia" w:eastAsiaTheme="minorEastAsia" w:cstheme="minorEastAsia"/>
          <w:sz w:val="22"/>
        </w:rPr>
        <w:t>发布项目采购公告的网站上</w:t>
      </w:r>
      <w:r>
        <w:rPr>
          <w:rFonts w:hint="eastAsia" w:asciiTheme="minorEastAsia" w:hAnsiTheme="minorEastAsia" w:eastAsiaTheme="minorEastAsia" w:cstheme="minorEastAsia"/>
          <w:bCs/>
          <w:sz w:val="22"/>
        </w:rPr>
        <w:t>公告中标结果，中标公告期限为3日。</w:t>
      </w:r>
    </w:p>
    <w:p w14:paraId="0CBE509F">
      <w:pPr>
        <w:numPr>
          <w:ilvl w:val="1"/>
          <w:numId w:val="20"/>
        </w:numPr>
        <w:tabs>
          <w:tab w:val="left" w:pos="540"/>
        </w:tabs>
        <w:rPr>
          <w:rFonts w:hint="eastAsia" w:asciiTheme="minorEastAsia" w:hAnsiTheme="minorEastAsia" w:eastAsiaTheme="minorEastAsia" w:cstheme="minorEastAsia"/>
          <w:b/>
          <w:bCs/>
          <w:u w:val="single"/>
        </w:rPr>
      </w:pPr>
      <w:r>
        <w:rPr>
          <w:rFonts w:hint="eastAsia" w:asciiTheme="minorEastAsia" w:hAnsiTheme="minorEastAsia" w:eastAsiaTheme="minorEastAsia" w:cstheme="minorEastAsia"/>
          <w:b/>
          <w:bCs/>
          <w:sz w:val="22"/>
          <w:u w:val="single"/>
        </w:rPr>
        <w:t>各投标人对评标结果如有异议，可在中标结果公告期内内以书面形式向采购人署名提出质疑，但需对质疑内容的真实性承担法律责任。提出质疑的投标人应当是参与所质疑项目采购活动的投标人，投标人提出质疑应当提交质疑函和必要的证明材料。质疑投标人对采购人、采购代理机构的答复不满意或者采购人、采购代理机构未在规定的时间内作出答复的，可以在答复期满后15个工作日内向温州市交通发展集团有限公司纪检监察室投诉。</w:t>
      </w:r>
    </w:p>
    <w:p w14:paraId="7C278B52">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签订合同</w:t>
      </w:r>
    </w:p>
    <w:p w14:paraId="1418C566">
      <w:pPr>
        <w:numPr>
          <w:ilvl w:val="0"/>
          <w:numId w:val="21"/>
        </w:numPr>
        <w:tabs>
          <w:tab w:val="left" w:pos="540"/>
        </w:tabs>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中标人应当在收到中标通知书之日起30日内与采购人签订合同。中标人未经采购人许可，在规定时间内未到采购人处与采购人签订合同，则视为拒签合同。</w:t>
      </w:r>
    </w:p>
    <w:p w14:paraId="1559903B">
      <w:pPr>
        <w:numPr>
          <w:ilvl w:val="0"/>
          <w:numId w:val="21"/>
        </w:numPr>
        <w:tabs>
          <w:tab w:val="left" w:pos="540"/>
        </w:tabs>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采购文件、中标人的投标文件及投标修改文件、评标过程中有关澄清文件及经双方签字的询标纪要（承诺）和中标通知书均作为合同附件。</w:t>
      </w:r>
    </w:p>
    <w:p w14:paraId="27FEE76D">
      <w:pPr>
        <w:numPr>
          <w:ilvl w:val="0"/>
          <w:numId w:val="21"/>
        </w:numPr>
        <w:tabs>
          <w:tab w:val="left" w:pos="540"/>
        </w:tabs>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拒签合同的责任</w:t>
      </w:r>
    </w:p>
    <w:p w14:paraId="7900F8B7">
      <w:pPr>
        <w:numPr>
          <w:ilvl w:val="0"/>
          <w:numId w:val="21"/>
        </w:numPr>
        <w:tabs>
          <w:tab w:val="left" w:pos="540"/>
        </w:tabs>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中标人在规定时间内（30日历天）借故否认已经承诺的条件、拒签合同，以投标违约处理，其投标保证金不予退回，并赔偿采购人由此造成的直接经济损失；采购人重新组织采购的，所需费用由原中标人承担。</w:t>
      </w:r>
    </w:p>
    <w:p w14:paraId="3552868F">
      <w:pPr>
        <w:numPr>
          <w:ilvl w:val="0"/>
          <w:numId w:val="21"/>
        </w:numPr>
        <w:tabs>
          <w:tab w:val="left" w:pos="540"/>
        </w:tabs>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
          <w:sz w:val="22"/>
        </w:rPr>
        <w:t>中标人须在合同签订后二个工作日内提交一份合同文本向采购代理机构备案，否则会影响投标保证金的退付。</w:t>
      </w:r>
    </w:p>
    <w:p w14:paraId="3A00DC03">
      <w:pPr>
        <w:numPr>
          <w:ilvl w:val="0"/>
          <w:numId w:val="4"/>
        </w:numPr>
        <w:tabs>
          <w:tab w:val="left" w:pos="540"/>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履约担保</w:t>
      </w:r>
    </w:p>
    <w:p w14:paraId="4E05448B">
      <w:pPr>
        <w:numPr>
          <w:ilvl w:val="0"/>
          <w:numId w:val="22"/>
        </w:numPr>
        <w:tabs>
          <w:tab w:val="left" w:pos="540"/>
        </w:tabs>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中标人在收到中标通知书后，须按投标须知前附表的规定向采购人提交履约担保。</w:t>
      </w:r>
    </w:p>
    <w:p w14:paraId="3B236016">
      <w:pPr>
        <w:numPr>
          <w:ilvl w:val="0"/>
          <w:numId w:val="22"/>
        </w:numPr>
        <w:tabs>
          <w:tab w:val="left" w:pos="540"/>
        </w:tabs>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履约担保用于补偿采购人因中标人不能履行其合同义务而蒙受的损失。</w:t>
      </w:r>
    </w:p>
    <w:p w14:paraId="572A12CB">
      <w:pPr>
        <w:numPr>
          <w:ilvl w:val="0"/>
          <w:numId w:val="22"/>
        </w:numPr>
        <w:tabs>
          <w:tab w:val="left" w:pos="540"/>
        </w:tabs>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履约担保自合同签订之日起至项目验收合格止有效。有效期满后，采购人应及时将履约保证金无息退还给中标人或者解除履约担保。</w:t>
      </w:r>
    </w:p>
    <w:p w14:paraId="041FD7AE">
      <w:pPr>
        <w:numPr>
          <w:ilvl w:val="0"/>
          <w:numId w:val="4"/>
        </w:numPr>
        <w:tabs>
          <w:tab w:val="left" w:pos="540"/>
          <w:tab w:val="left" w:pos="900"/>
        </w:tabs>
        <w:ind w:left="525" w:hanging="525"/>
        <w:rPr>
          <w:rFonts w:hint="eastAsia" w:asciiTheme="minorEastAsia" w:hAnsiTheme="minorEastAsia" w:eastAsiaTheme="minorEastAsia" w:cstheme="minorEastAsia"/>
          <w:b/>
          <w:sz w:val="22"/>
          <w:shd w:val="clear" w:color="auto" w:fill="FFFF00"/>
        </w:rPr>
      </w:pPr>
      <w:r>
        <w:rPr>
          <w:rFonts w:hint="eastAsia" w:asciiTheme="minorEastAsia" w:hAnsiTheme="minorEastAsia" w:eastAsiaTheme="minorEastAsia" w:cstheme="minorEastAsia"/>
          <w:b/>
          <w:sz w:val="22"/>
        </w:rPr>
        <w:t>采购代理服务费</w:t>
      </w:r>
    </w:p>
    <w:p w14:paraId="54A1F132">
      <w:pPr>
        <w:ind w:left="437" w:leftChars="208"/>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本次采购，采购代理服务费为人民币壹万壹仟元整（¥11000元），由中标人支付，并在领取中标通知书前支付给采购代理机构，采购代理服务费包含在投标总价中（报价不需要单列）。代理服务费汇入以下账号：</w:t>
      </w:r>
    </w:p>
    <w:p w14:paraId="63AEF3D6">
      <w:pPr>
        <w:ind w:left="538" w:leftChars="256"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开户名称：浙江工汇项目管理有限公司</w:t>
      </w:r>
    </w:p>
    <w:p w14:paraId="49CD4F6E">
      <w:pPr>
        <w:ind w:left="538" w:leftChars="256"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开户银行：兴业银行股份有限公司温州分行</w:t>
      </w:r>
    </w:p>
    <w:p w14:paraId="646CFE02">
      <w:pPr>
        <w:ind w:left="538" w:leftChars="256" w:firstLine="44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2"/>
        </w:rPr>
        <w:t>开户账号：355880100101056020</w:t>
      </w:r>
    </w:p>
    <w:p w14:paraId="445984C4">
      <w:pPr>
        <w:ind w:left="538" w:leftChars="256"/>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采购代理服务费可以是现金、支票或汇票。</w:t>
      </w:r>
    </w:p>
    <w:p w14:paraId="39473E93">
      <w:pPr>
        <w:numPr>
          <w:ilvl w:val="0"/>
          <w:numId w:val="4"/>
        </w:numPr>
        <w:tabs>
          <w:tab w:val="left" w:pos="540"/>
          <w:tab w:val="left" w:pos="900"/>
        </w:tabs>
        <w:ind w:left="525" w:hanging="525"/>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乐采云技术服务费：</w:t>
      </w:r>
    </w:p>
    <w:p w14:paraId="7D387267">
      <w:pPr>
        <w:tabs>
          <w:tab w:val="left" w:pos="540"/>
          <w:tab w:val="left" w:pos="900"/>
        </w:tabs>
        <w:wordWrap w:val="0"/>
        <w:ind w:firstLine="442"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rPr>
        <w:t>根据乐采云（https://www.lecaiyun.com/helpcenter/document#/document/detail?siteCode=lecaiyun&amp;manualId=2061&amp;topicId=8625）2023年9月6日发布的乐采云国企采购平台项目采购收费标准（温州市市属国企区）规定，乐采云技术服务费收费标准为：</w:t>
      </w:r>
    </w:p>
    <w:p w14:paraId="7989D3EC">
      <w:pPr>
        <w:numPr>
          <w:ilvl w:val="0"/>
          <w:numId w:val="23"/>
        </w:numPr>
        <w:tabs>
          <w:tab w:val="left" w:pos="540"/>
          <w:tab w:val="left" w:pos="900"/>
        </w:tabs>
        <w:wordWrap w:val="0"/>
        <w:ind w:left="420" w:left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不涉及具体金额的采购项目，技术服务费800元/件；</w:t>
      </w:r>
    </w:p>
    <w:p w14:paraId="37940457">
      <w:pPr>
        <w:numPr>
          <w:ilvl w:val="0"/>
          <w:numId w:val="23"/>
        </w:numPr>
        <w:tabs>
          <w:tab w:val="left" w:pos="540"/>
          <w:tab w:val="left" w:pos="900"/>
        </w:tabs>
        <w:wordWrap w:val="0"/>
        <w:ind w:left="420" w:left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涉及具体金额的采购项目，根据标的额，按照以下比例收取技术服务费：</w:t>
      </w:r>
    </w:p>
    <w:p w14:paraId="44773DF8">
      <w:pPr>
        <w:numPr>
          <w:ilvl w:val="0"/>
          <w:numId w:val="24"/>
        </w:numPr>
        <w:tabs>
          <w:tab w:val="left" w:pos="540"/>
          <w:tab w:val="left" w:pos="900"/>
        </w:tabs>
        <w:wordWrap w:val="0"/>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中标价80万元以下（含80万元的）：按800元收取；</w:t>
      </w:r>
    </w:p>
    <w:p w14:paraId="2D912E0F">
      <w:pPr>
        <w:numPr>
          <w:ilvl w:val="0"/>
          <w:numId w:val="24"/>
        </w:numPr>
        <w:tabs>
          <w:tab w:val="left" w:pos="540"/>
          <w:tab w:val="left" w:pos="900"/>
        </w:tabs>
        <w:wordWrap w:val="0"/>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中标价超过80万元的：按中标价的千分之一（0.1%）收取，以30000元封顶。</w:t>
      </w:r>
    </w:p>
    <w:p w14:paraId="35A0BC8F">
      <w:pPr>
        <w:tabs>
          <w:tab w:val="left" w:pos="540"/>
          <w:tab w:val="left" w:pos="900"/>
        </w:tabs>
        <w:ind w:firstLine="44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 w:val="22"/>
        </w:rPr>
        <w:t>由成交供应商于中标（成交）结果公示后支付该项目的技术服务费。各供应商投标总报价须包含该乐采云技术服务费。</w:t>
      </w:r>
    </w:p>
    <w:p w14:paraId="726E7BE2">
      <w:pPr>
        <w:numPr>
          <w:ilvl w:val="0"/>
          <w:numId w:val="4"/>
        </w:numPr>
        <w:tabs>
          <w:tab w:val="left" w:pos="540"/>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解释权</w:t>
      </w:r>
    </w:p>
    <w:p w14:paraId="13938750">
      <w:pPr>
        <w:pStyle w:val="11"/>
        <w:spacing w:line="280" w:lineRule="exact"/>
        <w:ind w:firstLine="220"/>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采购文件的解释权均属于采购人和</w:t>
      </w:r>
      <w:r>
        <w:rPr>
          <w:rFonts w:hint="eastAsia" w:asciiTheme="minorEastAsia" w:hAnsiTheme="minorEastAsia" w:eastAsiaTheme="minorEastAsia" w:cstheme="minorEastAsia"/>
          <w:szCs w:val="21"/>
        </w:rPr>
        <w:t>浙江工汇项目管理有限公司。</w:t>
      </w:r>
    </w:p>
    <w:p w14:paraId="1DBAC56E">
      <w:pPr>
        <w:spacing w:before="156" w:beforeLines="50" w:after="156" w:afterLines="50"/>
        <w:jc w:val="center"/>
        <w:rPr>
          <w:rFonts w:hint="eastAsia" w:asciiTheme="minorEastAsia" w:hAnsiTheme="minorEastAsia" w:eastAsiaTheme="minorEastAsia" w:cstheme="minorEastAsia"/>
          <w:b/>
          <w:sz w:val="28"/>
          <w:szCs w:val="28"/>
        </w:rPr>
      </w:pPr>
      <w:bookmarkStart w:id="79" w:name="_Toc491780524"/>
      <w:r>
        <w:rPr>
          <w:rFonts w:hint="eastAsia" w:asciiTheme="minorEastAsia" w:hAnsiTheme="minorEastAsia" w:eastAsiaTheme="minorEastAsia" w:cstheme="minorEastAsia"/>
          <w:b/>
          <w:sz w:val="28"/>
          <w:szCs w:val="28"/>
        </w:rPr>
        <w:t>七、 质疑与投诉</w:t>
      </w:r>
    </w:p>
    <w:p w14:paraId="2134DDBC">
      <w:pPr>
        <w:tabs>
          <w:tab w:val="left" w:pos="210"/>
        </w:tabs>
        <w:snapToGrid w:val="0"/>
        <w:ind w:left="400"/>
        <w:jc w:val="left"/>
        <w:outlineLvl w:val="2"/>
        <w:rPr>
          <w:rFonts w:hint="eastAsia" w:asciiTheme="minorEastAsia" w:hAnsiTheme="minorEastAsia" w:eastAsiaTheme="minorEastAsia" w:cstheme="minorEastAsia"/>
          <w:b/>
          <w:sz w:val="22"/>
          <w:szCs w:val="22"/>
          <w:lang w:val="zh-CN"/>
        </w:rPr>
      </w:pPr>
      <w:r>
        <w:rPr>
          <w:rFonts w:hint="eastAsia" w:asciiTheme="minorEastAsia" w:hAnsiTheme="minorEastAsia" w:eastAsiaTheme="minorEastAsia" w:cstheme="minorEastAsia"/>
          <w:b/>
          <w:sz w:val="22"/>
          <w:szCs w:val="22"/>
        </w:rPr>
        <w:t>1.</w:t>
      </w:r>
      <w:r>
        <w:rPr>
          <w:rFonts w:hint="eastAsia" w:asciiTheme="minorEastAsia" w:hAnsiTheme="minorEastAsia" w:eastAsiaTheme="minorEastAsia" w:cstheme="minorEastAsia"/>
          <w:b/>
          <w:sz w:val="22"/>
          <w:szCs w:val="22"/>
          <w:lang w:val="zh-CN"/>
        </w:rPr>
        <w:t>供应商质疑</w:t>
      </w:r>
    </w:p>
    <w:p w14:paraId="042B47CC">
      <w:pPr>
        <w:tabs>
          <w:tab w:val="left" w:pos="21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1.1</w:t>
      </w:r>
      <w:r>
        <w:rPr>
          <w:rFonts w:hint="eastAsia" w:asciiTheme="minorEastAsia" w:hAnsiTheme="minorEastAsia" w:eastAsiaTheme="minorEastAsia" w:cstheme="minorEastAsia"/>
          <w:bCs/>
          <w:sz w:val="22"/>
          <w:szCs w:val="22"/>
          <w:lang w:val="zh-CN"/>
        </w:rPr>
        <w:t>提出质疑的供应商（以下简称质疑供应商）应当是参与所质疑项目采购活动的供应商。潜在供应商已依法获取其可质疑的采购文件的，可以对该文件提出质疑。</w:t>
      </w:r>
    </w:p>
    <w:p w14:paraId="0B6E1010">
      <w:pPr>
        <w:tabs>
          <w:tab w:val="left" w:pos="21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1.2</w:t>
      </w:r>
      <w:r>
        <w:rPr>
          <w:rFonts w:hint="eastAsia" w:asciiTheme="minorEastAsia" w:hAnsiTheme="minorEastAsia" w:eastAsiaTheme="minorEastAsia" w:cstheme="minorEastAsia"/>
          <w:bCs/>
          <w:sz w:val="22"/>
          <w:szCs w:val="22"/>
          <w:lang w:val="zh-CN"/>
        </w:rPr>
        <w:t>供应商认为采购文件、采购过程、中标</w:t>
      </w:r>
      <w:r>
        <w:rPr>
          <w:rFonts w:hint="eastAsia" w:asciiTheme="minorEastAsia" w:hAnsiTheme="minorEastAsia" w:eastAsiaTheme="minorEastAsia" w:cstheme="minorEastAsia"/>
          <w:bCs/>
          <w:sz w:val="22"/>
          <w:szCs w:val="22"/>
        </w:rPr>
        <w:t>或者成交</w:t>
      </w:r>
      <w:r>
        <w:rPr>
          <w:rFonts w:hint="eastAsia" w:asciiTheme="minorEastAsia" w:hAnsiTheme="minorEastAsia" w:eastAsiaTheme="minorEastAsia" w:cstheme="minorEastAsia"/>
          <w:bCs/>
          <w:sz w:val="22"/>
          <w:szCs w:val="22"/>
          <w:lang w:val="zh-CN"/>
        </w:rPr>
        <w:t>结果使自己的权益受到损害的，可以在知道或者应知其权益受到损害之日起</w:t>
      </w:r>
      <w:r>
        <w:rPr>
          <w:rFonts w:hint="eastAsia" w:asciiTheme="minorEastAsia" w:hAnsiTheme="minorEastAsia" w:eastAsiaTheme="minorEastAsia" w:cstheme="minorEastAsia"/>
          <w:bCs/>
          <w:sz w:val="22"/>
          <w:szCs w:val="22"/>
        </w:rPr>
        <w:t>规定的时间</w:t>
      </w:r>
      <w:r>
        <w:rPr>
          <w:rFonts w:hint="eastAsia" w:asciiTheme="minorEastAsia" w:hAnsiTheme="minorEastAsia" w:eastAsiaTheme="minorEastAsia" w:cstheme="minorEastAsia"/>
          <w:bCs/>
          <w:sz w:val="22"/>
          <w:szCs w:val="22"/>
          <w:lang w:val="zh-CN"/>
        </w:rPr>
        <w:t>内，以书面形式向采购人或者采购代理机构提出质疑，否则，采购人或者采购代理机构不予受理：</w:t>
      </w:r>
    </w:p>
    <w:p w14:paraId="186AFD12">
      <w:pPr>
        <w:tabs>
          <w:tab w:val="left" w:pos="210"/>
          <w:tab w:val="left" w:pos="105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rPr>
        <w:t>1）对采购文件提出质疑的，质疑期限为</w:t>
      </w:r>
      <w:r>
        <w:rPr>
          <w:rFonts w:hint="eastAsia" w:asciiTheme="minorEastAsia" w:hAnsiTheme="minorEastAsia" w:eastAsiaTheme="minorEastAsia" w:cstheme="minorEastAsia"/>
          <w:bCs/>
          <w:kern w:val="0"/>
          <w:szCs w:val="21"/>
        </w:rPr>
        <w:t>自采购公告发出之日（采购公告发布当天不算）起6日内，以书面形式向采购人和采购代理机构提出质疑</w:t>
      </w:r>
      <w:r>
        <w:rPr>
          <w:rFonts w:hint="eastAsia" w:asciiTheme="minorEastAsia" w:hAnsiTheme="minorEastAsia" w:eastAsiaTheme="minorEastAsia" w:cstheme="minorEastAsia"/>
          <w:bCs/>
          <w:sz w:val="22"/>
        </w:rPr>
        <w:t>。</w:t>
      </w:r>
    </w:p>
    <w:p w14:paraId="5B7B6B69">
      <w:pPr>
        <w:tabs>
          <w:tab w:val="left" w:pos="210"/>
          <w:tab w:val="left" w:pos="105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2）</w:t>
      </w:r>
      <w:r>
        <w:rPr>
          <w:rFonts w:hint="eastAsia" w:asciiTheme="minorEastAsia" w:hAnsiTheme="minorEastAsia" w:eastAsiaTheme="minorEastAsia" w:cstheme="minorEastAsia"/>
          <w:bCs/>
          <w:sz w:val="22"/>
          <w:szCs w:val="22"/>
          <w:lang w:val="zh-CN"/>
        </w:rPr>
        <w:t>对采购结果提出质疑的，质疑</w:t>
      </w:r>
      <w:r>
        <w:rPr>
          <w:rFonts w:hint="eastAsia" w:asciiTheme="minorEastAsia" w:hAnsiTheme="minorEastAsia" w:eastAsiaTheme="minorEastAsia" w:cstheme="minorEastAsia"/>
          <w:bCs/>
          <w:sz w:val="22"/>
          <w:szCs w:val="22"/>
        </w:rPr>
        <w:t>须在采购结果公告期</w:t>
      </w:r>
      <w:r>
        <w:rPr>
          <w:rFonts w:hint="eastAsia" w:asciiTheme="minorEastAsia" w:hAnsiTheme="minorEastAsia" w:eastAsiaTheme="minorEastAsia" w:cstheme="minorEastAsia"/>
          <w:bCs/>
          <w:sz w:val="22"/>
          <w:szCs w:val="22"/>
          <w:lang w:val="zh-CN"/>
        </w:rPr>
        <w:t>内提出。</w:t>
      </w:r>
    </w:p>
    <w:p w14:paraId="28D48D1D">
      <w:pPr>
        <w:tabs>
          <w:tab w:val="left" w:pos="21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1.3</w:t>
      </w:r>
      <w:r>
        <w:rPr>
          <w:rFonts w:hint="eastAsia" w:asciiTheme="minorEastAsia" w:hAnsiTheme="minorEastAsia" w:eastAsiaTheme="minorEastAsia" w:cstheme="minorEastAsia"/>
          <w:bCs/>
          <w:sz w:val="22"/>
          <w:szCs w:val="22"/>
          <w:lang w:val="zh-CN"/>
        </w:rPr>
        <w:t>供应商提出质疑应当提交质疑函和必要的证明材料。质疑函应当包括下列内容：</w:t>
      </w:r>
    </w:p>
    <w:p w14:paraId="7D364F93">
      <w:pPr>
        <w:tabs>
          <w:tab w:val="left" w:pos="210"/>
          <w:tab w:val="left" w:pos="105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1）</w:t>
      </w:r>
      <w:r>
        <w:rPr>
          <w:rFonts w:hint="eastAsia" w:asciiTheme="minorEastAsia" w:hAnsiTheme="minorEastAsia" w:eastAsiaTheme="minorEastAsia" w:cstheme="minorEastAsia"/>
          <w:bCs/>
          <w:sz w:val="22"/>
          <w:szCs w:val="22"/>
          <w:lang w:val="zh-CN"/>
        </w:rPr>
        <w:t>供应商的姓名或者名称、地址、邮编、联系人及联系电话；</w:t>
      </w:r>
    </w:p>
    <w:p w14:paraId="2797A387">
      <w:pPr>
        <w:tabs>
          <w:tab w:val="left" w:pos="210"/>
          <w:tab w:val="left" w:pos="105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2）</w:t>
      </w:r>
      <w:r>
        <w:rPr>
          <w:rFonts w:hint="eastAsia" w:asciiTheme="minorEastAsia" w:hAnsiTheme="minorEastAsia" w:eastAsiaTheme="minorEastAsia" w:cstheme="minorEastAsia"/>
          <w:bCs/>
          <w:sz w:val="22"/>
          <w:szCs w:val="22"/>
          <w:lang w:val="zh-CN"/>
        </w:rPr>
        <w:t>质疑项目的名称、编号；</w:t>
      </w:r>
    </w:p>
    <w:p w14:paraId="7F6945E2">
      <w:pPr>
        <w:tabs>
          <w:tab w:val="left" w:pos="210"/>
          <w:tab w:val="left" w:pos="105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3）</w:t>
      </w:r>
      <w:r>
        <w:rPr>
          <w:rFonts w:hint="eastAsia" w:asciiTheme="minorEastAsia" w:hAnsiTheme="minorEastAsia" w:eastAsiaTheme="minorEastAsia" w:cstheme="minorEastAsia"/>
          <w:bCs/>
          <w:sz w:val="22"/>
          <w:szCs w:val="22"/>
          <w:lang w:val="zh-CN"/>
        </w:rPr>
        <w:t>具体、明确的质疑事项和与质疑事项相关的请求；</w:t>
      </w:r>
    </w:p>
    <w:p w14:paraId="04AAF920">
      <w:pPr>
        <w:tabs>
          <w:tab w:val="left" w:pos="210"/>
          <w:tab w:val="left" w:pos="105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4）</w:t>
      </w:r>
      <w:r>
        <w:rPr>
          <w:rFonts w:hint="eastAsia" w:asciiTheme="minorEastAsia" w:hAnsiTheme="minorEastAsia" w:eastAsiaTheme="minorEastAsia" w:cstheme="minorEastAsia"/>
          <w:bCs/>
          <w:sz w:val="22"/>
          <w:szCs w:val="22"/>
          <w:lang w:val="zh-CN"/>
        </w:rPr>
        <w:t>事实依据；</w:t>
      </w:r>
    </w:p>
    <w:p w14:paraId="2E23E438">
      <w:pPr>
        <w:tabs>
          <w:tab w:val="left" w:pos="210"/>
          <w:tab w:val="left" w:pos="105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5）</w:t>
      </w:r>
      <w:r>
        <w:rPr>
          <w:rFonts w:hint="eastAsia" w:asciiTheme="minorEastAsia" w:hAnsiTheme="minorEastAsia" w:eastAsiaTheme="minorEastAsia" w:cstheme="minorEastAsia"/>
          <w:bCs/>
          <w:sz w:val="22"/>
          <w:szCs w:val="22"/>
          <w:lang w:val="zh-CN"/>
        </w:rPr>
        <w:t>必要的法律依据；</w:t>
      </w:r>
    </w:p>
    <w:p w14:paraId="31F6F689">
      <w:pPr>
        <w:tabs>
          <w:tab w:val="left" w:pos="210"/>
          <w:tab w:val="left" w:pos="105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6）</w:t>
      </w:r>
      <w:r>
        <w:rPr>
          <w:rFonts w:hint="eastAsia" w:asciiTheme="minorEastAsia" w:hAnsiTheme="minorEastAsia" w:eastAsiaTheme="minorEastAsia" w:cstheme="minorEastAsia"/>
          <w:bCs/>
          <w:sz w:val="22"/>
          <w:szCs w:val="22"/>
          <w:lang w:val="zh-CN"/>
        </w:rPr>
        <w:t>提出质疑的日期。</w:t>
      </w:r>
    </w:p>
    <w:p w14:paraId="6A5CB677">
      <w:pPr>
        <w:tabs>
          <w:tab w:val="left" w:pos="21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lang w:val="zh-CN"/>
        </w:rPr>
        <w:t>供应商提交的质疑函需一式三份。供应商为自然人的，应当由本人签字；供应商为法人或者其他组织的，应当由法定代表人（负责人）、主要负责人，或者其授权代表签字或者盖章，并加盖公章。</w:t>
      </w:r>
    </w:p>
    <w:p w14:paraId="01D0E520">
      <w:pPr>
        <w:tabs>
          <w:tab w:val="left" w:pos="210"/>
        </w:tabs>
        <w:wordWrap w:val="0"/>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lang w:val="zh-CN"/>
        </w:rPr>
        <w:t>质疑供应商的《质疑函》可参考政府采购质疑函范本的格式进行编写。下载地址如下：“https://sitecdn.zcycdn.com/site_group/prod/site_1/2018/06/12/15-22-570613413750772.docx”。供应商可以先发电子版质疑函，但质疑函的收到日期以采购代理或采购人收到纸质原件的日期为准。</w:t>
      </w:r>
    </w:p>
    <w:p w14:paraId="45F2B3B2">
      <w:pPr>
        <w:tabs>
          <w:tab w:val="left" w:pos="210"/>
          <w:tab w:val="left" w:pos="840"/>
        </w:tabs>
        <w:snapToGrid w:val="0"/>
        <w:ind w:firstLine="442" w:firstLineChars="200"/>
        <w:jc w:val="left"/>
        <w:outlineLvl w:val="2"/>
        <w:rPr>
          <w:rFonts w:hint="eastAsia" w:asciiTheme="minorEastAsia" w:hAnsiTheme="minorEastAsia" w:eastAsiaTheme="minorEastAsia" w:cstheme="minorEastAsia"/>
          <w:b/>
          <w:sz w:val="22"/>
          <w:szCs w:val="22"/>
          <w:u w:val="single"/>
          <w:lang w:val="zh-CN"/>
        </w:rPr>
      </w:pPr>
      <w:r>
        <w:rPr>
          <w:rFonts w:hint="eastAsia" w:asciiTheme="minorEastAsia" w:hAnsiTheme="minorEastAsia" w:eastAsiaTheme="minorEastAsia" w:cstheme="minorEastAsia"/>
          <w:b/>
          <w:sz w:val="22"/>
          <w:szCs w:val="22"/>
          <w:u w:val="single"/>
        </w:rPr>
        <w:t>1.4</w:t>
      </w:r>
      <w:r>
        <w:rPr>
          <w:rFonts w:hint="eastAsia" w:asciiTheme="minorEastAsia" w:hAnsiTheme="minorEastAsia" w:eastAsiaTheme="minorEastAsia" w:cstheme="minorEastAsia"/>
          <w:b/>
          <w:sz w:val="22"/>
          <w:szCs w:val="22"/>
          <w:u w:val="single"/>
          <w:lang w:val="zh-CN"/>
        </w:rPr>
        <w:t>对同一采购程序环节的质疑</w:t>
      </w:r>
      <w:r>
        <w:rPr>
          <w:rFonts w:hint="eastAsia" w:asciiTheme="minorEastAsia" w:hAnsiTheme="minorEastAsia" w:eastAsiaTheme="minorEastAsia" w:cstheme="minorEastAsia"/>
          <w:b/>
          <w:sz w:val="22"/>
          <w:szCs w:val="22"/>
          <w:u w:val="single"/>
        </w:rPr>
        <w:t>时</w:t>
      </w:r>
      <w:r>
        <w:rPr>
          <w:rFonts w:hint="eastAsia" w:asciiTheme="minorEastAsia" w:hAnsiTheme="minorEastAsia" w:eastAsiaTheme="minorEastAsia" w:cstheme="minorEastAsia"/>
          <w:b/>
          <w:sz w:val="22"/>
          <w:szCs w:val="22"/>
          <w:u w:val="single"/>
          <w:lang w:val="zh-CN"/>
        </w:rPr>
        <w:t>，供应商须在法定质疑期内一次性提出，</w:t>
      </w:r>
      <w:r>
        <w:rPr>
          <w:rFonts w:hint="eastAsia" w:asciiTheme="minorEastAsia" w:hAnsiTheme="minorEastAsia" w:eastAsiaTheme="minorEastAsia" w:cstheme="minorEastAsia"/>
          <w:b/>
          <w:sz w:val="22"/>
          <w:u w:val="single"/>
          <w:lang w:val="zh-CN"/>
        </w:rPr>
        <w:t>已经提出过质疑的投标供应商在质疑期内不能提出新的质疑。</w:t>
      </w:r>
    </w:p>
    <w:p w14:paraId="0AE4A0EA">
      <w:pPr>
        <w:tabs>
          <w:tab w:val="left" w:pos="210"/>
          <w:tab w:val="left" w:pos="84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1.5</w:t>
      </w:r>
      <w:r>
        <w:rPr>
          <w:rFonts w:hint="eastAsia" w:asciiTheme="minorEastAsia" w:hAnsiTheme="minorEastAsia" w:eastAsiaTheme="minorEastAsia" w:cstheme="minorEastAsia"/>
          <w:bCs/>
          <w:sz w:val="22"/>
          <w:szCs w:val="22"/>
          <w:lang w:val="zh-CN"/>
        </w:rPr>
        <w:t>采购人负责供应商质疑答复。采购人委托采购代理机构采购的，采购代理机构对委托授权范围内质疑事项作出答复。委托授权范围应当在采购代理协议中明确。</w:t>
      </w:r>
    </w:p>
    <w:p w14:paraId="7FFDF50A">
      <w:pPr>
        <w:tabs>
          <w:tab w:val="left" w:pos="210"/>
          <w:tab w:val="left" w:pos="84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1.6</w:t>
      </w:r>
      <w:r>
        <w:rPr>
          <w:rFonts w:hint="eastAsia" w:asciiTheme="minorEastAsia" w:hAnsiTheme="minorEastAsia" w:eastAsiaTheme="minorEastAsia" w:cstheme="minorEastAsia"/>
          <w:bCs/>
          <w:sz w:val="22"/>
          <w:szCs w:val="22"/>
          <w:lang w:val="zh-CN"/>
        </w:rPr>
        <w:t>采购人或者采购代理机构应当在收到供应商的书面质疑后七个工作日内作出答复，但答复的内容不得涉及商业秘密。</w:t>
      </w:r>
    </w:p>
    <w:p w14:paraId="4CAE7E23">
      <w:pPr>
        <w:tabs>
          <w:tab w:val="left" w:pos="210"/>
        </w:tabs>
        <w:snapToGrid w:val="0"/>
        <w:ind w:firstLine="442" w:firstLineChars="200"/>
        <w:jc w:val="left"/>
        <w:outlineLvl w:val="2"/>
        <w:rPr>
          <w:rFonts w:hint="eastAsia" w:asciiTheme="minorEastAsia" w:hAnsiTheme="minorEastAsia" w:eastAsiaTheme="minorEastAsia" w:cstheme="minorEastAsia"/>
          <w:b/>
          <w:sz w:val="22"/>
          <w:szCs w:val="22"/>
          <w:lang w:val="zh-CN"/>
        </w:rPr>
      </w:pPr>
      <w:r>
        <w:rPr>
          <w:rFonts w:hint="eastAsia" w:asciiTheme="minorEastAsia" w:hAnsiTheme="minorEastAsia" w:eastAsiaTheme="minorEastAsia" w:cstheme="minorEastAsia"/>
          <w:b/>
          <w:sz w:val="22"/>
          <w:szCs w:val="22"/>
        </w:rPr>
        <w:t>2.</w:t>
      </w:r>
      <w:r>
        <w:rPr>
          <w:rFonts w:hint="eastAsia" w:asciiTheme="minorEastAsia" w:hAnsiTheme="minorEastAsia" w:eastAsiaTheme="minorEastAsia" w:cstheme="minorEastAsia"/>
          <w:b/>
          <w:sz w:val="22"/>
          <w:szCs w:val="22"/>
          <w:lang w:val="zh-CN"/>
        </w:rPr>
        <w:t>供应商投诉</w:t>
      </w:r>
    </w:p>
    <w:p w14:paraId="5D29E825">
      <w:pPr>
        <w:tabs>
          <w:tab w:val="left" w:pos="21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2.1</w:t>
      </w:r>
      <w:r>
        <w:rPr>
          <w:rFonts w:hint="eastAsia" w:asciiTheme="minorEastAsia" w:hAnsiTheme="minorEastAsia" w:eastAsiaTheme="minorEastAsia" w:cstheme="minorEastAsia"/>
          <w:bCs/>
          <w:sz w:val="22"/>
          <w:szCs w:val="22"/>
          <w:lang w:val="zh-CN"/>
        </w:rPr>
        <w:t>质疑供应商对采购人、采购代理机构的答复不满意或者采购人、采购代理机构未在规定的时间内作出答复的，可以在答复期满后</w:t>
      </w:r>
      <w:r>
        <w:rPr>
          <w:rFonts w:hint="eastAsia" w:asciiTheme="minorEastAsia" w:hAnsiTheme="minorEastAsia" w:eastAsiaTheme="minorEastAsia" w:cstheme="minorEastAsia"/>
          <w:bCs/>
          <w:sz w:val="22"/>
          <w:szCs w:val="22"/>
        </w:rPr>
        <w:t>15</w:t>
      </w:r>
      <w:r>
        <w:rPr>
          <w:rFonts w:hint="eastAsia" w:asciiTheme="minorEastAsia" w:hAnsiTheme="minorEastAsia" w:eastAsiaTheme="minorEastAsia" w:cstheme="minorEastAsia"/>
          <w:bCs/>
          <w:sz w:val="22"/>
          <w:szCs w:val="22"/>
          <w:lang w:val="zh-CN"/>
        </w:rPr>
        <w:t>个工作日内向温州市交通发展集团有限公司纪检监察室投诉。</w:t>
      </w:r>
    </w:p>
    <w:p w14:paraId="2BBBAEB5">
      <w:pPr>
        <w:tabs>
          <w:tab w:val="left" w:pos="21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2.2</w:t>
      </w:r>
      <w:r>
        <w:rPr>
          <w:rFonts w:hint="eastAsia" w:asciiTheme="minorEastAsia" w:hAnsiTheme="minorEastAsia" w:eastAsiaTheme="minorEastAsia" w:cstheme="minorEastAsia"/>
          <w:bCs/>
          <w:sz w:val="22"/>
          <w:szCs w:val="22"/>
          <w:lang w:val="zh-CN"/>
        </w:rPr>
        <w:t>供应商投诉的事项不得超出已质疑事项的范围，基于质疑答复内容提出的投诉事项除外。</w:t>
      </w:r>
    </w:p>
    <w:p w14:paraId="5A2A125F">
      <w:pPr>
        <w:tabs>
          <w:tab w:val="left" w:pos="21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2.3</w:t>
      </w:r>
      <w:r>
        <w:rPr>
          <w:rFonts w:hint="eastAsia" w:asciiTheme="minorEastAsia" w:hAnsiTheme="minorEastAsia" w:eastAsiaTheme="minorEastAsia" w:cstheme="minorEastAsia"/>
          <w:bCs/>
          <w:sz w:val="22"/>
          <w:szCs w:val="22"/>
          <w:lang w:val="zh-CN"/>
        </w:rPr>
        <w:t>供应商投诉应当有明确的请求和必要的证明材料。</w:t>
      </w:r>
    </w:p>
    <w:p w14:paraId="1B0F9E55">
      <w:pPr>
        <w:tabs>
          <w:tab w:val="left" w:pos="21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2.4</w:t>
      </w:r>
      <w:r>
        <w:rPr>
          <w:rFonts w:hint="eastAsia" w:asciiTheme="minorEastAsia" w:hAnsiTheme="minorEastAsia" w:eastAsiaTheme="minorEastAsia" w:cstheme="minorEastAsia"/>
          <w:bCs/>
          <w:sz w:val="22"/>
          <w:szCs w:val="22"/>
          <w:lang w:val="zh-CN"/>
        </w:rPr>
        <w:t>以联合体形式参加采购活动的，其投诉应当由组成联合体的所有供应商共同提出。</w:t>
      </w:r>
    </w:p>
    <w:p w14:paraId="4139D1DC">
      <w:pPr>
        <w:ind w:firstLine="440" w:firstLineChars="200"/>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2.5投诉供应商认为投诉回复处理结果不合法的，可以依法向采购人所在地人民法院提起诉讼。投诉供应商</w:t>
      </w:r>
      <w:r>
        <w:rPr>
          <w:rFonts w:hint="eastAsia" w:asciiTheme="minorEastAsia" w:hAnsiTheme="minorEastAsia" w:eastAsiaTheme="minorEastAsia" w:cstheme="minorEastAsia"/>
          <w:bCs/>
          <w:sz w:val="22"/>
          <w:szCs w:val="22"/>
          <w:lang w:val="zh-CN"/>
        </w:rPr>
        <w:t>对投诉的真实性负责，恶意投诉将承当相应的法律责任和民事责任。</w:t>
      </w:r>
    </w:p>
    <w:p w14:paraId="6234BA7D">
      <w:pPr>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3.投诉处理过程中，有下列情形之一的，采购监管部门应当驳回投诉：</w:t>
      </w:r>
    </w:p>
    <w:p w14:paraId="1BE337E3">
      <w:pPr>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3.1受理后发现投诉不符合法定受理条件；</w:t>
      </w:r>
    </w:p>
    <w:p w14:paraId="76E3B735">
      <w:pPr>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3.2投诉事项缺乏事实依据，投诉事项不成立；</w:t>
      </w:r>
    </w:p>
    <w:p w14:paraId="18F871DB">
      <w:pPr>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3.3投诉人捏造事实或者提供虚假材料；</w:t>
      </w:r>
    </w:p>
    <w:p w14:paraId="0E348CF1">
      <w:pPr>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3.4投诉人以非法手段取得证明材料。证据来源的合法性存在明显疑问，投诉人无法证明其取得方式合法的，视为以非法手段取得证明材料。</w:t>
      </w:r>
    </w:p>
    <w:p w14:paraId="110FBDBD">
      <w:pPr>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4其他</w:t>
      </w:r>
    </w:p>
    <w:p w14:paraId="23EEBA61">
      <w:pPr>
        <w:ind w:firstLine="440" w:firstLineChars="200"/>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4.1</w:t>
      </w:r>
      <w:r>
        <w:rPr>
          <w:rFonts w:hint="eastAsia" w:asciiTheme="minorEastAsia" w:hAnsiTheme="minorEastAsia" w:eastAsiaTheme="minorEastAsia" w:cstheme="minorEastAsia"/>
          <w:bCs/>
          <w:sz w:val="22"/>
          <w:szCs w:val="22"/>
          <w:lang w:val="zh-CN"/>
        </w:rPr>
        <w:t>质疑供应商或投诉供应商应当承担投诉事项的举证责任，质疑供应商或投诉供应商未提供相关证据、依据和其他有关材料的，视为该质疑或投诉事项不成立；被质疑供应商或被投诉供应商未按照质疑答复通知书或投诉答复通知书要求提交相关证据、依据和其他有关材料的，视同其放弃说明权利，依法承担不利后果。</w:t>
      </w:r>
    </w:p>
    <w:p w14:paraId="1870CFFE">
      <w:pPr>
        <w:ind w:firstLine="44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Cs/>
          <w:sz w:val="22"/>
          <w:szCs w:val="22"/>
        </w:rPr>
        <w:t>4</w:t>
      </w:r>
      <w:r>
        <w:rPr>
          <w:rFonts w:hint="eastAsia" w:asciiTheme="minorEastAsia" w:hAnsiTheme="minorEastAsia" w:eastAsiaTheme="minorEastAsia" w:cstheme="minorEastAsia"/>
          <w:bCs/>
          <w:sz w:val="22"/>
          <w:szCs w:val="22"/>
          <w:lang w:val="zh-CN"/>
        </w:rPr>
        <w:t>.2如有发现不实的质疑或投诉（包括但不限于未提供证据、证据与质疑或投诉内容无关联、虚假证据等），采购人有权视其为不实的质疑投诉，同时保留对外公布的权利。</w:t>
      </w:r>
      <w:r>
        <w:rPr>
          <w:rFonts w:hint="eastAsia" w:asciiTheme="minorEastAsia" w:hAnsiTheme="minorEastAsia" w:eastAsiaTheme="minorEastAsia" w:cstheme="minorEastAsia"/>
          <w:sz w:val="36"/>
          <w:szCs w:val="36"/>
        </w:rPr>
        <w:br w:type="page"/>
      </w:r>
    </w:p>
    <w:p w14:paraId="3AE7F1F4">
      <w:pPr>
        <w:pStyle w:val="3"/>
        <w:numPr>
          <w:ilvl w:val="0"/>
          <w:numId w:val="25"/>
        </w:numPr>
        <w:rPr>
          <w:rFonts w:hint="eastAsia" w:asciiTheme="minorEastAsia" w:hAnsiTheme="minorEastAsia" w:eastAsiaTheme="minorEastAsia" w:cstheme="minorEastAsia"/>
          <w:szCs w:val="36"/>
        </w:rPr>
      </w:pPr>
      <w:r>
        <w:rPr>
          <w:rFonts w:hint="eastAsia" w:asciiTheme="minorEastAsia" w:hAnsiTheme="minorEastAsia" w:eastAsiaTheme="minorEastAsia" w:cstheme="minorEastAsia"/>
          <w:szCs w:val="36"/>
        </w:rPr>
        <w:t xml:space="preserve"> 合同条款</w:t>
      </w:r>
      <w:bookmarkEnd w:id="79"/>
    </w:p>
    <w:bookmarkEnd w:id="2"/>
    <w:p w14:paraId="6F39FDB2">
      <w:pPr>
        <w:snapToGrid w:val="0"/>
        <w:ind w:firstLine="420" w:firstLineChars="200"/>
        <w:rPr>
          <w:rFonts w:hint="eastAsia" w:asciiTheme="minorEastAsia" w:hAnsiTheme="minorEastAsia" w:eastAsiaTheme="minorEastAsia" w:cstheme="minorEastAsia"/>
          <w:szCs w:val="21"/>
        </w:rPr>
      </w:pPr>
      <w:bookmarkStart w:id="80" w:name="_Toc491780525"/>
    </w:p>
    <w:p w14:paraId="1EC690A0">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rPr>
        <w:t>温州洞头丽笙酒店2026年劳务外包服务合同</w:t>
      </w:r>
    </w:p>
    <w:p w14:paraId="42A70073">
      <w:pPr>
        <w:tabs>
          <w:tab w:val="left" w:pos="900"/>
        </w:tabs>
        <w:spacing w:line="400" w:lineRule="exact"/>
        <w:ind w:left="36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合同编号：</w:t>
      </w:r>
    </w:p>
    <w:p w14:paraId="1BC909B5">
      <w:pPr>
        <w:tabs>
          <w:tab w:val="left" w:pos="900"/>
        </w:tabs>
        <w:spacing w:line="400" w:lineRule="exact"/>
        <w:ind w:left="36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签订地点：</w:t>
      </w:r>
    </w:p>
    <w:p w14:paraId="0A8614A3">
      <w:pPr>
        <w:tabs>
          <w:tab w:val="left" w:pos="900"/>
        </w:tabs>
        <w:spacing w:line="400" w:lineRule="exact"/>
        <w:ind w:left="36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甲方：温州市交发文旅产业有限公司洞头酒店管理分公司</w:t>
      </w:r>
    </w:p>
    <w:p w14:paraId="54D26750">
      <w:pPr>
        <w:tabs>
          <w:tab w:val="left" w:pos="900"/>
        </w:tabs>
        <w:spacing w:line="400" w:lineRule="exact"/>
        <w:ind w:left="36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住所地：浙江省温州市洞头区东屏街道临海路6号</w:t>
      </w:r>
    </w:p>
    <w:p w14:paraId="26D24773">
      <w:pPr>
        <w:tabs>
          <w:tab w:val="left" w:pos="900"/>
        </w:tabs>
        <w:spacing w:line="400" w:lineRule="exact"/>
        <w:ind w:left="36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联系方式：</w:t>
      </w:r>
    </w:p>
    <w:p w14:paraId="6C0BC304">
      <w:pPr>
        <w:tabs>
          <w:tab w:val="left" w:pos="900"/>
        </w:tabs>
        <w:spacing w:line="400" w:lineRule="exact"/>
        <w:ind w:left="36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联系人：</w:t>
      </w:r>
    </w:p>
    <w:p w14:paraId="1A457228">
      <w:pPr>
        <w:tabs>
          <w:tab w:val="left" w:pos="900"/>
        </w:tabs>
        <w:spacing w:line="400" w:lineRule="exact"/>
        <w:ind w:left="360"/>
        <w:rPr>
          <w:rFonts w:hint="eastAsia" w:asciiTheme="minorEastAsia" w:hAnsiTheme="minorEastAsia" w:eastAsiaTheme="minorEastAsia" w:cstheme="minorEastAsia"/>
          <w:sz w:val="22"/>
        </w:rPr>
      </w:pPr>
    </w:p>
    <w:p w14:paraId="75392C30">
      <w:pPr>
        <w:tabs>
          <w:tab w:val="left" w:pos="900"/>
        </w:tabs>
        <w:spacing w:line="400" w:lineRule="exact"/>
        <w:ind w:left="360"/>
        <w:rPr>
          <w:rFonts w:hint="eastAsia" w:asciiTheme="minorEastAsia" w:hAnsiTheme="minorEastAsia" w:eastAsiaTheme="minorEastAsia" w:cstheme="minorEastAsia"/>
          <w:sz w:val="22"/>
          <w:u w:val="single"/>
        </w:rPr>
      </w:pPr>
      <w:r>
        <w:rPr>
          <w:rFonts w:hint="eastAsia" w:asciiTheme="minorEastAsia" w:hAnsiTheme="minorEastAsia" w:eastAsiaTheme="minorEastAsia" w:cstheme="minorEastAsia"/>
          <w:sz w:val="22"/>
        </w:rPr>
        <w:t>乙方：</w:t>
      </w:r>
    </w:p>
    <w:p w14:paraId="2D612E77">
      <w:pPr>
        <w:tabs>
          <w:tab w:val="left" w:pos="900"/>
        </w:tabs>
        <w:spacing w:line="400" w:lineRule="exact"/>
        <w:ind w:left="36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住所地：</w:t>
      </w:r>
    </w:p>
    <w:p w14:paraId="04405CFB">
      <w:pPr>
        <w:tabs>
          <w:tab w:val="left" w:pos="900"/>
        </w:tabs>
        <w:spacing w:line="400" w:lineRule="exact"/>
        <w:ind w:left="36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联系方式：</w:t>
      </w:r>
    </w:p>
    <w:p w14:paraId="343BC32E">
      <w:pPr>
        <w:tabs>
          <w:tab w:val="left" w:pos="900"/>
        </w:tabs>
        <w:spacing w:line="400" w:lineRule="exact"/>
        <w:ind w:left="36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法定代表人：</w:t>
      </w:r>
    </w:p>
    <w:p w14:paraId="73BB85D0">
      <w:pPr>
        <w:tabs>
          <w:tab w:val="left" w:pos="900"/>
        </w:tabs>
        <w:spacing w:line="400" w:lineRule="exact"/>
        <w:ind w:left="36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联系人：</w:t>
      </w:r>
    </w:p>
    <w:p w14:paraId="7C096F0D">
      <w:pPr>
        <w:tabs>
          <w:tab w:val="left" w:pos="900"/>
        </w:tabs>
        <w:spacing w:line="400" w:lineRule="exact"/>
        <w:ind w:left="360"/>
        <w:rPr>
          <w:rFonts w:hint="eastAsia" w:asciiTheme="minorEastAsia" w:hAnsiTheme="minorEastAsia" w:eastAsiaTheme="minorEastAsia" w:cstheme="minorEastAsia"/>
          <w:sz w:val="22"/>
        </w:rPr>
      </w:pPr>
    </w:p>
    <w:p w14:paraId="10F6348B">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温州市交发文旅产业有限公司洞头酒店管理分公司采购的</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（项目名称、项目编号）在国内公开招标，经评标委员会决标（乙方）</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为中标人。根据乙方的投标文件、采购文件有关条款及《中华人民共和国民法典》和相关法律法规的规定，双方同意按照下面条款和条件，签署本合同。</w:t>
      </w:r>
    </w:p>
    <w:p w14:paraId="504A84D9">
      <w:pPr>
        <w:tabs>
          <w:tab w:val="left" w:pos="900"/>
        </w:tabs>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第一条  定义</w:t>
      </w:r>
    </w:p>
    <w:p w14:paraId="55D75631">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除非另有特别解释或说明，本合同有关词语应按如下定义解释：</w:t>
      </w:r>
    </w:p>
    <w:p w14:paraId="41127C14">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1.合同：甲乙双方签署的，与本项目相关的协议、附件、附录和其他一切文件。</w:t>
      </w:r>
    </w:p>
    <w:p w14:paraId="7D2EE2C7">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2.甲方：本合同下接受相关服务的法人、其他组织或自然人。</w:t>
      </w:r>
    </w:p>
    <w:p w14:paraId="0ABEF27E">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3.乙方：本合同项下提供客房PA服务等服务的法人、其他组织或自然人。</w:t>
      </w:r>
    </w:p>
    <w:p w14:paraId="5A698B89">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4.乙方人员：根据合同规定乙方为完成本项目应向甲方提供的一切服务时，需派遣的驻场主管、项目经理、服务员等。</w:t>
      </w:r>
    </w:p>
    <w:p w14:paraId="1E1AF6B7">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5.服务：根据合同规定乙方承担甲方客房部所需服务人员、PA保洁人员、管事洗碗工，餐饮PT人员等及提供合同规定的相应外包服务。</w:t>
      </w:r>
    </w:p>
    <w:p w14:paraId="0B778C32">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6.合同价格：根据合同规定乙方在正确地完全履行合同义务后，甲方应支付给乙方的价格，包含了为甲方及其相关服务的一切费用。甲方无需另外支付任何费用。此项目乙方须按照甲方要求提供增值税专用发票。</w:t>
      </w:r>
    </w:p>
    <w:p w14:paraId="044A191C">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本项目合同采用固定综合单价承包。综合单价包括提供劳务外包服务所需的人工费（包括工人工资、奖金、各种加班费、餐费补贴、劳保福利、社保、工伤费、教育培训费、暂住费、食宿与交通费及处理一切伤亡事故等费用）及工具材料费（如有）、企业应缴税金和应得利润等完成合同所需的一切本身和不可或缺的所有工作开支、政策性文件规定及合同包含的所有风险、责任等各项全部费用并承担一切风险责任。甲方根据乙方实际到岗岗位数量、工作时间（完成工作量）及乙方各岗位合同单价进行结算。</w:t>
      </w:r>
    </w:p>
    <w:p w14:paraId="29B1EA77">
      <w:pPr>
        <w:tabs>
          <w:tab w:val="left" w:pos="900"/>
        </w:tabs>
        <w:spacing w:line="400" w:lineRule="exact"/>
        <w:ind w:firstLine="440" w:firstLineChars="200"/>
        <w:rPr>
          <w:rFonts w:hint="eastAsia" w:asciiTheme="minorEastAsia" w:hAnsiTheme="minorEastAsia" w:eastAsiaTheme="minorEastAsia" w:cstheme="minorEastAsia"/>
          <w:sz w:val="22"/>
          <w:lang w:val="zh-CN"/>
        </w:rPr>
      </w:pPr>
      <w:r>
        <w:rPr>
          <w:rFonts w:hint="eastAsia" w:asciiTheme="minorEastAsia" w:hAnsiTheme="minorEastAsia" w:eastAsiaTheme="minorEastAsia" w:cstheme="minorEastAsia"/>
          <w:sz w:val="22"/>
        </w:rPr>
        <w:t>乙方认为完成本合同规定的承包内容所需发生的直接成本、间接成本、利润、税金、政策性文件规定的费用及合同包含的所有风险、责任等一切费用均已经在综合单价中予以考虑，在合同有效期内，该综合单价固定不变，今后不得以任何理由追加或调整。</w:t>
      </w:r>
    </w:p>
    <w:p w14:paraId="297C9FEA">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7.计量单位：本合同所涉及费用均以人民币“元”作为计量单位。</w:t>
      </w:r>
    </w:p>
    <w:p w14:paraId="2D0F8ED4">
      <w:pPr>
        <w:tabs>
          <w:tab w:val="left" w:pos="900"/>
        </w:tabs>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第二条 合同组成部分</w:t>
      </w:r>
    </w:p>
    <w:p w14:paraId="48E7250B">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6850284">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1.本合同及其补充合同、变更协议；</w:t>
      </w:r>
    </w:p>
    <w:p w14:paraId="17BE74E5">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2.中标通知书；</w:t>
      </w:r>
    </w:p>
    <w:p w14:paraId="00974119">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3.技术规格、商务条款偏离表；</w:t>
      </w:r>
    </w:p>
    <w:p w14:paraId="45A90FA2">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4.乙方投标文件（含澄清或者说明文件）；</w:t>
      </w:r>
    </w:p>
    <w:p w14:paraId="01C9927F">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5.采购文件（含澄清或者修改文件）；</w:t>
      </w:r>
    </w:p>
    <w:p w14:paraId="2D05CC82">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6.其他相关文件。</w:t>
      </w:r>
    </w:p>
    <w:p w14:paraId="52835DD0">
      <w:pPr>
        <w:tabs>
          <w:tab w:val="left" w:pos="900"/>
        </w:tabs>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第三条 服务内容</w:t>
      </w:r>
    </w:p>
    <w:p w14:paraId="14B2C317">
      <w:pPr>
        <w:spacing w:line="48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1.服务人员数量：</w:t>
      </w:r>
      <w:r>
        <w:rPr>
          <w:rFonts w:hint="eastAsia" w:asciiTheme="minorEastAsia" w:hAnsiTheme="minorEastAsia" w:eastAsiaTheme="minorEastAsia" w:cstheme="minorEastAsia"/>
          <w:sz w:val="24"/>
        </w:rPr>
        <w:t>需要服务人员岗位为客房清洁、PA主管、PA技工、PA保洁员、管事小时工、餐厅小时工，具体人数由甲方提前通知。乙方服务人员在甲方区域范围内提供相应服务，且只能在该范围内从事服务的相关工作。</w:t>
      </w:r>
    </w:p>
    <w:p w14:paraId="28F30A9F">
      <w:pPr>
        <w:spacing w:line="480" w:lineRule="exact"/>
        <w:ind w:firstLine="482"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24"/>
        </w:rPr>
        <w:t>2.合同期限为：</w:t>
      </w:r>
      <w:r>
        <w:rPr>
          <w:rFonts w:hint="eastAsia" w:asciiTheme="minorEastAsia" w:hAnsiTheme="minorEastAsia" w:eastAsiaTheme="minorEastAsia" w:cstheme="minorEastAsia"/>
          <w:bCs/>
          <w:sz w:val="24"/>
        </w:rPr>
        <w:t>2026年  月   日至202 年  月   日，具体起始日期以甲方提前</w:t>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bCs/>
          <w:sz w:val="24"/>
        </w:rPr>
        <w:t>天通知为准，若甲方需求有更改，甲方有权提前一周与乙方协商终止合同。</w:t>
      </w:r>
    </w:p>
    <w:p w14:paraId="0EEB3142">
      <w:pPr>
        <w:spacing w:line="480" w:lineRule="exact"/>
        <w:ind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甲方在需要乙方提供服务的时候，向乙方通知所涉及到的工作性质、要求、工作量等情况。乙方接到甲方通知后，【7】日内安排所有人员全部到岗，为甲方提供符合本合同约定及甲方要求的服务。</w:t>
      </w:r>
    </w:p>
    <w:p w14:paraId="6FCD6CFE">
      <w:pPr>
        <w:tabs>
          <w:tab w:val="left" w:pos="900"/>
        </w:tabs>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3.服务时间：</w:t>
      </w:r>
    </w:p>
    <w:p w14:paraId="36DB3912">
      <w:pPr>
        <w:pStyle w:val="43"/>
        <w:snapToGrid w:val="0"/>
        <w:spacing w:line="480" w:lineRule="exact"/>
        <w:ind w:firstLine="48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所有服务人员工作时间符合甲方实际业务需求且以甲方通知为准，乙方须按要求合理安排。乙方需确保在酒店营业时间内有足够的符合合同要求的合格的岗位人员供甲方调度；需密切配合甲方酒店正常运营，做好应急响应、设备维护及其他所需的服务等工作。</w:t>
      </w:r>
    </w:p>
    <w:p w14:paraId="1329377E">
      <w:pPr>
        <w:spacing w:line="480" w:lineRule="exact"/>
        <w:ind w:firstLine="48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（2）根据酒店运营情况，排岗和工作时长如有变化，以甲方的要求为准，乙方应全力配合，按甲方要求执行。</w:t>
      </w:r>
    </w:p>
    <w:p w14:paraId="2F4288FC">
      <w:pPr>
        <w:pStyle w:val="43"/>
        <w:snapToGrid w:val="0"/>
        <w:spacing w:line="480" w:lineRule="exact"/>
        <w:ind w:firstLine="480" w:firstLineChars="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（3）本合同服务内容及要求：按照采购文件相关要求和投标承诺执行。</w:t>
      </w:r>
    </w:p>
    <w:p w14:paraId="268DE578">
      <w:pPr>
        <w:spacing w:line="48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4.主要服务工作包括不仅限于：</w:t>
      </w:r>
    </w:p>
    <w:p w14:paraId="2CA8EFBB">
      <w:pPr>
        <w:spacing w:line="48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4.1酒店管事部清洁日常工作：</w:t>
      </w:r>
    </w:p>
    <w:p w14:paraId="6801A92E">
      <w:pPr>
        <w:numPr>
          <w:ilvl w:val="255"/>
          <w:numId w:val="0"/>
        </w:numPr>
        <w:spacing w:line="480" w:lineRule="exact"/>
        <w:ind w:left="420" w:left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（1）饼房、初加工房（肉房，海鲜房，洗菜间）日常清洁。</w:t>
      </w:r>
    </w:p>
    <w:p w14:paraId="22C43828">
      <w:pPr>
        <w:numPr>
          <w:ilvl w:val="255"/>
          <w:numId w:val="0"/>
        </w:numPr>
        <w:spacing w:line="480" w:lineRule="exact"/>
        <w:ind w:left="420" w:left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（2）中厨房、宴会厨房日常清洁。</w:t>
      </w:r>
    </w:p>
    <w:p w14:paraId="5CAB2654">
      <w:pPr>
        <w:numPr>
          <w:ilvl w:val="255"/>
          <w:numId w:val="0"/>
        </w:numPr>
        <w:spacing w:line="480" w:lineRule="exact"/>
        <w:ind w:left="420" w:left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（3）西厨房日常清洁。</w:t>
      </w:r>
    </w:p>
    <w:p w14:paraId="2CEA4F84">
      <w:pPr>
        <w:numPr>
          <w:ilvl w:val="255"/>
          <w:numId w:val="0"/>
        </w:numPr>
        <w:spacing w:line="480" w:lineRule="exact"/>
        <w:ind w:left="420" w:left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（4）餐厅厨房日常清洁。</w:t>
      </w:r>
    </w:p>
    <w:p w14:paraId="33F93D1E">
      <w:pPr>
        <w:numPr>
          <w:ilvl w:val="255"/>
          <w:numId w:val="0"/>
        </w:numPr>
        <w:spacing w:line="480" w:lineRule="exact"/>
        <w:ind w:left="420" w:left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（5）管事部夜班清洁。</w:t>
      </w:r>
    </w:p>
    <w:p w14:paraId="7BAA6A48">
      <w:pPr>
        <w:numPr>
          <w:ilvl w:val="255"/>
          <w:numId w:val="0"/>
        </w:numPr>
        <w:spacing w:line="480" w:lineRule="exact"/>
        <w:ind w:left="420" w:left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（6）其他甲方要求的日常清洁工作。</w:t>
      </w:r>
    </w:p>
    <w:p w14:paraId="53BC49CF">
      <w:pPr>
        <w:pStyle w:val="43"/>
        <w:spacing w:line="480" w:lineRule="exact"/>
        <w:ind w:left="425" w:firstLine="0"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4.2小时工外包服务：</w:t>
      </w:r>
    </w:p>
    <w:p w14:paraId="79687B90">
      <w:pPr>
        <w:pStyle w:val="43"/>
        <w:spacing w:line="480" w:lineRule="exact"/>
        <w:ind w:left="425" w:firstLine="0" w:firstLineChars="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（1）外包服务岗位：酒店服务岗位。</w:t>
      </w:r>
    </w:p>
    <w:p w14:paraId="38593CB2">
      <w:pPr>
        <w:pStyle w:val="43"/>
        <w:spacing w:line="480" w:lineRule="exact"/>
        <w:ind w:left="425" w:firstLine="0" w:firstLineChars="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（2）酒店服务时间：以甲方要求的工作时间为准，乙方人员需按甲方规定时间提供相关服务，以实际提供服务的时间（小时或打扫的房间数量）计算服务费用。</w:t>
      </w:r>
    </w:p>
    <w:p w14:paraId="527A5C65">
      <w:pPr>
        <w:pStyle w:val="43"/>
        <w:spacing w:line="480" w:lineRule="exact"/>
        <w:ind w:left="425" w:firstLine="0" w:firstLineChars="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（3）人员安排：以甲方具体要求人数为准，乙方应根据甲方的要求提供相应数量的乙方人员。</w:t>
      </w:r>
    </w:p>
    <w:p w14:paraId="3B375F77">
      <w:pPr>
        <w:spacing w:line="48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4.3酒店公共区域日常清洁&amp;各种设施的日常维护工作：</w:t>
      </w:r>
    </w:p>
    <w:p w14:paraId="56562ABA">
      <w:pPr>
        <w:numPr>
          <w:ilvl w:val="255"/>
          <w:numId w:val="0"/>
        </w:numPr>
        <w:tabs>
          <w:tab w:val="left" w:pos="426"/>
        </w:tabs>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（1）外围公共区域、行政后勤办公区域设施日常清洁。</w:t>
      </w:r>
    </w:p>
    <w:p w14:paraId="42B1FAE3">
      <w:pPr>
        <w:numPr>
          <w:ilvl w:val="255"/>
          <w:numId w:val="0"/>
        </w:numPr>
        <w:tabs>
          <w:tab w:val="left" w:pos="426"/>
        </w:tabs>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（2）客用卫生间、员工卫生间设施保养与日常清洁。</w:t>
      </w:r>
    </w:p>
    <w:p w14:paraId="40F29DB9">
      <w:pPr>
        <w:numPr>
          <w:ilvl w:val="255"/>
          <w:numId w:val="0"/>
        </w:numPr>
        <w:tabs>
          <w:tab w:val="left" w:pos="426"/>
        </w:tabs>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（3）公共区域地面、墙面、地毯、家具、摆设的保养与日常清洁。</w:t>
      </w:r>
    </w:p>
    <w:p w14:paraId="36999215">
      <w:pPr>
        <w:numPr>
          <w:ilvl w:val="255"/>
          <w:numId w:val="0"/>
        </w:numPr>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（4）客用及员工电梯的保养与日常清洁。</w:t>
      </w:r>
    </w:p>
    <w:p w14:paraId="3C85FB3B">
      <w:pPr>
        <w:numPr>
          <w:ilvl w:val="255"/>
          <w:numId w:val="0"/>
        </w:numPr>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（5）公共区域风口、筒灯灯具等设施定期清洁保养。</w:t>
      </w:r>
    </w:p>
    <w:p w14:paraId="7B03EAD6">
      <w:pPr>
        <w:numPr>
          <w:ilvl w:val="255"/>
          <w:numId w:val="0"/>
        </w:numPr>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（6）公共区域玻璃的清洁。</w:t>
      </w:r>
    </w:p>
    <w:p w14:paraId="6054FCDD">
      <w:pPr>
        <w:numPr>
          <w:ilvl w:val="255"/>
          <w:numId w:val="0"/>
        </w:numPr>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（7）由酒店负责经营的餐厅、宴会厅、酒吧等公共场所的固定设施(管事部负责的区域除外）清洁与保养。</w:t>
      </w:r>
    </w:p>
    <w:p w14:paraId="3775A47E">
      <w:pPr>
        <w:numPr>
          <w:ilvl w:val="255"/>
          <w:numId w:val="0"/>
        </w:numPr>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（8）大堂石材地面客流量较大的出入口石材地面每天做日常维护保养。</w:t>
      </w:r>
    </w:p>
    <w:p w14:paraId="3734596E">
      <w:pPr>
        <w:pStyle w:val="43"/>
        <w:numPr>
          <w:ilvl w:val="255"/>
          <w:numId w:val="0"/>
        </w:numPr>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（9）公共区域石材地面做晶面维护保养。</w:t>
      </w:r>
    </w:p>
    <w:p w14:paraId="6E579AC3">
      <w:pPr>
        <w:pStyle w:val="43"/>
        <w:numPr>
          <w:ilvl w:val="255"/>
          <w:numId w:val="0"/>
        </w:numPr>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（10）客用公共卫生间石材地面做晶面维护保养。</w:t>
      </w:r>
    </w:p>
    <w:p w14:paraId="31D927D2">
      <w:pPr>
        <w:pStyle w:val="43"/>
        <w:numPr>
          <w:ilvl w:val="255"/>
          <w:numId w:val="0"/>
        </w:numPr>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（11）公共区域客用卫生间石材台面及金属件的维护保养。</w:t>
      </w:r>
    </w:p>
    <w:p w14:paraId="72D97C3A">
      <w:pPr>
        <w:pStyle w:val="43"/>
        <w:numPr>
          <w:ilvl w:val="255"/>
          <w:numId w:val="0"/>
        </w:numPr>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（12）公共区域金属装饰物维护保养。</w:t>
      </w:r>
    </w:p>
    <w:p w14:paraId="1C7FAE37">
      <w:pPr>
        <w:pStyle w:val="43"/>
        <w:numPr>
          <w:ilvl w:val="255"/>
          <w:numId w:val="0"/>
        </w:numPr>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（13）公共区域地毯每日吸尘、除渍维护保养。</w:t>
      </w:r>
    </w:p>
    <w:p w14:paraId="694B323E">
      <w:pPr>
        <w:pStyle w:val="43"/>
        <w:numPr>
          <w:ilvl w:val="255"/>
          <w:numId w:val="0"/>
        </w:numPr>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（14）公共区域地毯清洗视地毯受污染的程度进行安排。</w:t>
      </w:r>
    </w:p>
    <w:p w14:paraId="04D3728F">
      <w:pPr>
        <w:pStyle w:val="43"/>
        <w:numPr>
          <w:ilvl w:val="255"/>
          <w:numId w:val="0"/>
        </w:numPr>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（15）公共区域木质装饰的维护保养。</w:t>
      </w:r>
    </w:p>
    <w:p w14:paraId="3EDE78FE">
      <w:pPr>
        <w:pStyle w:val="43"/>
        <w:numPr>
          <w:ilvl w:val="255"/>
          <w:numId w:val="0"/>
        </w:numPr>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（16）楼层区域地毯清洗视地毯受污染的程度进行安排。</w:t>
      </w:r>
    </w:p>
    <w:p w14:paraId="77D48615">
      <w:pPr>
        <w:pStyle w:val="43"/>
        <w:numPr>
          <w:ilvl w:val="255"/>
          <w:numId w:val="0"/>
        </w:numPr>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（17）楼层区域大理石地面定期做晶面维护。</w:t>
      </w:r>
    </w:p>
    <w:p w14:paraId="2F28BD5B">
      <w:pPr>
        <w:pStyle w:val="43"/>
        <w:numPr>
          <w:ilvl w:val="255"/>
          <w:numId w:val="0"/>
        </w:numPr>
        <w:spacing w:line="480" w:lineRule="exact"/>
        <w:ind w:left="42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（18）其他甲方要求的相关工作。</w:t>
      </w:r>
    </w:p>
    <w:p w14:paraId="48F50AEC">
      <w:pPr>
        <w:spacing w:line="48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4.4楼层外包服务：</w:t>
      </w:r>
    </w:p>
    <w:p w14:paraId="7BB0E8C8">
      <w:pPr>
        <w:pStyle w:val="43"/>
        <w:numPr>
          <w:ilvl w:val="255"/>
          <w:numId w:val="0"/>
        </w:numPr>
        <w:spacing w:line="480" w:lineRule="exact"/>
        <w:ind w:left="426"/>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（1）客房房间及楼层所有区域的清洁工作，等同楼层服务员岗位职责。</w:t>
      </w:r>
    </w:p>
    <w:p w14:paraId="4CDF33D2">
      <w:pPr>
        <w:tabs>
          <w:tab w:val="left" w:pos="900"/>
        </w:tabs>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第四条  合同清单和合同费用：</w:t>
      </w:r>
    </w:p>
    <w:p w14:paraId="29D3E02C">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1.乙方根据甲方需求提供包括但不限于下列服务：</w:t>
      </w:r>
    </w:p>
    <w:p w14:paraId="404BCC81">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1）根据实际情况安排服务人员并定期制定相关工作总结及计划；</w:t>
      </w:r>
    </w:p>
    <w:p w14:paraId="707713C1">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2.本合同暂定总价为：     元，税率为      %，不含税金额为：            元，税额为      元</w:t>
      </w:r>
      <w:r>
        <w:rPr>
          <w:rFonts w:hint="eastAsia" w:asciiTheme="minorEastAsia" w:hAnsiTheme="minorEastAsia" w:eastAsiaTheme="minorEastAsia" w:cstheme="minorEastAsia"/>
          <w:sz w:val="22"/>
          <w:lang w:eastAsia="zh-CN"/>
        </w:rPr>
        <w:t>。</w:t>
      </w:r>
    </w:p>
    <w:p w14:paraId="36F14682">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合同为单价合同，各岗位单价详见下表。甲方每月根据酒店实际用人需求及各岗位合同单价进行结算。</w:t>
      </w:r>
    </w:p>
    <w:p w14:paraId="612AB44E">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本项目需要的服务岗位及其合同单价：</w:t>
      </w:r>
    </w:p>
    <w:tbl>
      <w:tblPr>
        <w:tblStyle w:val="29"/>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600"/>
        <w:gridCol w:w="909"/>
        <w:gridCol w:w="1274"/>
        <w:gridCol w:w="884"/>
        <w:gridCol w:w="1283"/>
        <w:gridCol w:w="2405"/>
      </w:tblGrid>
      <w:tr w14:paraId="3EF1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7" w:type="dxa"/>
            <w:vAlign w:val="center"/>
          </w:tcPr>
          <w:p w14:paraId="3E53EE53">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序号</w:t>
            </w:r>
          </w:p>
        </w:tc>
        <w:tc>
          <w:tcPr>
            <w:tcW w:w="1600" w:type="dxa"/>
            <w:vAlign w:val="center"/>
          </w:tcPr>
          <w:p w14:paraId="34EAC5C3">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岗位名称</w:t>
            </w:r>
          </w:p>
        </w:tc>
        <w:tc>
          <w:tcPr>
            <w:tcW w:w="909" w:type="dxa"/>
            <w:vAlign w:val="center"/>
          </w:tcPr>
          <w:p w14:paraId="2DB19AFD">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单位</w:t>
            </w:r>
          </w:p>
        </w:tc>
        <w:tc>
          <w:tcPr>
            <w:tcW w:w="1274" w:type="dxa"/>
            <w:vAlign w:val="center"/>
          </w:tcPr>
          <w:p w14:paraId="1193AAE3">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净价（元）</w:t>
            </w:r>
          </w:p>
        </w:tc>
        <w:tc>
          <w:tcPr>
            <w:tcW w:w="884" w:type="dxa"/>
            <w:vAlign w:val="center"/>
          </w:tcPr>
          <w:p w14:paraId="690F8B2C">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税率</w:t>
            </w:r>
          </w:p>
        </w:tc>
        <w:tc>
          <w:tcPr>
            <w:tcW w:w="1283" w:type="dxa"/>
            <w:vAlign w:val="center"/>
          </w:tcPr>
          <w:p w14:paraId="145B067B">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含税单价</w:t>
            </w:r>
          </w:p>
        </w:tc>
        <w:tc>
          <w:tcPr>
            <w:tcW w:w="2405" w:type="dxa"/>
            <w:vAlign w:val="center"/>
          </w:tcPr>
          <w:p w14:paraId="03145AF4">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备注</w:t>
            </w:r>
          </w:p>
        </w:tc>
      </w:tr>
      <w:tr w14:paraId="273F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7" w:type="dxa"/>
            <w:vAlign w:val="center"/>
          </w:tcPr>
          <w:p w14:paraId="63285252">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1</w:t>
            </w:r>
          </w:p>
        </w:tc>
        <w:tc>
          <w:tcPr>
            <w:tcW w:w="1600" w:type="dxa"/>
            <w:vAlign w:val="center"/>
          </w:tcPr>
          <w:p w14:paraId="1CEB089B">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客房清洁</w:t>
            </w:r>
          </w:p>
        </w:tc>
        <w:tc>
          <w:tcPr>
            <w:tcW w:w="909" w:type="dxa"/>
            <w:vAlign w:val="center"/>
          </w:tcPr>
          <w:p w14:paraId="7FB5DC99">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间</w:t>
            </w:r>
          </w:p>
        </w:tc>
        <w:tc>
          <w:tcPr>
            <w:tcW w:w="1274" w:type="dxa"/>
            <w:vAlign w:val="center"/>
          </w:tcPr>
          <w:p w14:paraId="7EDCE5EB">
            <w:pPr>
              <w:widowControl/>
              <w:jc w:val="center"/>
              <w:rPr>
                <w:rFonts w:hint="eastAsia" w:asciiTheme="minorEastAsia" w:hAnsiTheme="minorEastAsia" w:eastAsiaTheme="minorEastAsia" w:cstheme="minorEastAsia"/>
                <w:kern w:val="0"/>
                <w:szCs w:val="22"/>
              </w:rPr>
            </w:pPr>
          </w:p>
        </w:tc>
        <w:tc>
          <w:tcPr>
            <w:tcW w:w="884" w:type="dxa"/>
            <w:vAlign w:val="center"/>
          </w:tcPr>
          <w:p w14:paraId="7B6D70D0">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u w:val="single"/>
              </w:rPr>
              <w:t xml:space="preserve">   </w:t>
            </w:r>
            <w:r>
              <w:rPr>
                <w:rFonts w:hint="eastAsia" w:asciiTheme="minorEastAsia" w:hAnsiTheme="minorEastAsia" w:eastAsiaTheme="minorEastAsia" w:cstheme="minorEastAsia"/>
                <w:kern w:val="0"/>
                <w:szCs w:val="22"/>
              </w:rPr>
              <w:t>%</w:t>
            </w:r>
          </w:p>
        </w:tc>
        <w:tc>
          <w:tcPr>
            <w:tcW w:w="1283" w:type="dxa"/>
            <w:vAlign w:val="center"/>
          </w:tcPr>
          <w:p w14:paraId="308DD2ED">
            <w:pPr>
              <w:widowControl/>
              <w:jc w:val="center"/>
              <w:rPr>
                <w:rFonts w:hint="eastAsia" w:asciiTheme="minorEastAsia" w:hAnsiTheme="minorEastAsia" w:eastAsiaTheme="minorEastAsia" w:cstheme="minorEastAsia"/>
                <w:kern w:val="0"/>
                <w:szCs w:val="22"/>
              </w:rPr>
            </w:pPr>
          </w:p>
        </w:tc>
        <w:tc>
          <w:tcPr>
            <w:tcW w:w="2405" w:type="dxa"/>
            <w:vAlign w:val="center"/>
          </w:tcPr>
          <w:p w14:paraId="4BE18F36">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法定节假日双倍工资</w:t>
            </w:r>
          </w:p>
        </w:tc>
      </w:tr>
      <w:tr w14:paraId="18FE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7" w:type="dxa"/>
            <w:vAlign w:val="center"/>
          </w:tcPr>
          <w:p w14:paraId="58491864">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2</w:t>
            </w:r>
          </w:p>
        </w:tc>
        <w:tc>
          <w:tcPr>
            <w:tcW w:w="1600" w:type="dxa"/>
            <w:vAlign w:val="center"/>
          </w:tcPr>
          <w:p w14:paraId="0739A061">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PA主管</w:t>
            </w:r>
          </w:p>
        </w:tc>
        <w:tc>
          <w:tcPr>
            <w:tcW w:w="909" w:type="dxa"/>
            <w:vAlign w:val="center"/>
          </w:tcPr>
          <w:p w14:paraId="48CA59DE">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小时</w:t>
            </w:r>
          </w:p>
        </w:tc>
        <w:tc>
          <w:tcPr>
            <w:tcW w:w="1274" w:type="dxa"/>
            <w:vAlign w:val="center"/>
          </w:tcPr>
          <w:p w14:paraId="15E66F12">
            <w:pPr>
              <w:widowControl/>
              <w:jc w:val="center"/>
              <w:rPr>
                <w:rFonts w:hint="eastAsia" w:asciiTheme="minorEastAsia" w:hAnsiTheme="minorEastAsia" w:eastAsiaTheme="minorEastAsia" w:cstheme="minorEastAsia"/>
                <w:kern w:val="0"/>
                <w:szCs w:val="22"/>
              </w:rPr>
            </w:pPr>
          </w:p>
        </w:tc>
        <w:tc>
          <w:tcPr>
            <w:tcW w:w="884" w:type="dxa"/>
            <w:vAlign w:val="center"/>
          </w:tcPr>
          <w:p w14:paraId="443FBBB6">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u w:val="single"/>
              </w:rPr>
              <w:t xml:space="preserve">   </w:t>
            </w:r>
            <w:r>
              <w:rPr>
                <w:rFonts w:hint="eastAsia" w:asciiTheme="minorEastAsia" w:hAnsiTheme="minorEastAsia" w:eastAsiaTheme="minorEastAsia" w:cstheme="minorEastAsia"/>
                <w:kern w:val="0"/>
                <w:szCs w:val="22"/>
              </w:rPr>
              <w:t>%</w:t>
            </w:r>
          </w:p>
        </w:tc>
        <w:tc>
          <w:tcPr>
            <w:tcW w:w="1283" w:type="dxa"/>
            <w:vAlign w:val="center"/>
          </w:tcPr>
          <w:p w14:paraId="5C111B78">
            <w:pPr>
              <w:widowControl/>
              <w:jc w:val="center"/>
              <w:rPr>
                <w:rFonts w:hint="eastAsia" w:asciiTheme="minorEastAsia" w:hAnsiTheme="minorEastAsia" w:eastAsiaTheme="minorEastAsia" w:cstheme="minorEastAsia"/>
                <w:kern w:val="0"/>
                <w:szCs w:val="22"/>
              </w:rPr>
            </w:pPr>
          </w:p>
        </w:tc>
        <w:tc>
          <w:tcPr>
            <w:tcW w:w="2405" w:type="dxa"/>
            <w:vAlign w:val="center"/>
          </w:tcPr>
          <w:p w14:paraId="1757A915">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法定节假日双倍工资</w:t>
            </w:r>
          </w:p>
        </w:tc>
      </w:tr>
      <w:tr w14:paraId="7898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7" w:type="dxa"/>
            <w:vAlign w:val="center"/>
          </w:tcPr>
          <w:p w14:paraId="6CE9403F">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3</w:t>
            </w:r>
          </w:p>
        </w:tc>
        <w:tc>
          <w:tcPr>
            <w:tcW w:w="1600" w:type="dxa"/>
            <w:vAlign w:val="center"/>
          </w:tcPr>
          <w:p w14:paraId="4B529657">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PA技工</w:t>
            </w:r>
          </w:p>
        </w:tc>
        <w:tc>
          <w:tcPr>
            <w:tcW w:w="909" w:type="dxa"/>
            <w:vAlign w:val="center"/>
          </w:tcPr>
          <w:p w14:paraId="3A5E5F59">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小时</w:t>
            </w:r>
          </w:p>
        </w:tc>
        <w:tc>
          <w:tcPr>
            <w:tcW w:w="1274" w:type="dxa"/>
            <w:vAlign w:val="center"/>
          </w:tcPr>
          <w:p w14:paraId="517CA7B5">
            <w:pPr>
              <w:widowControl/>
              <w:jc w:val="center"/>
              <w:rPr>
                <w:rFonts w:hint="eastAsia" w:asciiTheme="minorEastAsia" w:hAnsiTheme="minorEastAsia" w:eastAsiaTheme="minorEastAsia" w:cstheme="minorEastAsia"/>
                <w:kern w:val="0"/>
                <w:szCs w:val="22"/>
              </w:rPr>
            </w:pPr>
          </w:p>
        </w:tc>
        <w:tc>
          <w:tcPr>
            <w:tcW w:w="884" w:type="dxa"/>
            <w:vAlign w:val="center"/>
          </w:tcPr>
          <w:p w14:paraId="363AA472">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u w:val="single"/>
              </w:rPr>
              <w:t xml:space="preserve">   </w:t>
            </w:r>
            <w:r>
              <w:rPr>
                <w:rFonts w:hint="eastAsia" w:asciiTheme="minorEastAsia" w:hAnsiTheme="minorEastAsia" w:eastAsiaTheme="minorEastAsia" w:cstheme="minorEastAsia"/>
                <w:kern w:val="0"/>
                <w:szCs w:val="22"/>
              </w:rPr>
              <w:t>%</w:t>
            </w:r>
          </w:p>
        </w:tc>
        <w:tc>
          <w:tcPr>
            <w:tcW w:w="1283" w:type="dxa"/>
            <w:vAlign w:val="center"/>
          </w:tcPr>
          <w:p w14:paraId="02C36D27">
            <w:pPr>
              <w:widowControl/>
              <w:jc w:val="center"/>
              <w:rPr>
                <w:rFonts w:hint="eastAsia" w:asciiTheme="minorEastAsia" w:hAnsiTheme="minorEastAsia" w:eastAsiaTheme="minorEastAsia" w:cstheme="minorEastAsia"/>
                <w:kern w:val="0"/>
                <w:szCs w:val="22"/>
              </w:rPr>
            </w:pPr>
          </w:p>
        </w:tc>
        <w:tc>
          <w:tcPr>
            <w:tcW w:w="2405" w:type="dxa"/>
            <w:vAlign w:val="center"/>
          </w:tcPr>
          <w:p w14:paraId="1E3F2C70">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法定节假日双倍工资</w:t>
            </w:r>
          </w:p>
        </w:tc>
      </w:tr>
      <w:tr w14:paraId="51A3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7" w:type="dxa"/>
            <w:vAlign w:val="center"/>
          </w:tcPr>
          <w:p w14:paraId="102C3F0F">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4</w:t>
            </w:r>
          </w:p>
        </w:tc>
        <w:tc>
          <w:tcPr>
            <w:tcW w:w="1600" w:type="dxa"/>
            <w:vAlign w:val="center"/>
          </w:tcPr>
          <w:p w14:paraId="0C7BE836">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PA保洁员</w:t>
            </w:r>
          </w:p>
        </w:tc>
        <w:tc>
          <w:tcPr>
            <w:tcW w:w="909" w:type="dxa"/>
            <w:vAlign w:val="center"/>
          </w:tcPr>
          <w:p w14:paraId="08881738">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小时</w:t>
            </w:r>
          </w:p>
        </w:tc>
        <w:tc>
          <w:tcPr>
            <w:tcW w:w="1274" w:type="dxa"/>
            <w:vAlign w:val="center"/>
          </w:tcPr>
          <w:p w14:paraId="67EF6A47">
            <w:pPr>
              <w:widowControl/>
              <w:jc w:val="center"/>
              <w:rPr>
                <w:rFonts w:hint="eastAsia" w:asciiTheme="minorEastAsia" w:hAnsiTheme="minorEastAsia" w:eastAsiaTheme="minorEastAsia" w:cstheme="minorEastAsia"/>
                <w:kern w:val="0"/>
                <w:szCs w:val="22"/>
              </w:rPr>
            </w:pPr>
          </w:p>
        </w:tc>
        <w:tc>
          <w:tcPr>
            <w:tcW w:w="884" w:type="dxa"/>
            <w:vAlign w:val="center"/>
          </w:tcPr>
          <w:p w14:paraId="66CD02B4">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u w:val="single"/>
              </w:rPr>
              <w:t xml:space="preserve">   </w:t>
            </w:r>
            <w:r>
              <w:rPr>
                <w:rFonts w:hint="eastAsia" w:asciiTheme="minorEastAsia" w:hAnsiTheme="minorEastAsia" w:eastAsiaTheme="minorEastAsia" w:cstheme="minorEastAsia"/>
                <w:kern w:val="0"/>
                <w:szCs w:val="22"/>
              </w:rPr>
              <w:t>%</w:t>
            </w:r>
          </w:p>
        </w:tc>
        <w:tc>
          <w:tcPr>
            <w:tcW w:w="1283" w:type="dxa"/>
            <w:vAlign w:val="center"/>
          </w:tcPr>
          <w:p w14:paraId="61ED9638">
            <w:pPr>
              <w:widowControl/>
              <w:jc w:val="center"/>
              <w:rPr>
                <w:rFonts w:hint="eastAsia" w:asciiTheme="minorEastAsia" w:hAnsiTheme="minorEastAsia" w:eastAsiaTheme="minorEastAsia" w:cstheme="minorEastAsia"/>
                <w:kern w:val="0"/>
                <w:szCs w:val="22"/>
              </w:rPr>
            </w:pPr>
          </w:p>
        </w:tc>
        <w:tc>
          <w:tcPr>
            <w:tcW w:w="2405" w:type="dxa"/>
            <w:vAlign w:val="center"/>
          </w:tcPr>
          <w:p w14:paraId="72A8D295">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法定节假日双倍工资</w:t>
            </w:r>
          </w:p>
        </w:tc>
      </w:tr>
      <w:tr w14:paraId="374A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7" w:type="dxa"/>
            <w:vAlign w:val="center"/>
          </w:tcPr>
          <w:p w14:paraId="0D8DAE2A">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5</w:t>
            </w:r>
          </w:p>
        </w:tc>
        <w:tc>
          <w:tcPr>
            <w:tcW w:w="1600" w:type="dxa"/>
            <w:vAlign w:val="center"/>
          </w:tcPr>
          <w:p w14:paraId="0F5F2D05">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管事小时工</w:t>
            </w:r>
          </w:p>
        </w:tc>
        <w:tc>
          <w:tcPr>
            <w:tcW w:w="909" w:type="dxa"/>
            <w:vAlign w:val="center"/>
          </w:tcPr>
          <w:p w14:paraId="514ECF4A">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小时</w:t>
            </w:r>
          </w:p>
        </w:tc>
        <w:tc>
          <w:tcPr>
            <w:tcW w:w="1274" w:type="dxa"/>
            <w:vAlign w:val="center"/>
          </w:tcPr>
          <w:p w14:paraId="577325BE">
            <w:pPr>
              <w:widowControl/>
              <w:jc w:val="center"/>
              <w:rPr>
                <w:rFonts w:hint="eastAsia" w:asciiTheme="minorEastAsia" w:hAnsiTheme="minorEastAsia" w:eastAsiaTheme="minorEastAsia" w:cstheme="minorEastAsia"/>
                <w:kern w:val="0"/>
                <w:szCs w:val="22"/>
              </w:rPr>
            </w:pPr>
          </w:p>
        </w:tc>
        <w:tc>
          <w:tcPr>
            <w:tcW w:w="884" w:type="dxa"/>
            <w:vAlign w:val="center"/>
          </w:tcPr>
          <w:p w14:paraId="777BDE62">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u w:val="single"/>
              </w:rPr>
              <w:t xml:space="preserve">   </w:t>
            </w:r>
            <w:r>
              <w:rPr>
                <w:rFonts w:hint="eastAsia" w:asciiTheme="minorEastAsia" w:hAnsiTheme="minorEastAsia" w:eastAsiaTheme="minorEastAsia" w:cstheme="minorEastAsia"/>
                <w:kern w:val="0"/>
                <w:szCs w:val="22"/>
              </w:rPr>
              <w:t>%</w:t>
            </w:r>
          </w:p>
        </w:tc>
        <w:tc>
          <w:tcPr>
            <w:tcW w:w="1283" w:type="dxa"/>
            <w:vAlign w:val="center"/>
          </w:tcPr>
          <w:p w14:paraId="660F592C">
            <w:pPr>
              <w:widowControl/>
              <w:jc w:val="center"/>
              <w:rPr>
                <w:rFonts w:hint="eastAsia" w:asciiTheme="minorEastAsia" w:hAnsiTheme="minorEastAsia" w:eastAsiaTheme="minorEastAsia" w:cstheme="minorEastAsia"/>
                <w:kern w:val="0"/>
                <w:szCs w:val="22"/>
              </w:rPr>
            </w:pPr>
          </w:p>
        </w:tc>
        <w:tc>
          <w:tcPr>
            <w:tcW w:w="2405" w:type="dxa"/>
            <w:vAlign w:val="center"/>
          </w:tcPr>
          <w:p w14:paraId="75DCEBAF">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法定节假日双倍工资</w:t>
            </w:r>
          </w:p>
        </w:tc>
      </w:tr>
      <w:tr w14:paraId="641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7" w:type="dxa"/>
            <w:vAlign w:val="center"/>
          </w:tcPr>
          <w:p w14:paraId="44B6F1E6">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6</w:t>
            </w:r>
          </w:p>
        </w:tc>
        <w:tc>
          <w:tcPr>
            <w:tcW w:w="1600" w:type="dxa"/>
            <w:vAlign w:val="center"/>
          </w:tcPr>
          <w:p w14:paraId="396AD939">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餐厅小时工</w:t>
            </w:r>
          </w:p>
        </w:tc>
        <w:tc>
          <w:tcPr>
            <w:tcW w:w="909" w:type="dxa"/>
            <w:vAlign w:val="center"/>
          </w:tcPr>
          <w:p w14:paraId="531C4349">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小时</w:t>
            </w:r>
          </w:p>
        </w:tc>
        <w:tc>
          <w:tcPr>
            <w:tcW w:w="1274" w:type="dxa"/>
            <w:noWrap/>
            <w:vAlign w:val="center"/>
          </w:tcPr>
          <w:p w14:paraId="7E4E30B7">
            <w:pPr>
              <w:widowControl/>
              <w:jc w:val="center"/>
              <w:rPr>
                <w:rFonts w:hint="eastAsia" w:asciiTheme="minorEastAsia" w:hAnsiTheme="minorEastAsia" w:eastAsiaTheme="minorEastAsia" w:cstheme="minorEastAsia"/>
                <w:kern w:val="0"/>
                <w:szCs w:val="22"/>
              </w:rPr>
            </w:pPr>
          </w:p>
        </w:tc>
        <w:tc>
          <w:tcPr>
            <w:tcW w:w="884" w:type="dxa"/>
            <w:noWrap/>
            <w:vAlign w:val="center"/>
          </w:tcPr>
          <w:p w14:paraId="18AFDD96">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u w:val="single"/>
              </w:rPr>
              <w:t xml:space="preserve">   </w:t>
            </w:r>
            <w:r>
              <w:rPr>
                <w:rFonts w:hint="eastAsia" w:asciiTheme="minorEastAsia" w:hAnsiTheme="minorEastAsia" w:eastAsiaTheme="minorEastAsia" w:cstheme="minorEastAsia"/>
                <w:kern w:val="0"/>
                <w:szCs w:val="22"/>
              </w:rPr>
              <w:t>%</w:t>
            </w:r>
          </w:p>
        </w:tc>
        <w:tc>
          <w:tcPr>
            <w:tcW w:w="1283" w:type="dxa"/>
            <w:noWrap/>
            <w:vAlign w:val="center"/>
          </w:tcPr>
          <w:p w14:paraId="2DD475C5">
            <w:pPr>
              <w:widowControl/>
              <w:jc w:val="center"/>
              <w:rPr>
                <w:rFonts w:hint="eastAsia" w:asciiTheme="minorEastAsia" w:hAnsiTheme="minorEastAsia" w:eastAsiaTheme="minorEastAsia" w:cstheme="minorEastAsia"/>
                <w:kern w:val="0"/>
                <w:szCs w:val="22"/>
              </w:rPr>
            </w:pPr>
          </w:p>
        </w:tc>
        <w:tc>
          <w:tcPr>
            <w:tcW w:w="2405" w:type="dxa"/>
            <w:noWrap/>
            <w:vAlign w:val="center"/>
          </w:tcPr>
          <w:p w14:paraId="4AB6DBD6">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法定节假日双倍工资</w:t>
            </w:r>
          </w:p>
        </w:tc>
      </w:tr>
    </w:tbl>
    <w:p w14:paraId="31E84B33">
      <w:pPr>
        <w:tabs>
          <w:tab w:val="left" w:pos="900"/>
        </w:tabs>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备注： 1. 外包服务人员数量根据酒店方实际用人需求为准，服务费用据实结算。</w:t>
      </w:r>
    </w:p>
    <w:p w14:paraId="3799C143">
      <w:pPr>
        <w:tabs>
          <w:tab w:val="left" w:pos="900"/>
        </w:tabs>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sz w:val="22"/>
        </w:rPr>
        <w:t xml:space="preserve">       2.人员年龄要求55岁以下。</w:t>
      </w:r>
    </w:p>
    <w:p w14:paraId="20980A19">
      <w:pPr>
        <w:tabs>
          <w:tab w:val="left" w:pos="900"/>
        </w:tabs>
        <w:spacing w:line="400" w:lineRule="exact"/>
        <w:ind w:firstLine="442" w:firstLineChars="200"/>
        <w:rPr>
          <w:rFonts w:hint="eastAsia" w:asciiTheme="minorEastAsia" w:hAnsiTheme="minorEastAsia" w:eastAsiaTheme="minorEastAsia" w:cstheme="minorEastAsia"/>
          <w:b/>
          <w:sz w:val="22"/>
        </w:rPr>
      </w:pPr>
    </w:p>
    <w:p w14:paraId="03C823FF">
      <w:pPr>
        <w:tabs>
          <w:tab w:val="left" w:pos="900"/>
        </w:tabs>
        <w:snapToGrid w:val="0"/>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第五条 付款</w:t>
      </w:r>
    </w:p>
    <w:p w14:paraId="3019A8FB">
      <w:pPr>
        <w:tabs>
          <w:tab w:val="left" w:pos="567"/>
          <w:tab w:val="left" w:pos="1287"/>
        </w:tabs>
        <w:snapToGrid w:val="0"/>
        <w:spacing w:line="40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 xml:space="preserve">1.履约保证金 </w:t>
      </w:r>
    </w:p>
    <w:p w14:paraId="637479A0">
      <w:pPr>
        <w:tabs>
          <w:tab w:val="left" w:pos="567"/>
          <w:tab w:val="left" w:pos="1287"/>
        </w:tabs>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（1）乙方在签订合同前7天内，向甲方提供人民币</w:t>
      </w:r>
      <w:r>
        <w:rPr>
          <w:rFonts w:hint="eastAsia" w:asciiTheme="minorEastAsia" w:hAnsiTheme="minorEastAsia" w:eastAsiaTheme="minorEastAsia" w:cstheme="minorEastAsia"/>
          <w:szCs w:val="21"/>
          <w:u w:val="single"/>
        </w:rPr>
        <w:t xml:space="preserve"> 20000 </w:t>
      </w:r>
      <w:r>
        <w:rPr>
          <w:rFonts w:hint="eastAsia" w:asciiTheme="minorEastAsia" w:hAnsiTheme="minorEastAsia" w:eastAsiaTheme="minorEastAsia" w:cstheme="minorEastAsia"/>
          <w:szCs w:val="21"/>
        </w:rPr>
        <w:t>元的履约保证金</w:t>
      </w:r>
      <w:r>
        <w:rPr>
          <w:rFonts w:hint="eastAsia" w:asciiTheme="minorEastAsia" w:hAnsiTheme="minorEastAsia" w:eastAsiaTheme="minorEastAsia" w:cstheme="minorEastAsia"/>
          <w:b/>
          <w:bCs/>
          <w:szCs w:val="21"/>
        </w:rPr>
        <w:t>（要求银行转账）</w:t>
      </w:r>
      <w:r>
        <w:rPr>
          <w:rFonts w:hint="eastAsia" w:asciiTheme="minorEastAsia" w:hAnsiTheme="minorEastAsia" w:eastAsiaTheme="minorEastAsia" w:cstheme="minorEastAsia"/>
          <w:szCs w:val="21"/>
        </w:rPr>
        <w:t>，以保证乙方遵守本合同的一切条款、条件和承诺，该保证金在甲方的规定存续期间不计息。</w:t>
      </w:r>
    </w:p>
    <w:p w14:paraId="066AE42B">
      <w:pPr>
        <w:tabs>
          <w:tab w:val="left" w:pos="567"/>
          <w:tab w:val="left" w:pos="1287"/>
        </w:tabs>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（2）甲方在任何时候都有权从履约保证金中扣除因乙方违约而导致损失的金额或违约金。</w:t>
      </w:r>
    </w:p>
    <w:p w14:paraId="4DBFEE75">
      <w:pPr>
        <w:tabs>
          <w:tab w:val="left" w:pos="567"/>
          <w:tab w:val="left" w:pos="1287"/>
        </w:tabs>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服务过程中，因服务人员素质、技术水平、服务质量、现场管理经验、文明安全等都不符合投标文件中的承诺，造成现场管理混乱、服务质量和进度达不到投标文件中所承诺的要求时，甲方在任何时候都有权从履约保证金中扣除相应的金额。</w:t>
      </w:r>
    </w:p>
    <w:p w14:paraId="572BD81E">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（4）乙方当月应扣款项，优先从应付服务费中抵扣；服务费抵扣不足的差额部分，从履约保证金或履约担保中扣除；乙方</w:t>
      </w:r>
      <w:r>
        <w:rPr>
          <w:rFonts w:hint="eastAsia" w:asciiTheme="minorEastAsia" w:hAnsiTheme="minorEastAsia" w:eastAsiaTheme="minorEastAsia" w:cstheme="minorEastAsia"/>
          <w:szCs w:val="21"/>
          <w:lang w:bidi="ar"/>
        </w:rPr>
        <w:t>应在接到扣除履约保证金通知后一周内补足所扣差额，以保证承包期间履约保证金的完整，</w:t>
      </w:r>
      <w:r>
        <w:rPr>
          <w:rFonts w:hint="eastAsia" w:asciiTheme="minorEastAsia" w:hAnsiTheme="minorEastAsia" w:eastAsiaTheme="minorEastAsia" w:cstheme="minorEastAsia"/>
          <w:szCs w:val="21"/>
        </w:rPr>
        <w:t>未补足的，甲方有权从下一周期应付服务费中扣除用于补足履约保证金。</w:t>
      </w:r>
    </w:p>
    <w:p w14:paraId="480EDA07">
      <w:pPr>
        <w:tabs>
          <w:tab w:val="left" w:pos="567"/>
          <w:tab w:val="left" w:pos="1287"/>
        </w:tabs>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（5）合同结束，且乙方所有合同义务都已履行完毕后，无涉及甲方的应付而未付金额或其他违约行为的，甲方将在完成公司内部审核流程后的 1 个月内，无息向乙方退还履约保证金或解除履约担保。</w:t>
      </w:r>
    </w:p>
    <w:p w14:paraId="7CCF244B">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2.本合同项下所有款项均以人民币支付。</w:t>
      </w:r>
    </w:p>
    <w:p w14:paraId="31B044B6">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3.甲、乙双方账户信息：</w:t>
      </w:r>
    </w:p>
    <w:p w14:paraId="5248D082">
      <w:pPr>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（1）乙方信息：</w:t>
      </w:r>
    </w:p>
    <w:p w14:paraId="4E73F5A0">
      <w:pPr>
        <w:adjustRightInd w:val="0"/>
        <w:snapToGrid w:val="0"/>
        <w:spacing w:line="400" w:lineRule="exact"/>
        <w:ind w:firstLine="660" w:firstLineChars="3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收款帐号：</w:t>
      </w:r>
    </w:p>
    <w:p w14:paraId="51A2D244">
      <w:pPr>
        <w:adjustRightInd w:val="0"/>
        <w:snapToGrid w:val="0"/>
        <w:spacing w:line="400" w:lineRule="exact"/>
        <w:ind w:firstLine="660" w:firstLineChars="3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账 户 名：</w:t>
      </w:r>
    </w:p>
    <w:p w14:paraId="6E695E0E">
      <w:pPr>
        <w:adjustRightInd w:val="0"/>
        <w:snapToGrid w:val="0"/>
        <w:spacing w:line="400" w:lineRule="exact"/>
        <w:ind w:firstLine="660" w:firstLineChars="3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开 户 行：</w:t>
      </w:r>
    </w:p>
    <w:p w14:paraId="5B4A39BE">
      <w:pPr>
        <w:numPr>
          <w:ilvl w:val="0"/>
          <w:numId w:val="26"/>
        </w:numPr>
        <w:adjustRightInd w:val="0"/>
        <w:snapToGrid w:val="0"/>
        <w:spacing w:line="400" w:lineRule="exact"/>
        <w:ind w:left="420" w:left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甲 方 信 息：</w:t>
      </w:r>
    </w:p>
    <w:p w14:paraId="49961533">
      <w:pPr>
        <w:adjustRightInd w:val="0"/>
        <w:snapToGrid w:val="0"/>
        <w:spacing w:line="400" w:lineRule="exact"/>
        <w:ind w:firstLine="660" w:firstLineChars="3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名 称： 温州市交发文旅产业有限公司洞头酒店管理分公司</w:t>
      </w:r>
    </w:p>
    <w:p w14:paraId="1DB823F0">
      <w:pPr>
        <w:adjustRightInd w:val="0"/>
        <w:snapToGrid w:val="0"/>
        <w:spacing w:line="400" w:lineRule="exact"/>
        <w:ind w:firstLine="660" w:firstLineChars="3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甲方纳税人识别号： 91330322MAEKY74F3L</w:t>
      </w:r>
    </w:p>
    <w:p w14:paraId="3C4782EF">
      <w:pPr>
        <w:tabs>
          <w:tab w:val="left" w:pos="900"/>
        </w:tabs>
        <w:spacing w:line="400" w:lineRule="exact"/>
        <w:ind w:firstLine="660" w:firstLineChars="3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地   址：  浙江省温州市洞头区东屏街道临海路6号</w:t>
      </w:r>
    </w:p>
    <w:p w14:paraId="1E76CF03">
      <w:pPr>
        <w:adjustRightInd w:val="0"/>
        <w:snapToGrid w:val="0"/>
        <w:spacing w:line="400" w:lineRule="exact"/>
        <w:ind w:left="420" w:leftChars="200" w:firstLine="220" w:firstLineChars="1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电  话： </w:t>
      </w:r>
    </w:p>
    <w:p w14:paraId="4EF064CE">
      <w:pPr>
        <w:adjustRightInd w:val="0"/>
        <w:snapToGrid w:val="0"/>
        <w:spacing w:line="400" w:lineRule="exact"/>
        <w:ind w:left="420" w:leftChars="200" w:firstLine="220" w:firstLineChars="1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开户行： 中国银行股份有限公司温州市分行</w:t>
      </w:r>
    </w:p>
    <w:p w14:paraId="77580DF2">
      <w:pPr>
        <w:adjustRightInd w:val="0"/>
        <w:snapToGrid w:val="0"/>
        <w:spacing w:line="400" w:lineRule="exact"/>
        <w:ind w:left="420" w:leftChars="200" w:firstLine="220" w:firstLineChars="1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账 号：3545 8638 3087</w:t>
      </w:r>
    </w:p>
    <w:p w14:paraId="081BF853">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4.付款方式：</w:t>
      </w:r>
    </w:p>
    <w:p w14:paraId="341241EC">
      <w:pPr>
        <w:tabs>
          <w:tab w:val="left" w:pos="900"/>
        </w:tabs>
        <w:adjustRightInd w:val="0"/>
        <w:snapToGrid w:val="0"/>
        <w:spacing w:line="400" w:lineRule="exact"/>
        <w:ind w:firstLine="440" w:firstLineChars="200"/>
        <w:rPr>
          <w:rFonts w:hint="eastAsia" w:asciiTheme="minorEastAsia" w:hAnsiTheme="minorEastAsia" w:eastAsiaTheme="minorEastAsia" w:cstheme="minorEastAsia"/>
          <w:bCs/>
          <w:kern w:val="0"/>
          <w:sz w:val="22"/>
        </w:rPr>
      </w:pPr>
      <w:r>
        <w:rPr>
          <w:rFonts w:hint="eastAsia" w:asciiTheme="minorEastAsia" w:hAnsiTheme="minorEastAsia" w:eastAsiaTheme="minorEastAsia" w:cstheme="minorEastAsia"/>
          <w:bCs/>
          <w:kern w:val="0"/>
          <w:sz w:val="22"/>
        </w:rPr>
        <w:t>（1）每月10日前，甲乙双方核对上月服务费用。经甲方核对无误，且甲方每月在收到乙方提供的考勤表及符合国家规定的增值税专用发票之后15个工作日内，向乙方支付相关费用。</w:t>
      </w:r>
    </w:p>
    <w:p w14:paraId="3B77D64C">
      <w:pPr>
        <w:tabs>
          <w:tab w:val="left" w:pos="900"/>
        </w:tabs>
        <w:adjustRightInd w:val="0"/>
        <w:snapToGrid w:val="0"/>
        <w:spacing w:line="400" w:lineRule="exact"/>
        <w:ind w:firstLine="440" w:firstLineChars="200"/>
        <w:rPr>
          <w:rFonts w:hint="eastAsia" w:asciiTheme="minorEastAsia" w:hAnsiTheme="minorEastAsia" w:eastAsiaTheme="minorEastAsia" w:cstheme="minorEastAsia"/>
          <w:bCs/>
          <w:kern w:val="0"/>
          <w:sz w:val="22"/>
        </w:rPr>
      </w:pPr>
      <w:r>
        <w:rPr>
          <w:rFonts w:hint="eastAsia" w:asciiTheme="minorEastAsia" w:hAnsiTheme="minorEastAsia" w:eastAsiaTheme="minorEastAsia" w:cstheme="minorEastAsia"/>
          <w:bCs/>
          <w:kern w:val="0"/>
          <w:sz w:val="22"/>
        </w:rPr>
        <w:t>（2）因乙方原因或工作需要产生的乙方委派人员个人应向甲方支付的费用或乙方依本合同约定应向甲方支付的违约金，甲方有权自应付乙方的服务费用中直接扣除。</w:t>
      </w:r>
    </w:p>
    <w:p w14:paraId="7F64FA19">
      <w:pPr>
        <w:tabs>
          <w:tab w:val="left" w:pos="900"/>
        </w:tabs>
        <w:spacing w:line="400" w:lineRule="exact"/>
        <w:ind w:firstLine="440"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Cs/>
          <w:kern w:val="0"/>
          <w:sz w:val="22"/>
        </w:rPr>
        <w:t>（3）甲方付款的条件：在乙方以及乙方委派人员按约履行服务义务并无任何违约行为，且经甲乙双方共同核对上月服务费用无误的前提下，甲方在收到乙方开具的增值税专用发票后，于15个工作日内支付上月的服务费。</w:t>
      </w:r>
    </w:p>
    <w:p w14:paraId="5FDB7EC7">
      <w:pPr>
        <w:tabs>
          <w:tab w:val="left" w:pos="900"/>
        </w:tabs>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第六条  甲乙双方的权利与义务</w:t>
      </w:r>
    </w:p>
    <w:p w14:paraId="029B6F24">
      <w:pPr>
        <w:tabs>
          <w:tab w:val="left" w:pos="900"/>
        </w:tabs>
        <w:spacing w:line="400" w:lineRule="exact"/>
        <w:ind w:firstLine="442" w:firstLineChars="200"/>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（一）甲方的权力义务</w:t>
      </w:r>
    </w:p>
    <w:p w14:paraId="20035933">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甲方有监督、检查乙方及乙方派出的服务人员履职本合同情况的权利，如有必要有权要求乙方调整或更换不合格服务人员，乙方不得以任何理由拒绝，同时不得影响服务工作和服务质量；如有因此影响服务工作或给甲方造成损失的，由乙方承担全部责任，甲方有权要求乙方予以赔偿，从乙方履约保证金中予以相应扣除。如乙方连续三次未能提供符合甲方要求的服务人员，甲方有权直接无条件解除合同，同时有权扣除全部履约保证金作为补偿，而不承担任何违约责任。</w:t>
      </w:r>
    </w:p>
    <w:p w14:paraId="3B81B7F2">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合同履行期间，甲方亦有权通过乙方现场代表对乙方委派人员的具体服务内容进行安排以及有权监督、检查、考核乙方的服务。</w:t>
      </w:r>
    </w:p>
    <w:p w14:paraId="7A7A9527">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2.甲方有权根据酒店服务标准审核并要求乙方修改人员委派方案和工作服务标准，乙方派出的为甲方提供服务的人员，必须符合有关规定、符合投标承诺，符合本合同约定的甲方服务要求。 </w:t>
      </w:r>
    </w:p>
    <w:p w14:paraId="4BB8FBFE">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甲方须按合同约定的时间、方式以及乙方服务人员的实际履职情况向乙方支付服务费。如发生不可抗力，甲方有权不支付不可抗力持续期间（即自不可抗力发生之日起至不可抗力结束之日止）的费用，乙方对此无任何异议，同时乙方应自行负担相关服务人员的劳资等费用。</w:t>
      </w:r>
    </w:p>
    <w:p w14:paraId="12A81ECF">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4.甲方与乙方派出的服务人员无劳动合同关系，乙方派出的服务人员发生劳资纠纷由乙方负责，与甲方无关。乙方须为服务人员投保相关保险，如发生意外伤害一切责任由乙方承担。</w:t>
      </w:r>
    </w:p>
    <w:p w14:paraId="56B2B561">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甲方支持乙方开展相关服务工作，甲方承诺可为乙方服务人员提供工作时间内的工作餐、工作制服，免费为乙方服务人员提供水电使用便利及工作中所需基本设备、药剂、工具等。乙方员工工作餐就餐地点在甲方所属的员工餐厅内，但乙方委派人员不得在非当班的休息日来甲方员工餐厅就餐。</w:t>
      </w:r>
    </w:p>
    <w:p w14:paraId="20E51D56">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甲方对本项目投入服务人员有严格要求，有权随时对乙方投入本项目的岗位人员数量提出增减要求并进行考核，乙方应无条件予以配合。如甲方发现乙方提供岗位人数不足，需及时补齐，拒不整改态度恶劣的甲方有权无条件终止合同，履约保证金不予退还，同时甲方不承担任何违约责任。</w:t>
      </w:r>
    </w:p>
    <w:p w14:paraId="10A33094">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7.甲方须按合同约定及乙方服务人员的实际履职情况向乙方支付服务费。</w:t>
      </w:r>
    </w:p>
    <w:p w14:paraId="5F8B6A6A">
      <w:pPr>
        <w:tabs>
          <w:tab w:val="left" w:pos="900"/>
        </w:tabs>
        <w:spacing w:line="400" w:lineRule="exact"/>
        <w:ind w:firstLine="442" w:firstLineChars="200"/>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（二）乙方的权力义务</w:t>
      </w:r>
    </w:p>
    <w:p w14:paraId="027E5DBF">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乙方作为甲方聘请的服务商，保证在本合同履行期间乙方及其委派的服务员等服务人员始终具有签署及履行本合同的资格和能力，若本合同的签署或履行需要政府有关部门的任何批准或手续，乙方应取得上述批准或完成有关手续，并承担由此引起的相关费用。乙方在本合同履行期间应随时配合甲方要求出示上述资格证明等原件，并向甲方提供相应复印件(需加盖乙方印章)。</w:t>
      </w:r>
    </w:p>
    <w:p w14:paraId="44DF17D1">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乙方应按合同条款规定提供符合条件的服务人员为甲方提供服务。乙方对乙方人员（包括派驻至甲方酒店的委派人员）拥有绝对的控制及指挥权，甲方与前述人员没有任何劳动合同关系。乙方应合法用工，负责为根据本合同要求向甲方提供服务的人员建立劳动关系，签订劳动合同，按照法律规定为上述人员缴纳社会保险、支付劳动报酬以及其它任何法定的社会福利和保障等，负责上述人员相关资格证、健康证、上岗证等证件的办理及年审并承担相关的费用，并负责劳动合同的管理工作及与劳动关系相关的一切事项（包括但不限于劳动争议等）,对该等人员承担劳动法律法规下的用人单位责任和义务。</w:t>
      </w:r>
    </w:p>
    <w:p w14:paraId="3DA185F2">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3.乙方不得雇佣不符合法律法规的人员，如不得雇佣未成年人、患有严重传染性疾病人员，</w:t>
      </w:r>
      <w:r>
        <w:rPr>
          <w:rFonts w:hint="eastAsia" w:ascii="宋体" w:hAnsi="宋体" w:cs="宋体"/>
          <w:sz w:val="22"/>
          <w:szCs w:val="22"/>
        </w:rPr>
        <w:t>选派的服务人员应符合甲方用人标准，无违法犯罪前科，经过正规的培训，并向甲方提供基本的个人信息，甲方可以随时进行抽查。</w:t>
      </w:r>
      <w:r>
        <w:rPr>
          <w:rFonts w:hint="eastAsia" w:asciiTheme="minorEastAsia" w:hAnsiTheme="minorEastAsia" w:eastAsiaTheme="minorEastAsia" w:cstheme="minorEastAsia"/>
          <w:sz w:val="22"/>
        </w:rPr>
        <w:t>否则由此产生一切责任由乙方承担。如造成甲方损失，乙方应全额赔偿。</w:t>
      </w:r>
    </w:p>
    <w:p w14:paraId="789C574C">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乙方保证所有乙方用于为甲方提供服务的设施及工具（如有）应在任何时候都处于乙方的控制之下，并且在任何时候都应当处于良好状态以适于履行本协议规定的义务。乙方应自行承担操作上述设施及工具的一切费用而不能要求甲方为其支付。</w:t>
      </w:r>
    </w:p>
    <w:p w14:paraId="20CDFC44">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乙方保证乙方委派人员应符合甲方关于员工仪容仪表的要求以及甲方标准。乙方应对所有委派服务人员进行职业道德规范、工作任务、技能培训、应达到的工作要求、应注意的安全事项、应遵守的各项纪律的培训及定期职业培训和技能考核，提高服务人员的专业水平。乙方应根据酒店要求和政策制定相应标准操作流程，应定期提供培训报告和培训计划，除了承担必要的安全责任，还应能更好的服务好每一位客人，维护甲方的良好声誉与形象。</w:t>
      </w:r>
    </w:p>
    <w:p w14:paraId="195387B6">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bookmarkStart w:id="81" w:name="OLE_LINK1"/>
      <w:r>
        <w:rPr>
          <w:rFonts w:hint="eastAsia" w:asciiTheme="minorEastAsia" w:hAnsiTheme="minorEastAsia" w:eastAsiaTheme="minorEastAsia" w:cstheme="minorEastAsia"/>
          <w:sz w:val="22"/>
        </w:rPr>
        <w:t>6.乙方应依法为所有服务人员办理相关的社会保险（含工伤保险），及为所有服务人员购买雇主责任险、人身意外伤害保险、公众责任保险等补充保险，且相关保险应在本项目服务期限内持续有效，同时应符合：</w:t>
      </w:r>
    </w:p>
    <w:p w14:paraId="3489FDC7">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6.1 当发生保险事故时，乙方应立即通知甲方，并负责向保险公司申请理赔，甲方应提供必要的协助。</w:t>
      </w:r>
    </w:p>
    <w:p w14:paraId="2CD978A9">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6.2对于超出保险赔偿范围的损失，由乙方承担全部赔偿责任，甲方不承担任何额外赔偿义务。</w:t>
      </w:r>
    </w:p>
    <w:p w14:paraId="2DF6BC2B">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6.3 如因乙方未按合同约定购买或足额购买保险导致的损失，由乙方承担全部赔偿责任，包括但不限于：</w:t>
      </w:r>
    </w:p>
    <w:p w14:paraId="6D9D901D">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（1）服务人员工伤赔偿；</w:t>
      </w:r>
    </w:p>
    <w:p w14:paraId="50AEA836">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（2）第三方人身伤害或财产损失赔偿；</w:t>
      </w:r>
    </w:p>
    <w:p w14:paraId="57780D3C">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（3）因保险缺失导致的行政处罚；</w:t>
      </w:r>
    </w:p>
    <w:p w14:paraId="33A0AD09">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（4）如因乙方未购买或足额购买保险导致甲方遭受损失的，乙方应赔偿甲方的全部损失，包括但不限于直接经济损失、间接经济损失及律师费、诉讼费等维权费用。</w:t>
      </w:r>
    </w:p>
    <w:p w14:paraId="361AFDE0">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6.4如乙方未按合同约定购买保险，或因保险缺失导致行政处罚严重损害甲方声誉，甲方有权单方面解除合同，并要求乙方承担由此造成的全部损失。</w:t>
      </w:r>
      <w:bookmarkEnd w:id="81"/>
    </w:p>
    <w:p w14:paraId="448A386A">
      <w:pPr>
        <w:tabs>
          <w:tab w:val="left" w:pos="900"/>
        </w:tabs>
        <w:spacing w:line="400" w:lineRule="exact"/>
        <w:ind w:firstLine="440" w:firstLineChars="200"/>
        <w:rPr>
          <w:rFonts w:hint="eastAsia" w:ascii="宋体" w:hAnsi="宋体" w:cs="宋体"/>
          <w:sz w:val="22"/>
          <w:szCs w:val="22"/>
        </w:rPr>
      </w:pPr>
      <w:r>
        <w:rPr>
          <w:rFonts w:hint="eastAsia" w:ascii="宋体" w:hAnsi="宋体" w:cs="宋体"/>
          <w:sz w:val="22"/>
          <w:szCs w:val="22"/>
        </w:rPr>
        <w:t>7.乙方派驻的服务人员请事假、病假等其它原因不能到岗的，需经甲方的主管负责人同意方可离开，并由乙方及时派合格人员顶岗顶班，保证服务人员在服务期间到岗率为100%。</w:t>
      </w:r>
    </w:p>
    <w:p w14:paraId="05A323A3">
      <w:pPr>
        <w:tabs>
          <w:tab w:val="left" w:pos="900"/>
        </w:tabs>
        <w:spacing w:line="400" w:lineRule="exact"/>
        <w:ind w:firstLine="440" w:firstLineChars="200"/>
        <w:rPr>
          <w:rFonts w:hint="eastAsia" w:ascii="宋体" w:hAnsi="宋体" w:cs="宋体"/>
          <w:sz w:val="22"/>
          <w:szCs w:val="22"/>
        </w:rPr>
      </w:pPr>
      <w:r>
        <w:rPr>
          <w:rFonts w:hint="eastAsia" w:ascii="宋体" w:hAnsi="宋体" w:cs="宋体"/>
          <w:sz w:val="22"/>
          <w:szCs w:val="22"/>
        </w:rPr>
        <w:t>8.乙方服务人员进驻甲方场地后，对甲方提供的设备实施予以合理使用，不得破坏、损毁、偷盗，如甲方财产受损，甲方有权要求乙方赔偿，并更换服务人员，情节严重的或涉及刑事案件，由乙方全权负责处理。</w:t>
      </w:r>
    </w:p>
    <w:p w14:paraId="5E9AD19F">
      <w:pPr>
        <w:tabs>
          <w:tab w:val="left" w:pos="900"/>
        </w:tabs>
        <w:spacing w:line="400" w:lineRule="exact"/>
        <w:ind w:firstLine="440" w:firstLineChars="200"/>
        <w:rPr>
          <w:rFonts w:hint="eastAsia" w:ascii="宋体" w:hAnsi="宋体" w:cs="宋体"/>
          <w:sz w:val="22"/>
          <w:szCs w:val="22"/>
        </w:rPr>
      </w:pPr>
      <w:r>
        <w:rPr>
          <w:rFonts w:hint="eastAsia" w:asciiTheme="minorEastAsia" w:hAnsiTheme="minorEastAsia" w:eastAsiaTheme="minorEastAsia" w:cstheme="minorEastAsia"/>
          <w:sz w:val="22"/>
        </w:rPr>
        <w:t>9.乙方保证所有乙方用于为甲方提供服务的设施及工具应在任何时候都处于乙方的控制之下，并且在任何时候都应当处于良好状态以适于履行本协议规定的义务。乙方应自行承担操作上述设施及工具的一切费用而不能要求甲方为其支付。</w:t>
      </w:r>
    </w:p>
    <w:p w14:paraId="74689D72">
      <w:pPr>
        <w:tabs>
          <w:tab w:val="left" w:pos="900"/>
        </w:tabs>
        <w:spacing w:line="400" w:lineRule="exact"/>
        <w:ind w:firstLine="440" w:firstLineChars="200"/>
        <w:rPr>
          <w:rFonts w:hint="eastAsia" w:ascii="宋体" w:hAnsi="宋体" w:cs="宋体"/>
          <w:sz w:val="22"/>
          <w:szCs w:val="22"/>
        </w:rPr>
      </w:pPr>
      <w:r>
        <w:rPr>
          <w:rFonts w:hint="eastAsia" w:ascii="宋体" w:hAnsi="宋体" w:cs="宋体"/>
          <w:sz w:val="22"/>
          <w:szCs w:val="22"/>
        </w:rPr>
        <w:t>10.乙方及服务人员团队应具备良好的职业操守，应维护甲方正常运营及良好形象；乙方团队的服务人员脱离岗位、严重失职、与旅客冲突或其他行为对甲方利益、形象造成重大损害的，由乙方进行赔偿。违反相关法律法规的，移交相关部门，并追究其法律责任。</w:t>
      </w:r>
    </w:p>
    <w:p w14:paraId="6C6D12B3">
      <w:pPr>
        <w:tabs>
          <w:tab w:val="left" w:pos="900"/>
        </w:tabs>
        <w:spacing w:line="400" w:lineRule="exact"/>
        <w:ind w:firstLine="440" w:firstLineChars="200"/>
        <w:rPr>
          <w:rFonts w:hint="eastAsia" w:ascii="宋体" w:hAnsi="宋体" w:cs="宋体"/>
          <w:sz w:val="22"/>
          <w:szCs w:val="22"/>
        </w:rPr>
      </w:pPr>
      <w:r>
        <w:rPr>
          <w:rFonts w:hint="eastAsia" w:ascii="宋体" w:hAnsi="宋体" w:cs="宋体"/>
          <w:sz w:val="22"/>
          <w:szCs w:val="22"/>
        </w:rPr>
        <w:t>11.乙方服务人员入场后，乙方不得随意调动人员，如需调动须提前3个工作日告知甲方，并经甲方同意后方可调动，更换人员的资历不应低于被更换的人员。</w:t>
      </w:r>
    </w:p>
    <w:p w14:paraId="2F7359A2">
      <w:pPr>
        <w:tabs>
          <w:tab w:val="left" w:pos="900"/>
        </w:tabs>
        <w:spacing w:line="400" w:lineRule="exact"/>
        <w:ind w:firstLine="440" w:firstLineChars="200"/>
        <w:rPr>
          <w:rFonts w:hint="eastAsia" w:ascii="宋体" w:hAnsi="宋体" w:cs="宋体"/>
          <w:sz w:val="22"/>
          <w:szCs w:val="22"/>
        </w:rPr>
      </w:pPr>
      <w:r>
        <w:rPr>
          <w:rFonts w:hint="eastAsia" w:ascii="宋体" w:hAnsi="宋体" w:cs="宋体"/>
          <w:sz w:val="22"/>
          <w:szCs w:val="22"/>
        </w:rPr>
        <w:t>12.乙方与其提供的服务人员之间各项费用的结算及发生的各种争议，系其内部事务，由乙方自行承担所有的法律责任及赔偿责任，与甲方无关。</w:t>
      </w:r>
    </w:p>
    <w:p w14:paraId="77427863">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13.乙方应定期或不定期派项目负责人到甲方进行巡查，对服务中存在的问题及时予以解决，如遇上级部门对甲方进行相关检查，乙方应全力协助，在乙方工作范围内配合甲方顺利通过上级部门检查。尽力为甲方提供最佳服务。</w:t>
      </w:r>
    </w:p>
    <w:p w14:paraId="4C115451">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14.乙方应对因本合同的履行知悉的甲方的信息、资料，应予以保密，且不得用于本合同之外的其他目的。</w:t>
      </w:r>
    </w:p>
    <w:p w14:paraId="4FDC860F">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15.</w:t>
      </w:r>
      <w:r>
        <w:rPr>
          <w:rFonts w:hint="eastAsia" w:ascii="宋体" w:hAnsi="宋体" w:cs="宋体"/>
          <w:sz w:val="22"/>
          <w:szCs w:val="22"/>
        </w:rPr>
        <w:t>乙方及乙方服务人员应当学习、熟悉、严格遵守并按照甲方的要求和管理制度，</w:t>
      </w:r>
      <w:r>
        <w:rPr>
          <w:rFonts w:hint="eastAsia" w:asciiTheme="minorEastAsia" w:hAnsiTheme="minorEastAsia" w:eastAsiaTheme="minorEastAsia" w:cstheme="minorEastAsia"/>
          <w:sz w:val="22"/>
        </w:rPr>
        <w:t>按本合同约定提供服务，乙方的服务标准应同时符合甲方的规章制度要求，如因乙方提供服务不合格或违反本合同约定，每发现一次，甲方可相应扣减服务费500元：同时乙方应在甲方要求的期限内予以改正：如乙方逾期整改或整改不到位的，甲方可以解除本合同。</w:t>
      </w:r>
    </w:p>
    <w:p w14:paraId="5A0FD719">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宋体" w:hAnsi="宋体" w:cs="宋体"/>
          <w:sz w:val="22"/>
          <w:szCs w:val="22"/>
        </w:rPr>
        <w:t>16.乙方应当按照甲方管理制度要求，负责乙方服务人员的实时考勤记录，并经甲方负责人签字确认。</w:t>
      </w:r>
    </w:p>
    <w:p w14:paraId="2CBBB845">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17.乙方及其人员应积极履行本合同约定义务，保证服务质量，若因乙方及乙方人员原因导致发生任何人员伤亡或财产损失事故的，乙方应赔偿全部损失(包括伤亡人员索赔金额、不限于甲方支付的律师费、调查取证费、诉讼费等)。</w:t>
      </w:r>
    </w:p>
    <w:p w14:paraId="3898EEE8">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18.未经甲方事先书面同意，乙方不得向任何第三方外包或分包其在本协议下提供服务义务的任何部分。即使经甲方事先书面同意，乙方仍应当对任何第三方所外包或分包的本协议项下的服务的任何部分向甲方直接承担所有责任。</w:t>
      </w:r>
    </w:p>
    <w:p w14:paraId="5E120AD4">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19.本协议项下，凡因乙方违反约定或乙方、乙方人员原因而直接或间接引发的所有索赔、损失、责任、费用、开支、判决和/或仲裁裁决所认定的费用(包括但不限于律师费、诉讼费/仲裁费、行政处罚及其他法律程序费用),乙方应对甲方进行赔偿，并自费使甲方免受损害。</w:t>
      </w:r>
    </w:p>
    <w:p w14:paraId="75364AF8">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20.乙方所有人员的基本交通、住宿、通讯等费用由乙方自行解决。</w:t>
      </w:r>
    </w:p>
    <w:p w14:paraId="3EE6F1C6">
      <w:pPr>
        <w:tabs>
          <w:tab w:val="left" w:pos="900"/>
        </w:tabs>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第七条  质量保证</w:t>
      </w:r>
    </w:p>
    <w:p w14:paraId="3CD5FF23">
      <w:pPr>
        <w:tabs>
          <w:tab w:val="left" w:pos="900"/>
        </w:tabs>
        <w:spacing w:line="400" w:lineRule="exact"/>
        <w:ind w:firstLine="440" w:firstLineChars="200"/>
        <w:rPr>
          <w:rFonts w:hint="eastAsia" w:asciiTheme="minorEastAsia" w:hAnsiTheme="minorEastAsia" w:eastAsiaTheme="minorEastAsia" w:cstheme="minorEastAsia"/>
          <w:bCs/>
          <w:kern w:val="0"/>
          <w:sz w:val="22"/>
        </w:rPr>
      </w:pPr>
      <w:r>
        <w:rPr>
          <w:rFonts w:hint="eastAsia" w:asciiTheme="minorEastAsia" w:hAnsiTheme="minorEastAsia" w:eastAsiaTheme="minorEastAsia" w:cstheme="minorEastAsia"/>
          <w:sz w:val="22"/>
        </w:rPr>
        <w:t>1.乙方确保乙方服务人员遵守甲方管理制度和规定，甲方管理人员有权根据酒店各项制度及酒店运营实际情况，最终确定乙方的工作量，并按实结算</w:t>
      </w:r>
      <w:r>
        <w:rPr>
          <w:rFonts w:hint="eastAsia" w:asciiTheme="minorEastAsia" w:hAnsiTheme="minorEastAsia" w:eastAsiaTheme="minorEastAsia" w:cstheme="minorEastAsia"/>
          <w:bCs/>
          <w:kern w:val="0"/>
          <w:sz w:val="22"/>
        </w:rPr>
        <w:t>。</w:t>
      </w:r>
    </w:p>
    <w:p w14:paraId="78A9C31E">
      <w:pPr>
        <w:tabs>
          <w:tab w:val="left" w:pos="900"/>
        </w:tabs>
        <w:spacing w:line="400" w:lineRule="exact"/>
        <w:ind w:firstLine="440" w:firstLineChars="200"/>
        <w:rPr>
          <w:rFonts w:hint="eastAsia" w:asciiTheme="minorEastAsia" w:hAnsiTheme="minorEastAsia" w:eastAsiaTheme="minorEastAsia" w:cstheme="minorEastAsia"/>
          <w:bCs/>
          <w:kern w:val="0"/>
          <w:sz w:val="22"/>
        </w:rPr>
      </w:pPr>
      <w:r>
        <w:rPr>
          <w:rFonts w:hint="eastAsia" w:asciiTheme="minorEastAsia" w:hAnsiTheme="minorEastAsia" w:eastAsiaTheme="minorEastAsia" w:cstheme="minorEastAsia"/>
          <w:bCs/>
          <w:kern w:val="0"/>
          <w:sz w:val="22"/>
        </w:rPr>
        <w:t>2.乙方及服务人员需认真完成酒店服务标准所规定的作业项目和标准，确保卫生质量，达到甲方客人满意。</w:t>
      </w:r>
    </w:p>
    <w:p w14:paraId="23AF5B33">
      <w:pPr>
        <w:spacing w:line="400" w:lineRule="exact"/>
        <w:ind w:firstLine="440" w:firstLineChars="200"/>
        <w:rPr>
          <w:rFonts w:hint="eastAsia" w:asciiTheme="minorEastAsia" w:hAnsiTheme="minorEastAsia" w:eastAsiaTheme="minorEastAsia" w:cstheme="minorEastAsia"/>
          <w:bCs/>
          <w:kern w:val="0"/>
          <w:sz w:val="22"/>
        </w:rPr>
      </w:pPr>
      <w:r>
        <w:rPr>
          <w:rFonts w:hint="eastAsia" w:asciiTheme="minorEastAsia" w:hAnsiTheme="minorEastAsia" w:eastAsiaTheme="minorEastAsia" w:cstheme="minorEastAsia"/>
          <w:bCs/>
          <w:kern w:val="0"/>
          <w:sz w:val="22"/>
        </w:rPr>
        <w:t>3.乙方服务人员需统一着装（服务人员制服由酒店提供、服务人员离职需归还工服并办好离职手续方可离店），衣帽整洁，佩戴名牌，遵守甲方的工作安全守则及客房部相关规定。</w:t>
      </w:r>
    </w:p>
    <w:p w14:paraId="194A6C67">
      <w:pPr>
        <w:spacing w:line="400" w:lineRule="exact"/>
        <w:ind w:firstLine="440" w:firstLineChars="200"/>
        <w:rPr>
          <w:rFonts w:hint="eastAsia" w:asciiTheme="minorEastAsia" w:hAnsiTheme="minorEastAsia" w:eastAsiaTheme="minorEastAsia" w:cstheme="minorEastAsia"/>
          <w:bCs/>
          <w:kern w:val="0"/>
          <w:sz w:val="22"/>
        </w:rPr>
      </w:pPr>
      <w:r>
        <w:rPr>
          <w:rFonts w:hint="eastAsia" w:asciiTheme="minorEastAsia" w:hAnsiTheme="minorEastAsia" w:eastAsiaTheme="minorEastAsia" w:cstheme="minorEastAsia"/>
          <w:bCs/>
          <w:kern w:val="0"/>
          <w:sz w:val="22"/>
        </w:rPr>
        <w:t>4.乙方服务人员在工作期间不得擅自离开工作岗位，甲方有权按甲方的工作标准进行检查。</w:t>
      </w:r>
    </w:p>
    <w:p w14:paraId="572D59B9">
      <w:pPr>
        <w:spacing w:line="400" w:lineRule="exact"/>
        <w:ind w:firstLine="440" w:firstLineChars="200"/>
        <w:rPr>
          <w:rFonts w:hint="eastAsia" w:asciiTheme="minorEastAsia" w:hAnsiTheme="minorEastAsia" w:eastAsiaTheme="minorEastAsia" w:cstheme="minorEastAsia"/>
          <w:bCs/>
          <w:kern w:val="0"/>
          <w:sz w:val="22"/>
        </w:rPr>
      </w:pPr>
      <w:r>
        <w:rPr>
          <w:rFonts w:hint="eastAsia" w:asciiTheme="minorEastAsia" w:hAnsiTheme="minorEastAsia" w:eastAsiaTheme="minorEastAsia" w:cstheme="minorEastAsia"/>
          <w:bCs/>
          <w:kern w:val="0"/>
          <w:sz w:val="22"/>
        </w:rPr>
        <w:t>5.乙方教育服务人员需爱护酒店各种设施，注意节约：包括不仅限于节水节电、合理使用甲方提供的其他工具、药剂、消耗品。</w:t>
      </w:r>
    </w:p>
    <w:p w14:paraId="01D7F1CA">
      <w:pPr>
        <w:spacing w:line="400" w:lineRule="exact"/>
        <w:ind w:firstLine="440" w:firstLineChars="200"/>
        <w:rPr>
          <w:rFonts w:hint="eastAsia" w:asciiTheme="minorEastAsia" w:hAnsiTheme="minorEastAsia" w:eastAsiaTheme="minorEastAsia" w:cstheme="minorEastAsia"/>
          <w:bCs/>
          <w:kern w:val="0"/>
          <w:sz w:val="22"/>
        </w:rPr>
      </w:pPr>
      <w:r>
        <w:rPr>
          <w:rFonts w:hint="eastAsia" w:asciiTheme="minorEastAsia" w:hAnsiTheme="minorEastAsia" w:eastAsiaTheme="minorEastAsia" w:cstheme="minorEastAsia"/>
          <w:bCs/>
          <w:kern w:val="0"/>
          <w:sz w:val="22"/>
        </w:rPr>
        <w:t>6.乙方在作业中应严格要求其服务人员，应做好相关培训工作，并做好各项防护措施，不得擅自挪用甲方的物品及财务。乙方服务人员在工作中不可泄漏甲方客人的任何信息及客人相关资料。</w:t>
      </w:r>
    </w:p>
    <w:p w14:paraId="54639538">
      <w:pPr>
        <w:spacing w:line="400" w:lineRule="exact"/>
        <w:ind w:firstLine="440" w:firstLineChars="200"/>
        <w:rPr>
          <w:rFonts w:hint="eastAsia" w:asciiTheme="minorEastAsia" w:hAnsiTheme="minorEastAsia" w:eastAsiaTheme="minorEastAsia" w:cstheme="minorEastAsia"/>
          <w:bCs/>
          <w:kern w:val="0"/>
          <w:sz w:val="22"/>
        </w:rPr>
      </w:pPr>
      <w:r>
        <w:rPr>
          <w:rFonts w:hint="eastAsia" w:asciiTheme="minorEastAsia" w:hAnsiTheme="minorEastAsia" w:eastAsiaTheme="minorEastAsia" w:cstheme="minorEastAsia"/>
          <w:bCs/>
          <w:kern w:val="0"/>
          <w:sz w:val="22"/>
        </w:rPr>
        <w:t>7.乙方应当教育服务人员不可泄漏甲方酒店清洁合同书全部条款，包括但不限于金额等任何内容。</w:t>
      </w:r>
    </w:p>
    <w:p w14:paraId="0B606016">
      <w:pPr>
        <w:spacing w:line="400" w:lineRule="exact"/>
        <w:ind w:firstLine="440" w:firstLineChars="200"/>
        <w:rPr>
          <w:rFonts w:hint="eastAsia" w:asciiTheme="minorEastAsia" w:hAnsiTheme="minorEastAsia" w:eastAsiaTheme="minorEastAsia" w:cstheme="minorEastAsia"/>
          <w:bCs/>
          <w:kern w:val="0"/>
          <w:sz w:val="22"/>
        </w:rPr>
      </w:pPr>
      <w:r>
        <w:rPr>
          <w:rFonts w:hint="eastAsia" w:asciiTheme="minorEastAsia" w:hAnsiTheme="minorEastAsia" w:eastAsiaTheme="minorEastAsia" w:cstheme="minorEastAsia"/>
          <w:bCs/>
          <w:kern w:val="0"/>
          <w:sz w:val="22"/>
        </w:rPr>
        <w:t>8.乙方派送的服务人员未按酒店服务标准提供各种服务，或其提供服务过程中违反甲方客房工作安全守则规定的，经甲方教育后仍不改正的，甲方有权要求乙方予以更换，乙方应于48小时内派送其他符合要求的服务人员，同时不得影响甲方日常的服务需要。</w:t>
      </w:r>
    </w:p>
    <w:p w14:paraId="0B52F533">
      <w:pPr>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Cs/>
          <w:kern w:val="0"/>
          <w:sz w:val="22"/>
        </w:rPr>
        <w:t>9.</w:t>
      </w:r>
      <w:r>
        <w:rPr>
          <w:rFonts w:hint="eastAsia" w:asciiTheme="minorEastAsia" w:hAnsiTheme="minorEastAsia" w:eastAsiaTheme="minorEastAsia" w:cstheme="minorEastAsia"/>
          <w:sz w:val="22"/>
        </w:rPr>
        <w:t>乙方除驻场主管外，另需派一名项目经理负责与酒店对接，全面负责安排、督导本项目的顺利进行（此项目负责人不驻店）。</w:t>
      </w:r>
    </w:p>
    <w:p w14:paraId="08956AC4">
      <w:pPr>
        <w:tabs>
          <w:tab w:val="left" w:pos="0"/>
        </w:tabs>
        <w:adjustRightInd w:val="0"/>
        <w:snapToGrid w:val="0"/>
        <w:spacing w:line="400" w:lineRule="exact"/>
        <w:ind w:firstLine="440" w:firstLineChars="200"/>
        <w:textAlignment w:val="baseline"/>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10.乙方清洁人员在清洁过程中，除保证清洁质量达标外，还需保证甲方设施设备的完好，如有损坏或污损，乙方照价赔偿。</w:t>
      </w:r>
    </w:p>
    <w:p w14:paraId="672D8E62">
      <w:pPr>
        <w:tabs>
          <w:tab w:val="left" w:pos="0"/>
        </w:tabs>
        <w:adjustRightInd w:val="0"/>
        <w:snapToGrid w:val="0"/>
        <w:spacing w:line="400" w:lineRule="exact"/>
        <w:ind w:firstLine="440" w:firstLineChars="200"/>
        <w:textAlignment w:val="baseline"/>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11.乙方同意如果遇到甲方出现人手不足的情况，提供人员支持。如遇甲方有重大接待、检查任务时，乙方按照甲方要求予以配合，并向甲方临时增派服务人员进行甲方指定的清洁与设施维护服务，乙方确认该临时费用已包含在本合同约定的服务费中且综合单价不变，甲方无需向乙方另外支付费用。</w:t>
      </w:r>
    </w:p>
    <w:p w14:paraId="59BC33BF">
      <w:pPr>
        <w:tabs>
          <w:tab w:val="left" w:pos="0"/>
        </w:tabs>
        <w:adjustRightInd w:val="0"/>
        <w:snapToGrid w:val="0"/>
        <w:spacing w:line="400" w:lineRule="exact"/>
        <w:ind w:firstLine="440" w:firstLineChars="200"/>
        <w:textAlignment w:val="baseline"/>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12.关于公共区域新服务人员的到岗培训，有同等星级酒店的公共区域服务员必须完成1至3天的跟岗学习操作，待掌握各项清洁流程及清洁标准、以及基本的酒店产品知识并经甲方确认合格后才可单独上岗（培训期间甲方不支付该人员相关劳务费用）。无经验的新进服务人员跟岗学习时间不得少于3天，如若学习3天后仍达不到岗位要求，具体可根据个人实际情况延长时间，待掌握各项清洁流程及清洁标准、以及基本的酒店产品知识并经甲方确认合格后才可单独上岗。对于服务人员必须完成1至3天的跟岗学习培训后，经甲方确认后方可上岗。</w:t>
      </w:r>
    </w:p>
    <w:p w14:paraId="241A00AD">
      <w:pPr>
        <w:tabs>
          <w:tab w:val="left" w:pos="900"/>
        </w:tabs>
        <w:snapToGrid w:val="0"/>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第八条 甲方驻场服务人员的程序要求</w:t>
      </w:r>
    </w:p>
    <w:p w14:paraId="1498C1F8">
      <w:pPr>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乙方应在进场前2天，向甲方提供全部进场作业人员名单及作业人员身份证复印件，甲方需提前5个工作日通知乙方进场时间；进场作业人员名单需加盖乙方单位公章并由负责人签字确认。服务过程中需要增加或者更换作业人员的，需要在新增加或者更换的作业人员身份证复印件上加盖公章并由负责人签字确认，没有上述手续的作业人员不得驻场作业。乙方进场人员是乙方雇用，为履行合同服务派出的，在任何情况下，均不应当认为有关驻场人员与甲方之间存在任何劳动、劳务派遣或其他任何形式的雇佣关系。</w:t>
      </w:r>
    </w:p>
    <w:p w14:paraId="435607C2">
      <w:pPr>
        <w:tabs>
          <w:tab w:val="left" w:pos="0"/>
        </w:tabs>
        <w:adjustRightInd w:val="0"/>
        <w:snapToGrid w:val="0"/>
        <w:spacing w:line="400" w:lineRule="exact"/>
        <w:ind w:firstLine="440" w:firstLineChars="200"/>
        <w:textAlignment w:val="baseline"/>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乙方应对其派驻服务人员进行教育、培训和管理，确保派驻服务人员熟悉并严格遵守甲方各项规章制度，维护本项目内环境和秩序，爱护财物，注意言行举止，讲究礼貌礼节。如发现并查实乙方服务人员有违法乱纪行为，乙方应严肃处理，立即更换人员；如造成甲方损失，乙方应在甲方要求时限内予以赔偿。</w:t>
      </w:r>
    </w:p>
    <w:p w14:paraId="56746DF3">
      <w:pPr>
        <w:tabs>
          <w:tab w:val="left" w:pos="0"/>
        </w:tabs>
        <w:adjustRightInd w:val="0"/>
        <w:snapToGrid w:val="0"/>
        <w:spacing w:line="400" w:lineRule="exact"/>
        <w:ind w:firstLine="440" w:firstLineChars="200"/>
        <w:textAlignment w:val="baseline"/>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乙方对其新老服务人员必须加以培训，直至熟识酒店情况、规章制度和掌握基本技能才能正式指派为甲方提供清洁及设施维护服务。培训期间的乙方派出服务人员不能纳入正式酒店驻场人员(对于培训期间甲方未确认合格的服务人员，酒店不予计算考勤)。乙方对已入职的服务人员，应定期予以再培训，包括职业危害防护及药剂使用安全培训，乙方应对其服务人员的行为承担全部责任。乙方对其服务人员因缺乏必要技能及违反操作规程导致的自身损害、甲方及其他第三方人身损害及财产损失承担相应的赔偿责任。</w:t>
      </w:r>
    </w:p>
    <w:p w14:paraId="4BAAE043">
      <w:pPr>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若乙方服务人员在为甲方提供清洁及设施维护服务期间出于任何原因离岗，必须提前10天通知酒店。乙方须在此离岗服务人员最后一个工作日之前将经过全面培训合格后的新服务人员安排到工作岗位，实施工作。乙方提供的新服务人员需经过甲方认可合格。</w:t>
      </w:r>
    </w:p>
    <w:p w14:paraId="756A5423">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5.乙方委派的各服务人员、各班负责人必须配合酒店积极参与各类培训、熟悉相关产品知识内容及熟悉酒店相关制度、规定等内容，熟悉包括但不限于有必要的各类消防规定等内容、规定。</w:t>
      </w:r>
    </w:p>
    <w:p w14:paraId="0B2AAED7">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6.乙方派驻的人员（包括中途更换人员）经过酒店相关知识考核后方可上岗。</w:t>
      </w:r>
    </w:p>
    <w:p w14:paraId="7F8225C6">
      <w:pPr>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7.乙方应确保所有派驻人员必须服从酒店客房部管理团队的工作安排，遵守酒店的各项规章制度，不影响客人的体验。乙方应保证所有人员相貌端正，不影响酒店形象，所有人员须经甲方部门确认。</w:t>
      </w:r>
    </w:p>
    <w:p w14:paraId="3EF01B8F">
      <w:pPr>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8.乙方派驻的服务人员年龄原则需在55岁以下，特殊情况须经甲方确认合格后方可上岗，未经甲方确认的人员，甲方有权不予承认。</w:t>
      </w:r>
    </w:p>
    <w:p w14:paraId="1C5E15E4">
      <w:pPr>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9.乙方派驻的服务人员必须严格遵守酒店规章制度及上班时间。</w:t>
      </w:r>
    </w:p>
    <w:p w14:paraId="607A969B">
      <w:pPr>
        <w:tabs>
          <w:tab w:val="left" w:pos="900"/>
        </w:tabs>
        <w:adjustRightInd w:val="0"/>
        <w:snapToGrid w:val="0"/>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第九条 保密义务</w:t>
      </w:r>
    </w:p>
    <w:p w14:paraId="59F09CC9">
      <w:pPr>
        <w:tabs>
          <w:tab w:val="left" w:pos="900"/>
        </w:tabs>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双方应当对本合同的内容、因履行本合同或在本合同履行期间获得或收到的对方的商务、财务或其他甲方认为是保密资料的文件或信息内容保守秘密，未经信息披露方书面事先同意，不得向本协议以外的任何第三方披露。</w:t>
      </w:r>
    </w:p>
    <w:p w14:paraId="7EBBBB1C">
      <w:pPr>
        <w:pStyle w:val="13"/>
        <w:adjustRightInd w:val="0"/>
        <w:spacing w:line="400" w:lineRule="exact"/>
        <w:ind w:left="0" w:firstLine="420" w:firstLineChars="190"/>
        <w:rPr>
          <w:rFonts w:hint="eastAsia" w:ascii="宋体" w:hAnsi="宋体" w:cs="宋体"/>
          <w:b/>
          <w:bCs/>
          <w:sz w:val="22"/>
          <w:szCs w:val="22"/>
        </w:rPr>
      </w:pPr>
      <w:r>
        <w:rPr>
          <w:rFonts w:hint="eastAsia" w:ascii="宋体" w:hAnsi="宋体" w:cs="宋体"/>
          <w:b/>
          <w:bCs/>
          <w:sz w:val="22"/>
          <w:szCs w:val="22"/>
        </w:rPr>
        <w:t>第十条 协议的变更、终止和解除</w:t>
      </w:r>
    </w:p>
    <w:p w14:paraId="03061730">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1.协议签订后，合同双方必须全面履行协议的义务，任何一方不得擅自变更协议。确实需要变更的，应由甲乙双方协商一致同意。本合同在执行过程中，若遇到非政府行为或不可抗力的因素而影响本合同正常执行需要修改、变更合同内容时，必须提前15天以书面形式通知，甲乙双方协商后签订补充协议。</w:t>
      </w:r>
    </w:p>
    <w:p w14:paraId="1BB44336">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2.协议期满或者出现本条第 3、4 款情形或者及其他双方约定的协议终止条件出现时，甲方有权单方面终止合同，甲方不再需要支付报酬及相关补偿。</w:t>
      </w:r>
    </w:p>
    <w:p w14:paraId="6D833FFD">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3.乙方团队中有下列情形，甲方有权单方通知乙方终止协议：</w:t>
      </w:r>
    </w:p>
    <w:p w14:paraId="5F3AC7CA">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（1）在合同期内继续聘用被证明不符合聘用条件的员工；</w:t>
      </w:r>
    </w:p>
    <w:p w14:paraId="6D0F8C63">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（2）严重违反工作纪律或严重违反甲方规章制度的；</w:t>
      </w:r>
    </w:p>
    <w:p w14:paraId="0889A369">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（3）故意不完成工作任务；</w:t>
      </w:r>
    </w:p>
    <w:p w14:paraId="234EA6EC">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（4）脱离岗位，严重失职；</w:t>
      </w:r>
    </w:p>
    <w:p w14:paraId="1B6672EB">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（5）被依法追究刑事责任的。</w:t>
      </w:r>
    </w:p>
    <w:p w14:paraId="44536A47">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4.有下列情形之一的，甲方有权单方解除协议，但应该提前 7 天告知乙方。</w:t>
      </w:r>
    </w:p>
    <w:p w14:paraId="4F20F584">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（1）乙方团队人数不能满足甲方的工作任务需要的；</w:t>
      </w:r>
    </w:p>
    <w:p w14:paraId="3E77ACFC">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（2）乙方团队中患病或非因工负伤医疗期满后，不能从事原工作，也不愿意从事甲方安排工作，乙方不能及时更换的；</w:t>
      </w:r>
    </w:p>
    <w:p w14:paraId="103405D5">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（3）乙方团队中工作者不能胜任工作，经过培训或调整工作岗位，仍不能胜任工作又不能以及更换的；</w:t>
      </w:r>
    </w:p>
    <w:p w14:paraId="36D07E64">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（4）协议订立时所依据的客观情况发生重大变化或者由于甲方上级主管部门下发文件要求终止履行协议的，致使已签订的协议无法履行的，经当事人协商不能就变更合同达成协议的；</w:t>
      </w:r>
    </w:p>
    <w:p w14:paraId="778D9D23">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（5）乙方不履行协议的。</w:t>
      </w:r>
    </w:p>
    <w:p w14:paraId="0ED24D9D">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5.在服务过程中，如发生溺水等重大安全事故，甲方有权无责任单方面终止合作合同，并要求乙方按相关法律规定赔偿相应损失。</w:t>
      </w:r>
    </w:p>
    <w:p w14:paraId="34F84A4A">
      <w:pPr>
        <w:pStyle w:val="13"/>
        <w:adjustRightInd w:val="0"/>
        <w:spacing w:line="400" w:lineRule="exact"/>
        <w:ind w:left="0" w:firstLine="418" w:firstLineChars="190"/>
        <w:rPr>
          <w:rFonts w:hint="eastAsia" w:ascii="宋体" w:hAnsi="宋体" w:cs="宋体"/>
          <w:sz w:val="22"/>
          <w:szCs w:val="22"/>
        </w:rPr>
      </w:pPr>
      <w:r>
        <w:rPr>
          <w:rFonts w:hint="eastAsia" w:ascii="宋体" w:hAnsi="宋体" w:cs="宋体"/>
          <w:sz w:val="22"/>
          <w:szCs w:val="22"/>
        </w:rPr>
        <w:t>6.若该不可抗力导致本合同无继续履行的必要，甲方有权选择终止本合同，且不承担因终止本合同产生的任何责任，终止时间为甲方通知发出之日，乙方对此无任何异议。</w:t>
      </w:r>
    </w:p>
    <w:p w14:paraId="3446D2F3">
      <w:pPr>
        <w:tabs>
          <w:tab w:val="left" w:pos="900"/>
        </w:tabs>
        <w:snapToGrid w:val="0"/>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第十一条 违约责任</w:t>
      </w:r>
    </w:p>
    <w:p w14:paraId="1C17747E">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协议签订后乙方不得擅自解除合同，乙方无故擅自解除合同的甲方有权扣除所有履约担保，并有权要求乙方合同总金额的10%向甲方支付违约金，该违约金不能弥补甲方实际损失的，乙方应按照实际损失进行赔偿。</w:t>
      </w:r>
    </w:p>
    <w:p w14:paraId="4ADCD2CD">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乙方未按合同要求履行服务岗义务或未提供甲方合格的服务人员，经催告改正仍未按要求纠正的，甲方有权解除合同。同时，乙方应按照合同总金额的10%向甲方支付违约金，该违约金不能弥补甲方实际损失的，乙方应按照实际损失进行赔偿。</w:t>
      </w:r>
    </w:p>
    <w:p w14:paraId="148FD1D3">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乙方选派的服务人员在工作期间玩忽职守，出现重大过失，造成甲方及其人员、第三方损失的，乙方应当承担全部责任并赔偿损失，若甲方先予赔偿，甲方有权向乙方进行追偿或者在支付相应款项时甲方直接予以扣除。乙方选派的服务人员触犯刑法的，乙方应积极配合和协助司法机关追究其法律责任</w:t>
      </w:r>
    </w:p>
    <w:p w14:paraId="6C714CD6">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乙方应严格按照国家《中华人民共和国民法典》及相关规定支付服务人员的应有报酬、并办理相应的社会保险。因此引发的一切劳动/劳务纠纷由乙方全权负责处理并承担相应法律责任。给甲方造成的损失，甲方有权向乙方追偿。</w:t>
      </w:r>
    </w:p>
    <w:p w14:paraId="519DAEFE">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如乙方选派的服务人员批量离职且对甲方经营造成影响的（如导致服务人员在岗人数达不到有关部门规定及设备要求等），乙方应按照合同总金额的10%向甲方支付违约金，若该违约金不能弥补甲方的实际损失，乙方应按照实际损失赔偿。</w:t>
      </w:r>
    </w:p>
    <w:p w14:paraId="294F2CDA">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6.乙方选派的服务人员违反合同附件2中的规定，按该合同附件2中的规定进行处罚。</w:t>
      </w:r>
    </w:p>
    <w:p w14:paraId="5D787438">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7.乙方选派的服务人员违反附件 1 中其他条款甲方根据程度对乙方警告或处以违约金 100 元/次，违约金从当次进度款中直接扣除。考勤制度参照乐清市悦清和园区运营管理有限公司有关规定。</w:t>
      </w:r>
    </w:p>
    <w:p w14:paraId="710F7E0E">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8.若乙方选派的服务人员不遵守甲方管理制度，经甲方批评教育后仍不改正，甲方有权要求乙方进行更换。</w:t>
      </w:r>
    </w:p>
    <w:p w14:paraId="7A63C6A2">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9.甲方要求乙方更换人员的次数超过三次的，乙方应按照合同总金额的【10】%向甲方支付违约金，该违约金不能弥补甲方实际损失的，乙方应按照实际损失进行赔偿。</w:t>
      </w:r>
    </w:p>
    <w:p w14:paraId="60C83640">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10.如甲方不按合同规定期限内向乙方付费，经乙方催讨后仍未支付时，对逾期未付的费用每逾一天，按未交付金额的万分之二支付滞纳金。</w:t>
      </w:r>
    </w:p>
    <w:p w14:paraId="7BD629C3">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11.禁止转包、转委托。乙方基于本合同的业务，未经甲方书面同意而擅自以任何合营、联营等任何方式进行、转让、转包、分包的行为视为乙方根本违约、完全违约。一经发现，甲方有权终止合同，同时要求乙方赔偿合同总价款的10%违约金。因违约给甲方造成的损失高于违约金数额的，乙方还应承担赔偿损失的责任。</w:t>
      </w:r>
    </w:p>
    <w:p w14:paraId="620D08FC">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12.违约方承担违约责任并不影响其合同项下的义务。</w:t>
      </w:r>
    </w:p>
    <w:p w14:paraId="291EA229">
      <w:pPr>
        <w:tabs>
          <w:tab w:val="left" w:pos="900"/>
        </w:tabs>
        <w:snapToGrid w:val="0"/>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第十二条 不可抗力</w:t>
      </w:r>
    </w:p>
    <w:p w14:paraId="173FC6FA">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不可抗力，是指不能预见、非由其承担风险、不能避免并不能克服的客观情况，如战争、动乱、瘟疫、严重火灾、洪水、地震、风暴或其他自然灾害等。仅材料、劳动力或公用设施迟延供应的事实不构成不可抗力。</w:t>
      </w:r>
    </w:p>
    <w:p w14:paraId="04C1349F">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14:paraId="030C7C66">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3.发生不可抗力事件，任何一方均不对因不可抗力无法履行或迟延履行本合同义务而使另一方蒙受的任何损失承担责任，法律另有规定的除外。</w:t>
      </w:r>
    </w:p>
    <w:p w14:paraId="110D1738">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4.合同各方应根据不可抗力对本合同履行的影响程度，协商确定是否终止本合同或是继续履行本合同。</w:t>
      </w:r>
    </w:p>
    <w:p w14:paraId="3E4081BC">
      <w:pPr>
        <w:tabs>
          <w:tab w:val="left" w:pos="900"/>
        </w:tabs>
        <w:adjustRightInd w:val="0"/>
        <w:snapToGrid w:val="0"/>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第十三条　合同的补充</w:t>
      </w:r>
    </w:p>
    <w:p w14:paraId="4BBDD13A">
      <w:pPr>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1.甲方有权对乙方服务人员进行检查考评。甲方认为不合格的人员，乙方应按甲方要求期限予以调换。新调换的服务人员应经过甲方认可合格。</w:t>
      </w:r>
    </w:p>
    <w:p w14:paraId="4C10864C">
      <w:pPr>
        <w:tabs>
          <w:tab w:val="left" w:pos="0"/>
        </w:tabs>
        <w:adjustRightInd w:val="0"/>
        <w:snapToGrid w:val="0"/>
        <w:spacing w:line="400" w:lineRule="exact"/>
        <w:ind w:firstLine="440" w:firstLineChars="200"/>
        <w:textAlignment w:val="baseline"/>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2.乙方在服务过程中须遵守酒店规定的工作时间，遵守酒店的各项规定及安全要求。如因乙方或其人员原因造成设施设备等物品损坏、丢失或经营损失，乙方应承担赔偿责任。</w:t>
      </w:r>
    </w:p>
    <w:p w14:paraId="30FCDE7D">
      <w:pPr>
        <w:tabs>
          <w:tab w:val="left" w:pos="900"/>
        </w:tabs>
        <w:adjustRightInd w:val="0"/>
        <w:snapToGrid w:val="0"/>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第十四条 合同的变更、中止</w:t>
      </w:r>
    </w:p>
    <w:p w14:paraId="6FF022D2">
      <w:pPr>
        <w:tabs>
          <w:tab w:val="left" w:pos="900"/>
        </w:tabs>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本合同一经签订，合同双方不得擅自变更或中止合同，除非本合同另有约定。若有未尽事项，双方应当签订书面补充协议。</w:t>
      </w:r>
    </w:p>
    <w:p w14:paraId="6A74C214">
      <w:pPr>
        <w:tabs>
          <w:tab w:val="left" w:pos="900"/>
        </w:tabs>
        <w:adjustRightInd w:val="0"/>
        <w:snapToGrid w:val="0"/>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第十五条 合同的终止</w:t>
      </w:r>
    </w:p>
    <w:p w14:paraId="1C4679C5">
      <w:pPr>
        <w:tabs>
          <w:tab w:val="left" w:pos="0"/>
        </w:tabs>
        <w:adjustRightInd w:val="0"/>
        <w:snapToGrid w:val="0"/>
        <w:spacing w:line="400" w:lineRule="exact"/>
        <w:ind w:firstLine="440" w:firstLineChars="200"/>
        <w:textAlignment w:val="baseline"/>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1.本合同因下列原因而终止：</w:t>
      </w:r>
    </w:p>
    <w:p w14:paraId="56BA41BF">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1.1本合同正常履行完毕。</w:t>
      </w:r>
    </w:p>
    <w:p w14:paraId="42792BA8">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1.2因不可抗力导致本合同无法履行或履行不必要。</w:t>
      </w:r>
    </w:p>
    <w:p w14:paraId="3D8C9BC1">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1.3任何一方行使解除权解除本合同。</w:t>
      </w:r>
    </w:p>
    <w:p w14:paraId="56401F24">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1.4合同的继续履行将损害国家利益和社会公共利益。</w:t>
      </w:r>
    </w:p>
    <w:p w14:paraId="74F794B9">
      <w:pPr>
        <w:tabs>
          <w:tab w:val="left" w:pos="0"/>
        </w:tabs>
        <w:adjustRightInd w:val="0"/>
        <w:snapToGrid w:val="0"/>
        <w:spacing w:line="400" w:lineRule="exact"/>
        <w:ind w:firstLine="440" w:firstLineChars="200"/>
        <w:textAlignment w:val="baseline"/>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2.发生如下情况之一，视为乙方严重违约，甲方有权立即解除合同：</w:t>
      </w:r>
    </w:p>
    <w:p w14:paraId="59116595">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2.1乙方作业过程中发生重大安全事故。</w:t>
      </w:r>
    </w:p>
    <w:p w14:paraId="0B72E005">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2.2乙方未经甲方事先书面允许，将本合同项下服务清洁及服务整体或部分转包。</w:t>
      </w:r>
    </w:p>
    <w:p w14:paraId="5108DFF4">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2.3乙方服务人员的行为给甲方的外在形象、声誉等造成了严重的不良影响。</w:t>
      </w:r>
    </w:p>
    <w:p w14:paraId="5C84800F">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2.4乙方违反本合同其他约定，且在甲方书面指出后未在甲方要求的期限内改正。</w:t>
      </w:r>
    </w:p>
    <w:p w14:paraId="6231B948">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2.5因乙方违约，甲方依约终止合同。</w:t>
      </w:r>
    </w:p>
    <w:p w14:paraId="289DE656">
      <w:pPr>
        <w:tabs>
          <w:tab w:val="left" w:pos="900"/>
        </w:tabs>
        <w:adjustRightInd w:val="0"/>
        <w:snapToGrid w:val="0"/>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第十六条 争议解决方式</w:t>
      </w:r>
    </w:p>
    <w:p w14:paraId="4C9A294A">
      <w:pPr>
        <w:tabs>
          <w:tab w:val="left" w:pos="900"/>
        </w:tabs>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在执行本合同过程中所发生的或与本合同有关的一切争端，甲乙双方应通过友好协商的办法进行解决。如协商不能解决，则向甲方所在地人民法院提起诉讼。</w:t>
      </w:r>
    </w:p>
    <w:p w14:paraId="512ED0A0">
      <w:pPr>
        <w:tabs>
          <w:tab w:val="left" w:pos="900"/>
        </w:tabs>
        <w:adjustRightInd w:val="0"/>
        <w:snapToGrid w:val="0"/>
        <w:spacing w:line="400" w:lineRule="exact"/>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第十七条 合同生效及其他</w:t>
      </w:r>
    </w:p>
    <w:p w14:paraId="0C0674AD">
      <w:pPr>
        <w:tabs>
          <w:tab w:val="left" w:pos="900"/>
        </w:tabs>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1.合同应在甲乙双方代表签字并加盖公章后生效。</w:t>
      </w:r>
    </w:p>
    <w:p w14:paraId="6EB6CF8F">
      <w:pPr>
        <w:tabs>
          <w:tab w:val="left" w:pos="900"/>
        </w:tabs>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2.甲乙方地址如有变更应及时将变更后联系方式等书面告知对方，否则因送达产生的问题由变更方承担责任。</w:t>
      </w:r>
    </w:p>
    <w:p w14:paraId="7645A26C">
      <w:pPr>
        <w:tabs>
          <w:tab w:val="left" w:pos="900"/>
        </w:tabs>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3.本合同一式陆份，以简体中文书写，甲方执肆份，乙方执贰份。</w:t>
      </w:r>
    </w:p>
    <w:p w14:paraId="687504A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6C3FE7B5">
      <w:pPr>
        <w:pStyle w:val="11"/>
        <w:ind w:firstLine="210"/>
      </w:pPr>
    </w:p>
    <w:tbl>
      <w:tblPr>
        <w:tblStyle w:val="30"/>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14:paraId="750A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40" w:type="dxa"/>
          </w:tcPr>
          <w:p w14:paraId="6AA90CAD">
            <w:pPr>
              <w:tabs>
                <w:tab w:val="left" w:pos="900"/>
              </w:tabs>
              <w:rPr>
                <w:rFonts w:hint="eastAsia" w:asciiTheme="minorEastAsia" w:hAnsiTheme="minorEastAsia" w:eastAsiaTheme="minorEastAsia" w:cstheme="minorEastAsia"/>
                <w:sz w:val="22"/>
              </w:rPr>
            </w:pPr>
          </w:p>
          <w:p w14:paraId="725847D9">
            <w:pPr>
              <w:tabs>
                <w:tab w:val="left" w:pos="900"/>
              </w:tabs>
              <w:spacing w:line="48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甲方（单位盖章）：</w:t>
            </w:r>
          </w:p>
          <w:p w14:paraId="3FC94B77">
            <w:pPr>
              <w:tabs>
                <w:tab w:val="left" w:pos="900"/>
              </w:tabs>
              <w:spacing w:line="48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全权代表（签字或盖章）：</w:t>
            </w:r>
          </w:p>
          <w:p w14:paraId="2860E2FB">
            <w:pPr>
              <w:tabs>
                <w:tab w:val="left" w:pos="900"/>
              </w:tabs>
              <w:spacing w:line="48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日期：</w:t>
            </w:r>
          </w:p>
        </w:tc>
        <w:tc>
          <w:tcPr>
            <w:tcW w:w="4740" w:type="dxa"/>
          </w:tcPr>
          <w:p w14:paraId="27F08D5A">
            <w:pPr>
              <w:tabs>
                <w:tab w:val="left" w:pos="900"/>
              </w:tabs>
              <w:rPr>
                <w:rFonts w:hint="eastAsia" w:asciiTheme="minorEastAsia" w:hAnsiTheme="minorEastAsia" w:eastAsiaTheme="minorEastAsia" w:cstheme="minorEastAsia"/>
                <w:sz w:val="22"/>
              </w:rPr>
            </w:pPr>
          </w:p>
          <w:p w14:paraId="526B8B30">
            <w:pPr>
              <w:tabs>
                <w:tab w:val="left" w:pos="900"/>
              </w:tabs>
              <w:spacing w:line="48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乙方（单位盖章）：</w:t>
            </w:r>
          </w:p>
          <w:p w14:paraId="02C793F2">
            <w:pPr>
              <w:tabs>
                <w:tab w:val="left" w:pos="900"/>
              </w:tabs>
              <w:spacing w:line="48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全权代表（签字或盖章）：</w:t>
            </w:r>
          </w:p>
          <w:p w14:paraId="3D8366C8">
            <w:pPr>
              <w:tabs>
                <w:tab w:val="left" w:pos="900"/>
              </w:tabs>
              <w:spacing w:line="48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日期：</w:t>
            </w:r>
          </w:p>
        </w:tc>
      </w:tr>
    </w:tbl>
    <w:p w14:paraId="3E13E826">
      <w:pPr>
        <w:spacing w:line="400" w:lineRule="exact"/>
        <w:rPr>
          <w:rFonts w:hint="eastAsia" w:asciiTheme="minorEastAsia" w:hAnsiTheme="minorEastAsia" w:eastAsiaTheme="minorEastAsia" w:cstheme="minorEastAsia"/>
          <w:sz w:val="22"/>
        </w:rPr>
      </w:pPr>
    </w:p>
    <w:p w14:paraId="1CBDC290">
      <w:pPr>
        <w:spacing w:line="400" w:lineRule="exact"/>
        <w:rPr>
          <w:rFonts w:hint="eastAsia" w:asciiTheme="minorEastAsia" w:hAnsiTheme="minorEastAsia" w:eastAsiaTheme="minorEastAsia" w:cstheme="minorEastAsia"/>
          <w:sz w:val="22"/>
        </w:rPr>
      </w:pPr>
    </w:p>
    <w:p w14:paraId="36DDD01A">
      <w:pPr>
        <w:spacing w:line="400" w:lineRule="exact"/>
        <w:rPr>
          <w:rFonts w:hint="eastAsia" w:asciiTheme="minorEastAsia" w:hAnsiTheme="minorEastAsia" w:eastAsiaTheme="minorEastAsia" w:cstheme="minorEastAsia"/>
          <w:sz w:val="22"/>
        </w:rPr>
      </w:pPr>
    </w:p>
    <w:p w14:paraId="76853B5A">
      <w:pPr>
        <w:spacing w:line="400" w:lineRule="exact"/>
        <w:rPr>
          <w:rFonts w:hint="eastAsia" w:asciiTheme="minorEastAsia" w:hAnsiTheme="minorEastAsia" w:eastAsiaTheme="minorEastAsia" w:cstheme="minorEastAsia"/>
          <w:sz w:val="22"/>
        </w:rPr>
      </w:pPr>
    </w:p>
    <w:p w14:paraId="7042D797">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br w:type="page"/>
      </w:r>
    </w:p>
    <w:p w14:paraId="4F55AB46">
      <w:pPr>
        <w:tabs>
          <w:tab w:val="left" w:pos="360"/>
        </w:tabs>
        <w:spacing w:line="400" w:lineRule="exac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附件一：廉洁条款</w:t>
      </w:r>
    </w:p>
    <w:p w14:paraId="24987A2B">
      <w:pPr>
        <w:spacing w:line="400" w:lineRule="exact"/>
        <w:jc w:val="center"/>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廉洁条款</w:t>
      </w:r>
    </w:p>
    <w:p w14:paraId="08938004">
      <w:pPr>
        <w:spacing w:line="400" w:lineRule="exac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甲方（酒店方）责任：</w:t>
      </w:r>
    </w:p>
    <w:p w14:paraId="1DA2DC5E">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1.酒店有责任向合作单位介绍本酒店有关廉洁合作管理的各项规定。</w:t>
      </w:r>
    </w:p>
    <w:p w14:paraId="0BECBD7F">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2.酒店有责任对本酒店人员进行廉洁合作管理规定的教育。</w:t>
      </w:r>
    </w:p>
    <w:p w14:paraId="142E5F38">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3.酒店人员应严格遵守本单位有关廉洁合作管理的规定，不得接受合作单位带有娱乐性质的宴请，不得接受任何形式的实物、现金或礼券。</w:t>
      </w:r>
    </w:p>
    <w:p w14:paraId="5207B605">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4.酒店方在合作期间发现酒店人员任何形式的索贿行为，均应及时采取措施予以制止，并及时通报给合作单位负责人。</w:t>
      </w:r>
    </w:p>
    <w:p w14:paraId="0CDEAD05">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5.酒店人员如违反廉洁合作管理规定，酒店管理公司应视情节轻重、影响大小给予行政及经济处罚，触犯法律的追究双方相关人员法律责任。</w:t>
      </w:r>
    </w:p>
    <w:p w14:paraId="55A04C11">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6.对于合作单位举报甲方人员违反廉洁合作规定的情况，甲方应及时调查，根据调查情况进行严肃处理。</w:t>
      </w:r>
    </w:p>
    <w:p w14:paraId="01930B4F">
      <w:pPr>
        <w:spacing w:line="400" w:lineRule="exac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乙方（合作方）责任：</w:t>
      </w:r>
    </w:p>
    <w:p w14:paraId="01259518">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1.合作方应保证本单位有关人员了解酒店方有关廉洁合作管理规定，并遵照执行。</w:t>
      </w:r>
    </w:p>
    <w:p w14:paraId="19D56076">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2.合作方不得邀请酒店人员参加带有娱乐性的宴席，不得以任何形式赠送实物、现金或礼券。</w:t>
      </w:r>
    </w:p>
    <w:p w14:paraId="29E24A52">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3.合作方在合作期间发现本单位任何向酒店方行贿行为，均应及时采取措施予以制止，并及时通报给酒店财务部。</w:t>
      </w:r>
    </w:p>
    <w:p w14:paraId="694A06DD">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4.合作方有责任接受酒店方对合作方在合作期间廉洁合作管理执行情况的监督。</w:t>
      </w:r>
    </w:p>
    <w:p w14:paraId="57F63106">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合作方人员有义务就酒店人员任何形式的索贿或受贿行为及时向酒店财务部举报；如合作方向酒店人员行贿，或酒店方人员向合作方索贿，合作方满足其要求且并未向酒店举报的，一经查实，除赔偿由此给酒店造成的损失外，酒店方有权扣留合作方所有货物、货款，并单方面终止合作合同。</w:t>
      </w:r>
    </w:p>
    <w:p w14:paraId="1AC3A885">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6.如因合作方及人员在合作期间贿赂酒店人员，被检查机关立案查处的，酒店方有权单方面取消或终止本合同的履行，合作方应赔偿由此给酒店方造成的全部损失，同时合作方应承担由此引发的其它方面的责任。</w:t>
      </w:r>
    </w:p>
    <w:p w14:paraId="5F24BB06">
      <w:pPr>
        <w:spacing w:line="400" w:lineRule="exact"/>
        <w:rPr>
          <w:rFonts w:hint="eastAsia" w:asciiTheme="minorEastAsia" w:hAnsiTheme="minorEastAsia" w:eastAsiaTheme="minorEastAsia" w:cstheme="minorEastAsia"/>
          <w:sz w:val="22"/>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8"/>
        <w:gridCol w:w="4598"/>
      </w:tblGrid>
      <w:tr w14:paraId="436C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2" w:hRule="atLeast"/>
        </w:trPr>
        <w:tc>
          <w:tcPr>
            <w:tcW w:w="4740" w:type="dxa"/>
            <w:vAlign w:val="center"/>
          </w:tcPr>
          <w:p w14:paraId="1F27C4AD">
            <w:pPr>
              <w:spacing w:line="400" w:lineRule="exac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甲方(酒店方)（盖公章）：</w:t>
            </w:r>
          </w:p>
        </w:tc>
        <w:tc>
          <w:tcPr>
            <w:tcW w:w="4741" w:type="dxa"/>
            <w:vAlign w:val="center"/>
          </w:tcPr>
          <w:p w14:paraId="53B0DF1D">
            <w:pPr>
              <w:spacing w:line="400" w:lineRule="exac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乙方（合作方）（盖公章）：</w:t>
            </w:r>
          </w:p>
        </w:tc>
      </w:tr>
    </w:tbl>
    <w:p w14:paraId="28F5194D">
      <w:pPr>
        <w:snapToGrid w:val="0"/>
        <w:spacing w:line="400" w:lineRule="exact"/>
        <w:jc w:val="left"/>
        <w:rPr>
          <w:rFonts w:hint="eastAsia" w:asciiTheme="minorEastAsia" w:hAnsiTheme="minorEastAsia" w:eastAsiaTheme="minorEastAsia" w:cstheme="minorEastAsia"/>
          <w:b/>
          <w:bCs/>
          <w:sz w:val="22"/>
        </w:rPr>
      </w:pPr>
    </w:p>
    <w:p w14:paraId="5DD8566B">
      <w:pPr>
        <w:snapToGrid w:val="0"/>
        <w:spacing w:line="400" w:lineRule="exact"/>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签订日期：</w:t>
      </w:r>
      <w:r>
        <w:rPr>
          <w:rFonts w:hint="eastAsia" w:asciiTheme="minorEastAsia" w:hAnsiTheme="minorEastAsia" w:eastAsiaTheme="minorEastAsia" w:cstheme="minorEastAsia"/>
          <w:sz w:val="22"/>
        </w:rPr>
        <w:t>【     】年【      】月【     】日</w:t>
      </w:r>
    </w:p>
    <w:p w14:paraId="4F783098">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br w:type="page"/>
      </w:r>
      <w:bookmarkStart w:id="82" w:name="_Toc303859630"/>
      <w:bookmarkStart w:id="83" w:name="_Toc5632"/>
      <w:bookmarkStart w:id="84" w:name="_Toc14787"/>
      <w:bookmarkStart w:id="85" w:name="_Toc3092"/>
      <w:bookmarkStart w:id="86" w:name="_Toc17593"/>
      <w:bookmarkStart w:id="87" w:name="_Toc29795"/>
      <w:bookmarkStart w:id="88" w:name="_Toc246"/>
      <w:bookmarkStart w:id="89" w:name="_Toc291874836"/>
      <w:bookmarkStart w:id="90" w:name="_Toc12484"/>
      <w:bookmarkStart w:id="91" w:name="_Toc23874"/>
      <w:bookmarkStart w:id="92" w:name="_Toc14923"/>
      <w:bookmarkStart w:id="93" w:name="_Toc291430545"/>
      <w:bookmarkStart w:id="94" w:name="_Toc4920"/>
      <w:bookmarkStart w:id="95" w:name="_Toc11625"/>
      <w:bookmarkStart w:id="96" w:name="_Toc41"/>
      <w:bookmarkStart w:id="97" w:name="_Toc23938"/>
      <w:bookmarkStart w:id="98" w:name="_Toc14290"/>
    </w:p>
    <w:p w14:paraId="50ED1C5F">
      <w:pPr>
        <w:tabs>
          <w:tab w:val="left" w:pos="900"/>
        </w:tabs>
        <w:spacing w:line="400" w:lineRule="exact"/>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附件二、外包公司服务人员处罚条例</w:t>
      </w:r>
    </w:p>
    <w:p w14:paraId="33664A98">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乙方必须严格按照合同约定及甲方提出的工作细则和标准为甲方服务。如乙方未能达标，甲方有权书面提出整改方案，乙方必须遵守，不得提出异议，若乙方在甲乙双方商定的期限内仍然未达到甲方的标准及要求，甲方有权根据轻度、中度、重度清洁不达标情形予以相应的处罚。处罚方式包括：口头警告，并罚款50元/次；书面警告, 并罚款100元/次；严重警告,并罚款200元/次。</w:t>
      </w:r>
    </w:p>
    <w:p w14:paraId="76487A23">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乙方必须严格管理下属服务人员，遵守甲方的店规、礼仪、甲方相关规章制度和甲方指定代表的现场管理。按照酒店规定，服务人员离开酒店不得穿着酒店制服，如有违反，每人每次予以人民币20元罚款。甲方有权要求乙方更换不胜任工作或严重违反酒店规定的服务人员，乙方应在收到甲方书面通知后1日内予以更换，新服务人员应符合本合同的相关约定。如果乙方没有按照要求安排工作人员到岗，需罚款50元/次，第二次出现此情况需罚款100元/次。</w:t>
      </w:r>
    </w:p>
    <w:p w14:paraId="55829783">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乙方必须严格遵守甲方的各类规章制度与程序。若甲方发现乙方服务人员违反规章制度与程序，每次罚款50元/次，情节严重的可以要求立即更换该服务人员，乙方应在收到甲方书面通知后1日内予以更换，新服务人员应符合本合同的相关约定。如果乙方没有按照要求安排工作人员到岗，需罚款50元/次，如果乙方服务人员提出辞职必须提前至少10天的时间通知甲方，乙方必须及时补充合格的人员到甲方工作，如缺人导致影响甲方的工作，乙方需要受到处罚，每岗位每次罚款50元一天。</w:t>
      </w:r>
    </w:p>
    <w:p w14:paraId="0DFB4DBE">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对偷盗酒店和/或客人财物的服务人员，甲方将立即要求更换该服务人员，且有权向乙方按照所丢失物品原价的两倍要求赔偿，如服务人员故意损坏酒店财产，则甲方有权要求乙方按照物品原价的两倍进行赔偿，并有权要求立即更换该服务人员，乙方应在甲方提出相应要求后一日内提供符合甲方要求的替代人员到岗。如果乙方没有按照要求安排工作人员到岗，第一次需罚款50元/次，第二次罚款100/次。</w:t>
      </w:r>
    </w:p>
    <w:p w14:paraId="7CE21AA2">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乙方应妥善保管及使用甲方酒店提供给乙方的工服、名牌、服务人员证，更衣柜，更衣柜钥匙，在本合同到期或因其他原因终止合同时，双方应清点数目或状态，如有损坏，乙方须照原价赔偿（按照甲方酒店的规章制度及相关物品价格）。</w:t>
      </w:r>
    </w:p>
    <w:p w14:paraId="0924A3EE">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除本合同约定之不可抗力原因外，如乙方不能按合同约定的期限提供服务的每逾期一天，应向甲方支付违约金100元，给甲方造成其他损失的，甲方还有权向乙方继续索赔；乙方逾期提供服务超出10天的，甲方有权解除本合同，乙方应向甲方支付违约金1000元，因违约给甲方造成的损失高于违约金数额的，乙方还应承担赔偿损失的责任，包括但不限于甲方另行寻找替代第三方履行乙方未履行部分的服务产生的合理费用。</w:t>
      </w:r>
    </w:p>
    <w:p w14:paraId="5DB1844D">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7.乙方保证所提供服务不会导致甲方遭受任何第三方的申诉、处罚及主张，否则因此造成纠纷，影响甲方正常营运，甲方有权解除合同，乙方应支付相当于月合同总价5%的违约金，因违约给甲方造成的损失高于违约金数额的，乙方还应赔偿由此给造成甲方的损失。</w:t>
      </w:r>
    </w:p>
    <w:p w14:paraId="7E2D6991">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8.乙方所提供服务经甲方审查不合格或者经相关检测机构检测不符合合同要求的，且乙方拒绝采取补救措施，或采取补救措施后仍不合格的，甲方有权解除本合同，乙方向甲方支付月合同总价10%的违约金，因违约给甲方造成的损失高于违约金数额的，乙方还应承担赔偿损失的责任，包括但不限于甲方另行寻找替代第三方履行乙方未能履行部分的服务产生的合理费用以及二次检测的费用。</w:t>
      </w:r>
    </w:p>
    <w:p w14:paraId="2F37D996">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9.乙方所提供的服务人员需要服从甲方酒店管理人员的各项工作安排，不得与甲方酒店管理人员发生争执、吵闹、谩骂等恶劣现象，一经出现处罚50元/次，并立即更换该服务人员，乙方应在甲方提出相应要求后一日内提供符合甲方要求的替代人员到岗。如果乙方没有按照要求安排工作人员到岗，需罚款50元/次。</w:t>
      </w:r>
    </w:p>
    <w:p w14:paraId="0CA3175A">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10.乙方必须根据甲方要求提供合适的人员，定点在酒店内提供服务及房间清洁。如果甲方由于出租率增长，有增加人员的需求，甲方需要以邮件或者微信的形式提前三天通知乙方，乙方应当根据需求及时补充合格的人员到甲方工作。如果在指定的期限内不能提供相应的人员，影响到甲方的工作，甲方有权给予乙方罚款，每岗位/每人每次罚款50元一天。如有因人员缺失导致严重后果造成的任何损失由乙方承担。</w:t>
      </w:r>
    </w:p>
    <w:p w14:paraId="67C39296">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11.乙方认可甲方有权基于本合同约定、甲方的各类规章制度、程序、文件以及要求对乙方及其乙方服务人员进行管理、处罚、考核，并对甲方任何管理、处罚、考核之结果均不持任何异议；本条前述约定之任何罚款，甲方均有权在当月应支付给乙方费用中予以扣除。</w:t>
      </w:r>
    </w:p>
    <w:p w14:paraId="54DB7BDA">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12.乙方服务人员在为甲方提供清洁及设施维护服务期间出于任何原因离岗，必须至少提前10天通知酒店。乙方须在此离岗服务人员最后一个工作日之前将经过全面培训合格后的新服务人员安排到工作岗位，实施工作。乙方提供的新服务人员需经过甲方认可合格。如果在服务人员离职后在指定日期没有提供相应的人员，影响到甲方的工作，甲方有权给予乙方罚款。每岗位/每人每次罚款50元一天。如有因人员缺失导致严重后果造成的任何损失由乙方承担。</w:t>
      </w:r>
    </w:p>
    <w:p w14:paraId="032B419A">
      <w:p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br w:type="page"/>
      </w:r>
    </w:p>
    <w:p w14:paraId="2D805789">
      <w:pPr>
        <w:pStyle w:val="57"/>
        <w:spacing w:line="360" w:lineRule="auto"/>
        <w:ind w:right="297"/>
        <w:jc w:val="center"/>
        <w:rPr>
          <w:rFonts w:hint="eastAsia" w:asciiTheme="minorEastAsia" w:hAnsiTheme="minorEastAsia" w:eastAsiaTheme="minorEastAsia" w:cstheme="minorEastAsia"/>
          <w:sz w:val="40"/>
        </w:rPr>
      </w:pPr>
      <w:bookmarkStart w:id="99" w:name="_Toc19090"/>
      <w:r>
        <w:rPr>
          <w:rFonts w:hint="eastAsia" w:asciiTheme="minorEastAsia" w:hAnsiTheme="minorEastAsia" w:eastAsiaTheme="minorEastAsia" w:cstheme="minorEastAsia"/>
          <w:sz w:val="40"/>
        </w:rPr>
        <w:t>服务要求</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Start w:id="100" w:name="_Toc14884"/>
      <w:bookmarkStart w:id="101" w:name="_Toc25199"/>
      <w:bookmarkStart w:id="102" w:name="_Toc22891"/>
      <w:bookmarkStart w:id="103" w:name="_Toc303859639"/>
      <w:bookmarkStart w:id="104" w:name="_Toc7947"/>
      <w:bookmarkStart w:id="105" w:name="_Toc291874845"/>
      <w:bookmarkStart w:id="106" w:name="_Toc8019"/>
      <w:bookmarkStart w:id="107" w:name="_Toc11252"/>
      <w:bookmarkStart w:id="108" w:name="_Toc1157"/>
      <w:bookmarkStart w:id="109" w:name="_Toc291430555"/>
      <w:bookmarkStart w:id="110" w:name="_Toc15955"/>
      <w:bookmarkStart w:id="111" w:name="_Toc5047"/>
      <w:bookmarkStart w:id="112" w:name="_Toc12733"/>
      <w:bookmarkStart w:id="113" w:name="_Toc6050"/>
      <w:bookmarkStart w:id="114" w:name="_Toc20339"/>
      <w:bookmarkStart w:id="115" w:name="_Toc16732"/>
      <w:bookmarkStart w:id="116" w:name="_Toc11135"/>
      <w:bookmarkStart w:id="117" w:name="_Toc28620"/>
    </w:p>
    <w:p w14:paraId="2FAAEB27">
      <w:pPr>
        <w:tabs>
          <w:tab w:val="left" w:pos="1843"/>
        </w:tabs>
        <w:spacing w:line="3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乙方必须根据合同要求，每天提供相应的有资质及能力的工作人员，如果乙方的工作人员连续5个自然日少于合同要求数量，则甲方将对乙方进行罚款，每天每少一人次就会从已经产生的服务款中扣款RMB50元，如果人员短缺长达30天以上后，甲方有权终止合同。甲方负责人可以根据实际情况对每个班次人员做调整，乙方必须无条件配合。</w:t>
      </w:r>
    </w:p>
    <w:p w14:paraId="4B0C137B">
      <w:pPr>
        <w:spacing w:line="3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2.如有大型宴会和活动，酒店方提前3 </w:t>
      </w:r>
      <w:r>
        <w:rPr>
          <w:rFonts w:ascii="Times New Roman" w:hAnsi="Times New Roman" w:eastAsiaTheme="minorEastAsia"/>
          <w:sz w:val="22"/>
          <w:szCs w:val="22"/>
        </w:rPr>
        <w:t>~</w:t>
      </w:r>
      <w:r>
        <w:rPr>
          <w:rFonts w:hint="eastAsia" w:asciiTheme="minorEastAsia" w:hAnsiTheme="minorEastAsia" w:eastAsiaTheme="minorEastAsia" w:cstheme="minorEastAsia"/>
          <w:sz w:val="22"/>
          <w:szCs w:val="22"/>
        </w:rPr>
        <w:t xml:space="preserve"> 5天通知，乙方需加派临时服务人员。</w:t>
      </w:r>
    </w:p>
    <w:p w14:paraId="29542722">
      <w:pPr>
        <w:spacing w:line="3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3.服务标准未达到酒店要求，甲方有权根据轻、中、重情节对乙方清洁予以相应的处罚。处罚对象为签约的乙方公司，甲方（酒店）不对乙方公司服务人员进行处罚。处罚条例如下：</w:t>
      </w:r>
    </w:p>
    <w:tbl>
      <w:tblPr>
        <w:tblStyle w:val="29"/>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5243"/>
        <w:gridCol w:w="3288"/>
      </w:tblGrid>
      <w:tr w14:paraId="1A8F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1C6E07D7">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序号</w:t>
            </w:r>
          </w:p>
        </w:tc>
        <w:tc>
          <w:tcPr>
            <w:tcW w:w="5243" w:type="dxa"/>
            <w:noWrap/>
            <w:vAlign w:val="center"/>
          </w:tcPr>
          <w:p w14:paraId="442F7755">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违规内容</w:t>
            </w:r>
          </w:p>
        </w:tc>
        <w:tc>
          <w:tcPr>
            <w:tcW w:w="3288" w:type="dxa"/>
            <w:noWrap/>
            <w:vAlign w:val="center"/>
          </w:tcPr>
          <w:p w14:paraId="6C01C281">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处罚</w:t>
            </w:r>
          </w:p>
        </w:tc>
      </w:tr>
      <w:tr w14:paraId="0E53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1989169E">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5243" w:type="dxa"/>
            <w:noWrap/>
            <w:vAlign w:val="center"/>
          </w:tcPr>
          <w:p w14:paraId="3B355AE7">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不按酒店规定着装，仪容仪表不整，行为规范不符合酒店要求的</w:t>
            </w:r>
          </w:p>
        </w:tc>
        <w:tc>
          <w:tcPr>
            <w:tcW w:w="3288" w:type="dxa"/>
            <w:noWrap/>
            <w:vAlign w:val="center"/>
          </w:tcPr>
          <w:p w14:paraId="08ED2FE8">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一次扣除0.5小时服务报酬</w:t>
            </w:r>
          </w:p>
        </w:tc>
      </w:tr>
      <w:tr w14:paraId="2033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342A7B3B">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5243" w:type="dxa"/>
            <w:vAlign w:val="center"/>
          </w:tcPr>
          <w:p w14:paraId="5CC64D0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违反操作规定，如不按规定使用抹布、工作结束后不整理工具工作间、不清洁机器设备等</w:t>
            </w:r>
          </w:p>
        </w:tc>
        <w:tc>
          <w:tcPr>
            <w:tcW w:w="3288" w:type="dxa"/>
            <w:noWrap/>
            <w:vAlign w:val="center"/>
          </w:tcPr>
          <w:p w14:paraId="3E857057">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一次扣除0.5小时服务报酬</w:t>
            </w:r>
          </w:p>
        </w:tc>
      </w:tr>
      <w:tr w14:paraId="25FA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735948DB">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5243" w:type="dxa"/>
            <w:noWrap/>
            <w:vAlign w:val="center"/>
          </w:tcPr>
          <w:p w14:paraId="434CDC0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违反操作规定，洗手间物品不及时补充，垃圾不及时清倒</w:t>
            </w:r>
          </w:p>
        </w:tc>
        <w:tc>
          <w:tcPr>
            <w:tcW w:w="3288" w:type="dxa"/>
            <w:noWrap/>
            <w:vAlign w:val="center"/>
          </w:tcPr>
          <w:p w14:paraId="76A15300">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一次扣除0.5小时服务报酬</w:t>
            </w:r>
          </w:p>
        </w:tc>
      </w:tr>
      <w:tr w14:paraId="27CC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08BBE7D8">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w:t>
            </w:r>
          </w:p>
        </w:tc>
        <w:tc>
          <w:tcPr>
            <w:tcW w:w="5243" w:type="dxa"/>
            <w:noWrap/>
            <w:vAlign w:val="center"/>
          </w:tcPr>
          <w:p w14:paraId="2BBA0E8E">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违反操作规定，当班地毯不吸尘等</w:t>
            </w:r>
          </w:p>
        </w:tc>
        <w:tc>
          <w:tcPr>
            <w:tcW w:w="3288" w:type="dxa"/>
            <w:noWrap/>
            <w:vAlign w:val="center"/>
          </w:tcPr>
          <w:p w14:paraId="1BCD2332">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一次扣除0.5小时服务报酬</w:t>
            </w:r>
          </w:p>
        </w:tc>
      </w:tr>
      <w:tr w14:paraId="4C47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58EFDBFA">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w:t>
            </w:r>
          </w:p>
        </w:tc>
        <w:tc>
          <w:tcPr>
            <w:tcW w:w="5243" w:type="dxa"/>
            <w:noWrap/>
            <w:vAlign w:val="center"/>
          </w:tcPr>
          <w:p w14:paraId="04D6E1F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清洁工具乱摆乱放，提醒后仍不能改善的</w:t>
            </w:r>
          </w:p>
        </w:tc>
        <w:tc>
          <w:tcPr>
            <w:tcW w:w="3288" w:type="dxa"/>
            <w:noWrap/>
            <w:vAlign w:val="center"/>
          </w:tcPr>
          <w:p w14:paraId="42A8440F">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一次扣除0.5小时服务报酬</w:t>
            </w:r>
          </w:p>
        </w:tc>
      </w:tr>
      <w:tr w14:paraId="00DE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77A4582F">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w:t>
            </w:r>
          </w:p>
        </w:tc>
        <w:tc>
          <w:tcPr>
            <w:tcW w:w="5243" w:type="dxa"/>
            <w:noWrap/>
            <w:vAlign w:val="center"/>
          </w:tcPr>
          <w:p w14:paraId="76D7FB1B">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当值时间串岗、聊天、玩手机等做与工作无关的事</w:t>
            </w:r>
          </w:p>
        </w:tc>
        <w:tc>
          <w:tcPr>
            <w:tcW w:w="3288" w:type="dxa"/>
            <w:noWrap/>
            <w:vAlign w:val="center"/>
          </w:tcPr>
          <w:p w14:paraId="56C93AB6">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一次扣除0.5小时服务报酬</w:t>
            </w:r>
          </w:p>
        </w:tc>
      </w:tr>
      <w:tr w14:paraId="42C7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678B5189">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w:t>
            </w:r>
          </w:p>
        </w:tc>
        <w:tc>
          <w:tcPr>
            <w:tcW w:w="5243" w:type="dxa"/>
            <w:noWrap/>
            <w:vAlign w:val="center"/>
          </w:tcPr>
          <w:p w14:paraId="66C3E3B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违反酒店规定，擅自乘坐客梯等</w:t>
            </w:r>
          </w:p>
        </w:tc>
        <w:tc>
          <w:tcPr>
            <w:tcW w:w="3288" w:type="dxa"/>
            <w:noWrap/>
            <w:vAlign w:val="center"/>
          </w:tcPr>
          <w:p w14:paraId="0404AF58">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一次扣除0.5小时服务报酬</w:t>
            </w:r>
          </w:p>
        </w:tc>
      </w:tr>
      <w:tr w14:paraId="4DDC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7623C718">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w:t>
            </w:r>
          </w:p>
        </w:tc>
        <w:tc>
          <w:tcPr>
            <w:tcW w:w="5243" w:type="dxa"/>
            <w:noWrap/>
            <w:vAlign w:val="center"/>
          </w:tcPr>
          <w:p w14:paraId="5599ED2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无故浪费酒店能源（如水龙头长开，不及时关灯等）</w:t>
            </w:r>
          </w:p>
        </w:tc>
        <w:tc>
          <w:tcPr>
            <w:tcW w:w="3288" w:type="dxa"/>
            <w:noWrap/>
            <w:vAlign w:val="center"/>
          </w:tcPr>
          <w:p w14:paraId="0D2B36A7">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一次扣除0.5小时服务报酬</w:t>
            </w:r>
          </w:p>
        </w:tc>
      </w:tr>
      <w:tr w14:paraId="3E6A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19FA6BEF">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w:t>
            </w:r>
          </w:p>
        </w:tc>
        <w:tc>
          <w:tcPr>
            <w:tcW w:w="5243" w:type="dxa"/>
            <w:noWrap/>
            <w:vAlign w:val="center"/>
          </w:tcPr>
          <w:p w14:paraId="370B712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不按照工作流程操作，造成机器设备损坏；</w:t>
            </w:r>
          </w:p>
        </w:tc>
        <w:tc>
          <w:tcPr>
            <w:tcW w:w="3288" w:type="dxa"/>
            <w:noWrap/>
            <w:vAlign w:val="center"/>
          </w:tcPr>
          <w:p w14:paraId="4D011AB8">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照价赔偿</w:t>
            </w:r>
          </w:p>
        </w:tc>
      </w:tr>
      <w:tr w14:paraId="319E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2597499E">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w:t>
            </w:r>
          </w:p>
        </w:tc>
        <w:tc>
          <w:tcPr>
            <w:tcW w:w="5243" w:type="dxa"/>
            <w:noWrap/>
            <w:vAlign w:val="center"/>
          </w:tcPr>
          <w:p w14:paraId="37EFFED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不整理工作间/不清点保管清洁工具导致物品丢失</w:t>
            </w:r>
          </w:p>
        </w:tc>
        <w:tc>
          <w:tcPr>
            <w:tcW w:w="3288" w:type="dxa"/>
            <w:noWrap/>
            <w:vAlign w:val="center"/>
          </w:tcPr>
          <w:p w14:paraId="0D0FC8FC">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照价赔偿</w:t>
            </w:r>
          </w:p>
        </w:tc>
      </w:tr>
      <w:tr w14:paraId="1464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1B580C80">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w:t>
            </w:r>
          </w:p>
        </w:tc>
        <w:tc>
          <w:tcPr>
            <w:tcW w:w="5243" w:type="dxa"/>
            <w:noWrap/>
            <w:vAlign w:val="center"/>
          </w:tcPr>
          <w:p w14:paraId="1BE4407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不按时完成上级布置的工作，造成工作运转困难的</w:t>
            </w:r>
          </w:p>
        </w:tc>
        <w:tc>
          <w:tcPr>
            <w:tcW w:w="3288" w:type="dxa"/>
            <w:noWrap/>
            <w:vAlign w:val="center"/>
          </w:tcPr>
          <w:p w14:paraId="1E894D3A">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一次扣除8小时服务报酬</w:t>
            </w:r>
          </w:p>
        </w:tc>
      </w:tr>
      <w:tr w14:paraId="2006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6BF2182C">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w:t>
            </w:r>
          </w:p>
        </w:tc>
        <w:tc>
          <w:tcPr>
            <w:tcW w:w="5243" w:type="dxa"/>
            <w:noWrap/>
            <w:vAlign w:val="center"/>
          </w:tcPr>
          <w:p w14:paraId="419640F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未经主管批准，上下班迟到早退30分钟以内</w:t>
            </w:r>
          </w:p>
        </w:tc>
        <w:tc>
          <w:tcPr>
            <w:tcW w:w="3288" w:type="dxa"/>
            <w:noWrap/>
            <w:vAlign w:val="center"/>
          </w:tcPr>
          <w:p w14:paraId="3C478D5D">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一次扣除1小时服务报酬</w:t>
            </w:r>
          </w:p>
        </w:tc>
      </w:tr>
      <w:tr w14:paraId="0423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46CEB360">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w:t>
            </w:r>
          </w:p>
        </w:tc>
        <w:tc>
          <w:tcPr>
            <w:tcW w:w="5243" w:type="dxa"/>
            <w:noWrap/>
            <w:vAlign w:val="center"/>
          </w:tcPr>
          <w:p w14:paraId="02C44DF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未经主管批准，上下班迟到早退30分钟以上</w:t>
            </w:r>
          </w:p>
        </w:tc>
        <w:tc>
          <w:tcPr>
            <w:tcW w:w="3288" w:type="dxa"/>
            <w:noWrap/>
            <w:vAlign w:val="center"/>
          </w:tcPr>
          <w:p w14:paraId="3FF0636F">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一次扣除8小时服务报酬</w:t>
            </w:r>
          </w:p>
        </w:tc>
      </w:tr>
      <w:tr w14:paraId="3CB4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609588F4">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13</w:t>
            </w:r>
          </w:p>
        </w:tc>
        <w:tc>
          <w:tcPr>
            <w:tcW w:w="5243" w:type="dxa"/>
            <w:noWrap/>
            <w:vAlign w:val="center"/>
          </w:tcPr>
          <w:p w14:paraId="63B3F1F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未经主管批准，无故缺勤</w:t>
            </w:r>
          </w:p>
        </w:tc>
        <w:tc>
          <w:tcPr>
            <w:tcW w:w="3288" w:type="dxa"/>
            <w:vAlign w:val="center"/>
          </w:tcPr>
          <w:p w14:paraId="0955D40B">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缺勤1天扣除24小时服务报酬，并更换该服务人员</w:t>
            </w:r>
          </w:p>
        </w:tc>
      </w:tr>
      <w:tr w14:paraId="4F5B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6DB50529">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14</w:t>
            </w:r>
          </w:p>
        </w:tc>
        <w:tc>
          <w:tcPr>
            <w:tcW w:w="5243" w:type="dxa"/>
            <w:noWrap/>
            <w:vAlign w:val="center"/>
          </w:tcPr>
          <w:p w14:paraId="5493F91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不配合上级工作，故意拖延时间，工作效率较低</w:t>
            </w:r>
          </w:p>
        </w:tc>
        <w:tc>
          <w:tcPr>
            <w:tcW w:w="3288" w:type="dxa"/>
            <w:noWrap/>
            <w:vAlign w:val="center"/>
          </w:tcPr>
          <w:p w14:paraId="4BC7E9A8">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一次扣除8小时服务报酬</w:t>
            </w:r>
          </w:p>
        </w:tc>
      </w:tr>
      <w:tr w14:paraId="70DB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0A228418">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15</w:t>
            </w:r>
          </w:p>
        </w:tc>
        <w:tc>
          <w:tcPr>
            <w:tcW w:w="5243" w:type="dxa"/>
            <w:noWrap/>
            <w:vAlign w:val="center"/>
          </w:tcPr>
          <w:p w14:paraId="69323F12">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擅自使用客用品，客用设施或将酒店的客用品或物资带出酒店</w:t>
            </w:r>
          </w:p>
        </w:tc>
        <w:tc>
          <w:tcPr>
            <w:tcW w:w="3288" w:type="dxa"/>
            <w:vAlign w:val="center"/>
          </w:tcPr>
          <w:p w14:paraId="47AA71C7">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更换该服务人员，并按相关物资价格的3倍赔偿</w:t>
            </w:r>
          </w:p>
        </w:tc>
      </w:tr>
      <w:tr w14:paraId="2FED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360CD989">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w:t>
            </w:r>
          </w:p>
        </w:tc>
        <w:tc>
          <w:tcPr>
            <w:tcW w:w="5243" w:type="dxa"/>
            <w:noWrap/>
            <w:vAlign w:val="center"/>
          </w:tcPr>
          <w:p w14:paraId="2602370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客人遗留物品不上交给酒店</w:t>
            </w:r>
          </w:p>
        </w:tc>
        <w:tc>
          <w:tcPr>
            <w:tcW w:w="3288" w:type="dxa"/>
            <w:vAlign w:val="center"/>
          </w:tcPr>
          <w:p w14:paraId="3E070F91">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更换该服务人员，并扣除8小时服务报酬，同时保留报警权利</w:t>
            </w:r>
          </w:p>
        </w:tc>
      </w:tr>
      <w:tr w14:paraId="3FF1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35400DDD">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17</w:t>
            </w:r>
          </w:p>
        </w:tc>
        <w:tc>
          <w:tcPr>
            <w:tcW w:w="5243" w:type="dxa"/>
            <w:noWrap/>
            <w:vAlign w:val="center"/>
          </w:tcPr>
          <w:p w14:paraId="7560B44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当值时间缺岗、睡觉</w:t>
            </w:r>
          </w:p>
        </w:tc>
        <w:tc>
          <w:tcPr>
            <w:tcW w:w="3288" w:type="dxa"/>
            <w:noWrap/>
            <w:vAlign w:val="center"/>
          </w:tcPr>
          <w:p w14:paraId="19F0A4DE">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更换该服务人员，并扣除8小时服务报酬</w:t>
            </w:r>
          </w:p>
        </w:tc>
      </w:tr>
      <w:tr w14:paraId="6935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 w:type="dxa"/>
            <w:noWrap/>
            <w:vAlign w:val="center"/>
          </w:tcPr>
          <w:p w14:paraId="3356D9BE">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18</w:t>
            </w:r>
          </w:p>
        </w:tc>
        <w:tc>
          <w:tcPr>
            <w:tcW w:w="5243" w:type="dxa"/>
            <w:noWrap/>
            <w:vAlign w:val="center"/>
          </w:tcPr>
          <w:p w14:paraId="25EC1F5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挑拨、闹事、粗言秽语干扰正常工作秩序</w:t>
            </w:r>
          </w:p>
        </w:tc>
        <w:tc>
          <w:tcPr>
            <w:tcW w:w="3288" w:type="dxa"/>
            <w:noWrap/>
            <w:vAlign w:val="center"/>
          </w:tcPr>
          <w:p w14:paraId="6E7A69B3">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更换该服务人员，并扣除8小时服务报酬</w:t>
            </w:r>
          </w:p>
        </w:tc>
      </w:tr>
    </w:tbl>
    <w:p w14:paraId="5219F3E0">
      <w:pPr>
        <w:tabs>
          <w:tab w:val="left" w:pos="1843"/>
        </w:tabs>
        <w:spacing w:line="3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4.乙方必须严格管理下属服务人员，其服务人员需服从酒店的临时性安排和调遣，遵从甲方的管理规范。对不合符甲方要求的服务人员及时进行更换。</w:t>
      </w:r>
    </w:p>
    <w:p w14:paraId="48ADBCEE">
      <w:pPr>
        <w:tabs>
          <w:tab w:val="left" w:pos="1843"/>
        </w:tabs>
        <w:spacing w:line="3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5.乙方工作人员必须在部门按实际情况签到签退，月底核算时将比对签到记录，如遇签到记录不能吻合，则该服务人员的当日工作计量将不被认可。</w:t>
      </w: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14:paraId="4C35C729">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bookmarkEnd w:id="80"/>
    <w:p w14:paraId="46263B6C">
      <w:pPr>
        <w:pStyle w:val="3"/>
        <w:numPr>
          <w:ilvl w:val="0"/>
          <w:numId w:val="25"/>
        </w:numPr>
        <w:rPr>
          <w:rFonts w:hint="eastAsia" w:asciiTheme="minorEastAsia" w:hAnsiTheme="minorEastAsia" w:eastAsiaTheme="minorEastAsia" w:cstheme="minorEastAsia"/>
          <w:sz w:val="44"/>
          <w:szCs w:val="44"/>
        </w:rPr>
      </w:pPr>
      <w:bookmarkStart w:id="118" w:name="_Toc262105510"/>
      <w:bookmarkStart w:id="119" w:name="_Toc249758721"/>
      <w:bookmarkStart w:id="120" w:name="_Toc448846626"/>
      <w:bookmarkStart w:id="121" w:name="_Toc249758871"/>
      <w:bookmarkStart w:id="122" w:name="_Toc262049425"/>
      <w:r>
        <w:rPr>
          <w:rFonts w:hint="eastAsia" w:asciiTheme="minorEastAsia" w:hAnsiTheme="minorEastAsia" w:eastAsiaTheme="minorEastAsia" w:cstheme="minorEastAsia"/>
          <w:sz w:val="44"/>
          <w:szCs w:val="44"/>
        </w:rPr>
        <w:t xml:space="preserve"> 投标文件的编制格式</w:t>
      </w:r>
    </w:p>
    <w:p w14:paraId="43C27BAC">
      <w:pPr>
        <w:snapToGrid w:val="0"/>
        <w:spacing w:before="156" w:beforeLines="50" w:after="50"/>
        <w:jc w:val="center"/>
        <w:outlineLvl w:val="1"/>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一、投标文件外层包装封面格式</w:t>
      </w:r>
    </w:p>
    <w:p w14:paraId="170F3C5F">
      <w:pPr>
        <w:snapToGrid w:val="0"/>
        <w:spacing w:before="156" w:beforeLines="50" w:after="50"/>
        <w:jc w:val="center"/>
        <w:rPr>
          <w:rFonts w:hint="eastAsia"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mc:AlternateContent>
          <mc:Choice Requires="wps">
            <w:drawing>
              <wp:inline distT="0" distB="0" distL="114300" distR="114300">
                <wp:extent cx="5730875" cy="3418840"/>
                <wp:effectExtent l="4445" t="4445" r="10160" b="5715"/>
                <wp:docPr id="4" name="文本框 12"/>
                <wp:cNvGraphicFramePr/>
                <a:graphic xmlns:a="http://schemas.openxmlformats.org/drawingml/2006/main">
                  <a:graphicData uri="http://schemas.microsoft.com/office/word/2010/wordprocessingShape">
                    <wps:wsp>
                      <wps:cNvSpPr txBox="1"/>
                      <wps:spPr>
                        <a:xfrm>
                          <a:off x="0" y="0"/>
                          <a:ext cx="5730875" cy="3418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A84695">
                            <w:pPr>
                              <w:snapToGrid w:val="0"/>
                              <w:spacing w:before="156" w:beforeLines="50" w:after="50"/>
                              <w:jc w:val="center"/>
                              <w:rPr>
                                <w:rFonts w:hint="eastAsia" w:ascii="宋体" w:hAnsi="宋体"/>
                                <w:bCs/>
                                <w:sz w:val="24"/>
                                <w:szCs w:val="20"/>
                              </w:rPr>
                            </w:pPr>
                            <w:r>
                              <w:rPr>
                                <w:rFonts w:hint="eastAsia" w:ascii="宋体" w:hAnsi="宋体"/>
                                <w:bCs/>
                                <w:sz w:val="24"/>
                              </w:rPr>
                              <w:t>技术资信标</w:t>
                            </w:r>
                          </w:p>
                          <w:p w14:paraId="3BA8C82D">
                            <w:pPr>
                              <w:snapToGrid w:val="0"/>
                              <w:spacing w:before="156" w:beforeLines="50" w:after="50"/>
                              <w:rPr>
                                <w:rFonts w:hint="eastAsia" w:ascii="宋体" w:hAnsi="宋体"/>
                                <w:bCs/>
                                <w:sz w:val="24"/>
                                <w:szCs w:val="20"/>
                              </w:rPr>
                            </w:pPr>
                          </w:p>
                          <w:p w14:paraId="55143E8A">
                            <w:pPr>
                              <w:snapToGrid w:val="0"/>
                              <w:spacing w:before="156" w:beforeLines="50" w:after="50"/>
                              <w:ind w:firstLine="1068" w:firstLineChars="445"/>
                              <w:rPr>
                                <w:rFonts w:ascii="宋体"/>
                                <w:sz w:val="24"/>
                              </w:rPr>
                            </w:pPr>
                            <w:r>
                              <w:rPr>
                                <w:rFonts w:hint="eastAsia" w:ascii="宋体" w:hAnsi="宋体" w:cs="宋体"/>
                                <w:sz w:val="24"/>
                              </w:rPr>
                              <w:t>项目名称：</w:t>
                            </w:r>
                          </w:p>
                          <w:p w14:paraId="04B005F5">
                            <w:pPr>
                              <w:snapToGrid w:val="0"/>
                              <w:spacing w:before="156" w:beforeLines="50" w:after="50"/>
                              <w:ind w:firstLine="1068" w:firstLineChars="445"/>
                              <w:rPr>
                                <w:rFonts w:hint="eastAsia" w:ascii="宋体" w:hAnsi="宋体" w:cs="宋体"/>
                                <w:sz w:val="24"/>
                              </w:rPr>
                            </w:pPr>
                            <w:r>
                              <w:rPr>
                                <w:rFonts w:hint="eastAsia" w:ascii="宋体" w:hAnsi="宋体" w:cs="宋体"/>
                                <w:sz w:val="24"/>
                              </w:rPr>
                              <w:t>项目编号：</w:t>
                            </w:r>
                          </w:p>
                          <w:p w14:paraId="6FE148F7">
                            <w:pPr>
                              <w:snapToGrid w:val="0"/>
                              <w:spacing w:before="156"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盖公章</w:t>
                            </w:r>
                            <w:r>
                              <w:rPr>
                                <w:rFonts w:ascii="宋体" w:hAnsi="宋体" w:cs="宋体"/>
                                <w:kern w:val="0"/>
                                <w:sz w:val="24"/>
                              </w:rPr>
                              <w:t>)</w:t>
                            </w:r>
                            <w:r>
                              <w:rPr>
                                <w:rFonts w:hint="eastAsia" w:ascii="宋体" w:hAnsi="宋体" w:cs="宋体"/>
                                <w:sz w:val="24"/>
                              </w:rPr>
                              <w:t>：</w:t>
                            </w:r>
                          </w:p>
                          <w:p w14:paraId="30B91814">
                            <w:pPr>
                              <w:snapToGrid w:val="0"/>
                              <w:spacing w:before="156" w:beforeLines="50" w:after="50"/>
                              <w:ind w:firstLine="1068" w:firstLineChars="445"/>
                              <w:rPr>
                                <w:rFonts w:hint="eastAsia" w:ascii="宋体" w:hAnsi="宋体" w:cs="宋体"/>
                                <w:sz w:val="24"/>
                              </w:rPr>
                            </w:pPr>
                            <w:r>
                              <w:rPr>
                                <w:rFonts w:hint="eastAsia" w:ascii="宋体" w:hAnsi="宋体" w:cs="宋体"/>
                                <w:sz w:val="24"/>
                              </w:rPr>
                              <w:t>投标人地址：</w:t>
                            </w:r>
                          </w:p>
                          <w:p w14:paraId="47DD83EB">
                            <w:pPr>
                              <w:snapToGrid w:val="0"/>
                              <w:spacing w:before="156" w:beforeLines="50" w:after="50"/>
                              <w:ind w:firstLine="1068" w:firstLineChars="445"/>
                              <w:rPr>
                                <w:rFonts w:hint="eastAsia"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签字或盖章</w:t>
                            </w:r>
                            <w:r>
                              <w:rPr>
                                <w:rFonts w:ascii="宋体" w:hAnsi="宋体" w:cs="宋体"/>
                                <w:kern w:val="0"/>
                                <w:sz w:val="24"/>
                              </w:rPr>
                              <w:t>)</w:t>
                            </w:r>
                            <w:r>
                              <w:rPr>
                                <w:rFonts w:hint="eastAsia" w:ascii="宋体" w:hAnsi="宋体" w:cs="宋体"/>
                                <w:kern w:val="0"/>
                                <w:sz w:val="24"/>
                              </w:rPr>
                              <w:t>：</w:t>
                            </w:r>
                          </w:p>
                          <w:p w14:paraId="181AA13F">
                            <w:pPr>
                              <w:pStyle w:val="14"/>
                              <w:ind w:left="1170" w:right="-252" w:hanging="960"/>
                            </w:pPr>
                          </w:p>
                          <w:p w14:paraId="50A89D51">
                            <w:pPr>
                              <w:snapToGrid w:val="0"/>
                              <w:spacing w:before="156" w:beforeLines="50" w:after="50"/>
                              <w:jc w:val="center"/>
                              <w:outlineLvl w:val="1"/>
                              <w:rPr>
                                <w:rFonts w:ascii="宋体"/>
                                <w:sz w:val="24"/>
                              </w:rPr>
                            </w:pPr>
                            <w:bookmarkStart w:id="150" w:name="_Toc35422317"/>
                            <w:bookmarkStart w:id="151" w:name="_Toc35423267"/>
                            <w:bookmarkStart w:id="152" w:name="_Toc41423822"/>
                            <w:r>
                              <w:rPr>
                                <w:rFonts w:hint="eastAsia" w:ascii="宋体" w:hAnsi="宋体" w:cs="宋体"/>
                                <w:sz w:val="24"/>
                              </w:rPr>
                              <w:t>在    年   月   日   时   分之前不得启封</w:t>
                            </w:r>
                            <w:bookmarkEnd w:id="150"/>
                            <w:bookmarkEnd w:id="151"/>
                            <w:bookmarkEnd w:id="152"/>
                          </w:p>
                          <w:p w14:paraId="6FA80570">
                            <w:pPr>
                              <w:snapToGrid w:val="0"/>
                              <w:spacing w:before="156" w:beforeLines="50" w:after="50"/>
                              <w:ind w:firstLine="645"/>
                              <w:jc w:val="center"/>
                              <w:rPr>
                                <w:rFonts w:ascii="宋体"/>
                                <w:sz w:val="24"/>
                              </w:rPr>
                            </w:pPr>
                            <w:r>
                              <w:rPr>
                                <w:rFonts w:hint="eastAsia" w:ascii="宋体" w:hAnsi="宋体" w:cs="宋体"/>
                                <w:sz w:val="24"/>
                              </w:rPr>
                              <w:t xml:space="preserve"> 年   月    日</w:t>
                            </w:r>
                          </w:p>
                          <w:p w14:paraId="1BE591CD">
                            <w:pPr>
                              <w:snapToGrid w:val="0"/>
                              <w:spacing w:before="156" w:beforeLines="50" w:after="50"/>
                              <w:ind w:firstLine="1068" w:firstLineChars="445"/>
                              <w:jc w:val="right"/>
                              <w:rPr>
                                <w:rFonts w:hint="eastAsia" w:ascii="宋体" w:hAnsi="宋体"/>
                                <w:bCs/>
                                <w:sz w:val="24"/>
                              </w:rPr>
                            </w:pPr>
                          </w:p>
                        </w:txbxContent>
                      </wps:txbx>
                      <wps:bodyPr upright="1"/>
                    </wps:wsp>
                  </a:graphicData>
                </a:graphic>
              </wp:inline>
            </w:drawing>
          </mc:Choice>
          <mc:Fallback>
            <w:pict>
              <v:shape id="文本框 12" o:spid="_x0000_s1026" o:spt="202" type="#_x0000_t202" style="height:269.2pt;width:451.25pt;" fillcolor="#FFFFFF" filled="t" stroked="t" coordsize="21600,21600" o:gfxdata="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Y1nmtYAAAAFAQAADwAAAAAAAAABACAA&#10;AAAiAAAAZHJzL2Rvd25yZXYueG1sUEsBAhQAFAAAAAgAh07iQAbQw6cPAgAAOAQAAA4AAAAAAAAA&#10;AQAgAAAAJQEAAGRycy9lMm9Eb2MueG1sUEsFBgAAAAAGAAYAWQEAAKYFAAAAAA==&#10;">
                <v:fill on="t" focussize="0,0"/>
                <v:stroke color="#000000" joinstyle="miter"/>
                <v:imagedata o:title=""/>
                <o:lock v:ext="edit" aspectratio="f"/>
                <v:textbox>
                  <w:txbxContent>
                    <w:p w14:paraId="7DA84695">
                      <w:pPr>
                        <w:snapToGrid w:val="0"/>
                        <w:spacing w:before="156" w:beforeLines="50" w:after="50"/>
                        <w:jc w:val="center"/>
                        <w:rPr>
                          <w:rFonts w:hint="eastAsia" w:ascii="宋体" w:hAnsi="宋体"/>
                          <w:bCs/>
                          <w:sz w:val="24"/>
                          <w:szCs w:val="20"/>
                        </w:rPr>
                      </w:pPr>
                      <w:r>
                        <w:rPr>
                          <w:rFonts w:hint="eastAsia" w:ascii="宋体" w:hAnsi="宋体"/>
                          <w:bCs/>
                          <w:sz w:val="24"/>
                        </w:rPr>
                        <w:t>技术资信标</w:t>
                      </w:r>
                    </w:p>
                    <w:p w14:paraId="3BA8C82D">
                      <w:pPr>
                        <w:snapToGrid w:val="0"/>
                        <w:spacing w:before="156" w:beforeLines="50" w:after="50"/>
                        <w:rPr>
                          <w:rFonts w:hint="eastAsia" w:ascii="宋体" w:hAnsi="宋体"/>
                          <w:bCs/>
                          <w:sz w:val="24"/>
                          <w:szCs w:val="20"/>
                        </w:rPr>
                      </w:pPr>
                    </w:p>
                    <w:p w14:paraId="55143E8A">
                      <w:pPr>
                        <w:snapToGrid w:val="0"/>
                        <w:spacing w:before="156" w:beforeLines="50" w:after="50"/>
                        <w:ind w:firstLine="1068" w:firstLineChars="445"/>
                        <w:rPr>
                          <w:rFonts w:ascii="宋体"/>
                          <w:sz w:val="24"/>
                        </w:rPr>
                      </w:pPr>
                      <w:r>
                        <w:rPr>
                          <w:rFonts w:hint="eastAsia" w:ascii="宋体" w:hAnsi="宋体" w:cs="宋体"/>
                          <w:sz w:val="24"/>
                        </w:rPr>
                        <w:t>项目名称：</w:t>
                      </w:r>
                    </w:p>
                    <w:p w14:paraId="04B005F5">
                      <w:pPr>
                        <w:snapToGrid w:val="0"/>
                        <w:spacing w:before="156" w:beforeLines="50" w:after="50"/>
                        <w:ind w:firstLine="1068" w:firstLineChars="445"/>
                        <w:rPr>
                          <w:rFonts w:hint="eastAsia" w:ascii="宋体" w:hAnsi="宋体" w:cs="宋体"/>
                          <w:sz w:val="24"/>
                        </w:rPr>
                      </w:pPr>
                      <w:r>
                        <w:rPr>
                          <w:rFonts w:hint="eastAsia" w:ascii="宋体" w:hAnsi="宋体" w:cs="宋体"/>
                          <w:sz w:val="24"/>
                        </w:rPr>
                        <w:t>项目编号：</w:t>
                      </w:r>
                    </w:p>
                    <w:p w14:paraId="6FE148F7">
                      <w:pPr>
                        <w:snapToGrid w:val="0"/>
                        <w:spacing w:before="156"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盖公章</w:t>
                      </w:r>
                      <w:r>
                        <w:rPr>
                          <w:rFonts w:ascii="宋体" w:hAnsi="宋体" w:cs="宋体"/>
                          <w:kern w:val="0"/>
                          <w:sz w:val="24"/>
                        </w:rPr>
                        <w:t>)</w:t>
                      </w:r>
                      <w:r>
                        <w:rPr>
                          <w:rFonts w:hint="eastAsia" w:ascii="宋体" w:hAnsi="宋体" w:cs="宋体"/>
                          <w:sz w:val="24"/>
                        </w:rPr>
                        <w:t>：</w:t>
                      </w:r>
                    </w:p>
                    <w:p w14:paraId="30B91814">
                      <w:pPr>
                        <w:snapToGrid w:val="0"/>
                        <w:spacing w:before="156" w:beforeLines="50" w:after="50"/>
                        <w:ind w:firstLine="1068" w:firstLineChars="445"/>
                        <w:rPr>
                          <w:rFonts w:hint="eastAsia" w:ascii="宋体" w:hAnsi="宋体" w:cs="宋体"/>
                          <w:sz w:val="24"/>
                        </w:rPr>
                      </w:pPr>
                      <w:r>
                        <w:rPr>
                          <w:rFonts w:hint="eastAsia" w:ascii="宋体" w:hAnsi="宋体" w:cs="宋体"/>
                          <w:sz w:val="24"/>
                        </w:rPr>
                        <w:t>投标人地址：</w:t>
                      </w:r>
                    </w:p>
                    <w:p w14:paraId="47DD83EB">
                      <w:pPr>
                        <w:snapToGrid w:val="0"/>
                        <w:spacing w:before="156" w:beforeLines="50" w:after="50"/>
                        <w:ind w:firstLine="1068" w:firstLineChars="445"/>
                        <w:rPr>
                          <w:rFonts w:hint="eastAsia"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签字或盖章</w:t>
                      </w:r>
                      <w:r>
                        <w:rPr>
                          <w:rFonts w:ascii="宋体" w:hAnsi="宋体" w:cs="宋体"/>
                          <w:kern w:val="0"/>
                          <w:sz w:val="24"/>
                        </w:rPr>
                        <w:t>)</w:t>
                      </w:r>
                      <w:r>
                        <w:rPr>
                          <w:rFonts w:hint="eastAsia" w:ascii="宋体" w:hAnsi="宋体" w:cs="宋体"/>
                          <w:kern w:val="0"/>
                          <w:sz w:val="24"/>
                        </w:rPr>
                        <w:t>：</w:t>
                      </w:r>
                    </w:p>
                    <w:p w14:paraId="181AA13F">
                      <w:pPr>
                        <w:pStyle w:val="14"/>
                        <w:ind w:left="1170" w:right="-252" w:hanging="960"/>
                      </w:pPr>
                    </w:p>
                    <w:p w14:paraId="50A89D51">
                      <w:pPr>
                        <w:snapToGrid w:val="0"/>
                        <w:spacing w:before="156" w:beforeLines="50" w:after="50"/>
                        <w:jc w:val="center"/>
                        <w:outlineLvl w:val="1"/>
                        <w:rPr>
                          <w:rFonts w:ascii="宋体"/>
                          <w:sz w:val="24"/>
                        </w:rPr>
                      </w:pPr>
                      <w:bookmarkStart w:id="150" w:name="_Toc35422317"/>
                      <w:bookmarkStart w:id="151" w:name="_Toc35423267"/>
                      <w:bookmarkStart w:id="152" w:name="_Toc41423822"/>
                      <w:r>
                        <w:rPr>
                          <w:rFonts w:hint="eastAsia" w:ascii="宋体" w:hAnsi="宋体" w:cs="宋体"/>
                          <w:sz w:val="24"/>
                        </w:rPr>
                        <w:t>在    年   月   日   时   分之前不得启封</w:t>
                      </w:r>
                      <w:bookmarkEnd w:id="150"/>
                      <w:bookmarkEnd w:id="151"/>
                      <w:bookmarkEnd w:id="152"/>
                    </w:p>
                    <w:p w14:paraId="6FA80570">
                      <w:pPr>
                        <w:snapToGrid w:val="0"/>
                        <w:spacing w:before="156" w:beforeLines="50" w:after="50"/>
                        <w:ind w:firstLine="645"/>
                        <w:jc w:val="center"/>
                        <w:rPr>
                          <w:rFonts w:ascii="宋体"/>
                          <w:sz w:val="24"/>
                        </w:rPr>
                      </w:pPr>
                      <w:r>
                        <w:rPr>
                          <w:rFonts w:hint="eastAsia" w:ascii="宋体" w:hAnsi="宋体" w:cs="宋体"/>
                          <w:sz w:val="24"/>
                        </w:rPr>
                        <w:t xml:space="preserve"> 年   月    日</w:t>
                      </w:r>
                    </w:p>
                    <w:p w14:paraId="1BE591CD">
                      <w:pPr>
                        <w:snapToGrid w:val="0"/>
                        <w:spacing w:before="156" w:beforeLines="50" w:after="50"/>
                        <w:ind w:firstLine="1068" w:firstLineChars="445"/>
                        <w:jc w:val="right"/>
                        <w:rPr>
                          <w:rFonts w:hint="eastAsia" w:ascii="宋体" w:hAnsi="宋体"/>
                          <w:bCs/>
                          <w:sz w:val="24"/>
                        </w:rPr>
                      </w:pPr>
                    </w:p>
                  </w:txbxContent>
                </v:textbox>
                <w10:wrap type="none"/>
                <w10:anchorlock/>
              </v:shape>
            </w:pict>
          </mc:Fallback>
        </mc:AlternateContent>
      </w:r>
    </w:p>
    <w:p w14:paraId="3E8BB58B">
      <w:pPr>
        <w:pStyle w:val="10"/>
        <w:rPr>
          <w:rFonts w:hint="eastAsia" w:asciiTheme="minorEastAsia" w:hAnsiTheme="minorEastAsia" w:eastAsiaTheme="minorEastAsia" w:cstheme="minorEastAsia"/>
        </w:rPr>
      </w:pPr>
    </w:p>
    <w:p w14:paraId="10C075B5">
      <w:pPr>
        <w:pStyle w:val="10"/>
        <w:rPr>
          <w:rFonts w:hint="eastAsia" w:asciiTheme="minorEastAsia" w:hAnsiTheme="minorEastAsia" w:eastAsiaTheme="minorEastAsia" w:cstheme="minorEastAsia"/>
        </w:rPr>
      </w:pPr>
    </w:p>
    <w:p w14:paraId="42705CEC">
      <w:pPr>
        <w:pStyle w:val="10"/>
        <w:rPr>
          <w:rFonts w:hint="eastAsia" w:asciiTheme="minorEastAsia" w:hAnsiTheme="minorEastAsia" w:eastAsiaTheme="minorEastAsia" w:cstheme="minorEastAsia"/>
        </w:rPr>
      </w:pPr>
    </w:p>
    <w:p w14:paraId="6BA99E1A">
      <w:pPr>
        <w:snapToGrid w:val="0"/>
        <w:spacing w:before="156" w:beforeLines="50" w:after="50"/>
        <w:jc w:val="center"/>
        <w:outlineLvl w:val="1"/>
        <w:rPr>
          <w:rFonts w:hint="eastAsia" w:asciiTheme="minorEastAsia" w:hAnsiTheme="minorEastAsia" w:eastAsiaTheme="minorEastAsia" w:cstheme="minorEastAsia"/>
          <w:bCs/>
          <w:sz w:val="24"/>
          <w:szCs w:val="20"/>
        </w:rPr>
      </w:pPr>
      <w:bookmarkStart w:id="123" w:name="_Toc41423824"/>
      <w:bookmarkStart w:id="124" w:name="_Toc35423269"/>
      <w:r>
        <w:rPr>
          <w:rFonts w:hint="eastAsia" w:asciiTheme="minorEastAsia" w:hAnsiTheme="minorEastAsia" w:eastAsiaTheme="minorEastAsia" w:cstheme="minorEastAsia"/>
          <w:bCs/>
          <w:sz w:val="24"/>
          <w:szCs w:val="20"/>
        </w:rPr>
        <mc:AlternateContent>
          <mc:Choice Requires="wps">
            <w:drawing>
              <wp:inline distT="0" distB="0" distL="114300" distR="114300">
                <wp:extent cx="5734050" cy="3312795"/>
                <wp:effectExtent l="4445" t="4445" r="6985" b="5080"/>
                <wp:docPr id="5" name="文本框 11"/>
                <wp:cNvGraphicFramePr/>
                <a:graphic xmlns:a="http://schemas.openxmlformats.org/drawingml/2006/main">
                  <a:graphicData uri="http://schemas.microsoft.com/office/word/2010/wordprocessingShape">
                    <wps:wsp>
                      <wps:cNvSpPr txBox="1"/>
                      <wps:spPr>
                        <a:xfrm>
                          <a:off x="0" y="0"/>
                          <a:ext cx="5734050"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21E891">
                            <w:pPr>
                              <w:snapToGrid w:val="0"/>
                              <w:spacing w:before="156" w:beforeLines="50" w:after="50"/>
                              <w:jc w:val="center"/>
                              <w:rPr>
                                <w:rFonts w:hint="eastAsia" w:ascii="宋体" w:hAnsi="宋体"/>
                                <w:bCs/>
                                <w:sz w:val="24"/>
                                <w:szCs w:val="20"/>
                              </w:rPr>
                            </w:pPr>
                            <w:r>
                              <w:rPr>
                                <w:rFonts w:hint="eastAsia" w:ascii="宋体" w:hAnsi="宋体"/>
                                <w:bCs/>
                                <w:sz w:val="24"/>
                              </w:rPr>
                              <w:t>商务（报价）标</w:t>
                            </w:r>
                          </w:p>
                          <w:p w14:paraId="52E3F10B">
                            <w:pPr>
                              <w:snapToGrid w:val="0"/>
                              <w:spacing w:before="156" w:beforeLines="50" w:after="50"/>
                              <w:ind w:firstLine="1068" w:firstLineChars="445"/>
                              <w:rPr>
                                <w:rFonts w:ascii="宋体"/>
                                <w:sz w:val="24"/>
                              </w:rPr>
                            </w:pPr>
                            <w:r>
                              <w:rPr>
                                <w:rFonts w:hint="eastAsia" w:ascii="宋体" w:hAnsi="宋体" w:cs="宋体"/>
                                <w:sz w:val="24"/>
                              </w:rPr>
                              <w:t>项目名称：</w:t>
                            </w:r>
                          </w:p>
                          <w:p w14:paraId="0DA32245">
                            <w:pPr>
                              <w:snapToGrid w:val="0"/>
                              <w:spacing w:before="156" w:beforeLines="50" w:after="50"/>
                              <w:ind w:firstLine="1068" w:firstLineChars="445"/>
                              <w:rPr>
                                <w:rFonts w:hint="eastAsia" w:ascii="宋体" w:hAnsi="宋体" w:cs="宋体"/>
                                <w:sz w:val="24"/>
                              </w:rPr>
                            </w:pPr>
                            <w:r>
                              <w:rPr>
                                <w:rFonts w:hint="eastAsia" w:ascii="宋体" w:hAnsi="宋体" w:cs="宋体"/>
                                <w:sz w:val="24"/>
                              </w:rPr>
                              <w:t>项目编号：</w:t>
                            </w:r>
                          </w:p>
                          <w:p w14:paraId="46665A6D">
                            <w:pPr>
                              <w:snapToGrid w:val="0"/>
                              <w:spacing w:before="156"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盖公章</w:t>
                            </w:r>
                            <w:r>
                              <w:rPr>
                                <w:rFonts w:ascii="宋体" w:hAnsi="宋体" w:cs="宋体"/>
                                <w:kern w:val="0"/>
                                <w:sz w:val="24"/>
                              </w:rPr>
                              <w:t>)</w:t>
                            </w:r>
                            <w:r>
                              <w:rPr>
                                <w:rFonts w:hint="eastAsia" w:ascii="宋体" w:hAnsi="宋体" w:cs="宋体"/>
                                <w:sz w:val="24"/>
                              </w:rPr>
                              <w:t>：</w:t>
                            </w:r>
                          </w:p>
                          <w:p w14:paraId="5FA7EBA0">
                            <w:pPr>
                              <w:snapToGrid w:val="0"/>
                              <w:spacing w:before="156" w:beforeLines="50" w:after="50"/>
                              <w:ind w:firstLine="1068" w:firstLineChars="445"/>
                              <w:rPr>
                                <w:rFonts w:hint="eastAsia" w:ascii="宋体" w:hAnsi="宋体" w:cs="宋体"/>
                                <w:sz w:val="24"/>
                              </w:rPr>
                            </w:pPr>
                            <w:r>
                              <w:rPr>
                                <w:rFonts w:hint="eastAsia" w:ascii="宋体" w:hAnsi="宋体" w:cs="宋体"/>
                                <w:sz w:val="24"/>
                              </w:rPr>
                              <w:t>投标人地址：</w:t>
                            </w:r>
                          </w:p>
                          <w:p w14:paraId="480745C5">
                            <w:pPr>
                              <w:snapToGrid w:val="0"/>
                              <w:spacing w:before="156" w:beforeLines="50" w:after="50"/>
                              <w:ind w:firstLine="1068" w:firstLineChars="445"/>
                              <w:rPr>
                                <w:rFonts w:hint="eastAsia"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签字或盖章</w:t>
                            </w:r>
                            <w:r>
                              <w:rPr>
                                <w:rFonts w:ascii="宋体" w:hAnsi="宋体" w:cs="宋体"/>
                                <w:kern w:val="0"/>
                                <w:sz w:val="24"/>
                              </w:rPr>
                              <w:t>)</w:t>
                            </w:r>
                            <w:r>
                              <w:rPr>
                                <w:rFonts w:hint="eastAsia" w:ascii="宋体" w:hAnsi="宋体" w:cs="宋体"/>
                                <w:kern w:val="0"/>
                                <w:sz w:val="24"/>
                              </w:rPr>
                              <w:t>：</w:t>
                            </w:r>
                          </w:p>
                          <w:p w14:paraId="5A0C7EF1">
                            <w:pPr>
                              <w:pStyle w:val="14"/>
                              <w:ind w:left="1170" w:right="-252" w:hanging="960"/>
                            </w:pPr>
                          </w:p>
                          <w:p w14:paraId="2C6EBE5E">
                            <w:pPr>
                              <w:snapToGrid w:val="0"/>
                              <w:spacing w:before="156" w:beforeLines="50" w:after="50"/>
                              <w:jc w:val="center"/>
                              <w:outlineLvl w:val="1"/>
                              <w:rPr>
                                <w:rFonts w:ascii="宋体"/>
                                <w:sz w:val="24"/>
                              </w:rPr>
                            </w:pPr>
                            <w:bookmarkStart w:id="153" w:name="_Toc41423823"/>
                            <w:bookmarkStart w:id="154" w:name="_Toc35422318"/>
                            <w:bookmarkStart w:id="155" w:name="_Toc35423268"/>
                            <w:r>
                              <w:rPr>
                                <w:rFonts w:hint="eastAsia" w:ascii="宋体" w:hAnsi="宋体" w:cs="宋体"/>
                                <w:sz w:val="24"/>
                              </w:rPr>
                              <w:t>在    年   月   日   时   分之前不得启封</w:t>
                            </w:r>
                            <w:bookmarkEnd w:id="153"/>
                            <w:bookmarkEnd w:id="154"/>
                            <w:bookmarkEnd w:id="155"/>
                          </w:p>
                          <w:p w14:paraId="2F89D552">
                            <w:pPr>
                              <w:snapToGrid w:val="0"/>
                              <w:spacing w:before="156" w:beforeLines="50" w:after="50"/>
                              <w:ind w:firstLine="645"/>
                              <w:jc w:val="center"/>
                              <w:rPr>
                                <w:rFonts w:ascii="宋体"/>
                                <w:sz w:val="24"/>
                              </w:rPr>
                            </w:pPr>
                            <w:r>
                              <w:rPr>
                                <w:rFonts w:hint="eastAsia" w:ascii="宋体" w:hAnsi="宋体" w:cs="宋体"/>
                                <w:sz w:val="24"/>
                              </w:rPr>
                              <w:t xml:space="preserve"> 年   月    日</w:t>
                            </w:r>
                          </w:p>
                          <w:p w14:paraId="55C974F8"/>
                        </w:txbxContent>
                      </wps:txbx>
                      <wps:bodyPr upright="1"/>
                    </wps:wsp>
                  </a:graphicData>
                </a:graphic>
              </wp:inline>
            </w:drawing>
          </mc:Choice>
          <mc:Fallback>
            <w:pict>
              <v:shape id="文本框 11" o:spid="_x0000_s1026" o:spt="202" type="#_x0000_t202" style="height:260.85pt;width:451.5pt;" fillcolor="#FFFFFF" filled="t" stroked="t" coordsize="21600,21600" o:gfxdata="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tTI61QAAAAUBAAAPAAAAAAAAAAEAIAAAACIA&#10;AABkcnMvZG93bnJldi54bWxQSwECFAAUAAAACACHTuJAWhzRfwwCAAA4BAAADgAAAAAAAAABACAA&#10;AAAkAQAAZHJzL2Uyb0RvYy54bWxQSwUGAAAAAAYABgBZAQAAogUAAAAA&#10;">
                <v:fill on="t" focussize="0,0"/>
                <v:stroke color="#000000" joinstyle="miter"/>
                <v:imagedata o:title=""/>
                <o:lock v:ext="edit" aspectratio="f"/>
                <v:textbox>
                  <w:txbxContent>
                    <w:p w14:paraId="7F21E891">
                      <w:pPr>
                        <w:snapToGrid w:val="0"/>
                        <w:spacing w:before="156" w:beforeLines="50" w:after="50"/>
                        <w:jc w:val="center"/>
                        <w:rPr>
                          <w:rFonts w:hint="eastAsia" w:ascii="宋体" w:hAnsi="宋体"/>
                          <w:bCs/>
                          <w:sz w:val="24"/>
                          <w:szCs w:val="20"/>
                        </w:rPr>
                      </w:pPr>
                      <w:r>
                        <w:rPr>
                          <w:rFonts w:hint="eastAsia" w:ascii="宋体" w:hAnsi="宋体"/>
                          <w:bCs/>
                          <w:sz w:val="24"/>
                        </w:rPr>
                        <w:t>商务（报价）标</w:t>
                      </w:r>
                    </w:p>
                    <w:p w14:paraId="52E3F10B">
                      <w:pPr>
                        <w:snapToGrid w:val="0"/>
                        <w:spacing w:before="156" w:beforeLines="50" w:after="50"/>
                        <w:ind w:firstLine="1068" w:firstLineChars="445"/>
                        <w:rPr>
                          <w:rFonts w:ascii="宋体"/>
                          <w:sz w:val="24"/>
                        </w:rPr>
                      </w:pPr>
                      <w:r>
                        <w:rPr>
                          <w:rFonts w:hint="eastAsia" w:ascii="宋体" w:hAnsi="宋体" w:cs="宋体"/>
                          <w:sz w:val="24"/>
                        </w:rPr>
                        <w:t>项目名称：</w:t>
                      </w:r>
                    </w:p>
                    <w:p w14:paraId="0DA32245">
                      <w:pPr>
                        <w:snapToGrid w:val="0"/>
                        <w:spacing w:before="156" w:beforeLines="50" w:after="50"/>
                        <w:ind w:firstLine="1068" w:firstLineChars="445"/>
                        <w:rPr>
                          <w:rFonts w:hint="eastAsia" w:ascii="宋体" w:hAnsi="宋体" w:cs="宋体"/>
                          <w:sz w:val="24"/>
                        </w:rPr>
                      </w:pPr>
                      <w:r>
                        <w:rPr>
                          <w:rFonts w:hint="eastAsia" w:ascii="宋体" w:hAnsi="宋体" w:cs="宋体"/>
                          <w:sz w:val="24"/>
                        </w:rPr>
                        <w:t>项目编号：</w:t>
                      </w:r>
                    </w:p>
                    <w:p w14:paraId="46665A6D">
                      <w:pPr>
                        <w:snapToGrid w:val="0"/>
                        <w:spacing w:before="156"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盖公章</w:t>
                      </w:r>
                      <w:r>
                        <w:rPr>
                          <w:rFonts w:ascii="宋体" w:hAnsi="宋体" w:cs="宋体"/>
                          <w:kern w:val="0"/>
                          <w:sz w:val="24"/>
                        </w:rPr>
                        <w:t>)</w:t>
                      </w:r>
                      <w:r>
                        <w:rPr>
                          <w:rFonts w:hint="eastAsia" w:ascii="宋体" w:hAnsi="宋体" w:cs="宋体"/>
                          <w:sz w:val="24"/>
                        </w:rPr>
                        <w:t>：</w:t>
                      </w:r>
                    </w:p>
                    <w:p w14:paraId="5FA7EBA0">
                      <w:pPr>
                        <w:snapToGrid w:val="0"/>
                        <w:spacing w:before="156" w:beforeLines="50" w:after="50"/>
                        <w:ind w:firstLine="1068" w:firstLineChars="445"/>
                        <w:rPr>
                          <w:rFonts w:hint="eastAsia" w:ascii="宋体" w:hAnsi="宋体" w:cs="宋体"/>
                          <w:sz w:val="24"/>
                        </w:rPr>
                      </w:pPr>
                      <w:r>
                        <w:rPr>
                          <w:rFonts w:hint="eastAsia" w:ascii="宋体" w:hAnsi="宋体" w:cs="宋体"/>
                          <w:sz w:val="24"/>
                        </w:rPr>
                        <w:t>投标人地址：</w:t>
                      </w:r>
                    </w:p>
                    <w:p w14:paraId="480745C5">
                      <w:pPr>
                        <w:snapToGrid w:val="0"/>
                        <w:spacing w:before="156" w:beforeLines="50" w:after="50"/>
                        <w:ind w:firstLine="1068" w:firstLineChars="445"/>
                        <w:rPr>
                          <w:rFonts w:hint="eastAsia"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签字或盖章</w:t>
                      </w:r>
                      <w:r>
                        <w:rPr>
                          <w:rFonts w:ascii="宋体" w:hAnsi="宋体" w:cs="宋体"/>
                          <w:kern w:val="0"/>
                          <w:sz w:val="24"/>
                        </w:rPr>
                        <w:t>)</w:t>
                      </w:r>
                      <w:r>
                        <w:rPr>
                          <w:rFonts w:hint="eastAsia" w:ascii="宋体" w:hAnsi="宋体" w:cs="宋体"/>
                          <w:kern w:val="0"/>
                          <w:sz w:val="24"/>
                        </w:rPr>
                        <w:t>：</w:t>
                      </w:r>
                    </w:p>
                    <w:p w14:paraId="5A0C7EF1">
                      <w:pPr>
                        <w:pStyle w:val="14"/>
                        <w:ind w:left="1170" w:right="-252" w:hanging="960"/>
                      </w:pPr>
                    </w:p>
                    <w:p w14:paraId="2C6EBE5E">
                      <w:pPr>
                        <w:snapToGrid w:val="0"/>
                        <w:spacing w:before="156" w:beforeLines="50" w:after="50"/>
                        <w:jc w:val="center"/>
                        <w:outlineLvl w:val="1"/>
                        <w:rPr>
                          <w:rFonts w:ascii="宋体"/>
                          <w:sz w:val="24"/>
                        </w:rPr>
                      </w:pPr>
                      <w:bookmarkStart w:id="153" w:name="_Toc41423823"/>
                      <w:bookmarkStart w:id="154" w:name="_Toc35422318"/>
                      <w:bookmarkStart w:id="155" w:name="_Toc35423268"/>
                      <w:r>
                        <w:rPr>
                          <w:rFonts w:hint="eastAsia" w:ascii="宋体" w:hAnsi="宋体" w:cs="宋体"/>
                          <w:sz w:val="24"/>
                        </w:rPr>
                        <w:t>在    年   月   日   时   分之前不得启封</w:t>
                      </w:r>
                      <w:bookmarkEnd w:id="153"/>
                      <w:bookmarkEnd w:id="154"/>
                      <w:bookmarkEnd w:id="155"/>
                    </w:p>
                    <w:p w14:paraId="2F89D552">
                      <w:pPr>
                        <w:snapToGrid w:val="0"/>
                        <w:spacing w:before="156" w:beforeLines="50" w:after="50"/>
                        <w:ind w:firstLine="645"/>
                        <w:jc w:val="center"/>
                        <w:rPr>
                          <w:rFonts w:ascii="宋体"/>
                          <w:sz w:val="24"/>
                        </w:rPr>
                      </w:pPr>
                      <w:r>
                        <w:rPr>
                          <w:rFonts w:hint="eastAsia" w:ascii="宋体" w:hAnsi="宋体" w:cs="宋体"/>
                          <w:sz w:val="24"/>
                        </w:rPr>
                        <w:t xml:space="preserve"> 年   月    日</w:t>
                      </w:r>
                    </w:p>
                    <w:p w14:paraId="55C974F8"/>
                  </w:txbxContent>
                </v:textbox>
                <w10:wrap type="none"/>
                <w10:anchorlock/>
              </v:shape>
            </w:pict>
          </mc:Fallback>
        </mc:AlternateContent>
      </w:r>
      <w:bookmarkEnd w:id="123"/>
      <w:bookmarkEnd w:id="124"/>
    </w:p>
    <w:p w14:paraId="65233983">
      <w:p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Cs/>
          <w:sz w:val="24"/>
          <w:szCs w:val="20"/>
        </w:rPr>
        <w:br w:type="page"/>
      </w:r>
    </w:p>
    <w:p w14:paraId="1362505A">
      <w:pPr>
        <w:jc w:val="left"/>
        <w:rPr>
          <w:rFonts w:hint="eastAsia" w:asciiTheme="minorEastAsia" w:hAnsiTheme="minorEastAsia" w:eastAsiaTheme="minorEastAsia" w:cstheme="minorEastAsia"/>
          <w:b/>
          <w:bCs/>
          <w:sz w:val="28"/>
          <w:szCs w:val="28"/>
        </w:rPr>
      </w:pPr>
    </w:p>
    <w:p w14:paraId="3DB1468A">
      <w:pPr>
        <w:spacing w:line="460" w:lineRule="exact"/>
        <w:jc w:val="center"/>
        <w:rPr>
          <w:rFonts w:hint="eastAsia" w:asciiTheme="minorEastAsia" w:hAnsiTheme="minorEastAsia" w:eastAsiaTheme="minorEastAsia" w:cstheme="minorEastAsia"/>
          <w:b/>
          <w:bCs/>
          <w:sz w:val="28"/>
          <w:szCs w:val="28"/>
        </w:rPr>
      </w:pPr>
    </w:p>
    <w:p w14:paraId="54EBFEAA">
      <w:pPr>
        <w:spacing w:before="156" w:beforeLines="50" w:after="156" w:afterLines="5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（技术资信标封面，供参考）</w:t>
      </w:r>
    </w:p>
    <w:p w14:paraId="7C959420">
      <w:pPr>
        <w:pStyle w:val="14"/>
        <w:ind w:left="1170" w:hanging="960"/>
        <w:jc w:val="right"/>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szCs w:val="32"/>
        </w:rPr>
        <w:t>正本（副本）</w:t>
      </w:r>
    </w:p>
    <w:p w14:paraId="11607DB3">
      <w:pPr>
        <w:rPr>
          <w:rFonts w:hint="eastAsia" w:asciiTheme="minorEastAsia" w:hAnsiTheme="minorEastAsia" w:eastAsiaTheme="minorEastAsia" w:cstheme="minorEastAsia"/>
        </w:rPr>
      </w:pPr>
    </w:p>
    <w:p w14:paraId="3DC2E90F">
      <w:pPr>
        <w:rPr>
          <w:rFonts w:hint="eastAsia" w:asciiTheme="minorEastAsia" w:hAnsiTheme="minorEastAsia" w:eastAsiaTheme="minorEastAsia" w:cstheme="minorEastAsia"/>
        </w:rPr>
      </w:pPr>
    </w:p>
    <w:p w14:paraId="7973C4A7">
      <w:pPr>
        <w:rPr>
          <w:rFonts w:hint="eastAsia" w:asciiTheme="minorEastAsia" w:hAnsiTheme="minorEastAsia" w:eastAsiaTheme="minorEastAsia" w:cstheme="minorEastAsia"/>
        </w:rPr>
      </w:pPr>
    </w:p>
    <w:p w14:paraId="694C438F">
      <w:pPr>
        <w:pStyle w:val="14"/>
        <w:ind w:left="1170" w:hanging="960"/>
        <w:rPr>
          <w:rFonts w:hint="eastAsia" w:asciiTheme="minorEastAsia" w:hAnsiTheme="minorEastAsia" w:eastAsiaTheme="minorEastAsia" w:cstheme="minorEastAsia"/>
        </w:rPr>
      </w:pPr>
    </w:p>
    <w:p w14:paraId="2DC8BFC2">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（项目名称、项目编号）              </w:t>
      </w:r>
      <w:r>
        <w:rPr>
          <w:rFonts w:hint="eastAsia" w:asciiTheme="minorEastAsia" w:hAnsiTheme="minorEastAsia" w:eastAsiaTheme="minorEastAsia" w:cstheme="minorEastAsia"/>
          <w:sz w:val="28"/>
          <w:szCs w:val="28"/>
        </w:rPr>
        <w:t>投标文件</w:t>
      </w:r>
    </w:p>
    <w:p w14:paraId="09714428">
      <w:pPr>
        <w:jc w:val="center"/>
        <w:rPr>
          <w:rFonts w:hint="eastAsia" w:asciiTheme="minorEastAsia" w:hAnsiTheme="minorEastAsia" w:eastAsiaTheme="minorEastAsia" w:cstheme="minorEastAsia"/>
          <w:sz w:val="52"/>
          <w:szCs w:val="52"/>
        </w:rPr>
      </w:pPr>
    </w:p>
    <w:p w14:paraId="59505B5E">
      <w:pPr>
        <w:jc w:val="center"/>
        <w:rPr>
          <w:rFonts w:hint="eastAsia" w:asciiTheme="minorEastAsia" w:hAnsiTheme="minorEastAsia" w:eastAsiaTheme="minorEastAsia" w:cstheme="minorEastAsia"/>
          <w:sz w:val="52"/>
          <w:szCs w:val="52"/>
        </w:rPr>
      </w:pPr>
    </w:p>
    <w:p w14:paraId="7ACDFEC2">
      <w:pPr>
        <w:jc w:val="center"/>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z w:val="52"/>
          <w:szCs w:val="52"/>
        </w:rPr>
        <w:t>技 术 资 信 标</w:t>
      </w:r>
    </w:p>
    <w:p w14:paraId="4BB361F8">
      <w:pPr>
        <w:jc w:val="center"/>
        <w:rPr>
          <w:rFonts w:hint="eastAsia" w:asciiTheme="minorEastAsia" w:hAnsiTheme="minorEastAsia" w:eastAsiaTheme="minorEastAsia" w:cstheme="minorEastAsia"/>
          <w:sz w:val="52"/>
          <w:szCs w:val="52"/>
        </w:rPr>
      </w:pPr>
    </w:p>
    <w:p w14:paraId="3BC24CEC">
      <w:pPr>
        <w:jc w:val="center"/>
        <w:rPr>
          <w:rFonts w:hint="eastAsia" w:asciiTheme="minorEastAsia" w:hAnsiTheme="minorEastAsia" w:eastAsiaTheme="minorEastAsia" w:cstheme="minorEastAsia"/>
          <w:sz w:val="52"/>
          <w:szCs w:val="52"/>
        </w:rPr>
      </w:pPr>
    </w:p>
    <w:p w14:paraId="280DCDCE">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投标供应商：</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（盖单位章）</w:t>
      </w:r>
    </w:p>
    <w:p w14:paraId="349D2A09">
      <w:pPr>
        <w:rPr>
          <w:rFonts w:hint="eastAsia" w:asciiTheme="minorEastAsia" w:hAnsiTheme="minorEastAsia" w:eastAsiaTheme="minorEastAsia" w:cstheme="minorEastAsia"/>
          <w:sz w:val="28"/>
          <w:szCs w:val="28"/>
          <w:u w:val="single"/>
        </w:rPr>
      </w:pPr>
    </w:p>
    <w:p w14:paraId="0C6258B7">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（签字或盖章）</w:t>
      </w:r>
    </w:p>
    <w:p w14:paraId="33F215DC">
      <w:pPr>
        <w:rPr>
          <w:rFonts w:hint="eastAsia" w:asciiTheme="minorEastAsia" w:hAnsiTheme="minorEastAsia" w:eastAsiaTheme="minorEastAsia" w:cstheme="minorEastAsia"/>
          <w:sz w:val="28"/>
          <w:szCs w:val="28"/>
        </w:rPr>
      </w:pPr>
    </w:p>
    <w:p w14:paraId="693D674B">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14:paraId="73B0A84C">
      <w:pPr>
        <w:pStyle w:val="11"/>
        <w:ind w:firstLine="0" w:firstLineChars="0"/>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rPr>
        <w:br w:type="page"/>
      </w:r>
      <w:bookmarkStart w:id="125" w:name="_Toc465107615"/>
      <w:bookmarkStart w:id="126" w:name="_Toc152045787"/>
      <w:bookmarkStart w:id="127" w:name="_Toc144974856"/>
      <w:bookmarkStart w:id="128" w:name="_Toc247514246"/>
      <w:bookmarkStart w:id="129" w:name="_Toc152042576"/>
      <w:bookmarkStart w:id="130" w:name="_Toc247527827"/>
      <w:r>
        <w:rPr>
          <w:rFonts w:hint="eastAsia" w:asciiTheme="minorEastAsia" w:hAnsiTheme="minorEastAsia" w:eastAsiaTheme="minorEastAsia" w:cstheme="minorEastAsia"/>
          <w:b/>
          <w:bCs/>
          <w:sz w:val="52"/>
          <w:szCs w:val="52"/>
        </w:rPr>
        <w:t>目    录</w:t>
      </w:r>
      <w:bookmarkEnd w:id="125"/>
      <w:bookmarkEnd w:id="126"/>
      <w:bookmarkEnd w:id="127"/>
      <w:bookmarkEnd w:id="128"/>
      <w:bookmarkEnd w:id="129"/>
      <w:bookmarkEnd w:id="130"/>
    </w:p>
    <w:p w14:paraId="5B3555B5">
      <w:pPr>
        <w:rPr>
          <w:rFonts w:hint="eastAsia" w:asciiTheme="minorEastAsia" w:hAnsiTheme="minorEastAsia" w:eastAsiaTheme="minorEastAsia" w:cstheme="minorEastAsia"/>
        </w:rPr>
      </w:pPr>
    </w:p>
    <w:tbl>
      <w:tblPr>
        <w:tblStyle w:val="29"/>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6951"/>
        <w:gridCol w:w="1049"/>
      </w:tblGrid>
      <w:tr w14:paraId="53F9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825E263">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序号</w:t>
            </w:r>
          </w:p>
        </w:tc>
        <w:tc>
          <w:tcPr>
            <w:tcW w:w="6951" w:type="dxa"/>
            <w:vAlign w:val="center"/>
          </w:tcPr>
          <w:p w14:paraId="506ABD71">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内  容</w:t>
            </w:r>
          </w:p>
        </w:tc>
        <w:tc>
          <w:tcPr>
            <w:tcW w:w="1049" w:type="dxa"/>
            <w:vAlign w:val="center"/>
          </w:tcPr>
          <w:p w14:paraId="29F26AD9">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备注</w:t>
            </w:r>
          </w:p>
        </w:tc>
      </w:tr>
      <w:tr w14:paraId="75DE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2866B2B">
            <w:pPr>
              <w:spacing w:line="280" w:lineRule="exact"/>
              <w:jc w:val="center"/>
              <w:rPr>
                <w:rFonts w:hint="eastAsia" w:asciiTheme="minorEastAsia" w:hAnsiTheme="minorEastAsia" w:eastAsiaTheme="minorEastAsia" w:cstheme="minorEastAsia"/>
                <w:b/>
                <w:sz w:val="18"/>
                <w:szCs w:val="18"/>
              </w:rPr>
            </w:pPr>
          </w:p>
        </w:tc>
        <w:tc>
          <w:tcPr>
            <w:tcW w:w="6951" w:type="dxa"/>
            <w:vAlign w:val="center"/>
          </w:tcPr>
          <w:p w14:paraId="69CA21FE">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w:t>针对评分细则，编制目录索引，注明评标细则项目所在投标文件页码，格式自拟</w:t>
            </w:r>
          </w:p>
        </w:tc>
        <w:tc>
          <w:tcPr>
            <w:tcW w:w="1049" w:type="dxa"/>
            <w:vAlign w:val="center"/>
          </w:tcPr>
          <w:p w14:paraId="0A86F128">
            <w:pPr>
              <w:spacing w:line="280" w:lineRule="exact"/>
              <w:jc w:val="center"/>
              <w:rPr>
                <w:rFonts w:hint="eastAsia" w:asciiTheme="minorEastAsia" w:hAnsiTheme="minorEastAsia" w:eastAsiaTheme="minorEastAsia" w:cstheme="minorEastAsia"/>
                <w:b/>
                <w:sz w:val="18"/>
                <w:szCs w:val="18"/>
              </w:rPr>
            </w:pPr>
          </w:p>
        </w:tc>
      </w:tr>
      <w:tr w14:paraId="747F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ADED8FD">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951" w:type="dxa"/>
            <w:vAlign w:val="center"/>
          </w:tcPr>
          <w:p w14:paraId="0237626B">
            <w:pPr>
              <w:spacing w:line="28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投标函</w:t>
            </w:r>
          </w:p>
        </w:tc>
        <w:tc>
          <w:tcPr>
            <w:tcW w:w="1049" w:type="dxa"/>
            <w:vAlign w:val="center"/>
          </w:tcPr>
          <w:p w14:paraId="21C743C4">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附件一</w:t>
            </w:r>
          </w:p>
        </w:tc>
      </w:tr>
      <w:tr w14:paraId="2141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B478FDF">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951" w:type="dxa"/>
            <w:vAlign w:val="center"/>
          </w:tcPr>
          <w:p w14:paraId="63673959">
            <w:pPr>
              <w:spacing w:line="28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技术规格、商务条款偏离表</w:t>
            </w:r>
          </w:p>
        </w:tc>
        <w:tc>
          <w:tcPr>
            <w:tcW w:w="1049" w:type="dxa"/>
            <w:vAlign w:val="center"/>
          </w:tcPr>
          <w:p w14:paraId="0A0FF549">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附件二</w:t>
            </w:r>
          </w:p>
        </w:tc>
      </w:tr>
      <w:tr w14:paraId="182C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D77E6E9">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951" w:type="dxa"/>
            <w:vAlign w:val="center"/>
          </w:tcPr>
          <w:p w14:paraId="2BE2710E">
            <w:pPr>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b/>
                <w:bCs/>
                <w:sz w:val="18"/>
                <w:szCs w:val="18"/>
                <w:u w:val="single"/>
              </w:rPr>
              <w:t>▲</w:t>
            </w:r>
            <w:r>
              <w:rPr>
                <w:rFonts w:hint="eastAsia" w:asciiTheme="minorEastAsia" w:hAnsiTheme="minorEastAsia" w:eastAsiaTheme="minorEastAsia" w:cstheme="minorEastAsia"/>
                <w:b/>
                <w:sz w:val="18"/>
                <w:szCs w:val="18"/>
                <w:u w:val="single"/>
              </w:rPr>
              <w:t>资格证明文件（本部分（1）、（2）、（3）、（4）为投标人资格审查内容，为实质性要求）：</w:t>
            </w:r>
          </w:p>
        </w:tc>
        <w:tc>
          <w:tcPr>
            <w:tcW w:w="1049" w:type="dxa"/>
            <w:vAlign w:val="center"/>
          </w:tcPr>
          <w:p w14:paraId="2917FC08">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附件三</w:t>
            </w:r>
          </w:p>
        </w:tc>
      </w:tr>
      <w:tr w14:paraId="73D6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E23F4A3">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951" w:type="dxa"/>
            <w:vAlign w:val="center"/>
          </w:tcPr>
          <w:p w14:paraId="446D18AF">
            <w:pPr>
              <w:tabs>
                <w:tab w:val="left" w:pos="5355"/>
              </w:tabs>
              <w:spacing w:line="280" w:lineRule="exact"/>
              <w:rPr>
                <w:rFonts w:hint="eastAsia" w:asciiTheme="minorEastAsia" w:hAnsiTheme="minorEastAsia" w:eastAsiaTheme="minorEastAsia" w:cstheme="minorEastAsia"/>
                <w:b/>
                <w:bCs/>
                <w:sz w:val="18"/>
                <w:szCs w:val="18"/>
                <w:u w:val="single"/>
              </w:rPr>
            </w:pPr>
            <w:r>
              <w:rPr>
                <w:rFonts w:hint="eastAsia" w:asciiTheme="minorEastAsia" w:hAnsiTheme="minorEastAsia" w:eastAsiaTheme="minorEastAsia" w:cstheme="minorEastAsia"/>
                <w:sz w:val="18"/>
                <w:szCs w:val="18"/>
                <w:u w:val="single"/>
              </w:rPr>
              <w:t>法定代表人授权书（如授权代表人参加投标时提供）</w:t>
            </w:r>
          </w:p>
        </w:tc>
        <w:tc>
          <w:tcPr>
            <w:tcW w:w="1049" w:type="dxa"/>
            <w:vAlign w:val="center"/>
          </w:tcPr>
          <w:p w14:paraId="2858DB00">
            <w:pPr>
              <w:spacing w:line="280" w:lineRule="exact"/>
              <w:jc w:val="center"/>
              <w:rPr>
                <w:rFonts w:hint="eastAsia" w:asciiTheme="minorEastAsia" w:hAnsiTheme="minorEastAsia" w:eastAsiaTheme="minorEastAsia" w:cstheme="minorEastAsia"/>
                <w:sz w:val="18"/>
                <w:szCs w:val="18"/>
              </w:rPr>
            </w:pPr>
          </w:p>
        </w:tc>
      </w:tr>
      <w:tr w14:paraId="5A5A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1058E5D">
            <w:pPr>
              <w:spacing w:line="280" w:lineRule="exact"/>
              <w:jc w:val="center"/>
              <w:rPr>
                <w:rFonts w:hint="eastAsia" w:asciiTheme="minorEastAsia" w:hAnsiTheme="minorEastAsia" w:eastAsiaTheme="minorEastAsia" w:cstheme="minorEastAsia"/>
                <w:sz w:val="18"/>
                <w:szCs w:val="18"/>
              </w:rPr>
            </w:pPr>
          </w:p>
        </w:tc>
        <w:tc>
          <w:tcPr>
            <w:tcW w:w="6951" w:type="dxa"/>
            <w:vAlign w:val="center"/>
          </w:tcPr>
          <w:p w14:paraId="4D332EEC">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法定代表人资格证明书</w:t>
            </w:r>
          </w:p>
        </w:tc>
        <w:tc>
          <w:tcPr>
            <w:tcW w:w="1049" w:type="dxa"/>
            <w:vAlign w:val="center"/>
          </w:tcPr>
          <w:p w14:paraId="3F9BE2DC">
            <w:pPr>
              <w:spacing w:line="280" w:lineRule="exact"/>
              <w:jc w:val="center"/>
              <w:rPr>
                <w:rFonts w:hint="eastAsia" w:asciiTheme="minorEastAsia" w:hAnsiTheme="minorEastAsia" w:eastAsiaTheme="minorEastAsia" w:cstheme="minorEastAsia"/>
                <w:sz w:val="18"/>
                <w:szCs w:val="18"/>
              </w:rPr>
            </w:pPr>
          </w:p>
        </w:tc>
      </w:tr>
      <w:tr w14:paraId="151F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DB74223">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951" w:type="dxa"/>
            <w:vAlign w:val="center"/>
          </w:tcPr>
          <w:p w14:paraId="2A7133C0">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企业法人有效营业执照</w:t>
            </w:r>
            <w:r>
              <w:rPr>
                <w:rFonts w:hint="eastAsia" w:asciiTheme="minorEastAsia" w:hAnsiTheme="minorEastAsia" w:eastAsiaTheme="minorEastAsia" w:cstheme="minorEastAsia"/>
                <w:snapToGrid w:val="0"/>
                <w:kern w:val="0"/>
                <w:sz w:val="18"/>
                <w:szCs w:val="18"/>
                <w:u w:val="single"/>
              </w:rPr>
              <w:t>（复印件加盖单位公章）</w:t>
            </w:r>
          </w:p>
        </w:tc>
        <w:tc>
          <w:tcPr>
            <w:tcW w:w="1049" w:type="dxa"/>
            <w:vAlign w:val="center"/>
          </w:tcPr>
          <w:p w14:paraId="53DB0A1E">
            <w:pPr>
              <w:spacing w:line="280" w:lineRule="exact"/>
              <w:jc w:val="center"/>
              <w:rPr>
                <w:rFonts w:hint="eastAsia" w:asciiTheme="minorEastAsia" w:hAnsiTheme="minorEastAsia" w:eastAsiaTheme="minorEastAsia" w:cstheme="minorEastAsia"/>
                <w:sz w:val="18"/>
                <w:szCs w:val="18"/>
              </w:rPr>
            </w:pPr>
          </w:p>
        </w:tc>
      </w:tr>
      <w:tr w14:paraId="096C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58725FC">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951" w:type="dxa"/>
            <w:vAlign w:val="center"/>
          </w:tcPr>
          <w:p w14:paraId="2CC8E780">
            <w:pPr>
              <w:tabs>
                <w:tab w:val="left" w:pos="5355"/>
              </w:tabs>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投标人具有的有效的《劳务派遣经营许可证》（复印件加盖单位公章）</w:t>
            </w:r>
          </w:p>
        </w:tc>
        <w:tc>
          <w:tcPr>
            <w:tcW w:w="1049" w:type="dxa"/>
            <w:vAlign w:val="center"/>
          </w:tcPr>
          <w:p w14:paraId="3265E0C2">
            <w:pPr>
              <w:spacing w:line="280" w:lineRule="exact"/>
              <w:jc w:val="center"/>
              <w:rPr>
                <w:rFonts w:hint="eastAsia" w:asciiTheme="minorEastAsia" w:hAnsiTheme="minorEastAsia" w:eastAsiaTheme="minorEastAsia" w:cstheme="minorEastAsia"/>
                <w:sz w:val="18"/>
                <w:szCs w:val="18"/>
              </w:rPr>
            </w:pPr>
          </w:p>
        </w:tc>
      </w:tr>
      <w:tr w14:paraId="3D83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93A424D">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951" w:type="dxa"/>
            <w:vAlign w:val="center"/>
          </w:tcPr>
          <w:p w14:paraId="6B0E4203">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投标声明书</w:t>
            </w:r>
          </w:p>
        </w:tc>
        <w:tc>
          <w:tcPr>
            <w:tcW w:w="1049" w:type="dxa"/>
            <w:vAlign w:val="center"/>
          </w:tcPr>
          <w:p w14:paraId="1D075637">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附件四</w:t>
            </w:r>
          </w:p>
        </w:tc>
      </w:tr>
      <w:tr w14:paraId="7114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19A354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w:t>
            </w:r>
          </w:p>
        </w:tc>
        <w:tc>
          <w:tcPr>
            <w:tcW w:w="6951" w:type="dxa"/>
            <w:vAlign w:val="center"/>
          </w:tcPr>
          <w:p w14:paraId="43FBE181">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参加国企采购活动前三年内，在经营活动中没有重大违法记录。请在投标声明书中如实填写（新成立不满三年的组织机构自成立之日起算）</w:t>
            </w:r>
          </w:p>
        </w:tc>
        <w:tc>
          <w:tcPr>
            <w:tcW w:w="1049" w:type="dxa"/>
            <w:vAlign w:val="center"/>
          </w:tcPr>
          <w:p w14:paraId="3106E88E">
            <w:pPr>
              <w:spacing w:line="280" w:lineRule="exact"/>
              <w:jc w:val="center"/>
              <w:rPr>
                <w:rFonts w:hint="eastAsia" w:asciiTheme="minorEastAsia" w:hAnsiTheme="minorEastAsia" w:eastAsiaTheme="minorEastAsia" w:cstheme="minorEastAsia"/>
                <w:sz w:val="18"/>
                <w:szCs w:val="18"/>
              </w:rPr>
            </w:pPr>
          </w:p>
        </w:tc>
      </w:tr>
      <w:tr w14:paraId="4BB3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80621C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b</w:t>
            </w:r>
          </w:p>
        </w:tc>
        <w:tc>
          <w:tcPr>
            <w:tcW w:w="6951" w:type="dxa"/>
            <w:vAlign w:val="center"/>
          </w:tcPr>
          <w:p w14:paraId="5E4B4DAC">
            <w:pPr>
              <w:tabs>
                <w:tab w:val="left" w:pos="5355"/>
              </w:tabs>
              <w:spacing w:line="280" w:lineRule="exact"/>
              <w:jc w:val="lef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截至投标截止日前，投标人未被列入“信用中国”网(www.creditchina.gov.cn)失信被执行人、重大税收违法案件当事人名单内。请在投标声明书在如实填写，并以采购人或代理机构当天查询结果为准。</w:t>
            </w:r>
          </w:p>
        </w:tc>
        <w:tc>
          <w:tcPr>
            <w:tcW w:w="1049" w:type="dxa"/>
            <w:vAlign w:val="center"/>
          </w:tcPr>
          <w:p w14:paraId="09EFB307">
            <w:pPr>
              <w:spacing w:line="280" w:lineRule="exact"/>
              <w:jc w:val="center"/>
              <w:rPr>
                <w:rFonts w:hint="eastAsia" w:asciiTheme="minorEastAsia" w:hAnsiTheme="minorEastAsia" w:eastAsiaTheme="minorEastAsia" w:cstheme="minorEastAsia"/>
                <w:sz w:val="18"/>
                <w:szCs w:val="18"/>
              </w:rPr>
            </w:pPr>
          </w:p>
        </w:tc>
      </w:tr>
      <w:tr w14:paraId="4F33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B6B168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951" w:type="dxa"/>
            <w:vAlign w:val="center"/>
          </w:tcPr>
          <w:p w14:paraId="664C87C5">
            <w:pPr>
              <w:tabs>
                <w:tab w:val="left" w:pos="5355"/>
              </w:tabs>
              <w:spacing w:line="28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项目总负责人情况表</w:t>
            </w:r>
          </w:p>
        </w:tc>
        <w:tc>
          <w:tcPr>
            <w:tcW w:w="1049" w:type="dxa"/>
            <w:vAlign w:val="center"/>
          </w:tcPr>
          <w:p w14:paraId="21017007">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附件五</w:t>
            </w:r>
          </w:p>
        </w:tc>
      </w:tr>
      <w:tr w14:paraId="6675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5B8E65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6951" w:type="dxa"/>
            <w:vAlign w:val="center"/>
          </w:tcPr>
          <w:p w14:paraId="21690ED7">
            <w:pPr>
              <w:spacing w:line="28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投标人需要说明的其他文件和说明</w:t>
            </w:r>
          </w:p>
        </w:tc>
        <w:tc>
          <w:tcPr>
            <w:tcW w:w="1049" w:type="dxa"/>
            <w:vAlign w:val="center"/>
          </w:tcPr>
          <w:p w14:paraId="566B1E47">
            <w:pPr>
              <w:spacing w:line="280" w:lineRule="exact"/>
              <w:jc w:val="center"/>
              <w:rPr>
                <w:rFonts w:hint="eastAsia" w:asciiTheme="minorEastAsia" w:hAnsiTheme="minorEastAsia" w:eastAsiaTheme="minorEastAsia" w:cstheme="minorEastAsia"/>
                <w:b/>
                <w:bCs/>
                <w:sz w:val="18"/>
                <w:szCs w:val="18"/>
                <w:u w:val="single"/>
              </w:rPr>
            </w:pPr>
          </w:p>
        </w:tc>
      </w:tr>
      <w:tr w14:paraId="4003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28737F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6951" w:type="dxa"/>
            <w:vAlign w:val="center"/>
          </w:tcPr>
          <w:p w14:paraId="587BA92B">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根据采购文件中的采购内容及要求以及技术资信评分项目逐项编制相关投标文件，需编制目录索引，注明评分细则项目所在投标文件页码。</w:t>
            </w:r>
          </w:p>
          <w:p w14:paraId="1B15C2A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本文件《第三部分  附件》附件中未提供格式的，可自行拟定格式</w:t>
            </w:r>
          </w:p>
        </w:tc>
        <w:tc>
          <w:tcPr>
            <w:tcW w:w="1049" w:type="dxa"/>
            <w:vAlign w:val="center"/>
          </w:tcPr>
          <w:p w14:paraId="2CD9F11D">
            <w:pPr>
              <w:spacing w:line="280" w:lineRule="exact"/>
              <w:jc w:val="center"/>
              <w:rPr>
                <w:rFonts w:hint="eastAsia" w:asciiTheme="minorEastAsia" w:hAnsiTheme="minorEastAsia" w:eastAsiaTheme="minorEastAsia" w:cstheme="minorEastAsia"/>
                <w:b/>
                <w:bCs/>
                <w:sz w:val="18"/>
                <w:szCs w:val="18"/>
              </w:rPr>
            </w:pPr>
          </w:p>
        </w:tc>
      </w:tr>
    </w:tbl>
    <w:p w14:paraId="6A27FF2D">
      <w:pPr>
        <w:pStyle w:val="12"/>
        <w:rPr>
          <w:rFonts w:hint="eastAsia" w:asciiTheme="minorEastAsia" w:hAnsiTheme="minorEastAsia" w:eastAsiaTheme="minorEastAsia" w:cstheme="minorEastAsia"/>
          <w:b/>
          <w:bCs/>
          <w:sz w:val="52"/>
          <w:szCs w:val="52"/>
        </w:rPr>
      </w:pPr>
    </w:p>
    <w:p w14:paraId="1B7547B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7D4C7C82">
      <w:pPr>
        <w:spacing w:line="46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30"/>
          <w:szCs w:val="30"/>
        </w:rPr>
        <w:t>评分索引表</w:t>
      </w:r>
    </w:p>
    <w:p w14:paraId="7A51894D">
      <w:pPr>
        <w:spacing w:line="460" w:lineRule="exact"/>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14:paraId="531C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14:paraId="250D3567">
            <w:pPr>
              <w:spacing w:line="4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5144" w:type="dxa"/>
            <w:vAlign w:val="center"/>
          </w:tcPr>
          <w:p w14:paraId="06C66F96">
            <w:pPr>
              <w:spacing w:line="4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评分项目</w:t>
            </w:r>
          </w:p>
        </w:tc>
        <w:tc>
          <w:tcPr>
            <w:tcW w:w="2690" w:type="dxa"/>
            <w:vAlign w:val="center"/>
          </w:tcPr>
          <w:p w14:paraId="05B385B1">
            <w:pPr>
              <w:spacing w:line="4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查阅指引</w:t>
            </w:r>
          </w:p>
        </w:tc>
      </w:tr>
      <w:tr w14:paraId="68FA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0A57F6B5">
            <w:pPr>
              <w:spacing w:line="420" w:lineRule="exact"/>
              <w:jc w:val="center"/>
              <w:rPr>
                <w:rFonts w:hint="eastAsia" w:asciiTheme="minorEastAsia" w:hAnsiTheme="minorEastAsia" w:eastAsiaTheme="minorEastAsia" w:cstheme="minorEastAsia"/>
                <w:sz w:val="18"/>
                <w:szCs w:val="18"/>
              </w:rPr>
            </w:pPr>
          </w:p>
        </w:tc>
        <w:tc>
          <w:tcPr>
            <w:tcW w:w="5144" w:type="dxa"/>
            <w:vAlign w:val="center"/>
          </w:tcPr>
          <w:p w14:paraId="6BA03D37">
            <w:pPr>
              <w:spacing w:line="420" w:lineRule="exact"/>
              <w:jc w:val="center"/>
              <w:rPr>
                <w:rFonts w:hint="eastAsia" w:asciiTheme="minorEastAsia" w:hAnsiTheme="minorEastAsia" w:eastAsiaTheme="minorEastAsia" w:cstheme="minorEastAsia"/>
                <w:sz w:val="18"/>
                <w:szCs w:val="18"/>
              </w:rPr>
            </w:pPr>
          </w:p>
        </w:tc>
        <w:tc>
          <w:tcPr>
            <w:tcW w:w="2690" w:type="dxa"/>
            <w:vAlign w:val="center"/>
          </w:tcPr>
          <w:p w14:paraId="7D596169">
            <w:pPr>
              <w:spacing w:line="4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见第   页</w:t>
            </w:r>
          </w:p>
        </w:tc>
      </w:tr>
      <w:tr w14:paraId="6BAA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7E1D2A02">
            <w:pPr>
              <w:spacing w:line="420" w:lineRule="exact"/>
              <w:jc w:val="center"/>
              <w:rPr>
                <w:rFonts w:hint="eastAsia" w:asciiTheme="minorEastAsia" w:hAnsiTheme="minorEastAsia" w:eastAsiaTheme="minorEastAsia" w:cstheme="minorEastAsia"/>
                <w:sz w:val="18"/>
                <w:szCs w:val="18"/>
              </w:rPr>
            </w:pPr>
          </w:p>
        </w:tc>
        <w:tc>
          <w:tcPr>
            <w:tcW w:w="5144" w:type="dxa"/>
            <w:vAlign w:val="center"/>
          </w:tcPr>
          <w:p w14:paraId="3FE18B8F">
            <w:pPr>
              <w:spacing w:line="420" w:lineRule="exact"/>
              <w:jc w:val="center"/>
              <w:rPr>
                <w:rFonts w:hint="eastAsia" w:asciiTheme="minorEastAsia" w:hAnsiTheme="minorEastAsia" w:eastAsiaTheme="minorEastAsia" w:cstheme="minorEastAsia"/>
                <w:sz w:val="18"/>
                <w:szCs w:val="18"/>
              </w:rPr>
            </w:pPr>
          </w:p>
        </w:tc>
        <w:tc>
          <w:tcPr>
            <w:tcW w:w="2690" w:type="dxa"/>
            <w:vAlign w:val="center"/>
          </w:tcPr>
          <w:p w14:paraId="4AB3B81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见第   页</w:t>
            </w:r>
          </w:p>
        </w:tc>
      </w:tr>
      <w:tr w14:paraId="730E863D">
        <w:tblPrEx>
          <w:tblCellMar>
            <w:top w:w="0" w:type="dxa"/>
            <w:left w:w="108" w:type="dxa"/>
            <w:bottom w:w="0" w:type="dxa"/>
            <w:right w:w="108" w:type="dxa"/>
          </w:tblCellMar>
        </w:tblPrEx>
        <w:trPr>
          <w:trHeight w:val="1034" w:hRule="atLeast"/>
          <w:jc w:val="center"/>
        </w:trPr>
        <w:tc>
          <w:tcPr>
            <w:tcW w:w="948" w:type="dxa"/>
            <w:vAlign w:val="center"/>
          </w:tcPr>
          <w:p w14:paraId="0B8BB0E9">
            <w:pPr>
              <w:spacing w:line="420" w:lineRule="exact"/>
              <w:jc w:val="center"/>
              <w:rPr>
                <w:rFonts w:hint="eastAsia" w:asciiTheme="minorEastAsia" w:hAnsiTheme="minorEastAsia" w:eastAsiaTheme="minorEastAsia" w:cstheme="minorEastAsia"/>
                <w:sz w:val="18"/>
                <w:szCs w:val="18"/>
              </w:rPr>
            </w:pPr>
          </w:p>
        </w:tc>
        <w:tc>
          <w:tcPr>
            <w:tcW w:w="5144" w:type="dxa"/>
            <w:vAlign w:val="center"/>
          </w:tcPr>
          <w:p w14:paraId="090E85E2">
            <w:pPr>
              <w:spacing w:line="420" w:lineRule="exact"/>
              <w:jc w:val="center"/>
              <w:rPr>
                <w:rFonts w:hint="eastAsia" w:asciiTheme="minorEastAsia" w:hAnsiTheme="minorEastAsia" w:eastAsiaTheme="minorEastAsia" w:cstheme="minorEastAsia"/>
                <w:sz w:val="18"/>
                <w:szCs w:val="18"/>
              </w:rPr>
            </w:pPr>
          </w:p>
        </w:tc>
        <w:tc>
          <w:tcPr>
            <w:tcW w:w="2690" w:type="dxa"/>
            <w:vAlign w:val="center"/>
          </w:tcPr>
          <w:p w14:paraId="0D32DB2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见第   页</w:t>
            </w:r>
          </w:p>
        </w:tc>
      </w:tr>
      <w:tr w14:paraId="6575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0F40C3E8">
            <w:pPr>
              <w:spacing w:line="420" w:lineRule="exact"/>
              <w:jc w:val="center"/>
              <w:rPr>
                <w:rFonts w:hint="eastAsia" w:asciiTheme="minorEastAsia" w:hAnsiTheme="minorEastAsia" w:eastAsiaTheme="minorEastAsia" w:cstheme="minorEastAsia"/>
                <w:sz w:val="18"/>
                <w:szCs w:val="18"/>
              </w:rPr>
            </w:pPr>
          </w:p>
        </w:tc>
        <w:tc>
          <w:tcPr>
            <w:tcW w:w="5144" w:type="dxa"/>
            <w:vAlign w:val="center"/>
          </w:tcPr>
          <w:p w14:paraId="42A84491">
            <w:pPr>
              <w:spacing w:line="420" w:lineRule="exact"/>
              <w:jc w:val="center"/>
              <w:rPr>
                <w:rFonts w:hint="eastAsia" w:asciiTheme="minorEastAsia" w:hAnsiTheme="minorEastAsia" w:eastAsiaTheme="minorEastAsia" w:cstheme="minorEastAsia"/>
                <w:sz w:val="18"/>
                <w:szCs w:val="18"/>
              </w:rPr>
            </w:pPr>
          </w:p>
        </w:tc>
        <w:tc>
          <w:tcPr>
            <w:tcW w:w="2690" w:type="dxa"/>
            <w:vAlign w:val="center"/>
          </w:tcPr>
          <w:p w14:paraId="4C5B4BB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见第   页</w:t>
            </w:r>
          </w:p>
        </w:tc>
      </w:tr>
      <w:tr w14:paraId="0E04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6259B9D0">
            <w:pPr>
              <w:spacing w:line="420" w:lineRule="exact"/>
              <w:jc w:val="center"/>
              <w:rPr>
                <w:rFonts w:hint="eastAsia" w:asciiTheme="minorEastAsia" w:hAnsiTheme="minorEastAsia" w:eastAsiaTheme="minorEastAsia" w:cstheme="minorEastAsia"/>
                <w:sz w:val="18"/>
                <w:szCs w:val="18"/>
              </w:rPr>
            </w:pPr>
          </w:p>
        </w:tc>
        <w:tc>
          <w:tcPr>
            <w:tcW w:w="5144" w:type="dxa"/>
            <w:vAlign w:val="center"/>
          </w:tcPr>
          <w:p w14:paraId="273A3EE6">
            <w:pPr>
              <w:spacing w:line="420" w:lineRule="exact"/>
              <w:jc w:val="center"/>
              <w:rPr>
                <w:rFonts w:hint="eastAsia" w:asciiTheme="minorEastAsia" w:hAnsiTheme="minorEastAsia" w:eastAsiaTheme="minorEastAsia" w:cstheme="minorEastAsia"/>
                <w:sz w:val="18"/>
                <w:szCs w:val="18"/>
              </w:rPr>
            </w:pPr>
          </w:p>
        </w:tc>
        <w:tc>
          <w:tcPr>
            <w:tcW w:w="2690" w:type="dxa"/>
            <w:vAlign w:val="center"/>
          </w:tcPr>
          <w:p w14:paraId="008BCB5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见第   页</w:t>
            </w:r>
          </w:p>
        </w:tc>
      </w:tr>
      <w:tr w14:paraId="3390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54B8A3C7">
            <w:pPr>
              <w:spacing w:line="420" w:lineRule="exact"/>
              <w:jc w:val="center"/>
              <w:rPr>
                <w:rFonts w:hint="eastAsia" w:asciiTheme="minorEastAsia" w:hAnsiTheme="minorEastAsia" w:eastAsiaTheme="minorEastAsia" w:cstheme="minorEastAsia"/>
                <w:sz w:val="18"/>
                <w:szCs w:val="18"/>
              </w:rPr>
            </w:pPr>
          </w:p>
        </w:tc>
        <w:tc>
          <w:tcPr>
            <w:tcW w:w="5144" w:type="dxa"/>
            <w:vAlign w:val="center"/>
          </w:tcPr>
          <w:p w14:paraId="4A6FF36E">
            <w:pPr>
              <w:spacing w:line="420" w:lineRule="exact"/>
              <w:jc w:val="center"/>
              <w:rPr>
                <w:rFonts w:hint="eastAsia" w:asciiTheme="minorEastAsia" w:hAnsiTheme="minorEastAsia" w:eastAsiaTheme="minorEastAsia" w:cstheme="minorEastAsia"/>
                <w:sz w:val="18"/>
                <w:szCs w:val="18"/>
              </w:rPr>
            </w:pPr>
          </w:p>
        </w:tc>
        <w:tc>
          <w:tcPr>
            <w:tcW w:w="2690" w:type="dxa"/>
            <w:vAlign w:val="center"/>
          </w:tcPr>
          <w:p w14:paraId="43DA94E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见第   页</w:t>
            </w:r>
          </w:p>
        </w:tc>
      </w:tr>
      <w:tr w14:paraId="284A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454E9450">
            <w:pPr>
              <w:spacing w:line="420" w:lineRule="exact"/>
              <w:jc w:val="center"/>
              <w:rPr>
                <w:rFonts w:hint="eastAsia" w:asciiTheme="minorEastAsia" w:hAnsiTheme="minorEastAsia" w:eastAsiaTheme="minorEastAsia" w:cstheme="minorEastAsia"/>
                <w:sz w:val="18"/>
                <w:szCs w:val="18"/>
              </w:rPr>
            </w:pPr>
          </w:p>
        </w:tc>
        <w:tc>
          <w:tcPr>
            <w:tcW w:w="5144" w:type="dxa"/>
            <w:vAlign w:val="center"/>
          </w:tcPr>
          <w:p w14:paraId="729C8E50">
            <w:pPr>
              <w:spacing w:line="420" w:lineRule="exact"/>
              <w:jc w:val="center"/>
              <w:rPr>
                <w:rFonts w:hint="eastAsia" w:asciiTheme="minorEastAsia" w:hAnsiTheme="minorEastAsia" w:eastAsiaTheme="minorEastAsia" w:cstheme="minorEastAsia"/>
                <w:sz w:val="18"/>
                <w:szCs w:val="18"/>
              </w:rPr>
            </w:pPr>
          </w:p>
        </w:tc>
        <w:tc>
          <w:tcPr>
            <w:tcW w:w="2690" w:type="dxa"/>
            <w:vAlign w:val="center"/>
          </w:tcPr>
          <w:p w14:paraId="7B0C775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见第   页</w:t>
            </w:r>
          </w:p>
        </w:tc>
      </w:tr>
    </w:tbl>
    <w:p w14:paraId="4296D7DD">
      <w:pPr>
        <w:spacing w:line="42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2FE413F3">
      <w:pPr>
        <w:pStyle w:val="43"/>
        <w:numPr>
          <w:ilvl w:val="0"/>
          <w:numId w:val="27"/>
        </w:numPr>
        <w:spacing w:line="420" w:lineRule="exact"/>
        <w:ind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建议此表放在技术资信标封面后第一页，方便评委评分时可以快速查阅到与评分项有关的内容。</w:t>
      </w:r>
    </w:p>
    <w:p w14:paraId="5BDE22DF">
      <w:pPr>
        <w:pStyle w:val="43"/>
        <w:numPr>
          <w:ilvl w:val="0"/>
          <w:numId w:val="27"/>
        </w:numPr>
        <w:spacing w:line="420" w:lineRule="exact"/>
        <w:ind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技术资信评分项中要求提供的资料投标人需做清晰标识，格式可自拟。</w:t>
      </w:r>
    </w:p>
    <w:p w14:paraId="73ECBDCB">
      <w:pPr>
        <w:pStyle w:val="11"/>
        <w:ind w:firstLine="210"/>
        <w:rPr>
          <w:rFonts w:hint="eastAsia" w:asciiTheme="minorEastAsia" w:hAnsiTheme="minorEastAsia" w:eastAsiaTheme="minorEastAsia" w:cstheme="minorEastAsia"/>
        </w:rPr>
      </w:pPr>
    </w:p>
    <w:p w14:paraId="5C3A0D74">
      <w:pPr>
        <w:spacing w:line="540" w:lineRule="exact"/>
        <w:rPr>
          <w:rFonts w:hint="eastAsia" w:asciiTheme="minorEastAsia" w:hAnsiTheme="minorEastAsia" w:eastAsiaTheme="minorEastAsia" w:cstheme="minorEastAsia"/>
        </w:rPr>
      </w:pPr>
    </w:p>
    <w:p w14:paraId="3A230CF5">
      <w:pPr>
        <w:pStyle w:val="10"/>
        <w:rPr>
          <w:rFonts w:hint="eastAsia" w:asciiTheme="minorEastAsia" w:hAnsiTheme="minorEastAsia" w:eastAsiaTheme="minorEastAsia" w:cstheme="minorEastAsia"/>
        </w:rPr>
      </w:pPr>
    </w:p>
    <w:p w14:paraId="6DB4E978">
      <w:pPr>
        <w:pStyle w:val="11"/>
        <w:ind w:firstLine="210"/>
        <w:rPr>
          <w:rFonts w:hint="eastAsia" w:asciiTheme="minorEastAsia" w:hAnsiTheme="minorEastAsia" w:eastAsiaTheme="minorEastAsia" w:cstheme="minorEastAsia"/>
        </w:rPr>
      </w:pPr>
    </w:p>
    <w:p w14:paraId="506D91F6">
      <w:pPr>
        <w:spacing w:line="540" w:lineRule="exact"/>
        <w:ind w:left="420"/>
        <w:rPr>
          <w:rFonts w:hint="eastAsia" w:asciiTheme="minorEastAsia" w:hAnsiTheme="minorEastAsia" w:eastAsiaTheme="minorEastAsia" w:cstheme="minorEastAsia"/>
          <w:b/>
          <w:bCs/>
          <w:sz w:val="22"/>
          <w:szCs w:val="22"/>
        </w:rPr>
      </w:pPr>
    </w:p>
    <w:p w14:paraId="16855D77">
      <w:pPr>
        <w:overflowPunct w:val="0"/>
        <w:spacing w:line="460" w:lineRule="exac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br w:type="page"/>
      </w:r>
      <w:r>
        <w:rPr>
          <w:rFonts w:hint="eastAsia" w:asciiTheme="minorEastAsia" w:hAnsiTheme="minorEastAsia" w:eastAsiaTheme="minorEastAsia" w:cstheme="minorEastAsia"/>
          <w:b/>
          <w:bCs/>
          <w:sz w:val="22"/>
          <w:szCs w:val="22"/>
        </w:rPr>
        <w:t>附件一</w:t>
      </w:r>
    </w:p>
    <w:p w14:paraId="155F6291">
      <w:pPr>
        <w:overflowPunct w:val="0"/>
        <w:spacing w:line="4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投 标 函</w:t>
      </w:r>
    </w:p>
    <w:p w14:paraId="07552155">
      <w:pPr>
        <w:overflowPunct w:val="0"/>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温州市交发文旅产业有限公司洞头酒店管理分公司：</w:t>
      </w:r>
    </w:p>
    <w:p w14:paraId="67EC6662">
      <w:pPr>
        <w:overflowPunct w:val="0"/>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浙江工汇项目管理有限公司：</w:t>
      </w:r>
    </w:p>
    <w:p w14:paraId="7320B9C1">
      <w:pPr>
        <w:wordWrap w:val="0"/>
        <w:spacing w:line="42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根据贵方为</w:t>
      </w:r>
      <w:r>
        <w:rPr>
          <w:rFonts w:hint="eastAsia" w:asciiTheme="minorEastAsia" w:hAnsiTheme="minorEastAsia" w:eastAsiaTheme="minorEastAsia" w:cstheme="minorEastAsia"/>
          <w:szCs w:val="21"/>
          <w:u w:val="single"/>
        </w:rPr>
        <w:t xml:space="preserve">     （项目名称）           </w:t>
      </w:r>
      <w:r>
        <w:rPr>
          <w:rFonts w:hint="eastAsia" w:asciiTheme="minorEastAsia" w:hAnsiTheme="minorEastAsia" w:eastAsiaTheme="minorEastAsia" w:cstheme="minorEastAsia"/>
          <w:szCs w:val="21"/>
        </w:rPr>
        <w:t>项目（项目编号：</w:t>
      </w:r>
      <w:r>
        <w:rPr>
          <w:rFonts w:hint="eastAsia" w:asciiTheme="minorEastAsia" w:hAnsiTheme="minorEastAsia" w:eastAsiaTheme="minorEastAsia" w:cstheme="minorEastAsia"/>
          <w:b/>
          <w:szCs w:val="21"/>
          <w:u w:val="single"/>
        </w:rPr>
        <w:t xml:space="preserve">        </w:t>
      </w:r>
      <w:r>
        <w:rPr>
          <w:rFonts w:hint="eastAsia" w:asciiTheme="minorEastAsia" w:hAnsiTheme="minorEastAsia" w:eastAsiaTheme="minorEastAsia" w:cstheme="minorEastAsia"/>
          <w:b/>
          <w:szCs w:val="21"/>
        </w:rPr>
        <w:t xml:space="preserve"> </w:t>
      </w:r>
      <w:r>
        <w:rPr>
          <w:rFonts w:hint="eastAsia" w:asciiTheme="minorEastAsia" w:hAnsiTheme="minorEastAsia" w:eastAsiaTheme="minorEastAsia" w:cstheme="minorEastAsia"/>
          <w:szCs w:val="21"/>
        </w:rPr>
        <w:t>）的投标邀请，我方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（投标供应商名称）作为投标供应商正式授权</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（授权代表全名，职务）代表我方处理有关本投标的一切事宜。</w:t>
      </w:r>
    </w:p>
    <w:p w14:paraId="4983207E">
      <w:pPr>
        <w:pStyle w:val="4"/>
        <w:overflowPunct w:val="0"/>
        <w:spacing w:line="420" w:lineRule="exact"/>
        <w:ind w:firstLine="4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在此提交的投标文件中，包括如下内容，并已分别单独密封装袋：</w:t>
      </w:r>
    </w:p>
    <w:p w14:paraId="46825385">
      <w:pPr>
        <w:overflowPunct w:val="0"/>
        <w:spacing w:line="420" w:lineRule="exact"/>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（—）按“投标供应商须知”要求编制的投标文件技术资信标【正本一份，副本四份】；</w:t>
      </w:r>
    </w:p>
    <w:p w14:paraId="10CAF5AD">
      <w:pPr>
        <w:overflowPunct w:val="0"/>
        <w:spacing w:line="420" w:lineRule="exact"/>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（二）按“投标供应商须知”要求编制的投标文件商务（报价）标【正本一份，副本四份】</w:t>
      </w:r>
    </w:p>
    <w:p w14:paraId="553FB7F3">
      <w:pPr>
        <w:overflowPunct w:val="0"/>
        <w:spacing w:line="420" w:lineRule="exact"/>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我方己完全明白采购文件的所有条款要求，并重申以下几点：</w:t>
      </w:r>
    </w:p>
    <w:p w14:paraId="0880D7C5">
      <w:pPr>
        <w:overflowPunct w:val="0"/>
        <w:spacing w:line="420" w:lineRule="exact"/>
        <w:ind w:left="989" w:leftChars="171" w:hanging="630" w:hangingChars="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（一）本投标文件的有效期自投标截止日起</w:t>
      </w:r>
      <w:r>
        <w:rPr>
          <w:rFonts w:hint="eastAsia" w:asciiTheme="minorEastAsia" w:hAnsiTheme="minorEastAsia" w:eastAsiaTheme="minorEastAsia" w:cstheme="minorEastAsia"/>
          <w:b/>
          <w:szCs w:val="21"/>
          <w:u w:val="single"/>
        </w:rPr>
        <w:t xml:space="preserve"> 90 </w:t>
      </w:r>
      <w:r>
        <w:rPr>
          <w:rFonts w:hint="eastAsia" w:asciiTheme="minorEastAsia" w:hAnsiTheme="minorEastAsia" w:eastAsiaTheme="minorEastAsia" w:cstheme="minorEastAsia"/>
          <w:b/>
          <w:szCs w:val="21"/>
        </w:rPr>
        <w:t>天内</w:t>
      </w:r>
      <w:r>
        <w:rPr>
          <w:rFonts w:hint="eastAsia" w:asciiTheme="minorEastAsia" w:hAnsiTheme="minorEastAsia" w:eastAsiaTheme="minorEastAsia" w:cstheme="minorEastAsia"/>
          <w:szCs w:val="21"/>
        </w:rPr>
        <w:t>有效，如中标，有效期将延至合同终止日为止；</w:t>
      </w:r>
    </w:p>
    <w:p w14:paraId="51E26905">
      <w:pPr>
        <w:overflowPunct w:val="0"/>
        <w:spacing w:line="420" w:lineRule="exact"/>
        <w:ind w:left="989" w:leftChars="171" w:hanging="630" w:hangingChars="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（二）我方已详细研究了采购文件的所有内容包括修改书（如有）和所有已提供的参考资料以及有关附件，我方完全理解并同意放弃在此方面提出含糊意见或误解的一切权力；</w:t>
      </w:r>
    </w:p>
    <w:p w14:paraId="75E3D774">
      <w:pPr>
        <w:overflowPunct w:val="0"/>
        <w:spacing w:line="420" w:lineRule="exact"/>
        <w:ind w:left="989" w:leftChars="171" w:hanging="630" w:hangingChars="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（三）我方明白并同意，在规定的开标时间之后，如我方出现投标人须知第三条第13.4款规定的情况之一的，我方投标保证金将不予退还；</w:t>
      </w:r>
    </w:p>
    <w:p w14:paraId="40CD79E6">
      <w:pPr>
        <w:overflowPunct w:val="0"/>
        <w:spacing w:line="420" w:lineRule="exact"/>
        <w:ind w:left="359" w:leftChars="1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（四）我方同意提供按照贵方可能要求的与投标有关的一切数据或资料；</w:t>
      </w:r>
    </w:p>
    <w:p w14:paraId="25CA30AB">
      <w:pPr>
        <w:overflowPunct w:val="0"/>
        <w:spacing w:line="420" w:lineRule="exact"/>
        <w:ind w:left="359" w:leftChars="1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（五）我方理解贵方不一定接受最低报价。</w:t>
      </w:r>
    </w:p>
    <w:p w14:paraId="58B9C7DE">
      <w:pPr>
        <w:overflowPunct w:val="0"/>
        <w:spacing w:line="420" w:lineRule="exact"/>
        <w:ind w:left="989" w:leftChars="171" w:hanging="630" w:hangingChars="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（六）我方如果中标，将保证履行采购文件以及采购文件修改书（如有）中的全部责任和义务，按质、按量、按期完成《合同书》中的全部任务。</w:t>
      </w:r>
    </w:p>
    <w:p w14:paraId="6A356EE1">
      <w:pPr>
        <w:overflowPunct w:val="0"/>
        <w:spacing w:line="420" w:lineRule="exact"/>
        <w:ind w:left="31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（七）所有与本投标有关的函件请发往下列地址：</w:t>
      </w:r>
    </w:p>
    <w:p w14:paraId="1EEBA8C6">
      <w:pPr>
        <w:overflowPunct w:val="0"/>
        <w:spacing w:line="420" w:lineRule="exact"/>
        <w:ind w:firstLine="43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地址</w:t>
      </w:r>
      <w:r>
        <w:rPr>
          <w:rFonts w:hint="eastAsia" w:asciiTheme="minorEastAsia" w:hAnsiTheme="minorEastAsia" w:eastAsiaTheme="minorEastAsia" w:cstheme="minorEastAsia"/>
          <w:szCs w:val="21"/>
          <w:u w:val="single"/>
        </w:rPr>
        <w:t xml:space="preserve">                           </w:t>
      </w:r>
    </w:p>
    <w:p w14:paraId="51B67125">
      <w:pPr>
        <w:overflowPunct w:val="0"/>
        <w:spacing w:line="420" w:lineRule="exact"/>
        <w:ind w:firstLine="43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电话</w:t>
      </w:r>
      <w:r>
        <w:rPr>
          <w:rFonts w:hint="eastAsia" w:asciiTheme="minorEastAsia" w:hAnsiTheme="minorEastAsia" w:eastAsiaTheme="minorEastAsia" w:cstheme="minorEastAsia"/>
          <w:szCs w:val="21"/>
          <w:u w:val="single"/>
        </w:rPr>
        <w:t xml:space="preserve">                           </w:t>
      </w:r>
    </w:p>
    <w:p w14:paraId="5F1F81A4">
      <w:pPr>
        <w:overflowPunct w:val="0"/>
        <w:spacing w:line="420" w:lineRule="exact"/>
        <w:ind w:firstLine="435"/>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 xml:space="preserve">   传真</w:t>
      </w:r>
      <w:r>
        <w:rPr>
          <w:rFonts w:hint="eastAsia" w:asciiTheme="minorEastAsia" w:hAnsiTheme="minorEastAsia" w:eastAsiaTheme="minorEastAsia" w:cstheme="minorEastAsia"/>
          <w:szCs w:val="21"/>
          <w:u w:val="single"/>
        </w:rPr>
        <w:t xml:space="preserve">                           </w:t>
      </w:r>
    </w:p>
    <w:p w14:paraId="56BD4B51">
      <w:pPr>
        <w:overflowPunct w:val="0"/>
        <w:spacing w:line="420" w:lineRule="exact"/>
        <w:ind w:firstLine="735" w:firstLineChars="35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电子邮件</w:t>
      </w:r>
      <w:r>
        <w:rPr>
          <w:rFonts w:hint="eastAsia" w:asciiTheme="minorEastAsia" w:hAnsiTheme="minorEastAsia" w:eastAsiaTheme="minorEastAsia" w:cstheme="minorEastAsia"/>
          <w:szCs w:val="21"/>
          <w:u w:val="single"/>
        </w:rPr>
        <w:t xml:space="preserve">                       </w:t>
      </w:r>
    </w:p>
    <w:p w14:paraId="36FF3AFE">
      <w:pPr>
        <w:spacing w:line="360" w:lineRule="auto"/>
        <w:rPr>
          <w:rFonts w:hint="eastAsia" w:asciiTheme="minorEastAsia" w:hAnsiTheme="minorEastAsia" w:eastAsiaTheme="minorEastAsia" w:cstheme="minorEastAsia"/>
          <w:bCs/>
          <w:szCs w:val="21"/>
        </w:rPr>
      </w:pPr>
    </w:p>
    <w:p w14:paraId="7886F092">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投标人全称（盖公章）：</w:t>
      </w:r>
    </w:p>
    <w:p w14:paraId="6BC80A1F">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法定代表人或授权代表</w:t>
      </w:r>
      <w:r>
        <w:rPr>
          <w:rFonts w:hint="eastAsia" w:asciiTheme="minorEastAsia" w:hAnsiTheme="minorEastAsia" w:eastAsiaTheme="minorEastAsia" w:cstheme="minorEastAsia"/>
          <w:bCs/>
          <w:szCs w:val="21"/>
        </w:rPr>
        <w:t>（签字</w:t>
      </w:r>
      <w:r>
        <w:rPr>
          <w:rFonts w:hint="eastAsia" w:asciiTheme="minorEastAsia" w:hAnsiTheme="minorEastAsia" w:eastAsiaTheme="minorEastAsia" w:cstheme="minorEastAsia"/>
          <w:szCs w:val="21"/>
        </w:rPr>
        <w:t>或盖章</w:t>
      </w:r>
      <w:r>
        <w:rPr>
          <w:rFonts w:hint="eastAsia" w:asciiTheme="minorEastAsia" w:hAnsiTheme="minorEastAsia" w:eastAsiaTheme="minorEastAsia" w:cstheme="minorEastAsia"/>
          <w:bCs/>
          <w:szCs w:val="21"/>
        </w:rPr>
        <w:t>）：</w:t>
      </w:r>
    </w:p>
    <w:p w14:paraId="7439357A">
      <w:pPr>
        <w:spacing w:line="38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w:t>
      </w:r>
    </w:p>
    <w:p w14:paraId="51C59104">
      <w:pPr>
        <w:spacing w:line="380" w:lineRule="exact"/>
        <w:rPr>
          <w:rFonts w:hint="eastAsia" w:asciiTheme="minorEastAsia" w:hAnsiTheme="minorEastAsia" w:eastAsiaTheme="minorEastAsia" w:cstheme="minorEastAsia"/>
          <w:b/>
          <w:sz w:val="22"/>
          <w:szCs w:val="22"/>
          <w:u w:val="single"/>
        </w:rPr>
      </w:pPr>
    </w:p>
    <w:p w14:paraId="23591E7F">
      <w:pPr>
        <w:spacing w:line="38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u w:val="single"/>
        </w:rPr>
        <w:t>▲不提供投标函的投标文件将被视为未实质性响应采购文件。</w:t>
      </w:r>
    </w:p>
    <w:p w14:paraId="2CF3B206">
      <w:pPr>
        <w:tabs>
          <w:tab w:val="left" w:pos="900"/>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4"/>
        </w:rPr>
        <w:br w:type="page"/>
      </w:r>
      <w:r>
        <w:rPr>
          <w:rFonts w:hint="eastAsia" w:asciiTheme="minorEastAsia" w:hAnsiTheme="minorEastAsia" w:eastAsiaTheme="minorEastAsia" w:cstheme="minorEastAsia"/>
          <w:b/>
          <w:sz w:val="24"/>
        </w:rPr>
        <w:t>附件二</w:t>
      </w:r>
    </w:p>
    <w:p w14:paraId="1C015963">
      <w:pPr>
        <w:spacing w:line="460" w:lineRule="exact"/>
        <w:ind w:firstLine="437"/>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技术规格、商务条款偏离表</w:t>
      </w:r>
    </w:p>
    <w:p w14:paraId="7ACEF032">
      <w:pPr>
        <w:spacing w:line="380" w:lineRule="exac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 xml:space="preserve">项目名称：                              项目编号：                  </w:t>
      </w:r>
    </w:p>
    <w:tbl>
      <w:tblPr>
        <w:tblStyle w:val="2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14:paraId="54478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trPr>
        <w:tc>
          <w:tcPr>
            <w:tcW w:w="679" w:type="dxa"/>
            <w:vMerge w:val="restart"/>
            <w:vAlign w:val="center"/>
          </w:tcPr>
          <w:p w14:paraId="6FE1A81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内容</w:t>
            </w:r>
          </w:p>
        </w:tc>
        <w:tc>
          <w:tcPr>
            <w:tcW w:w="3749" w:type="dxa"/>
            <w:gridSpan w:val="2"/>
            <w:vAlign w:val="center"/>
          </w:tcPr>
          <w:p w14:paraId="3EF9A8C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采购文件要求</w:t>
            </w:r>
          </w:p>
        </w:tc>
        <w:tc>
          <w:tcPr>
            <w:tcW w:w="3533" w:type="dxa"/>
            <w:gridSpan w:val="3"/>
            <w:vAlign w:val="center"/>
          </w:tcPr>
          <w:p w14:paraId="0ACBFBD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投标文件内容</w:t>
            </w:r>
          </w:p>
        </w:tc>
        <w:tc>
          <w:tcPr>
            <w:tcW w:w="1147" w:type="dxa"/>
            <w:vMerge w:val="restart"/>
            <w:vAlign w:val="center"/>
          </w:tcPr>
          <w:p w14:paraId="4E880C2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正偏离或负偏离</w:t>
            </w:r>
          </w:p>
        </w:tc>
      </w:tr>
      <w:tr w14:paraId="53DB9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trPr>
        <w:tc>
          <w:tcPr>
            <w:tcW w:w="679" w:type="dxa"/>
            <w:vMerge w:val="continue"/>
            <w:vAlign w:val="center"/>
          </w:tcPr>
          <w:p w14:paraId="579A9D75">
            <w:pPr>
              <w:jc w:val="center"/>
              <w:rPr>
                <w:rFonts w:hint="eastAsia" w:asciiTheme="minorEastAsia" w:hAnsiTheme="minorEastAsia" w:eastAsiaTheme="minorEastAsia" w:cstheme="minorEastAsia"/>
                <w:sz w:val="18"/>
                <w:szCs w:val="18"/>
              </w:rPr>
            </w:pPr>
          </w:p>
        </w:tc>
        <w:tc>
          <w:tcPr>
            <w:tcW w:w="1115" w:type="dxa"/>
            <w:vAlign w:val="center"/>
          </w:tcPr>
          <w:p w14:paraId="61977CB9">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条款号</w:t>
            </w:r>
          </w:p>
        </w:tc>
        <w:tc>
          <w:tcPr>
            <w:tcW w:w="2634" w:type="dxa"/>
            <w:vAlign w:val="center"/>
          </w:tcPr>
          <w:p w14:paraId="0B98C2A4">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简要内容</w:t>
            </w:r>
          </w:p>
        </w:tc>
        <w:tc>
          <w:tcPr>
            <w:tcW w:w="1210" w:type="dxa"/>
            <w:gridSpan w:val="2"/>
            <w:vAlign w:val="center"/>
          </w:tcPr>
          <w:p w14:paraId="7E6FC399">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条款号</w:t>
            </w:r>
          </w:p>
        </w:tc>
        <w:tc>
          <w:tcPr>
            <w:tcW w:w="2323" w:type="dxa"/>
            <w:vAlign w:val="center"/>
          </w:tcPr>
          <w:p w14:paraId="20AFC35D">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实际响应的具体内容</w:t>
            </w:r>
          </w:p>
        </w:tc>
        <w:tc>
          <w:tcPr>
            <w:tcW w:w="1147" w:type="dxa"/>
            <w:vMerge w:val="continue"/>
            <w:vAlign w:val="center"/>
          </w:tcPr>
          <w:p w14:paraId="11E68727">
            <w:pPr>
              <w:autoSpaceDE w:val="0"/>
              <w:autoSpaceDN w:val="0"/>
              <w:adjustRightInd w:val="0"/>
              <w:jc w:val="center"/>
              <w:rPr>
                <w:rFonts w:hint="eastAsia" w:asciiTheme="minorEastAsia" w:hAnsiTheme="minorEastAsia" w:eastAsiaTheme="minorEastAsia" w:cstheme="minorEastAsia"/>
                <w:sz w:val="18"/>
                <w:szCs w:val="18"/>
              </w:rPr>
            </w:pPr>
          </w:p>
        </w:tc>
      </w:tr>
      <w:tr w14:paraId="23DE7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restart"/>
            <w:textDirection w:val="tbRlV"/>
            <w:vAlign w:val="center"/>
          </w:tcPr>
          <w:p w14:paraId="2A5A27AD">
            <w:pPr>
              <w:ind w:right="113" w:firstLine="450" w:firstLineChars="25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技  术  偏  离</w:t>
            </w:r>
          </w:p>
        </w:tc>
        <w:tc>
          <w:tcPr>
            <w:tcW w:w="1115" w:type="dxa"/>
            <w:vAlign w:val="center"/>
          </w:tcPr>
          <w:p w14:paraId="5FB0D9C8">
            <w:pPr>
              <w:jc w:val="center"/>
              <w:rPr>
                <w:rFonts w:hint="eastAsia" w:asciiTheme="minorEastAsia" w:hAnsiTheme="minorEastAsia" w:eastAsiaTheme="minorEastAsia" w:cstheme="minorEastAsia"/>
                <w:sz w:val="18"/>
                <w:szCs w:val="18"/>
              </w:rPr>
            </w:pPr>
          </w:p>
        </w:tc>
        <w:tc>
          <w:tcPr>
            <w:tcW w:w="2634" w:type="dxa"/>
            <w:vAlign w:val="center"/>
          </w:tcPr>
          <w:p w14:paraId="1E9FC7DE">
            <w:pPr>
              <w:jc w:val="center"/>
              <w:rPr>
                <w:rFonts w:hint="eastAsia" w:asciiTheme="minorEastAsia" w:hAnsiTheme="minorEastAsia" w:eastAsiaTheme="minorEastAsia" w:cstheme="minorEastAsia"/>
                <w:sz w:val="18"/>
                <w:szCs w:val="18"/>
              </w:rPr>
            </w:pPr>
          </w:p>
        </w:tc>
        <w:tc>
          <w:tcPr>
            <w:tcW w:w="1210" w:type="dxa"/>
            <w:gridSpan w:val="2"/>
            <w:vAlign w:val="center"/>
          </w:tcPr>
          <w:p w14:paraId="72C34CF0">
            <w:pPr>
              <w:jc w:val="center"/>
              <w:rPr>
                <w:rFonts w:hint="eastAsia" w:asciiTheme="minorEastAsia" w:hAnsiTheme="minorEastAsia" w:eastAsiaTheme="minorEastAsia" w:cstheme="minorEastAsia"/>
                <w:sz w:val="18"/>
                <w:szCs w:val="18"/>
              </w:rPr>
            </w:pPr>
          </w:p>
        </w:tc>
        <w:tc>
          <w:tcPr>
            <w:tcW w:w="2323" w:type="dxa"/>
            <w:vAlign w:val="center"/>
          </w:tcPr>
          <w:p w14:paraId="496B835B">
            <w:pPr>
              <w:jc w:val="center"/>
              <w:rPr>
                <w:rFonts w:hint="eastAsia" w:asciiTheme="minorEastAsia" w:hAnsiTheme="minorEastAsia" w:eastAsiaTheme="minorEastAsia" w:cstheme="minorEastAsia"/>
                <w:sz w:val="18"/>
                <w:szCs w:val="18"/>
              </w:rPr>
            </w:pPr>
          </w:p>
        </w:tc>
        <w:tc>
          <w:tcPr>
            <w:tcW w:w="1147" w:type="dxa"/>
            <w:vAlign w:val="center"/>
          </w:tcPr>
          <w:p w14:paraId="3C9B10C0">
            <w:pPr>
              <w:jc w:val="center"/>
              <w:rPr>
                <w:rFonts w:hint="eastAsia" w:asciiTheme="minorEastAsia" w:hAnsiTheme="minorEastAsia" w:eastAsiaTheme="minorEastAsia" w:cstheme="minorEastAsia"/>
                <w:sz w:val="18"/>
                <w:szCs w:val="18"/>
              </w:rPr>
            </w:pPr>
          </w:p>
        </w:tc>
      </w:tr>
      <w:tr w14:paraId="2A14A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28549B0E">
            <w:pPr>
              <w:jc w:val="center"/>
              <w:rPr>
                <w:rFonts w:hint="eastAsia" w:asciiTheme="minorEastAsia" w:hAnsiTheme="minorEastAsia" w:eastAsiaTheme="minorEastAsia" w:cstheme="minorEastAsia"/>
                <w:sz w:val="18"/>
                <w:szCs w:val="18"/>
              </w:rPr>
            </w:pPr>
          </w:p>
        </w:tc>
        <w:tc>
          <w:tcPr>
            <w:tcW w:w="1115" w:type="dxa"/>
            <w:vAlign w:val="center"/>
          </w:tcPr>
          <w:p w14:paraId="50CD2693">
            <w:pPr>
              <w:jc w:val="center"/>
              <w:rPr>
                <w:rFonts w:hint="eastAsia" w:asciiTheme="minorEastAsia" w:hAnsiTheme="minorEastAsia" w:eastAsiaTheme="minorEastAsia" w:cstheme="minorEastAsia"/>
                <w:sz w:val="18"/>
                <w:szCs w:val="18"/>
              </w:rPr>
            </w:pPr>
          </w:p>
        </w:tc>
        <w:tc>
          <w:tcPr>
            <w:tcW w:w="2634" w:type="dxa"/>
            <w:vAlign w:val="center"/>
          </w:tcPr>
          <w:p w14:paraId="694DC1F9">
            <w:pPr>
              <w:jc w:val="center"/>
              <w:rPr>
                <w:rFonts w:hint="eastAsia" w:asciiTheme="minorEastAsia" w:hAnsiTheme="minorEastAsia" w:eastAsiaTheme="minorEastAsia" w:cstheme="minorEastAsia"/>
                <w:sz w:val="18"/>
                <w:szCs w:val="18"/>
              </w:rPr>
            </w:pPr>
          </w:p>
        </w:tc>
        <w:tc>
          <w:tcPr>
            <w:tcW w:w="1210" w:type="dxa"/>
            <w:gridSpan w:val="2"/>
            <w:vAlign w:val="center"/>
          </w:tcPr>
          <w:p w14:paraId="67174EDD">
            <w:pPr>
              <w:jc w:val="center"/>
              <w:rPr>
                <w:rFonts w:hint="eastAsia" w:asciiTheme="minorEastAsia" w:hAnsiTheme="minorEastAsia" w:eastAsiaTheme="minorEastAsia" w:cstheme="minorEastAsia"/>
                <w:sz w:val="18"/>
                <w:szCs w:val="18"/>
              </w:rPr>
            </w:pPr>
          </w:p>
        </w:tc>
        <w:tc>
          <w:tcPr>
            <w:tcW w:w="2323" w:type="dxa"/>
            <w:vAlign w:val="center"/>
          </w:tcPr>
          <w:p w14:paraId="04395339">
            <w:pPr>
              <w:jc w:val="center"/>
              <w:rPr>
                <w:rFonts w:hint="eastAsia" w:asciiTheme="minorEastAsia" w:hAnsiTheme="minorEastAsia" w:eastAsiaTheme="minorEastAsia" w:cstheme="minorEastAsia"/>
                <w:sz w:val="18"/>
                <w:szCs w:val="18"/>
              </w:rPr>
            </w:pPr>
          </w:p>
        </w:tc>
        <w:tc>
          <w:tcPr>
            <w:tcW w:w="1147" w:type="dxa"/>
            <w:vAlign w:val="center"/>
          </w:tcPr>
          <w:p w14:paraId="263A6A81">
            <w:pPr>
              <w:jc w:val="center"/>
              <w:rPr>
                <w:rFonts w:hint="eastAsia" w:asciiTheme="minorEastAsia" w:hAnsiTheme="minorEastAsia" w:eastAsiaTheme="minorEastAsia" w:cstheme="minorEastAsia"/>
                <w:sz w:val="18"/>
                <w:szCs w:val="18"/>
              </w:rPr>
            </w:pPr>
          </w:p>
        </w:tc>
      </w:tr>
      <w:tr w14:paraId="64E28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74FA1003">
            <w:pPr>
              <w:jc w:val="center"/>
              <w:rPr>
                <w:rFonts w:hint="eastAsia" w:asciiTheme="minorEastAsia" w:hAnsiTheme="minorEastAsia" w:eastAsiaTheme="minorEastAsia" w:cstheme="minorEastAsia"/>
                <w:sz w:val="18"/>
                <w:szCs w:val="18"/>
              </w:rPr>
            </w:pPr>
          </w:p>
        </w:tc>
        <w:tc>
          <w:tcPr>
            <w:tcW w:w="1115" w:type="dxa"/>
            <w:vAlign w:val="center"/>
          </w:tcPr>
          <w:p w14:paraId="38452BEA">
            <w:pPr>
              <w:jc w:val="center"/>
              <w:rPr>
                <w:rFonts w:hint="eastAsia" w:asciiTheme="minorEastAsia" w:hAnsiTheme="minorEastAsia" w:eastAsiaTheme="minorEastAsia" w:cstheme="minorEastAsia"/>
                <w:sz w:val="18"/>
                <w:szCs w:val="18"/>
              </w:rPr>
            </w:pPr>
          </w:p>
        </w:tc>
        <w:tc>
          <w:tcPr>
            <w:tcW w:w="2634" w:type="dxa"/>
            <w:vAlign w:val="center"/>
          </w:tcPr>
          <w:p w14:paraId="50B28E58">
            <w:pPr>
              <w:jc w:val="center"/>
              <w:rPr>
                <w:rFonts w:hint="eastAsia" w:asciiTheme="minorEastAsia" w:hAnsiTheme="minorEastAsia" w:eastAsiaTheme="minorEastAsia" w:cstheme="minorEastAsia"/>
                <w:sz w:val="18"/>
                <w:szCs w:val="18"/>
              </w:rPr>
            </w:pPr>
          </w:p>
        </w:tc>
        <w:tc>
          <w:tcPr>
            <w:tcW w:w="1210" w:type="dxa"/>
            <w:gridSpan w:val="2"/>
            <w:vAlign w:val="center"/>
          </w:tcPr>
          <w:p w14:paraId="6D0B93BE">
            <w:pPr>
              <w:jc w:val="center"/>
              <w:rPr>
                <w:rFonts w:hint="eastAsia" w:asciiTheme="minorEastAsia" w:hAnsiTheme="minorEastAsia" w:eastAsiaTheme="minorEastAsia" w:cstheme="minorEastAsia"/>
                <w:sz w:val="18"/>
                <w:szCs w:val="18"/>
              </w:rPr>
            </w:pPr>
          </w:p>
        </w:tc>
        <w:tc>
          <w:tcPr>
            <w:tcW w:w="2323" w:type="dxa"/>
            <w:vAlign w:val="center"/>
          </w:tcPr>
          <w:p w14:paraId="702FCEB1">
            <w:pPr>
              <w:jc w:val="center"/>
              <w:rPr>
                <w:rFonts w:hint="eastAsia" w:asciiTheme="minorEastAsia" w:hAnsiTheme="minorEastAsia" w:eastAsiaTheme="minorEastAsia" w:cstheme="minorEastAsia"/>
                <w:sz w:val="18"/>
                <w:szCs w:val="18"/>
              </w:rPr>
            </w:pPr>
          </w:p>
        </w:tc>
        <w:tc>
          <w:tcPr>
            <w:tcW w:w="1147" w:type="dxa"/>
            <w:vAlign w:val="center"/>
          </w:tcPr>
          <w:p w14:paraId="75194114">
            <w:pPr>
              <w:jc w:val="center"/>
              <w:rPr>
                <w:rFonts w:hint="eastAsia" w:asciiTheme="minorEastAsia" w:hAnsiTheme="minorEastAsia" w:eastAsiaTheme="minorEastAsia" w:cstheme="minorEastAsia"/>
                <w:sz w:val="18"/>
                <w:szCs w:val="18"/>
              </w:rPr>
            </w:pPr>
          </w:p>
        </w:tc>
      </w:tr>
      <w:tr w14:paraId="3583F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609FE71F">
            <w:pPr>
              <w:jc w:val="center"/>
              <w:rPr>
                <w:rFonts w:hint="eastAsia" w:asciiTheme="minorEastAsia" w:hAnsiTheme="minorEastAsia" w:eastAsiaTheme="minorEastAsia" w:cstheme="minorEastAsia"/>
                <w:sz w:val="18"/>
                <w:szCs w:val="18"/>
              </w:rPr>
            </w:pPr>
          </w:p>
        </w:tc>
        <w:tc>
          <w:tcPr>
            <w:tcW w:w="1115" w:type="dxa"/>
            <w:vAlign w:val="center"/>
          </w:tcPr>
          <w:p w14:paraId="717271AA">
            <w:pPr>
              <w:jc w:val="center"/>
              <w:rPr>
                <w:rFonts w:hint="eastAsia" w:asciiTheme="minorEastAsia" w:hAnsiTheme="minorEastAsia" w:eastAsiaTheme="minorEastAsia" w:cstheme="minorEastAsia"/>
                <w:sz w:val="18"/>
                <w:szCs w:val="18"/>
              </w:rPr>
            </w:pPr>
          </w:p>
        </w:tc>
        <w:tc>
          <w:tcPr>
            <w:tcW w:w="2634" w:type="dxa"/>
            <w:vAlign w:val="center"/>
          </w:tcPr>
          <w:p w14:paraId="4E7F8C0E">
            <w:pPr>
              <w:jc w:val="center"/>
              <w:rPr>
                <w:rFonts w:hint="eastAsia" w:asciiTheme="minorEastAsia" w:hAnsiTheme="minorEastAsia" w:eastAsiaTheme="minorEastAsia" w:cstheme="minorEastAsia"/>
                <w:sz w:val="18"/>
                <w:szCs w:val="18"/>
              </w:rPr>
            </w:pPr>
          </w:p>
        </w:tc>
        <w:tc>
          <w:tcPr>
            <w:tcW w:w="1210" w:type="dxa"/>
            <w:gridSpan w:val="2"/>
            <w:vAlign w:val="center"/>
          </w:tcPr>
          <w:p w14:paraId="0E2CD453">
            <w:pPr>
              <w:jc w:val="center"/>
              <w:rPr>
                <w:rFonts w:hint="eastAsia" w:asciiTheme="minorEastAsia" w:hAnsiTheme="minorEastAsia" w:eastAsiaTheme="minorEastAsia" w:cstheme="minorEastAsia"/>
                <w:sz w:val="18"/>
                <w:szCs w:val="18"/>
              </w:rPr>
            </w:pPr>
          </w:p>
        </w:tc>
        <w:tc>
          <w:tcPr>
            <w:tcW w:w="2323" w:type="dxa"/>
            <w:vAlign w:val="center"/>
          </w:tcPr>
          <w:p w14:paraId="68DA2275">
            <w:pPr>
              <w:jc w:val="center"/>
              <w:rPr>
                <w:rFonts w:hint="eastAsia" w:asciiTheme="minorEastAsia" w:hAnsiTheme="minorEastAsia" w:eastAsiaTheme="minorEastAsia" w:cstheme="minorEastAsia"/>
                <w:sz w:val="18"/>
                <w:szCs w:val="18"/>
              </w:rPr>
            </w:pPr>
          </w:p>
        </w:tc>
        <w:tc>
          <w:tcPr>
            <w:tcW w:w="1147" w:type="dxa"/>
            <w:vAlign w:val="center"/>
          </w:tcPr>
          <w:p w14:paraId="1368C616">
            <w:pPr>
              <w:jc w:val="center"/>
              <w:rPr>
                <w:rFonts w:hint="eastAsia" w:asciiTheme="minorEastAsia" w:hAnsiTheme="minorEastAsia" w:eastAsiaTheme="minorEastAsia" w:cstheme="minorEastAsia"/>
                <w:sz w:val="18"/>
                <w:szCs w:val="18"/>
              </w:rPr>
            </w:pPr>
          </w:p>
        </w:tc>
      </w:tr>
      <w:tr w14:paraId="03982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23872BC1">
            <w:pPr>
              <w:jc w:val="center"/>
              <w:rPr>
                <w:rFonts w:hint="eastAsia" w:asciiTheme="minorEastAsia" w:hAnsiTheme="minorEastAsia" w:eastAsiaTheme="minorEastAsia" w:cstheme="minorEastAsia"/>
                <w:sz w:val="18"/>
                <w:szCs w:val="18"/>
              </w:rPr>
            </w:pPr>
          </w:p>
        </w:tc>
        <w:tc>
          <w:tcPr>
            <w:tcW w:w="1115" w:type="dxa"/>
            <w:vAlign w:val="center"/>
          </w:tcPr>
          <w:p w14:paraId="13A663AE">
            <w:pPr>
              <w:jc w:val="center"/>
              <w:rPr>
                <w:rFonts w:hint="eastAsia" w:asciiTheme="minorEastAsia" w:hAnsiTheme="minorEastAsia" w:eastAsiaTheme="minorEastAsia" w:cstheme="minorEastAsia"/>
                <w:sz w:val="18"/>
                <w:szCs w:val="18"/>
              </w:rPr>
            </w:pPr>
          </w:p>
        </w:tc>
        <w:tc>
          <w:tcPr>
            <w:tcW w:w="2634" w:type="dxa"/>
            <w:vAlign w:val="center"/>
          </w:tcPr>
          <w:p w14:paraId="714AD882">
            <w:pPr>
              <w:jc w:val="center"/>
              <w:rPr>
                <w:rFonts w:hint="eastAsia" w:asciiTheme="minorEastAsia" w:hAnsiTheme="minorEastAsia" w:eastAsiaTheme="minorEastAsia" w:cstheme="minorEastAsia"/>
                <w:sz w:val="18"/>
                <w:szCs w:val="18"/>
              </w:rPr>
            </w:pPr>
          </w:p>
        </w:tc>
        <w:tc>
          <w:tcPr>
            <w:tcW w:w="1210" w:type="dxa"/>
            <w:gridSpan w:val="2"/>
            <w:vAlign w:val="center"/>
          </w:tcPr>
          <w:p w14:paraId="5F60EC4F">
            <w:pPr>
              <w:jc w:val="center"/>
              <w:rPr>
                <w:rFonts w:hint="eastAsia" w:asciiTheme="minorEastAsia" w:hAnsiTheme="minorEastAsia" w:eastAsiaTheme="minorEastAsia" w:cstheme="minorEastAsia"/>
                <w:sz w:val="18"/>
                <w:szCs w:val="18"/>
              </w:rPr>
            </w:pPr>
          </w:p>
        </w:tc>
        <w:tc>
          <w:tcPr>
            <w:tcW w:w="2323" w:type="dxa"/>
            <w:vAlign w:val="center"/>
          </w:tcPr>
          <w:p w14:paraId="245680EC">
            <w:pPr>
              <w:jc w:val="center"/>
              <w:rPr>
                <w:rFonts w:hint="eastAsia" w:asciiTheme="minorEastAsia" w:hAnsiTheme="minorEastAsia" w:eastAsiaTheme="minorEastAsia" w:cstheme="minorEastAsia"/>
                <w:sz w:val="18"/>
                <w:szCs w:val="18"/>
              </w:rPr>
            </w:pPr>
          </w:p>
        </w:tc>
        <w:tc>
          <w:tcPr>
            <w:tcW w:w="1147" w:type="dxa"/>
            <w:vAlign w:val="center"/>
          </w:tcPr>
          <w:p w14:paraId="259C98A1">
            <w:pPr>
              <w:jc w:val="center"/>
              <w:rPr>
                <w:rFonts w:hint="eastAsia" w:asciiTheme="minorEastAsia" w:hAnsiTheme="minorEastAsia" w:eastAsiaTheme="minorEastAsia" w:cstheme="minorEastAsia"/>
                <w:sz w:val="18"/>
                <w:szCs w:val="18"/>
              </w:rPr>
            </w:pPr>
          </w:p>
        </w:tc>
      </w:tr>
      <w:tr w14:paraId="285B5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7F7C6172">
            <w:pPr>
              <w:jc w:val="center"/>
              <w:rPr>
                <w:rFonts w:hint="eastAsia" w:asciiTheme="minorEastAsia" w:hAnsiTheme="minorEastAsia" w:eastAsiaTheme="minorEastAsia" w:cstheme="minorEastAsia"/>
                <w:sz w:val="18"/>
                <w:szCs w:val="18"/>
              </w:rPr>
            </w:pPr>
          </w:p>
        </w:tc>
        <w:tc>
          <w:tcPr>
            <w:tcW w:w="1115" w:type="dxa"/>
            <w:vAlign w:val="center"/>
          </w:tcPr>
          <w:p w14:paraId="61B345BA">
            <w:pPr>
              <w:jc w:val="center"/>
              <w:rPr>
                <w:rFonts w:hint="eastAsia" w:asciiTheme="minorEastAsia" w:hAnsiTheme="minorEastAsia" w:eastAsiaTheme="minorEastAsia" w:cstheme="minorEastAsia"/>
                <w:sz w:val="18"/>
                <w:szCs w:val="18"/>
              </w:rPr>
            </w:pPr>
          </w:p>
        </w:tc>
        <w:tc>
          <w:tcPr>
            <w:tcW w:w="2634" w:type="dxa"/>
            <w:vAlign w:val="center"/>
          </w:tcPr>
          <w:p w14:paraId="3586DF64">
            <w:pPr>
              <w:jc w:val="center"/>
              <w:rPr>
                <w:rFonts w:hint="eastAsia" w:asciiTheme="minorEastAsia" w:hAnsiTheme="minorEastAsia" w:eastAsiaTheme="minorEastAsia" w:cstheme="minorEastAsia"/>
                <w:sz w:val="18"/>
                <w:szCs w:val="18"/>
              </w:rPr>
            </w:pPr>
          </w:p>
        </w:tc>
        <w:tc>
          <w:tcPr>
            <w:tcW w:w="1210" w:type="dxa"/>
            <w:gridSpan w:val="2"/>
            <w:vAlign w:val="center"/>
          </w:tcPr>
          <w:p w14:paraId="1234CB9C">
            <w:pPr>
              <w:jc w:val="center"/>
              <w:rPr>
                <w:rFonts w:hint="eastAsia" w:asciiTheme="minorEastAsia" w:hAnsiTheme="minorEastAsia" w:eastAsiaTheme="minorEastAsia" w:cstheme="minorEastAsia"/>
                <w:sz w:val="18"/>
                <w:szCs w:val="18"/>
              </w:rPr>
            </w:pPr>
          </w:p>
        </w:tc>
        <w:tc>
          <w:tcPr>
            <w:tcW w:w="2323" w:type="dxa"/>
            <w:vAlign w:val="center"/>
          </w:tcPr>
          <w:p w14:paraId="0E73CFB4">
            <w:pPr>
              <w:jc w:val="center"/>
              <w:rPr>
                <w:rFonts w:hint="eastAsia" w:asciiTheme="minorEastAsia" w:hAnsiTheme="minorEastAsia" w:eastAsiaTheme="minorEastAsia" w:cstheme="minorEastAsia"/>
                <w:sz w:val="18"/>
                <w:szCs w:val="18"/>
              </w:rPr>
            </w:pPr>
          </w:p>
        </w:tc>
        <w:tc>
          <w:tcPr>
            <w:tcW w:w="1147" w:type="dxa"/>
            <w:vAlign w:val="center"/>
          </w:tcPr>
          <w:p w14:paraId="0BF3F06E">
            <w:pPr>
              <w:jc w:val="center"/>
              <w:rPr>
                <w:rFonts w:hint="eastAsia" w:asciiTheme="minorEastAsia" w:hAnsiTheme="minorEastAsia" w:eastAsiaTheme="minorEastAsia" w:cstheme="minorEastAsia"/>
                <w:sz w:val="18"/>
                <w:szCs w:val="18"/>
              </w:rPr>
            </w:pPr>
          </w:p>
        </w:tc>
      </w:tr>
      <w:tr w14:paraId="63F4A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5401A204">
            <w:pPr>
              <w:jc w:val="center"/>
              <w:rPr>
                <w:rFonts w:hint="eastAsia" w:asciiTheme="minorEastAsia" w:hAnsiTheme="minorEastAsia" w:eastAsiaTheme="minorEastAsia" w:cstheme="minorEastAsia"/>
                <w:sz w:val="18"/>
                <w:szCs w:val="18"/>
              </w:rPr>
            </w:pPr>
          </w:p>
        </w:tc>
        <w:tc>
          <w:tcPr>
            <w:tcW w:w="1115" w:type="dxa"/>
            <w:vAlign w:val="center"/>
          </w:tcPr>
          <w:p w14:paraId="5DB147BF">
            <w:pPr>
              <w:jc w:val="center"/>
              <w:rPr>
                <w:rFonts w:hint="eastAsia" w:asciiTheme="minorEastAsia" w:hAnsiTheme="minorEastAsia" w:eastAsiaTheme="minorEastAsia" w:cstheme="minorEastAsia"/>
                <w:sz w:val="18"/>
                <w:szCs w:val="18"/>
              </w:rPr>
            </w:pPr>
          </w:p>
        </w:tc>
        <w:tc>
          <w:tcPr>
            <w:tcW w:w="2634" w:type="dxa"/>
            <w:vAlign w:val="center"/>
          </w:tcPr>
          <w:p w14:paraId="751A517C">
            <w:pPr>
              <w:jc w:val="center"/>
              <w:rPr>
                <w:rFonts w:hint="eastAsia" w:asciiTheme="minorEastAsia" w:hAnsiTheme="minorEastAsia" w:eastAsiaTheme="minorEastAsia" w:cstheme="minorEastAsia"/>
                <w:sz w:val="18"/>
                <w:szCs w:val="18"/>
              </w:rPr>
            </w:pPr>
          </w:p>
        </w:tc>
        <w:tc>
          <w:tcPr>
            <w:tcW w:w="1210" w:type="dxa"/>
            <w:gridSpan w:val="2"/>
            <w:vAlign w:val="center"/>
          </w:tcPr>
          <w:p w14:paraId="0DB4FFDB">
            <w:pPr>
              <w:jc w:val="center"/>
              <w:rPr>
                <w:rFonts w:hint="eastAsia" w:asciiTheme="minorEastAsia" w:hAnsiTheme="minorEastAsia" w:eastAsiaTheme="minorEastAsia" w:cstheme="minorEastAsia"/>
                <w:sz w:val="18"/>
                <w:szCs w:val="18"/>
              </w:rPr>
            </w:pPr>
          </w:p>
        </w:tc>
        <w:tc>
          <w:tcPr>
            <w:tcW w:w="2323" w:type="dxa"/>
            <w:vAlign w:val="center"/>
          </w:tcPr>
          <w:p w14:paraId="73C82722">
            <w:pPr>
              <w:jc w:val="center"/>
              <w:rPr>
                <w:rFonts w:hint="eastAsia" w:asciiTheme="minorEastAsia" w:hAnsiTheme="minorEastAsia" w:eastAsiaTheme="minorEastAsia" w:cstheme="minorEastAsia"/>
                <w:sz w:val="18"/>
                <w:szCs w:val="18"/>
              </w:rPr>
            </w:pPr>
          </w:p>
        </w:tc>
        <w:tc>
          <w:tcPr>
            <w:tcW w:w="1147" w:type="dxa"/>
            <w:vAlign w:val="center"/>
          </w:tcPr>
          <w:p w14:paraId="6092347E">
            <w:pPr>
              <w:jc w:val="center"/>
              <w:rPr>
                <w:rFonts w:hint="eastAsia" w:asciiTheme="minorEastAsia" w:hAnsiTheme="minorEastAsia" w:eastAsiaTheme="minorEastAsia" w:cstheme="minorEastAsia"/>
                <w:sz w:val="18"/>
                <w:szCs w:val="18"/>
              </w:rPr>
            </w:pPr>
          </w:p>
        </w:tc>
      </w:tr>
      <w:tr w14:paraId="1F46A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679" w:type="dxa"/>
            <w:vMerge w:val="restart"/>
            <w:vAlign w:val="center"/>
          </w:tcPr>
          <w:p w14:paraId="3C3A091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内容</w:t>
            </w:r>
          </w:p>
        </w:tc>
        <w:tc>
          <w:tcPr>
            <w:tcW w:w="3749" w:type="dxa"/>
            <w:gridSpan w:val="2"/>
            <w:vAlign w:val="center"/>
          </w:tcPr>
          <w:p w14:paraId="197B586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采购文件要求</w:t>
            </w:r>
          </w:p>
        </w:tc>
        <w:tc>
          <w:tcPr>
            <w:tcW w:w="3533" w:type="dxa"/>
            <w:gridSpan w:val="3"/>
            <w:vAlign w:val="center"/>
          </w:tcPr>
          <w:p w14:paraId="2BFB1ED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投标文件内容</w:t>
            </w:r>
          </w:p>
        </w:tc>
        <w:tc>
          <w:tcPr>
            <w:tcW w:w="1147" w:type="dxa"/>
            <w:vAlign w:val="center"/>
          </w:tcPr>
          <w:p w14:paraId="5BDBEE02">
            <w:pPr>
              <w:jc w:val="center"/>
              <w:rPr>
                <w:rFonts w:hint="eastAsia" w:asciiTheme="minorEastAsia" w:hAnsiTheme="minorEastAsia" w:eastAsiaTheme="minorEastAsia" w:cstheme="minorEastAsia"/>
                <w:sz w:val="18"/>
                <w:szCs w:val="18"/>
              </w:rPr>
            </w:pPr>
          </w:p>
        </w:tc>
      </w:tr>
      <w:tr w14:paraId="7CCDA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trPr>
        <w:tc>
          <w:tcPr>
            <w:tcW w:w="679" w:type="dxa"/>
            <w:vMerge w:val="continue"/>
            <w:vAlign w:val="center"/>
          </w:tcPr>
          <w:p w14:paraId="74A344D1">
            <w:pPr>
              <w:jc w:val="center"/>
              <w:rPr>
                <w:rFonts w:hint="eastAsia" w:asciiTheme="minorEastAsia" w:hAnsiTheme="minorEastAsia" w:eastAsiaTheme="minorEastAsia" w:cstheme="minorEastAsia"/>
                <w:sz w:val="18"/>
                <w:szCs w:val="18"/>
              </w:rPr>
            </w:pPr>
          </w:p>
        </w:tc>
        <w:tc>
          <w:tcPr>
            <w:tcW w:w="1115" w:type="dxa"/>
            <w:vAlign w:val="center"/>
          </w:tcPr>
          <w:p w14:paraId="3693FD36">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条款号</w:t>
            </w:r>
          </w:p>
        </w:tc>
        <w:tc>
          <w:tcPr>
            <w:tcW w:w="2634" w:type="dxa"/>
            <w:vAlign w:val="center"/>
          </w:tcPr>
          <w:p w14:paraId="6665E10C">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简要内容</w:t>
            </w:r>
          </w:p>
        </w:tc>
        <w:tc>
          <w:tcPr>
            <w:tcW w:w="1196" w:type="dxa"/>
            <w:vAlign w:val="center"/>
          </w:tcPr>
          <w:p w14:paraId="6D7780CB">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条款号</w:t>
            </w:r>
          </w:p>
        </w:tc>
        <w:tc>
          <w:tcPr>
            <w:tcW w:w="2337" w:type="dxa"/>
            <w:gridSpan w:val="2"/>
            <w:vAlign w:val="center"/>
          </w:tcPr>
          <w:p w14:paraId="1C94DA1E">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简要内容</w:t>
            </w:r>
          </w:p>
        </w:tc>
        <w:tc>
          <w:tcPr>
            <w:tcW w:w="1147" w:type="dxa"/>
            <w:vAlign w:val="center"/>
          </w:tcPr>
          <w:p w14:paraId="158079CE">
            <w:pPr>
              <w:autoSpaceDE w:val="0"/>
              <w:autoSpaceDN w:val="0"/>
              <w:adjustRightInd w:val="0"/>
              <w:jc w:val="center"/>
              <w:rPr>
                <w:rFonts w:hint="eastAsia" w:asciiTheme="minorEastAsia" w:hAnsiTheme="minorEastAsia" w:eastAsiaTheme="minorEastAsia" w:cstheme="minorEastAsia"/>
                <w:sz w:val="18"/>
                <w:szCs w:val="18"/>
              </w:rPr>
            </w:pPr>
          </w:p>
        </w:tc>
      </w:tr>
      <w:tr w14:paraId="46405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restart"/>
            <w:textDirection w:val="tbRlV"/>
            <w:vAlign w:val="center"/>
          </w:tcPr>
          <w:p w14:paraId="780888FA">
            <w:pPr>
              <w:ind w:right="113" w:firstLine="450" w:firstLineChars="25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商  务  偏  离</w:t>
            </w:r>
          </w:p>
        </w:tc>
        <w:tc>
          <w:tcPr>
            <w:tcW w:w="1115" w:type="dxa"/>
            <w:vAlign w:val="center"/>
          </w:tcPr>
          <w:p w14:paraId="7A7BCB8A">
            <w:pPr>
              <w:jc w:val="center"/>
              <w:rPr>
                <w:rFonts w:hint="eastAsia" w:asciiTheme="minorEastAsia" w:hAnsiTheme="minorEastAsia" w:eastAsiaTheme="minorEastAsia" w:cstheme="minorEastAsia"/>
                <w:sz w:val="18"/>
                <w:szCs w:val="18"/>
              </w:rPr>
            </w:pPr>
          </w:p>
        </w:tc>
        <w:tc>
          <w:tcPr>
            <w:tcW w:w="2634" w:type="dxa"/>
            <w:vAlign w:val="center"/>
          </w:tcPr>
          <w:p w14:paraId="7A3C5C8C">
            <w:pPr>
              <w:jc w:val="center"/>
              <w:rPr>
                <w:rFonts w:hint="eastAsia" w:asciiTheme="minorEastAsia" w:hAnsiTheme="minorEastAsia" w:eastAsiaTheme="minorEastAsia" w:cstheme="minorEastAsia"/>
                <w:sz w:val="18"/>
                <w:szCs w:val="18"/>
              </w:rPr>
            </w:pPr>
          </w:p>
        </w:tc>
        <w:tc>
          <w:tcPr>
            <w:tcW w:w="1196" w:type="dxa"/>
            <w:vAlign w:val="center"/>
          </w:tcPr>
          <w:p w14:paraId="78B76AF4">
            <w:pPr>
              <w:jc w:val="center"/>
              <w:rPr>
                <w:rFonts w:hint="eastAsia" w:asciiTheme="minorEastAsia" w:hAnsiTheme="minorEastAsia" w:eastAsiaTheme="minorEastAsia" w:cstheme="minorEastAsia"/>
                <w:sz w:val="18"/>
                <w:szCs w:val="18"/>
              </w:rPr>
            </w:pPr>
          </w:p>
        </w:tc>
        <w:tc>
          <w:tcPr>
            <w:tcW w:w="2337" w:type="dxa"/>
            <w:gridSpan w:val="2"/>
            <w:vAlign w:val="center"/>
          </w:tcPr>
          <w:p w14:paraId="2F8F1BD6">
            <w:pPr>
              <w:jc w:val="center"/>
              <w:rPr>
                <w:rFonts w:hint="eastAsia" w:asciiTheme="minorEastAsia" w:hAnsiTheme="minorEastAsia" w:eastAsiaTheme="minorEastAsia" w:cstheme="minorEastAsia"/>
                <w:sz w:val="18"/>
                <w:szCs w:val="18"/>
              </w:rPr>
            </w:pPr>
          </w:p>
        </w:tc>
        <w:tc>
          <w:tcPr>
            <w:tcW w:w="1147" w:type="dxa"/>
            <w:vAlign w:val="center"/>
          </w:tcPr>
          <w:p w14:paraId="202BAAB3">
            <w:pPr>
              <w:jc w:val="center"/>
              <w:rPr>
                <w:rFonts w:hint="eastAsia" w:asciiTheme="minorEastAsia" w:hAnsiTheme="minorEastAsia" w:eastAsiaTheme="minorEastAsia" w:cstheme="minorEastAsia"/>
                <w:sz w:val="18"/>
                <w:szCs w:val="18"/>
              </w:rPr>
            </w:pPr>
          </w:p>
        </w:tc>
      </w:tr>
      <w:tr w14:paraId="4ADA6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2CC55C0B">
            <w:pPr>
              <w:jc w:val="center"/>
              <w:rPr>
                <w:rFonts w:hint="eastAsia" w:asciiTheme="minorEastAsia" w:hAnsiTheme="minorEastAsia" w:eastAsiaTheme="minorEastAsia" w:cstheme="minorEastAsia"/>
                <w:sz w:val="18"/>
                <w:szCs w:val="18"/>
              </w:rPr>
            </w:pPr>
          </w:p>
        </w:tc>
        <w:tc>
          <w:tcPr>
            <w:tcW w:w="1115" w:type="dxa"/>
            <w:vAlign w:val="center"/>
          </w:tcPr>
          <w:p w14:paraId="2A68DD87">
            <w:pPr>
              <w:jc w:val="center"/>
              <w:rPr>
                <w:rFonts w:hint="eastAsia" w:asciiTheme="minorEastAsia" w:hAnsiTheme="minorEastAsia" w:eastAsiaTheme="minorEastAsia" w:cstheme="minorEastAsia"/>
                <w:sz w:val="18"/>
                <w:szCs w:val="18"/>
              </w:rPr>
            </w:pPr>
          </w:p>
        </w:tc>
        <w:tc>
          <w:tcPr>
            <w:tcW w:w="2634" w:type="dxa"/>
            <w:vAlign w:val="center"/>
          </w:tcPr>
          <w:p w14:paraId="14073B1E">
            <w:pPr>
              <w:jc w:val="center"/>
              <w:rPr>
                <w:rFonts w:hint="eastAsia" w:asciiTheme="minorEastAsia" w:hAnsiTheme="minorEastAsia" w:eastAsiaTheme="minorEastAsia" w:cstheme="minorEastAsia"/>
                <w:sz w:val="18"/>
                <w:szCs w:val="18"/>
              </w:rPr>
            </w:pPr>
          </w:p>
        </w:tc>
        <w:tc>
          <w:tcPr>
            <w:tcW w:w="1196" w:type="dxa"/>
            <w:vAlign w:val="center"/>
          </w:tcPr>
          <w:p w14:paraId="7473B4C7">
            <w:pPr>
              <w:jc w:val="center"/>
              <w:rPr>
                <w:rFonts w:hint="eastAsia" w:asciiTheme="minorEastAsia" w:hAnsiTheme="minorEastAsia" w:eastAsiaTheme="minorEastAsia" w:cstheme="minorEastAsia"/>
                <w:sz w:val="18"/>
                <w:szCs w:val="18"/>
              </w:rPr>
            </w:pPr>
          </w:p>
        </w:tc>
        <w:tc>
          <w:tcPr>
            <w:tcW w:w="2337" w:type="dxa"/>
            <w:gridSpan w:val="2"/>
            <w:vAlign w:val="center"/>
          </w:tcPr>
          <w:p w14:paraId="15EB300E">
            <w:pPr>
              <w:jc w:val="center"/>
              <w:rPr>
                <w:rFonts w:hint="eastAsia" w:asciiTheme="minorEastAsia" w:hAnsiTheme="minorEastAsia" w:eastAsiaTheme="minorEastAsia" w:cstheme="minorEastAsia"/>
                <w:sz w:val="18"/>
                <w:szCs w:val="18"/>
              </w:rPr>
            </w:pPr>
          </w:p>
        </w:tc>
        <w:tc>
          <w:tcPr>
            <w:tcW w:w="1147" w:type="dxa"/>
            <w:vAlign w:val="center"/>
          </w:tcPr>
          <w:p w14:paraId="7A9F4301">
            <w:pPr>
              <w:jc w:val="center"/>
              <w:rPr>
                <w:rFonts w:hint="eastAsia" w:asciiTheme="minorEastAsia" w:hAnsiTheme="minorEastAsia" w:eastAsiaTheme="minorEastAsia" w:cstheme="minorEastAsia"/>
                <w:sz w:val="18"/>
                <w:szCs w:val="18"/>
              </w:rPr>
            </w:pPr>
          </w:p>
        </w:tc>
      </w:tr>
      <w:tr w14:paraId="148E8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37A8FC89">
            <w:pPr>
              <w:jc w:val="center"/>
              <w:rPr>
                <w:rFonts w:hint="eastAsia" w:asciiTheme="minorEastAsia" w:hAnsiTheme="minorEastAsia" w:eastAsiaTheme="minorEastAsia" w:cstheme="minorEastAsia"/>
                <w:sz w:val="18"/>
                <w:szCs w:val="18"/>
              </w:rPr>
            </w:pPr>
          </w:p>
        </w:tc>
        <w:tc>
          <w:tcPr>
            <w:tcW w:w="1115" w:type="dxa"/>
            <w:vAlign w:val="center"/>
          </w:tcPr>
          <w:p w14:paraId="68ECDBD9">
            <w:pPr>
              <w:jc w:val="center"/>
              <w:rPr>
                <w:rFonts w:hint="eastAsia" w:asciiTheme="minorEastAsia" w:hAnsiTheme="minorEastAsia" w:eastAsiaTheme="minorEastAsia" w:cstheme="minorEastAsia"/>
                <w:sz w:val="18"/>
                <w:szCs w:val="18"/>
              </w:rPr>
            </w:pPr>
          </w:p>
        </w:tc>
        <w:tc>
          <w:tcPr>
            <w:tcW w:w="2634" w:type="dxa"/>
            <w:vAlign w:val="center"/>
          </w:tcPr>
          <w:p w14:paraId="61BB09FE">
            <w:pPr>
              <w:jc w:val="center"/>
              <w:rPr>
                <w:rFonts w:hint="eastAsia" w:asciiTheme="minorEastAsia" w:hAnsiTheme="minorEastAsia" w:eastAsiaTheme="minorEastAsia" w:cstheme="minorEastAsia"/>
                <w:sz w:val="18"/>
                <w:szCs w:val="18"/>
              </w:rPr>
            </w:pPr>
          </w:p>
        </w:tc>
        <w:tc>
          <w:tcPr>
            <w:tcW w:w="1196" w:type="dxa"/>
            <w:vAlign w:val="center"/>
          </w:tcPr>
          <w:p w14:paraId="5F7B4045">
            <w:pPr>
              <w:jc w:val="center"/>
              <w:rPr>
                <w:rFonts w:hint="eastAsia" w:asciiTheme="minorEastAsia" w:hAnsiTheme="minorEastAsia" w:eastAsiaTheme="minorEastAsia" w:cstheme="minorEastAsia"/>
                <w:sz w:val="18"/>
                <w:szCs w:val="18"/>
              </w:rPr>
            </w:pPr>
          </w:p>
        </w:tc>
        <w:tc>
          <w:tcPr>
            <w:tcW w:w="2337" w:type="dxa"/>
            <w:gridSpan w:val="2"/>
            <w:vAlign w:val="center"/>
          </w:tcPr>
          <w:p w14:paraId="165D7F98">
            <w:pPr>
              <w:jc w:val="center"/>
              <w:rPr>
                <w:rFonts w:hint="eastAsia" w:asciiTheme="minorEastAsia" w:hAnsiTheme="minorEastAsia" w:eastAsiaTheme="minorEastAsia" w:cstheme="minorEastAsia"/>
                <w:sz w:val="18"/>
                <w:szCs w:val="18"/>
              </w:rPr>
            </w:pPr>
          </w:p>
        </w:tc>
        <w:tc>
          <w:tcPr>
            <w:tcW w:w="1147" w:type="dxa"/>
            <w:vAlign w:val="center"/>
          </w:tcPr>
          <w:p w14:paraId="1BF4AC9C">
            <w:pPr>
              <w:jc w:val="center"/>
              <w:rPr>
                <w:rFonts w:hint="eastAsia" w:asciiTheme="minorEastAsia" w:hAnsiTheme="minorEastAsia" w:eastAsiaTheme="minorEastAsia" w:cstheme="minorEastAsia"/>
                <w:sz w:val="18"/>
                <w:szCs w:val="18"/>
              </w:rPr>
            </w:pPr>
          </w:p>
        </w:tc>
      </w:tr>
      <w:tr w14:paraId="3908C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3BDB17E0">
            <w:pPr>
              <w:jc w:val="center"/>
              <w:rPr>
                <w:rFonts w:hint="eastAsia" w:asciiTheme="minorEastAsia" w:hAnsiTheme="minorEastAsia" w:eastAsiaTheme="minorEastAsia" w:cstheme="minorEastAsia"/>
                <w:sz w:val="18"/>
                <w:szCs w:val="18"/>
              </w:rPr>
            </w:pPr>
          </w:p>
        </w:tc>
        <w:tc>
          <w:tcPr>
            <w:tcW w:w="1115" w:type="dxa"/>
            <w:vAlign w:val="center"/>
          </w:tcPr>
          <w:p w14:paraId="5F2FB86D">
            <w:pPr>
              <w:jc w:val="center"/>
              <w:rPr>
                <w:rFonts w:hint="eastAsia" w:asciiTheme="minorEastAsia" w:hAnsiTheme="minorEastAsia" w:eastAsiaTheme="minorEastAsia" w:cstheme="minorEastAsia"/>
                <w:sz w:val="18"/>
                <w:szCs w:val="18"/>
              </w:rPr>
            </w:pPr>
          </w:p>
        </w:tc>
        <w:tc>
          <w:tcPr>
            <w:tcW w:w="2634" w:type="dxa"/>
            <w:vAlign w:val="center"/>
          </w:tcPr>
          <w:p w14:paraId="44C31573">
            <w:pPr>
              <w:jc w:val="center"/>
              <w:rPr>
                <w:rFonts w:hint="eastAsia" w:asciiTheme="minorEastAsia" w:hAnsiTheme="minorEastAsia" w:eastAsiaTheme="minorEastAsia" w:cstheme="minorEastAsia"/>
                <w:sz w:val="18"/>
                <w:szCs w:val="18"/>
              </w:rPr>
            </w:pPr>
          </w:p>
        </w:tc>
        <w:tc>
          <w:tcPr>
            <w:tcW w:w="1196" w:type="dxa"/>
            <w:vAlign w:val="center"/>
          </w:tcPr>
          <w:p w14:paraId="0B1AAD2E">
            <w:pPr>
              <w:jc w:val="center"/>
              <w:rPr>
                <w:rFonts w:hint="eastAsia" w:asciiTheme="minorEastAsia" w:hAnsiTheme="minorEastAsia" w:eastAsiaTheme="minorEastAsia" w:cstheme="minorEastAsia"/>
                <w:sz w:val="18"/>
                <w:szCs w:val="18"/>
              </w:rPr>
            </w:pPr>
          </w:p>
        </w:tc>
        <w:tc>
          <w:tcPr>
            <w:tcW w:w="2337" w:type="dxa"/>
            <w:gridSpan w:val="2"/>
            <w:vAlign w:val="center"/>
          </w:tcPr>
          <w:p w14:paraId="19726D5E">
            <w:pPr>
              <w:jc w:val="center"/>
              <w:rPr>
                <w:rFonts w:hint="eastAsia" w:asciiTheme="minorEastAsia" w:hAnsiTheme="minorEastAsia" w:eastAsiaTheme="minorEastAsia" w:cstheme="minorEastAsia"/>
                <w:sz w:val="18"/>
                <w:szCs w:val="18"/>
              </w:rPr>
            </w:pPr>
          </w:p>
        </w:tc>
        <w:tc>
          <w:tcPr>
            <w:tcW w:w="1147" w:type="dxa"/>
            <w:vAlign w:val="center"/>
          </w:tcPr>
          <w:p w14:paraId="55DA76B4">
            <w:pPr>
              <w:jc w:val="center"/>
              <w:rPr>
                <w:rFonts w:hint="eastAsia" w:asciiTheme="minorEastAsia" w:hAnsiTheme="minorEastAsia" w:eastAsiaTheme="minorEastAsia" w:cstheme="minorEastAsia"/>
                <w:sz w:val="18"/>
                <w:szCs w:val="18"/>
              </w:rPr>
            </w:pPr>
          </w:p>
        </w:tc>
      </w:tr>
      <w:tr w14:paraId="5A7A5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2032F733">
            <w:pPr>
              <w:jc w:val="center"/>
              <w:rPr>
                <w:rFonts w:hint="eastAsia" w:asciiTheme="minorEastAsia" w:hAnsiTheme="minorEastAsia" w:eastAsiaTheme="minorEastAsia" w:cstheme="minorEastAsia"/>
                <w:sz w:val="18"/>
                <w:szCs w:val="18"/>
              </w:rPr>
            </w:pPr>
          </w:p>
        </w:tc>
        <w:tc>
          <w:tcPr>
            <w:tcW w:w="1115" w:type="dxa"/>
            <w:vAlign w:val="center"/>
          </w:tcPr>
          <w:p w14:paraId="5E421F11">
            <w:pPr>
              <w:jc w:val="center"/>
              <w:rPr>
                <w:rFonts w:hint="eastAsia" w:asciiTheme="minorEastAsia" w:hAnsiTheme="minorEastAsia" w:eastAsiaTheme="minorEastAsia" w:cstheme="minorEastAsia"/>
                <w:sz w:val="18"/>
                <w:szCs w:val="18"/>
              </w:rPr>
            </w:pPr>
          </w:p>
        </w:tc>
        <w:tc>
          <w:tcPr>
            <w:tcW w:w="2634" w:type="dxa"/>
            <w:vAlign w:val="center"/>
          </w:tcPr>
          <w:p w14:paraId="29AEAA37">
            <w:pPr>
              <w:jc w:val="center"/>
              <w:rPr>
                <w:rFonts w:hint="eastAsia" w:asciiTheme="minorEastAsia" w:hAnsiTheme="minorEastAsia" w:eastAsiaTheme="minorEastAsia" w:cstheme="minorEastAsia"/>
                <w:sz w:val="18"/>
                <w:szCs w:val="18"/>
              </w:rPr>
            </w:pPr>
          </w:p>
        </w:tc>
        <w:tc>
          <w:tcPr>
            <w:tcW w:w="1196" w:type="dxa"/>
            <w:vAlign w:val="center"/>
          </w:tcPr>
          <w:p w14:paraId="2CC4CE0F">
            <w:pPr>
              <w:jc w:val="center"/>
              <w:rPr>
                <w:rFonts w:hint="eastAsia" w:asciiTheme="minorEastAsia" w:hAnsiTheme="minorEastAsia" w:eastAsiaTheme="minorEastAsia" w:cstheme="minorEastAsia"/>
                <w:sz w:val="18"/>
                <w:szCs w:val="18"/>
              </w:rPr>
            </w:pPr>
          </w:p>
        </w:tc>
        <w:tc>
          <w:tcPr>
            <w:tcW w:w="2337" w:type="dxa"/>
            <w:gridSpan w:val="2"/>
            <w:vAlign w:val="center"/>
          </w:tcPr>
          <w:p w14:paraId="1521D345">
            <w:pPr>
              <w:jc w:val="center"/>
              <w:rPr>
                <w:rFonts w:hint="eastAsia" w:asciiTheme="minorEastAsia" w:hAnsiTheme="minorEastAsia" w:eastAsiaTheme="minorEastAsia" w:cstheme="minorEastAsia"/>
                <w:sz w:val="18"/>
                <w:szCs w:val="18"/>
              </w:rPr>
            </w:pPr>
          </w:p>
        </w:tc>
        <w:tc>
          <w:tcPr>
            <w:tcW w:w="1147" w:type="dxa"/>
            <w:vAlign w:val="center"/>
          </w:tcPr>
          <w:p w14:paraId="4DB2ABEC">
            <w:pPr>
              <w:jc w:val="center"/>
              <w:rPr>
                <w:rFonts w:hint="eastAsia" w:asciiTheme="minorEastAsia" w:hAnsiTheme="minorEastAsia" w:eastAsiaTheme="minorEastAsia" w:cstheme="minorEastAsia"/>
                <w:sz w:val="18"/>
                <w:szCs w:val="18"/>
              </w:rPr>
            </w:pPr>
          </w:p>
        </w:tc>
      </w:tr>
      <w:tr w14:paraId="7FC7D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23498C36">
            <w:pPr>
              <w:jc w:val="center"/>
              <w:rPr>
                <w:rFonts w:hint="eastAsia" w:asciiTheme="minorEastAsia" w:hAnsiTheme="minorEastAsia" w:eastAsiaTheme="minorEastAsia" w:cstheme="minorEastAsia"/>
                <w:sz w:val="18"/>
                <w:szCs w:val="18"/>
              </w:rPr>
            </w:pPr>
          </w:p>
        </w:tc>
        <w:tc>
          <w:tcPr>
            <w:tcW w:w="1115" w:type="dxa"/>
            <w:vAlign w:val="center"/>
          </w:tcPr>
          <w:p w14:paraId="5794CC1B">
            <w:pPr>
              <w:jc w:val="center"/>
              <w:rPr>
                <w:rFonts w:hint="eastAsia" w:asciiTheme="minorEastAsia" w:hAnsiTheme="minorEastAsia" w:eastAsiaTheme="minorEastAsia" w:cstheme="minorEastAsia"/>
                <w:sz w:val="18"/>
                <w:szCs w:val="18"/>
              </w:rPr>
            </w:pPr>
          </w:p>
        </w:tc>
        <w:tc>
          <w:tcPr>
            <w:tcW w:w="2634" w:type="dxa"/>
            <w:vAlign w:val="center"/>
          </w:tcPr>
          <w:p w14:paraId="02671582">
            <w:pPr>
              <w:jc w:val="center"/>
              <w:rPr>
                <w:rFonts w:hint="eastAsia" w:asciiTheme="minorEastAsia" w:hAnsiTheme="minorEastAsia" w:eastAsiaTheme="minorEastAsia" w:cstheme="minorEastAsia"/>
                <w:sz w:val="18"/>
                <w:szCs w:val="18"/>
              </w:rPr>
            </w:pPr>
          </w:p>
        </w:tc>
        <w:tc>
          <w:tcPr>
            <w:tcW w:w="1196" w:type="dxa"/>
            <w:vAlign w:val="center"/>
          </w:tcPr>
          <w:p w14:paraId="47B0CCB4">
            <w:pPr>
              <w:jc w:val="center"/>
              <w:rPr>
                <w:rFonts w:hint="eastAsia" w:asciiTheme="minorEastAsia" w:hAnsiTheme="minorEastAsia" w:eastAsiaTheme="minorEastAsia" w:cstheme="minorEastAsia"/>
                <w:sz w:val="18"/>
                <w:szCs w:val="18"/>
              </w:rPr>
            </w:pPr>
          </w:p>
        </w:tc>
        <w:tc>
          <w:tcPr>
            <w:tcW w:w="2337" w:type="dxa"/>
            <w:gridSpan w:val="2"/>
            <w:vAlign w:val="center"/>
          </w:tcPr>
          <w:p w14:paraId="64AA033C">
            <w:pPr>
              <w:jc w:val="center"/>
              <w:rPr>
                <w:rFonts w:hint="eastAsia" w:asciiTheme="minorEastAsia" w:hAnsiTheme="minorEastAsia" w:eastAsiaTheme="minorEastAsia" w:cstheme="minorEastAsia"/>
                <w:sz w:val="18"/>
                <w:szCs w:val="18"/>
              </w:rPr>
            </w:pPr>
          </w:p>
        </w:tc>
        <w:tc>
          <w:tcPr>
            <w:tcW w:w="1147" w:type="dxa"/>
            <w:vAlign w:val="center"/>
          </w:tcPr>
          <w:p w14:paraId="694B1094">
            <w:pPr>
              <w:jc w:val="center"/>
              <w:rPr>
                <w:rFonts w:hint="eastAsia" w:asciiTheme="minorEastAsia" w:hAnsiTheme="minorEastAsia" w:eastAsiaTheme="minorEastAsia" w:cstheme="minorEastAsia"/>
                <w:sz w:val="18"/>
                <w:szCs w:val="18"/>
              </w:rPr>
            </w:pPr>
          </w:p>
        </w:tc>
      </w:tr>
      <w:tr w14:paraId="405E8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679" w:type="dxa"/>
            <w:vAlign w:val="center"/>
          </w:tcPr>
          <w:p w14:paraId="310EA253">
            <w:pPr>
              <w:jc w:val="center"/>
              <w:rPr>
                <w:rFonts w:hint="eastAsia" w:asciiTheme="minorEastAsia" w:hAnsiTheme="minorEastAsia" w:eastAsiaTheme="minorEastAsia" w:cstheme="minorEastAsia"/>
                <w:sz w:val="18"/>
                <w:szCs w:val="18"/>
              </w:rPr>
            </w:pPr>
          </w:p>
        </w:tc>
        <w:tc>
          <w:tcPr>
            <w:tcW w:w="1115" w:type="dxa"/>
            <w:vAlign w:val="center"/>
          </w:tcPr>
          <w:p w14:paraId="197628CA">
            <w:pPr>
              <w:jc w:val="center"/>
              <w:rPr>
                <w:rFonts w:hint="eastAsia" w:asciiTheme="minorEastAsia" w:hAnsiTheme="minorEastAsia" w:eastAsiaTheme="minorEastAsia" w:cstheme="minorEastAsia"/>
                <w:sz w:val="18"/>
                <w:szCs w:val="18"/>
              </w:rPr>
            </w:pPr>
          </w:p>
        </w:tc>
        <w:tc>
          <w:tcPr>
            <w:tcW w:w="2634" w:type="dxa"/>
            <w:vAlign w:val="center"/>
          </w:tcPr>
          <w:p w14:paraId="650790AB">
            <w:pPr>
              <w:jc w:val="center"/>
              <w:rPr>
                <w:rFonts w:hint="eastAsia" w:asciiTheme="minorEastAsia" w:hAnsiTheme="minorEastAsia" w:eastAsiaTheme="minorEastAsia" w:cstheme="minorEastAsia"/>
                <w:sz w:val="18"/>
                <w:szCs w:val="18"/>
              </w:rPr>
            </w:pPr>
          </w:p>
        </w:tc>
        <w:tc>
          <w:tcPr>
            <w:tcW w:w="1196" w:type="dxa"/>
            <w:vAlign w:val="center"/>
          </w:tcPr>
          <w:p w14:paraId="6E45CE4E">
            <w:pPr>
              <w:jc w:val="center"/>
              <w:rPr>
                <w:rFonts w:hint="eastAsia" w:asciiTheme="minorEastAsia" w:hAnsiTheme="minorEastAsia" w:eastAsiaTheme="minorEastAsia" w:cstheme="minorEastAsia"/>
                <w:sz w:val="18"/>
                <w:szCs w:val="18"/>
              </w:rPr>
            </w:pPr>
          </w:p>
        </w:tc>
        <w:tc>
          <w:tcPr>
            <w:tcW w:w="2337" w:type="dxa"/>
            <w:gridSpan w:val="2"/>
            <w:vAlign w:val="center"/>
          </w:tcPr>
          <w:p w14:paraId="07086C8B">
            <w:pPr>
              <w:jc w:val="center"/>
              <w:rPr>
                <w:rFonts w:hint="eastAsia" w:asciiTheme="minorEastAsia" w:hAnsiTheme="minorEastAsia" w:eastAsiaTheme="minorEastAsia" w:cstheme="minorEastAsia"/>
                <w:sz w:val="18"/>
                <w:szCs w:val="18"/>
              </w:rPr>
            </w:pPr>
          </w:p>
        </w:tc>
        <w:tc>
          <w:tcPr>
            <w:tcW w:w="1147" w:type="dxa"/>
            <w:vAlign w:val="center"/>
          </w:tcPr>
          <w:p w14:paraId="6938BAAE">
            <w:pPr>
              <w:jc w:val="center"/>
              <w:rPr>
                <w:rFonts w:hint="eastAsia" w:asciiTheme="minorEastAsia" w:hAnsiTheme="minorEastAsia" w:eastAsiaTheme="minorEastAsia" w:cstheme="minorEastAsia"/>
                <w:sz w:val="18"/>
                <w:szCs w:val="18"/>
              </w:rPr>
            </w:pPr>
          </w:p>
        </w:tc>
      </w:tr>
    </w:tbl>
    <w:p w14:paraId="05C0F5F0">
      <w:pPr>
        <w:spacing w:line="240" w:lineRule="exac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注：</w:t>
      </w:r>
    </w:p>
    <w:p w14:paraId="56A7BE52">
      <w:pPr>
        <w:spacing w:line="24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1.如有偏离，必须在偏离表中进行详细对比说明并注明正偏离和负偏离，如不说明偏离情况，视为完全响应采购文件要求无偏离。</w:t>
      </w:r>
    </w:p>
    <w:p w14:paraId="7C3D2A39">
      <w:pPr>
        <w:spacing w:line="240" w:lineRule="exact"/>
        <w:ind w:firstLine="442" w:firstLineChars="200"/>
        <w:rPr>
          <w:rFonts w:hint="eastAsia" w:asciiTheme="minorEastAsia" w:hAnsiTheme="minorEastAsia" w:eastAsiaTheme="minorEastAsia" w:cstheme="minorEastAsia"/>
          <w:b/>
          <w:bCs/>
          <w:sz w:val="22"/>
          <w:szCs w:val="22"/>
          <w:u w:val="single"/>
        </w:rPr>
      </w:pPr>
      <w:r>
        <w:rPr>
          <w:rFonts w:hint="eastAsia" w:asciiTheme="minorEastAsia" w:hAnsiTheme="minorEastAsia" w:eastAsiaTheme="minorEastAsia" w:cstheme="minorEastAsia"/>
          <w:b/>
          <w:bCs/>
          <w:sz w:val="22"/>
          <w:szCs w:val="22"/>
        </w:rPr>
        <w:t>2.</w:t>
      </w:r>
      <w:r>
        <w:rPr>
          <w:rFonts w:hint="eastAsia" w:asciiTheme="minorEastAsia" w:hAnsiTheme="minorEastAsia" w:eastAsiaTheme="minorEastAsia" w:cstheme="minorEastAsia"/>
          <w:b/>
          <w:bCs/>
          <w:sz w:val="22"/>
          <w:szCs w:val="22"/>
          <w:u w:val="single"/>
        </w:rPr>
        <w:t>▲不提供“技术规格、商务条款偏离表”的投标文件将被视为未实质性响应采购文件。</w:t>
      </w:r>
    </w:p>
    <w:p w14:paraId="5189D620">
      <w:pPr>
        <w:spacing w:line="24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3.</w:t>
      </w:r>
      <w:r>
        <w:rPr>
          <w:rFonts w:hint="eastAsia" w:asciiTheme="minorEastAsia" w:hAnsiTheme="minorEastAsia" w:eastAsiaTheme="minorEastAsia" w:cstheme="minorEastAsia"/>
          <w:b/>
          <w:bCs/>
          <w:sz w:val="22"/>
          <w:szCs w:val="22"/>
          <w:u w:val="single"/>
        </w:rPr>
        <w:t>▲如果投标文件其他地方描述与本表不一致的，签订合同时原则上以有利于采购人的解释为准</w:t>
      </w:r>
      <w:r>
        <w:rPr>
          <w:rFonts w:hint="eastAsia" w:asciiTheme="minorEastAsia" w:hAnsiTheme="minorEastAsia" w:eastAsiaTheme="minorEastAsia" w:cstheme="minorEastAsia"/>
          <w:b/>
          <w:bCs/>
          <w:sz w:val="22"/>
          <w:szCs w:val="22"/>
        </w:rPr>
        <w:t>。</w:t>
      </w:r>
    </w:p>
    <w:p w14:paraId="2FE8688F">
      <w:pPr>
        <w:spacing w:line="24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4.此表可扩展使用。</w:t>
      </w:r>
    </w:p>
    <w:p w14:paraId="0200151D">
      <w:pPr>
        <w:pStyle w:val="14"/>
        <w:spacing w:line="240" w:lineRule="exact"/>
        <w:ind w:left="0" w:leftChars="0" w:firstLine="640" w:firstLineChars="200"/>
        <w:rPr>
          <w:rFonts w:hint="eastAsia" w:asciiTheme="minorEastAsia" w:hAnsiTheme="minorEastAsia" w:eastAsiaTheme="minorEastAsia" w:cstheme="minorEastAsia"/>
        </w:rPr>
      </w:pPr>
    </w:p>
    <w:p w14:paraId="5836A0DF">
      <w:pPr>
        <w:spacing w:line="48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投标人全称（盖公章）：</w:t>
      </w:r>
    </w:p>
    <w:p w14:paraId="42C672B7">
      <w:pPr>
        <w:spacing w:line="48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法定代表人或授权代表（签字或盖章）：</w:t>
      </w:r>
    </w:p>
    <w:p w14:paraId="522BAFF2">
      <w:pPr>
        <w:spacing w:line="48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日  期：</w:t>
      </w:r>
    </w:p>
    <w:p w14:paraId="7109AC1B">
      <w:pPr>
        <w:spacing w:line="380" w:lineRule="exac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sz w:val="24"/>
        </w:rPr>
        <w:t>附件三</w:t>
      </w:r>
    </w:p>
    <w:p w14:paraId="1B1C75CE">
      <w:pPr>
        <w:spacing w:line="46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bCs/>
          <w:sz w:val="28"/>
          <w:szCs w:val="28"/>
        </w:rPr>
        <w:t>资格证明文件</w:t>
      </w:r>
    </w:p>
    <w:p w14:paraId="2DE02C30">
      <w:pPr>
        <w:tabs>
          <w:tab w:val="left" w:pos="0"/>
          <w:tab w:val="left" w:pos="420"/>
        </w:tabs>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（1）法定代表人授权书</w:t>
      </w:r>
    </w:p>
    <w:p w14:paraId="0C0C0ACD">
      <w:pPr>
        <w:spacing w:line="420" w:lineRule="exact"/>
        <w:rPr>
          <w:rFonts w:hint="eastAsia" w:asciiTheme="minorEastAsia" w:hAnsiTheme="minorEastAsia" w:eastAsiaTheme="minorEastAsia" w:cstheme="minorEastAsia"/>
          <w:sz w:val="22"/>
          <w:szCs w:val="22"/>
        </w:rPr>
      </w:pPr>
    </w:p>
    <w:p w14:paraId="45071A63">
      <w:pPr>
        <w:spacing w:line="4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温州市交发文旅产业有限公司洞头酒店管理分公司：</w:t>
      </w:r>
    </w:p>
    <w:p w14:paraId="3C8C1F7B">
      <w:pPr>
        <w:spacing w:line="4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浙江工汇项目管理有限公司：</w:t>
      </w:r>
    </w:p>
    <w:p w14:paraId="66A09184">
      <w:pPr>
        <w:spacing w:line="460" w:lineRule="exact"/>
        <w:rPr>
          <w:rFonts w:hint="eastAsia" w:asciiTheme="minorEastAsia" w:hAnsiTheme="minorEastAsia" w:eastAsiaTheme="minorEastAsia" w:cstheme="minorEastAsia"/>
          <w:sz w:val="22"/>
          <w:szCs w:val="22"/>
        </w:rPr>
      </w:pPr>
    </w:p>
    <w:p w14:paraId="38FB5B02">
      <w:pPr>
        <w:spacing w:line="460" w:lineRule="exact"/>
        <w:ind w:firstLine="525" w:firstLineChars="2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（投标人全称）法定代表人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授权</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（全权代表姓名）为全权代表，参加贵处组织的</w:t>
      </w:r>
      <w:r>
        <w:rPr>
          <w:rFonts w:hint="eastAsia" w:asciiTheme="minorEastAsia" w:hAnsiTheme="minorEastAsia" w:eastAsiaTheme="minorEastAsia" w:cstheme="minorEastAsia"/>
          <w:szCs w:val="21"/>
          <w:u w:val="single"/>
        </w:rPr>
        <w:t xml:space="preserve">  （项目编号）  </w:t>
      </w:r>
      <w:r>
        <w:rPr>
          <w:rFonts w:hint="eastAsia" w:asciiTheme="minorEastAsia" w:hAnsiTheme="minorEastAsia" w:eastAsiaTheme="minorEastAsia" w:cstheme="minorEastAsia"/>
          <w:szCs w:val="21"/>
        </w:rPr>
        <w:t>的采购活动，全权代表我方处理采购活动中的一切事宜。</w:t>
      </w:r>
    </w:p>
    <w:p w14:paraId="1DDF1E57">
      <w:pPr>
        <w:spacing w:line="460" w:lineRule="exact"/>
        <w:ind w:firstLine="2955"/>
        <w:rPr>
          <w:rFonts w:hint="eastAsia" w:asciiTheme="minorEastAsia" w:hAnsiTheme="minorEastAsia" w:eastAsiaTheme="minorEastAsia" w:cstheme="minorEastAsia"/>
          <w:szCs w:val="21"/>
        </w:rPr>
      </w:pPr>
    </w:p>
    <w:p w14:paraId="139BB571">
      <w:pPr>
        <w:spacing w:line="48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 (签字或盖章)：</w:t>
      </w:r>
    </w:p>
    <w:p w14:paraId="578C6E9D">
      <w:pPr>
        <w:spacing w:line="48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投标人全称（盖公章）：</w:t>
      </w:r>
    </w:p>
    <w:p w14:paraId="417C7093">
      <w:pPr>
        <w:spacing w:line="48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w:t>
      </w:r>
    </w:p>
    <w:p w14:paraId="5DF794B0">
      <w:pPr>
        <w:spacing w:line="4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附：</w:t>
      </w:r>
    </w:p>
    <w:p w14:paraId="7E10033E">
      <w:pPr>
        <w:spacing w:line="46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授权代表姓名：</w:t>
      </w:r>
    </w:p>
    <w:p w14:paraId="47596386">
      <w:pPr>
        <w:spacing w:line="46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p w14:paraId="4B4BEB37">
      <w:pPr>
        <w:spacing w:line="46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详细通讯地址：</w:t>
      </w:r>
    </w:p>
    <w:p w14:paraId="3A8B6729">
      <w:pPr>
        <w:spacing w:line="46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p w14:paraId="110162FE">
      <w:pPr>
        <w:spacing w:line="46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p w14:paraId="7D3F6E9B">
      <w:pPr>
        <w:spacing w:line="46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p w14:paraId="05832354">
      <w:pPr>
        <w:spacing w:line="460" w:lineRule="exact"/>
        <w:rPr>
          <w:rFonts w:hint="eastAsia" w:asciiTheme="minorEastAsia" w:hAnsiTheme="minorEastAsia" w:eastAsiaTheme="minorEastAsia" w:cstheme="minorEastAsia"/>
          <w:bCs/>
          <w:sz w:val="22"/>
          <w:szCs w:val="22"/>
        </w:rPr>
      </w:pPr>
    </w:p>
    <w:tbl>
      <w:tblPr>
        <w:tblStyle w:val="29"/>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14:paraId="396B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14:paraId="12EEFA1A">
            <w:pPr>
              <w:spacing w:line="3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投标人代表身份证复印件</w:t>
            </w:r>
          </w:p>
          <w:p w14:paraId="74FD6DD7">
            <w:pPr>
              <w:spacing w:line="380" w:lineRule="exact"/>
              <w:jc w:val="center"/>
              <w:rPr>
                <w:rFonts w:hint="eastAsia" w:asciiTheme="minorEastAsia" w:hAnsiTheme="minorEastAsia" w:eastAsiaTheme="minorEastAsia" w:cstheme="minorEastAsia"/>
                <w:bCs/>
                <w:sz w:val="28"/>
              </w:rPr>
            </w:pPr>
          </w:p>
        </w:tc>
      </w:tr>
    </w:tbl>
    <w:p w14:paraId="778BDDFA">
      <w:pPr>
        <w:spacing w:line="400" w:lineRule="exact"/>
        <w:ind w:firstLine="140" w:firstLineChars="64"/>
        <w:rPr>
          <w:rFonts w:hint="eastAsia" w:asciiTheme="minorEastAsia" w:hAnsiTheme="minorEastAsia" w:eastAsiaTheme="minorEastAsia" w:cstheme="minorEastAsia"/>
          <w:sz w:val="22"/>
        </w:rPr>
      </w:pPr>
    </w:p>
    <w:p w14:paraId="4BCFC9FD">
      <w:pPr>
        <w:widowControl/>
        <w:spacing w:line="480" w:lineRule="atLeast"/>
        <w:jc w:val="center"/>
        <w:rPr>
          <w:rFonts w:hint="eastAsia" w:asciiTheme="minorEastAsia" w:hAnsiTheme="minorEastAsia" w:eastAsiaTheme="minorEastAsia" w:cstheme="minorEastAsia"/>
          <w:bCs/>
          <w:kern w:val="0"/>
          <w:sz w:val="32"/>
          <w:szCs w:val="32"/>
        </w:rPr>
      </w:pPr>
      <w:r>
        <w:rPr>
          <w:rFonts w:hint="eastAsia" w:asciiTheme="minorEastAsia" w:hAnsiTheme="minorEastAsia" w:eastAsiaTheme="minorEastAsia" w:cstheme="minorEastAsia"/>
          <w:sz w:val="22"/>
        </w:rPr>
        <w:br w:type="page"/>
      </w:r>
      <w:r>
        <w:rPr>
          <w:rFonts w:hint="eastAsia" w:asciiTheme="minorEastAsia" w:hAnsiTheme="minorEastAsia" w:eastAsiaTheme="minorEastAsia" w:cstheme="minorEastAsia"/>
          <w:bCs/>
          <w:kern w:val="0"/>
          <w:sz w:val="32"/>
          <w:szCs w:val="32"/>
        </w:rPr>
        <w:t>法定代表人资格证明书</w:t>
      </w:r>
    </w:p>
    <w:p w14:paraId="7D84C6A6">
      <w:pPr>
        <w:widowControl/>
        <w:spacing w:line="480" w:lineRule="atLeast"/>
        <w:jc w:val="center"/>
        <w:rPr>
          <w:rFonts w:hint="eastAsia" w:asciiTheme="minorEastAsia" w:hAnsiTheme="minorEastAsia" w:eastAsiaTheme="minorEastAsia" w:cstheme="minorEastAsia"/>
          <w:sz w:val="24"/>
          <w:u w:val="single"/>
        </w:rPr>
      </w:pPr>
    </w:p>
    <w:p w14:paraId="69C5C30A">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温州市交发文旅产业有限公司洞头酒店管理分公司：</w:t>
      </w:r>
    </w:p>
    <w:p w14:paraId="62D856D5">
      <w:pPr>
        <w:widowControl/>
        <w:spacing w:line="360" w:lineRule="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浙江工汇项目管理有限公司：</w:t>
      </w:r>
    </w:p>
    <w:p w14:paraId="2088216B">
      <w:pPr>
        <w:widowControl/>
        <w:spacing w:line="360" w:lineRule="auto"/>
        <w:ind w:left="420" w:firstLine="473"/>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单位名称：</w:t>
      </w:r>
    </w:p>
    <w:p w14:paraId="2176B8E6">
      <w:pPr>
        <w:widowControl/>
        <w:spacing w:line="360" w:lineRule="auto"/>
        <w:ind w:left="420" w:firstLine="473"/>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w:t>
      </w:r>
    </w:p>
    <w:p w14:paraId="62A01DC7">
      <w:pPr>
        <w:widowControl/>
        <w:spacing w:line="360" w:lineRule="auto"/>
        <w:ind w:left="420" w:firstLine="473"/>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姓名：          性别：           年龄：            职务：        </w:t>
      </w:r>
    </w:p>
    <w:p w14:paraId="33A34D69">
      <w:pPr>
        <w:widowControl/>
        <w:wordWrap w:val="0"/>
        <w:spacing w:line="360" w:lineRule="auto"/>
        <w:ind w:left="420" w:firstLine="471"/>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本人系</w:t>
      </w:r>
      <w:r>
        <w:rPr>
          <w:rFonts w:hint="eastAsia" w:asciiTheme="minorEastAsia" w:hAnsiTheme="minorEastAsia" w:eastAsiaTheme="minorEastAsia" w:cstheme="minorEastAsia"/>
          <w:kern w:val="0"/>
          <w:szCs w:val="21"/>
          <w:u w:val="single"/>
        </w:rPr>
        <w:t xml:space="preserve">        &lt;投标人名称&gt;       </w:t>
      </w:r>
      <w:r>
        <w:rPr>
          <w:rFonts w:hint="eastAsia" w:asciiTheme="minorEastAsia" w:hAnsiTheme="minorEastAsia" w:eastAsiaTheme="minorEastAsia" w:cstheme="minorEastAsia"/>
          <w:kern w:val="0"/>
          <w:szCs w:val="21"/>
        </w:rPr>
        <w:t>的法定代表人。为你单位组织的项目编号为</w:t>
      </w:r>
      <w:r>
        <w:rPr>
          <w:rFonts w:hint="eastAsia" w:asciiTheme="minorEastAsia" w:hAnsiTheme="minorEastAsia" w:eastAsiaTheme="minorEastAsia" w:cstheme="minorEastAsia"/>
          <w:b/>
          <w:bCs/>
          <w:spacing w:val="20"/>
          <w:kern w:val="0"/>
          <w:szCs w:val="21"/>
          <w:u w:val="single"/>
        </w:rPr>
        <w:t xml:space="preserve">    </w:t>
      </w:r>
      <w:r>
        <w:rPr>
          <w:rFonts w:hint="eastAsia" w:asciiTheme="minorEastAsia" w:hAnsiTheme="minorEastAsia" w:eastAsiaTheme="minorEastAsia" w:cstheme="minorEastAsia"/>
          <w:kern w:val="0"/>
          <w:szCs w:val="21"/>
        </w:rPr>
        <w:t>的</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采购项目，签署上述项目的投标文件、进行合同谈判、签署合同和处理与之有关的一切事务。</w:t>
      </w:r>
    </w:p>
    <w:p w14:paraId="1ADD8120">
      <w:pPr>
        <w:widowControl/>
        <w:spacing w:line="360" w:lineRule="auto"/>
        <w:ind w:left="420" w:firstLine="473"/>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特此证明。</w:t>
      </w:r>
    </w:p>
    <w:p w14:paraId="3EAF6325">
      <w:pPr>
        <w:widowControl/>
        <w:spacing w:line="360" w:lineRule="auto"/>
        <w:ind w:left="-540" w:firstLine="540"/>
        <w:jc w:val="center"/>
        <w:rPr>
          <w:rFonts w:hint="eastAsia" w:asciiTheme="minorEastAsia" w:hAnsiTheme="minorEastAsia" w:eastAsiaTheme="minorEastAsia" w:cstheme="minorEastAsia"/>
          <w:b/>
          <w:bCs/>
          <w:kern w:val="0"/>
          <w:szCs w:val="21"/>
        </w:rPr>
      </w:pPr>
    </w:p>
    <w:p w14:paraId="697B56F5">
      <w:pPr>
        <w:widowControl/>
        <w:spacing w:line="360" w:lineRule="auto"/>
        <w:ind w:left="-540" w:firstLine="540"/>
        <w:jc w:val="center"/>
        <w:rPr>
          <w:rFonts w:hint="eastAsia" w:asciiTheme="minorEastAsia" w:hAnsiTheme="minorEastAsia" w:eastAsiaTheme="minorEastAsia" w:cstheme="minorEastAsia"/>
          <w:b/>
          <w:bCs/>
          <w:kern w:val="0"/>
          <w:szCs w:val="21"/>
        </w:rPr>
      </w:pPr>
    </w:p>
    <w:p w14:paraId="3BC3F103">
      <w:pPr>
        <w:widowControl/>
        <w:spacing w:line="360" w:lineRule="auto"/>
        <w:ind w:left="-540" w:firstLine="54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（※此处请粘贴法定代表人身份证复印件※）</w:t>
      </w:r>
    </w:p>
    <w:p w14:paraId="6701CB2A">
      <w:pPr>
        <w:widowControl/>
        <w:spacing w:line="480" w:lineRule="auto"/>
        <w:ind w:left="420" w:firstLine="473"/>
        <w:jc w:val="left"/>
        <w:rPr>
          <w:rFonts w:hint="eastAsia" w:asciiTheme="minorEastAsia" w:hAnsiTheme="minorEastAsia" w:eastAsiaTheme="minorEastAsia" w:cstheme="minorEastAsia"/>
          <w:kern w:val="0"/>
          <w:szCs w:val="21"/>
        </w:rPr>
      </w:pPr>
    </w:p>
    <w:p w14:paraId="4ADC0A9C">
      <w:pPr>
        <w:widowControl/>
        <w:spacing w:line="480" w:lineRule="auto"/>
        <w:ind w:firstLine="189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投标人名称（盖公章）： </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 xml:space="preserve"> </w:t>
      </w:r>
    </w:p>
    <w:p w14:paraId="768FE247">
      <w:pPr>
        <w:widowControl/>
        <w:spacing w:line="480" w:lineRule="auto"/>
        <w:ind w:firstLine="189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法定代表人（签字或盖章）：</w:t>
      </w:r>
      <w:r>
        <w:rPr>
          <w:rFonts w:hint="eastAsia" w:asciiTheme="minorEastAsia" w:hAnsiTheme="minorEastAsia" w:eastAsiaTheme="minorEastAsia" w:cstheme="minorEastAsia"/>
          <w:kern w:val="0"/>
          <w:szCs w:val="21"/>
          <w:u w:val="single"/>
        </w:rPr>
        <w:t xml:space="preserve">                          </w:t>
      </w:r>
    </w:p>
    <w:p w14:paraId="08E8B54F">
      <w:pPr>
        <w:widowControl/>
        <w:snapToGrid w:val="0"/>
        <w:spacing w:before="60" w:line="480" w:lineRule="auto"/>
        <w:ind w:firstLine="189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签署日期： </w:t>
      </w:r>
    </w:p>
    <w:p w14:paraId="62804062">
      <w:pPr>
        <w:widowControl/>
        <w:rPr>
          <w:rFonts w:hint="eastAsia" w:asciiTheme="minorEastAsia" w:hAnsiTheme="minorEastAsia" w:eastAsiaTheme="minorEastAsia" w:cstheme="minorEastAsia"/>
          <w:kern w:val="0"/>
          <w:szCs w:val="21"/>
        </w:rPr>
      </w:pPr>
    </w:p>
    <w:p w14:paraId="6D32E1A4">
      <w:pPr>
        <w:widowControl/>
        <w:rPr>
          <w:rFonts w:hint="eastAsia" w:asciiTheme="minorEastAsia" w:hAnsiTheme="minorEastAsia" w:eastAsiaTheme="minorEastAsia" w:cstheme="minorEastAsia"/>
          <w:kern w:val="0"/>
          <w:szCs w:val="21"/>
        </w:rPr>
      </w:pPr>
    </w:p>
    <w:p w14:paraId="54073BF3">
      <w:pPr>
        <w:widowControl/>
        <w:spacing w:line="480" w:lineRule="atLeast"/>
        <w:jc w:val="center"/>
        <w:rPr>
          <w:rFonts w:hint="eastAsia" w:asciiTheme="minorEastAsia" w:hAnsiTheme="minorEastAsia" w:eastAsiaTheme="minorEastAsia" w:cstheme="minorEastAsia"/>
          <w:b/>
          <w:bCs/>
          <w:kern w:val="0"/>
          <w:sz w:val="24"/>
        </w:rPr>
      </w:pPr>
    </w:p>
    <w:p w14:paraId="3493BE5B">
      <w:pPr>
        <w:snapToGrid w:val="0"/>
        <w:spacing w:before="50" w:after="156" w:afterLines="50"/>
        <w:jc w:val="left"/>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说明：法定代表人参加本采购项目投标的，仅须提供此证明书。</w:t>
      </w:r>
    </w:p>
    <w:p w14:paraId="22FA842C">
      <w:pPr>
        <w:snapToGrid w:val="0"/>
        <w:spacing w:before="50" w:after="156" w:afterLines="50"/>
        <w:jc w:val="left"/>
        <w:rPr>
          <w:rFonts w:hint="eastAsia" w:asciiTheme="minorEastAsia" w:hAnsiTheme="minorEastAsia" w:eastAsiaTheme="minorEastAsia" w:cstheme="minorEastAsia"/>
          <w:b/>
          <w:bCs/>
          <w:kern w:val="0"/>
          <w:sz w:val="24"/>
        </w:rPr>
      </w:pPr>
    </w:p>
    <w:p w14:paraId="7FAD6106">
      <w:pPr>
        <w:pStyle w:val="11"/>
        <w:ind w:firstLine="210"/>
        <w:rPr>
          <w:rFonts w:hint="eastAsia" w:asciiTheme="minorEastAsia" w:hAnsiTheme="minorEastAsia" w:eastAsiaTheme="minorEastAsia" w:cstheme="minorEastAsia"/>
        </w:rPr>
      </w:pPr>
    </w:p>
    <w:p w14:paraId="3970299A">
      <w:pPr>
        <w:snapToGrid w:val="0"/>
        <w:spacing w:before="50" w:after="156" w:afterLines="50"/>
        <w:jc w:val="left"/>
        <w:rPr>
          <w:rFonts w:hint="eastAsia" w:asciiTheme="minorEastAsia" w:hAnsiTheme="minorEastAsia" w:eastAsiaTheme="minorEastAsia" w:cstheme="minorEastAsia"/>
          <w:b/>
          <w:bCs/>
          <w:kern w:val="0"/>
          <w:sz w:val="24"/>
        </w:rPr>
      </w:pPr>
    </w:p>
    <w:p w14:paraId="1EF8CDB1">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49F7C37C">
      <w:pPr>
        <w:spacing w:line="440" w:lineRule="exact"/>
        <w:ind w:left="826" w:hanging="826" w:hangingChars="294"/>
        <w:rPr>
          <w:rFonts w:hint="eastAsia" w:asciiTheme="minorEastAsia" w:hAnsiTheme="minorEastAsia" w:eastAsiaTheme="minorEastAsia" w:cstheme="minorEastAsia"/>
          <w:b/>
          <w:bCs/>
          <w:sz w:val="28"/>
          <w:szCs w:val="28"/>
        </w:rPr>
      </w:pPr>
    </w:p>
    <w:p w14:paraId="41135120">
      <w:pPr>
        <w:spacing w:line="440" w:lineRule="exact"/>
        <w:ind w:left="826" w:hanging="826" w:hangingChars="294"/>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（2）投标供应商企业法人有效营业执照（复印件加盖单位公章）</w:t>
      </w:r>
    </w:p>
    <w:p w14:paraId="1D1C13BE">
      <w:pPr>
        <w:snapToGrid w:val="0"/>
        <w:spacing w:before="50" w:after="156" w:afterLines="50"/>
        <w:jc w:val="left"/>
        <w:rPr>
          <w:rFonts w:hint="eastAsia" w:asciiTheme="minorEastAsia" w:hAnsiTheme="minorEastAsia" w:eastAsiaTheme="minorEastAsia" w:cstheme="minorEastAsia"/>
          <w:sz w:val="22"/>
        </w:rPr>
      </w:pPr>
    </w:p>
    <w:p w14:paraId="592E0EB4">
      <w:pPr>
        <w:snapToGrid w:val="0"/>
        <w:spacing w:before="50" w:after="156" w:afterLines="50"/>
        <w:jc w:val="left"/>
        <w:rPr>
          <w:rFonts w:hint="eastAsia" w:asciiTheme="minorEastAsia" w:hAnsiTheme="minorEastAsia" w:eastAsiaTheme="minorEastAsia" w:cstheme="minorEastAsia"/>
          <w:sz w:val="22"/>
        </w:rPr>
      </w:pPr>
    </w:p>
    <w:p w14:paraId="56F6EF73">
      <w:pPr>
        <w:snapToGrid w:val="0"/>
        <w:spacing w:before="50" w:after="156" w:afterLines="50"/>
        <w:jc w:val="left"/>
        <w:rPr>
          <w:rFonts w:hint="eastAsia" w:asciiTheme="minorEastAsia" w:hAnsiTheme="minorEastAsia" w:eastAsiaTheme="minorEastAsia" w:cstheme="minorEastAsia"/>
          <w:sz w:val="22"/>
        </w:rPr>
      </w:pPr>
    </w:p>
    <w:p w14:paraId="5A4CE35F">
      <w:pPr>
        <w:snapToGrid w:val="0"/>
        <w:spacing w:before="50" w:after="156" w:afterLines="5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（3）投标人具有的有效的《劳务派遣经营许可证》（复印件加盖单位公章）</w:t>
      </w:r>
    </w:p>
    <w:p w14:paraId="52BB901F">
      <w:pPr>
        <w:snapToGrid w:val="0"/>
        <w:spacing w:before="50" w:after="156" w:afterLines="50"/>
        <w:jc w:val="left"/>
        <w:rPr>
          <w:rFonts w:hint="eastAsia" w:asciiTheme="minorEastAsia" w:hAnsiTheme="minorEastAsia" w:eastAsiaTheme="minorEastAsia" w:cstheme="minorEastAsia"/>
          <w:sz w:val="22"/>
        </w:rPr>
      </w:pPr>
    </w:p>
    <w:p w14:paraId="0094E296">
      <w:pPr>
        <w:snapToGrid w:val="0"/>
        <w:spacing w:before="50" w:after="156" w:afterLines="50"/>
        <w:jc w:val="left"/>
        <w:rPr>
          <w:rFonts w:hint="eastAsia" w:asciiTheme="minorEastAsia" w:hAnsiTheme="minorEastAsia" w:eastAsiaTheme="minorEastAsia" w:cstheme="minorEastAsia"/>
          <w:sz w:val="22"/>
        </w:rPr>
      </w:pPr>
    </w:p>
    <w:p w14:paraId="6AC5487D">
      <w:pPr>
        <w:snapToGrid w:val="0"/>
        <w:spacing w:before="50" w:after="156" w:afterLines="50"/>
        <w:jc w:val="left"/>
        <w:rPr>
          <w:rFonts w:hint="eastAsia" w:asciiTheme="minorEastAsia" w:hAnsiTheme="minorEastAsia" w:eastAsiaTheme="minorEastAsia" w:cstheme="minorEastAsia"/>
          <w:sz w:val="22"/>
        </w:rPr>
      </w:pPr>
    </w:p>
    <w:p w14:paraId="2D7AE5DD">
      <w:pPr>
        <w:snapToGrid w:val="0"/>
        <w:spacing w:before="50" w:after="156" w:afterLines="5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以上证书若为复印件，须加盖投标人单位公章</w:t>
      </w:r>
      <w:r>
        <w:rPr>
          <w:rFonts w:hint="eastAsia" w:asciiTheme="minorEastAsia" w:hAnsiTheme="minorEastAsia" w:eastAsiaTheme="minorEastAsia" w:cstheme="minorEastAsia"/>
          <w:sz w:val="22"/>
        </w:rPr>
        <w:br w:type="page"/>
      </w:r>
      <w:r>
        <w:rPr>
          <w:rFonts w:hint="eastAsia" w:asciiTheme="minorEastAsia" w:hAnsiTheme="minorEastAsia" w:eastAsiaTheme="minorEastAsia" w:cstheme="minorEastAsia"/>
          <w:b/>
          <w:sz w:val="24"/>
        </w:rPr>
        <w:t>附件四  投标声明书格式</w:t>
      </w:r>
    </w:p>
    <w:p w14:paraId="5ED11771">
      <w:pPr>
        <w:snapToGrid w:val="0"/>
        <w:spacing w:before="156" w:beforeLines="50" w:after="50"/>
        <w:jc w:val="center"/>
        <w:rPr>
          <w:rFonts w:hint="eastAsia" w:asciiTheme="minorEastAsia" w:hAnsiTheme="minorEastAsia" w:eastAsiaTheme="minorEastAsia" w:cstheme="minorEastAsia"/>
          <w:b/>
          <w:sz w:val="24"/>
          <w:szCs w:val="20"/>
        </w:rPr>
      </w:pPr>
      <w:r>
        <w:rPr>
          <w:rFonts w:hint="eastAsia" w:asciiTheme="minorEastAsia" w:hAnsiTheme="minorEastAsia" w:eastAsiaTheme="minorEastAsia" w:cstheme="minorEastAsia"/>
          <w:b/>
          <w:sz w:val="30"/>
        </w:rPr>
        <w:t>（4）投标声明书</w:t>
      </w:r>
    </w:p>
    <w:p w14:paraId="167D20D2">
      <w:pPr>
        <w:snapToGrid w:val="0"/>
        <w:spacing w:before="156" w:beforeLines="50" w:after="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5960D8CD">
      <w:pPr>
        <w:snapToGrid w:val="0"/>
        <w:spacing w:before="156" w:beforeLines="50" w:after="50"/>
        <w:ind w:firstLine="630" w:firstLineChars="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（投标人名称）系中华人民共和国合法企业，经营地址</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736A195F">
      <w:pPr>
        <w:snapToGrid w:val="0"/>
        <w:spacing w:before="156" w:beforeLines="50" w:after="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我</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（投标人名称）的法定代表人，我方愿意参加贵方组织的</w:t>
      </w:r>
      <w:r>
        <w:rPr>
          <w:rFonts w:hint="eastAsia" w:asciiTheme="minorEastAsia" w:hAnsiTheme="minorEastAsia" w:eastAsiaTheme="minorEastAsia" w:cstheme="minorEastAsia"/>
          <w:szCs w:val="21"/>
          <w:u w:val="single"/>
        </w:rPr>
        <w:t xml:space="preserve">   （项目名称、项目编号）       </w:t>
      </w:r>
      <w:r>
        <w:rPr>
          <w:rFonts w:hint="eastAsia" w:asciiTheme="minorEastAsia" w:hAnsiTheme="minorEastAsia" w:eastAsiaTheme="minorEastAsia" w:cstheme="minorEastAsia"/>
          <w:szCs w:val="21"/>
        </w:rPr>
        <w:t>项目的投标，为便于贵方公正、择优地确定中标人及其投标产品和服务，我方就参加本次投标有关事项郑重声明如下：</w:t>
      </w:r>
    </w:p>
    <w:p w14:paraId="485C36BD">
      <w:pPr>
        <w:snapToGrid w:val="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1.本投标有效期响应采购文件要求。</w:t>
      </w:r>
    </w:p>
    <w:p w14:paraId="14ACD9CA">
      <w:pPr>
        <w:snapToGrid w:val="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2.我方向贵方提交的所有投标文件、资料都是准确的和真实的。</w:t>
      </w:r>
    </w:p>
    <w:p w14:paraId="462BC7CA">
      <w:pPr>
        <w:snapToGrid w:val="0"/>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3.我方不是采购人的附属机构；</w:t>
      </w:r>
    </w:p>
    <w:p w14:paraId="189C6D12">
      <w:pPr>
        <w:snapToGrid w:val="0"/>
        <w:spacing w:before="156" w:beforeLines="50"/>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4.我方未参加本采购项目的整体设计、规范编制或者项目管理、监理、检测等服务工作。</w:t>
      </w:r>
    </w:p>
    <w:p w14:paraId="44111977">
      <w:pPr>
        <w:snapToGrid w:val="0"/>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5.我</w:t>
      </w:r>
      <w:r>
        <w:rPr>
          <w:rFonts w:hint="eastAsia" w:asciiTheme="minorEastAsia" w:hAnsiTheme="minorEastAsia" w:eastAsiaTheme="minorEastAsia" w:cstheme="minorEastAsia"/>
          <w:kern w:val="0"/>
          <w:szCs w:val="21"/>
        </w:rPr>
        <w:t>方</w:t>
      </w:r>
      <w:r>
        <w:rPr>
          <w:rFonts w:hint="eastAsia" w:asciiTheme="minorEastAsia" w:hAnsiTheme="minorEastAsia" w:eastAsiaTheme="minorEastAsia" w:cstheme="minorEastAsia"/>
          <w:szCs w:val="21"/>
        </w:rPr>
        <w:t>单位</w:t>
      </w:r>
      <w:r>
        <w:rPr>
          <w:rFonts w:hint="eastAsia" w:asciiTheme="minorEastAsia" w:hAnsiTheme="minorEastAsia" w:eastAsiaTheme="minorEastAsia" w:cstheme="minorEastAsia"/>
          <w:kern w:val="0"/>
          <w:szCs w:val="21"/>
        </w:rPr>
        <w:t>负责人同时为下列单位的负责人：</w:t>
      </w:r>
    </w:p>
    <w:p w14:paraId="5F0AC079">
      <w:pPr>
        <w:snapToGrid w:val="0"/>
        <w:spacing w:before="156" w:beforeLines="50"/>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w:t>
      </w:r>
    </w:p>
    <w:p w14:paraId="3A86BE6B">
      <w:pPr>
        <w:snapToGrid w:val="0"/>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6</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kern w:val="0"/>
          <w:szCs w:val="21"/>
        </w:rPr>
        <w:t>我方直接控股的单位、由我方管理的单位，没有同时参加本</w:t>
      </w:r>
      <w:r>
        <w:rPr>
          <w:rFonts w:hint="eastAsia" w:asciiTheme="minorEastAsia" w:hAnsiTheme="minorEastAsia" w:eastAsiaTheme="minorEastAsia" w:cstheme="minorEastAsia"/>
          <w:szCs w:val="21"/>
        </w:rPr>
        <w:t>合同项下</w:t>
      </w:r>
      <w:r>
        <w:rPr>
          <w:rFonts w:hint="eastAsia" w:asciiTheme="minorEastAsia" w:hAnsiTheme="minorEastAsia" w:eastAsiaTheme="minorEastAsia" w:cstheme="minorEastAsia"/>
          <w:kern w:val="0"/>
          <w:szCs w:val="21"/>
        </w:rPr>
        <w:t>的投标。</w:t>
      </w:r>
    </w:p>
    <w:p w14:paraId="5E43EE41">
      <w:pPr>
        <w:snapToGrid w:val="0"/>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7.我方委托授权人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（姓名）为我单位的正式在职职工，以我方的名义参加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本项目的投标活动，</w:t>
      </w:r>
    </w:p>
    <w:p w14:paraId="6F181637">
      <w:pPr>
        <w:snapToGrid w:val="0"/>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8.我方此次向贵方提供的货物名称为：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0A193DAF">
      <w:pPr>
        <w:snapToGrid w:val="0"/>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9.我方</w:t>
      </w:r>
      <w:r>
        <w:rPr>
          <w:rFonts w:hint="eastAsia" w:asciiTheme="minorEastAsia" w:hAnsiTheme="minorEastAsia" w:eastAsiaTheme="minorEastAsia" w:cstheme="minorEastAsia"/>
          <w:kern w:val="0"/>
          <w:szCs w:val="21"/>
        </w:rPr>
        <w:t>参加本次国企采购活动前三年内，在经营活动中的重大违法记录</w:t>
      </w:r>
      <w:r>
        <w:rPr>
          <w:rFonts w:hint="eastAsia" w:asciiTheme="minorEastAsia" w:hAnsiTheme="minorEastAsia" w:eastAsiaTheme="minorEastAsia" w:cstheme="minorEastAsia"/>
          <w:szCs w:val="21"/>
        </w:rPr>
        <w:t>有：</w:t>
      </w:r>
    </w:p>
    <w:p w14:paraId="0560263D">
      <w:pPr>
        <w:snapToGrid w:val="0"/>
        <w:spacing w:before="156" w:beforeLines="50"/>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w:t>
      </w:r>
    </w:p>
    <w:p w14:paraId="54A7A676">
      <w:pPr>
        <w:snapToGrid w:val="0"/>
        <w:spacing w:before="120" w:line="320" w:lineRule="exact"/>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至本项目投标截止前，我方被列入“信用中国”网站(www.creditchina.gov.cn)“记录失信被执行人或重大税收违法案件当事人名单”记录名单情况：</w:t>
      </w:r>
    </w:p>
    <w:p w14:paraId="3EA9CE77">
      <w:pPr>
        <w:snapToGrid w:val="0"/>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w:t>
      </w:r>
    </w:p>
    <w:p w14:paraId="13627DA8">
      <w:pPr>
        <w:snapToGrid w:val="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我方承诺具有良好的商业信誉和健全的财务会计制度，具有依法缴纳税收和社会保障资金的良好记录，具有履行本项目合同所必需的场地、设备和专业技术能力、售后保障等能力。如有虚假，采购人可取消我方任何资格（投标/中标/签订合同），我方对此无任何异议。</w:t>
      </w:r>
    </w:p>
    <w:p w14:paraId="447B4204">
      <w:pPr>
        <w:snapToGrid w:val="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11.以上事项如有虚假或隐瞒，我方愿意承担一切后果，并不再寻求任何旨在减轻或免除法律责任的辩解。</w:t>
      </w:r>
    </w:p>
    <w:p w14:paraId="47A05ED5">
      <w:pPr>
        <w:snapToGrid w:val="0"/>
        <w:spacing w:before="156" w:beforeLines="50"/>
        <w:ind w:firstLine="200"/>
        <w:rPr>
          <w:rFonts w:hint="eastAsia" w:asciiTheme="minorEastAsia" w:hAnsiTheme="minorEastAsia" w:eastAsiaTheme="minorEastAsia" w:cstheme="minorEastAsia"/>
          <w:szCs w:val="21"/>
        </w:rPr>
      </w:pPr>
    </w:p>
    <w:p w14:paraId="6E62E0E0">
      <w:pPr>
        <w:snapToGrid w:val="0"/>
        <w:spacing w:before="156" w:beforeLines="50" w:line="480" w:lineRule="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法定代表人或授权委托人：</w:t>
      </w:r>
      <w:r>
        <w:rPr>
          <w:rFonts w:hint="eastAsia" w:asciiTheme="minorEastAsia" w:hAnsiTheme="minorEastAsia" w:eastAsiaTheme="minorEastAsia" w:cstheme="minorEastAsia"/>
          <w:szCs w:val="21"/>
          <w:u w:val="single"/>
        </w:rPr>
        <w:t xml:space="preserve">  （签字或盖章） </w:t>
      </w:r>
    </w:p>
    <w:p w14:paraId="6259E6DC">
      <w:pPr>
        <w:snapToGrid w:val="0"/>
        <w:spacing w:before="50" w:after="50" w:line="480" w:lineRule="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投标人：</w:t>
      </w:r>
      <w:r>
        <w:rPr>
          <w:rFonts w:hint="eastAsia" w:asciiTheme="minorEastAsia" w:hAnsiTheme="minorEastAsia" w:eastAsiaTheme="minorEastAsia" w:cstheme="minorEastAsia"/>
          <w:szCs w:val="21"/>
          <w:u w:val="single"/>
        </w:rPr>
        <w:t xml:space="preserve">       （盖公章）                   </w:t>
      </w:r>
    </w:p>
    <w:p w14:paraId="2DFA7EEF">
      <w:pPr>
        <w:snapToGrid w:val="0"/>
        <w:spacing w:before="50" w:after="50" w:line="48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14:paraId="7DE457B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3C05C67F">
      <w:pPr>
        <w:rPr>
          <w:rFonts w:hint="eastAsia" w:asciiTheme="minorEastAsia" w:hAnsiTheme="minorEastAsia" w:eastAsiaTheme="minorEastAsia" w:cstheme="minorEastAsia"/>
          <w:b/>
          <w:snapToGrid w:val="0"/>
          <w:kern w:val="0"/>
          <w:sz w:val="22"/>
        </w:rPr>
      </w:pPr>
      <w:r>
        <w:rPr>
          <w:rFonts w:hint="eastAsia" w:asciiTheme="minorEastAsia" w:hAnsiTheme="minorEastAsia" w:eastAsiaTheme="minorEastAsia" w:cstheme="minorEastAsia"/>
          <w:b/>
          <w:snapToGrid w:val="0"/>
          <w:kern w:val="0"/>
          <w:sz w:val="22"/>
        </w:rPr>
        <w:t>附件五</w:t>
      </w:r>
    </w:p>
    <w:p w14:paraId="449CC6D6">
      <w:pPr>
        <w:jc w:val="center"/>
        <w:rPr>
          <w:rFonts w:hint="eastAsia" w:asciiTheme="minorEastAsia" w:hAnsiTheme="minorEastAsia" w:eastAsiaTheme="minorEastAsia" w:cstheme="minorEastAsia"/>
          <w:b/>
          <w:bCs/>
          <w:snapToGrid w:val="0"/>
          <w:kern w:val="0"/>
          <w:sz w:val="28"/>
        </w:rPr>
      </w:pPr>
      <w:r>
        <w:rPr>
          <w:rFonts w:hint="eastAsia" w:asciiTheme="minorEastAsia" w:hAnsiTheme="minorEastAsia" w:eastAsiaTheme="minorEastAsia" w:cstheme="minorEastAsia"/>
          <w:b/>
          <w:bCs/>
          <w:snapToGrid w:val="0"/>
          <w:kern w:val="0"/>
          <w:sz w:val="28"/>
        </w:rPr>
        <w:t>项目总负责人情况表</w:t>
      </w:r>
    </w:p>
    <w:p w14:paraId="4D84CB45">
      <w:pPr>
        <w:spacing w:line="380" w:lineRule="exact"/>
        <w:ind w:left="-358" w:leftChars="-171" w:hanging="1"/>
        <w:rPr>
          <w:rFonts w:hint="eastAsia" w:asciiTheme="minorEastAsia" w:hAnsiTheme="minorEastAsia" w:eastAsiaTheme="minorEastAsia" w:cstheme="minorEastAsia"/>
          <w:sz w:val="24"/>
        </w:rPr>
      </w:pPr>
    </w:p>
    <w:p w14:paraId="7A76F380">
      <w:pPr>
        <w:spacing w:line="380" w:lineRule="exact"/>
        <w:rPr>
          <w:rFonts w:hint="eastAsia" w:asciiTheme="minorEastAsia" w:hAnsiTheme="minorEastAsia" w:eastAsiaTheme="minorEastAsia" w:cstheme="minorEastAsia"/>
          <w:b/>
          <w:snapToGrid w:val="0"/>
          <w:kern w:val="0"/>
          <w:sz w:val="22"/>
        </w:rPr>
      </w:pPr>
      <w:r>
        <w:rPr>
          <w:rFonts w:hint="eastAsia" w:asciiTheme="minorEastAsia" w:hAnsiTheme="minorEastAsia" w:eastAsiaTheme="minorEastAsia" w:cstheme="minorEastAsia"/>
          <w:sz w:val="24"/>
        </w:rPr>
        <w:t xml:space="preserve">项目名称：                                项目编号： </w:t>
      </w:r>
    </w:p>
    <w:tbl>
      <w:tblPr>
        <w:tblStyle w:val="29"/>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451"/>
        <w:gridCol w:w="4290"/>
      </w:tblGrid>
      <w:tr w14:paraId="41A9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74" w:type="dxa"/>
            <w:tcBorders>
              <w:top w:val="single" w:color="auto" w:sz="12" w:space="0"/>
              <w:left w:val="single" w:color="auto" w:sz="12" w:space="0"/>
              <w:bottom w:val="single" w:color="auto" w:sz="4" w:space="0"/>
              <w:right w:val="single" w:color="auto" w:sz="4" w:space="0"/>
            </w:tcBorders>
            <w:vAlign w:val="center"/>
          </w:tcPr>
          <w:p w14:paraId="406862BF">
            <w:pPr>
              <w:pStyle w:val="55"/>
              <w:autoSpaceDE w:val="0"/>
              <w:autoSpaceDN w:val="0"/>
              <w:adjustRightInd w:val="0"/>
              <w:spacing w:line="24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姓名</w:t>
            </w:r>
          </w:p>
        </w:tc>
        <w:tc>
          <w:tcPr>
            <w:tcW w:w="2451" w:type="dxa"/>
            <w:tcBorders>
              <w:top w:val="single" w:color="auto" w:sz="12" w:space="0"/>
              <w:left w:val="single" w:color="auto" w:sz="4" w:space="0"/>
              <w:bottom w:val="single" w:color="auto" w:sz="4" w:space="0"/>
              <w:right w:val="single" w:color="auto" w:sz="4" w:space="0"/>
            </w:tcBorders>
            <w:vAlign w:val="center"/>
          </w:tcPr>
          <w:p w14:paraId="7FA10CEE">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tcBorders>
              <w:top w:val="single" w:color="auto" w:sz="12" w:space="0"/>
              <w:left w:val="single" w:color="auto" w:sz="4" w:space="0"/>
              <w:bottom w:val="single" w:color="auto" w:sz="4" w:space="0"/>
              <w:right w:val="single" w:color="auto" w:sz="12" w:space="0"/>
            </w:tcBorders>
            <w:vAlign w:val="center"/>
          </w:tcPr>
          <w:p w14:paraId="6079F49B">
            <w:pPr>
              <w:pStyle w:val="55"/>
              <w:autoSpaceDE w:val="0"/>
              <w:autoSpaceDN w:val="0"/>
              <w:adjustRightInd w:val="0"/>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近年来主要工作业绩</w:t>
            </w:r>
          </w:p>
        </w:tc>
      </w:tr>
      <w:tr w14:paraId="5DBD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27215A72">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性别</w:t>
            </w:r>
          </w:p>
        </w:tc>
        <w:tc>
          <w:tcPr>
            <w:tcW w:w="2451" w:type="dxa"/>
            <w:tcBorders>
              <w:top w:val="single" w:color="auto" w:sz="4" w:space="0"/>
              <w:left w:val="single" w:color="auto" w:sz="4" w:space="0"/>
              <w:bottom w:val="single" w:color="auto" w:sz="4" w:space="0"/>
              <w:right w:val="single" w:color="auto" w:sz="4" w:space="0"/>
            </w:tcBorders>
            <w:vAlign w:val="center"/>
          </w:tcPr>
          <w:p w14:paraId="45977FD6">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restart"/>
            <w:tcBorders>
              <w:top w:val="single" w:color="auto" w:sz="4" w:space="0"/>
              <w:left w:val="single" w:color="auto" w:sz="4" w:space="0"/>
              <w:bottom w:val="single" w:color="auto" w:sz="4" w:space="0"/>
              <w:right w:val="single" w:color="auto" w:sz="12" w:space="0"/>
            </w:tcBorders>
            <w:vAlign w:val="center"/>
          </w:tcPr>
          <w:p w14:paraId="601005F6">
            <w:pPr>
              <w:pStyle w:val="56"/>
              <w:autoSpaceDE w:val="0"/>
              <w:autoSpaceDN w:val="0"/>
              <w:adjustRightInd w:val="0"/>
              <w:spacing w:before="0" w:beforeAutospacing="0" w:after="0" w:afterAutospacing="0"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注：业绩证明应提供旁证材料</w:t>
            </w:r>
          </w:p>
          <w:p w14:paraId="61C1AAAC">
            <w:pPr>
              <w:autoSpaceDE w:val="0"/>
              <w:autoSpaceDN w:val="0"/>
              <w:adjustRightInd w:val="0"/>
              <w:spacing w:line="360" w:lineRule="auto"/>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（合同或中标通知书等）</w:t>
            </w:r>
          </w:p>
        </w:tc>
      </w:tr>
      <w:tr w14:paraId="1E54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4768E531">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年龄</w:t>
            </w:r>
          </w:p>
        </w:tc>
        <w:tc>
          <w:tcPr>
            <w:tcW w:w="2451" w:type="dxa"/>
            <w:tcBorders>
              <w:top w:val="single" w:color="auto" w:sz="4" w:space="0"/>
              <w:left w:val="single" w:color="auto" w:sz="4" w:space="0"/>
              <w:bottom w:val="single" w:color="auto" w:sz="4" w:space="0"/>
              <w:right w:val="single" w:color="auto" w:sz="4" w:space="0"/>
            </w:tcBorders>
            <w:vAlign w:val="center"/>
          </w:tcPr>
          <w:p w14:paraId="1E2D69E9">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vAlign w:val="center"/>
          </w:tcPr>
          <w:p w14:paraId="4F44D2B4">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r w14:paraId="1077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1F36AC79">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职称</w:t>
            </w:r>
          </w:p>
        </w:tc>
        <w:tc>
          <w:tcPr>
            <w:tcW w:w="2451" w:type="dxa"/>
            <w:tcBorders>
              <w:top w:val="single" w:color="auto" w:sz="4" w:space="0"/>
              <w:left w:val="single" w:color="auto" w:sz="4" w:space="0"/>
              <w:bottom w:val="single" w:color="auto" w:sz="4" w:space="0"/>
              <w:right w:val="single" w:color="auto" w:sz="4" w:space="0"/>
            </w:tcBorders>
            <w:vAlign w:val="center"/>
          </w:tcPr>
          <w:p w14:paraId="0F836D62">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vAlign w:val="center"/>
          </w:tcPr>
          <w:p w14:paraId="400810C2">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r w14:paraId="79B7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5C0A6666">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资格证书</w:t>
            </w:r>
          </w:p>
        </w:tc>
        <w:tc>
          <w:tcPr>
            <w:tcW w:w="2451" w:type="dxa"/>
            <w:tcBorders>
              <w:top w:val="single" w:color="auto" w:sz="4" w:space="0"/>
              <w:left w:val="single" w:color="auto" w:sz="4" w:space="0"/>
              <w:bottom w:val="single" w:color="auto" w:sz="4" w:space="0"/>
              <w:right w:val="single" w:color="auto" w:sz="4" w:space="0"/>
            </w:tcBorders>
            <w:vAlign w:val="center"/>
          </w:tcPr>
          <w:p w14:paraId="16073FF5">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vAlign w:val="center"/>
          </w:tcPr>
          <w:p w14:paraId="2F2D58DF">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r w14:paraId="1ECB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022E10D5">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毕业时间</w:t>
            </w:r>
          </w:p>
        </w:tc>
        <w:tc>
          <w:tcPr>
            <w:tcW w:w="2451" w:type="dxa"/>
            <w:tcBorders>
              <w:top w:val="single" w:color="auto" w:sz="4" w:space="0"/>
              <w:left w:val="single" w:color="auto" w:sz="4" w:space="0"/>
              <w:bottom w:val="single" w:color="auto" w:sz="4" w:space="0"/>
              <w:right w:val="single" w:color="auto" w:sz="4" w:space="0"/>
            </w:tcBorders>
            <w:vAlign w:val="center"/>
          </w:tcPr>
          <w:p w14:paraId="3C4875E6">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vAlign w:val="center"/>
          </w:tcPr>
          <w:p w14:paraId="42DFCD14">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r w14:paraId="293F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762B693B">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学校专业</w:t>
            </w:r>
          </w:p>
        </w:tc>
        <w:tc>
          <w:tcPr>
            <w:tcW w:w="2451" w:type="dxa"/>
            <w:tcBorders>
              <w:top w:val="single" w:color="auto" w:sz="4" w:space="0"/>
              <w:left w:val="single" w:color="auto" w:sz="4" w:space="0"/>
              <w:bottom w:val="single" w:color="auto" w:sz="4" w:space="0"/>
              <w:right w:val="single" w:color="auto" w:sz="4" w:space="0"/>
            </w:tcBorders>
            <w:vAlign w:val="center"/>
          </w:tcPr>
          <w:p w14:paraId="7A70FD9B">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vAlign w:val="center"/>
          </w:tcPr>
          <w:p w14:paraId="5BBE2934">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r w14:paraId="597D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08FD754B">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联系电话</w:t>
            </w:r>
          </w:p>
        </w:tc>
        <w:tc>
          <w:tcPr>
            <w:tcW w:w="2451" w:type="dxa"/>
            <w:tcBorders>
              <w:top w:val="single" w:color="auto" w:sz="4" w:space="0"/>
              <w:left w:val="single" w:color="auto" w:sz="4" w:space="0"/>
              <w:bottom w:val="single" w:color="auto" w:sz="4" w:space="0"/>
              <w:right w:val="single" w:color="auto" w:sz="4" w:space="0"/>
            </w:tcBorders>
            <w:vAlign w:val="center"/>
          </w:tcPr>
          <w:p w14:paraId="7E897E75">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vAlign w:val="center"/>
          </w:tcPr>
          <w:p w14:paraId="7BC541E4">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r w14:paraId="73D6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47DD3EC2">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rPr>
              <w:t>最近一年工作状况</w:t>
            </w:r>
          </w:p>
        </w:tc>
        <w:tc>
          <w:tcPr>
            <w:tcW w:w="2451" w:type="dxa"/>
            <w:tcBorders>
              <w:top w:val="single" w:color="auto" w:sz="4" w:space="0"/>
              <w:left w:val="single" w:color="auto" w:sz="4" w:space="0"/>
              <w:bottom w:val="single" w:color="auto" w:sz="4" w:space="0"/>
              <w:right w:val="single" w:color="auto" w:sz="4" w:space="0"/>
            </w:tcBorders>
            <w:vAlign w:val="center"/>
          </w:tcPr>
          <w:p w14:paraId="0DBD7A56">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vAlign w:val="center"/>
          </w:tcPr>
          <w:p w14:paraId="390AF143">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r w14:paraId="3C81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74" w:type="dxa"/>
            <w:tcBorders>
              <w:top w:val="single" w:color="auto" w:sz="4" w:space="0"/>
              <w:left w:val="single" w:color="auto" w:sz="12" w:space="0"/>
              <w:bottom w:val="single" w:color="auto" w:sz="12" w:space="0"/>
              <w:right w:val="single" w:color="auto" w:sz="4" w:space="0"/>
            </w:tcBorders>
            <w:vAlign w:val="center"/>
          </w:tcPr>
          <w:p w14:paraId="01D844E2">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拟在本项目中担任主要工作</w:t>
            </w:r>
          </w:p>
        </w:tc>
        <w:tc>
          <w:tcPr>
            <w:tcW w:w="6741" w:type="dxa"/>
            <w:gridSpan w:val="2"/>
            <w:tcBorders>
              <w:top w:val="single" w:color="auto" w:sz="4" w:space="0"/>
              <w:left w:val="single" w:color="auto" w:sz="4" w:space="0"/>
              <w:bottom w:val="single" w:color="auto" w:sz="12" w:space="0"/>
              <w:right w:val="single" w:color="auto" w:sz="12" w:space="0"/>
            </w:tcBorders>
            <w:vAlign w:val="center"/>
          </w:tcPr>
          <w:p w14:paraId="60D73E62">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bl>
    <w:p w14:paraId="403CD394">
      <w:pPr>
        <w:tabs>
          <w:tab w:val="left" w:pos="780"/>
        </w:tabs>
        <w:spacing w:line="400" w:lineRule="exact"/>
        <w:ind w:left="18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注：列入本表人员如要更换，需经采购人同意，擅自更换或不到位属违约行为。</w:t>
      </w:r>
    </w:p>
    <w:p w14:paraId="788D9C52">
      <w:pPr>
        <w:spacing w:line="380" w:lineRule="exact"/>
        <w:ind w:firstLine="4800" w:firstLineChars="2000"/>
        <w:rPr>
          <w:rFonts w:hint="eastAsia" w:asciiTheme="minorEastAsia" w:hAnsiTheme="minorEastAsia" w:eastAsiaTheme="minorEastAsia" w:cstheme="minorEastAsia"/>
          <w:sz w:val="24"/>
        </w:rPr>
      </w:pPr>
    </w:p>
    <w:p w14:paraId="6BB2E189">
      <w:pPr>
        <w:spacing w:line="3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投标人全称（盖公章）：</w:t>
      </w:r>
    </w:p>
    <w:p w14:paraId="48832667">
      <w:pPr>
        <w:spacing w:line="3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法定代表人或授权代表（签字或盖章）：</w:t>
      </w:r>
    </w:p>
    <w:p w14:paraId="6A650AF7">
      <w:pPr>
        <w:spacing w:line="38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日期：  </w:t>
      </w:r>
    </w:p>
    <w:p w14:paraId="4162A5DC">
      <w:pPr>
        <w:pStyle w:val="4"/>
        <w:spacing w:line="400" w:lineRule="exact"/>
        <w:ind w:firstLine="480" w:firstLineChars="200"/>
        <w:jc w:val="left"/>
        <w:rPr>
          <w:rFonts w:hint="eastAsia" w:asciiTheme="minorEastAsia" w:hAnsiTheme="minorEastAsia" w:eastAsiaTheme="minorEastAsia" w:cstheme="minorEastAsia"/>
          <w:snapToGrid w:val="0"/>
          <w:sz w:val="24"/>
          <w:szCs w:val="24"/>
        </w:rPr>
      </w:pPr>
    </w:p>
    <w:p w14:paraId="0081B3A1">
      <w:pPr>
        <w:jc w:val="left"/>
        <w:rPr>
          <w:rFonts w:hint="eastAsia" w:asciiTheme="minorEastAsia" w:hAnsiTheme="minorEastAsia" w:eastAsiaTheme="minorEastAsia" w:cstheme="minorEastAsia"/>
          <w:b/>
          <w:bCs/>
          <w:sz w:val="24"/>
        </w:rPr>
      </w:pPr>
    </w:p>
    <w:p w14:paraId="0AD4DEA4">
      <w:pPr>
        <w:rPr>
          <w:rFonts w:hint="eastAsia" w:asciiTheme="minorEastAsia" w:hAnsiTheme="minorEastAsia" w:eastAsiaTheme="minorEastAsia" w:cstheme="minorEastAsia"/>
          <w:b/>
          <w:bCs/>
          <w:sz w:val="28"/>
          <w:szCs w:val="28"/>
        </w:rPr>
      </w:pPr>
    </w:p>
    <w:p w14:paraId="236DE112">
      <w:pPr>
        <w:rPr>
          <w:rFonts w:hint="eastAsia" w:asciiTheme="minorEastAsia" w:hAnsiTheme="minorEastAsia" w:eastAsiaTheme="minorEastAsia" w:cstheme="minorEastAsia"/>
          <w:b/>
          <w:bCs/>
          <w:sz w:val="28"/>
          <w:szCs w:val="28"/>
        </w:rPr>
      </w:pPr>
    </w:p>
    <w:p w14:paraId="496023F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投标供应商需要说明的其他文件和说明</w:t>
      </w:r>
    </w:p>
    <w:p w14:paraId="08501083">
      <w:pPr>
        <w:rPr>
          <w:rFonts w:hint="eastAsia" w:asciiTheme="minorEastAsia" w:hAnsiTheme="minorEastAsia" w:eastAsiaTheme="minorEastAsia" w:cstheme="minorEastAsia"/>
          <w:b/>
          <w:bCs/>
          <w:sz w:val="28"/>
          <w:szCs w:val="28"/>
        </w:rPr>
      </w:pPr>
    </w:p>
    <w:p w14:paraId="02962AB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根据采购文件中的采购内容及要求以及技术资信评分项目逐项编制相关投标文件，需编制目录索引，注明评分细则项目所在投标文件页码。</w:t>
      </w:r>
    </w:p>
    <w:p w14:paraId="55F06526">
      <w:pPr>
        <w:rPr>
          <w:rFonts w:hint="eastAsia" w:asciiTheme="minorEastAsia" w:hAnsiTheme="minorEastAsia" w:eastAsiaTheme="minorEastAsia" w:cstheme="minorEastAsia"/>
          <w:b/>
          <w:bCs/>
          <w:sz w:val="28"/>
          <w:szCs w:val="28"/>
        </w:rPr>
      </w:pPr>
    </w:p>
    <w:p w14:paraId="02653A07">
      <w:pPr>
        <w:rPr>
          <w:rFonts w:hint="eastAsia" w:asciiTheme="minorEastAsia" w:hAnsiTheme="minorEastAsia" w:eastAsiaTheme="minorEastAsia" w:cstheme="minorEastAsia"/>
          <w:b/>
          <w:bCs/>
          <w:sz w:val="28"/>
          <w:szCs w:val="28"/>
        </w:rPr>
      </w:pPr>
    </w:p>
    <w:p w14:paraId="006FD326">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本文件《第三部分  附件》附件中未提供格式的，可自行拟定格式</w:t>
      </w:r>
      <w:r>
        <w:rPr>
          <w:rFonts w:hint="eastAsia" w:asciiTheme="minorEastAsia" w:hAnsiTheme="minorEastAsia" w:eastAsiaTheme="minorEastAsia" w:cstheme="minorEastAsia"/>
          <w:b/>
          <w:bCs/>
          <w:sz w:val="28"/>
          <w:szCs w:val="28"/>
        </w:rPr>
        <w:br w:type="page"/>
      </w:r>
    </w:p>
    <w:p w14:paraId="5D03F98D">
      <w:pPr>
        <w:spacing w:before="156" w:beforeLines="50" w:after="156" w:afterLines="5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（商务报价标封面，供参考）</w:t>
      </w:r>
    </w:p>
    <w:p w14:paraId="7C896F27">
      <w:pPr>
        <w:jc w:val="righ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正本（副本）</w:t>
      </w:r>
    </w:p>
    <w:p w14:paraId="3F7A2F91">
      <w:pPr>
        <w:rPr>
          <w:rFonts w:hint="eastAsia" w:asciiTheme="minorEastAsia" w:hAnsiTheme="minorEastAsia" w:eastAsiaTheme="minorEastAsia" w:cstheme="minorEastAsia"/>
        </w:rPr>
      </w:pPr>
    </w:p>
    <w:p w14:paraId="4D7FA604">
      <w:pPr>
        <w:rPr>
          <w:rFonts w:hint="eastAsia" w:asciiTheme="minorEastAsia" w:hAnsiTheme="minorEastAsia" w:eastAsiaTheme="minorEastAsia" w:cstheme="minorEastAsia"/>
        </w:rPr>
      </w:pPr>
    </w:p>
    <w:p w14:paraId="3510C736">
      <w:pPr>
        <w:pStyle w:val="14"/>
        <w:ind w:left="1170" w:hanging="960"/>
        <w:rPr>
          <w:rFonts w:hint="eastAsia" w:asciiTheme="minorEastAsia" w:hAnsiTheme="minorEastAsia" w:eastAsiaTheme="minorEastAsia" w:cstheme="minorEastAsia"/>
        </w:rPr>
      </w:pPr>
    </w:p>
    <w:p w14:paraId="5FB741B3">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（项目名称、项目编号）            </w:t>
      </w:r>
      <w:r>
        <w:rPr>
          <w:rFonts w:hint="eastAsia" w:asciiTheme="minorEastAsia" w:hAnsiTheme="minorEastAsia" w:eastAsiaTheme="minorEastAsia" w:cstheme="minorEastAsia"/>
          <w:sz w:val="28"/>
          <w:szCs w:val="28"/>
        </w:rPr>
        <w:t>投标文件</w:t>
      </w:r>
    </w:p>
    <w:p w14:paraId="14605D20">
      <w:pPr>
        <w:rPr>
          <w:rFonts w:hint="eastAsia" w:asciiTheme="minorEastAsia" w:hAnsiTheme="minorEastAsia" w:eastAsiaTheme="minorEastAsia" w:cstheme="minorEastAsia"/>
          <w:sz w:val="28"/>
          <w:szCs w:val="28"/>
        </w:rPr>
      </w:pPr>
    </w:p>
    <w:p w14:paraId="4FE15A15">
      <w:pPr>
        <w:jc w:val="center"/>
        <w:rPr>
          <w:rFonts w:hint="eastAsia" w:asciiTheme="minorEastAsia" w:hAnsiTheme="minorEastAsia" w:eastAsiaTheme="minorEastAsia" w:cstheme="minorEastAsia"/>
          <w:sz w:val="52"/>
          <w:szCs w:val="52"/>
        </w:rPr>
      </w:pPr>
    </w:p>
    <w:p w14:paraId="1349C015">
      <w:pPr>
        <w:jc w:val="center"/>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z w:val="52"/>
          <w:szCs w:val="52"/>
        </w:rPr>
        <w:t>商 务（报价） 标</w:t>
      </w:r>
    </w:p>
    <w:p w14:paraId="0F5AA10D">
      <w:pPr>
        <w:jc w:val="center"/>
        <w:rPr>
          <w:rFonts w:hint="eastAsia" w:asciiTheme="minorEastAsia" w:hAnsiTheme="minorEastAsia" w:eastAsiaTheme="minorEastAsia" w:cstheme="minorEastAsia"/>
          <w:sz w:val="52"/>
          <w:szCs w:val="52"/>
        </w:rPr>
      </w:pPr>
    </w:p>
    <w:p w14:paraId="22E124C6">
      <w:pPr>
        <w:jc w:val="center"/>
        <w:rPr>
          <w:rFonts w:hint="eastAsia" w:asciiTheme="minorEastAsia" w:hAnsiTheme="minorEastAsia" w:eastAsiaTheme="minorEastAsia" w:cstheme="minorEastAsia"/>
          <w:sz w:val="52"/>
          <w:szCs w:val="52"/>
        </w:rPr>
      </w:pPr>
    </w:p>
    <w:p w14:paraId="324C8A7C">
      <w:pPr>
        <w:jc w:val="center"/>
        <w:rPr>
          <w:rFonts w:hint="eastAsia" w:asciiTheme="minorEastAsia" w:hAnsiTheme="minorEastAsia" w:eastAsiaTheme="minorEastAsia" w:cstheme="minorEastAsia"/>
          <w:sz w:val="52"/>
          <w:szCs w:val="52"/>
        </w:rPr>
      </w:pPr>
    </w:p>
    <w:p w14:paraId="3D69869F">
      <w:pPr>
        <w:jc w:val="center"/>
        <w:rPr>
          <w:rFonts w:hint="eastAsia" w:asciiTheme="minorEastAsia" w:hAnsiTheme="minorEastAsia" w:eastAsiaTheme="minorEastAsia" w:cstheme="minorEastAsia"/>
          <w:sz w:val="52"/>
          <w:szCs w:val="52"/>
        </w:rPr>
      </w:pPr>
    </w:p>
    <w:p w14:paraId="145E57DB">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投标供应商：</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（盖单位章）</w:t>
      </w:r>
    </w:p>
    <w:p w14:paraId="025D3B16">
      <w:pPr>
        <w:rPr>
          <w:rFonts w:hint="eastAsia" w:asciiTheme="minorEastAsia" w:hAnsiTheme="minorEastAsia" w:eastAsiaTheme="minorEastAsia" w:cstheme="minorEastAsia"/>
          <w:sz w:val="28"/>
          <w:szCs w:val="28"/>
          <w:u w:val="single"/>
        </w:rPr>
      </w:pPr>
    </w:p>
    <w:p w14:paraId="4DB07C41">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（签字或盖章）</w:t>
      </w:r>
    </w:p>
    <w:p w14:paraId="069BAB7A">
      <w:pPr>
        <w:rPr>
          <w:rFonts w:hint="eastAsia" w:asciiTheme="minorEastAsia" w:hAnsiTheme="minorEastAsia" w:eastAsiaTheme="minorEastAsia" w:cstheme="minorEastAsia"/>
          <w:sz w:val="28"/>
          <w:szCs w:val="28"/>
        </w:rPr>
      </w:pPr>
    </w:p>
    <w:p w14:paraId="1D0E13FB">
      <w:pPr>
        <w:overflowPunct w:val="0"/>
        <w:spacing w:line="3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14:paraId="4021418D">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6F925279">
      <w:pPr>
        <w:spacing w:line="380" w:lineRule="exact"/>
        <w:rPr>
          <w:rFonts w:hint="eastAsia" w:asciiTheme="minorEastAsia" w:hAnsiTheme="minorEastAsia" w:eastAsiaTheme="minorEastAsia" w:cstheme="minorEastAsia"/>
          <w:b/>
          <w:bCs/>
          <w:sz w:val="22"/>
          <w:szCs w:val="22"/>
        </w:rPr>
        <w:sectPr>
          <w:headerReference r:id="rId5" w:type="default"/>
          <w:footerReference r:id="rId6" w:type="default"/>
          <w:pgSz w:w="11906" w:h="16838"/>
          <w:pgMar w:top="1440" w:right="1463" w:bottom="1440" w:left="1463" w:header="737" w:footer="709" w:gutter="0"/>
          <w:cols w:space="0" w:num="1"/>
          <w:docGrid w:type="lines" w:linePitch="312" w:charSpace="0"/>
        </w:sectPr>
      </w:pPr>
    </w:p>
    <w:p w14:paraId="66669F21">
      <w:pPr>
        <w:spacing w:line="380" w:lineRule="exac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附件六</w:t>
      </w:r>
    </w:p>
    <w:p w14:paraId="09F3B4AB">
      <w:pPr>
        <w:spacing w:line="4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开标一览表</w:t>
      </w:r>
    </w:p>
    <w:p w14:paraId="6566CB60">
      <w:pPr>
        <w:tabs>
          <w:tab w:val="left" w:pos="7890"/>
        </w:tabs>
        <w:spacing w:line="380" w:lineRule="exact"/>
        <w:ind w:right="349" w:rightChars="166" w:firstLine="330" w:firstLineChars="15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项目名称：                                        项目编号：</w:t>
      </w:r>
    </w:p>
    <w:tbl>
      <w:tblPr>
        <w:tblStyle w:val="29"/>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033"/>
        <w:gridCol w:w="777"/>
        <w:gridCol w:w="888"/>
        <w:gridCol w:w="2615"/>
        <w:gridCol w:w="2615"/>
        <w:gridCol w:w="2702"/>
        <w:gridCol w:w="2261"/>
      </w:tblGrid>
      <w:tr w14:paraId="3374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vAlign w:val="center"/>
          </w:tcPr>
          <w:p w14:paraId="3395181D">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序号</w:t>
            </w:r>
          </w:p>
        </w:tc>
        <w:tc>
          <w:tcPr>
            <w:tcW w:w="2033" w:type="dxa"/>
            <w:vAlign w:val="center"/>
          </w:tcPr>
          <w:p w14:paraId="79CADC22">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岗位名称</w:t>
            </w:r>
          </w:p>
        </w:tc>
        <w:tc>
          <w:tcPr>
            <w:tcW w:w="777" w:type="dxa"/>
            <w:vAlign w:val="center"/>
          </w:tcPr>
          <w:p w14:paraId="766C0F1E">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单位</w:t>
            </w:r>
          </w:p>
        </w:tc>
        <w:tc>
          <w:tcPr>
            <w:tcW w:w="888" w:type="dxa"/>
            <w:vAlign w:val="center"/>
          </w:tcPr>
          <w:p w14:paraId="2A8CDB06">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税率</w:t>
            </w:r>
          </w:p>
        </w:tc>
        <w:tc>
          <w:tcPr>
            <w:tcW w:w="2615" w:type="dxa"/>
            <w:vAlign w:val="center"/>
          </w:tcPr>
          <w:p w14:paraId="78BB4905">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不含税综合单价</w:t>
            </w:r>
          </w:p>
        </w:tc>
        <w:tc>
          <w:tcPr>
            <w:tcW w:w="2615" w:type="dxa"/>
            <w:vAlign w:val="center"/>
          </w:tcPr>
          <w:p w14:paraId="43ED4ED6">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含税综合单价</w:t>
            </w:r>
          </w:p>
        </w:tc>
        <w:tc>
          <w:tcPr>
            <w:tcW w:w="2702" w:type="dxa"/>
            <w:vAlign w:val="center"/>
          </w:tcPr>
          <w:p w14:paraId="01F631B3">
            <w:pPr>
              <w:widowControl/>
              <w:jc w:val="center"/>
              <w:rPr>
                <w:rFonts w:hint="eastAsia" w:asciiTheme="minorEastAsia" w:hAnsiTheme="minorEastAsia" w:eastAsiaTheme="minorEastAsia" w:cstheme="minorEastAsia"/>
                <w:kern w:val="0"/>
                <w:szCs w:val="22"/>
              </w:rPr>
            </w:pPr>
            <w:r>
              <w:rPr>
                <w:rFonts w:hint="eastAsia" w:ascii="宋体" w:hAnsi="宋体" w:cs="宋体"/>
                <w:b/>
                <w:bCs/>
                <w:kern w:val="0"/>
                <w:szCs w:val="22"/>
                <w:u w:val="single"/>
              </w:rPr>
              <w:t>▲</w:t>
            </w:r>
            <w:r>
              <w:rPr>
                <w:rFonts w:hint="eastAsia" w:asciiTheme="minorEastAsia" w:hAnsiTheme="minorEastAsia" w:eastAsiaTheme="minorEastAsia" w:cstheme="minorEastAsia"/>
                <w:b/>
                <w:bCs/>
                <w:kern w:val="0"/>
                <w:szCs w:val="22"/>
                <w:u w:val="single"/>
              </w:rPr>
              <w:t>含税综合单价最高限价</w:t>
            </w:r>
          </w:p>
        </w:tc>
        <w:tc>
          <w:tcPr>
            <w:tcW w:w="2261" w:type="dxa"/>
            <w:vAlign w:val="center"/>
          </w:tcPr>
          <w:p w14:paraId="5CDD5E37">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备注</w:t>
            </w:r>
          </w:p>
        </w:tc>
      </w:tr>
      <w:tr w14:paraId="4EEB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vAlign w:val="center"/>
          </w:tcPr>
          <w:p w14:paraId="11D59788">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1</w:t>
            </w:r>
          </w:p>
        </w:tc>
        <w:tc>
          <w:tcPr>
            <w:tcW w:w="2033" w:type="dxa"/>
            <w:vAlign w:val="center"/>
          </w:tcPr>
          <w:p w14:paraId="4A22EA69">
            <w:pPr>
              <w:widowControl/>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A：客房清洁</w:t>
            </w:r>
          </w:p>
        </w:tc>
        <w:tc>
          <w:tcPr>
            <w:tcW w:w="777" w:type="dxa"/>
            <w:vAlign w:val="center"/>
          </w:tcPr>
          <w:p w14:paraId="3887AC37">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间</w:t>
            </w:r>
          </w:p>
        </w:tc>
        <w:tc>
          <w:tcPr>
            <w:tcW w:w="888" w:type="dxa"/>
            <w:vAlign w:val="center"/>
          </w:tcPr>
          <w:p w14:paraId="47E68D4D">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u w:val="single"/>
              </w:rPr>
              <w:t xml:space="preserve">    </w:t>
            </w:r>
            <w:r>
              <w:rPr>
                <w:rFonts w:hint="eastAsia" w:asciiTheme="minorEastAsia" w:hAnsiTheme="minorEastAsia" w:eastAsiaTheme="minorEastAsia" w:cstheme="minorEastAsia"/>
                <w:kern w:val="0"/>
                <w:szCs w:val="22"/>
              </w:rPr>
              <w:t>%</w:t>
            </w:r>
          </w:p>
        </w:tc>
        <w:tc>
          <w:tcPr>
            <w:tcW w:w="2615" w:type="dxa"/>
            <w:vAlign w:val="center"/>
          </w:tcPr>
          <w:p w14:paraId="72C79C36">
            <w:pPr>
              <w:widowControl/>
              <w:jc w:val="right"/>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（元/间）</w:t>
            </w:r>
          </w:p>
        </w:tc>
        <w:tc>
          <w:tcPr>
            <w:tcW w:w="2615" w:type="dxa"/>
            <w:vAlign w:val="center"/>
          </w:tcPr>
          <w:p w14:paraId="6EC0AA44">
            <w:pPr>
              <w:widowControl/>
              <w:jc w:val="right"/>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（元/间）</w:t>
            </w:r>
          </w:p>
        </w:tc>
        <w:tc>
          <w:tcPr>
            <w:tcW w:w="2702" w:type="dxa"/>
            <w:vAlign w:val="center"/>
          </w:tcPr>
          <w:p w14:paraId="7050ED35">
            <w:pPr>
              <w:widowControl/>
              <w:jc w:val="right"/>
              <w:rPr>
                <w:rFonts w:hint="eastAsia" w:asciiTheme="minorEastAsia" w:hAnsiTheme="minorEastAsia" w:eastAsiaTheme="minorEastAsia" w:cstheme="minorEastAsia"/>
                <w:b/>
                <w:bCs/>
                <w:kern w:val="0"/>
                <w:szCs w:val="22"/>
                <w:u w:val="single"/>
              </w:rPr>
            </w:pPr>
            <w:r>
              <w:rPr>
                <w:rFonts w:hint="eastAsia" w:asciiTheme="minorEastAsia" w:hAnsiTheme="minorEastAsia" w:eastAsiaTheme="minorEastAsia" w:cstheme="minorEastAsia"/>
                <w:b/>
                <w:bCs/>
                <w:kern w:val="0"/>
                <w:szCs w:val="22"/>
                <w:u w:val="single"/>
              </w:rPr>
              <w:t>29.5（元/间）</w:t>
            </w:r>
          </w:p>
        </w:tc>
        <w:tc>
          <w:tcPr>
            <w:tcW w:w="2261" w:type="dxa"/>
            <w:vAlign w:val="center"/>
          </w:tcPr>
          <w:p w14:paraId="6BA909DB">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法定节假日双倍工资</w:t>
            </w:r>
          </w:p>
        </w:tc>
      </w:tr>
      <w:tr w14:paraId="1D61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vAlign w:val="center"/>
          </w:tcPr>
          <w:p w14:paraId="4E60B48F">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2</w:t>
            </w:r>
          </w:p>
        </w:tc>
        <w:tc>
          <w:tcPr>
            <w:tcW w:w="2033" w:type="dxa"/>
            <w:vAlign w:val="center"/>
          </w:tcPr>
          <w:p w14:paraId="6EFBA006">
            <w:pPr>
              <w:widowControl/>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B：PA主管</w:t>
            </w:r>
          </w:p>
        </w:tc>
        <w:tc>
          <w:tcPr>
            <w:tcW w:w="777" w:type="dxa"/>
            <w:vAlign w:val="center"/>
          </w:tcPr>
          <w:p w14:paraId="4636EA5C">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小时</w:t>
            </w:r>
          </w:p>
        </w:tc>
        <w:tc>
          <w:tcPr>
            <w:tcW w:w="888" w:type="dxa"/>
            <w:vAlign w:val="center"/>
          </w:tcPr>
          <w:p w14:paraId="43C99FB7">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u w:val="single"/>
              </w:rPr>
              <w:t xml:space="preserve">    </w:t>
            </w:r>
            <w:r>
              <w:rPr>
                <w:rFonts w:hint="eastAsia" w:asciiTheme="minorEastAsia" w:hAnsiTheme="minorEastAsia" w:eastAsiaTheme="minorEastAsia" w:cstheme="minorEastAsia"/>
                <w:kern w:val="0"/>
                <w:szCs w:val="22"/>
              </w:rPr>
              <w:t>%</w:t>
            </w:r>
          </w:p>
        </w:tc>
        <w:tc>
          <w:tcPr>
            <w:tcW w:w="2615" w:type="dxa"/>
            <w:vAlign w:val="center"/>
          </w:tcPr>
          <w:p w14:paraId="29011695">
            <w:pPr>
              <w:widowControl/>
              <w:jc w:val="right"/>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（元/小时）</w:t>
            </w:r>
          </w:p>
        </w:tc>
        <w:tc>
          <w:tcPr>
            <w:tcW w:w="2615" w:type="dxa"/>
            <w:vAlign w:val="center"/>
          </w:tcPr>
          <w:p w14:paraId="29CC2992">
            <w:pPr>
              <w:widowControl/>
              <w:jc w:val="right"/>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（元/小时）</w:t>
            </w:r>
          </w:p>
        </w:tc>
        <w:tc>
          <w:tcPr>
            <w:tcW w:w="2702" w:type="dxa"/>
            <w:vAlign w:val="center"/>
          </w:tcPr>
          <w:p w14:paraId="18639EE8">
            <w:pPr>
              <w:widowControl/>
              <w:jc w:val="right"/>
              <w:rPr>
                <w:rFonts w:hint="eastAsia" w:asciiTheme="minorEastAsia" w:hAnsiTheme="minorEastAsia" w:eastAsiaTheme="minorEastAsia" w:cstheme="minorEastAsia"/>
                <w:b/>
                <w:bCs/>
                <w:kern w:val="0"/>
                <w:szCs w:val="22"/>
                <w:u w:val="single"/>
              </w:rPr>
            </w:pPr>
            <w:r>
              <w:rPr>
                <w:rFonts w:hint="eastAsia" w:asciiTheme="minorEastAsia" w:hAnsiTheme="minorEastAsia" w:eastAsiaTheme="minorEastAsia" w:cstheme="minorEastAsia"/>
                <w:b/>
                <w:bCs/>
                <w:kern w:val="0"/>
                <w:szCs w:val="22"/>
                <w:u w:val="single"/>
              </w:rPr>
              <w:t>38（元/小时）</w:t>
            </w:r>
          </w:p>
        </w:tc>
        <w:tc>
          <w:tcPr>
            <w:tcW w:w="2261" w:type="dxa"/>
            <w:vAlign w:val="center"/>
          </w:tcPr>
          <w:p w14:paraId="40D3EE17">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法定节假日双倍工资</w:t>
            </w:r>
          </w:p>
        </w:tc>
      </w:tr>
      <w:tr w14:paraId="49F5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vAlign w:val="center"/>
          </w:tcPr>
          <w:p w14:paraId="4C9A105C">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3</w:t>
            </w:r>
          </w:p>
        </w:tc>
        <w:tc>
          <w:tcPr>
            <w:tcW w:w="2033" w:type="dxa"/>
            <w:vAlign w:val="center"/>
          </w:tcPr>
          <w:p w14:paraId="4D726C97">
            <w:pPr>
              <w:widowControl/>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C：PA技工</w:t>
            </w:r>
          </w:p>
        </w:tc>
        <w:tc>
          <w:tcPr>
            <w:tcW w:w="777" w:type="dxa"/>
            <w:vAlign w:val="center"/>
          </w:tcPr>
          <w:p w14:paraId="39BCCE86">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小时</w:t>
            </w:r>
          </w:p>
        </w:tc>
        <w:tc>
          <w:tcPr>
            <w:tcW w:w="888" w:type="dxa"/>
            <w:vAlign w:val="center"/>
          </w:tcPr>
          <w:p w14:paraId="1B4BB336">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u w:val="single"/>
              </w:rPr>
              <w:t xml:space="preserve">    </w:t>
            </w:r>
            <w:r>
              <w:rPr>
                <w:rFonts w:hint="eastAsia" w:asciiTheme="minorEastAsia" w:hAnsiTheme="minorEastAsia" w:eastAsiaTheme="minorEastAsia" w:cstheme="minorEastAsia"/>
                <w:kern w:val="0"/>
                <w:szCs w:val="22"/>
              </w:rPr>
              <w:t>%</w:t>
            </w:r>
          </w:p>
        </w:tc>
        <w:tc>
          <w:tcPr>
            <w:tcW w:w="2615" w:type="dxa"/>
            <w:vAlign w:val="center"/>
          </w:tcPr>
          <w:p w14:paraId="4226F1DD">
            <w:pPr>
              <w:widowControl/>
              <w:jc w:val="right"/>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（元/小时）</w:t>
            </w:r>
          </w:p>
        </w:tc>
        <w:tc>
          <w:tcPr>
            <w:tcW w:w="2615" w:type="dxa"/>
            <w:vAlign w:val="center"/>
          </w:tcPr>
          <w:p w14:paraId="6B197D8E">
            <w:pPr>
              <w:widowControl/>
              <w:jc w:val="right"/>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（元/小时）</w:t>
            </w:r>
          </w:p>
        </w:tc>
        <w:tc>
          <w:tcPr>
            <w:tcW w:w="2702" w:type="dxa"/>
            <w:vAlign w:val="center"/>
          </w:tcPr>
          <w:p w14:paraId="4BF29B5C">
            <w:pPr>
              <w:widowControl/>
              <w:jc w:val="right"/>
              <w:rPr>
                <w:rFonts w:hint="eastAsia" w:asciiTheme="minorEastAsia" w:hAnsiTheme="minorEastAsia" w:eastAsiaTheme="minorEastAsia" w:cstheme="minorEastAsia"/>
                <w:b/>
                <w:bCs/>
                <w:kern w:val="0"/>
                <w:szCs w:val="22"/>
                <w:u w:val="single"/>
              </w:rPr>
            </w:pPr>
            <w:r>
              <w:rPr>
                <w:rFonts w:hint="eastAsia" w:asciiTheme="minorEastAsia" w:hAnsiTheme="minorEastAsia" w:eastAsiaTheme="minorEastAsia" w:cstheme="minorEastAsia"/>
                <w:b/>
                <w:bCs/>
                <w:kern w:val="0"/>
                <w:szCs w:val="22"/>
                <w:u w:val="single"/>
              </w:rPr>
              <w:t>30.9（元/小时）</w:t>
            </w:r>
          </w:p>
        </w:tc>
        <w:tc>
          <w:tcPr>
            <w:tcW w:w="2261" w:type="dxa"/>
            <w:vAlign w:val="center"/>
          </w:tcPr>
          <w:p w14:paraId="353EEC1E">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法定节假日双倍工资</w:t>
            </w:r>
          </w:p>
        </w:tc>
      </w:tr>
      <w:tr w14:paraId="21C2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vAlign w:val="center"/>
          </w:tcPr>
          <w:p w14:paraId="598B4F72">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4</w:t>
            </w:r>
          </w:p>
        </w:tc>
        <w:tc>
          <w:tcPr>
            <w:tcW w:w="2033" w:type="dxa"/>
            <w:vAlign w:val="center"/>
          </w:tcPr>
          <w:p w14:paraId="50739E48">
            <w:pPr>
              <w:widowControl/>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D：PA保洁员、管事小时工、餐厅小时工</w:t>
            </w:r>
          </w:p>
        </w:tc>
        <w:tc>
          <w:tcPr>
            <w:tcW w:w="777" w:type="dxa"/>
            <w:vAlign w:val="center"/>
          </w:tcPr>
          <w:p w14:paraId="7E8C1023">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小时</w:t>
            </w:r>
          </w:p>
        </w:tc>
        <w:tc>
          <w:tcPr>
            <w:tcW w:w="888" w:type="dxa"/>
            <w:vAlign w:val="center"/>
          </w:tcPr>
          <w:p w14:paraId="5E5402B4">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u w:val="single"/>
              </w:rPr>
              <w:t xml:space="preserve">    </w:t>
            </w:r>
            <w:r>
              <w:rPr>
                <w:rFonts w:hint="eastAsia" w:asciiTheme="minorEastAsia" w:hAnsiTheme="minorEastAsia" w:eastAsiaTheme="minorEastAsia" w:cstheme="minorEastAsia"/>
                <w:kern w:val="0"/>
                <w:szCs w:val="22"/>
              </w:rPr>
              <w:t>%</w:t>
            </w:r>
          </w:p>
        </w:tc>
        <w:tc>
          <w:tcPr>
            <w:tcW w:w="2615" w:type="dxa"/>
            <w:vAlign w:val="center"/>
          </w:tcPr>
          <w:p w14:paraId="57F8941F">
            <w:pPr>
              <w:widowControl/>
              <w:jc w:val="right"/>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（元/小时）</w:t>
            </w:r>
          </w:p>
        </w:tc>
        <w:tc>
          <w:tcPr>
            <w:tcW w:w="2615" w:type="dxa"/>
            <w:vAlign w:val="center"/>
          </w:tcPr>
          <w:p w14:paraId="76575634">
            <w:pPr>
              <w:widowControl/>
              <w:jc w:val="right"/>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（元/小时）</w:t>
            </w:r>
          </w:p>
        </w:tc>
        <w:tc>
          <w:tcPr>
            <w:tcW w:w="2702" w:type="dxa"/>
            <w:vAlign w:val="center"/>
          </w:tcPr>
          <w:p w14:paraId="0F930D24">
            <w:pPr>
              <w:widowControl/>
              <w:jc w:val="right"/>
              <w:rPr>
                <w:rFonts w:hint="eastAsia" w:asciiTheme="minorEastAsia" w:hAnsiTheme="minorEastAsia" w:eastAsiaTheme="minorEastAsia" w:cstheme="minorEastAsia"/>
                <w:b/>
                <w:bCs/>
                <w:kern w:val="0"/>
                <w:szCs w:val="22"/>
                <w:u w:val="single"/>
              </w:rPr>
            </w:pPr>
            <w:r>
              <w:rPr>
                <w:rFonts w:hint="eastAsia" w:asciiTheme="minorEastAsia" w:hAnsiTheme="minorEastAsia" w:eastAsiaTheme="minorEastAsia" w:cstheme="minorEastAsia"/>
                <w:b/>
                <w:bCs/>
                <w:kern w:val="0"/>
                <w:szCs w:val="22"/>
                <w:u w:val="single"/>
              </w:rPr>
              <w:t>29（元/小时）</w:t>
            </w:r>
          </w:p>
        </w:tc>
        <w:tc>
          <w:tcPr>
            <w:tcW w:w="2261" w:type="dxa"/>
            <w:vAlign w:val="center"/>
          </w:tcPr>
          <w:p w14:paraId="176BE87C">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法定节假日双倍工资</w:t>
            </w:r>
          </w:p>
        </w:tc>
      </w:tr>
    </w:tbl>
    <w:p w14:paraId="424E7DE9">
      <w:p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说明：</w:t>
      </w:r>
    </w:p>
    <w:p w14:paraId="5841216B">
      <w:pPr>
        <w:spacing w:line="38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1.投标报价包含的内容详见投标人须知第12条及合同中的规定。税率由投标人根据自身情况如实填写。</w:t>
      </w:r>
    </w:p>
    <w:p w14:paraId="55ABF48A">
      <w:pPr>
        <w:spacing w:line="38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w:t>
      </w:r>
      <w:r>
        <w:rPr>
          <w:rFonts w:hint="eastAsia" w:ascii="宋体" w:hAnsi="宋体" w:cs="宋体"/>
          <w:b/>
          <w:bCs/>
          <w:sz w:val="22"/>
          <w:szCs w:val="22"/>
          <w:u w:val="single"/>
        </w:rPr>
        <w:t>▲投标人关于A--D项含税综合单价报价中，任一一项报价超过相应综合单价最高限价的作无效标处理</w:t>
      </w:r>
      <w:r>
        <w:rPr>
          <w:rFonts w:hint="eastAsia" w:ascii="宋体" w:hAnsi="宋体" w:cs="宋体"/>
          <w:b/>
          <w:bCs/>
          <w:sz w:val="22"/>
          <w:u w:val="single"/>
        </w:rPr>
        <w:t>。</w:t>
      </w:r>
    </w:p>
    <w:p w14:paraId="40D136D6">
      <w:pPr>
        <w:spacing w:line="380" w:lineRule="exact"/>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3.</w:t>
      </w:r>
      <w:r>
        <w:rPr>
          <w:rFonts w:hint="eastAsia" w:asciiTheme="minorEastAsia" w:hAnsiTheme="minorEastAsia" w:eastAsiaTheme="minorEastAsia" w:cstheme="minorEastAsia"/>
          <w:b/>
          <w:sz w:val="22"/>
          <w:szCs w:val="22"/>
          <w:u w:val="single"/>
        </w:rPr>
        <w:t>▲不提供开标一览表的投标文件将被视为未实质性响应采购文件</w:t>
      </w:r>
      <w:r>
        <w:rPr>
          <w:rFonts w:hint="eastAsia" w:asciiTheme="minorEastAsia" w:hAnsiTheme="minorEastAsia" w:eastAsiaTheme="minorEastAsia" w:cstheme="minorEastAsia"/>
          <w:sz w:val="22"/>
        </w:rPr>
        <w:t>。</w:t>
      </w:r>
    </w:p>
    <w:p w14:paraId="35318E61">
      <w:pPr>
        <w:pStyle w:val="13"/>
        <w:rPr>
          <w:rFonts w:hint="eastAsia" w:asciiTheme="minorEastAsia" w:hAnsiTheme="minorEastAsia" w:eastAsiaTheme="minorEastAsia" w:cstheme="minorEastAsia"/>
        </w:rPr>
      </w:pPr>
    </w:p>
    <w:p w14:paraId="492FE286">
      <w:pPr>
        <w:spacing w:line="380" w:lineRule="exact"/>
        <w:rPr>
          <w:rFonts w:hint="eastAsia" w:asciiTheme="minorEastAsia" w:hAnsiTheme="minorEastAsia" w:eastAsiaTheme="minorEastAsia" w:cstheme="minorEastAsia"/>
          <w:sz w:val="22"/>
        </w:rPr>
      </w:pPr>
    </w:p>
    <w:p w14:paraId="4D120CDD">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投标人全称（盖公章）：</w:t>
      </w:r>
    </w:p>
    <w:p w14:paraId="4884607D">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法定代表人或授权代表（签字或盖章）：</w:t>
      </w:r>
    </w:p>
    <w:p w14:paraId="19766BF6">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日期：</w:t>
      </w:r>
    </w:p>
    <w:p w14:paraId="31D2531A">
      <w:pPr>
        <w:spacing w:line="360" w:lineRule="auto"/>
        <w:rPr>
          <w:rFonts w:hint="eastAsia" w:asciiTheme="minorEastAsia" w:hAnsiTheme="minorEastAsia" w:eastAsiaTheme="minorEastAsia" w:cstheme="minorEastAsia"/>
          <w:sz w:val="22"/>
          <w:szCs w:val="22"/>
        </w:rPr>
        <w:sectPr>
          <w:pgSz w:w="16838" w:h="11906" w:orient="landscape"/>
          <w:pgMar w:top="1463" w:right="1440" w:bottom="1463" w:left="1440" w:header="737" w:footer="709" w:gutter="0"/>
          <w:cols w:space="0" w:num="1"/>
          <w:docGrid w:type="lines" w:linePitch="320" w:charSpace="0"/>
        </w:sectPr>
      </w:pPr>
    </w:p>
    <w:p w14:paraId="190B91AF">
      <w:pPr>
        <w:keepLines/>
        <w:numPr>
          <w:ilvl w:val="0"/>
          <w:numId w:val="25"/>
        </w:numPr>
        <w:spacing w:before="260" w:after="260"/>
        <w:jc w:val="center"/>
        <w:outlineLvl w:val="1"/>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采购内容及要求</w:t>
      </w:r>
      <w:bookmarkEnd w:id="118"/>
      <w:bookmarkEnd w:id="119"/>
      <w:bookmarkEnd w:id="120"/>
      <w:bookmarkEnd w:id="121"/>
      <w:bookmarkEnd w:id="122"/>
    </w:p>
    <w:p w14:paraId="6BE0ACC8">
      <w:pPr>
        <w:numPr>
          <w:ilvl w:val="0"/>
          <w:numId w:val="28"/>
        </w:numPr>
        <w:spacing w:line="360" w:lineRule="auto"/>
        <w:outlineLvl w:val="0"/>
        <w:rPr>
          <w:rFonts w:hint="eastAsia" w:asciiTheme="minorEastAsia" w:hAnsiTheme="minorEastAsia" w:eastAsiaTheme="minorEastAsia" w:cstheme="minorEastAsia"/>
          <w:b/>
          <w:bCs/>
          <w:sz w:val="22"/>
          <w:szCs w:val="22"/>
        </w:rPr>
      </w:pPr>
      <w:bookmarkStart w:id="131" w:name="_Toc40265614"/>
      <w:bookmarkStart w:id="132" w:name="_Toc25270"/>
      <w:bookmarkStart w:id="133" w:name="_Toc40265646"/>
      <w:r>
        <w:rPr>
          <w:rFonts w:hint="eastAsia" w:asciiTheme="minorEastAsia" w:hAnsiTheme="minorEastAsia" w:eastAsiaTheme="minorEastAsia" w:cstheme="minorEastAsia"/>
          <w:b/>
          <w:bCs/>
          <w:sz w:val="22"/>
          <w:szCs w:val="22"/>
        </w:rPr>
        <w:t>项目概况</w:t>
      </w:r>
    </w:p>
    <w:p w14:paraId="25515611">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1.温州市交发文旅产业有限公司洞头酒店管理分公司拟就温州洞头丽笙酒店2026年劳务外包服务项目以公开招标方式进行采购。采购内容如下：</w:t>
      </w:r>
    </w:p>
    <w:tbl>
      <w:tblPr>
        <w:tblStyle w:val="29"/>
        <w:tblW w:w="93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79" w:type="dxa"/>
          <w:bottom w:w="0" w:type="dxa"/>
          <w:right w:w="79" w:type="dxa"/>
        </w:tblCellMar>
      </w:tblPr>
      <w:tblGrid>
        <w:gridCol w:w="547"/>
        <w:gridCol w:w="2847"/>
        <w:gridCol w:w="1115"/>
        <w:gridCol w:w="1128"/>
        <w:gridCol w:w="1572"/>
        <w:gridCol w:w="2164"/>
      </w:tblGrid>
      <w:tr w14:paraId="34840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9" w:type="dxa"/>
            <w:bottom w:w="0" w:type="dxa"/>
            <w:right w:w="79" w:type="dxa"/>
          </w:tblCellMar>
        </w:tblPrEx>
        <w:trPr>
          <w:trHeight w:val="544" w:hRule="atLeast"/>
          <w:jc w:val="center"/>
        </w:trPr>
        <w:tc>
          <w:tcPr>
            <w:tcW w:w="547" w:type="dxa"/>
            <w:tcBorders>
              <w:tl2br w:val="nil"/>
              <w:tr2bl w:val="nil"/>
            </w:tcBorders>
            <w:vAlign w:val="center"/>
          </w:tcPr>
          <w:p w14:paraId="3C5F82BF">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序号</w:t>
            </w:r>
          </w:p>
        </w:tc>
        <w:tc>
          <w:tcPr>
            <w:tcW w:w="2847" w:type="dxa"/>
            <w:tcBorders>
              <w:tl2br w:val="nil"/>
              <w:tr2bl w:val="nil"/>
            </w:tcBorders>
            <w:vAlign w:val="center"/>
          </w:tcPr>
          <w:p w14:paraId="3727B88C">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项目名称</w:t>
            </w:r>
          </w:p>
        </w:tc>
        <w:tc>
          <w:tcPr>
            <w:tcW w:w="1115" w:type="dxa"/>
            <w:tcBorders>
              <w:tl2br w:val="nil"/>
              <w:tr2bl w:val="nil"/>
            </w:tcBorders>
            <w:vAlign w:val="center"/>
          </w:tcPr>
          <w:p w14:paraId="09DFA090">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数量</w:t>
            </w:r>
          </w:p>
        </w:tc>
        <w:tc>
          <w:tcPr>
            <w:tcW w:w="1128" w:type="dxa"/>
            <w:tcBorders>
              <w:tl2br w:val="nil"/>
              <w:tr2bl w:val="nil"/>
            </w:tcBorders>
            <w:vAlign w:val="center"/>
          </w:tcPr>
          <w:p w14:paraId="631F75A6">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单位</w:t>
            </w:r>
          </w:p>
        </w:tc>
        <w:tc>
          <w:tcPr>
            <w:tcW w:w="1572" w:type="dxa"/>
            <w:tcBorders>
              <w:tl2br w:val="nil"/>
              <w:tr2bl w:val="nil"/>
            </w:tcBorders>
            <w:vAlign w:val="center"/>
          </w:tcPr>
          <w:p w14:paraId="48F14A21">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预算金额</w:t>
            </w:r>
          </w:p>
        </w:tc>
        <w:tc>
          <w:tcPr>
            <w:tcW w:w="2164" w:type="dxa"/>
            <w:tcBorders>
              <w:tl2br w:val="nil"/>
              <w:tr2bl w:val="nil"/>
            </w:tcBorders>
            <w:vAlign w:val="center"/>
          </w:tcPr>
          <w:p w14:paraId="6BB5B23F">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kern w:val="0"/>
                <w:sz w:val="18"/>
                <w:szCs w:val="18"/>
              </w:rPr>
              <w:t>服务期限</w:t>
            </w:r>
          </w:p>
        </w:tc>
      </w:tr>
      <w:tr w14:paraId="2929A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9" w:type="dxa"/>
            <w:bottom w:w="0" w:type="dxa"/>
            <w:right w:w="79" w:type="dxa"/>
          </w:tblCellMar>
        </w:tblPrEx>
        <w:trPr>
          <w:trHeight w:val="850" w:hRule="atLeast"/>
          <w:jc w:val="center"/>
        </w:trPr>
        <w:tc>
          <w:tcPr>
            <w:tcW w:w="547" w:type="dxa"/>
            <w:tcBorders>
              <w:tl2br w:val="nil"/>
              <w:tr2bl w:val="nil"/>
            </w:tcBorders>
            <w:vAlign w:val="center"/>
          </w:tcPr>
          <w:p w14:paraId="4835F3F3">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847" w:type="dxa"/>
            <w:tcBorders>
              <w:tl2br w:val="nil"/>
              <w:tr2bl w:val="nil"/>
            </w:tcBorders>
            <w:vAlign w:val="center"/>
          </w:tcPr>
          <w:p w14:paraId="58DC9C93">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温州洞头丽笙酒店2026年劳务外包服务</w:t>
            </w:r>
          </w:p>
        </w:tc>
        <w:tc>
          <w:tcPr>
            <w:tcW w:w="1115" w:type="dxa"/>
            <w:tcBorders>
              <w:tl2br w:val="nil"/>
              <w:tr2bl w:val="nil"/>
            </w:tcBorders>
            <w:vAlign w:val="center"/>
          </w:tcPr>
          <w:p w14:paraId="226F9171">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128" w:type="dxa"/>
            <w:tcBorders>
              <w:tl2br w:val="nil"/>
              <w:tr2bl w:val="nil"/>
            </w:tcBorders>
            <w:vAlign w:val="center"/>
          </w:tcPr>
          <w:p w14:paraId="2D2B4DF4">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项</w:t>
            </w:r>
          </w:p>
        </w:tc>
        <w:tc>
          <w:tcPr>
            <w:tcW w:w="1572" w:type="dxa"/>
            <w:tcBorders>
              <w:tl2br w:val="nil"/>
              <w:tr2bl w:val="nil"/>
            </w:tcBorders>
            <w:vAlign w:val="center"/>
          </w:tcPr>
          <w:p w14:paraId="715A626E">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80万元</w:t>
            </w:r>
          </w:p>
        </w:tc>
        <w:tc>
          <w:tcPr>
            <w:tcW w:w="2164" w:type="dxa"/>
            <w:tcBorders>
              <w:tl2br w:val="nil"/>
              <w:tr2bl w:val="nil"/>
            </w:tcBorders>
            <w:vAlign w:val="center"/>
          </w:tcPr>
          <w:p w14:paraId="337EF92B">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18"/>
                <w:szCs w:val="18"/>
              </w:rPr>
              <w:t>1年</w:t>
            </w:r>
          </w:p>
        </w:tc>
      </w:tr>
    </w:tbl>
    <w:p w14:paraId="3EDDE22A">
      <w:pPr>
        <w:spacing w:line="400" w:lineRule="exact"/>
        <w:ind w:firstLine="440" w:firstLineChars="200"/>
        <w:rPr>
          <w:rFonts w:hint="eastAsia" w:asciiTheme="minorEastAsia" w:hAnsiTheme="minorEastAsia" w:eastAsiaTheme="minorEastAsia" w:cstheme="minorEastAsia"/>
          <w:sz w:val="22"/>
          <w:szCs w:val="22"/>
        </w:rPr>
      </w:pPr>
    </w:p>
    <w:p w14:paraId="613A3BF3">
      <w:pPr>
        <w:spacing w:line="40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2.服务岗位及综合单价最高限价：</w:t>
      </w:r>
    </w:p>
    <w:tbl>
      <w:tblPr>
        <w:tblStyle w:val="2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01"/>
        <w:gridCol w:w="845"/>
        <w:gridCol w:w="911"/>
        <w:gridCol w:w="2666"/>
        <w:gridCol w:w="2123"/>
      </w:tblGrid>
      <w:tr w14:paraId="0A1D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121AB930">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序号</w:t>
            </w:r>
          </w:p>
        </w:tc>
        <w:tc>
          <w:tcPr>
            <w:tcW w:w="2101" w:type="dxa"/>
            <w:vAlign w:val="center"/>
          </w:tcPr>
          <w:p w14:paraId="263F2D19">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岗位名称</w:t>
            </w:r>
          </w:p>
        </w:tc>
        <w:tc>
          <w:tcPr>
            <w:tcW w:w="845" w:type="dxa"/>
            <w:vAlign w:val="center"/>
          </w:tcPr>
          <w:p w14:paraId="60B1D692">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单位</w:t>
            </w:r>
          </w:p>
        </w:tc>
        <w:tc>
          <w:tcPr>
            <w:tcW w:w="911" w:type="dxa"/>
            <w:vAlign w:val="center"/>
          </w:tcPr>
          <w:p w14:paraId="21818B9D">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税率</w:t>
            </w:r>
          </w:p>
        </w:tc>
        <w:tc>
          <w:tcPr>
            <w:tcW w:w="2666" w:type="dxa"/>
            <w:vAlign w:val="center"/>
          </w:tcPr>
          <w:p w14:paraId="01D5C115">
            <w:pPr>
              <w:widowControl/>
              <w:jc w:val="center"/>
              <w:rPr>
                <w:rFonts w:hint="eastAsia" w:asciiTheme="minorEastAsia" w:hAnsiTheme="minorEastAsia" w:eastAsiaTheme="minorEastAsia" w:cstheme="minorEastAsia"/>
                <w:kern w:val="0"/>
                <w:szCs w:val="22"/>
              </w:rPr>
            </w:pPr>
            <w:r>
              <w:rPr>
                <w:rFonts w:hint="eastAsia" w:ascii="宋体" w:hAnsi="宋体" w:cs="宋体"/>
                <w:b/>
                <w:bCs/>
                <w:kern w:val="0"/>
                <w:szCs w:val="22"/>
                <w:u w:val="single"/>
              </w:rPr>
              <w:t>▲</w:t>
            </w:r>
            <w:r>
              <w:rPr>
                <w:rFonts w:hint="eastAsia" w:asciiTheme="minorEastAsia" w:hAnsiTheme="minorEastAsia" w:eastAsiaTheme="minorEastAsia" w:cstheme="minorEastAsia"/>
                <w:b/>
                <w:bCs/>
                <w:kern w:val="0"/>
                <w:szCs w:val="22"/>
                <w:u w:val="single"/>
              </w:rPr>
              <w:t>含税综合单价最高限价</w:t>
            </w:r>
          </w:p>
        </w:tc>
        <w:tc>
          <w:tcPr>
            <w:tcW w:w="2123" w:type="dxa"/>
            <w:vAlign w:val="center"/>
          </w:tcPr>
          <w:p w14:paraId="005CFB34">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备注</w:t>
            </w:r>
          </w:p>
        </w:tc>
      </w:tr>
      <w:tr w14:paraId="6111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305CEEA3">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1</w:t>
            </w:r>
          </w:p>
        </w:tc>
        <w:tc>
          <w:tcPr>
            <w:tcW w:w="2101" w:type="dxa"/>
            <w:vAlign w:val="center"/>
          </w:tcPr>
          <w:p w14:paraId="783BB199">
            <w:pPr>
              <w:widowControl/>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A：客房清洁</w:t>
            </w:r>
          </w:p>
        </w:tc>
        <w:tc>
          <w:tcPr>
            <w:tcW w:w="845" w:type="dxa"/>
            <w:vAlign w:val="center"/>
          </w:tcPr>
          <w:p w14:paraId="25192385">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间</w:t>
            </w:r>
          </w:p>
        </w:tc>
        <w:tc>
          <w:tcPr>
            <w:tcW w:w="911" w:type="dxa"/>
            <w:vAlign w:val="center"/>
          </w:tcPr>
          <w:p w14:paraId="50747AF5">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u w:val="single"/>
              </w:rPr>
              <w:t xml:space="preserve">    </w:t>
            </w:r>
            <w:r>
              <w:rPr>
                <w:rFonts w:hint="eastAsia" w:asciiTheme="minorEastAsia" w:hAnsiTheme="minorEastAsia" w:eastAsiaTheme="minorEastAsia" w:cstheme="minorEastAsia"/>
                <w:kern w:val="0"/>
                <w:szCs w:val="22"/>
              </w:rPr>
              <w:t>%</w:t>
            </w:r>
          </w:p>
        </w:tc>
        <w:tc>
          <w:tcPr>
            <w:tcW w:w="2666" w:type="dxa"/>
            <w:vAlign w:val="center"/>
          </w:tcPr>
          <w:p w14:paraId="1F9DFA73">
            <w:pPr>
              <w:widowControl/>
              <w:jc w:val="center"/>
              <w:rPr>
                <w:rFonts w:hint="eastAsia" w:asciiTheme="minorEastAsia" w:hAnsiTheme="minorEastAsia" w:eastAsiaTheme="minorEastAsia" w:cstheme="minorEastAsia"/>
                <w:b/>
                <w:bCs/>
                <w:kern w:val="0"/>
                <w:szCs w:val="22"/>
                <w:u w:val="single"/>
              </w:rPr>
            </w:pPr>
            <w:r>
              <w:rPr>
                <w:rFonts w:hint="eastAsia" w:asciiTheme="minorEastAsia" w:hAnsiTheme="minorEastAsia" w:eastAsiaTheme="minorEastAsia" w:cstheme="minorEastAsia"/>
                <w:b/>
                <w:bCs/>
                <w:kern w:val="0"/>
                <w:szCs w:val="22"/>
                <w:u w:val="single"/>
              </w:rPr>
              <w:t>29.5（元/间）</w:t>
            </w:r>
          </w:p>
        </w:tc>
        <w:tc>
          <w:tcPr>
            <w:tcW w:w="2123" w:type="dxa"/>
            <w:vAlign w:val="center"/>
          </w:tcPr>
          <w:p w14:paraId="0A9DC168">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法定节假日双倍工资</w:t>
            </w:r>
          </w:p>
        </w:tc>
      </w:tr>
      <w:tr w14:paraId="02E7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746A19B0">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2</w:t>
            </w:r>
          </w:p>
        </w:tc>
        <w:tc>
          <w:tcPr>
            <w:tcW w:w="2101" w:type="dxa"/>
            <w:vAlign w:val="center"/>
          </w:tcPr>
          <w:p w14:paraId="25686A47">
            <w:pPr>
              <w:widowControl/>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B：PA主管</w:t>
            </w:r>
          </w:p>
        </w:tc>
        <w:tc>
          <w:tcPr>
            <w:tcW w:w="845" w:type="dxa"/>
            <w:vAlign w:val="center"/>
          </w:tcPr>
          <w:p w14:paraId="31C1EAA7">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小时</w:t>
            </w:r>
          </w:p>
        </w:tc>
        <w:tc>
          <w:tcPr>
            <w:tcW w:w="911" w:type="dxa"/>
            <w:vAlign w:val="center"/>
          </w:tcPr>
          <w:p w14:paraId="7753DFBB">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u w:val="single"/>
              </w:rPr>
              <w:t xml:space="preserve">    </w:t>
            </w:r>
            <w:r>
              <w:rPr>
                <w:rFonts w:hint="eastAsia" w:asciiTheme="minorEastAsia" w:hAnsiTheme="minorEastAsia" w:eastAsiaTheme="minorEastAsia" w:cstheme="minorEastAsia"/>
                <w:kern w:val="0"/>
                <w:szCs w:val="22"/>
              </w:rPr>
              <w:t>%</w:t>
            </w:r>
          </w:p>
        </w:tc>
        <w:tc>
          <w:tcPr>
            <w:tcW w:w="2666" w:type="dxa"/>
            <w:vAlign w:val="center"/>
          </w:tcPr>
          <w:p w14:paraId="67BB0BAE">
            <w:pPr>
              <w:widowControl/>
              <w:jc w:val="center"/>
              <w:rPr>
                <w:rFonts w:hint="eastAsia" w:asciiTheme="minorEastAsia" w:hAnsiTheme="minorEastAsia" w:eastAsiaTheme="minorEastAsia" w:cstheme="minorEastAsia"/>
                <w:b/>
                <w:bCs/>
                <w:kern w:val="0"/>
                <w:szCs w:val="22"/>
                <w:u w:val="single"/>
              </w:rPr>
            </w:pPr>
            <w:r>
              <w:rPr>
                <w:rFonts w:hint="eastAsia" w:asciiTheme="minorEastAsia" w:hAnsiTheme="minorEastAsia" w:eastAsiaTheme="minorEastAsia" w:cstheme="minorEastAsia"/>
                <w:b/>
                <w:bCs/>
                <w:kern w:val="0"/>
                <w:szCs w:val="22"/>
                <w:u w:val="single"/>
              </w:rPr>
              <w:t>38（元/小时）</w:t>
            </w:r>
          </w:p>
        </w:tc>
        <w:tc>
          <w:tcPr>
            <w:tcW w:w="2123" w:type="dxa"/>
            <w:vAlign w:val="center"/>
          </w:tcPr>
          <w:p w14:paraId="0DBC1111">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法定节假日双倍工资</w:t>
            </w:r>
          </w:p>
        </w:tc>
      </w:tr>
      <w:tr w14:paraId="5CDE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0639D213">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3</w:t>
            </w:r>
          </w:p>
        </w:tc>
        <w:tc>
          <w:tcPr>
            <w:tcW w:w="2101" w:type="dxa"/>
            <w:vAlign w:val="center"/>
          </w:tcPr>
          <w:p w14:paraId="733CC405">
            <w:pPr>
              <w:widowControl/>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C：PA技工</w:t>
            </w:r>
          </w:p>
        </w:tc>
        <w:tc>
          <w:tcPr>
            <w:tcW w:w="845" w:type="dxa"/>
            <w:vAlign w:val="center"/>
          </w:tcPr>
          <w:p w14:paraId="7D38EF96">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小时</w:t>
            </w:r>
          </w:p>
        </w:tc>
        <w:tc>
          <w:tcPr>
            <w:tcW w:w="911" w:type="dxa"/>
            <w:vAlign w:val="center"/>
          </w:tcPr>
          <w:p w14:paraId="0C4C4143">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u w:val="single"/>
              </w:rPr>
              <w:t xml:space="preserve">    </w:t>
            </w:r>
            <w:r>
              <w:rPr>
                <w:rFonts w:hint="eastAsia" w:asciiTheme="minorEastAsia" w:hAnsiTheme="minorEastAsia" w:eastAsiaTheme="minorEastAsia" w:cstheme="minorEastAsia"/>
                <w:kern w:val="0"/>
                <w:szCs w:val="22"/>
              </w:rPr>
              <w:t>%</w:t>
            </w:r>
          </w:p>
        </w:tc>
        <w:tc>
          <w:tcPr>
            <w:tcW w:w="2666" w:type="dxa"/>
            <w:vAlign w:val="center"/>
          </w:tcPr>
          <w:p w14:paraId="64704CE1">
            <w:pPr>
              <w:widowControl/>
              <w:jc w:val="center"/>
              <w:rPr>
                <w:rFonts w:hint="eastAsia" w:asciiTheme="minorEastAsia" w:hAnsiTheme="minorEastAsia" w:eastAsiaTheme="minorEastAsia" w:cstheme="minorEastAsia"/>
                <w:b/>
                <w:bCs/>
                <w:kern w:val="0"/>
                <w:szCs w:val="22"/>
                <w:u w:val="single"/>
              </w:rPr>
            </w:pPr>
            <w:r>
              <w:rPr>
                <w:rFonts w:hint="eastAsia" w:asciiTheme="minorEastAsia" w:hAnsiTheme="minorEastAsia" w:eastAsiaTheme="minorEastAsia" w:cstheme="minorEastAsia"/>
                <w:b/>
                <w:bCs/>
                <w:kern w:val="0"/>
                <w:szCs w:val="22"/>
                <w:u w:val="single"/>
              </w:rPr>
              <w:t>30.9（元/小时）</w:t>
            </w:r>
          </w:p>
        </w:tc>
        <w:tc>
          <w:tcPr>
            <w:tcW w:w="2123" w:type="dxa"/>
            <w:vAlign w:val="center"/>
          </w:tcPr>
          <w:p w14:paraId="43422DA7">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法定节假日双倍工资</w:t>
            </w:r>
          </w:p>
        </w:tc>
      </w:tr>
      <w:tr w14:paraId="6DEF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542303F7">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4</w:t>
            </w:r>
          </w:p>
        </w:tc>
        <w:tc>
          <w:tcPr>
            <w:tcW w:w="2101" w:type="dxa"/>
            <w:vAlign w:val="center"/>
          </w:tcPr>
          <w:p w14:paraId="5E5C0FB1">
            <w:pPr>
              <w:widowControl/>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D：PA保洁员、管事小时工、餐厅小时工</w:t>
            </w:r>
          </w:p>
        </w:tc>
        <w:tc>
          <w:tcPr>
            <w:tcW w:w="845" w:type="dxa"/>
            <w:vAlign w:val="center"/>
          </w:tcPr>
          <w:p w14:paraId="0CD2E7E6">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小时</w:t>
            </w:r>
          </w:p>
        </w:tc>
        <w:tc>
          <w:tcPr>
            <w:tcW w:w="911" w:type="dxa"/>
            <w:vAlign w:val="center"/>
          </w:tcPr>
          <w:p w14:paraId="121719EE">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u w:val="single"/>
              </w:rPr>
              <w:t xml:space="preserve">    </w:t>
            </w:r>
            <w:r>
              <w:rPr>
                <w:rFonts w:hint="eastAsia" w:asciiTheme="minorEastAsia" w:hAnsiTheme="minorEastAsia" w:eastAsiaTheme="minorEastAsia" w:cstheme="minorEastAsia"/>
                <w:kern w:val="0"/>
                <w:szCs w:val="22"/>
              </w:rPr>
              <w:t>%</w:t>
            </w:r>
          </w:p>
        </w:tc>
        <w:tc>
          <w:tcPr>
            <w:tcW w:w="2666" w:type="dxa"/>
            <w:vAlign w:val="center"/>
          </w:tcPr>
          <w:p w14:paraId="1B4A7BDB">
            <w:pPr>
              <w:widowControl/>
              <w:jc w:val="center"/>
              <w:rPr>
                <w:rFonts w:hint="eastAsia" w:asciiTheme="minorEastAsia" w:hAnsiTheme="minorEastAsia" w:eastAsiaTheme="minorEastAsia" w:cstheme="minorEastAsia"/>
                <w:b/>
                <w:bCs/>
                <w:kern w:val="0"/>
                <w:szCs w:val="22"/>
                <w:u w:val="single"/>
              </w:rPr>
            </w:pPr>
            <w:r>
              <w:rPr>
                <w:rFonts w:hint="eastAsia" w:asciiTheme="minorEastAsia" w:hAnsiTheme="minorEastAsia" w:eastAsiaTheme="minorEastAsia" w:cstheme="minorEastAsia"/>
                <w:b/>
                <w:bCs/>
                <w:kern w:val="0"/>
                <w:szCs w:val="22"/>
                <w:u w:val="single"/>
              </w:rPr>
              <w:t>29（元/小时）</w:t>
            </w:r>
          </w:p>
        </w:tc>
        <w:tc>
          <w:tcPr>
            <w:tcW w:w="2123" w:type="dxa"/>
            <w:vAlign w:val="center"/>
          </w:tcPr>
          <w:p w14:paraId="137E4379">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法定节假日双倍工资</w:t>
            </w:r>
          </w:p>
        </w:tc>
      </w:tr>
    </w:tbl>
    <w:p w14:paraId="0CB6426C">
      <w:p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说明：</w:t>
      </w:r>
    </w:p>
    <w:p w14:paraId="471ED19F">
      <w:pPr>
        <w:ind w:firstLine="442" w:firstLineChars="200"/>
      </w:pPr>
      <w:r>
        <w:rPr>
          <w:rFonts w:hint="eastAsia" w:ascii="宋体" w:hAnsi="宋体" w:cs="宋体"/>
          <w:b/>
          <w:bCs/>
          <w:sz w:val="22"/>
          <w:szCs w:val="22"/>
          <w:u w:val="single"/>
        </w:rPr>
        <w:t>▲投标人关于A--D项含税综合单价报价中，任一一项报价超过相应综合单价最高限价的作无效标处理</w:t>
      </w:r>
      <w:r>
        <w:rPr>
          <w:rFonts w:hint="eastAsia" w:ascii="宋体" w:hAnsi="宋体" w:cs="宋体"/>
          <w:b/>
          <w:bCs/>
          <w:sz w:val="22"/>
          <w:u w:val="single"/>
        </w:rPr>
        <w:t>。</w:t>
      </w:r>
    </w:p>
    <w:p w14:paraId="045C96EF">
      <w:pPr>
        <w:rPr>
          <w:rFonts w:hint="eastAsia" w:asciiTheme="minorEastAsia" w:hAnsiTheme="minorEastAsia" w:eastAsiaTheme="minorEastAsia" w:cstheme="minorEastAsia"/>
          <w:sz w:val="22"/>
          <w:szCs w:val="22"/>
          <w:u w:val="single"/>
        </w:rPr>
      </w:pPr>
    </w:p>
    <w:p w14:paraId="6F16FDF4">
      <w:pPr>
        <w:numPr>
          <w:ilvl w:val="0"/>
          <w:numId w:val="28"/>
        </w:numPr>
        <w:spacing w:line="400" w:lineRule="exact"/>
        <w:outlineLvl w:val="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项目服务区域、服务内容</w:t>
      </w:r>
    </w:p>
    <w:p w14:paraId="60195D25">
      <w:pPr>
        <w:spacing w:line="4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（一）服务地点：</w:t>
      </w:r>
      <w:r>
        <w:rPr>
          <w:rFonts w:hint="eastAsia" w:asciiTheme="minorEastAsia" w:hAnsiTheme="minorEastAsia" w:eastAsiaTheme="minorEastAsia" w:cstheme="minorEastAsia"/>
          <w:sz w:val="22"/>
        </w:rPr>
        <w:t>温州市洞头区丽笙酒店</w:t>
      </w:r>
      <w:r>
        <w:rPr>
          <w:rFonts w:hint="eastAsia" w:asciiTheme="minorEastAsia" w:hAnsiTheme="minorEastAsia" w:eastAsiaTheme="minorEastAsia" w:cstheme="minorEastAsia"/>
          <w:sz w:val="22"/>
          <w:szCs w:val="22"/>
        </w:rPr>
        <w:t>采购人指定地点</w:t>
      </w: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szCs w:val="22"/>
        </w:rPr>
        <w:t xml:space="preserve"> </w:t>
      </w:r>
    </w:p>
    <w:p w14:paraId="481736AC">
      <w:pPr>
        <w:spacing w:line="4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（二）服务内容：</w:t>
      </w:r>
    </w:p>
    <w:p w14:paraId="3D994358">
      <w:pPr>
        <w:spacing w:line="40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1.酒店管事部清洁日常工作：</w:t>
      </w:r>
    </w:p>
    <w:p w14:paraId="3BB95F29">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（1）饼房、初加工房（肉房，海鲜房，洗菜间）日常清洁。</w:t>
      </w:r>
    </w:p>
    <w:p w14:paraId="518479B7">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（2）中厨房、宴会厨房日常清洁。</w:t>
      </w:r>
    </w:p>
    <w:p w14:paraId="623E48CE">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（3）西厨房日常清洁。</w:t>
      </w:r>
    </w:p>
    <w:p w14:paraId="0A7BF330">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（4）餐厅厨房日常清洁。</w:t>
      </w:r>
    </w:p>
    <w:p w14:paraId="502D1E93">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（5）管事部夜班清洁。</w:t>
      </w:r>
    </w:p>
    <w:p w14:paraId="6DFAD8B2">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（6）其他甲方要求的日常清洁工作。</w:t>
      </w:r>
    </w:p>
    <w:p w14:paraId="4B582910">
      <w:pPr>
        <w:spacing w:line="40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2.小时工外包服务：</w:t>
      </w:r>
    </w:p>
    <w:p w14:paraId="102C2328">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（1）外包服务岗位：酒店服务岗位。</w:t>
      </w:r>
    </w:p>
    <w:p w14:paraId="084D6EEE">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（2）酒店服务时间：以甲方要求的工作时间为准，乙方人员需按甲方规定时间提供相关服务，以实际提供服务的时间（小时或打扫的房间数量）计算服务费用。</w:t>
      </w:r>
    </w:p>
    <w:p w14:paraId="1DA5592F">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（3）人员安排：以甲方具体要求人数为准，乙方应根据甲方的要求提供相应数量的乙方人员。</w:t>
      </w:r>
    </w:p>
    <w:p w14:paraId="6B5B26CE">
      <w:pPr>
        <w:spacing w:line="40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3.酒店公共区域日常清洁&amp;各种设施的日常维护保养工作：</w:t>
      </w:r>
    </w:p>
    <w:p w14:paraId="22EC98A9">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（1）外围公共区域、行政后勤办公区域设施保养及日常清洁。</w:t>
      </w:r>
    </w:p>
    <w:p w14:paraId="69A94D8E">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（2）客用卫生间、员工卫生间设施保养与日常清洁。</w:t>
      </w:r>
    </w:p>
    <w:p w14:paraId="1F112957">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（3）公共区域地面、墙面、地毯、家具、摆设的保养与日常清洁。</w:t>
      </w:r>
    </w:p>
    <w:p w14:paraId="706B9F88">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（4）客用及员工电梯的保养与日常清洁。</w:t>
      </w:r>
    </w:p>
    <w:p w14:paraId="6BD415B2">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（5）公共区域风口、筒灯灯具等设施定期清洁保养。</w:t>
      </w:r>
    </w:p>
    <w:p w14:paraId="42514014">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（6）公共区域玻璃的清洁。</w:t>
      </w:r>
    </w:p>
    <w:p w14:paraId="42142731">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（7）由酒店负责经营的餐厅、宴会厅、酒吧等公共场所的固定设施(管事部负责的区域除外）清洁与保养。</w:t>
      </w:r>
    </w:p>
    <w:p w14:paraId="1A305A2B">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（8）大堂石材地面客流量较大的出入口石材地面每天做日常维护保养。</w:t>
      </w:r>
    </w:p>
    <w:p w14:paraId="4BFFF584">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（9）公共区域石材地面做晶面维护保养。</w:t>
      </w:r>
    </w:p>
    <w:p w14:paraId="357AB740">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（10）客用公共卫生间石材地面做晶面维护保养。</w:t>
      </w:r>
    </w:p>
    <w:p w14:paraId="3FD4D41D">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（11）公共区域客用卫生间石材台面及金属件的维护保养。</w:t>
      </w:r>
    </w:p>
    <w:p w14:paraId="62DA2969">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（12）公共区域金属装饰物维护保养。</w:t>
      </w:r>
    </w:p>
    <w:p w14:paraId="667388EB">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（13）公共区域地毯每日吸尘、除渍维护保养。</w:t>
      </w:r>
    </w:p>
    <w:p w14:paraId="79588F29">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（14）公共区域地毯清洗视地毯受污染的程度进行安排。</w:t>
      </w:r>
    </w:p>
    <w:p w14:paraId="55791865">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（15）公共区域木质装饰的维护保养。</w:t>
      </w:r>
    </w:p>
    <w:p w14:paraId="21A9C850">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（16）楼层区域地毯清洗视地毯受污染的程度进行安排。</w:t>
      </w:r>
    </w:p>
    <w:p w14:paraId="097674F1">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（17）楼层区域大理石地面定期做晶面维护。</w:t>
      </w:r>
    </w:p>
    <w:p w14:paraId="2070E6CB">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（18）其他甲方要求的相关工作。</w:t>
      </w:r>
    </w:p>
    <w:p w14:paraId="2652B7CA">
      <w:pPr>
        <w:spacing w:line="40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4.楼层外包服务：</w:t>
      </w:r>
    </w:p>
    <w:p w14:paraId="4E618325">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（1）客房房间及楼层所有区域的清洁工作，等同楼层服务员岗位职责。</w:t>
      </w:r>
    </w:p>
    <w:p w14:paraId="0DF0F637">
      <w:pPr>
        <w:spacing w:line="400" w:lineRule="exac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（三）服务时间：</w:t>
      </w:r>
    </w:p>
    <w:p w14:paraId="7022524D">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（1）所有服务人员工作时间符合甲方要求且以甲方通知为准，乙方须按要求合理安排。</w:t>
      </w:r>
    </w:p>
    <w:p w14:paraId="6FBC4842">
      <w:pPr>
        <w:spacing w:line="400" w:lineRule="exact"/>
        <w:ind w:left="210"/>
        <w:outlineLvl w:val="0"/>
        <w:rPr>
          <w:rFonts w:hint="eastAsia" w:asciiTheme="minorEastAsia" w:hAnsiTheme="minorEastAsia" w:eastAsiaTheme="minorEastAsia" w:cstheme="minorEastAsia"/>
          <w:sz w:val="22"/>
          <w:szCs w:val="22"/>
        </w:rPr>
      </w:pPr>
    </w:p>
    <w:p w14:paraId="252D0896">
      <w:pPr>
        <w:numPr>
          <w:ilvl w:val="0"/>
          <w:numId w:val="28"/>
        </w:numPr>
        <w:spacing w:line="400" w:lineRule="exact"/>
        <w:outlineLvl w:val="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人员配置及要求</w:t>
      </w:r>
    </w:p>
    <w:bookmarkEnd w:id="131"/>
    <w:bookmarkEnd w:id="132"/>
    <w:bookmarkEnd w:id="133"/>
    <w:p w14:paraId="4BAF18AA">
      <w:pPr>
        <w:spacing w:line="4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（一）人员要求与专业能力</w:t>
      </w:r>
    </w:p>
    <w:p w14:paraId="1752181D">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 酒店按照实际运营需求固定熟练操作工比例，至少40% 。</w:t>
      </w:r>
    </w:p>
    <w:p w14:paraId="4373C8A8">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 外包公司必须有充分的人力资源以保障酒店的正常运营。如外包公司的服务未能达到酒店的约定要求，则外包公司需无条件返工（产生的加班费用酒店不予支付）。</w:t>
      </w:r>
    </w:p>
    <w:p w14:paraId="4BE5B0BE">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3.外包公司同意如果遇到酒店出现紧急情况，在不影响外包公司工作的前提下，无偿提供人手给酒店，以应一时之需，完成酒店所安排的临时任务。</w:t>
      </w:r>
    </w:p>
    <w:p w14:paraId="45BA4F73">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外包公司员工入职前培训，直至熟识酒店情况和掌握基本技能才能正式上岗，培训期间的员工不能纳入正式编制。外包员工需要参加酒店的有关品牌培训、职业危害防护、机器安全操作及药剂使用安全培训。外包公司对其员工因缺乏必要技能而违反操作规程，导致的酒店及其他第三方人身损害及财产损失承担赔偿责任。</w:t>
      </w:r>
    </w:p>
    <w:p w14:paraId="1786D43C">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5.进场前需要提供所有服务人员身份证明、健康证、工商意外保险复印件及劳动合同复印件、声明书，合同签订前供应商需购买公众责任险及雇主责任险。</w:t>
      </w:r>
    </w:p>
    <w:p w14:paraId="2A88B307">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6.所有服务人员需遵守酒店各项规章制度。</w:t>
      </w:r>
    </w:p>
    <w:p w14:paraId="5948D3FB">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7.需提供每月考勤表。</w:t>
      </w:r>
    </w:p>
    <w:p w14:paraId="59F9261D">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8.外包员工如对酒店设施设备有人为损坏，需由外包公司照价赔</w:t>
      </w:r>
    </w:p>
    <w:p w14:paraId="46380FE2">
      <w:pPr>
        <w:spacing w:line="400" w:lineRule="exact"/>
        <w:ind w:firstLine="440" w:firstLineChars="200"/>
        <w:rPr>
          <w:rFonts w:hint="eastAsia" w:asciiTheme="minorEastAsia" w:hAnsiTheme="minorEastAsia" w:eastAsiaTheme="minorEastAsia" w:cstheme="minorEastAsia"/>
          <w:sz w:val="22"/>
          <w:szCs w:val="22"/>
        </w:rPr>
      </w:pPr>
    </w:p>
    <w:p w14:paraId="6FC639C6">
      <w:pPr>
        <w:spacing w:line="4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（二）人员劳动纪律及岗位要求</w:t>
      </w:r>
    </w:p>
    <w:p w14:paraId="22A3579E">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 服务人员须身体健康，不存在传染性疾病或恶性疾病，具备良好的服务态度和服务意识；品行良好，无犯罪记录，且年龄在十六周岁以上。</w:t>
      </w:r>
    </w:p>
    <w:p w14:paraId="6F651772">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 服务人员在服务过程中中应遵守被服务酒店制定的各类规章制度、劳动纪律，同时服从被服务酒店管理人员的现场安排。</w:t>
      </w:r>
    </w:p>
    <w:p w14:paraId="14416275">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 服务人员排班时间为到岗和离岗时间，需在上班前10分钟和下班后10分钟进行打卡考勤或签到签退，到工作点要进行二次签到签退，否则视为迟到和早退。若发生迟到、早退、或出现未打卡或未签字情况，导致公司被服务酒店扣款的，公司有权追究扣款。</w:t>
      </w:r>
    </w:p>
    <w:p w14:paraId="2B6AE7AA">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 服务人员应严格按照产品制作、食品卫生、客户服务、安全生产等流程、规定等要求提供服务。</w:t>
      </w:r>
    </w:p>
    <w:p w14:paraId="3F463156">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5．服务人员应爱护被服务酒店的财产，遵守职业道德，如有违反公司制定的劳动纪律及各项规章制度或者有其他违规违约违法行为，被服务酒店如因此在公司的服务费中扣款，此扣款将由违规服务人员承担。</w:t>
      </w:r>
    </w:p>
    <w:p w14:paraId="02DF7C26">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 服务人员禁止将被服务酒店物品及食品等带离岗位，否则按严重违纪进行处罚。</w:t>
      </w:r>
    </w:p>
    <w:p w14:paraId="52AA715B">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 服务人员统一按被服务酒店要求着装，确保仪容仪表符合被服务酒店规范。服务人员应爱惜制服，如制服破损，被服务酒店根据实际情况要求公司进行赔偿的，此赔偿将由损坏服务人员赔偿。</w:t>
      </w:r>
    </w:p>
    <w:p w14:paraId="6FCB88B3">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 服务人员与被服务酒店不存在任何用工关系或劳动关系。</w:t>
      </w:r>
    </w:p>
    <w:p w14:paraId="6E48274C">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9．服务人员离场应在最后服务日办理离场手续，退还被服务酒店发放的相关物品。</w:t>
      </w:r>
    </w:p>
    <w:p w14:paraId="61187A94">
      <w:pPr>
        <w:tabs>
          <w:tab w:val="left" w:pos="312"/>
        </w:tabs>
        <w:adjustRightInd w:val="0"/>
        <w:snapToGrid w:val="0"/>
        <w:spacing w:line="400" w:lineRule="exact"/>
        <w:ind w:firstLine="442" w:firstLineChars="200"/>
        <w:rPr>
          <w:rFonts w:hint="eastAsia" w:asciiTheme="minorEastAsia" w:hAnsiTheme="minorEastAsia" w:eastAsiaTheme="minorEastAsia" w:cstheme="minorEastAsia"/>
          <w:b/>
          <w:bCs/>
          <w:sz w:val="22"/>
          <w:szCs w:val="22"/>
          <w:u w:val="single"/>
        </w:rPr>
      </w:pPr>
    </w:p>
    <w:p w14:paraId="0323763B">
      <w:pPr>
        <w:numPr>
          <w:ilvl w:val="0"/>
          <w:numId w:val="28"/>
        </w:numPr>
        <w:spacing w:line="400" w:lineRule="exact"/>
        <w:outlineLvl w:val="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 xml:space="preserve">监督考核 </w:t>
      </w:r>
    </w:p>
    <w:p w14:paraId="027B6F95">
      <w:pPr>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1.中标商须严格遵守采购人的各种管理制度、规定，严格履行合同要求，接受采购人的考核，根据考核意见及时改进工作。</w:t>
      </w:r>
    </w:p>
    <w:p w14:paraId="547458CF">
      <w:pPr>
        <w:adjustRightInd w:val="0"/>
        <w:snapToGrid w:val="0"/>
        <w:spacing w:line="400" w:lineRule="exact"/>
        <w:rPr>
          <w:rFonts w:hint="eastAsia" w:asciiTheme="minorEastAsia" w:hAnsiTheme="minorEastAsia" w:eastAsiaTheme="minorEastAsia" w:cstheme="minorEastAsia"/>
          <w:sz w:val="22"/>
          <w:szCs w:val="22"/>
        </w:rPr>
      </w:pPr>
    </w:p>
    <w:p w14:paraId="0E7FD816">
      <w:pPr>
        <w:numPr>
          <w:ilvl w:val="0"/>
          <w:numId w:val="28"/>
        </w:numPr>
        <w:spacing w:line="400" w:lineRule="exact"/>
        <w:outlineLvl w:val="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付款方式</w:t>
      </w:r>
    </w:p>
    <w:p w14:paraId="59917C7D">
      <w:pPr>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1.中标供应商在签订合同前7天内，按投标须知前附表要求向采购人提供履约保证金（银行转账形式），以保证中标供应商遵守本合同的一切条款、条件和承诺，该保证金在采购人的规定存续期间不计息。</w:t>
      </w:r>
    </w:p>
    <w:p w14:paraId="3D619F9A">
      <w:pPr>
        <w:adjustRightInd w:val="0"/>
        <w:snapToGrid w:val="0"/>
        <w:spacing w:line="400" w:lineRule="exact"/>
        <w:ind w:firstLine="440" w:firstLineChars="200"/>
        <w:rPr>
          <w:rFonts w:hint="eastAsia" w:asciiTheme="minorEastAsia" w:hAnsiTheme="minorEastAsia" w:eastAsiaTheme="minorEastAsia" w:cstheme="minorEastAsia"/>
          <w:sz w:val="22"/>
          <w:szCs w:val="22"/>
          <w:lang w:bidi="ar"/>
        </w:rPr>
      </w:pPr>
      <w:r>
        <w:rPr>
          <w:rFonts w:hint="eastAsia" w:asciiTheme="minorEastAsia" w:hAnsiTheme="minorEastAsia" w:eastAsiaTheme="minorEastAsia" w:cstheme="minorEastAsia"/>
          <w:sz w:val="22"/>
          <w:szCs w:val="22"/>
          <w:lang w:bidi="ar"/>
        </w:rPr>
        <w:t>2.其他：详见</w:t>
      </w:r>
      <w:bookmarkStart w:id="134" w:name="OLE_LINK4"/>
      <w:r>
        <w:rPr>
          <w:rFonts w:hint="eastAsia" w:asciiTheme="minorEastAsia" w:hAnsiTheme="minorEastAsia" w:eastAsiaTheme="minorEastAsia" w:cstheme="minorEastAsia"/>
          <w:sz w:val="22"/>
          <w:szCs w:val="22"/>
          <w:lang w:bidi="ar"/>
        </w:rPr>
        <w:t>采购文件第二部分</w:t>
      </w:r>
      <w:bookmarkEnd w:id="134"/>
      <w:r>
        <w:rPr>
          <w:rFonts w:hint="eastAsia" w:asciiTheme="minorEastAsia" w:hAnsiTheme="minorEastAsia" w:eastAsiaTheme="minorEastAsia" w:cstheme="minorEastAsia"/>
          <w:sz w:val="22"/>
          <w:szCs w:val="22"/>
          <w:lang w:bidi="ar"/>
        </w:rPr>
        <w:t>合同条款</w:t>
      </w:r>
    </w:p>
    <w:p w14:paraId="6534A8C4">
      <w:pPr>
        <w:adjustRightInd w:val="0"/>
        <w:snapToGrid w:val="0"/>
        <w:spacing w:line="400" w:lineRule="exact"/>
        <w:rPr>
          <w:rFonts w:hint="eastAsia" w:asciiTheme="minorEastAsia" w:hAnsiTheme="minorEastAsia" w:eastAsiaTheme="minorEastAsia" w:cstheme="minorEastAsia"/>
          <w:sz w:val="22"/>
          <w:szCs w:val="22"/>
          <w:lang w:bidi="ar"/>
        </w:rPr>
      </w:pPr>
    </w:p>
    <w:p w14:paraId="303B4E88">
      <w:pPr>
        <w:numPr>
          <w:ilvl w:val="0"/>
          <w:numId w:val="28"/>
        </w:numPr>
        <w:spacing w:line="400" w:lineRule="exact"/>
        <w:outlineLvl w:val="0"/>
        <w:rPr>
          <w:rFonts w:hint="eastAsia" w:asciiTheme="minorEastAsia" w:hAnsiTheme="minorEastAsia" w:eastAsiaTheme="minorEastAsia" w:cstheme="minorEastAsia"/>
          <w:sz w:val="22"/>
          <w:szCs w:val="22"/>
          <w:lang w:bidi="ar"/>
        </w:rPr>
      </w:pPr>
      <w:r>
        <w:rPr>
          <w:rFonts w:hint="eastAsia" w:asciiTheme="minorEastAsia" w:hAnsiTheme="minorEastAsia" w:eastAsiaTheme="minorEastAsia" w:cstheme="minorEastAsia"/>
          <w:b/>
          <w:bCs/>
          <w:sz w:val="22"/>
          <w:szCs w:val="22"/>
          <w:lang w:bidi="ar"/>
        </w:rPr>
        <w:t>其他：</w:t>
      </w:r>
      <w:r>
        <w:rPr>
          <w:rFonts w:hint="eastAsia" w:asciiTheme="minorEastAsia" w:hAnsiTheme="minorEastAsia" w:eastAsiaTheme="minorEastAsia" w:cstheme="minorEastAsia"/>
          <w:sz w:val="22"/>
          <w:szCs w:val="22"/>
          <w:lang w:bidi="ar"/>
        </w:rPr>
        <w:t>详见采购文件第二部分合同条款。</w:t>
      </w:r>
    </w:p>
    <w:p w14:paraId="6E407D63">
      <w:pPr>
        <w:spacing w:line="400" w:lineRule="exact"/>
        <w:rPr>
          <w:rFonts w:hint="eastAsia" w:asciiTheme="minorEastAsia" w:hAnsiTheme="minorEastAsia" w:eastAsiaTheme="minorEastAsia" w:cstheme="minorEastAsia"/>
        </w:rPr>
      </w:pPr>
      <w:bookmarkStart w:id="135" w:name="_Toc239145361"/>
      <w:bookmarkStart w:id="136" w:name="_Toc448846693"/>
      <w:bookmarkStart w:id="137" w:name="_Toc249758872"/>
      <w:bookmarkStart w:id="138" w:name="_Toc246261272"/>
      <w:bookmarkStart w:id="139" w:name="_Toc249758722"/>
      <w:bookmarkStart w:id="140" w:name="_Toc221423626"/>
      <w:bookmarkStart w:id="141" w:name="_Toc262105511"/>
      <w:bookmarkStart w:id="142" w:name="_Toc241404209"/>
      <w:bookmarkStart w:id="143" w:name="_Toc222114886"/>
      <w:bookmarkStart w:id="144" w:name="_Toc245722288"/>
      <w:bookmarkStart w:id="145" w:name="_Toc245191321"/>
      <w:bookmarkStart w:id="146" w:name="_Toc223716005"/>
      <w:bookmarkStart w:id="147" w:name="_Toc262049426"/>
      <w:r>
        <w:rPr>
          <w:rFonts w:hint="eastAsia" w:asciiTheme="minorEastAsia" w:hAnsiTheme="minorEastAsia" w:eastAsiaTheme="minorEastAsia" w:cstheme="minorEastAsia"/>
        </w:rPr>
        <w:br w:type="page"/>
      </w:r>
    </w:p>
    <w:p w14:paraId="3B1731D5">
      <w:pPr>
        <w:keepLines/>
        <w:spacing w:before="260" w:after="260"/>
        <w:jc w:val="center"/>
        <w:outlineLvl w:val="1"/>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第五部分 评标原则及方法</w:t>
      </w:r>
      <w:bookmarkEnd w:id="135"/>
      <w:bookmarkEnd w:id="136"/>
      <w:bookmarkEnd w:id="137"/>
      <w:bookmarkEnd w:id="138"/>
      <w:bookmarkEnd w:id="139"/>
      <w:bookmarkEnd w:id="140"/>
      <w:bookmarkEnd w:id="141"/>
      <w:bookmarkEnd w:id="142"/>
      <w:bookmarkEnd w:id="143"/>
      <w:bookmarkEnd w:id="144"/>
      <w:bookmarkEnd w:id="145"/>
      <w:bookmarkEnd w:id="146"/>
      <w:bookmarkEnd w:id="147"/>
    </w:p>
    <w:p w14:paraId="03DF7D64">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本项目属非政府采购项目，根据《温州市市属国有企业采购管理办法》（温国资委〔2024〕第51号）等有关法规、规定，结合本项目的实际，按照公平、公正、科学、择优的原则选择中标单位，特制定本评标办法。</w:t>
      </w:r>
    </w:p>
    <w:p w14:paraId="2FDA23F8">
      <w:pPr>
        <w:ind w:firstLine="442" w:firstLineChars="200"/>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一、总则</w:t>
      </w:r>
    </w:p>
    <w:p w14:paraId="5EA2B53D">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工作遵循公平、公正、科学、择优原则和诚实、信誉、效率的服务原则。本着科学、严谨的态度，认真进行评标。择优选用，推进技术进步，确保项目质量、交货期，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14:paraId="230FBE54">
      <w:pPr>
        <w:ind w:firstLine="442" w:firstLineChars="200"/>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二、评标组织</w:t>
      </w:r>
    </w:p>
    <w:p w14:paraId="2E0555D6">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评标工作由采购人依法组建的评标委员会负责，评标全过程由有关部门指导监督。</w:t>
      </w:r>
    </w:p>
    <w:p w14:paraId="1DBACADC">
      <w:pPr>
        <w:ind w:firstLine="442" w:firstLineChars="200"/>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三、评标程序</w:t>
      </w:r>
    </w:p>
    <w:p w14:paraId="220524C7">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委员会先对各投标人的投标文件进行初审（资格性审查和符合性审查）；然后对初审合格投标人的技术资信标进行评审；技术资信标评审结束后，再进行商务（报价）标进行评审，最终得出各有效标的评审综合得分，根据综合评审结果，提交评审报告。</w:t>
      </w:r>
    </w:p>
    <w:p w14:paraId="3A60AB61">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1、本项目评标的依据为采购文件和投标文件。</w:t>
      </w:r>
    </w:p>
    <w:p w14:paraId="299B6DD9">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2、先熟悉采购文件和评标办法。</w:t>
      </w:r>
    </w:p>
    <w:p w14:paraId="4AD1EDDB">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3、投标文件的初审：初审分为资格性检查和符合性检查。</w:t>
      </w:r>
    </w:p>
    <w:p w14:paraId="729EC418">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（1）资格性检查</w:t>
      </w:r>
    </w:p>
    <w:p w14:paraId="4FD5CF3E">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依据法律法规和采购文件的规定，对投标文件中的资格条件、投标保证金等进行审查，以确定投标人是否具备投标资格。</w:t>
      </w:r>
    </w:p>
    <w:p w14:paraId="587C678C">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（2）符合性检查</w:t>
      </w:r>
    </w:p>
    <w:p w14:paraId="379D4086">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14:paraId="26C12647">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如果投标文件实质上没有响应采购文件的要求，评标委员会将予以拒绝，投标人不得通过修改或撤销不符合采购要求的偏离或保留而使其投标成为实质性响应的投标。</w:t>
      </w:r>
    </w:p>
    <w:p w14:paraId="5AE64436">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4、澄清有关问题</w:t>
      </w:r>
    </w:p>
    <w:p w14:paraId="4ED3C453">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在评标期间，评标委员会可以书面方式要求投标人对投标文件中含义不明确、对同类问题前后表述不一致或者有明显文字和计算错误的内容作必要的澄清、说明或补正（并非对每个投标人都要求做澄清、说明或补正）。澄清、说明或补正应以书面形式并由法定代表人或其授权代表签署，但澄清内容不得超出投标文件的范围或者改变投标文件的实质性内容。</w:t>
      </w:r>
    </w:p>
    <w:p w14:paraId="2D1F95E5">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14:paraId="2FC641B1">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评标委员会对各投标人的商务报价进行核查时，如发现投标报价内容不清楚可要求投标人书面澄清，计算上的错误，按本采购文件投标人须知22.6条规定方法进行修正。</w:t>
      </w:r>
    </w:p>
    <w:p w14:paraId="63D2F26C">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5、比较与评价：评标委员会按采购文件中规定的评标方法和标准，对初审检查合格的投标文件进行商务（报价）和技术资信评估、综合比较与评价，并按照评标细则进行评分。</w:t>
      </w:r>
    </w:p>
    <w:p w14:paraId="2EAB123F">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6、推荐中标候选人。</w:t>
      </w:r>
    </w:p>
    <w:p w14:paraId="73E7BBC6">
      <w:pPr>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szCs w:val="22"/>
        </w:rPr>
        <w:t>7、完成评标报告。评标报告是评标委员会根据全体评标成员签字的原始评标记录和评标结果编写的报告。</w:t>
      </w:r>
    </w:p>
    <w:p w14:paraId="1C1B804F">
      <w:pPr>
        <w:ind w:firstLine="442" w:firstLineChars="200"/>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四、评标办法</w:t>
      </w:r>
    </w:p>
    <w:p w14:paraId="66162765">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rPr>
        <w:t>本次采购采用百分制综合评分法，即投标人最大限度地满足采购文件实质性要求的基础上，按照采购文件的各项因素进行综合评审后，以评标总得分最高的投标人作为第一的中标候选人的评标方法。本项目总分设定为100分；其中技术资信分70分，商务（报价）分30分，各投标人的最终得为技术资信分 + 商务（报价）分。</w:t>
      </w:r>
    </w:p>
    <w:p w14:paraId="7AF23F94">
      <w:pPr>
        <w:ind w:firstLine="442" w:firstLineChars="200"/>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五、评分细则</w:t>
      </w:r>
    </w:p>
    <w:p w14:paraId="3A7E1491">
      <w:pPr>
        <w:adjustRightInd w:val="0"/>
        <w:snapToGrid w:val="0"/>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1.技术资信评审分值（70分）</w:t>
      </w:r>
      <w:r>
        <w:rPr>
          <w:rFonts w:hint="eastAsia" w:asciiTheme="minorEastAsia" w:hAnsiTheme="minorEastAsia" w:eastAsiaTheme="minorEastAsia" w:cstheme="minorEastAsia"/>
          <w:b/>
          <w:bCs/>
          <w:sz w:val="22"/>
        </w:rPr>
        <w:t>：</w:t>
      </w:r>
    </w:p>
    <w:p w14:paraId="11E7C5A3">
      <w:pPr>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9"/>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40"/>
        <w:gridCol w:w="734"/>
        <w:gridCol w:w="6626"/>
      </w:tblGrid>
      <w:tr w14:paraId="1D0E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0395B238">
            <w:pPr>
              <w:spacing w:line="280" w:lineRule="exact"/>
              <w:ind w:left="-50"/>
              <w:jc w:val="center"/>
              <w:rPr>
                <w:rFonts w:hint="eastAsia" w:ascii="宋体" w:hAnsi="宋体" w:cs="宋体"/>
                <w:sz w:val="18"/>
                <w:szCs w:val="18"/>
              </w:rPr>
            </w:pPr>
            <w:r>
              <w:rPr>
                <w:rFonts w:hint="eastAsia" w:ascii="宋体" w:hAnsi="宋体" w:cs="宋体"/>
                <w:sz w:val="18"/>
                <w:szCs w:val="18"/>
              </w:rPr>
              <w:t>序号</w:t>
            </w:r>
          </w:p>
        </w:tc>
        <w:tc>
          <w:tcPr>
            <w:tcW w:w="1240" w:type="dxa"/>
            <w:vAlign w:val="center"/>
          </w:tcPr>
          <w:p w14:paraId="20E2C412">
            <w:pPr>
              <w:spacing w:line="280" w:lineRule="exact"/>
              <w:ind w:left="-50"/>
              <w:jc w:val="center"/>
              <w:rPr>
                <w:rFonts w:hint="eastAsia" w:ascii="宋体" w:hAnsi="宋体" w:cs="宋体"/>
                <w:sz w:val="18"/>
                <w:szCs w:val="18"/>
              </w:rPr>
            </w:pPr>
            <w:r>
              <w:rPr>
                <w:rFonts w:hint="eastAsia" w:ascii="宋体" w:hAnsi="宋体" w:cs="宋体"/>
                <w:sz w:val="18"/>
                <w:szCs w:val="18"/>
              </w:rPr>
              <w:t>评分内容</w:t>
            </w:r>
          </w:p>
        </w:tc>
        <w:tc>
          <w:tcPr>
            <w:tcW w:w="734" w:type="dxa"/>
            <w:vAlign w:val="center"/>
          </w:tcPr>
          <w:p w14:paraId="3688A315">
            <w:pPr>
              <w:spacing w:line="280" w:lineRule="exact"/>
              <w:jc w:val="center"/>
              <w:rPr>
                <w:rFonts w:hint="eastAsia" w:ascii="宋体" w:hAnsi="宋体" w:cs="宋体"/>
                <w:sz w:val="18"/>
                <w:szCs w:val="18"/>
              </w:rPr>
            </w:pPr>
            <w:r>
              <w:rPr>
                <w:rFonts w:hint="eastAsia" w:ascii="宋体" w:hAnsi="宋体" w:cs="宋体"/>
                <w:sz w:val="18"/>
                <w:szCs w:val="18"/>
              </w:rPr>
              <w:t>满分值</w:t>
            </w:r>
          </w:p>
        </w:tc>
        <w:tc>
          <w:tcPr>
            <w:tcW w:w="6626" w:type="dxa"/>
            <w:vAlign w:val="center"/>
          </w:tcPr>
          <w:p w14:paraId="32E52D7A">
            <w:pPr>
              <w:spacing w:line="280" w:lineRule="exact"/>
              <w:jc w:val="center"/>
              <w:rPr>
                <w:rFonts w:hint="eastAsia" w:ascii="宋体" w:hAnsi="宋体" w:cs="宋体"/>
                <w:sz w:val="18"/>
                <w:szCs w:val="18"/>
              </w:rPr>
            </w:pPr>
            <w:r>
              <w:rPr>
                <w:rFonts w:hint="eastAsia" w:ascii="宋体" w:hAnsi="宋体" w:cs="宋体"/>
                <w:sz w:val="18"/>
                <w:szCs w:val="18"/>
              </w:rPr>
              <w:t>评分标准</w:t>
            </w:r>
          </w:p>
        </w:tc>
      </w:tr>
      <w:tr w14:paraId="0733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4F894636">
            <w:pPr>
              <w:numPr>
                <w:ilvl w:val="255"/>
                <w:numId w:val="0"/>
              </w:numPr>
              <w:spacing w:line="280" w:lineRule="exact"/>
              <w:jc w:val="center"/>
              <w:rPr>
                <w:rFonts w:hint="eastAsia" w:ascii="宋体" w:hAnsi="宋体" w:cs="宋体"/>
                <w:sz w:val="18"/>
                <w:szCs w:val="18"/>
              </w:rPr>
            </w:pPr>
            <w:r>
              <w:rPr>
                <w:rFonts w:hint="eastAsia" w:ascii="宋体" w:hAnsi="宋体" w:cs="宋体"/>
                <w:sz w:val="18"/>
                <w:szCs w:val="18"/>
              </w:rPr>
              <w:t>1</w:t>
            </w:r>
          </w:p>
        </w:tc>
        <w:tc>
          <w:tcPr>
            <w:tcW w:w="1240" w:type="dxa"/>
            <w:vAlign w:val="center"/>
          </w:tcPr>
          <w:p w14:paraId="6057739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投标人履约能力</w:t>
            </w:r>
          </w:p>
        </w:tc>
        <w:tc>
          <w:tcPr>
            <w:tcW w:w="734" w:type="dxa"/>
            <w:vAlign w:val="center"/>
          </w:tcPr>
          <w:p w14:paraId="15FB1A64">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6626" w:type="dxa"/>
            <w:vAlign w:val="center"/>
          </w:tcPr>
          <w:p w14:paraId="5D302553">
            <w:pPr>
              <w:pStyle w:val="39"/>
              <w:snapToGrid w:val="0"/>
              <w:spacing w:line="240" w:lineRule="exact"/>
              <w:rPr>
                <w:rFonts w:hint="eastAsia" w:hAnsi="宋体" w:cs="宋体"/>
                <w:sz w:val="18"/>
                <w:szCs w:val="18"/>
              </w:rPr>
            </w:pPr>
            <w:r>
              <w:rPr>
                <w:rFonts w:hint="eastAsia" w:hAnsi="宋体" w:cs="宋体"/>
                <w:sz w:val="18"/>
                <w:szCs w:val="18"/>
              </w:rPr>
              <w:t>根据投标人履约能力评定，包括企业组织健全情况及与合同履行有关的证书、用户评价等，提供相关证明材料，由评委综合评分。</w:t>
            </w:r>
          </w:p>
          <w:p w14:paraId="1B14C76F">
            <w:pPr>
              <w:pStyle w:val="39"/>
              <w:snapToGrid w:val="0"/>
              <w:spacing w:line="240" w:lineRule="exact"/>
              <w:rPr>
                <w:rFonts w:hint="eastAsia" w:hAnsi="宋体" w:cs="宋体"/>
                <w:sz w:val="18"/>
                <w:szCs w:val="18"/>
              </w:rPr>
            </w:pPr>
            <w:r>
              <w:rPr>
                <w:rFonts w:hint="eastAsia" w:hAnsi="宋体" w:cs="宋体"/>
                <w:sz w:val="18"/>
                <w:szCs w:val="18"/>
              </w:rPr>
              <w:t xml:space="preserve">一般0-2分，较好2-4分，优4-6分；未提供材料不得分。 </w:t>
            </w:r>
          </w:p>
        </w:tc>
      </w:tr>
      <w:tr w14:paraId="17F3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62538E27">
            <w:pPr>
              <w:numPr>
                <w:ilvl w:val="255"/>
                <w:numId w:val="0"/>
              </w:numPr>
              <w:spacing w:line="280" w:lineRule="exact"/>
              <w:jc w:val="center"/>
              <w:rPr>
                <w:rFonts w:hint="eastAsia" w:ascii="宋体" w:hAnsi="宋体" w:cs="宋体"/>
                <w:sz w:val="18"/>
                <w:szCs w:val="18"/>
              </w:rPr>
            </w:pPr>
            <w:r>
              <w:rPr>
                <w:rFonts w:hint="eastAsia" w:ascii="宋体" w:hAnsi="宋体" w:cs="宋体"/>
                <w:sz w:val="18"/>
                <w:szCs w:val="18"/>
              </w:rPr>
              <w:t>2</w:t>
            </w:r>
          </w:p>
        </w:tc>
        <w:tc>
          <w:tcPr>
            <w:tcW w:w="1240" w:type="dxa"/>
            <w:vAlign w:val="center"/>
          </w:tcPr>
          <w:p w14:paraId="3A815439">
            <w:pPr>
              <w:spacing w:line="280" w:lineRule="exact"/>
              <w:jc w:val="center"/>
              <w:rPr>
                <w:rFonts w:hint="eastAsia" w:ascii="宋体" w:hAnsi="宋体" w:cs="宋体"/>
                <w:sz w:val="18"/>
                <w:szCs w:val="18"/>
              </w:rPr>
            </w:pPr>
            <w:r>
              <w:rPr>
                <w:rFonts w:hint="eastAsia" w:ascii="宋体" w:hAnsi="宋体" w:cs="宋体"/>
                <w:sz w:val="18"/>
                <w:szCs w:val="18"/>
              </w:rPr>
              <w:t>投标人类似项目业绩</w:t>
            </w:r>
          </w:p>
        </w:tc>
        <w:tc>
          <w:tcPr>
            <w:tcW w:w="734" w:type="dxa"/>
            <w:vAlign w:val="center"/>
          </w:tcPr>
          <w:p w14:paraId="0E88D152">
            <w:pPr>
              <w:spacing w:line="280" w:lineRule="exact"/>
              <w:jc w:val="center"/>
              <w:rPr>
                <w:rFonts w:hint="eastAsia" w:ascii="宋体" w:hAnsi="宋体" w:cs="宋体"/>
                <w:sz w:val="18"/>
                <w:szCs w:val="18"/>
              </w:rPr>
            </w:pPr>
            <w:r>
              <w:rPr>
                <w:rFonts w:hint="eastAsia" w:ascii="宋体" w:hAnsi="宋体" w:cs="宋体"/>
                <w:sz w:val="18"/>
                <w:szCs w:val="18"/>
              </w:rPr>
              <w:t>14</w:t>
            </w:r>
          </w:p>
        </w:tc>
        <w:tc>
          <w:tcPr>
            <w:tcW w:w="6626" w:type="dxa"/>
          </w:tcPr>
          <w:p w14:paraId="31D2FCA0">
            <w:pPr>
              <w:pStyle w:val="39"/>
              <w:snapToGrid w:val="0"/>
              <w:spacing w:line="240" w:lineRule="exact"/>
              <w:rPr>
                <w:rFonts w:hint="eastAsia" w:hAnsi="宋体" w:cs="宋体"/>
                <w:sz w:val="18"/>
                <w:szCs w:val="18"/>
              </w:rPr>
            </w:pPr>
            <w:r>
              <w:rPr>
                <w:rFonts w:hint="eastAsia" w:hAnsi="宋体" w:cs="宋体"/>
                <w:sz w:val="18"/>
                <w:szCs w:val="18"/>
              </w:rPr>
              <w:t>投标人提供2023年1月1日以来（以合同签订日期为准）类似劳务外包服务项目业绩：</w:t>
            </w:r>
          </w:p>
          <w:p w14:paraId="063244B2">
            <w:pPr>
              <w:pStyle w:val="39"/>
              <w:snapToGrid w:val="0"/>
              <w:spacing w:line="240" w:lineRule="exact"/>
              <w:ind w:firstLine="360" w:firstLineChars="200"/>
              <w:rPr>
                <w:rFonts w:hint="eastAsia" w:hAnsi="宋体" w:cs="宋体"/>
                <w:sz w:val="18"/>
                <w:szCs w:val="18"/>
              </w:rPr>
            </w:pPr>
            <w:r>
              <w:rPr>
                <w:rFonts w:hint="eastAsia" w:hAnsi="宋体" w:cs="宋体"/>
                <w:sz w:val="18"/>
                <w:szCs w:val="18"/>
              </w:rPr>
              <w:t>1、每提供一份与本项目档次相当的宾馆（或酒店、度假村）类似劳务外包服务项目业绩得2分，最多得14分。</w:t>
            </w:r>
          </w:p>
          <w:p w14:paraId="5182077A">
            <w:pPr>
              <w:pStyle w:val="39"/>
              <w:snapToGrid w:val="0"/>
              <w:spacing w:line="240" w:lineRule="exact"/>
              <w:rPr>
                <w:rFonts w:hint="eastAsia" w:hAnsi="宋体" w:cs="宋体"/>
                <w:sz w:val="18"/>
                <w:szCs w:val="18"/>
              </w:rPr>
            </w:pPr>
            <w:r>
              <w:rPr>
                <w:rFonts w:hint="eastAsia" w:hAnsi="宋体" w:cs="宋体"/>
                <w:sz w:val="18"/>
                <w:szCs w:val="18"/>
              </w:rPr>
              <w:t>注：（1）业绩必须为投标人所有，若有公司名称或法人名称变更的，必须提供相关法律证明。若业绩证明资料不能完全体现项目特征（</w:t>
            </w:r>
            <w:r>
              <w:rPr>
                <w:rFonts w:hint="eastAsia" w:hAnsi="宋体" w:cs="宋体"/>
                <w:b/>
                <w:bCs/>
                <w:sz w:val="18"/>
                <w:szCs w:val="18"/>
              </w:rPr>
              <w:t>如不能体现保洁、设备设施日常维护保养内容</w:t>
            </w:r>
            <w:r>
              <w:rPr>
                <w:rFonts w:hint="eastAsia" w:hAnsi="宋体" w:cs="宋体"/>
                <w:sz w:val="18"/>
                <w:szCs w:val="18"/>
              </w:rPr>
              <w:t>）的，须提供加盖业主公章的项目业主证明材料，否则评分时不予认可。（2）与本项目档次相当的宾馆（或酒店、度假村）定义：①由文化和旅游部（原国家旅游局）评定的五星级旅游饭店；或②采购文件第57页【评审附件】中列明的STR超高端酒店或奢华酒店。如为由文化和旅游部（原国家旅游局）评定的五星级旅游饭店，需提供文化和旅游部网站截图；如为【评审附件】中列明的STR超高端酒店或奢华酒店，需提供材料证明酒店属于该系列。（3）投标文件中须同时提供①合同、②对应发票复印件以及③证明上述接受供货业绩的宾馆（或酒店、度假村）与本项目要求档次相当的证明材料并加盖投标人公章。（4）提供证明材料不全或不符合要求的不得分。</w:t>
            </w:r>
          </w:p>
          <w:p w14:paraId="0465B09C">
            <w:pPr>
              <w:pStyle w:val="39"/>
              <w:snapToGrid w:val="0"/>
              <w:spacing w:line="240" w:lineRule="exact"/>
              <w:ind w:firstLine="360" w:firstLineChars="200"/>
              <w:rPr>
                <w:rFonts w:hint="eastAsia" w:hAnsi="宋体" w:cs="宋体"/>
                <w:sz w:val="18"/>
                <w:szCs w:val="18"/>
              </w:rPr>
            </w:pPr>
            <w:r>
              <w:rPr>
                <w:rFonts w:hint="eastAsia" w:hAnsi="宋体" w:cs="宋体"/>
                <w:sz w:val="18"/>
                <w:szCs w:val="18"/>
              </w:rPr>
              <w:t>2、每提供一份本评分项序号1规定的业绩除外，其他宾馆（或酒店、度假村）类似劳务外包服务项目业绩得1分，最多得4分。</w:t>
            </w:r>
          </w:p>
          <w:p w14:paraId="4C35099E">
            <w:pPr>
              <w:pStyle w:val="39"/>
              <w:snapToGrid w:val="0"/>
              <w:spacing w:line="240" w:lineRule="exact"/>
              <w:ind w:firstLine="360" w:firstLineChars="200"/>
              <w:rPr>
                <w:rFonts w:hint="eastAsia" w:hAnsi="宋体" w:cs="宋体"/>
                <w:sz w:val="18"/>
                <w:szCs w:val="18"/>
              </w:rPr>
            </w:pPr>
            <w:r>
              <w:rPr>
                <w:rFonts w:hint="eastAsia" w:hAnsi="宋体" w:cs="宋体"/>
                <w:sz w:val="18"/>
                <w:szCs w:val="18"/>
              </w:rPr>
              <w:t>注：（1）业绩必须为投标人所有，若有公司名称或法人名称变更的，必须提供相关法律证明。若业绩证明资料不能完全体现项目特征（</w:t>
            </w:r>
            <w:r>
              <w:rPr>
                <w:rFonts w:hint="eastAsia" w:hAnsi="宋体" w:cs="宋体"/>
                <w:b/>
                <w:bCs/>
                <w:sz w:val="18"/>
                <w:szCs w:val="18"/>
              </w:rPr>
              <w:t>如不能体现保洁、设备设施日常维护保养内容</w:t>
            </w:r>
            <w:r>
              <w:rPr>
                <w:rFonts w:hint="eastAsia" w:hAnsi="宋体" w:cs="宋体"/>
                <w:sz w:val="18"/>
                <w:szCs w:val="18"/>
              </w:rPr>
              <w:t>）的，须提供加盖业主公章的项目业主证明材料，否则评分时不予认可。（2）投标文件中须同时提供①合同、②对应发票复印件证明材料并加盖投标人公章。（3）提供证明材料不全或不符合要求的不得分。</w:t>
            </w:r>
          </w:p>
          <w:p w14:paraId="29BECE0A">
            <w:pPr>
              <w:pStyle w:val="39"/>
              <w:snapToGrid w:val="0"/>
              <w:spacing w:line="240" w:lineRule="exact"/>
              <w:ind w:firstLine="360" w:firstLineChars="200"/>
            </w:pPr>
            <w:r>
              <w:rPr>
                <w:rFonts w:hint="eastAsia" w:hAnsi="宋体" w:cs="宋体"/>
                <w:sz w:val="18"/>
                <w:szCs w:val="18"/>
              </w:rPr>
              <w:t>上述序号1、序号2评分项合计得分最多得14分。</w:t>
            </w:r>
          </w:p>
        </w:tc>
      </w:tr>
      <w:tr w14:paraId="7741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6288DF24">
            <w:pPr>
              <w:numPr>
                <w:ilvl w:val="255"/>
                <w:numId w:val="0"/>
              </w:numPr>
              <w:spacing w:line="280" w:lineRule="exact"/>
              <w:jc w:val="center"/>
              <w:rPr>
                <w:rFonts w:hint="eastAsia" w:ascii="宋体" w:hAnsi="宋体" w:cs="宋体"/>
                <w:sz w:val="18"/>
                <w:szCs w:val="18"/>
              </w:rPr>
            </w:pPr>
            <w:r>
              <w:rPr>
                <w:rFonts w:hint="eastAsia" w:ascii="宋体" w:hAnsi="宋体" w:cs="宋体"/>
                <w:sz w:val="18"/>
                <w:szCs w:val="18"/>
              </w:rPr>
              <w:t>3</w:t>
            </w:r>
          </w:p>
        </w:tc>
        <w:tc>
          <w:tcPr>
            <w:tcW w:w="1240" w:type="dxa"/>
            <w:vAlign w:val="center"/>
          </w:tcPr>
          <w:p w14:paraId="37E565A9">
            <w:pPr>
              <w:pStyle w:val="58"/>
              <w:spacing w:line="280" w:lineRule="exact"/>
              <w:jc w:val="center"/>
              <w:rPr>
                <w:rFonts w:hint="eastAsia" w:hAnsi="宋体" w:cs="宋体"/>
                <w:sz w:val="18"/>
                <w:szCs w:val="18"/>
              </w:rPr>
            </w:pPr>
            <w:r>
              <w:rPr>
                <w:rFonts w:hint="eastAsia" w:hAnsi="宋体" w:cs="宋体"/>
                <w:sz w:val="18"/>
                <w:szCs w:val="18"/>
              </w:rPr>
              <w:t>拟派项目负责人类似业绩</w:t>
            </w:r>
          </w:p>
        </w:tc>
        <w:tc>
          <w:tcPr>
            <w:tcW w:w="734" w:type="dxa"/>
            <w:vAlign w:val="center"/>
          </w:tcPr>
          <w:p w14:paraId="7679C85A">
            <w:pPr>
              <w:spacing w:line="280" w:lineRule="exact"/>
              <w:jc w:val="center"/>
              <w:rPr>
                <w:rFonts w:hint="eastAsia" w:ascii="宋体" w:hAnsi="宋体" w:cs="宋体"/>
                <w:sz w:val="18"/>
                <w:szCs w:val="18"/>
              </w:rPr>
            </w:pPr>
            <w:r>
              <w:rPr>
                <w:rFonts w:hint="eastAsia" w:ascii="宋体" w:hAnsi="宋体" w:cs="宋体"/>
                <w:sz w:val="18"/>
                <w:szCs w:val="18"/>
              </w:rPr>
              <w:t>8</w:t>
            </w:r>
          </w:p>
        </w:tc>
        <w:tc>
          <w:tcPr>
            <w:tcW w:w="6626" w:type="dxa"/>
          </w:tcPr>
          <w:p w14:paraId="39081B3C">
            <w:pPr>
              <w:pStyle w:val="39"/>
              <w:snapToGrid w:val="0"/>
              <w:spacing w:line="240" w:lineRule="exact"/>
              <w:rPr>
                <w:rFonts w:hint="eastAsia" w:hAnsi="宋体" w:cs="宋体"/>
                <w:sz w:val="18"/>
                <w:szCs w:val="18"/>
              </w:rPr>
            </w:pPr>
            <w:r>
              <w:rPr>
                <w:rFonts w:hint="eastAsia" w:hAnsi="宋体" w:cs="宋体"/>
                <w:sz w:val="18"/>
                <w:szCs w:val="18"/>
              </w:rPr>
              <w:t>拟派项目负责人具有与本项目档次相当的宾馆（或酒店、度假村）类似劳务外包服务项目业绩：</w:t>
            </w:r>
          </w:p>
          <w:p w14:paraId="07098E10">
            <w:pPr>
              <w:pStyle w:val="39"/>
              <w:snapToGrid w:val="0"/>
              <w:spacing w:line="240" w:lineRule="exact"/>
              <w:ind w:firstLine="360" w:firstLineChars="200"/>
              <w:rPr>
                <w:rFonts w:hint="eastAsia" w:hAnsi="宋体" w:cs="宋体"/>
                <w:sz w:val="18"/>
                <w:szCs w:val="18"/>
              </w:rPr>
            </w:pPr>
            <w:r>
              <w:rPr>
                <w:rFonts w:hint="eastAsia" w:hAnsi="宋体" w:cs="宋体"/>
                <w:sz w:val="18"/>
                <w:szCs w:val="18"/>
              </w:rPr>
              <w:t>1、每提供一份项目业绩得2分，最多得8分。</w:t>
            </w:r>
          </w:p>
          <w:p w14:paraId="149BB74F">
            <w:pPr>
              <w:pStyle w:val="39"/>
              <w:snapToGrid w:val="0"/>
              <w:spacing w:line="240" w:lineRule="exact"/>
              <w:rPr>
                <w:rFonts w:hint="eastAsia" w:hAnsi="宋体" w:cs="宋体"/>
                <w:sz w:val="18"/>
                <w:szCs w:val="18"/>
              </w:rPr>
            </w:pPr>
            <w:r>
              <w:rPr>
                <w:rFonts w:hint="eastAsia" w:hAnsi="宋体" w:cs="宋体"/>
                <w:sz w:val="18"/>
                <w:szCs w:val="18"/>
              </w:rPr>
              <w:t>注：（1）业绩证明资料必须显示项目负责人姓名，若业绩证明资料不能体现项目负责人姓名的，须提供加盖业主公章的项目业主证明材料，否则评分时不予认可。</w:t>
            </w:r>
          </w:p>
          <w:p w14:paraId="34D40DB8">
            <w:pPr>
              <w:pStyle w:val="39"/>
              <w:snapToGrid w:val="0"/>
              <w:spacing w:line="240" w:lineRule="exact"/>
              <w:ind w:firstLine="360" w:firstLineChars="200"/>
              <w:rPr>
                <w:rFonts w:hint="eastAsia" w:hAnsi="宋体" w:cs="宋体"/>
                <w:sz w:val="18"/>
                <w:szCs w:val="18"/>
              </w:rPr>
            </w:pPr>
            <w:r>
              <w:rPr>
                <w:rFonts w:hint="eastAsia" w:hAnsi="宋体" w:cs="宋体"/>
                <w:sz w:val="18"/>
                <w:szCs w:val="18"/>
              </w:rPr>
              <w:t>（2）与本项目档次相当的宾馆（或酒店、度假村）定义：①由文化和旅游部（原国家旅游局）评定的五星级旅游饭店；或②采购文件第57页【评审附件】中列明的STR超高端酒店或奢华酒店。</w:t>
            </w:r>
          </w:p>
          <w:p w14:paraId="461F1247">
            <w:pPr>
              <w:pStyle w:val="39"/>
              <w:snapToGrid w:val="0"/>
              <w:spacing w:line="240" w:lineRule="exact"/>
              <w:ind w:firstLine="360" w:firstLineChars="200"/>
              <w:rPr>
                <w:rFonts w:hint="eastAsia" w:hAnsi="宋体" w:cs="宋体"/>
                <w:sz w:val="18"/>
                <w:szCs w:val="18"/>
              </w:rPr>
            </w:pPr>
            <w:r>
              <w:rPr>
                <w:rFonts w:hint="eastAsia" w:hAnsi="宋体" w:cs="宋体"/>
                <w:sz w:val="18"/>
                <w:szCs w:val="18"/>
              </w:rPr>
              <w:t>如为由文化和旅游部（原国家旅游局）评定的五星级旅游饭店，需提供文化和旅游部网站截图；如为【评审附件】中列明的STR超高端酒店或奢华酒店，需提供材料证明酒店属于该系列。</w:t>
            </w:r>
          </w:p>
          <w:p w14:paraId="310CFDBE">
            <w:pPr>
              <w:pStyle w:val="39"/>
              <w:snapToGrid w:val="0"/>
              <w:spacing w:line="240" w:lineRule="exact"/>
              <w:ind w:firstLine="360" w:firstLineChars="200"/>
              <w:rPr>
                <w:rFonts w:hint="eastAsia" w:hAnsi="宋体" w:cs="宋体"/>
                <w:sz w:val="18"/>
                <w:szCs w:val="18"/>
              </w:rPr>
            </w:pPr>
            <w:r>
              <w:rPr>
                <w:rFonts w:hint="eastAsia" w:hAnsi="宋体" w:cs="宋体"/>
                <w:sz w:val="18"/>
                <w:szCs w:val="18"/>
              </w:rPr>
              <w:t>（3）投标文件中须同时提供①合同复印件以及②证明上述接受供货业绩的宾馆（或酒店、度假村）与本项目要求档次相当的证明材料并加盖投标人公章。</w:t>
            </w:r>
          </w:p>
          <w:p w14:paraId="5A6F3498">
            <w:pPr>
              <w:pStyle w:val="39"/>
              <w:snapToGrid w:val="0"/>
              <w:spacing w:line="240" w:lineRule="exact"/>
              <w:ind w:firstLine="360" w:firstLineChars="200"/>
              <w:rPr>
                <w:rFonts w:hint="eastAsia" w:hAnsi="宋体" w:cs="宋体"/>
                <w:sz w:val="18"/>
                <w:szCs w:val="18"/>
              </w:rPr>
            </w:pPr>
            <w:r>
              <w:rPr>
                <w:rFonts w:hint="eastAsia" w:hAnsi="宋体" w:cs="宋体"/>
                <w:sz w:val="18"/>
                <w:szCs w:val="18"/>
              </w:rPr>
              <w:t>（4）提供证明材料不全或不符合要求的不得分。</w:t>
            </w:r>
          </w:p>
        </w:tc>
      </w:tr>
      <w:tr w14:paraId="744D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28919700">
            <w:pPr>
              <w:numPr>
                <w:ilvl w:val="255"/>
                <w:numId w:val="0"/>
              </w:numPr>
              <w:spacing w:line="280" w:lineRule="exact"/>
              <w:jc w:val="center"/>
              <w:rPr>
                <w:rFonts w:hint="eastAsia" w:ascii="宋体" w:hAnsi="宋体" w:cs="宋体"/>
                <w:sz w:val="18"/>
                <w:szCs w:val="18"/>
              </w:rPr>
            </w:pPr>
            <w:r>
              <w:rPr>
                <w:rFonts w:hint="eastAsia" w:ascii="宋体" w:hAnsi="宋体" w:cs="宋体"/>
                <w:sz w:val="18"/>
                <w:szCs w:val="18"/>
              </w:rPr>
              <w:t>4</w:t>
            </w:r>
          </w:p>
        </w:tc>
        <w:tc>
          <w:tcPr>
            <w:tcW w:w="1240" w:type="dxa"/>
            <w:vMerge w:val="restart"/>
            <w:vAlign w:val="center"/>
          </w:tcPr>
          <w:p w14:paraId="745AAB3F">
            <w:pPr>
              <w:spacing w:line="280" w:lineRule="exact"/>
              <w:jc w:val="center"/>
              <w:rPr>
                <w:rFonts w:hint="eastAsia" w:ascii="宋体" w:hAnsi="宋体" w:cs="宋体"/>
                <w:sz w:val="18"/>
                <w:szCs w:val="18"/>
              </w:rPr>
            </w:pPr>
            <w:r>
              <w:rPr>
                <w:rFonts w:hint="eastAsia" w:ascii="宋体" w:hAnsi="宋体" w:cs="宋体"/>
                <w:kern w:val="0"/>
                <w:sz w:val="18"/>
                <w:szCs w:val="18"/>
              </w:rPr>
              <w:t>管理服务方案</w:t>
            </w:r>
          </w:p>
        </w:tc>
        <w:tc>
          <w:tcPr>
            <w:tcW w:w="734" w:type="dxa"/>
            <w:vAlign w:val="center"/>
          </w:tcPr>
          <w:p w14:paraId="55687E54">
            <w:pPr>
              <w:spacing w:line="280" w:lineRule="exact"/>
              <w:jc w:val="center"/>
              <w:rPr>
                <w:rFonts w:hint="eastAsia" w:ascii="宋体" w:hAnsi="宋体" w:cs="宋体"/>
                <w:sz w:val="18"/>
                <w:szCs w:val="18"/>
              </w:rPr>
            </w:pPr>
            <w:r>
              <w:rPr>
                <w:rFonts w:hint="eastAsia" w:ascii="宋体" w:hAnsi="宋体" w:cs="宋体"/>
                <w:sz w:val="18"/>
                <w:szCs w:val="18"/>
              </w:rPr>
              <w:t>9</w:t>
            </w:r>
          </w:p>
        </w:tc>
        <w:tc>
          <w:tcPr>
            <w:tcW w:w="6626" w:type="dxa"/>
            <w:vAlign w:val="center"/>
          </w:tcPr>
          <w:p w14:paraId="24C352D4">
            <w:pPr>
              <w:pStyle w:val="58"/>
              <w:spacing w:line="280" w:lineRule="exact"/>
              <w:rPr>
                <w:rFonts w:hint="eastAsia" w:hAnsi="宋体" w:cs="宋体"/>
                <w:sz w:val="18"/>
                <w:szCs w:val="18"/>
              </w:rPr>
            </w:pPr>
            <w:r>
              <w:rPr>
                <w:rFonts w:hint="eastAsia" w:hAnsi="宋体" w:cs="宋体"/>
                <w:sz w:val="18"/>
                <w:szCs w:val="18"/>
              </w:rPr>
              <w:t>对采购人经营情况、业务需求及管理架构的了解程度，对温州洞头丽笙酒店劳务外包服务工作的关键点有清晰的认识和解读，服务目标清晰，有明确的服务方案，且服务方案可信度高，由评委综合评分：一般0-3分，较好3-6分，优6-9分</w:t>
            </w:r>
          </w:p>
        </w:tc>
      </w:tr>
      <w:tr w14:paraId="566D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57A597C6">
            <w:pPr>
              <w:numPr>
                <w:ilvl w:val="255"/>
                <w:numId w:val="0"/>
              </w:numPr>
              <w:spacing w:line="280" w:lineRule="exact"/>
              <w:jc w:val="center"/>
              <w:rPr>
                <w:rFonts w:hint="eastAsia" w:ascii="宋体" w:hAnsi="宋体" w:cs="宋体"/>
                <w:sz w:val="18"/>
                <w:szCs w:val="18"/>
              </w:rPr>
            </w:pPr>
            <w:r>
              <w:rPr>
                <w:rFonts w:hint="eastAsia" w:ascii="宋体" w:hAnsi="宋体" w:cs="宋体"/>
                <w:sz w:val="18"/>
                <w:szCs w:val="18"/>
              </w:rPr>
              <w:t>5</w:t>
            </w:r>
          </w:p>
        </w:tc>
        <w:tc>
          <w:tcPr>
            <w:tcW w:w="1240" w:type="dxa"/>
            <w:vMerge w:val="continue"/>
            <w:vAlign w:val="center"/>
          </w:tcPr>
          <w:p w14:paraId="06BC7082">
            <w:pPr>
              <w:spacing w:line="280" w:lineRule="exact"/>
              <w:jc w:val="center"/>
              <w:rPr>
                <w:rFonts w:hint="eastAsia" w:ascii="宋体" w:hAnsi="宋体" w:cs="宋体"/>
                <w:kern w:val="0"/>
                <w:sz w:val="18"/>
                <w:szCs w:val="18"/>
              </w:rPr>
            </w:pPr>
          </w:p>
        </w:tc>
        <w:tc>
          <w:tcPr>
            <w:tcW w:w="734" w:type="dxa"/>
            <w:vAlign w:val="center"/>
          </w:tcPr>
          <w:p w14:paraId="0634DC15">
            <w:pPr>
              <w:spacing w:line="280" w:lineRule="exact"/>
              <w:jc w:val="center"/>
              <w:rPr>
                <w:rFonts w:hint="eastAsia" w:ascii="宋体" w:hAnsi="宋体" w:cs="宋体"/>
                <w:sz w:val="18"/>
                <w:szCs w:val="18"/>
              </w:rPr>
            </w:pPr>
            <w:r>
              <w:rPr>
                <w:rFonts w:hint="eastAsia" w:ascii="宋体" w:hAnsi="宋体" w:cs="宋体"/>
                <w:sz w:val="18"/>
                <w:szCs w:val="18"/>
              </w:rPr>
              <w:t>9</w:t>
            </w:r>
          </w:p>
        </w:tc>
        <w:tc>
          <w:tcPr>
            <w:tcW w:w="6626" w:type="dxa"/>
            <w:vAlign w:val="center"/>
          </w:tcPr>
          <w:p w14:paraId="34EBD597">
            <w:pPr>
              <w:spacing w:line="280" w:lineRule="exact"/>
              <w:rPr>
                <w:rFonts w:hint="eastAsia" w:ascii="宋体" w:hAnsi="宋体" w:cs="宋体"/>
                <w:kern w:val="0"/>
                <w:sz w:val="18"/>
                <w:szCs w:val="18"/>
              </w:rPr>
            </w:pPr>
            <w:r>
              <w:rPr>
                <w:rFonts w:hint="eastAsia" w:ascii="宋体" w:hAnsi="宋体" w:cs="宋体"/>
                <w:kern w:val="0"/>
                <w:sz w:val="18"/>
                <w:szCs w:val="18"/>
              </w:rPr>
              <w:t>投标的服务方案与采购需求的吻合程度，应答是否详尽、明晰，是否满足采购文件要求；内容是否完整齐全、表述准确、条理清晰，内容无前后矛盾，符合采购文件要求；分析本项目的特点提出针对性方案。</w:t>
            </w:r>
            <w:r>
              <w:rPr>
                <w:rFonts w:hint="eastAsia" w:ascii="宋体" w:hAnsi="宋体" w:cs="宋体"/>
                <w:sz w:val="18"/>
                <w:szCs w:val="18"/>
              </w:rPr>
              <w:t>由评委综合评分：一般0-3分，较好3-6分，优6-9分</w:t>
            </w:r>
          </w:p>
        </w:tc>
      </w:tr>
      <w:tr w14:paraId="17DB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4E1F3E05">
            <w:pPr>
              <w:pStyle w:val="51"/>
              <w:numPr>
                <w:ilvl w:val="255"/>
                <w:numId w:val="0"/>
              </w:numPr>
              <w:spacing w:before="1" w:line="280" w:lineRule="exact"/>
              <w:jc w:val="center"/>
              <w:rPr>
                <w:rFonts w:hint="eastAsia"/>
                <w:sz w:val="18"/>
                <w:szCs w:val="18"/>
                <w:lang w:val="en-US"/>
              </w:rPr>
            </w:pPr>
            <w:r>
              <w:rPr>
                <w:rFonts w:hint="eastAsia"/>
                <w:sz w:val="18"/>
                <w:szCs w:val="18"/>
                <w:lang w:val="en-US"/>
              </w:rPr>
              <w:t>6</w:t>
            </w:r>
          </w:p>
        </w:tc>
        <w:tc>
          <w:tcPr>
            <w:tcW w:w="1240" w:type="dxa"/>
            <w:vAlign w:val="center"/>
          </w:tcPr>
          <w:p w14:paraId="1F9B19BD">
            <w:pPr>
              <w:spacing w:line="280" w:lineRule="exact"/>
              <w:jc w:val="center"/>
              <w:rPr>
                <w:rFonts w:hint="eastAsia" w:ascii="宋体" w:hAnsi="宋体" w:cs="宋体"/>
                <w:kern w:val="0"/>
                <w:sz w:val="18"/>
                <w:szCs w:val="18"/>
              </w:rPr>
            </w:pPr>
            <w:r>
              <w:rPr>
                <w:rFonts w:hint="eastAsia" w:ascii="宋体" w:hAnsi="宋体" w:cs="宋体"/>
                <w:kern w:val="0"/>
                <w:sz w:val="18"/>
                <w:szCs w:val="18"/>
              </w:rPr>
              <w:t>特点和难点分析</w:t>
            </w:r>
          </w:p>
        </w:tc>
        <w:tc>
          <w:tcPr>
            <w:tcW w:w="734" w:type="dxa"/>
            <w:vAlign w:val="center"/>
          </w:tcPr>
          <w:p w14:paraId="1C372BEC">
            <w:pPr>
              <w:spacing w:line="280" w:lineRule="exact"/>
              <w:jc w:val="center"/>
              <w:rPr>
                <w:rFonts w:hint="eastAsia" w:ascii="宋体" w:hAnsi="宋体" w:cs="宋体"/>
                <w:sz w:val="18"/>
                <w:szCs w:val="18"/>
              </w:rPr>
            </w:pPr>
            <w:r>
              <w:rPr>
                <w:rFonts w:hint="eastAsia" w:ascii="宋体" w:hAnsi="宋体" w:cs="宋体"/>
                <w:sz w:val="18"/>
                <w:szCs w:val="18"/>
              </w:rPr>
              <w:t>6</w:t>
            </w:r>
          </w:p>
        </w:tc>
        <w:tc>
          <w:tcPr>
            <w:tcW w:w="6626" w:type="dxa"/>
            <w:vAlign w:val="center"/>
          </w:tcPr>
          <w:p w14:paraId="0B9CC26C">
            <w:pPr>
              <w:spacing w:line="280" w:lineRule="exact"/>
              <w:rPr>
                <w:rFonts w:hint="eastAsia" w:ascii="宋体" w:hAnsi="宋体" w:cs="宋体"/>
                <w:sz w:val="18"/>
                <w:szCs w:val="18"/>
              </w:rPr>
            </w:pPr>
            <w:r>
              <w:rPr>
                <w:rFonts w:hint="eastAsia" w:ascii="宋体" w:hAnsi="宋体" w:cs="宋体"/>
                <w:kern w:val="0"/>
                <w:sz w:val="18"/>
                <w:szCs w:val="18"/>
              </w:rPr>
              <w:t>根据针对本项目劳务外包服务管理特点和难点进行：分析准确，提出解决问题的措施。</w:t>
            </w:r>
            <w:r>
              <w:rPr>
                <w:rFonts w:hint="eastAsia" w:ascii="宋体" w:hAnsi="宋体" w:cs="宋体"/>
                <w:sz w:val="18"/>
                <w:szCs w:val="18"/>
              </w:rPr>
              <w:t>由评委综合评分：一般0-2分，较好2-4分，优4-6分</w:t>
            </w:r>
          </w:p>
        </w:tc>
      </w:tr>
      <w:tr w14:paraId="060C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551348B4">
            <w:pPr>
              <w:pStyle w:val="51"/>
              <w:numPr>
                <w:ilvl w:val="255"/>
                <w:numId w:val="0"/>
              </w:numPr>
              <w:spacing w:before="1" w:line="280" w:lineRule="exact"/>
              <w:jc w:val="center"/>
              <w:rPr>
                <w:rFonts w:hint="eastAsia"/>
                <w:sz w:val="18"/>
                <w:szCs w:val="18"/>
                <w:lang w:val="en-US"/>
              </w:rPr>
            </w:pPr>
            <w:r>
              <w:rPr>
                <w:rFonts w:hint="eastAsia"/>
                <w:sz w:val="18"/>
                <w:szCs w:val="18"/>
                <w:lang w:val="en-US"/>
              </w:rPr>
              <w:t>7</w:t>
            </w:r>
          </w:p>
        </w:tc>
        <w:tc>
          <w:tcPr>
            <w:tcW w:w="1240" w:type="dxa"/>
            <w:vAlign w:val="center"/>
          </w:tcPr>
          <w:p w14:paraId="5FD8FDED">
            <w:pPr>
              <w:spacing w:line="280" w:lineRule="exact"/>
              <w:jc w:val="center"/>
              <w:rPr>
                <w:rFonts w:hint="eastAsia" w:ascii="宋体" w:hAnsi="宋体" w:cs="宋体"/>
                <w:kern w:val="0"/>
                <w:sz w:val="18"/>
                <w:szCs w:val="18"/>
              </w:rPr>
            </w:pPr>
            <w:r>
              <w:rPr>
                <w:rFonts w:hint="eastAsia" w:ascii="宋体" w:hAnsi="宋体" w:cs="宋体"/>
                <w:kern w:val="0"/>
                <w:sz w:val="18"/>
                <w:szCs w:val="18"/>
              </w:rPr>
              <w:t>质量保证</w:t>
            </w:r>
          </w:p>
        </w:tc>
        <w:tc>
          <w:tcPr>
            <w:tcW w:w="734" w:type="dxa"/>
            <w:vAlign w:val="center"/>
          </w:tcPr>
          <w:p w14:paraId="22925374">
            <w:pPr>
              <w:spacing w:line="280" w:lineRule="exact"/>
              <w:jc w:val="center"/>
              <w:rPr>
                <w:rFonts w:hint="eastAsia" w:ascii="宋体" w:hAnsi="宋体" w:cs="宋体"/>
                <w:sz w:val="18"/>
                <w:szCs w:val="18"/>
              </w:rPr>
            </w:pPr>
            <w:r>
              <w:rPr>
                <w:rFonts w:hint="eastAsia" w:ascii="宋体" w:hAnsi="宋体" w:cs="宋体"/>
                <w:sz w:val="18"/>
                <w:szCs w:val="18"/>
              </w:rPr>
              <w:t>6</w:t>
            </w:r>
          </w:p>
        </w:tc>
        <w:tc>
          <w:tcPr>
            <w:tcW w:w="6626" w:type="dxa"/>
            <w:vAlign w:val="center"/>
          </w:tcPr>
          <w:p w14:paraId="62984143">
            <w:pPr>
              <w:spacing w:line="280" w:lineRule="exact"/>
              <w:rPr>
                <w:rFonts w:hint="eastAsia" w:ascii="宋体" w:hAnsi="宋体" w:cs="宋体"/>
                <w:sz w:val="18"/>
                <w:szCs w:val="18"/>
              </w:rPr>
            </w:pPr>
            <w:r>
              <w:rPr>
                <w:rFonts w:hint="eastAsia" w:ascii="宋体" w:hAnsi="宋体" w:cs="宋体"/>
                <w:kern w:val="0"/>
                <w:sz w:val="18"/>
                <w:szCs w:val="18"/>
              </w:rPr>
              <w:t>根据质量管理保证措施及承诺的合理性、有效性评分。</w:t>
            </w:r>
          </w:p>
        </w:tc>
      </w:tr>
      <w:tr w14:paraId="330D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290C7027">
            <w:pPr>
              <w:numPr>
                <w:ilvl w:val="255"/>
                <w:numId w:val="0"/>
              </w:numPr>
              <w:spacing w:line="280" w:lineRule="exact"/>
              <w:jc w:val="center"/>
              <w:rPr>
                <w:rFonts w:hint="eastAsia" w:ascii="宋体" w:hAnsi="宋体" w:cs="宋体"/>
                <w:sz w:val="18"/>
                <w:szCs w:val="18"/>
              </w:rPr>
            </w:pPr>
            <w:r>
              <w:rPr>
                <w:rFonts w:hint="eastAsia" w:ascii="宋体" w:hAnsi="宋体" w:cs="宋体"/>
                <w:sz w:val="18"/>
                <w:szCs w:val="18"/>
              </w:rPr>
              <w:t>8</w:t>
            </w:r>
          </w:p>
        </w:tc>
        <w:tc>
          <w:tcPr>
            <w:tcW w:w="1240" w:type="dxa"/>
            <w:vAlign w:val="center"/>
          </w:tcPr>
          <w:p w14:paraId="5D374742">
            <w:pPr>
              <w:spacing w:line="280" w:lineRule="exact"/>
              <w:jc w:val="center"/>
              <w:rPr>
                <w:rFonts w:hint="eastAsia" w:ascii="宋体" w:hAnsi="宋体" w:cs="宋体"/>
                <w:kern w:val="0"/>
                <w:sz w:val="18"/>
                <w:szCs w:val="18"/>
              </w:rPr>
            </w:pPr>
            <w:r>
              <w:rPr>
                <w:rFonts w:hint="eastAsia" w:ascii="宋体" w:hAnsi="宋体" w:cs="宋体"/>
                <w:kern w:val="0"/>
                <w:sz w:val="18"/>
                <w:szCs w:val="18"/>
              </w:rPr>
              <w:t>培训计划</w:t>
            </w:r>
          </w:p>
        </w:tc>
        <w:tc>
          <w:tcPr>
            <w:tcW w:w="734" w:type="dxa"/>
            <w:vAlign w:val="center"/>
          </w:tcPr>
          <w:p w14:paraId="2CB58692">
            <w:pPr>
              <w:spacing w:line="280" w:lineRule="exact"/>
              <w:jc w:val="center"/>
              <w:rPr>
                <w:rFonts w:hint="eastAsia" w:ascii="宋体" w:hAnsi="宋体" w:cs="宋体"/>
                <w:sz w:val="18"/>
                <w:szCs w:val="18"/>
              </w:rPr>
            </w:pPr>
            <w:r>
              <w:rPr>
                <w:rFonts w:hint="eastAsia" w:ascii="宋体" w:hAnsi="宋体" w:cs="宋体"/>
                <w:sz w:val="18"/>
                <w:szCs w:val="18"/>
              </w:rPr>
              <w:t>6</w:t>
            </w:r>
          </w:p>
        </w:tc>
        <w:tc>
          <w:tcPr>
            <w:tcW w:w="6626" w:type="dxa"/>
            <w:vAlign w:val="center"/>
          </w:tcPr>
          <w:p w14:paraId="4AF84F7A">
            <w:pPr>
              <w:spacing w:line="280" w:lineRule="exact"/>
              <w:rPr>
                <w:rFonts w:hint="eastAsia" w:ascii="宋体" w:hAnsi="宋体" w:cs="宋体"/>
                <w:kern w:val="0"/>
                <w:sz w:val="18"/>
                <w:szCs w:val="18"/>
              </w:rPr>
            </w:pPr>
            <w:r>
              <w:rPr>
                <w:rFonts w:hint="eastAsia" w:ascii="宋体" w:hAnsi="宋体" w:cs="宋体"/>
                <w:kern w:val="0"/>
                <w:sz w:val="18"/>
                <w:szCs w:val="18"/>
              </w:rPr>
              <w:t>根据各岗位培训计划的详细程度及培训方案的系统性、可操作评分。</w:t>
            </w:r>
          </w:p>
        </w:tc>
      </w:tr>
      <w:tr w14:paraId="1FB6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35EDC99A">
            <w:pPr>
              <w:numPr>
                <w:ilvl w:val="255"/>
                <w:numId w:val="0"/>
              </w:numPr>
              <w:spacing w:line="280" w:lineRule="exact"/>
              <w:jc w:val="center"/>
              <w:rPr>
                <w:rFonts w:hint="eastAsia" w:ascii="宋体" w:hAnsi="宋体" w:cs="宋体"/>
                <w:sz w:val="18"/>
                <w:szCs w:val="18"/>
              </w:rPr>
            </w:pPr>
            <w:r>
              <w:rPr>
                <w:rFonts w:hint="eastAsia" w:ascii="宋体" w:hAnsi="宋体" w:cs="宋体"/>
                <w:sz w:val="18"/>
                <w:szCs w:val="18"/>
              </w:rPr>
              <w:t>9</w:t>
            </w:r>
          </w:p>
        </w:tc>
        <w:tc>
          <w:tcPr>
            <w:tcW w:w="1240" w:type="dxa"/>
            <w:vAlign w:val="center"/>
          </w:tcPr>
          <w:p w14:paraId="7E5BDB41">
            <w:pPr>
              <w:spacing w:line="280" w:lineRule="exact"/>
              <w:jc w:val="center"/>
              <w:rPr>
                <w:rFonts w:hint="eastAsia" w:ascii="宋体" w:hAnsi="宋体" w:cs="宋体"/>
                <w:kern w:val="0"/>
                <w:sz w:val="18"/>
                <w:szCs w:val="18"/>
              </w:rPr>
            </w:pPr>
            <w:r>
              <w:rPr>
                <w:rFonts w:hint="eastAsia" w:ascii="宋体" w:hAnsi="宋体" w:cs="宋体"/>
                <w:kern w:val="0"/>
                <w:sz w:val="18"/>
                <w:szCs w:val="18"/>
              </w:rPr>
              <w:t>突发事件应急处理措施</w:t>
            </w:r>
          </w:p>
        </w:tc>
        <w:tc>
          <w:tcPr>
            <w:tcW w:w="734" w:type="dxa"/>
            <w:vAlign w:val="center"/>
          </w:tcPr>
          <w:p w14:paraId="24F7434D">
            <w:pPr>
              <w:spacing w:line="280" w:lineRule="exact"/>
              <w:jc w:val="center"/>
              <w:rPr>
                <w:rFonts w:hint="eastAsia" w:ascii="宋体" w:hAnsi="宋体" w:cs="宋体"/>
                <w:sz w:val="18"/>
                <w:szCs w:val="18"/>
              </w:rPr>
            </w:pPr>
            <w:r>
              <w:rPr>
                <w:rFonts w:hint="eastAsia" w:ascii="宋体" w:hAnsi="宋体" w:cs="宋体"/>
                <w:sz w:val="18"/>
                <w:szCs w:val="18"/>
              </w:rPr>
              <w:t>6</w:t>
            </w:r>
          </w:p>
        </w:tc>
        <w:tc>
          <w:tcPr>
            <w:tcW w:w="6626" w:type="dxa"/>
            <w:vAlign w:val="center"/>
          </w:tcPr>
          <w:p w14:paraId="3CDDB006">
            <w:pPr>
              <w:spacing w:line="280" w:lineRule="exact"/>
              <w:rPr>
                <w:rFonts w:hint="eastAsia" w:ascii="宋体" w:hAnsi="宋体" w:cs="宋体"/>
                <w:kern w:val="0"/>
                <w:sz w:val="18"/>
                <w:szCs w:val="18"/>
              </w:rPr>
            </w:pPr>
            <w:r>
              <w:rPr>
                <w:rFonts w:hint="eastAsia" w:ascii="宋体" w:hAnsi="宋体" w:cs="宋体"/>
                <w:kern w:val="0"/>
                <w:sz w:val="18"/>
                <w:szCs w:val="18"/>
              </w:rPr>
              <w:t>针对各类检查和突发性事件等任务的应急方案及措施的全面性、针对性评分。</w:t>
            </w:r>
          </w:p>
        </w:tc>
      </w:tr>
      <w:tr w14:paraId="57A7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3C6C39EE">
            <w:pPr>
              <w:numPr>
                <w:ilvl w:val="255"/>
                <w:numId w:val="0"/>
              </w:numPr>
              <w:spacing w:line="280" w:lineRule="exact"/>
              <w:jc w:val="center"/>
              <w:rPr>
                <w:rFonts w:hint="eastAsia" w:ascii="宋体" w:hAnsi="宋体" w:cs="宋体"/>
                <w:sz w:val="18"/>
                <w:szCs w:val="18"/>
              </w:rPr>
            </w:pPr>
          </w:p>
        </w:tc>
        <w:tc>
          <w:tcPr>
            <w:tcW w:w="1240" w:type="dxa"/>
            <w:vAlign w:val="center"/>
          </w:tcPr>
          <w:p w14:paraId="1EF74477">
            <w:pPr>
              <w:spacing w:line="280" w:lineRule="exact"/>
              <w:jc w:val="center"/>
              <w:rPr>
                <w:rFonts w:hint="eastAsia" w:ascii="宋体" w:hAnsi="宋体" w:cs="宋体"/>
                <w:sz w:val="18"/>
                <w:szCs w:val="18"/>
              </w:rPr>
            </w:pPr>
            <w:r>
              <w:rPr>
                <w:rFonts w:hint="eastAsia" w:ascii="宋体" w:hAnsi="宋体" w:cs="宋体"/>
                <w:sz w:val="18"/>
                <w:szCs w:val="18"/>
              </w:rPr>
              <w:t>合计</w:t>
            </w:r>
          </w:p>
        </w:tc>
        <w:tc>
          <w:tcPr>
            <w:tcW w:w="734" w:type="dxa"/>
            <w:vAlign w:val="center"/>
          </w:tcPr>
          <w:p w14:paraId="0F0A5D61">
            <w:pPr>
              <w:spacing w:line="280" w:lineRule="exact"/>
              <w:jc w:val="center"/>
              <w:rPr>
                <w:rFonts w:hint="eastAsia" w:ascii="宋体" w:hAnsi="宋体" w:cs="宋体"/>
                <w:sz w:val="18"/>
                <w:szCs w:val="18"/>
              </w:rPr>
            </w:pPr>
            <w:r>
              <w:rPr>
                <w:rFonts w:ascii="宋体" w:hAnsi="宋体" w:cs="宋体"/>
                <w:sz w:val="18"/>
                <w:szCs w:val="18"/>
              </w:rPr>
              <w:fldChar w:fldCharType="begin"/>
            </w:r>
            <w:r>
              <w:rPr>
                <w:rFonts w:ascii="宋体" w:hAnsi="宋体" w:cs="宋体"/>
                <w:sz w:val="18"/>
                <w:szCs w:val="18"/>
              </w:rPr>
              <w:instrText xml:space="preserve"> =SUM(ABOVE) \* MERGEFORMAT </w:instrText>
            </w:r>
            <w:r>
              <w:rPr>
                <w:rFonts w:ascii="宋体" w:hAnsi="宋体" w:cs="宋体"/>
                <w:sz w:val="18"/>
                <w:szCs w:val="18"/>
              </w:rPr>
              <w:fldChar w:fldCharType="separate"/>
            </w:r>
            <w:r>
              <w:rPr>
                <w:rFonts w:ascii="宋体" w:hAnsi="宋体" w:cs="宋体"/>
                <w:sz w:val="18"/>
                <w:szCs w:val="18"/>
              </w:rPr>
              <w:t>70</w:t>
            </w:r>
            <w:r>
              <w:rPr>
                <w:rFonts w:ascii="宋体" w:hAnsi="宋体" w:cs="宋体"/>
                <w:sz w:val="18"/>
                <w:szCs w:val="18"/>
              </w:rPr>
              <w:fldChar w:fldCharType="end"/>
            </w:r>
          </w:p>
        </w:tc>
        <w:tc>
          <w:tcPr>
            <w:tcW w:w="6626" w:type="dxa"/>
            <w:vAlign w:val="center"/>
          </w:tcPr>
          <w:p w14:paraId="1BAD050B">
            <w:pPr>
              <w:widowControl/>
              <w:numPr>
                <w:ilvl w:val="255"/>
                <w:numId w:val="0"/>
              </w:numPr>
              <w:spacing w:line="280" w:lineRule="exact"/>
              <w:rPr>
                <w:rFonts w:hint="eastAsia" w:ascii="宋体" w:hAnsi="宋体" w:cs="宋体"/>
                <w:sz w:val="18"/>
                <w:szCs w:val="18"/>
              </w:rPr>
            </w:pPr>
          </w:p>
        </w:tc>
      </w:tr>
    </w:tbl>
    <w:p w14:paraId="43F56B8B">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注：</w:t>
      </w:r>
      <w:r>
        <w:rPr>
          <w:rFonts w:hint="eastAsia" w:asciiTheme="minorEastAsia" w:hAnsiTheme="minorEastAsia" w:eastAsiaTheme="minorEastAsia" w:cstheme="minorEastAsia"/>
          <w:sz w:val="22"/>
          <w:szCs w:val="22"/>
        </w:rPr>
        <w:t>1）投标人应保证所提供文件资料的真实性，所有文件资料必须是针对本次采购的。如发现投标人提供了虚假文件资料，其投标将作无效标处理，并自行承担相应的法律责任；</w:t>
      </w:r>
    </w:p>
    <w:p w14:paraId="392B7E5A">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2）如果上述某项评分细则在技术标中没有描述或不符合评分要求或严重离题，则此项可按零分处理。</w:t>
      </w:r>
    </w:p>
    <w:p w14:paraId="549B07C7">
      <w:pPr>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3）投标人提供的相关证明资料、截图查询证明等资料模糊不清，评委无法判断或者难以辨认时，评委评审时将视作未提供相关资料处理。</w:t>
      </w:r>
    </w:p>
    <w:p w14:paraId="5A864943">
      <w:pPr>
        <w:adjustRightInd w:val="0"/>
        <w:snapToGrid w:val="0"/>
        <w:ind w:firstLine="440"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sz w:val="22"/>
          <w:szCs w:val="22"/>
        </w:rPr>
        <w:t>4）以上所需提供的复印证明材料均需加盖投标供应商公章，否则不予认可。</w:t>
      </w:r>
    </w:p>
    <w:p w14:paraId="6CB585B9">
      <w:pPr>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2.商务（报价）评分（30分）</w:t>
      </w:r>
      <w:r>
        <w:rPr>
          <w:rFonts w:hint="eastAsia" w:asciiTheme="minorEastAsia" w:hAnsiTheme="minorEastAsia" w:eastAsiaTheme="minorEastAsia" w:cstheme="minorEastAsia"/>
          <w:b/>
          <w:sz w:val="22"/>
        </w:rPr>
        <w:t>：</w:t>
      </w:r>
    </w:p>
    <w:p w14:paraId="0AD80A1D">
      <w:pPr>
        <w:ind w:firstLine="440" w:firstLineChars="200"/>
        <w:rPr>
          <w:rFonts w:hint="eastAsia" w:ascii="宋体" w:hAnsi="宋体" w:cs="宋体"/>
          <w:sz w:val="22"/>
          <w:szCs w:val="22"/>
        </w:rPr>
      </w:pPr>
      <w:r>
        <w:rPr>
          <w:rFonts w:hint="eastAsia" w:ascii="宋体" w:hAnsi="宋体" w:cs="宋体"/>
          <w:sz w:val="22"/>
          <w:szCs w:val="22"/>
        </w:rPr>
        <w:t>2.1开标一览表中A--D项</w:t>
      </w:r>
      <w:r>
        <w:rPr>
          <w:rFonts w:hint="eastAsia" w:ascii="宋体" w:hAnsi="宋体" w:cs="宋体"/>
          <w:b/>
          <w:bCs/>
          <w:sz w:val="22"/>
          <w:szCs w:val="22"/>
          <w:u w:val="single"/>
        </w:rPr>
        <w:t>不含税综合单价</w:t>
      </w:r>
      <w:r>
        <w:rPr>
          <w:rFonts w:hint="eastAsia" w:ascii="宋体" w:hAnsi="宋体" w:cs="宋体"/>
          <w:sz w:val="22"/>
          <w:szCs w:val="22"/>
        </w:rPr>
        <w:t>报价得分按如下规定分别计算、并汇总商务（报价）得分：</w:t>
      </w:r>
    </w:p>
    <w:p w14:paraId="1D08B069">
      <w:pPr>
        <w:ind w:firstLine="440" w:firstLineChars="200"/>
        <w:rPr>
          <w:rFonts w:hint="eastAsia" w:ascii="宋体" w:hAnsi="宋体" w:cs="宋体"/>
          <w:sz w:val="22"/>
          <w:szCs w:val="22"/>
        </w:rPr>
      </w:pPr>
      <w:r>
        <w:rPr>
          <w:rFonts w:hint="eastAsia" w:ascii="宋体" w:hAnsi="宋体" w:cs="宋体"/>
          <w:sz w:val="22"/>
          <w:szCs w:val="22"/>
        </w:rPr>
        <w:t>2.1.1各</w:t>
      </w:r>
      <w:r>
        <w:rPr>
          <w:rFonts w:hint="eastAsia" w:ascii="宋体" w:hAnsi="宋体" w:cs="宋体"/>
          <w:b/>
          <w:bCs/>
          <w:sz w:val="22"/>
          <w:szCs w:val="22"/>
        </w:rPr>
        <w:t>不含税综合单价</w:t>
      </w:r>
      <w:r>
        <w:rPr>
          <w:rFonts w:hint="eastAsia" w:ascii="宋体" w:hAnsi="宋体" w:cs="宋体"/>
          <w:sz w:val="22"/>
          <w:szCs w:val="22"/>
        </w:rPr>
        <w:t>报价得分评标基准价的计算：</w:t>
      </w:r>
    </w:p>
    <w:p w14:paraId="7164769F">
      <w:pPr>
        <w:ind w:firstLine="440" w:firstLineChars="200"/>
        <w:rPr>
          <w:rFonts w:hint="eastAsia" w:ascii="宋体" w:hAnsi="宋体" w:cs="宋体"/>
          <w:sz w:val="22"/>
          <w:szCs w:val="22"/>
        </w:rPr>
      </w:pPr>
      <w:r>
        <w:rPr>
          <w:rFonts w:hint="eastAsia" w:ascii="宋体" w:hAnsi="宋体" w:cs="宋体"/>
          <w:sz w:val="22"/>
          <w:szCs w:val="22"/>
        </w:rPr>
        <w:t>满足采购文件要求且各项（某项）</w:t>
      </w:r>
      <w:r>
        <w:rPr>
          <w:rFonts w:hint="eastAsia" w:ascii="宋体" w:hAnsi="宋体" w:cs="宋体"/>
          <w:b/>
          <w:bCs/>
          <w:sz w:val="22"/>
          <w:szCs w:val="22"/>
        </w:rPr>
        <w:t>不含税综合单价</w:t>
      </w:r>
      <w:r>
        <w:rPr>
          <w:rFonts w:hint="eastAsia" w:ascii="宋体" w:hAnsi="宋体" w:cs="宋体"/>
          <w:sz w:val="22"/>
          <w:szCs w:val="22"/>
        </w:rPr>
        <w:t>报价中的最低值X值为该分项不含税综合单价报价评分的评标基准价。</w:t>
      </w:r>
    </w:p>
    <w:p w14:paraId="3627A0BB">
      <w:pPr>
        <w:ind w:firstLine="440" w:firstLineChars="200"/>
        <w:rPr>
          <w:rFonts w:hint="eastAsia" w:ascii="宋体" w:hAnsi="宋体" w:cs="宋体"/>
          <w:sz w:val="22"/>
          <w:szCs w:val="22"/>
        </w:rPr>
      </w:pPr>
      <w:r>
        <w:rPr>
          <w:rFonts w:hint="eastAsia" w:ascii="宋体" w:hAnsi="宋体" w:cs="宋体"/>
          <w:sz w:val="22"/>
          <w:szCs w:val="22"/>
        </w:rPr>
        <w:t>2.1.2汇总商务（报价）满分为30分（其中A项2.5分，B项5分，C项4分，D项项满分为18.5分）。</w:t>
      </w:r>
    </w:p>
    <w:p w14:paraId="294E0039">
      <w:pPr>
        <w:ind w:firstLine="440" w:firstLineChars="200"/>
        <w:rPr>
          <w:rFonts w:hint="eastAsia" w:ascii="宋体" w:hAnsi="宋体" w:cs="宋体"/>
          <w:sz w:val="22"/>
          <w:szCs w:val="22"/>
        </w:rPr>
      </w:pPr>
      <w:r>
        <w:rPr>
          <w:rFonts w:hint="eastAsia" w:ascii="宋体" w:hAnsi="宋体" w:cs="宋体"/>
          <w:sz w:val="22"/>
          <w:szCs w:val="22"/>
        </w:rPr>
        <w:t>2.1.3其余投标人对应不含税综合单价报价与该分项基准价对比，按如下规定计算出该分项商务报价评分值（均保留小数2位，第3位四舍五入）：</w:t>
      </w:r>
    </w:p>
    <w:p w14:paraId="306B5FD4">
      <w:pPr>
        <w:ind w:firstLine="440" w:firstLineChars="200"/>
        <w:rPr>
          <w:rFonts w:hint="eastAsia" w:ascii="宋体" w:hAnsi="宋体" w:cs="宋体"/>
          <w:sz w:val="22"/>
          <w:szCs w:val="22"/>
        </w:rPr>
      </w:pPr>
      <w:r>
        <w:rPr>
          <w:rFonts w:hint="eastAsia" w:ascii="宋体" w:hAnsi="宋体" w:cs="宋体"/>
          <w:sz w:val="22"/>
          <w:szCs w:val="22"/>
        </w:rPr>
        <w:t>某项不含税综合单价报价中，不含税综合单价等于X值的为该分项商务（报价）分的满分值。其余各项商务报价评分结算公式为：</w:t>
      </w:r>
    </w:p>
    <w:p w14:paraId="224808AE">
      <w:pPr>
        <w:ind w:firstLine="440" w:firstLineChars="200"/>
        <w:rPr>
          <w:rFonts w:hint="eastAsia" w:ascii="宋体" w:hAnsi="宋体" w:cs="宋体"/>
          <w:sz w:val="22"/>
          <w:szCs w:val="22"/>
        </w:rPr>
      </w:pPr>
      <w:r>
        <w:rPr>
          <w:rFonts w:hint="eastAsia" w:ascii="宋体" w:hAnsi="宋体" w:cs="宋体"/>
          <w:sz w:val="22"/>
          <w:szCs w:val="22"/>
        </w:rPr>
        <w:t>A=(分项评标基准价／对应项</w:t>
      </w:r>
      <w:r>
        <w:rPr>
          <w:rFonts w:hint="eastAsia" w:ascii="宋体" w:hAnsi="宋体" w:cs="宋体"/>
          <w:b/>
          <w:bCs/>
          <w:sz w:val="22"/>
          <w:szCs w:val="22"/>
          <w:u w:val="single"/>
        </w:rPr>
        <w:t>不含税综合单价</w:t>
      </w:r>
      <w:r>
        <w:rPr>
          <w:rFonts w:hint="eastAsia" w:ascii="宋体" w:hAnsi="宋体" w:cs="宋体"/>
          <w:sz w:val="22"/>
          <w:szCs w:val="22"/>
        </w:rPr>
        <w:t>投标报价)×2.5%×100</w:t>
      </w:r>
    </w:p>
    <w:p w14:paraId="4081CBAF">
      <w:pPr>
        <w:ind w:firstLine="440" w:firstLineChars="200"/>
        <w:rPr>
          <w:rFonts w:hint="eastAsia" w:ascii="宋体" w:hAnsi="宋体" w:cs="宋体"/>
          <w:sz w:val="22"/>
          <w:szCs w:val="22"/>
        </w:rPr>
      </w:pPr>
      <w:r>
        <w:rPr>
          <w:rFonts w:hint="eastAsia" w:ascii="宋体" w:hAnsi="宋体" w:cs="宋体"/>
          <w:sz w:val="22"/>
          <w:szCs w:val="22"/>
        </w:rPr>
        <w:t>B=(分项评标基准价／对应项</w:t>
      </w:r>
      <w:r>
        <w:rPr>
          <w:rFonts w:hint="eastAsia" w:ascii="宋体" w:hAnsi="宋体" w:cs="宋体"/>
          <w:b/>
          <w:bCs/>
          <w:sz w:val="22"/>
          <w:szCs w:val="22"/>
          <w:u w:val="single"/>
        </w:rPr>
        <w:t>不含税综合单价</w:t>
      </w:r>
      <w:r>
        <w:rPr>
          <w:rFonts w:hint="eastAsia" w:ascii="宋体" w:hAnsi="宋体" w:cs="宋体"/>
          <w:sz w:val="22"/>
          <w:szCs w:val="22"/>
        </w:rPr>
        <w:t>投标报价)×5%×100</w:t>
      </w:r>
    </w:p>
    <w:p w14:paraId="4E6FD58F">
      <w:pPr>
        <w:ind w:firstLine="440" w:firstLineChars="200"/>
        <w:rPr>
          <w:rFonts w:hint="eastAsia" w:ascii="宋体" w:hAnsi="宋体" w:cs="宋体"/>
          <w:sz w:val="22"/>
          <w:szCs w:val="22"/>
        </w:rPr>
      </w:pPr>
      <w:r>
        <w:rPr>
          <w:rFonts w:hint="eastAsia" w:ascii="宋体" w:hAnsi="宋体" w:cs="宋体"/>
          <w:sz w:val="22"/>
          <w:szCs w:val="22"/>
        </w:rPr>
        <w:t>C=(分项评标基准价／对应项</w:t>
      </w:r>
      <w:r>
        <w:rPr>
          <w:rFonts w:hint="eastAsia" w:ascii="宋体" w:hAnsi="宋体" w:cs="宋体"/>
          <w:b/>
          <w:bCs/>
          <w:sz w:val="22"/>
          <w:szCs w:val="22"/>
          <w:u w:val="single"/>
        </w:rPr>
        <w:t>不含税综合单价</w:t>
      </w:r>
      <w:r>
        <w:rPr>
          <w:rFonts w:hint="eastAsia" w:ascii="宋体" w:hAnsi="宋体" w:cs="宋体"/>
          <w:sz w:val="22"/>
          <w:szCs w:val="22"/>
        </w:rPr>
        <w:t>投标报价)×4%×100</w:t>
      </w:r>
    </w:p>
    <w:p w14:paraId="3360B8C0">
      <w:pPr>
        <w:ind w:firstLine="440" w:firstLineChars="200"/>
        <w:rPr>
          <w:rFonts w:hint="eastAsia" w:ascii="宋体" w:hAnsi="宋体" w:cs="宋体"/>
          <w:sz w:val="22"/>
          <w:szCs w:val="22"/>
        </w:rPr>
      </w:pPr>
      <w:r>
        <w:rPr>
          <w:rFonts w:hint="eastAsia" w:ascii="宋体" w:hAnsi="宋体" w:cs="宋体"/>
          <w:sz w:val="22"/>
          <w:szCs w:val="22"/>
        </w:rPr>
        <w:t>D=(分项评标基准价／对应项</w:t>
      </w:r>
      <w:r>
        <w:rPr>
          <w:rFonts w:hint="eastAsia" w:ascii="宋体" w:hAnsi="宋体" w:cs="宋体"/>
          <w:b/>
          <w:bCs/>
          <w:sz w:val="22"/>
          <w:szCs w:val="22"/>
          <w:u w:val="single"/>
        </w:rPr>
        <w:t>不含税综合单价</w:t>
      </w:r>
      <w:r>
        <w:rPr>
          <w:rFonts w:hint="eastAsia" w:ascii="宋体" w:hAnsi="宋体" w:cs="宋体"/>
          <w:sz w:val="22"/>
          <w:szCs w:val="22"/>
        </w:rPr>
        <w:t>投标报价)×18.5%×100</w:t>
      </w:r>
    </w:p>
    <w:p w14:paraId="209C6383">
      <w:pPr>
        <w:ind w:firstLine="442" w:firstLineChars="200"/>
        <w:rPr>
          <w:rFonts w:hint="eastAsia" w:ascii="宋体" w:hAnsi="宋体" w:cs="宋体"/>
          <w:b/>
          <w:bCs/>
          <w:sz w:val="22"/>
          <w:u w:val="single"/>
        </w:rPr>
      </w:pPr>
      <w:r>
        <w:rPr>
          <w:rFonts w:hint="eastAsia" w:ascii="宋体" w:hAnsi="宋体" w:cs="宋体"/>
          <w:b/>
          <w:bCs/>
          <w:sz w:val="22"/>
          <w:szCs w:val="22"/>
          <w:u w:val="single"/>
        </w:rPr>
        <w:t>2.1.4▲投标人开标一览表关于A--D项不含税综合单价报价中，任一一项报价超过相应综合单价最高限价的作无效标处理</w:t>
      </w:r>
      <w:r>
        <w:rPr>
          <w:rFonts w:hint="eastAsia" w:ascii="宋体" w:hAnsi="宋体" w:cs="宋体"/>
          <w:b/>
          <w:bCs/>
          <w:sz w:val="22"/>
          <w:u w:val="single"/>
        </w:rPr>
        <w:t>。</w:t>
      </w:r>
    </w:p>
    <w:p w14:paraId="2AA25030">
      <w:pPr>
        <w:ind w:firstLine="440" w:firstLineChars="200"/>
        <w:rPr>
          <w:rFonts w:hint="eastAsia" w:ascii="宋体" w:hAnsi="宋体" w:cs="宋体"/>
          <w:sz w:val="22"/>
          <w:szCs w:val="22"/>
        </w:rPr>
      </w:pPr>
      <w:r>
        <w:rPr>
          <w:rFonts w:hint="eastAsia" w:ascii="宋体" w:hAnsi="宋体" w:cs="宋体"/>
          <w:sz w:val="22"/>
          <w:szCs w:val="22"/>
        </w:rPr>
        <w:t>2.2汇总商务（报价）评分结算公式为：投标报价得分=A+B+C+D（保留小数2位，第3位四舍五入）</w:t>
      </w:r>
    </w:p>
    <w:p w14:paraId="2FEB12BC">
      <w:pPr>
        <w:ind w:firstLine="440" w:firstLineChars="200"/>
        <w:rPr>
          <w:rFonts w:hint="eastAsia" w:asciiTheme="minorEastAsia" w:hAnsiTheme="minorEastAsia" w:eastAsiaTheme="minorEastAsia" w:cstheme="minorEastAsia"/>
          <w:sz w:val="22"/>
          <w:szCs w:val="22"/>
        </w:rPr>
      </w:pPr>
      <w:r>
        <w:rPr>
          <w:rFonts w:hint="eastAsia" w:ascii="宋体" w:hAnsi="宋体" w:cs="宋体"/>
          <w:sz w:val="22"/>
          <w:szCs w:val="22"/>
        </w:rPr>
        <w:t>3.有效投标人的综合得分为技术资信分和其汇总商务（报价）分的总和。</w:t>
      </w:r>
    </w:p>
    <w:p w14:paraId="683A9335">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4.评标委员会按有效投标供应商综合得分高低顺序排列，按投标须知前附表序号23中编列内容的规定推荐中标候选人，并提交评标报告。</w:t>
      </w:r>
    </w:p>
    <w:p w14:paraId="2A2E3B16">
      <w:pPr>
        <w:pStyle w:val="10"/>
        <w:overflowPunct w:val="0"/>
        <w:spacing w:after="0"/>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五、定标办法</w:t>
      </w:r>
    </w:p>
    <w:p w14:paraId="4A9D84DF">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1.评标委员会依据法律、法规及采购文件有关规定在有效投标人的综合得分由高到低进行排序，选取综合得分第一、第二名的投标人推荐为中标候选人（综合得分相同以</w:t>
      </w:r>
      <w:r>
        <w:rPr>
          <w:rFonts w:hint="eastAsia" w:ascii="宋体" w:hAnsi="宋体" w:cs="宋体"/>
          <w:sz w:val="22"/>
          <w:szCs w:val="22"/>
        </w:rPr>
        <w:t>汇总商务（报价）得分高</w:t>
      </w:r>
      <w:r>
        <w:rPr>
          <w:rFonts w:hint="eastAsia" w:asciiTheme="minorEastAsia" w:hAnsiTheme="minorEastAsia" w:eastAsiaTheme="minorEastAsia" w:cstheme="minorEastAsia"/>
          <w:sz w:val="22"/>
          <w:szCs w:val="22"/>
        </w:rPr>
        <w:t>的排序第一；综合得分且</w:t>
      </w:r>
      <w:r>
        <w:rPr>
          <w:rFonts w:hint="eastAsia" w:ascii="宋体" w:hAnsi="宋体" w:cs="宋体"/>
          <w:sz w:val="22"/>
          <w:szCs w:val="22"/>
        </w:rPr>
        <w:t>汇总商务（报价）得分</w:t>
      </w:r>
      <w:r>
        <w:rPr>
          <w:rFonts w:hint="eastAsia" w:asciiTheme="minorEastAsia" w:hAnsiTheme="minorEastAsia" w:eastAsiaTheme="minorEastAsia" w:cstheme="minorEastAsia"/>
          <w:sz w:val="22"/>
          <w:szCs w:val="22"/>
        </w:rPr>
        <w:t>相同的，则由评标委员会在所有得分均相同者中随机抽取其中一名为名次优先者）。</w:t>
      </w:r>
    </w:p>
    <w:p w14:paraId="17FF3C9A">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2.采购人根据评标委员会的意见进行最终确认中标人。</w:t>
      </w:r>
    </w:p>
    <w:p w14:paraId="35C48E67">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如综合得分排名第一的中标候选任放弃中标；或因不可抗力或自身原因提出不能履行合同；或者采购文件规定或合同约定应当提交履约担保而在规定的期限内未能提交的；或未能在规定时间内与采购人签订合同的；或在规定时间内借故否认已经承诺的条件而拒签合同的；或已签合同却拒绝按合同约定履约的；或者经质疑，采购人审查后，确因排名第一的候选任在本次采购活动中存在违法违规行为或其他原因使质疑成立的，</w:t>
      </w:r>
      <w:r>
        <w:rPr>
          <w:rFonts w:hint="eastAsia" w:asciiTheme="minorEastAsia" w:hAnsiTheme="minorEastAsia" w:eastAsiaTheme="minorEastAsia" w:cstheme="minorEastAsia"/>
          <w:sz w:val="22"/>
        </w:rPr>
        <w:t>采购人可视具体情况确定是否由排名第二的中标候选任为中标人，或决定</w:t>
      </w:r>
      <w:r>
        <w:rPr>
          <w:rFonts w:hint="eastAsia" w:asciiTheme="minorEastAsia" w:hAnsiTheme="minorEastAsia" w:eastAsiaTheme="minorEastAsia" w:cstheme="minorEastAsia"/>
          <w:sz w:val="22"/>
          <w:szCs w:val="22"/>
        </w:rPr>
        <w:t>本次采购失败，重新组织采购。</w:t>
      </w:r>
    </w:p>
    <w:p w14:paraId="5097D092">
      <w:pPr>
        <w:pStyle w:val="10"/>
        <w:overflowPunct w:val="0"/>
        <w:spacing w:after="0"/>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六、确定中标人</w:t>
      </w:r>
    </w:p>
    <w:p w14:paraId="6B2951FE">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评标结束后，采购人将在发布采购公告的网站上公示中标结果。中标公告期为3日，中标公告期限结束无异议的，采购人向中标人发出中标通知书。</w:t>
      </w:r>
    </w:p>
    <w:p w14:paraId="2B3B7F20">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各投标人对评标结果如有异议，可在中标公告期内以书面形式向采购人进行署名投诉或提出质疑，但需对投诉或质疑内容的真实性承担法律责任。</w:t>
      </w:r>
    </w:p>
    <w:p w14:paraId="2488C039">
      <w:pPr>
        <w:pStyle w:val="10"/>
        <w:overflowPunct w:val="0"/>
        <w:spacing w:after="0"/>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七、投标供应商义务</w:t>
      </w:r>
    </w:p>
    <w:p w14:paraId="2D431D21">
      <w:pPr>
        <w:pStyle w:val="11"/>
        <w:spacing w:after="0"/>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投标供应商应随时接受评标委员会的询标，解答包括有关的商务、技术问题等。评标结束，所有评标资料存采购机构备查。</w:t>
      </w:r>
    </w:p>
    <w:p w14:paraId="02C14D57">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br w:type="page"/>
      </w:r>
    </w:p>
    <w:p w14:paraId="4CC0A79F">
      <w:pPr>
        <w:pStyle w:val="38"/>
        <w:rPr>
          <w:rFonts w:hint="eastAsia" w:ascii="宋体" w:hAnsi="宋体" w:cs="宋体"/>
        </w:rPr>
      </w:pPr>
      <w:bookmarkStart w:id="148" w:name="OLE_LINK5"/>
      <w:r>
        <w:rPr>
          <w:rFonts w:hint="eastAsia" w:ascii="宋体" w:hAnsi="宋体" w:cs="宋体"/>
        </w:rPr>
        <w:t>评审附件：STR超高端酒店或奢华酒店名单</w:t>
      </w:r>
    </w:p>
    <w:bookmarkEnd w:id="148"/>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6"/>
      </w:tblGrid>
      <w:tr w14:paraId="1192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8" w:type="dxa"/>
          </w:tcPr>
          <w:p w14:paraId="15EB4E44">
            <w:pPr>
              <w:pStyle w:val="26"/>
              <w:widowControl/>
              <w:spacing w:before="300" w:after="300" w:line="26" w:lineRule="atLeast"/>
              <w:jc w:val="center"/>
              <w:rPr>
                <w:rStyle w:val="32"/>
                <w:rFonts w:hint="eastAsia" w:ascii="宋体" w:hAnsi="宋体" w:cs="宋体"/>
                <w:color w:val="333333"/>
                <w:sz w:val="21"/>
                <w:szCs w:val="21"/>
              </w:rPr>
            </w:pPr>
            <w:bookmarkStart w:id="149" w:name="OLE_LINK9"/>
            <w:r>
              <w:rPr>
                <w:rStyle w:val="32"/>
                <w:rFonts w:hint="eastAsia" w:ascii="宋体" w:hAnsi="宋体" w:cs="宋体"/>
                <w:color w:val="333333"/>
                <w:sz w:val="21"/>
                <w:szCs w:val="21"/>
              </w:rPr>
              <w:t>STR</w:t>
            </w:r>
            <w:r>
              <w:rPr>
                <w:rStyle w:val="32"/>
                <w:rFonts w:hint="eastAsia" w:ascii="宋体" w:hAnsi="宋体" w:cs="宋体"/>
                <w:bCs/>
                <w:color w:val="333333"/>
                <w:sz w:val="21"/>
                <w:szCs w:val="21"/>
              </w:rPr>
              <w:t>超高端或奢华的酒</w:t>
            </w:r>
            <w:r>
              <w:rPr>
                <w:rStyle w:val="32"/>
                <w:rFonts w:hint="eastAsia" w:ascii="宋体" w:hAnsi="宋体" w:cs="宋体"/>
                <w:color w:val="333333"/>
                <w:sz w:val="21"/>
                <w:szCs w:val="21"/>
              </w:rPr>
              <w:t>店名单</w:t>
            </w:r>
          </w:p>
          <w:bookmarkEnd w:id="149"/>
          <w:p w14:paraId="7F264677">
            <w:pPr>
              <w:pStyle w:val="26"/>
              <w:widowControl/>
              <w:spacing w:line="264" w:lineRule="auto"/>
              <w:rPr>
                <w:rFonts w:hint="eastAsia" w:ascii="宋体" w:hAnsi="宋体" w:cs="宋体"/>
                <w:color w:val="333333"/>
                <w:sz w:val="21"/>
                <w:szCs w:val="21"/>
              </w:rPr>
            </w:pPr>
            <w:r>
              <w:rPr>
                <w:rStyle w:val="32"/>
                <w:rFonts w:hint="eastAsia" w:ascii="宋体" w:hAnsi="宋体" w:cs="宋体"/>
                <w:color w:val="333333"/>
                <w:sz w:val="21"/>
                <w:szCs w:val="21"/>
              </w:rPr>
              <w:t>一、 Luxury 奢华</w:t>
            </w:r>
          </w:p>
          <w:p w14:paraId="7A6A332C">
            <w:pPr>
              <w:pStyle w:val="26"/>
              <w:widowControl/>
              <w:spacing w:line="264" w:lineRule="auto"/>
              <w:rPr>
                <w:rFonts w:hint="eastAsia" w:ascii="宋体" w:hAnsi="宋体" w:cs="宋体"/>
                <w:color w:val="333333"/>
                <w:sz w:val="21"/>
                <w:szCs w:val="21"/>
                <w:u w:val="single"/>
              </w:rPr>
            </w:pPr>
            <w:r>
              <w:rPr>
                <w:rFonts w:hint="eastAsia" w:ascii="宋体" w:hAnsi="宋体" w:cs="宋体"/>
                <w:color w:val="333333"/>
                <w:sz w:val="21"/>
                <w:szCs w:val="21"/>
                <w:u w:val="single"/>
              </w:rPr>
              <w:t>Marriott 万豪：Bulgari 宝格丽</w:t>
            </w:r>
            <w:r>
              <w:rPr>
                <w:rFonts w:hint="eastAsia" w:ascii="宋体" w:hAnsi="宋体" w:cs="宋体"/>
                <w:color w:val="333333"/>
                <w:sz w:val="21"/>
                <w:szCs w:val="21"/>
              </w:rPr>
              <w:t>、</w:t>
            </w:r>
            <w:r>
              <w:rPr>
                <w:rFonts w:hint="eastAsia" w:ascii="宋体" w:hAnsi="宋体" w:cs="宋体"/>
                <w:color w:val="333333"/>
                <w:sz w:val="21"/>
                <w:szCs w:val="21"/>
                <w:u w:val="single"/>
              </w:rPr>
              <w:t>EDITION 艾迪逊</w:t>
            </w:r>
            <w:r>
              <w:rPr>
                <w:rFonts w:hint="eastAsia" w:ascii="宋体" w:hAnsi="宋体" w:cs="宋体"/>
                <w:color w:val="333333"/>
                <w:sz w:val="21"/>
                <w:szCs w:val="21"/>
              </w:rPr>
              <w:t>、</w:t>
            </w:r>
            <w:r>
              <w:rPr>
                <w:rFonts w:hint="eastAsia" w:ascii="宋体" w:hAnsi="宋体" w:cs="宋体"/>
                <w:color w:val="333333"/>
                <w:sz w:val="21"/>
                <w:szCs w:val="21"/>
                <w:u w:val="single"/>
              </w:rPr>
              <w:t>JW Marriott JW 万豪</w:t>
            </w:r>
            <w:r>
              <w:rPr>
                <w:rFonts w:hint="eastAsia" w:ascii="宋体" w:hAnsi="宋体" w:cs="宋体"/>
                <w:color w:val="333333"/>
                <w:sz w:val="21"/>
                <w:szCs w:val="21"/>
              </w:rPr>
              <w:t>、</w:t>
            </w:r>
            <w:r>
              <w:rPr>
                <w:rFonts w:hint="eastAsia" w:ascii="宋体" w:hAnsi="宋体" w:cs="宋体"/>
                <w:color w:val="333333"/>
                <w:sz w:val="21"/>
                <w:szCs w:val="21"/>
                <w:u w:val="single"/>
              </w:rPr>
              <w:t>The Luxury Collection 豪华精选</w:t>
            </w:r>
            <w:r>
              <w:rPr>
                <w:rFonts w:hint="eastAsia" w:ascii="宋体" w:hAnsi="宋体" w:cs="宋体"/>
                <w:color w:val="333333"/>
                <w:sz w:val="21"/>
                <w:szCs w:val="21"/>
              </w:rPr>
              <w:t>、</w:t>
            </w:r>
            <w:r>
              <w:rPr>
                <w:rFonts w:hint="eastAsia" w:ascii="宋体" w:hAnsi="宋体" w:cs="宋体"/>
                <w:color w:val="333333"/>
                <w:sz w:val="21"/>
                <w:szCs w:val="21"/>
                <w:u w:val="single"/>
              </w:rPr>
              <w:t>The Ritz-Carlton 丽思卡尔顿</w:t>
            </w:r>
            <w:r>
              <w:rPr>
                <w:rFonts w:hint="eastAsia" w:ascii="宋体" w:hAnsi="宋体" w:cs="宋体"/>
                <w:color w:val="333333"/>
                <w:sz w:val="21"/>
                <w:szCs w:val="21"/>
              </w:rPr>
              <w:t>、</w:t>
            </w:r>
            <w:r>
              <w:rPr>
                <w:rFonts w:hint="eastAsia" w:ascii="宋体" w:hAnsi="宋体" w:cs="宋体"/>
                <w:color w:val="333333"/>
                <w:sz w:val="21"/>
                <w:szCs w:val="21"/>
                <w:u w:val="single"/>
              </w:rPr>
              <w:t>St. Regis 瑞吉</w:t>
            </w:r>
            <w:r>
              <w:rPr>
                <w:rFonts w:hint="eastAsia" w:ascii="宋体" w:hAnsi="宋体" w:cs="宋体"/>
                <w:color w:val="333333"/>
                <w:sz w:val="21"/>
                <w:szCs w:val="21"/>
              </w:rPr>
              <w:t>、</w:t>
            </w:r>
            <w:r>
              <w:rPr>
                <w:rFonts w:hint="eastAsia" w:ascii="宋体" w:hAnsi="宋体" w:cs="宋体"/>
                <w:color w:val="333333"/>
                <w:sz w:val="21"/>
                <w:szCs w:val="21"/>
                <w:u w:val="single"/>
              </w:rPr>
              <w:t>W Hotels W 酒店</w:t>
            </w:r>
          </w:p>
          <w:p w14:paraId="573A0735">
            <w:pPr>
              <w:pStyle w:val="26"/>
              <w:widowControl/>
              <w:spacing w:line="264" w:lineRule="auto"/>
              <w:rPr>
                <w:rFonts w:hint="eastAsia" w:ascii="宋体" w:hAnsi="宋体" w:cs="宋体"/>
                <w:color w:val="333333"/>
                <w:sz w:val="21"/>
                <w:szCs w:val="21"/>
                <w:u w:val="single"/>
              </w:rPr>
            </w:pPr>
            <w:r>
              <w:rPr>
                <w:rFonts w:hint="eastAsia" w:ascii="宋体" w:hAnsi="宋体" w:cs="宋体"/>
                <w:color w:val="333333"/>
                <w:sz w:val="21"/>
                <w:szCs w:val="21"/>
                <w:u w:val="single"/>
              </w:rPr>
              <w:t>IHG 洲际：InterContinental 洲际</w:t>
            </w:r>
            <w:r>
              <w:rPr>
                <w:rFonts w:hint="eastAsia" w:ascii="宋体" w:hAnsi="宋体" w:cs="宋体"/>
                <w:color w:val="333333"/>
                <w:sz w:val="21"/>
                <w:szCs w:val="21"/>
              </w:rPr>
              <w:t>、</w:t>
            </w:r>
            <w:r>
              <w:rPr>
                <w:rFonts w:hint="eastAsia" w:ascii="宋体" w:hAnsi="宋体" w:cs="宋体"/>
                <w:color w:val="333333"/>
                <w:sz w:val="21"/>
                <w:szCs w:val="21"/>
                <w:u w:val="single"/>
              </w:rPr>
              <w:t>Regent 丽晶</w:t>
            </w:r>
            <w:r>
              <w:rPr>
                <w:rFonts w:hint="eastAsia" w:ascii="宋体" w:hAnsi="宋体" w:cs="宋体"/>
                <w:color w:val="333333"/>
                <w:sz w:val="21"/>
                <w:szCs w:val="21"/>
              </w:rPr>
              <w:t>、</w:t>
            </w:r>
            <w:r>
              <w:rPr>
                <w:rFonts w:hint="eastAsia" w:ascii="宋体" w:hAnsi="宋体" w:cs="宋体"/>
                <w:color w:val="333333"/>
                <w:sz w:val="21"/>
                <w:szCs w:val="21"/>
                <w:u w:val="single"/>
              </w:rPr>
              <w:t>Six Senses 六善</w:t>
            </w:r>
          </w:p>
          <w:p w14:paraId="68336F91">
            <w:pPr>
              <w:pStyle w:val="26"/>
              <w:widowControl/>
              <w:spacing w:line="264" w:lineRule="auto"/>
              <w:rPr>
                <w:rFonts w:hint="eastAsia" w:ascii="宋体" w:hAnsi="宋体" w:cs="宋体"/>
                <w:color w:val="333333"/>
                <w:sz w:val="21"/>
                <w:szCs w:val="21"/>
                <w:u w:val="single"/>
              </w:rPr>
            </w:pPr>
            <w:r>
              <w:rPr>
                <w:rFonts w:hint="eastAsia" w:ascii="宋体" w:hAnsi="宋体" w:cs="宋体"/>
                <w:color w:val="333333"/>
                <w:sz w:val="21"/>
                <w:szCs w:val="21"/>
                <w:u w:val="single"/>
              </w:rPr>
              <w:t>Hyatt 凯悦：Alila 阿丽拉</w:t>
            </w:r>
            <w:r>
              <w:rPr>
                <w:rFonts w:hint="eastAsia" w:ascii="宋体" w:hAnsi="宋体" w:cs="宋体"/>
                <w:color w:val="333333"/>
                <w:sz w:val="21"/>
                <w:szCs w:val="21"/>
              </w:rPr>
              <w:t>、</w:t>
            </w:r>
            <w:r>
              <w:rPr>
                <w:rFonts w:hint="eastAsia" w:ascii="宋体" w:hAnsi="宋体" w:cs="宋体"/>
                <w:color w:val="333333"/>
                <w:sz w:val="21"/>
                <w:szCs w:val="21"/>
                <w:u w:val="single"/>
              </w:rPr>
              <w:t>Andaz 安达仕</w:t>
            </w:r>
            <w:r>
              <w:rPr>
                <w:rFonts w:hint="eastAsia" w:ascii="宋体" w:hAnsi="宋体" w:cs="宋体"/>
                <w:color w:val="333333"/>
                <w:sz w:val="21"/>
                <w:szCs w:val="21"/>
              </w:rPr>
              <w:t>、</w:t>
            </w:r>
            <w:r>
              <w:rPr>
                <w:rFonts w:hint="eastAsia" w:ascii="宋体" w:hAnsi="宋体" w:cs="宋体"/>
                <w:color w:val="333333"/>
                <w:sz w:val="21"/>
                <w:szCs w:val="21"/>
                <w:u w:val="single"/>
              </w:rPr>
              <w:t>Grand Hyatt 君悦</w:t>
            </w:r>
            <w:r>
              <w:rPr>
                <w:rFonts w:hint="eastAsia" w:ascii="宋体" w:hAnsi="宋体" w:cs="宋体"/>
                <w:color w:val="333333"/>
                <w:sz w:val="21"/>
                <w:szCs w:val="21"/>
              </w:rPr>
              <w:t>、</w:t>
            </w:r>
            <w:r>
              <w:rPr>
                <w:rFonts w:hint="eastAsia" w:ascii="宋体" w:hAnsi="宋体" w:cs="宋体"/>
                <w:color w:val="333333"/>
                <w:sz w:val="21"/>
                <w:szCs w:val="21"/>
                <w:u w:val="single"/>
              </w:rPr>
              <w:t>Park Hyatt 柏悦</w:t>
            </w:r>
            <w:r>
              <w:rPr>
                <w:rFonts w:hint="eastAsia" w:ascii="宋体" w:hAnsi="宋体" w:cs="宋体"/>
                <w:color w:val="333333"/>
                <w:sz w:val="21"/>
                <w:szCs w:val="21"/>
              </w:rPr>
              <w:t>、</w:t>
            </w:r>
            <w:r>
              <w:rPr>
                <w:rFonts w:hint="eastAsia" w:ascii="宋体" w:hAnsi="宋体" w:cs="宋体"/>
                <w:color w:val="333333"/>
                <w:sz w:val="21"/>
                <w:szCs w:val="21"/>
                <w:u w:val="single"/>
              </w:rPr>
              <w:t>The Unbound Collection 凯悦臻选</w:t>
            </w:r>
          </w:p>
          <w:p w14:paraId="184BFC6C">
            <w:pPr>
              <w:pStyle w:val="26"/>
              <w:widowControl/>
              <w:spacing w:line="264" w:lineRule="auto"/>
              <w:rPr>
                <w:rFonts w:hint="eastAsia" w:ascii="宋体" w:hAnsi="宋体" w:cs="宋体"/>
                <w:color w:val="333333"/>
                <w:sz w:val="21"/>
                <w:szCs w:val="21"/>
                <w:u w:val="single"/>
              </w:rPr>
            </w:pPr>
            <w:r>
              <w:rPr>
                <w:rFonts w:hint="eastAsia" w:ascii="宋体" w:hAnsi="宋体" w:cs="宋体"/>
                <w:color w:val="333333"/>
                <w:sz w:val="21"/>
                <w:szCs w:val="21"/>
                <w:u w:val="single"/>
              </w:rPr>
              <w:t>Accor 雅高：Fairmont 费尔蒙</w:t>
            </w:r>
            <w:r>
              <w:rPr>
                <w:rFonts w:hint="eastAsia" w:ascii="宋体" w:hAnsi="宋体" w:cs="宋体"/>
                <w:color w:val="333333"/>
                <w:sz w:val="21"/>
                <w:szCs w:val="21"/>
              </w:rPr>
              <w:t>、</w:t>
            </w:r>
            <w:r>
              <w:rPr>
                <w:rFonts w:hint="eastAsia" w:ascii="宋体" w:hAnsi="宋体" w:cs="宋体"/>
                <w:color w:val="333333"/>
                <w:sz w:val="21"/>
                <w:szCs w:val="21"/>
                <w:u w:val="single"/>
              </w:rPr>
              <w:t>Raffles 莱佛士</w:t>
            </w:r>
            <w:r>
              <w:rPr>
                <w:rFonts w:hint="eastAsia" w:ascii="宋体" w:hAnsi="宋体" w:cs="宋体"/>
                <w:color w:val="333333"/>
                <w:sz w:val="21"/>
                <w:szCs w:val="21"/>
              </w:rPr>
              <w:t>、</w:t>
            </w:r>
            <w:r>
              <w:rPr>
                <w:rFonts w:hint="eastAsia" w:ascii="宋体" w:hAnsi="宋体" w:cs="宋体"/>
                <w:color w:val="333333"/>
                <w:sz w:val="21"/>
                <w:szCs w:val="21"/>
                <w:u w:val="single"/>
              </w:rPr>
              <w:t>Sofitel 索菲特</w:t>
            </w:r>
          </w:p>
          <w:p w14:paraId="361F808B">
            <w:pPr>
              <w:pStyle w:val="26"/>
              <w:widowControl/>
              <w:spacing w:line="264" w:lineRule="auto"/>
              <w:rPr>
                <w:rFonts w:hint="eastAsia" w:ascii="宋体" w:hAnsi="宋体" w:cs="宋体"/>
                <w:color w:val="333333"/>
                <w:sz w:val="21"/>
                <w:szCs w:val="21"/>
                <w:u w:val="single"/>
              </w:rPr>
            </w:pPr>
            <w:r>
              <w:rPr>
                <w:rFonts w:hint="eastAsia" w:ascii="宋体" w:hAnsi="宋体" w:cs="宋体"/>
                <w:color w:val="333333"/>
                <w:sz w:val="21"/>
                <w:szCs w:val="21"/>
                <w:u w:val="single"/>
              </w:rPr>
              <w:t>Hilton 希尔顿：Conrad 康莱德</w:t>
            </w:r>
            <w:r>
              <w:rPr>
                <w:rFonts w:hint="eastAsia" w:ascii="宋体" w:hAnsi="宋体" w:cs="宋体"/>
                <w:color w:val="333333"/>
                <w:sz w:val="21"/>
                <w:szCs w:val="21"/>
              </w:rPr>
              <w:t>、</w:t>
            </w:r>
            <w:r>
              <w:rPr>
                <w:rFonts w:hint="eastAsia" w:ascii="宋体" w:hAnsi="宋体" w:cs="宋体"/>
                <w:color w:val="333333"/>
                <w:sz w:val="21"/>
                <w:szCs w:val="21"/>
                <w:u w:val="single"/>
              </w:rPr>
              <w:t>Waldorf Astoria 华尔道夫</w:t>
            </w:r>
          </w:p>
          <w:p w14:paraId="71932F02">
            <w:pPr>
              <w:pStyle w:val="26"/>
              <w:widowControl/>
              <w:spacing w:line="264" w:lineRule="auto"/>
              <w:rPr>
                <w:rFonts w:hint="eastAsia" w:ascii="宋体" w:hAnsi="宋体" w:cs="宋体"/>
                <w:color w:val="333333"/>
                <w:sz w:val="21"/>
                <w:szCs w:val="21"/>
                <w:u w:val="single"/>
              </w:rPr>
            </w:pPr>
            <w:r>
              <w:rPr>
                <w:rFonts w:hint="eastAsia" w:ascii="宋体" w:hAnsi="宋体" w:cs="宋体"/>
                <w:color w:val="333333"/>
                <w:sz w:val="21"/>
                <w:szCs w:val="21"/>
                <w:u w:val="single"/>
              </w:rPr>
              <w:t>Others 其他：Aman 安缦</w:t>
            </w:r>
            <w:r>
              <w:rPr>
                <w:rFonts w:hint="eastAsia" w:ascii="宋体" w:hAnsi="宋体" w:cs="宋体"/>
                <w:color w:val="333333"/>
                <w:sz w:val="21"/>
                <w:szCs w:val="21"/>
              </w:rPr>
              <w:t>、</w:t>
            </w:r>
            <w:r>
              <w:rPr>
                <w:rFonts w:hint="eastAsia" w:ascii="宋体" w:hAnsi="宋体" w:cs="宋体"/>
                <w:color w:val="333333"/>
                <w:sz w:val="21"/>
                <w:szCs w:val="21"/>
                <w:u w:val="single"/>
              </w:rPr>
              <w:t>Anantara 安纳塔拉 | Minor 美诺</w:t>
            </w:r>
            <w:r>
              <w:rPr>
                <w:rFonts w:hint="eastAsia" w:ascii="宋体" w:hAnsi="宋体" w:cs="宋体"/>
                <w:color w:val="333333"/>
                <w:sz w:val="21"/>
                <w:szCs w:val="21"/>
              </w:rPr>
              <w:t>、</w:t>
            </w:r>
            <w:r>
              <w:rPr>
                <w:rFonts w:hint="eastAsia" w:ascii="宋体" w:hAnsi="宋体" w:cs="宋体"/>
                <w:color w:val="333333"/>
                <w:sz w:val="21"/>
                <w:szCs w:val="21"/>
                <w:u w:val="single"/>
              </w:rPr>
              <w:t>Banyan Tree 悦榕庄</w:t>
            </w:r>
            <w:r>
              <w:rPr>
                <w:rFonts w:hint="eastAsia" w:ascii="宋体" w:hAnsi="宋体" w:cs="宋体"/>
                <w:color w:val="333333"/>
                <w:sz w:val="21"/>
                <w:szCs w:val="21"/>
              </w:rPr>
              <w:t>、</w:t>
            </w:r>
            <w:r>
              <w:rPr>
                <w:rFonts w:hint="eastAsia" w:ascii="宋体" w:hAnsi="宋体" w:cs="宋体"/>
                <w:color w:val="333333"/>
                <w:sz w:val="21"/>
                <w:szCs w:val="21"/>
                <w:u w:val="single"/>
              </w:rPr>
              <w:t>Capella 嘉佩乐</w:t>
            </w:r>
            <w:r>
              <w:rPr>
                <w:rFonts w:hint="eastAsia" w:ascii="宋体" w:hAnsi="宋体" w:cs="宋体"/>
                <w:color w:val="333333"/>
                <w:sz w:val="21"/>
                <w:szCs w:val="21"/>
              </w:rPr>
              <w:t>、</w:t>
            </w:r>
            <w:r>
              <w:rPr>
                <w:rFonts w:hint="eastAsia" w:ascii="宋体" w:hAnsi="宋体" w:cs="宋体"/>
                <w:color w:val="333333"/>
                <w:sz w:val="21"/>
                <w:szCs w:val="21"/>
                <w:u w:val="single"/>
              </w:rPr>
              <w:t>Cordis 康得思 | Langham 朗廷</w:t>
            </w:r>
            <w:r>
              <w:rPr>
                <w:rFonts w:hint="eastAsia" w:ascii="宋体" w:hAnsi="宋体" w:cs="宋体"/>
                <w:color w:val="333333"/>
                <w:sz w:val="21"/>
                <w:szCs w:val="21"/>
              </w:rPr>
              <w:t>、</w:t>
            </w:r>
            <w:r>
              <w:rPr>
                <w:rFonts w:hint="eastAsia" w:ascii="宋体" w:hAnsi="宋体" w:cs="宋体"/>
                <w:color w:val="333333"/>
                <w:sz w:val="21"/>
                <w:szCs w:val="21"/>
                <w:u w:val="single"/>
              </w:rPr>
              <w:t>钓鱼台 | 钓鱼台美高梅</w:t>
            </w:r>
            <w:r>
              <w:rPr>
                <w:rFonts w:hint="eastAsia" w:ascii="宋体" w:hAnsi="宋体" w:cs="宋体"/>
                <w:color w:val="333333"/>
                <w:sz w:val="21"/>
                <w:szCs w:val="21"/>
              </w:rPr>
              <w:t>、</w:t>
            </w:r>
            <w:r>
              <w:rPr>
                <w:rFonts w:hint="eastAsia" w:ascii="宋体" w:hAnsi="宋体" w:cs="宋体"/>
                <w:color w:val="333333"/>
                <w:sz w:val="21"/>
                <w:szCs w:val="21"/>
                <w:u w:val="single"/>
              </w:rPr>
              <w:t>Dusit Devarana 都喜泰丽</w:t>
            </w:r>
            <w:r>
              <w:rPr>
                <w:rFonts w:hint="eastAsia" w:ascii="宋体" w:hAnsi="宋体" w:cs="宋体"/>
                <w:color w:val="333333"/>
                <w:sz w:val="21"/>
                <w:szCs w:val="21"/>
              </w:rPr>
              <w:t>、</w:t>
            </w:r>
            <w:r>
              <w:rPr>
                <w:rFonts w:hint="eastAsia" w:ascii="宋体" w:hAnsi="宋体" w:cs="宋体"/>
                <w:color w:val="333333"/>
                <w:sz w:val="21"/>
                <w:szCs w:val="21"/>
                <w:u w:val="single"/>
              </w:rPr>
              <w:t>Four Seasons 四季</w:t>
            </w:r>
            <w:r>
              <w:rPr>
                <w:rFonts w:hint="eastAsia" w:ascii="宋体" w:hAnsi="宋体" w:cs="宋体"/>
                <w:color w:val="333333"/>
                <w:sz w:val="21"/>
                <w:szCs w:val="21"/>
              </w:rPr>
              <w:t>、</w:t>
            </w:r>
            <w:r>
              <w:rPr>
                <w:rFonts w:hint="eastAsia" w:ascii="宋体" w:hAnsi="宋体" w:cs="宋体"/>
                <w:color w:val="333333"/>
                <w:sz w:val="21"/>
                <w:szCs w:val="21"/>
                <w:u w:val="single"/>
              </w:rPr>
              <w:t>Gran Melia 盛美利亚 | Melia 美利亚</w:t>
            </w:r>
            <w:r>
              <w:rPr>
                <w:rFonts w:hint="eastAsia" w:ascii="宋体" w:hAnsi="宋体" w:cs="宋体"/>
                <w:color w:val="333333"/>
                <w:sz w:val="21"/>
                <w:szCs w:val="21"/>
              </w:rPr>
              <w:t>、</w:t>
            </w:r>
            <w:r>
              <w:rPr>
                <w:rFonts w:hint="eastAsia" w:ascii="宋体" w:hAnsi="宋体" w:cs="宋体"/>
                <w:color w:val="333333"/>
                <w:sz w:val="21"/>
                <w:szCs w:val="21"/>
                <w:u w:val="single"/>
              </w:rPr>
              <w:t>Jumeirah 卓美亚</w:t>
            </w:r>
            <w:r>
              <w:rPr>
                <w:rFonts w:hint="eastAsia" w:ascii="宋体" w:hAnsi="宋体" w:cs="宋体"/>
                <w:color w:val="333333"/>
                <w:sz w:val="21"/>
                <w:szCs w:val="21"/>
              </w:rPr>
              <w:t>、</w:t>
            </w:r>
            <w:r>
              <w:rPr>
                <w:rFonts w:hint="eastAsia" w:ascii="宋体" w:hAnsi="宋体" w:cs="宋体"/>
                <w:color w:val="333333"/>
                <w:sz w:val="21"/>
                <w:szCs w:val="21"/>
                <w:u w:val="single"/>
              </w:rPr>
              <w:t>Kempinski 凯宾斯基</w:t>
            </w:r>
            <w:r>
              <w:rPr>
                <w:rFonts w:hint="eastAsia" w:ascii="宋体" w:hAnsi="宋体" w:cs="宋体"/>
                <w:color w:val="333333"/>
                <w:sz w:val="21"/>
                <w:szCs w:val="21"/>
              </w:rPr>
              <w:t>、</w:t>
            </w:r>
            <w:r>
              <w:rPr>
                <w:rFonts w:hint="eastAsia" w:ascii="宋体" w:hAnsi="宋体" w:cs="宋体"/>
                <w:color w:val="333333"/>
                <w:sz w:val="21"/>
                <w:szCs w:val="21"/>
                <w:u w:val="single"/>
              </w:rPr>
              <w:t>Langham 朗廷</w:t>
            </w:r>
            <w:r>
              <w:rPr>
                <w:rFonts w:hint="eastAsia" w:ascii="宋体" w:hAnsi="宋体" w:cs="宋体"/>
                <w:color w:val="333333"/>
                <w:sz w:val="21"/>
                <w:szCs w:val="21"/>
              </w:rPr>
              <w:t>、</w:t>
            </w:r>
            <w:r>
              <w:rPr>
                <w:rFonts w:hint="eastAsia" w:ascii="宋体" w:hAnsi="宋体" w:cs="宋体"/>
                <w:color w:val="333333"/>
                <w:sz w:val="21"/>
                <w:szCs w:val="21"/>
                <w:u w:val="single"/>
              </w:rPr>
              <w:t>LUX 丽世</w:t>
            </w:r>
            <w:r>
              <w:rPr>
                <w:rFonts w:hint="eastAsia" w:ascii="宋体" w:hAnsi="宋体" w:cs="宋体"/>
                <w:color w:val="333333"/>
                <w:sz w:val="21"/>
                <w:szCs w:val="21"/>
              </w:rPr>
              <w:t>、</w:t>
            </w:r>
            <w:r>
              <w:rPr>
                <w:rFonts w:hint="eastAsia" w:ascii="宋体" w:hAnsi="宋体" w:cs="宋体"/>
                <w:color w:val="333333"/>
                <w:sz w:val="21"/>
                <w:szCs w:val="21"/>
                <w:u w:val="single"/>
              </w:rPr>
              <w:t>Mandarin Oriental 文华东方</w:t>
            </w:r>
            <w:r>
              <w:rPr>
                <w:rFonts w:hint="eastAsia" w:ascii="宋体" w:hAnsi="宋体" w:cs="宋体"/>
                <w:color w:val="333333"/>
                <w:sz w:val="21"/>
                <w:szCs w:val="21"/>
              </w:rPr>
              <w:t>、</w:t>
            </w:r>
            <w:r>
              <w:rPr>
                <w:rFonts w:hint="eastAsia" w:ascii="宋体" w:hAnsi="宋体" w:cs="宋体"/>
                <w:color w:val="333333"/>
                <w:sz w:val="21"/>
                <w:szCs w:val="21"/>
                <w:u w:val="single"/>
              </w:rPr>
              <w:t>Niccolo 尼依格罗 | Wharf 九龙仓</w:t>
            </w:r>
            <w:r>
              <w:rPr>
                <w:rFonts w:hint="eastAsia" w:ascii="宋体" w:hAnsi="宋体" w:cs="宋体"/>
                <w:color w:val="333333"/>
                <w:sz w:val="21"/>
                <w:szCs w:val="21"/>
              </w:rPr>
              <w:t>、</w:t>
            </w:r>
            <w:r>
              <w:rPr>
                <w:rFonts w:hint="eastAsia" w:ascii="宋体" w:hAnsi="宋体" w:cs="宋体"/>
                <w:color w:val="333333"/>
                <w:sz w:val="21"/>
                <w:szCs w:val="21"/>
                <w:u w:val="single"/>
              </w:rPr>
              <w:t>Atlantis 亚特兰蒂斯 | Kerzner</w:t>
            </w:r>
            <w:r>
              <w:rPr>
                <w:rFonts w:hint="eastAsia" w:ascii="宋体" w:hAnsi="宋体" w:cs="宋体"/>
                <w:color w:val="333333"/>
                <w:sz w:val="21"/>
                <w:szCs w:val="21"/>
              </w:rPr>
              <w:t>、</w:t>
            </w:r>
            <w:r>
              <w:rPr>
                <w:rFonts w:hint="eastAsia" w:ascii="宋体" w:hAnsi="宋体" w:cs="宋体"/>
                <w:color w:val="333333"/>
                <w:sz w:val="21"/>
                <w:szCs w:val="21"/>
                <w:u w:val="single"/>
              </w:rPr>
              <w:t>Rosewood 瑰丽</w:t>
            </w:r>
            <w:r>
              <w:rPr>
                <w:rFonts w:hint="eastAsia" w:ascii="宋体" w:hAnsi="宋体" w:cs="宋体"/>
                <w:color w:val="333333"/>
                <w:sz w:val="21"/>
                <w:szCs w:val="21"/>
              </w:rPr>
              <w:t>、</w:t>
            </w:r>
            <w:r>
              <w:rPr>
                <w:rFonts w:hint="eastAsia" w:ascii="宋体" w:hAnsi="宋体" w:cs="宋体"/>
                <w:color w:val="333333"/>
                <w:sz w:val="21"/>
                <w:szCs w:val="21"/>
                <w:u w:val="single"/>
              </w:rPr>
              <w:t>Shangri-La 香格里拉</w:t>
            </w:r>
            <w:r>
              <w:rPr>
                <w:rFonts w:hint="eastAsia" w:ascii="宋体" w:hAnsi="宋体" w:cs="宋体"/>
                <w:color w:val="333333"/>
                <w:sz w:val="21"/>
                <w:szCs w:val="21"/>
              </w:rPr>
              <w:t>、</w:t>
            </w:r>
            <w:r>
              <w:rPr>
                <w:rFonts w:hint="eastAsia" w:ascii="宋体" w:hAnsi="宋体" w:cs="宋体"/>
                <w:color w:val="333333"/>
                <w:sz w:val="21"/>
                <w:szCs w:val="21"/>
                <w:u w:val="single"/>
              </w:rPr>
              <w:t>The Peninsula 半岛</w:t>
            </w:r>
            <w:r>
              <w:rPr>
                <w:rFonts w:hint="eastAsia" w:ascii="宋体" w:hAnsi="宋体" w:cs="宋体"/>
                <w:color w:val="333333"/>
                <w:sz w:val="21"/>
                <w:szCs w:val="21"/>
              </w:rPr>
              <w:t>、</w:t>
            </w:r>
            <w:r>
              <w:rPr>
                <w:rFonts w:hint="eastAsia" w:ascii="宋体" w:hAnsi="宋体" w:cs="宋体"/>
                <w:color w:val="333333"/>
                <w:sz w:val="21"/>
                <w:szCs w:val="21"/>
                <w:u w:val="single"/>
              </w:rPr>
              <w:t>Tonino Lamborghini 托尼洛·兰博基尼</w:t>
            </w:r>
            <w:r>
              <w:rPr>
                <w:rFonts w:hint="eastAsia" w:ascii="宋体" w:hAnsi="宋体" w:cs="宋体"/>
                <w:color w:val="333333"/>
                <w:sz w:val="21"/>
                <w:szCs w:val="21"/>
              </w:rPr>
              <w:t>、</w:t>
            </w:r>
            <w:r>
              <w:rPr>
                <w:rFonts w:hint="eastAsia" w:ascii="宋体" w:hAnsi="宋体" w:cs="宋体"/>
                <w:color w:val="333333"/>
                <w:sz w:val="21"/>
                <w:szCs w:val="21"/>
                <w:u w:val="single"/>
              </w:rPr>
              <w:t>Wanda Reign 万达瑞华 | Wanda 万达</w:t>
            </w:r>
          </w:p>
          <w:p w14:paraId="367F49C0">
            <w:pPr>
              <w:pStyle w:val="26"/>
              <w:widowControl/>
              <w:spacing w:line="264" w:lineRule="auto"/>
              <w:rPr>
                <w:rFonts w:hint="eastAsia" w:ascii="宋体" w:hAnsi="宋体" w:cs="宋体"/>
                <w:color w:val="333333"/>
                <w:sz w:val="21"/>
                <w:szCs w:val="21"/>
                <w:u w:val="single"/>
              </w:rPr>
            </w:pPr>
            <w:r>
              <w:rPr>
                <w:rFonts w:hint="eastAsia" w:ascii="宋体" w:hAnsi="宋体" w:cs="宋体"/>
                <w:color w:val="333333"/>
                <w:sz w:val="21"/>
                <w:szCs w:val="21"/>
                <w:u w:val="single"/>
              </w:rPr>
              <w:t>The House Collective 居舍系列：The Temple House 成都博舍</w:t>
            </w:r>
            <w:r>
              <w:rPr>
                <w:rFonts w:hint="eastAsia" w:ascii="宋体" w:hAnsi="宋体" w:cs="宋体"/>
                <w:color w:val="333333"/>
                <w:sz w:val="21"/>
                <w:szCs w:val="21"/>
              </w:rPr>
              <w:t>、</w:t>
            </w:r>
            <w:r>
              <w:rPr>
                <w:rFonts w:hint="eastAsia" w:ascii="宋体" w:hAnsi="宋体" w:cs="宋体"/>
                <w:color w:val="333333"/>
                <w:sz w:val="21"/>
                <w:szCs w:val="21"/>
                <w:u w:val="single"/>
              </w:rPr>
              <w:t>The Opposite House 北京瑜舍</w:t>
            </w:r>
            <w:r>
              <w:rPr>
                <w:rFonts w:hint="eastAsia" w:ascii="宋体" w:hAnsi="宋体" w:cs="宋体"/>
                <w:color w:val="333333"/>
                <w:sz w:val="21"/>
                <w:szCs w:val="21"/>
              </w:rPr>
              <w:t>、</w:t>
            </w:r>
            <w:r>
              <w:rPr>
                <w:rFonts w:hint="eastAsia" w:ascii="宋体" w:hAnsi="宋体" w:cs="宋体"/>
                <w:color w:val="333333"/>
                <w:sz w:val="21"/>
                <w:szCs w:val="21"/>
                <w:u w:val="single"/>
              </w:rPr>
              <w:t>The Upper House 香港奕居</w:t>
            </w:r>
            <w:r>
              <w:rPr>
                <w:rFonts w:hint="eastAsia" w:ascii="宋体" w:hAnsi="宋体" w:cs="宋体"/>
                <w:color w:val="333333"/>
                <w:sz w:val="21"/>
                <w:szCs w:val="21"/>
              </w:rPr>
              <w:t>、</w:t>
            </w:r>
            <w:r>
              <w:rPr>
                <w:rFonts w:hint="eastAsia" w:ascii="宋体" w:hAnsi="宋体" w:cs="宋体"/>
                <w:color w:val="333333"/>
                <w:sz w:val="21"/>
                <w:szCs w:val="21"/>
                <w:u w:val="single"/>
              </w:rPr>
              <w:t>The Middle House 上海镛舍</w:t>
            </w:r>
          </w:p>
          <w:p w14:paraId="4C3D257D">
            <w:pPr>
              <w:pStyle w:val="26"/>
              <w:widowControl/>
              <w:spacing w:line="264" w:lineRule="auto"/>
              <w:rPr>
                <w:rFonts w:hint="eastAsia" w:ascii="宋体" w:hAnsi="宋体" w:cs="宋体"/>
                <w:color w:val="333333"/>
                <w:sz w:val="21"/>
                <w:szCs w:val="21"/>
                <w:u w:val="single"/>
              </w:rPr>
            </w:pPr>
            <w:r>
              <w:rPr>
                <w:rFonts w:hint="eastAsia" w:ascii="宋体" w:hAnsi="宋体" w:cs="宋体"/>
                <w:color w:val="333333"/>
                <w:sz w:val="21"/>
                <w:szCs w:val="21"/>
                <w:u w:val="single"/>
              </w:rPr>
              <w:t>URC Urban Resort Concept：The PuLi, Shanghai 上海璞丽</w:t>
            </w:r>
            <w:r>
              <w:rPr>
                <w:rFonts w:hint="eastAsia" w:ascii="宋体" w:hAnsi="宋体" w:cs="宋体"/>
                <w:color w:val="333333"/>
                <w:sz w:val="21"/>
                <w:szCs w:val="21"/>
              </w:rPr>
              <w:t>、</w:t>
            </w:r>
            <w:r>
              <w:rPr>
                <w:rFonts w:hint="eastAsia" w:ascii="宋体" w:hAnsi="宋体" w:cs="宋体"/>
                <w:color w:val="333333"/>
                <w:sz w:val="21"/>
                <w:szCs w:val="21"/>
                <w:u w:val="single"/>
              </w:rPr>
              <w:t>The PuXuan, Beijing 北京璞瑄</w:t>
            </w:r>
          </w:p>
          <w:p w14:paraId="60D404F9">
            <w:pPr>
              <w:pStyle w:val="26"/>
              <w:widowControl/>
              <w:spacing w:line="264" w:lineRule="auto"/>
              <w:rPr>
                <w:rFonts w:hint="eastAsia" w:ascii="宋体" w:hAnsi="宋体" w:cs="宋体"/>
                <w:color w:val="333333"/>
                <w:sz w:val="21"/>
                <w:szCs w:val="21"/>
                <w:u w:val="single"/>
              </w:rPr>
            </w:pPr>
            <w:r>
              <w:rPr>
                <w:rFonts w:hint="eastAsia" w:ascii="宋体" w:hAnsi="宋体" w:cs="宋体"/>
                <w:color w:val="333333"/>
                <w:sz w:val="21"/>
                <w:szCs w:val="21"/>
                <w:u w:val="single"/>
              </w:rPr>
              <w:t>LHW The Leading Hotels Of The World 立鼎世：Bellagio Shanghai 上海苏宁宝丽嘉酒店</w:t>
            </w:r>
            <w:r>
              <w:rPr>
                <w:rFonts w:hint="eastAsia" w:ascii="宋体" w:hAnsi="宋体" w:cs="宋体"/>
                <w:color w:val="333333"/>
                <w:sz w:val="21"/>
                <w:szCs w:val="21"/>
              </w:rPr>
              <w:t>、</w:t>
            </w:r>
            <w:r>
              <w:rPr>
                <w:rFonts w:hint="eastAsia" w:ascii="宋体" w:hAnsi="宋体" w:cs="宋体"/>
                <w:color w:val="333333"/>
                <w:sz w:val="21"/>
                <w:szCs w:val="21"/>
                <w:u w:val="single"/>
              </w:rPr>
              <w:t>The Anandi Hotel and Spa 上海阿纳迪酒店</w:t>
            </w:r>
            <w:r>
              <w:rPr>
                <w:rFonts w:hint="eastAsia" w:ascii="宋体" w:hAnsi="宋体" w:cs="宋体"/>
                <w:color w:val="333333"/>
                <w:sz w:val="21"/>
                <w:szCs w:val="21"/>
              </w:rPr>
              <w:t>、</w:t>
            </w:r>
            <w:r>
              <w:rPr>
                <w:rFonts w:hint="eastAsia" w:ascii="宋体" w:hAnsi="宋体" w:cs="宋体"/>
                <w:color w:val="333333"/>
                <w:sz w:val="21"/>
                <w:szCs w:val="21"/>
                <w:u w:val="single"/>
              </w:rPr>
              <w:t>Lohkah Hotel and Spa 七尚酒店</w:t>
            </w:r>
          </w:p>
          <w:p w14:paraId="40CFB91F">
            <w:pPr>
              <w:pStyle w:val="26"/>
              <w:widowControl/>
              <w:spacing w:line="264" w:lineRule="auto"/>
              <w:rPr>
                <w:rFonts w:hint="eastAsia" w:ascii="宋体" w:hAnsi="宋体" w:cs="宋体"/>
                <w:color w:val="333333"/>
                <w:sz w:val="21"/>
                <w:szCs w:val="21"/>
              </w:rPr>
            </w:pPr>
            <w:r>
              <w:rPr>
                <w:rFonts w:hint="eastAsia" w:ascii="宋体" w:hAnsi="宋体" w:cs="宋体"/>
                <w:color w:val="333333"/>
                <w:sz w:val="21"/>
                <w:szCs w:val="21"/>
              </w:rPr>
              <w:t>注：上海璞丽酒店、北京璞瑄酒店、上海建业里嘉佩乐酒店也属于立鼎世成员。</w:t>
            </w:r>
          </w:p>
          <w:p w14:paraId="7BFDACFB">
            <w:pPr>
              <w:pStyle w:val="26"/>
              <w:widowControl/>
              <w:spacing w:line="264" w:lineRule="auto"/>
              <w:rPr>
                <w:rFonts w:hint="eastAsia" w:ascii="宋体" w:hAnsi="宋体" w:cs="宋体"/>
                <w:color w:val="333333"/>
                <w:sz w:val="21"/>
                <w:szCs w:val="21"/>
              </w:rPr>
            </w:pPr>
            <w:r>
              <w:rPr>
                <w:rStyle w:val="32"/>
                <w:rFonts w:hint="eastAsia" w:ascii="宋体" w:hAnsi="宋体" w:cs="宋体"/>
                <w:color w:val="333333"/>
                <w:sz w:val="21"/>
                <w:szCs w:val="21"/>
              </w:rPr>
              <w:t>二、Upper Upscale 超高端</w:t>
            </w:r>
          </w:p>
          <w:p w14:paraId="4DE20767">
            <w:pPr>
              <w:pStyle w:val="26"/>
              <w:widowControl/>
              <w:spacing w:line="264" w:lineRule="auto"/>
              <w:rPr>
                <w:rFonts w:hint="eastAsia" w:ascii="宋体" w:hAnsi="宋体" w:cs="宋体"/>
                <w:color w:val="333333"/>
                <w:sz w:val="21"/>
                <w:szCs w:val="21"/>
                <w:u w:val="single"/>
              </w:rPr>
            </w:pPr>
            <w:r>
              <w:rPr>
                <w:rFonts w:hint="eastAsia" w:ascii="宋体" w:hAnsi="宋体" w:cs="宋体"/>
                <w:color w:val="333333"/>
                <w:sz w:val="21"/>
                <w:szCs w:val="21"/>
                <w:u w:val="single"/>
              </w:rPr>
              <w:t>Marriott 万豪：Autograph Collection 傲图格精选</w:t>
            </w:r>
            <w:r>
              <w:rPr>
                <w:rFonts w:hint="eastAsia" w:ascii="宋体" w:hAnsi="宋体" w:cs="宋体"/>
                <w:color w:val="333333"/>
                <w:sz w:val="21"/>
                <w:szCs w:val="21"/>
              </w:rPr>
              <w:t>、</w:t>
            </w:r>
            <w:r>
              <w:rPr>
                <w:rFonts w:hint="eastAsia" w:ascii="宋体" w:hAnsi="宋体" w:cs="宋体"/>
                <w:color w:val="333333"/>
                <w:sz w:val="21"/>
                <w:szCs w:val="21"/>
                <w:u w:val="single"/>
              </w:rPr>
              <w:t>Le Meridien 艾美</w:t>
            </w:r>
            <w:r>
              <w:rPr>
                <w:rFonts w:hint="eastAsia" w:ascii="宋体" w:hAnsi="宋体" w:cs="宋体"/>
                <w:color w:val="333333"/>
                <w:sz w:val="21"/>
                <w:szCs w:val="21"/>
              </w:rPr>
              <w:t>、</w:t>
            </w:r>
            <w:r>
              <w:rPr>
                <w:rFonts w:hint="eastAsia" w:ascii="宋体" w:hAnsi="宋体" w:cs="宋体"/>
                <w:color w:val="333333"/>
                <w:sz w:val="21"/>
                <w:szCs w:val="21"/>
                <w:u w:val="single"/>
              </w:rPr>
              <w:t>Marriott 万豪</w:t>
            </w:r>
            <w:r>
              <w:rPr>
                <w:rFonts w:hint="eastAsia" w:ascii="宋体" w:hAnsi="宋体" w:cs="宋体"/>
                <w:color w:val="333333"/>
                <w:sz w:val="21"/>
                <w:szCs w:val="21"/>
              </w:rPr>
              <w:t>、</w:t>
            </w:r>
            <w:r>
              <w:rPr>
                <w:rFonts w:hint="eastAsia" w:ascii="宋体" w:hAnsi="宋体" w:cs="宋体"/>
                <w:color w:val="333333"/>
                <w:sz w:val="21"/>
                <w:szCs w:val="21"/>
                <w:u w:val="single"/>
              </w:rPr>
              <w:t>Marriott Executive Apartments 万豪行政公寓</w:t>
            </w:r>
            <w:r>
              <w:rPr>
                <w:rFonts w:hint="eastAsia" w:ascii="宋体" w:hAnsi="宋体" w:cs="宋体"/>
                <w:color w:val="333333"/>
                <w:sz w:val="21"/>
                <w:szCs w:val="21"/>
              </w:rPr>
              <w:t>、</w:t>
            </w:r>
            <w:r>
              <w:rPr>
                <w:rFonts w:hint="eastAsia" w:ascii="宋体" w:hAnsi="宋体" w:cs="宋体"/>
                <w:color w:val="333333"/>
                <w:sz w:val="21"/>
                <w:szCs w:val="21"/>
                <w:u w:val="single"/>
              </w:rPr>
              <w:t>Renaissance 万丽</w:t>
            </w:r>
            <w:r>
              <w:rPr>
                <w:rFonts w:hint="eastAsia" w:ascii="宋体" w:hAnsi="宋体" w:cs="宋体"/>
                <w:color w:val="333333"/>
                <w:sz w:val="21"/>
                <w:szCs w:val="21"/>
              </w:rPr>
              <w:t>、</w:t>
            </w:r>
            <w:r>
              <w:rPr>
                <w:rFonts w:hint="eastAsia" w:ascii="宋体" w:hAnsi="宋体" w:cs="宋体"/>
                <w:color w:val="333333"/>
                <w:sz w:val="21"/>
                <w:szCs w:val="21"/>
                <w:u w:val="single"/>
              </w:rPr>
              <w:t>Sheraton 喜来登</w:t>
            </w:r>
            <w:r>
              <w:rPr>
                <w:rFonts w:hint="eastAsia" w:ascii="宋体" w:hAnsi="宋体" w:cs="宋体"/>
                <w:color w:val="333333"/>
                <w:sz w:val="21"/>
                <w:szCs w:val="21"/>
              </w:rPr>
              <w:t>、</w:t>
            </w:r>
            <w:r>
              <w:rPr>
                <w:rFonts w:hint="eastAsia" w:ascii="宋体" w:hAnsi="宋体" w:cs="宋体"/>
                <w:color w:val="333333"/>
                <w:sz w:val="21"/>
                <w:szCs w:val="21"/>
                <w:u w:val="single"/>
              </w:rPr>
              <w:t>Tribute Portfolio 臻品之选</w:t>
            </w:r>
            <w:r>
              <w:rPr>
                <w:rFonts w:hint="eastAsia" w:ascii="宋体" w:hAnsi="宋体" w:cs="宋体"/>
                <w:color w:val="333333"/>
                <w:sz w:val="21"/>
                <w:szCs w:val="21"/>
              </w:rPr>
              <w:t>、</w:t>
            </w:r>
            <w:r>
              <w:rPr>
                <w:rFonts w:hint="eastAsia" w:ascii="宋体" w:hAnsi="宋体" w:cs="宋体"/>
                <w:color w:val="333333"/>
                <w:sz w:val="21"/>
                <w:szCs w:val="21"/>
                <w:u w:val="single"/>
              </w:rPr>
              <w:t>Westin 威斯汀</w:t>
            </w:r>
          </w:p>
          <w:p w14:paraId="7342DBBF">
            <w:pPr>
              <w:pStyle w:val="26"/>
              <w:widowControl/>
              <w:spacing w:line="264" w:lineRule="auto"/>
              <w:rPr>
                <w:rFonts w:hint="eastAsia" w:ascii="宋体" w:hAnsi="宋体" w:cs="宋体"/>
                <w:color w:val="333333"/>
                <w:sz w:val="21"/>
                <w:szCs w:val="21"/>
                <w:u w:val="single"/>
              </w:rPr>
            </w:pPr>
            <w:r>
              <w:rPr>
                <w:rFonts w:hint="eastAsia" w:ascii="宋体" w:hAnsi="宋体" w:cs="宋体"/>
                <w:color w:val="333333"/>
                <w:sz w:val="21"/>
                <w:szCs w:val="21"/>
                <w:u w:val="single"/>
              </w:rPr>
              <w:t>IHG 洲际：Hotel Indigo 英迪格</w:t>
            </w:r>
            <w:r>
              <w:rPr>
                <w:rFonts w:hint="eastAsia" w:ascii="宋体" w:hAnsi="宋体" w:cs="宋体"/>
                <w:color w:val="333333"/>
                <w:sz w:val="21"/>
                <w:szCs w:val="21"/>
              </w:rPr>
              <w:t>、</w:t>
            </w:r>
            <w:r>
              <w:rPr>
                <w:rFonts w:hint="eastAsia" w:ascii="宋体" w:hAnsi="宋体" w:cs="宋体"/>
                <w:color w:val="333333"/>
                <w:sz w:val="21"/>
                <w:szCs w:val="21"/>
                <w:u w:val="single"/>
              </w:rPr>
              <w:t>Kimpton 金普顿</w:t>
            </w:r>
          </w:p>
          <w:p w14:paraId="66F52CB7">
            <w:pPr>
              <w:pStyle w:val="26"/>
              <w:widowControl/>
              <w:spacing w:line="264" w:lineRule="auto"/>
              <w:rPr>
                <w:rFonts w:hint="eastAsia" w:ascii="宋体" w:hAnsi="宋体" w:cs="宋体"/>
                <w:color w:val="333333"/>
                <w:sz w:val="21"/>
                <w:szCs w:val="21"/>
                <w:u w:val="single"/>
              </w:rPr>
            </w:pPr>
            <w:r>
              <w:rPr>
                <w:rFonts w:hint="eastAsia" w:ascii="宋体" w:hAnsi="宋体" w:cs="宋体"/>
                <w:color w:val="333333"/>
                <w:sz w:val="21"/>
                <w:szCs w:val="21"/>
                <w:u w:val="single"/>
              </w:rPr>
              <w:t>Hyatt 凯悦：Hyatt Regency 凯悦</w:t>
            </w:r>
            <w:r>
              <w:rPr>
                <w:rFonts w:hint="eastAsia" w:ascii="宋体" w:hAnsi="宋体" w:cs="宋体"/>
                <w:color w:val="333333"/>
                <w:sz w:val="21"/>
                <w:szCs w:val="21"/>
              </w:rPr>
              <w:t>、</w:t>
            </w:r>
            <w:r>
              <w:rPr>
                <w:rFonts w:hint="eastAsia" w:ascii="宋体" w:hAnsi="宋体" w:cs="宋体"/>
                <w:color w:val="333333"/>
                <w:sz w:val="21"/>
                <w:szCs w:val="21"/>
                <w:u w:val="single"/>
              </w:rPr>
              <w:t>Joie de Vivre JdV</w:t>
            </w:r>
          </w:p>
          <w:p w14:paraId="66C14BE9">
            <w:pPr>
              <w:pStyle w:val="26"/>
              <w:widowControl/>
              <w:spacing w:line="264" w:lineRule="auto"/>
              <w:rPr>
                <w:rFonts w:hint="eastAsia" w:ascii="宋体" w:hAnsi="宋体" w:cs="宋体"/>
                <w:color w:val="333333"/>
                <w:sz w:val="21"/>
                <w:szCs w:val="21"/>
                <w:u w:val="single"/>
              </w:rPr>
            </w:pPr>
            <w:r>
              <w:rPr>
                <w:rFonts w:hint="eastAsia" w:ascii="宋体" w:hAnsi="宋体" w:cs="宋体"/>
                <w:color w:val="333333"/>
                <w:sz w:val="21"/>
                <w:szCs w:val="21"/>
                <w:u w:val="single"/>
              </w:rPr>
              <w:t>Accor 雅高：MGallery by Sofitel 美憬阁</w:t>
            </w:r>
            <w:r>
              <w:rPr>
                <w:rFonts w:hint="eastAsia" w:ascii="宋体" w:hAnsi="宋体" w:cs="宋体"/>
                <w:color w:val="333333"/>
                <w:sz w:val="21"/>
                <w:szCs w:val="21"/>
              </w:rPr>
              <w:t>、</w:t>
            </w:r>
            <w:r>
              <w:rPr>
                <w:rFonts w:hint="eastAsia" w:ascii="宋体" w:hAnsi="宋体" w:cs="宋体"/>
                <w:color w:val="333333"/>
                <w:sz w:val="21"/>
                <w:szCs w:val="21"/>
                <w:u w:val="single"/>
              </w:rPr>
              <w:t>Pullman 铂尔曼</w:t>
            </w:r>
            <w:r>
              <w:rPr>
                <w:rFonts w:hint="eastAsia" w:ascii="宋体" w:hAnsi="宋体" w:cs="宋体"/>
                <w:color w:val="333333"/>
                <w:sz w:val="21"/>
                <w:szCs w:val="21"/>
              </w:rPr>
              <w:t>、</w:t>
            </w:r>
            <w:r>
              <w:rPr>
                <w:rFonts w:hint="eastAsia" w:ascii="宋体" w:hAnsi="宋体" w:cs="宋体"/>
                <w:color w:val="333333"/>
                <w:sz w:val="21"/>
                <w:szCs w:val="21"/>
                <w:u w:val="single"/>
              </w:rPr>
              <w:t>Swissotel 瑞士</w:t>
            </w:r>
          </w:p>
          <w:p w14:paraId="208A04E9">
            <w:pPr>
              <w:pStyle w:val="26"/>
              <w:widowControl/>
              <w:spacing w:line="264" w:lineRule="auto"/>
              <w:rPr>
                <w:rFonts w:hint="eastAsia" w:ascii="宋体" w:hAnsi="宋体" w:cs="宋体"/>
                <w:color w:val="333333"/>
                <w:sz w:val="21"/>
                <w:szCs w:val="21"/>
                <w:u w:val="single"/>
              </w:rPr>
            </w:pPr>
            <w:r>
              <w:rPr>
                <w:rFonts w:hint="eastAsia" w:ascii="宋体" w:hAnsi="宋体" w:cs="宋体"/>
                <w:color w:val="333333"/>
                <w:sz w:val="21"/>
                <w:szCs w:val="21"/>
                <w:u w:val="single"/>
              </w:rPr>
              <w:t>Hilton 希尔顿：Canopy by Hilton 希尔顿嘉悦里</w:t>
            </w:r>
            <w:r>
              <w:rPr>
                <w:rFonts w:hint="eastAsia" w:ascii="宋体" w:hAnsi="宋体" w:cs="宋体"/>
                <w:color w:val="333333"/>
                <w:sz w:val="21"/>
                <w:szCs w:val="21"/>
              </w:rPr>
              <w:t>、</w:t>
            </w:r>
            <w:r>
              <w:rPr>
                <w:rFonts w:hint="eastAsia" w:ascii="宋体" w:hAnsi="宋体" w:cs="宋体"/>
                <w:color w:val="333333"/>
                <w:sz w:val="21"/>
                <w:szCs w:val="21"/>
                <w:u w:val="single"/>
              </w:rPr>
              <w:t>Curio Collection by Hilton 希尔顿格芮精选</w:t>
            </w:r>
            <w:r>
              <w:rPr>
                <w:rFonts w:hint="eastAsia" w:ascii="宋体" w:hAnsi="宋体" w:cs="宋体"/>
                <w:color w:val="333333"/>
                <w:sz w:val="21"/>
                <w:szCs w:val="21"/>
              </w:rPr>
              <w:t>、</w:t>
            </w:r>
            <w:r>
              <w:rPr>
                <w:rFonts w:hint="eastAsia" w:ascii="宋体" w:hAnsi="宋体" w:cs="宋体"/>
                <w:color w:val="333333"/>
                <w:sz w:val="21"/>
                <w:szCs w:val="21"/>
                <w:u w:val="single"/>
              </w:rPr>
              <w:t>Hilton 希尔顿</w:t>
            </w:r>
          </w:p>
          <w:p w14:paraId="69EB1B42">
            <w:pPr>
              <w:pStyle w:val="26"/>
              <w:widowControl/>
              <w:spacing w:line="264" w:lineRule="auto"/>
              <w:rPr>
                <w:rFonts w:hint="eastAsia" w:ascii="宋体" w:hAnsi="宋体" w:cs="宋体"/>
                <w:color w:val="333333"/>
                <w:sz w:val="21"/>
                <w:szCs w:val="21"/>
                <w:u w:val="single"/>
              </w:rPr>
            </w:pPr>
            <w:r>
              <w:rPr>
                <w:rFonts w:hint="eastAsia" w:ascii="宋体" w:hAnsi="宋体" w:cs="宋体"/>
                <w:color w:val="333333"/>
                <w:sz w:val="21"/>
                <w:szCs w:val="21"/>
                <w:u w:val="single"/>
              </w:rPr>
              <w:t>Others 其他：Angsana 悦椿 | Banyan Tree 悦榕庄</w:t>
            </w:r>
            <w:r>
              <w:rPr>
                <w:rFonts w:hint="eastAsia" w:ascii="宋体" w:hAnsi="宋体" w:cs="宋体"/>
                <w:color w:val="333333"/>
                <w:sz w:val="21"/>
                <w:szCs w:val="21"/>
              </w:rPr>
              <w:t>、</w:t>
            </w:r>
            <w:r>
              <w:rPr>
                <w:rFonts w:hint="eastAsia" w:ascii="宋体" w:hAnsi="宋体" w:cs="宋体"/>
                <w:color w:val="333333"/>
                <w:sz w:val="21"/>
                <w:szCs w:val="21"/>
                <w:u w:val="single"/>
              </w:rPr>
              <w:t>Ascott 雅诗阁</w:t>
            </w:r>
            <w:r>
              <w:rPr>
                <w:rFonts w:hint="eastAsia" w:ascii="宋体" w:hAnsi="宋体" w:cs="宋体"/>
                <w:color w:val="333333"/>
                <w:sz w:val="21"/>
                <w:szCs w:val="21"/>
              </w:rPr>
              <w:t>、</w:t>
            </w:r>
            <w:r>
              <w:rPr>
                <w:rFonts w:hint="eastAsia" w:ascii="宋体" w:hAnsi="宋体" w:cs="宋体"/>
                <w:color w:val="333333"/>
                <w:sz w:val="21"/>
                <w:szCs w:val="21"/>
                <w:u w:val="single"/>
              </w:rPr>
              <w:t>Club Med 地中海俱乐部</w:t>
            </w:r>
            <w:r>
              <w:rPr>
                <w:rFonts w:hint="eastAsia" w:ascii="宋体" w:hAnsi="宋体" w:cs="宋体"/>
                <w:color w:val="333333"/>
                <w:sz w:val="21"/>
                <w:szCs w:val="21"/>
              </w:rPr>
              <w:t>、</w:t>
            </w:r>
            <w:r>
              <w:rPr>
                <w:rFonts w:hint="eastAsia" w:ascii="宋体" w:hAnsi="宋体" w:cs="宋体"/>
                <w:color w:val="333333"/>
                <w:sz w:val="21"/>
                <w:szCs w:val="21"/>
                <w:u w:val="single"/>
              </w:rPr>
              <w:t>Disney 迪士尼</w:t>
            </w:r>
            <w:r>
              <w:rPr>
                <w:rFonts w:hint="eastAsia" w:ascii="宋体" w:hAnsi="宋体" w:cs="宋体"/>
                <w:color w:val="333333"/>
                <w:sz w:val="21"/>
                <w:szCs w:val="21"/>
              </w:rPr>
              <w:t>、</w:t>
            </w:r>
            <w:r>
              <w:rPr>
                <w:rFonts w:hint="eastAsia" w:ascii="宋体" w:hAnsi="宋体" w:cs="宋体"/>
                <w:color w:val="333333"/>
                <w:sz w:val="21"/>
                <w:szCs w:val="21"/>
                <w:u w:val="single"/>
              </w:rPr>
              <w:t>Dusit Thani 都喜天丽</w:t>
            </w:r>
            <w:r>
              <w:rPr>
                <w:rFonts w:hint="eastAsia" w:ascii="宋体" w:hAnsi="宋体" w:cs="宋体"/>
                <w:color w:val="333333"/>
                <w:sz w:val="21"/>
                <w:szCs w:val="21"/>
              </w:rPr>
              <w:t>、</w:t>
            </w:r>
            <w:r>
              <w:rPr>
                <w:rFonts w:hint="eastAsia" w:ascii="宋体" w:hAnsi="宋体" w:cs="宋体"/>
                <w:color w:val="333333"/>
                <w:sz w:val="21"/>
                <w:szCs w:val="21"/>
                <w:u w:val="single"/>
              </w:rPr>
              <w:t>Fraser Place 辉盛坊 | Frasers 辉盛</w:t>
            </w:r>
            <w:r>
              <w:rPr>
                <w:rFonts w:hint="eastAsia" w:ascii="宋体" w:hAnsi="宋体" w:cs="宋体"/>
                <w:color w:val="333333"/>
                <w:sz w:val="21"/>
                <w:szCs w:val="21"/>
              </w:rPr>
              <w:t>、</w:t>
            </w:r>
            <w:r>
              <w:rPr>
                <w:rFonts w:hint="eastAsia" w:ascii="宋体" w:hAnsi="宋体" w:cs="宋体"/>
                <w:color w:val="333333"/>
                <w:sz w:val="21"/>
                <w:szCs w:val="21"/>
                <w:u w:val="single"/>
              </w:rPr>
              <w:t>Fraser Residence 辉盛庭 | Frasers 辉盛</w:t>
            </w:r>
            <w:r>
              <w:rPr>
                <w:rFonts w:hint="eastAsia" w:ascii="宋体" w:hAnsi="宋体" w:cs="宋体"/>
                <w:color w:val="333333"/>
                <w:sz w:val="21"/>
                <w:szCs w:val="21"/>
              </w:rPr>
              <w:t>、</w:t>
            </w:r>
            <w:r>
              <w:rPr>
                <w:rFonts w:hint="eastAsia" w:ascii="宋体" w:hAnsi="宋体" w:cs="宋体"/>
                <w:color w:val="333333"/>
                <w:sz w:val="21"/>
                <w:szCs w:val="21"/>
                <w:u w:val="single"/>
              </w:rPr>
              <w:t>Fraser Suites 辉盛阁 | Frasers 辉盛</w:t>
            </w:r>
            <w:r>
              <w:rPr>
                <w:rFonts w:hint="eastAsia" w:ascii="宋体" w:hAnsi="宋体" w:cs="宋体"/>
                <w:color w:val="333333"/>
                <w:sz w:val="21"/>
                <w:szCs w:val="21"/>
              </w:rPr>
              <w:t>、</w:t>
            </w:r>
            <w:r>
              <w:rPr>
                <w:rFonts w:hint="eastAsia" w:ascii="宋体" w:hAnsi="宋体" w:cs="宋体"/>
                <w:color w:val="333333"/>
                <w:sz w:val="21"/>
                <w:szCs w:val="21"/>
                <w:u w:val="single"/>
              </w:rPr>
              <w:t>Grand Rezen 丽呈华廷 | Rezen 丽呈</w:t>
            </w:r>
            <w:r>
              <w:rPr>
                <w:rFonts w:hint="eastAsia" w:ascii="宋体" w:hAnsi="宋体" w:cs="宋体"/>
                <w:color w:val="333333"/>
                <w:sz w:val="21"/>
                <w:szCs w:val="21"/>
              </w:rPr>
              <w:t>、</w:t>
            </w:r>
            <w:r>
              <w:rPr>
                <w:rFonts w:hint="eastAsia" w:ascii="宋体" w:hAnsi="宋体" w:cs="宋体"/>
                <w:color w:val="333333"/>
                <w:sz w:val="21"/>
                <w:szCs w:val="21"/>
                <w:u w:val="single"/>
              </w:rPr>
              <w:t>Hard Rock 硬石</w:t>
            </w:r>
            <w:r>
              <w:rPr>
                <w:rFonts w:hint="eastAsia" w:ascii="宋体" w:hAnsi="宋体" w:cs="宋体"/>
                <w:color w:val="333333"/>
                <w:sz w:val="21"/>
                <w:szCs w:val="21"/>
              </w:rPr>
              <w:t>、</w:t>
            </w:r>
            <w:r>
              <w:rPr>
                <w:rFonts w:hint="eastAsia" w:ascii="宋体" w:hAnsi="宋体" w:cs="宋体"/>
                <w:color w:val="333333"/>
                <w:sz w:val="21"/>
                <w:szCs w:val="21"/>
                <w:u w:val="single"/>
              </w:rPr>
              <w:t>Hotel Nikko 日航</w:t>
            </w:r>
            <w:r>
              <w:rPr>
                <w:rFonts w:hint="eastAsia" w:ascii="宋体" w:hAnsi="宋体" w:cs="宋体"/>
                <w:color w:val="333333"/>
                <w:sz w:val="21"/>
                <w:szCs w:val="21"/>
              </w:rPr>
              <w:t>、</w:t>
            </w:r>
            <w:r>
              <w:rPr>
                <w:rFonts w:hint="eastAsia" w:ascii="宋体" w:hAnsi="宋体" w:cs="宋体"/>
                <w:color w:val="333333"/>
                <w:sz w:val="21"/>
                <w:szCs w:val="21"/>
                <w:u w:val="single"/>
              </w:rPr>
              <w:t>Millennium 千禧</w:t>
            </w:r>
            <w:r>
              <w:rPr>
                <w:rFonts w:hint="eastAsia" w:ascii="宋体" w:hAnsi="宋体" w:cs="宋体"/>
                <w:color w:val="333333"/>
                <w:sz w:val="21"/>
                <w:szCs w:val="21"/>
              </w:rPr>
              <w:t>、</w:t>
            </w:r>
            <w:r>
              <w:rPr>
                <w:rFonts w:hint="eastAsia" w:ascii="宋体" w:hAnsi="宋体" w:cs="宋体"/>
                <w:color w:val="333333"/>
                <w:sz w:val="21"/>
                <w:szCs w:val="21"/>
                <w:u w:val="single"/>
              </w:rPr>
              <w:t>New World 新世界 | Rosewood 瑰丽</w:t>
            </w:r>
            <w:r>
              <w:rPr>
                <w:rFonts w:hint="eastAsia" w:ascii="宋体" w:hAnsi="宋体" w:cs="宋体"/>
                <w:color w:val="333333"/>
                <w:sz w:val="21"/>
                <w:szCs w:val="21"/>
              </w:rPr>
              <w:t>、</w:t>
            </w:r>
            <w:r>
              <w:rPr>
                <w:rFonts w:hint="eastAsia" w:ascii="宋体" w:hAnsi="宋体" w:cs="宋体"/>
                <w:color w:val="333333"/>
                <w:sz w:val="21"/>
                <w:szCs w:val="21"/>
                <w:u w:val="single"/>
              </w:rPr>
              <w:t>Oakwood Apartments 奥克伍德雅居酒店公寓 | Oakwood 奥克伍德</w:t>
            </w:r>
            <w:r>
              <w:rPr>
                <w:rFonts w:hint="eastAsia" w:ascii="宋体" w:hAnsi="宋体" w:cs="宋体"/>
                <w:color w:val="333333"/>
                <w:sz w:val="21"/>
                <w:szCs w:val="21"/>
              </w:rPr>
              <w:t>、</w:t>
            </w:r>
            <w:r>
              <w:rPr>
                <w:rFonts w:hint="eastAsia" w:ascii="宋体" w:hAnsi="宋体" w:cs="宋体"/>
                <w:color w:val="333333"/>
                <w:sz w:val="21"/>
                <w:szCs w:val="21"/>
                <w:u w:val="single"/>
              </w:rPr>
              <w:t>Oakwood Premier 奥克伍德豪景酒店公寓 | Oakwood 奥克伍德</w:t>
            </w:r>
            <w:r>
              <w:rPr>
                <w:rFonts w:hint="eastAsia" w:ascii="宋体" w:hAnsi="宋体" w:cs="宋体"/>
                <w:color w:val="333333"/>
                <w:sz w:val="21"/>
                <w:szCs w:val="21"/>
              </w:rPr>
              <w:t>、</w:t>
            </w:r>
            <w:r>
              <w:rPr>
                <w:rFonts w:hint="eastAsia" w:ascii="宋体" w:hAnsi="宋体" w:cs="宋体"/>
                <w:color w:val="333333"/>
                <w:sz w:val="21"/>
                <w:szCs w:val="21"/>
                <w:u w:val="single"/>
              </w:rPr>
              <w:t>Pan Pacific 泛太平洋</w:t>
            </w:r>
            <w:r>
              <w:rPr>
                <w:rFonts w:hint="eastAsia" w:ascii="宋体" w:hAnsi="宋体" w:cs="宋体"/>
                <w:color w:val="333333"/>
                <w:sz w:val="21"/>
                <w:szCs w:val="21"/>
              </w:rPr>
              <w:t>、</w:t>
            </w:r>
            <w:r>
              <w:rPr>
                <w:rFonts w:hint="eastAsia" w:ascii="宋体" w:hAnsi="宋体" w:cs="宋体"/>
                <w:color w:val="333333"/>
                <w:sz w:val="21"/>
                <w:szCs w:val="21"/>
                <w:u w:val="single"/>
              </w:rPr>
              <w:t>Radisson Blu 丽笙 | Radisson 丽笙</w:t>
            </w:r>
            <w:r>
              <w:rPr>
                <w:rFonts w:hint="eastAsia" w:ascii="宋体" w:hAnsi="宋体" w:cs="宋体"/>
                <w:color w:val="333333"/>
                <w:sz w:val="21"/>
                <w:szCs w:val="21"/>
              </w:rPr>
              <w:t>、</w:t>
            </w:r>
            <w:r>
              <w:rPr>
                <w:rFonts w:hint="eastAsia" w:ascii="宋体" w:hAnsi="宋体" w:cs="宋体"/>
                <w:color w:val="333333"/>
                <w:sz w:val="21"/>
                <w:szCs w:val="21"/>
                <w:u w:val="single"/>
              </w:rPr>
              <w:t>Radisson Collection 丽笙精选 | Radisson 丽笙</w:t>
            </w:r>
            <w:r>
              <w:rPr>
                <w:rFonts w:hint="eastAsia" w:ascii="宋体" w:hAnsi="宋体" w:cs="宋体"/>
                <w:color w:val="333333"/>
                <w:sz w:val="21"/>
                <w:szCs w:val="21"/>
              </w:rPr>
              <w:t>、</w:t>
            </w:r>
            <w:r>
              <w:rPr>
                <w:rFonts w:hint="eastAsia" w:ascii="宋体" w:hAnsi="宋体" w:cs="宋体"/>
                <w:color w:val="333333"/>
                <w:sz w:val="21"/>
                <w:szCs w:val="21"/>
                <w:u w:val="single"/>
              </w:rPr>
              <w:t>Wanda Vista 万达文华 | Wanda 万达</w:t>
            </w:r>
            <w:r>
              <w:rPr>
                <w:rFonts w:hint="eastAsia" w:ascii="宋体" w:hAnsi="宋体" w:cs="宋体"/>
                <w:color w:val="333333"/>
                <w:sz w:val="21"/>
                <w:szCs w:val="21"/>
              </w:rPr>
              <w:t>、</w:t>
            </w:r>
            <w:r>
              <w:rPr>
                <w:rFonts w:hint="eastAsia" w:ascii="宋体" w:hAnsi="宋体" w:cs="宋体"/>
                <w:color w:val="333333"/>
                <w:sz w:val="21"/>
                <w:szCs w:val="21"/>
                <w:u w:val="single"/>
              </w:rPr>
              <w:t>Wyndham Grand 温德姆至尊 | Wyndham 温德姆</w:t>
            </w:r>
          </w:p>
          <w:p w14:paraId="7B81B127">
            <w:pPr>
              <w:pStyle w:val="26"/>
              <w:widowControl/>
              <w:spacing w:line="264" w:lineRule="auto"/>
              <w:rPr>
                <w:rFonts w:hint="eastAsia" w:ascii="宋体" w:hAnsi="宋体" w:cs="宋体"/>
                <w:color w:val="333333"/>
                <w:sz w:val="21"/>
                <w:szCs w:val="21"/>
              </w:rPr>
            </w:pPr>
          </w:p>
          <w:p w14:paraId="397620E0">
            <w:pPr>
              <w:pStyle w:val="26"/>
              <w:widowControl/>
              <w:spacing w:line="264" w:lineRule="auto"/>
              <w:ind w:firstLine="420" w:firstLineChars="200"/>
              <w:rPr>
                <w:rFonts w:hint="eastAsia" w:ascii="宋体" w:hAnsi="宋体" w:cs="宋体"/>
                <w:i/>
                <w:iCs/>
                <w:color w:val="333333"/>
                <w:sz w:val="21"/>
                <w:szCs w:val="21"/>
                <w:u w:val="single"/>
              </w:rPr>
            </w:pPr>
            <w:r>
              <w:rPr>
                <w:rFonts w:hint="eastAsia" w:ascii="宋体" w:hAnsi="宋体" w:cs="宋体"/>
                <w:i/>
                <w:iCs/>
                <w:color w:val="333333"/>
                <w:sz w:val="21"/>
                <w:szCs w:val="21"/>
                <w:u w:val="single"/>
              </w:rPr>
              <w:t>注：如存在</w:t>
            </w:r>
            <w:r>
              <w:rPr>
                <w:rFonts w:hint="eastAsia" w:ascii="宋体" w:hAnsi="宋体" w:cs="宋体"/>
                <w:i/>
                <w:iCs/>
                <w:kern w:val="0"/>
                <w:sz w:val="21"/>
                <w:szCs w:val="18"/>
                <w:u w:val="single"/>
              </w:rPr>
              <w:t>其他STR超高端或奢华的酒店未在本名单列明的，请</w:t>
            </w:r>
            <w:r>
              <w:rPr>
                <w:rFonts w:hint="eastAsia" w:ascii="宋体" w:hAnsi="宋体" w:cs="宋体"/>
                <w:i/>
                <w:iCs/>
                <w:color w:val="333333"/>
                <w:sz w:val="21"/>
                <w:szCs w:val="21"/>
                <w:u w:val="single"/>
              </w:rPr>
              <w:t>在</w:t>
            </w:r>
            <w:r>
              <w:rPr>
                <w:rFonts w:hint="eastAsia" w:ascii="宋体" w:hAnsi="宋体" w:cs="宋体"/>
                <w:i/>
                <w:iCs/>
                <w:kern w:val="0"/>
                <w:sz w:val="21"/>
                <w:szCs w:val="18"/>
                <w:u w:val="single"/>
              </w:rPr>
              <w:t>采购公告发出之日（采购公告发布当天不算）起6日内，以书面形式向采购人和采购代理机构提出质疑，并提供相关证明。未提出的，在评审过程中不予认可。</w:t>
            </w:r>
          </w:p>
          <w:p w14:paraId="03D80706">
            <w:pPr>
              <w:pStyle w:val="23"/>
              <w:rPr>
                <w:rFonts w:hint="eastAsia" w:ascii="宋体" w:hAnsi="宋体" w:cs="宋体"/>
                <w:sz w:val="15"/>
                <w:szCs w:val="21"/>
              </w:rPr>
            </w:pPr>
          </w:p>
        </w:tc>
      </w:tr>
    </w:tbl>
    <w:p w14:paraId="2C5ECC2F">
      <w:pPr>
        <w:pStyle w:val="23"/>
        <w:rPr>
          <w:rFonts w:hint="eastAsia" w:ascii="宋体" w:hAnsi="宋体" w:cs="宋体"/>
        </w:rPr>
      </w:pPr>
    </w:p>
    <w:p w14:paraId="4BCBE052">
      <w:pPr>
        <w:pStyle w:val="12"/>
      </w:pPr>
    </w:p>
    <w:sectPr>
      <w:pgSz w:w="11906" w:h="16838"/>
      <w:pgMar w:top="1440" w:right="1463" w:bottom="1440" w:left="1463" w:header="737" w:footer="709"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CC21B">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0205E">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20205E">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6B8BC">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35A9C">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1435A9C">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0788">
    <w:pPr>
      <w:pStyle w:val="20"/>
      <w:jc w:val="both"/>
    </w:pPr>
    <w:r>
      <w:rPr>
        <w:rFonts w:hint="eastAsia"/>
      </w:rPr>
      <w:t>采购项目：温州奥体中心应急电源电池采购</w:t>
    </w:r>
  </w:p>
  <w:p w14:paraId="5C32AD98">
    <w:pPr>
      <w:pStyle w:val="20"/>
      <w:jc w:val="both"/>
    </w:pPr>
    <w:r>
      <w:rPr>
        <w:rFonts w:hint="eastAsia"/>
      </w:rPr>
      <w:t>项目编号：</w:t>
    </w:r>
    <w:r>
      <w:rPr>
        <w:rFonts w:hint="eastAsia" w:ascii="宋体" w:hAnsi="宋体" w:cs="宋体"/>
      </w:rPr>
      <w:t xml:space="preserve">WGSS-CFJT-Z-2024029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1A150">
    <w:pPr>
      <w:pStyle w:val="20"/>
      <w:pBdr>
        <w:bottom w:val="none" w:color="auto" w:sz="0" w:space="1"/>
      </w:pBdr>
      <w:wordWrap w:val="0"/>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2D5C1F0"/>
    <w:multiLevelType w:val="singleLevel"/>
    <w:tmpl w:val="A2D5C1F0"/>
    <w:lvl w:ilvl="0" w:tentative="0">
      <w:start w:val="1"/>
      <w:numFmt w:val="decimal"/>
      <w:suff w:val="nothing"/>
      <w:lvlText w:val="（%1）"/>
      <w:lvlJc w:val="left"/>
    </w:lvl>
  </w:abstractNum>
  <w:abstractNum w:abstractNumId="3">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B0E94DC0"/>
    <w:multiLevelType w:val="singleLevel"/>
    <w:tmpl w:val="B0E94DC0"/>
    <w:lvl w:ilvl="0" w:tentative="0">
      <w:start w:val="2"/>
      <w:numFmt w:val="chineseCounting"/>
      <w:suff w:val="space"/>
      <w:lvlText w:val="第%1部分"/>
      <w:lvlJc w:val="left"/>
      <w:rPr>
        <w:rFonts w:hint="eastAsia"/>
      </w:rPr>
    </w:lvl>
  </w:abstractNum>
  <w:abstractNum w:abstractNumId="5">
    <w:nsid w:val="B3AD5856"/>
    <w:multiLevelType w:val="multilevel"/>
    <w:tmpl w:val="B3AD585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B83B27F3"/>
    <w:multiLevelType w:val="singleLevel"/>
    <w:tmpl w:val="B83B27F3"/>
    <w:lvl w:ilvl="0" w:tentative="0">
      <w:start w:val="1"/>
      <w:numFmt w:val="chineseCounting"/>
      <w:suff w:val="nothing"/>
      <w:lvlText w:val="%1、"/>
      <w:lvlJc w:val="left"/>
      <w:pPr>
        <w:ind w:left="-210" w:firstLine="420"/>
      </w:pPr>
      <w:rPr>
        <w:rFonts w:hint="eastAsia"/>
      </w:rPr>
    </w:lvl>
  </w:abstractNum>
  <w:abstractNum w:abstractNumId="7">
    <w:nsid w:val="C0EBCD01"/>
    <w:multiLevelType w:val="singleLevel"/>
    <w:tmpl w:val="C0EBCD01"/>
    <w:lvl w:ilvl="0" w:tentative="0">
      <w:start w:val="1"/>
      <w:numFmt w:val="chineseCounting"/>
      <w:suff w:val="nothing"/>
      <w:lvlText w:val="%1、"/>
      <w:lvlJc w:val="left"/>
      <w:rPr>
        <w:rFonts w:hint="eastAsia"/>
      </w:rPr>
    </w:lvl>
  </w:abstractNum>
  <w:abstractNum w:abstractNumId="8">
    <w:nsid w:val="CB12D014"/>
    <w:multiLevelType w:val="singleLevel"/>
    <w:tmpl w:val="CB12D014"/>
    <w:lvl w:ilvl="0" w:tentative="0">
      <w:start w:val="2"/>
      <w:numFmt w:val="decimal"/>
      <w:suff w:val="nothing"/>
      <w:lvlText w:val="（%1）"/>
      <w:lvlJc w:val="left"/>
    </w:lvl>
  </w:abstractNum>
  <w:abstractNum w:abstractNumId="9">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0">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3">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2">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3">
    <w:nsid w:val="152824CC"/>
    <w:multiLevelType w:val="singleLevel"/>
    <w:tmpl w:val="152824CC"/>
    <w:lvl w:ilvl="0" w:tentative="0">
      <w:start w:val="1"/>
      <w:numFmt w:val="decimal"/>
      <w:suff w:val="nothing"/>
      <w:lvlText w:val="%1）"/>
      <w:lvlJc w:val="left"/>
    </w:lvl>
  </w:abstractNum>
  <w:abstractNum w:abstractNumId="24">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25">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6">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7"/>
  </w:num>
  <w:num w:numId="3">
    <w:abstractNumId w:val="26"/>
  </w:num>
  <w:num w:numId="4">
    <w:abstractNumId w:val="11"/>
  </w:num>
  <w:num w:numId="5">
    <w:abstractNumId w:val="10"/>
  </w:num>
  <w:num w:numId="6">
    <w:abstractNumId w:val="13"/>
  </w:num>
  <w:num w:numId="7">
    <w:abstractNumId w:val="21"/>
  </w:num>
  <w:num w:numId="8">
    <w:abstractNumId w:val="18"/>
  </w:num>
  <w:num w:numId="9">
    <w:abstractNumId w:val="20"/>
  </w:num>
  <w:num w:numId="10">
    <w:abstractNumId w:val="27"/>
  </w:num>
  <w:num w:numId="11">
    <w:abstractNumId w:val="16"/>
  </w:num>
  <w:num w:numId="12">
    <w:abstractNumId w:val="17"/>
  </w:num>
  <w:num w:numId="13">
    <w:abstractNumId w:val="12"/>
  </w:num>
  <w:num w:numId="14">
    <w:abstractNumId w:val="1"/>
  </w:num>
  <w:num w:numId="15">
    <w:abstractNumId w:val="19"/>
  </w:num>
  <w:num w:numId="16">
    <w:abstractNumId w:val="14"/>
  </w:num>
  <w:num w:numId="17">
    <w:abstractNumId w:val="15"/>
  </w:num>
  <w:num w:numId="18">
    <w:abstractNumId w:val="22"/>
  </w:num>
  <w:num w:numId="19">
    <w:abstractNumId w:val="9"/>
  </w:num>
  <w:num w:numId="20">
    <w:abstractNumId w:val="0"/>
  </w:num>
  <w:num w:numId="21">
    <w:abstractNumId w:val="25"/>
  </w:num>
  <w:num w:numId="22">
    <w:abstractNumId w:val="3"/>
  </w:num>
  <w:num w:numId="23">
    <w:abstractNumId w:val="23"/>
  </w:num>
  <w:num w:numId="24">
    <w:abstractNumId w:val="2"/>
  </w:num>
  <w:num w:numId="25">
    <w:abstractNumId w:val="4"/>
  </w:num>
  <w:num w:numId="26">
    <w:abstractNumId w:val="8"/>
  </w:num>
  <w:num w:numId="27">
    <w:abstractNumId w:val="2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N2ZlYWYyZmMxZmZmYWYzN2IxZjYzMzY5NzlmYjYifQ=="/>
  </w:docVars>
  <w:rsids>
    <w:rsidRoot w:val="57C24C5B"/>
    <w:rsid w:val="00201922"/>
    <w:rsid w:val="006770ED"/>
    <w:rsid w:val="00702588"/>
    <w:rsid w:val="007A10FD"/>
    <w:rsid w:val="00920E41"/>
    <w:rsid w:val="00A25063"/>
    <w:rsid w:val="00B27742"/>
    <w:rsid w:val="00B67275"/>
    <w:rsid w:val="00C057B3"/>
    <w:rsid w:val="00C34CCB"/>
    <w:rsid w:val="00E60A9C"/>
    <w:rsid w:val="00FE0125"/>
    <w:rsid w:val="010A7396"/>
    <w:rsid w:val="01241B68"/>
    <w:rsid w:val="01316FB5"/>
    <w:rsid w:val="018E309C"/>
    <w:rsid w:val="01C469C0"/>
    <w:rsid w:val="01C77067"/>
    <w:rsid w:val="01D01CCC"/>
    <w:rsid w:val="01E03DA0"/>
    <w:rsid w:val="01F42A41"/>
    <w:rsid w:val="021B2927"/>
    <w:rsid w:val="02245B83"/>
    <w:rsid w:val="02246E13"/>
    <w:rsid w:val="02867DB1"/>
    <w:rsid w:val="028C2BCB"/>
    <w:rsid w:val="02E94C58"/>
    <w:rsid w:val="03ED1205"/>
    <w:rsid w:val="03F60FF6"/>
    <w:rsid w:val="04305BEE"/>
    <w:rsid w:val="04515826"/>
    <w:rsid w:val="04B14D84"/>
    <w:rsid w:val="04DB42F1"/>
    <w:rsid w:val="04E61694"/>
    <w:rsid w:val="04F102B9"/>
    <w:rsid w:val="053B3910"/>
    <w:rsid w:val="05455DAE"/>
    <w:rsid w:val="063D4CBA"/>
    <w:rsid w:val="064122FC"/>
    <w:rsid w:val="066E7A9D"/>
    <w:rsid w:val="06795617"/>
    <w:rsid w:val="0694074C"/>
    <w:rsid w:val="06FB7C1C"/>
    <w:rsid w:val="070E2154"/>
    <w:rsid w:val="07177C01"/>
    <w:rsid w:val="072A292A"/>
    <w:rsid w:val="073F08B4"/>
    <w:rsid w:val="07571DAC"/>
    <w:rsid w:val="07677FBD"/>
    <w:rsid w:val="07D02C82"/>
    <w:rsid w:val="07F00B49"/>
    <w:rsid w:val="07FE462A"/>
    <w:rsid w:val="0817488F"/>
    <w:rsid w:val="084324A7"/>
    <w:rsid w:val="08907E16"/>
    <w:rsid w:val="090E1105"/>
    <w:rsid w:val="091A6C33"/>
    <w:rsid w:val="094C65E9"/>
    <w:rsid w:val="096F6562"/>
    <w:rsid w:val="09A43E33"/>
    <w:rsid w:val="09A76D42"/>
    <w:rsid w:val="09CE7919"/>
    <w:rsid w:val="09F0332B"/>
    <w:rsid w:val="0A0F1E34"/>
    <w:rsid w:val="0A7E1F40"/>
    <w:rsid w:val="0A853DFE"/>
    <w:rsid w:val="0A8D39DF"/>
    <w:rsid w:val="0B190FCD"/>
    <w:rsid w:val="0B1A038F"/>
    <w:rsid w:val="0B1D57C3"/>
    <w:rsid w:val="0B616916"/>
    <w:rsid w:val="0B7B3B13"/>
    <w:rsid w:val="0BA34953"/>
    <w:rsid w:val="0BD74439"/>
    <w:rsid w:val="0BFB3BB6"/>
    <w:rsid w:val="0C10164A"/>
    <w:rsid w:val="0C204ACC"/>
    <w:rsid w:val="0C305E24"/>
    <w:rsid w:val="0D7F19B9"/>
    <w:rsid w:val="0D862027"/>
    <w:rsid w:val="0D933B9C"/>
    <w:rsid w:val="0D991314"/>
    <w:rsid w:val="0E1265C8"/>
    <w:rsid w:val="0E9E20A1"/>
    <w:rsid w:val="0EB92D68"/>
    <w:rsid w:val="0F2451D4"/>
    <w:rsid w:val="0F2F2DE3"/>
    <w:rsid w:val="0F3473FF"/>
    <w:rsid w:val="0F8B3C3D"/>
    <w:rsid w:val="0FB202E4"/>
    <w:rsid w:val="10327F45"/>
    <w:rsid w:val="104B5F89"/>
    <w:rsid w:val="10560578"/>
    <w:rsid w:val="108463AC"/>
    <w:rsid w:val="108C06AF"/>
    <w:rsid w:val="10A6675D"/>
    <w:rsid w:val="10DE1511"/>
    <w:rsid w:val="11286FDB"/>
    <w:rsid w:val="118947D1"/>
    <w:rsid w:val="11A85C69"/>
    <w:rsid w:val="12177633"/>
    <w:rsid w:val="12253876"/>
    <w:rsid w:val="12435D4E"/>
    <w:rsid w:val="12A52565"/>
    <w:rsid w:val="12AA0623"/>
    <w:rsid w:val="12FB477F"/>
    <w:rsid w:val="130D2EF1"/>
    <w:rsid w:val="134B318D"/>
    <w:rsid w:val="135E5673"/>
    <w:rsid w:val="13A47016"/>
    <w:rsid w:val="13D80718"/>
    <w:rsid w:val="142E6E23"/>
    <w:rsid w:val="14C13917"/>
    <w:rsid w:val="14CD0AF2"/>
    <w:rsid w:val="15077863"/>
    <w:rsid w:val="15142CEE"/>
    <w:rsid w:val="152F2290"/>
    <w:rsid w:val="154708E2"/>
    <w:rsid w:val="15611812"/>
    <w:rsid w:val="158346B4"/>
    <w:rsid w:val="1599315D"/>
    <w:rsid w:val="15A0595A"/>
    <w:rsid w:val="15FB6FC6"/>
    <w:rsid w:val="160E7F4D"/>
    <w:rsid w:val="161C2A95"/>
    <w:rsid w:val="168000BB"/>
    <w:rsid w:val="16963186"/>
    <w:rsid w:val="16BC1C2B"/>
    <w:rsid w:val="16C54A31"/>
    <w:rsid w:val="17006E4C"/>
    <w:rsid w:val="170F7CD2"/>
    <w:rsid w:val="17380809"/>
    <w:rsid w:val="177F241D"/>
    <w:rsid w:val="17A11002"/>
    <w:rsid w:val="17BA586E"/>
    <w:rsid w:val="17E72C8D"/>
    <w:rsid w:val="18094EC6"/>
    <w:rsid w:val="181E6D53"/>
    <w:rsid w:val="1829415E"/>
    <w:rsid w:val="18350A67"/>
    <w:rsid w:val="18761F32"/>
    <w:rsid w:val="18782DEF"/>
    <w:rsid w:val="18B04364"/>
    <w:rsid w:val="18C5200D"/>
    <w:rsid w:val="18D21BDA"/>
    <w:rsid w:val="190A1374"/>
    <w:rsid w:val="195A5FE0"/>
    <w:rsid w:val="195B7881"/>
    <w:rsid w:val="19A117A6"/>
    <w:rsid w:val="19D14DC6"/>
    <w:rsid w:val="19D54386"/>
    <w:rsid w:val="1A705511"/>
    <w:rsid w:val="1AAF3438"/>
    <w:rsid w:val="1AE14DA1"/>
    <w:rsid w:val="1AFD753F"/>
    <w:rsid w:val="1B061265"/>
    <w:rsid w:val="1B4661F8"/>
    <w:rsid w:val="1B8E0BB7"/>
    <w:rsid w:val="1BA612B7"/>
    <w:rsid w:val="1BE03147"/>
    <w:rsid w:val="1C072979"/>
    <w:rsid w:val="1C3C52EC"/>
    <w:rsid w:val="1C7C29AD"/>
    <w:rsid w:val="1CD51D9C"/>
    <w:rsid w:val="1CE16F5A"/>
    <w:rsid w:val="1D104B3E"/>
    <w:rsid w:val="1D3022BD"/>
    <w:rsid w:val="1D491378"/>
    <w:rsid w:val="1D7051B6"/>
    <w:rsid w:val="1DA22711"/>
    <w:rsid w:val="1DC402FA"/>
    <w:rsid w:val="1DD7559C"/>
    <w:rsid w:val="1DF34A9D"/>
    <w:rsid w:val="1E2A3341"/>
    <w:rsid w:val="1E4213DB"/>
    <w:rsid w:val="1E586A03"/>
    <w:rsid w:val="1E7302AF"/>
    <w:rsid w:val="1E791D94"/>
    <w:rsid w:val="1E7A1193"/>
    <w:rsid w:val="1EC8180F"/>
    <w:rsid w:val="1EF30C31"/>
    <w:rsid w:val="1EFA5B53"/>
    <w:rsid w:val="1F04790F"/>
    <w:rsid w:val="1F4D522C"/>
    <w:rsid w:val="1F710E25"/>
    <w:rsid w:val="1F757926"/>
    <w:rsid w:val="1F8B28B8"/>
    <w:rsid w:val="1FC658C9"/>
    <w:rsid w:val="1FEA15B7"/>
    <w:rsid w:val="1FEB1605"/>
    <w:rsid w:val="201913FB"/>
    <w:rsid w:val="20607217"/>
    <w:rsid w:val="206F6517"/>
    <w:rsid w:val="20716D43"/>
    <w:rsid w:val="207E625A"/>
    <w:rsid w:val="209A533F"/>
    <w:rsid w:val="20A46FFC"/>
    <w:rsid w:val="2158242F"/>
    <w:rsid w:val="2164181C"/>
    <w:rsid w:val="217D36BC"/>
    <w:rsid w:val="21817CF9"/>
    <w:rsid w:val="219E2E66"/>
    <w:rsid w:val="21A12149"/>
    <w:rsid w:val="21C455B7"/>
    <w:rsid w:val="22103B7C"/>
    <w:rsid w:val="22213F2C"/>
    <w:rsid w:val="224F5540"/>
    <w:rsid w:val="22927665"/>
    <w:rsid w:val="229D2256"/>
    <w:rsid w:val="22A91DAD"/>
    <w:rsid w:val="22D017AB"/>
    <w:rsid w:val="22E7668A"/>
    <w:rsid w:val="22EC5C74"/>
    <w:rsid w:val="23005A55"/>
    <w:rsid w:val="231A7047"/>
    <w:rsid w:val="233E37B4"/>
    <w:rsid w:val="236330B0"/>
    <w:rsid w:val="236F6CCC"/>
    <w:rsid w:val="23D267CE"/>
    <w:rsid w:val="23EB2BD6"/>
    <w:rsid w:val="24052E69"/>
    <w:rsid w:val="243209FE"/>
    <w:rsid w:val="24614414"/>
    <w:rsid w:val="24645994"/>
    <w:rsid w:val="249F7F43"/>
    <w:rsid w:val="24D31516"/>
    <w:rsid w:val="24EFADC1"/>
    <w:rsid w:val="25592C67"/>
    <w:rsid w:val="255A24FF"/>
    <w:rsid w:val="25C03589"/>
    <w:rsid w:val="25FE6A5D"/>
    <w:rsid w:val="261E6AEC"/>
    <w:rsid w:val="263E440B"/>
    <w:rsid w:val="2647707D"/>
    <w:rsid w:val="268F1348"/>
    <w:rsid w:val="269552AE"/>
    <w:rsid w:val="26B90AF5"/>
    <w:rsid w:val="26C5756A"/>
    <w:rsid w:val="27237FCD"/>
    <w:rsid w:val="27266DB9"/>
    <w:rsid w:val="27296E1D"/>
    <w:rsid w:val="27581C78"/>
    <w:rsid w:val="277A36A7"/>
    <w:rsid w:val="27913A04"/>
    <w:rsid w:val="27AB593A"/>
    <w:rsid w:val="27C7173C"/>
    <w:rsid w:val="281C21E5"/>
    <w:rsid w:val="286E2C6A"/>
    <w:rsid w:val="28761E3A"/>
    <w:rsid w:val="28A52F03"/>
    <w:rsid w:val="28BF0398"/>
    <w:rsid w:val="2931086D"/>
    <w:rsid w:val="29634188"/>
    <w:rsid w:val="29C33313"/>
    <w:rsid w:val="29F50012"/>
    <w:rsid w:val="29F51284"/>
    <w:rsid w:val="2A316C06"/>
    <w:rsid w:val="2A7C6050"/>
    <w:rsid w:val="2AC64599"/>
    <w:rsid w:val="2AD22F0D"/>
    <w:rsid w:val="2B303955"/>
    <w:rsid w:val="2B4433CD"/>
    <w:rsid w:val="2B4654FF"/>
    <w:rsid w:val="2B6528C8"/>
    <w:rsid w:val="2B6619BC"/>
    <w:rsid w:val="2B8E6417"/>
    <w:rsid w:val="2BAA0794"/>
    <w:rsid w:val="2BEF442F"/>
    <w:rsid w:val="2BFB6435"/>
    <w:rsid w:val="2C3E518E"/>
    <w:rsid w:val="2CEE3CB2"/>
    <w:rsid w:val="2D0F16AB"/>
    <w:rsid w:val="2D2B5454"/>
    <w:rsid w:val="2D37342B"/>
    <w:rsid w:val="2D6911F0"/>
    <w:rsid w:val="2D8F192E"/>
    <w:rsid w:val="2DCC2C44"/>
    <w:rsid w:val="2DF055A4"/>
    <w:rsid w:val="2E0C12BD"/>
    <w:rsid w:val="2E484A9D"/>
    <w:rsid w:val="2E9D5EA6"/>
    <w:rsid w:val="2E9E31F3"/>
    <w:rsid w:val="2ED723D3"/>
    <w:rsid w:val="2EE144CD"/>
    <w:rsid w:val="2EE91B23"/>
    <w:rsid w:val="2F0A5D6B"/>
    <w:rsid w:val="2F0D60FE"/>
    <w:rsid w:val="2F13014E"/>
    <w:rsid w:val="2FAC2E7D"/>
    <w:rsid w:val="3035189E"/>
    <w:rsid w:val="30754091"/>
    <w:rsid w:val="309A2A6B"/>
    <w:rsid w:val="30EB1AD1"/>
    <w:rsid w:val="30FC7407"/>
    <w:rsid w:val="3145544E"/>
    <w:rsid w:val="315216B2"/>
    <w:rsid w:val="315A0567"/>
    <w:rsid w:val="31613715"/>
    <w:rsid w:val="31650116"/>
    <w:rsid w:val="31763C33"/>
    <w:rsid w:val="3195334D"/>
    <w:rsid w:val="319E3397"/>
    <w:rsid w:val="31D40319"/>
    <w:rsid w:val="31F84FA6"/>
    <w:rsid w:val="327F0285"/>
    <w:rsid w:val="33305A23"/>
    <w:rsid w:val="33370B5F"/>
    <w:rsid w:val="333A2F0E"/>
    <w:rsid w:val="33684105"/>
    <w:rsid w:val="33794903"/>
    <w:rsid w:val="337B7839"/>
    <w:rsid w:val="338620B3"/>
    <w:rsid w:val="33EA4A07"/>
    <w:rsid w:val="33ED182B"/>
    <w:rsid w:val="34037AE5"/>
    <w:rsid w:val="346B7878"/>
    <w:rsid w:val="34B84C5D"/>
    <w:rsid w:val="351B49CF"/>
    <w:rsid w:val="3525563E"/>
    <w:rsid w:val="355721C2"/>
    <w:rsid w:val="363B3C58"/>
    <w:rsid w:val="365E1EC3"/>
    <w:rsid w:val="36B539B4"/>
    <w:rsid w:val="36BE21FC"/>
    <w:rsid w:val="370C2B12"/>
    <w:rsid w:val="378761A3"/>
    <w:rsid w:val="37FDE1E1"/>
    <w:rsid w:val="37FF749C"/>
    <w:rsid w:val="3862716B"/>
    <w:rsid w:val="386B586E"/>
    <w:rsid w:val="386C256D"/>
    <w:rsid w:val="3875702F"/>
    <w:rsid w:val="38F66A63"/>
    <w:rsid w:val="390078FA"/>
    <w:rsid w:val="392247ED"/>
    <w:rsid w:val="395C738D"/>
    <w:rsid w:val="39866E98"/>
    <w:rsid w:val="39AD5A4E"/>
    <w:rsid w:val="39CC7B7D"/>
    <w:rsid w:val="3A2D7E2B"/>
    <w:rsid w:val="3A5861B3"/>
    <w:rsid w:val="3A842F90"/>
    <w:rsid w:val="3A8E2A39"/>
    <w:rsid w:val="3AA3086C"/>
    <w:rsid w:val="3AC209EE"/>
    <w:rsid w:val="3B1B0631"/>
    <w:rsid w:val="3B2C2F74"/>
    <w:rsid w:val="3B302D4D"/>
    <w:rsid w:val="3B427DAD"/>
    <w:rsid w:val="3BB66DF7"/>
    <w:rsid w:val="3C026B24"/>
    <w:rsid w:val="3C0C5EE6"/>
    <w:rsid w:val="3C0F25B6"/>
    <w:rsid w:val="3C325991"/>
    <w:rsid w:val="3C7B4ED3"/>
    <w:rsid w:val="3C7E6C92"/>
    <w:rsid w:val="3CCD1440"/>
    <w:rsid w:val="3CE44553"/>
    <w:rsid w:val="3CE811B8"/>
    <w:rsid w:val="3CF92951"/>
    <w:rsid w:val="3D141F11"/>
    <w:rsid w:val="3D1725F3"/>
    <w:rsid w:val="3D44753A"/>
    <w:rsid w:val="3D4B390B"/>
    <w:rsid w:val="3D783F6D"/>
    <w:rsid w:val="3D91605E"/>
    <w:rsid w:val="3DEF15EE"/>
    <w:rsid w:val="3DFB7CFD"/>
    <w:rsid w:val="3E06098C"/>
    <w:rsid w:val="3E223994"/>
    <w:rsid w:val="3E2D1167"/>
    <w:rsid w:val="3E495600"/>
    <w:rsid w:val="3E692E72"/>
    <w:rsid w:val="3E7C7D6E"/>
    <w:rsid w:val="3E841492"/>
    <w:rsid w:val="3E854E75"/>
    <w:rsid w:val="3ED037DE"/>
    <w:rsid w:val="3ED7134D"/>
    <w:rsid w:val="3EFF801A"/>
    <w:rsid w:val="3F0026E5"/>
    <w:rsid w:val="3F0C204C"/>
    <w:rsid w:val="3F1B94C6"/>
    <w:rsid w:val="3F3015B2"/>
    <w:rsid w:val="3F3C1387"/>
    <w:rsid w:val="3F6B1F55"/>
    <w:rsid w:val="3F76656C"/>
    <w:rsid w:val="3F990CD3"/>
    <w:rsid w:val="3FA70C40"/>
    <w:rsid w:val="3FCC7236"/>
    <w:rsid w:val="3FEE6200"/>
    <w:rsid w:val="3FFF4B13"/>
    <w:rsid w:val="40191CEA"/>
    <w:rsid w:val="40477DEF"/>
    <w:rsid w:val="40513AF8"/>
    <w:rsid w:val="407C22A8"/>
    <w:rsid w:val="40FA221C"/>
    <w:rsid w:val="410D24FA"/>
    <w:rsid w:val="41183B5C"/>
    <w:rsid w:val="416F3BBA"/>
    <w:rsid w:val="41792551"/>
    <w:rsid w:val="41877EB7"/>
    <w:rsid w:val="419D4899"/>
    <w:rsid w:val="41EE0F83"/>
    <w:rsid w:val="41F25DF6"/>
    <w:rsid w:val="4202036A"/>
    <w:rsid w:val="42037338"/>
    <w:rsid w:val="42432E6D"/>
    <w:rsid w:val="425A0EEC"/>
    <w:rsid w:val="428D51B0"/>
    <w:rsid w:val="42980EEF"/>
    <w:rsid w:val="430A21BB"/>
    <w:rsid w:val="43906799"/>
    <w:rsid w:val="43C138AE"/>
    <w:rsid w:val="43C954E3"/>
    <w:rsid w:val="44127229"/>
    <w:rsid w:val="4432789C"/>
    <w:rsid w:val="44AE6A37"/>
    <w:rsid w:val="44B83EE9"/>
    <w:rsid w:val="44CB735A"/>
    <w:rsid w:val="45201DD2"/>
    <w:rsid w:val="452472A0"/>
    <w:rsid w:val="452F2D30"/>
    <w:rsid w:val="4561234B"/>
    <w:rsid w:val="459A4484"/>
    <w:rsid w:val="45BB24A6"/>
    <w:rsid w:val="460507BD"/>
    <w:rsid w:val="46133BD5"/>
    <w:rsid w:val="46A63DA9"/>
    <w:rsid w:val="46E350DD"/>
    <w:rsid w:val="46F77ECB"/>
    <w:rsid w:val="478402F7"/>
    <w:rsid w:val="47E80BAE"/>
    <w:rsid w:val="47EA2A89"/>
    <w:rsid w:val="488E26A7"/>
    <w:rsid w:val="489E49C3"/>
    <w:rsid w:val="48AC05C9"/>
    <w:rsid w:val="492B3128"/>
    <w:rsid w:val="493412E9"/>
    <w:rsid w:val="49377541"/>
    <w:rsid w:val="49A2565E"/>
    <w:rsid w:val="49DE6F0E"/>
    <w:rsid w:val="4A077580"/>
    <w:rsid w:val="4A154664"/>
    <w:rsid w:val="4A34305D"/>
    <w:rsid w:val="4A7F5F45"/>
    <w:rsid w:val="4AB233E5"/>
    <w:rsid w:val="4AE2148E"/>
    <w:rsid w:val="4AE54BC9"/>
    <w:rsid w:val="4AEE5F59"/>
    <w:rsid w:val="4AF26918"/>
    <w:rsid w:val="4AF40F92"/>
    <w:rsid w:val="4B3D1C0F"/>
    <w:rsid w:val="4B5E0113"/>
    <w:rsid w:val="4BC175F7"/>
    <w:rsid w:val="4C101AF6"/>
    <w:rsid w:val="4C150036"/>
    <w:rsid w:val="4C163E25"/>
    <w:rsid w:val="4C393310"/>
    <w:rsid w:val="4C716288"/>
    <w:rsid w:val="4CB2453A"/>
    <w:rsid w:val="4CB97E44"/>
    <w:rsid w:val="4CBC0D1C"/>
    <w:rsid w:val="4CC80F7E"/>
    <w:rsid w:val="4D78617A"/>
    <w:rsid w:val="4D8B4003"/>
    <w:rsid w:val="4D8B42E8"/>
    <w:rsid w:val="4DFA6362"/>
    <w:rsid w:val="4DFF302B"/>
    <w:rsid w:val="4E043262"/>
    <w:rsid w:val="4E067654"/>
    <w:rsid w:val="4E7C55BA"/>
    <w:rsid w:val="4E856DD4"/>
    <w:rsid w:val="4E9E6C72"/>
    <w:rsid w:val="4E9F478C"/>
    <w:rsid w:val="4EB014EB"/>
    <w:rsid w:val="4EB1136E"/>
    <w:rsid w:val="4EDF76F8"/>
    <w:rsid w:val="4EFB781E"/>
    <w:rsid w:val="4F0B18BC"/>
    <w:rsid w:val="4F5F6F5C"/>
    <w:rsid w:val="4F6C34E7"/>
    <w:rsid w:val="4F714FA1"/>
    <w:rsid w:val="4F7454AC"/>
    <w:rsid w:val="4FD842EB"/>
    <w:rsid w:val="4FDE30C1"/>
    <w:rsid w:val="500D625D"/>
    <w:rsid w:val="501A0C89"/>
    <w:rsid w:val="502975FE"/>
    <w:rsid w:val="502B3F12"/>
    <w:rsid w:val="50A53155"/>
    <w:rsid w:val="50BB2978"/>
    <w:rsid w:val="50C422BF"/>
    <w:rsid w:val="50C477CB"/>
    <w:rsid w:val="50C9453B"/>
    <w:rsid w:val="514215EB"/>
    <w:rsid w:val="51427C81"/>
    <w:rsid w:val="515C2AF0"/>
    <w:rsid w:val="51667550"/>
    <w:rsid w:val="51A1429B"/>
    <w:rsid w:val="51D00B8B"/>
    <w:rsid w:val="520911F3"/>
    <w:rsid w:val="520E379E"/>
    <w:rsid w:val="52405575"/>
    <w:rsid w:val="526B217C"/>
    <w:rsid w:val="52BD424C"/>
    <w:rsid w:val="52CE635A"/>
    <w:rsid w:val="52D7392F"/>
    <w:rsid w:val="531E71EE"/>
    <w:rsid w:val="53496D4F"/>
    <w:rsid w:val="53EE6FDC"/>
    <w:rsid w:val="53FD0B91"/>
    <w:rsid w:val="54201E4A"/>
    <w:rsid w:val="54990EF8"/>
    <w:rsid w:val="54CC6D57"/>
    <w:rsid w:val="55170A1A"/>
    <w:rsid w:val="55706D4F"/>
    <w:rsid w:val="55753FD4"/>
    <w:rsid w:val="558029B4"/>
    <w:rsid w:val="55CC7EA6"/>
    <w:rsid w:val="55F667AA"/>
    <w:rsid w:val="560E52F8"/>
    <w:rsid w:val="56113D20"/>
    <w:rsid w:val="563C2BC8"/>
    <w:rsid w:val="56416152"/>
    <w:rsid w:val="5675239F"/>
    <w:rsid w:val="5681017A"/>
    <w:rsid w:val="56E623F8"/>
    <w:rsid w:val="5712706A"/>
    <w:rsid w:val="573D7E38"/>
    <w:rsid w:val="574A4C8F"/>
    <w:rsid w:val="576A0C54"/>
    <w:rsid w:val="576F4172"/>
    <w:rsid w:val="57C24C5B"/>
    <w:rsid w:val="58254B7B"/>
    <w:rsid w:val="584414A5"/>
    <w:rsid w:val="587578B0"/>
    <w:rsid w:val="58CA6B5F"/>
    <w:rsid w:val="59184C1C"/>
    <w:rsid w:val="595B3BE3"/>
    <w:rsid w:val="5986716D"/>
    <w:rsid w:val="599F07F6"/>
    <w:rsid w:val="59A2321A"/>
    <w:rsid w:val="59C65AE4"/>
    <w:rsid w:val="59D30381"/>
    <w:rsid w:val="59FD60B7"/>
    <w:rsid w:val="5A180297"/>
    <w:rsid w:val="5A2B59AA"/>
    <w:rsid w:val="5ACA76AE"/>
    <w:rsid w:val="5AF7698D"/>
    <w:rsid w:val="5B487A69"/>
    <w:rsid w:val="5B4942B1"/>
    <w:rsid w:val="5B6D40F6"/>
    <w:rsid w:val="5B9061BE"/>
    <w:rsid w:val="5B9B2E64"/>
    <w:rsid w:val="5BC47A1C"/>
    <w:rsid w:val="5C4E40FD"/>
    <w:rsid w:val="5C623185"/>
    <w:rsid w:val="5C7A7845"/>
    <w:rsid w:val="5C850E44"/>
    <w:rsid w:val="5CDB7E34"/>
    <w:rsid w:val="5CFD0069"/>
    <w:rsid w:val="5D163908"/>
    <w:rsid w:val="5D3E73C3"/>
    <w:rsid w:val="5D661AC3"/>
    <w:rsid w:val="5D814B05"/>
    <w:rsid w:val="5D882B80"/>
    <w:rsid w:val="5DBA4C2A"/>
    <w:rsid w:val="5DCA2363"/>
    <w:rsid w:val="5DD92690"/>
    <w:rsid w:val="5DE625EC"/>
    <w:rsid w:val="5E6E1A76"/>
    <w:rsid w:val="5E99597B"/>
    <w:rsid w:val="5E9A314C"/>
    <w:rsid w:val="5EA42C9D"/>
    <w:rsid w:val="5F0B64EF"/>
    <w:rsid w:val="5F325104"/>
    <w:rsid w:val="5F5E13AF"/>
    <w:rsid w:val="5FCF486B"/>
    <w:rsid w:val="60052EA6"/>
    <w:rsid w:val="606B6E69"/>
    <w:rsid w:val="607C76DB"/>
    <w:rsid w:val="611834CF"/>
    <w:rsid w:val="61227EAA"/>
    <w:rsid w:val="616D6AA6"/>
    <w:rsid w:val="617D4D88"/>
    <w:rsid w:val="61B009D1"/>
    <w:rsid w:val="61E92BD1"/>
    <w:rsid w:val="61FF7872"/>
    <w:rsid w:val="62F425ED"/>
    <w:rsid w:val="62F92C64"/>
    <w:rsid w:val="63062CA3"/>
    <w:rsid w:val="630C038D"/>
    <w:rsid w:val="63412DD7"/>
    <w:rsid w:val="6379BFAC"/>
    <w:rsid w:val="642F4DB7"/>
    <w:rsid w:val="645E44CD"/>
    <w:rsid w:val="646A2634"/>
    <w:rsid w:val="6497295D"/>
    <w:rsid w:val="64BE438D"/>
    <w:rsid w:val="64C749FC"/>
    <w:rsid w:val="64E1713B"/>
    <w:rsid w:val="65136F05"/>
    <w:rsid w:val="653F62AF"/>
    <w:rsid w:val="6557916C"/>
    <w:rsid w:val="657340E4"/>
    <w:rsid w:val="65AB1BE2"/>
    <w:rsid w:val="65BC32B1"/>
    <w:rsid w:val="65C36624"/>
    <w:rsid w:val="65C54A6A"/>
    <w:rsid w:val="65E34903"/>
    <w:rsid w:val="65E94AE8"/>
    <w:rsid w:val="660364FC"/>
    <w:rsid w:val="664C7E40"/>
    <w:rsid w:val="66573AC5"/>
    <w:rsid w:val="66644AC0"/>
    <w:rsid w:val="66BB0B84"/>
    <w:rsid w:val="66BC1540"/>
    <w:rsid w:val="66C72549"/>
    <w:rsid w:val="66E13D1E"/>
    <w:rsid w:val="66EC7C29"/>
    <w:rsid w:val="66F17B74"/>
    <w:rsid w:val="670D02EC"/>
    <w:rsid w:val="67205FA3"/>
    <w:rsid w:val="67430DCE"/>
    <w:rsid w:val="67872E15"/>
    <w:rsid w:val="67CDA7D8"/>
    <w:rsid w:val="67D75085"/>
    <w:rsid w:val="67F5186E"/>
    <w:rsid w:val="681B62CA"/>
    <w:rsid w:val="68590208"/>
    <w:rsid w:val="68A1495C"/>
    <w:rsid w:val="68D876F9"/>
    <w:rsid w:val="68EA1C36"/>
    <w:rsid w:val="693115D2"/>
    <w:rsid w:val="69367EFB"/>
    <w:rsid w:val="697C6149"/>
    <w:rsid w:val="69825989"/>
    <w:rsid w:val="698B3E8A"/>
    <w:rsid w:val="69F97B76"/>
    <w:rsid w:val="6A015F6E"/>
    <w:rsid w:val="6A822098"/>
    <w:rsid w:val="6ACF416B"/>
    <w:rsid w:val="6AD85265"/>
    <w:rsid w:val="6AEB45AE"/>
    <w:rsid w:val="6B2235FD"/>
    <w:rsid w:val="6B395740"/>
    <w:rsid w:val="6BAB6B40"/>
    <w:rsid w:val="6BB53A40"/>
    <w:rsid w:val="6BD77D02"/>
    <w:rsid w:val="6BE7077A"/>
    <w:rsid w:val="6BF859C0"/>
    <w:rsid w:val="6BFE1CAB"/>
    <w:rsid w:val="6C1E32AE"/>
    <w:rsid w:val="6C560A79"/>
    <w:rsid w:val="6D2D2D6C"/>
    <w:rsid w:val="6D4619DC"/>
    <w:rsid w:val="6D4D45ED"/>
    <w:rsid w:val="6D4E636E"/>
    <w:rsid w:val="6D5B0C50"/>
    <w:rsid w:val="6D5E495F"/>
    <w:rsid w:val="6D7C015F"/>
    <w:rsid w:val="6D7C6ECE"/>
    <w:rsid w:val="6D856F2D"/>
    <w:rsid w:val="6DD99759"/>
    <w:rsid w:val="6E1D7FD8"/>
    <w:rsid w:val="6E2C2368"/>
    <w:rsid w:val="6E2F18A8"/>
    <w:rsid w:val="6E2F6119"/>
    <w:rsid w:val="6E601AA5"/>
    <w:rsid w:val="6E74B52A"/>
    <w:rsid w:val="6EB432EB"/>
    <w:rsid w:val="6EB5164B"/>
    <w:rsid w:val="6EBA5F1C"/>
    <w:rsid w:val="6ECB5E40"/>
    <w:rsid w:val="6EDA1DC4"/>
    <w:rsid w:val="6F014AE5"/>
    <w:rsid w:val="6F1C2F93"/>
    <w:rsid w:val="6F6F4B7C"/>
    <w:rsid w:val="6F7D2D5F"/>
    <w:rsid w:val="6F8A1914"/>
    <w:rsid w:val="6FA97CDB"/>
    <w:rsid w:val="6FCF689F"/>
    <w:rsid w:val="6FD54E8A"/>
    <w:rsid w:val="6FEA70FC"/>
    <w:rsid w:val="6FF11ABB"/>
    <w:rsid w:val="6FFF1E22"/>
    <w:rsid w:val="70695A07"/>
    <w:rsid w:val="708B7B7D"/>
    <w:rsid w:val="70A61AE6"/>
    <w:rsid w:val="7161034C"/>
    <w:rsid w:val="71A90288"/>
    <w:rsid w:val="71AD4709"/>
    <w:rsid w:val="71EF3217"/>
    <w:rsid w:val="720C02D8"/>
    <w:rsid w:val="72132687"/>
    <w:rsid w:val="72225F5B"/>
    <w:rsid w:val="722755AD"/>
    <w:rsid w:val="723D0C23"/>
    <w:rsid w:val="72EF528D"/>
    <w:rsid w:val="72FB5F36"/>
    <w:rsid w:val="7336492E"/>
    <w:rsid w:val="73927111"/>
    <w:rsid w:val="73B31996"/>
    <w:rsid w:val="73C7661F"/>
    <w:rsid w:val="73C95551"/>
    <w:rsid w:val="73D93A8C"/>
    <w:rsid w:val="73EB1B78"/>
    <w:rsid w:val="73F876A7"/>
    <w:rsid w:val="742328FB"/>
    <w:rsid w:val="743401C8"/>
    <w:rsid w:val="745C0AF6"/>
    <w:rsid w:val="74EC45FF"/>
    <w:rsid w:val="7503388F"/>
    <w:rsid w:val="753007A1"/>
    <w:rsid w:val="75707643"/>
    <w:rsid w:val="75A7120C"/>
    <w:rsid w:val="763252B7"/>
    <w:rsid w:val="765751BB"/>
    <w:rsid w:val="76691D6C"/>
    <w:rsid w:val="76874018"/>
    <w:rsid w:val="76BD6F76"/>
    <w:rsid w:val="76C20675"/>
    <w:rsid w:val="76C50741"/>
    <w:rsid w:val="76F540CF"/>
    <w:rsid w:val="76FF488C"/>
    <w:rsid w:val="772D2B12"/>
    <w:rsid w:val="77773955"/>
    <w:rsid w:val="77A3BF0E"/>
    <w:rsid w:val="77A64F39"/>
    <w:rsid w:val="77BE4E8B"/>
    <w:rsid w:val="77DD2B58"/>
    <w:rsid w:val="77FBBD6C"/>
    <w:rsid w:val="783854F2"/>
    <w:rsid w:val="78774707"/>
    <w:rsid w:val="787857A3"/>
    <w:rsid w:val="787C3EEC"/>
    <w:rsid w:val="78803A80"/>
    <w:rsid w:val="78C67FB6"/>
    <w:rsid w:val="79155272"/>
    <w:rsid w:val="791E0DCD"/>
    <w:rsid w:val="79963BE7"/>
    <w:rsid w:val="79E306C6"/>
    <w:rsid w:val="79E308DA"/>
    <w:rsid w:val="7A6D07DE"/>
    <w:rsid w:val="7A873BDC"/>
    <w:rsid w:val="7A8E61D8"/>
    <w:rsid w:val="7AF59E3D"/>
    <w:rsid w:val="7B0A3A31"/>
    <w:rsid w:val="7B3D1A6E"/>
    <w:rsid w:val="7B4055B2"/>
    <w:rsid w:val="7B7D4211"/>
    <w:rsid w:val="7BA237B9"/>
    <w:rsid w:val="7BB04158"/>
    <w:rsid w:val="7BC36D99"/>
    <w:rsid w:val="7BDE0260"/>
    <w:rsid w:val="7BFF3E1D"/>
    <w:rsid w:val="7C7B5E64"/>
    <w:rsid w:val="7C8F1C56"/>
    <w:rsid w:val="7CA6618B"/>
    <w:rsid w:val="7CBC14DA"/>
    <w:rsid w:val="7D285673"/>
    <w:rsid w:val="7D42050F"/>
    <w:rsid w:val="7D79665E"/>
    <w:rsid w:val="7E4126EB"/>
    <w:rsid w:val="7E8E1F1A"/>
    <w:rsid w:val="7E9C42B7"/>
    <w:rsid w:val="7EB513E7"/>
    <w:rsid w:val="7EDF7446"/>
    <w:rsid w:val="7F1F0998"/>
    <w:rsid w:val="7F2B453C"/>
    <w:rsid w:val="7F362BEA"/>
    <w:rsid w:val="7F68131E"/>
    <w:rsid w:val="7F751A84"/>
    <w:rsid w:val="7F8F5688"/>
    <w:rsid w:val="7F9CA953"/>
    <w:rsid w:val="7F9D1AED"/>
    <w:rsid w:val="7FB87894"/>
    <w:rsid w:val="7FD9DA50"/>
    <w:rsid w:val="7FEE15F0"/>
    <w:rsid w:val="7FEF6E73"/>
    <w:rsid w:val="7FF69EBD"/>
    <w:rsid w:val="7FF78530"/>
    <w:rsid w:val="9DEF8B0A"/>
    <w:rsid w:val="9FFDB463"/>
    <w:rsid w:val="9FFF75EE"/>
    <w:rsid w:val="A5EFED22"/>
    <w:rsid w:val="AFEF79ED"/>
    <w:rsid w:val="BEFF9FCC"/>
    <w:rsid w:val="BF0F1D2F"/>
    <w:rsid w:val="BF968A20"/>
    <w:rsid w:val="C553467F"/>
    <w:rsid w:val="C92FC5C4"/>
    <w:rsid w:val="CFEECB5E"/>
    <w:rsid w:val="D75B01F3"/>
    <w:rsid w:val="DB8E11E9"/>
    <w:rsid w:val="DEA342E5"/>
    <w:rsid w:val="DF570167"/>
    <w:rsid w:val="DFBF9E63"/>
    <w:rsid w:val="DFBFE51C"/>
    <w:rsid w:val="EBDE3B4D"/>
    <w:rsid w:val="EF97EE43"/>
    <w:rsid w:val="F377972E"/>
    <w:rsid w:val="F3CCCF1A"/>
    <w:rsid w:val="F71E4632"/>
    <w:rsid w:val="F7FA23FB"/>
    <w:rsid w:val="F8EF8BA6"/>
    <w:rsid w:val="F9FFD4D9"/>
    <w:rsid w:val="FAFCCC3F"/>
    <w:rsid w:val="FBFDD89D"/>
    <w:rsid w:val="FBFE881D"/>
    <w:rsid w:val="FC3BFAE1"/>
    <w:rsid w:val="FEBD60D6"/>
    <w:rsid w:val="FFBDCD6A"/>
    <w:rsid w:val="FFCDC97F"/>
    <w:rsid w:val="FFFF8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Tahoma" w:hAnsi="Tahoma"/>
      <w:b/>
      <w:bCs/>
      <w:sz w:val="24"/>
    </w:rPr>
  </w:style>
  <w:style w:type="paragraph" w:styleId="3">
    <w:name w:val="heading 2"/>
    <w:basedOn w:val="1"/>
    <w:next w:val="4"/>
    <w:unhideWhenUsed/>
    <w:qFormat/>
    <w:uiPriority w:val="0"/>
    <w:pPr>
      <w:keepNext/>
      <w:keepLines/>
      <w:spacing w:before="260" w:after="260" w:line="413" w:lineRule="auto"/>
      <w:jc w:val="center"/>
      <w:outlineLvl w:val="1"/>
    </w:pPr>
    <w:rPr>
      <w:rFonts w:ascii="Arial" w:hAnsi="Arial"/>
      <w:b/>
      <w:sz w:val="36"/>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numPr>
        <w:ilvl w:val="3"/>
        <w:numId w:val="1"/>
      </w:numPr>
      <w:adjustRightInd w:val="0"/>
      <w:spacing w:before="280" w:after="290" w:line="376" w:lineRule="atLeast"/>
      <w:textAlignment w:val="baseline"/>
      <w:outlineLvl w:val="3"/>
    </w:pPr>
    <w:rPr>
      <w:rFonts w:ascii="Arial" w:hAnsi="Arial" w:eastAsia="黑体"/>
      <w:b/>
      <w:sz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12" w:lineRule="atLeast"/>
      <w:ind w:firstLine="420"/>
      <w:textAlignment w:val="baseline"/>
    </w:pPr>
    <w:rPr>
      <w:rFonts w:eastAsia="宋体,Verdana,Arial"/>
      <w:kern w:val="0"/>
      <w:szCs w:val="20"/>
    </w:rPr>
  </w:style>
  <w:style w:type="paragraph" w:styleId="5">
    <w:name w:val="index 7"/>
    <w:basedOn w:val="1"/>
    <w:next w:val="1"/>
    <w:qFormat/>
    <w:uiPriority w:val="0"/>
    <w:pPr>
      <w:ind w:left="2520"/>
    </w:pPr>
  </w:style>
  <w:style w:type="paragraph" w:styleId="9">
    <w:name w:val="annotation text"/>
    <w:basedOn w:val="1"/>
    <w:qFormat/>
    <w:uiPriority w:val="0"/>
    <w:pPr>
      <w:jc w:val="left"/>
    </w:pPr>
  </w:style>
  <w:style w:type="paragraph" w:styleId="10">
    <w:name w:val="Body Text"/>
    <w:basedOn w:val="1"/>
    <w:next w:val="11"/>
    <w:qFormat/>
    <w:uiPriority w:val="0"/>
    <w:pPr>
      <w:spacing w:after="120"/>
    </w:pPr>
    <w:rPr>
      <w:rFonts w:eastAsia="宋体,Verdana,Arial"/>
    </w:rPr>
  </w:style>
  <w:style w:type="paragraph" w:styleId="11">
    <w:name w:val="Body Text First Indent"/>
    <w:basedOn w:val="10"/>
    <w:next w:val="12"/>
    <w:qFormat/>
    <w:uiPriority w:val="0"/>
    <w:pPr>
      <w:autoSpaceDE w:val="0"/>
      <w:autoSpaceDN w:val="0"/>
      <w:adjustRightInd w:val="0"/>
      <w:ind w:firstLine="420" w:firstLineChars="100"/>
      <w:jc w:val="left"/>
    </w:pPr>
  </w:style>
  <w:style w:type="paragraph" w:styleId="12">
    <w:name w:val="toc 6"/>
    <w:basedOn w:val="1"/>
    <w:next w:val="1"/>
    <w:semiHidden/>
    <w:qFormat/>
    <w:uiPriority w:val="0"/>
    <w:pPr>
      <w:ind w:left="1050"/>
      <w:jc w:val="left"/>
    </w:pPr>
    <w:rPr>
      <w:sz w:val="18"/>
      <w:szCs w:val="18"/>
    </w:rPr>
  </w:style>
  <w:style w:type="paragraph" w:styleId="13">
    <w:name w:val="Body Text Indent"/>
    <w:basedOn w:val="1"/>
    <w:qFormat/>
    <w:uiPriority w:val="0"/>
    <w:pPr>
      <w:ind w:left="480" w:hanging="480" w:hangingChars="200"/>
    </w:pPr>
    <w:rPr>
      <w:sz w:val="24"/>
    </w:rPr>
  </w:style>
  <w:style w:type="paragraph" w:styleId="14">
    <w:name w:val="Block Text"/>
    <w:basedOn w:val="1"/>
    <w:qFormat/>
    <w:uiPriority w:val="0"/>
    <w:pPr>
      <w:spacing w:line="572" w:lineRule="exact"/>
      <w:ind w:left="1264" w:leftChars="100" w:right="316" w:hanging="948" w:hangingChars="300"/>
    </w:pPr>
    <w:rPr>
      <w:rFonts w:ascii="Times New Roman" w:hAnsi="Times New Roman" w:eastAsia="仿宋_GB2312"/>
      <w:snapToGrid w:val="0"/>
      <w:sz w:val="32"/>
      <w:szCs w:val="20"/>
    </w:rPr>
  </w:style>
  <w:style w:type="paragraph" w:styleId="15">
    <w:name w:val="Plain Text"/>
    <w:basedOn w:val="1"/>
    <w:next w:val="1"/>
    <w:qFormat/>
    <w:uiPriority w:val="0"/>
    <w:rPr>
      <w:rFonts w:ascii="宋体" w:hAnsi="Courier New" w:cs="Courier New"/>
      <w:szCs w:val="21"/>
    </w:rPr>
  </w:style>
  <w:style w:type="paragraph" w:styleId="16">
    <w:name w:val="Date"/>
    <w:basedOn w:val="1"/>
    <w:next w:val="1"/>
    <w:qFormat/>
    <w:uiPriority w:val="0"/>
    <w:pPr>
      <w:ind w:left="100" w:leftChars="2500"/>
    </w:pPr>
  </w:style>
  <w:style w:type="paragraph" w:styleId="17">
    <w:name w:val="Body Text Indent 2"/>
    <w:basedOn w:val="1"/>
    <w:qFormat/>
    <w:uiPriority w:val="0"/>
    <w:pPr>
      <w:spacing w:line="500" w:lineRule="exact"/>
      <w:ind w:firstLine="511" w:firstLineChars="213"/>
    </w:pPr>
    <w:rPr>
      <w:sz w:val="24"/>
    </w:rPr>
  </w:style>
  <w:style w:type="paragraph" w:styleId="18">
    <w:name w:val="endnote text"/>
    <w:basedOn w:val="1"/>
    <w:qFormat/>
    <w:uiPriority w:val="0"/>
    <w:pPr>
      <w:snapToGrid w:val="0"/>
      <w:jc w:val="left"/>
    </w:p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660"/>
      </w:tabs>
      <w:spacing w:line="480" w:lineRule="auto"/>
    </w:p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qFormat/>
    <w:uiPriority w:val="0"/>
    <w:pPr>
      <w:snapToGrid w:val="0"/>
      <w:jc w:val="left"/>
    </w:pPr>
    <w:rPr>
      <w:sz w:val="18"/>
    </w:rPr>
  </w:style>
  <w:style w:type="paragraph" w:styleId="24">
    <w:name w:val="toc 2"/>
    <w:basedOn w:val="1"/>
    <w:next w:val="1"/>
    <w:qFormat/>
    <w:uiPriority w:val="39"/>
    <w:pPr>
      <w:ind w:left="420" w:leftChars="200"/>
    </w:pPr>
    <w:rPr>
      <w:rFonts w:ascii="Times New Roman" w:hAnsi="Times New Roman"/>
    </w:rPr>
  </w:style>
  <w:style w:type="paragraph" w:styleId="25">
    <w:name w:val="Body Text 2"/>
    <w:basedOn w:val="1"/>
    <w:qFormat/>
    <w:uiPriority w:val="0"/>
    <w:pPr>
      <w:spacing w:after="120" w:line="480" w:lineRule="auto"/>
    </w:pPr>
  </w:style>
  <w:style w:type="paragraph" w:styleId="26">
    <w:name w:val="Normal (Web)"/>
    <w:basedOn w:val="1"/>
    <w:qFormat/>
    <w:uiPriority w:val="0"/>
    <w:rPr>
      <w:sz w:val="24"/>
    </w:rPr>
  </w:style>
  <w:style w:type="paragraph" w:styleId="27">
    <w:name w:val="Body Text First Indent 2"/>
    <w:basedOn w:val="13"/>
    <w:next w:val="28"/>
    <w:qFormat/>
    <w:uiPriority w:val="99"/>
    <w:pPr>
      <w:ind w:firstLine="420" w:firstLineChars="200"/>
    </w:pPr>
  </w:style>
  <w:style w:type="paragraph" w:customStyle="1" w:styleId="28">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rPr>
      <w:rFonts w:cs="Times New Roman"/>
    </w:rPr>
  </w:style>
  <w:style w:type="character" w:styleId="34">
    <w:name w:val="Hyperlink"/>
    <w:basedOn w:val="31"/>
    <w:qFormat/>
    <w:uiPriority w:val="99"/>
    <w:rPr>
      <w:color w:val="454545"/>
      <w:u w:val="single"/>
    </w:rPr>
  </w:style>
  <w:style w:type="character" w:styleId="35">
    <w:name w:val="annotation reference"/>
    <w:qFormat/>
    <w:uiPriority w:val="0"/>
    <w:rPr>
      <w:sz w:val="21"/>
      <w:szCs w:val="21"/>
    </w:rPr>
  </w:style>
  <w:style w:type="character" w:styleId="36">
    <w:name w:val="footnote reference"/>
    <w:basedOn w:val="31"/>
    <w:qFormat/>
    <w:uiPriority w:val="0"/>
    <w:rPr>
      <w:vertAlign w:val="superscript"/>
    </w:rPr>
  </w:style>
  <w:style w:type="paragraph" w:customStyle="1" w:styleId="37">
    <w:name w:val="正文首行缩进1"/>
    <w:basedOn w:val="10"/>
    <w:qFormat/>
    <w:uiPriority w:val="0"/>
    <w:pPr>
      <w:ind w:firstLine="420" w:firstLineChars="100"/>
    </w:pPr>
  </w:style>
  <w:style w:type="paragraph" w:customStyle="1" w:styleId="38">
    <w:name w:val="Default"/>
    <w:next w:val="23"/>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39">
    <w:name w:val="表格文字"/>
    <w:basedOn w:val="15"/>
    <w:next w:val="10"/>
    <w:qFormat/>
    <w:uiPriority w:val="0"/>
    <w:pPr>
      <w:adjustRightInd w:val="0"/>
      <w:spacing w:line="420" w:lineRule="atLeast"/>
      <w:jc w:val="left"/>
      <w:textAlignment w:val="baseline"/>
    </w:pPr>
    <w:rPr>
      <w:kern w:val="0"/>
    </w:rPr>
  </w:style>
  <w:style w:type="paragraph" w:customStyle="1" w:styleId="40">
    <w:name w:val="p0"/>
    <w:basedOn w:val="1"/>
    <w:qFormat/>
    <w:uiPriority w:val="0"/>
    <w:pPr>
      <w:widowControl/>
    </w:pPr>
    <w:rPr>
      <w:kern w:val="0"/>
      <w:szCs w:val="21"/>
    </w:rPr>
  </w:style>
  <w:style w:type="character" w:customStyle="1" w:styleId="41">
    <w:name w:val="font21"/>
    <w:basedOn w:val="31"/>
    <w:qFormat/>
    <w:uiPriority w:val="0"/>
    <w:rPr>
      <w:rFonts w:hint="eastAsia" w:ascii="宋体" w:hAnsi="宋体" w:eastAsia="宋体" w:cs="宋体"/>
      <w:color w:val="FF0000"/>
      <w:sz w:val="20"/>
      <w:szCs w:val="20"/>
      <w:u w:val="none"/>
    </w:rPr>
  </w:style>
  <w:style w:type="paragraph" w:customStyle="1" w:styleId="42">
    <w:name w:val="msonospacing"/>
    <w:basedOn w:val="1"/>
    <w:qFormat/>
    <w:uiPriority w:val="0"/>
    <w:pPr>
      <w:widowControl/>
      <w:adjustRightInd w:val="0"/>
      <w:snapToGrid w:val="0"/>
      <w:jc w:val="left"/>
    </w:pPr>
    <w:rPr>
      <w:rFonts w:ascii="Tahoma" w:hAnsi="Tahoma" w:eastAsia="微软雅黑"/>
      <w:kern w:val="0"/>
      <w:sz w:val="22"/>
      <w:szCs w:val="22"/>
    </w:rPr>
  </w:style>
  <w:style w:type="paragraph" w:styleId="43">
    <w:name w:val="List Paragraph"/>
    <w:basedOn w:val="1"/>
    <w:qFormat/>
    <w:uiPriority w:val="34"/>
    <w:pPr>
      <w:ind w:firstLine="420" w:firstLineChars="200"/>
    </w:pPr>
  </w:style>
  <w:style w:type="paragraph" w:customStyle="1" w:styleId="44">
    <w:name w:val="列出段落1"/>
    <w:basedOn w:val="1"/>
    <w:qFormat/>
    <w:uiPriority w:val="34"/>
    <w:pPr>
      <w:ind w:firstLine="420" w:firstLineChars="200"/>
    </w:pPr>
    <w:rPr>
      <w:szCs w:val="22"/>
    </w:rPr>
  </w:style>
  <w:style w:type="paragraph" w:customStyle="1" w:styleId="45">
    <w:name w:val="投标正文"/>
    <w:basedOn w:val="1"/>
    <w:qFormat/>
    <w:uiPriority w:val="0"/>
    <w:pPr>
      <w:spacing w:line="360" w:lineRule="auto"/>
      <w:ind w:left="102" w:firstLine="200" w:firstLineChars="200"/>
    </w:pPr>
    <w:rPr>
      <w:sz w:val="24"/>
    </w:rPr>
  </w:style>
  <w:style w:type="paragraph" w:customStyle="1" w:styleId="46">
    <w:name w:val="列出段落3"/>
    <w:basedOn w:val="1"/>
    <w:qFormat/>
    <w:uiPriority w:val="0"/>
    <w:pPr>
      <w:spacing w:line="360" w:lineRule="auto"/>
      <w:ind w:firstLine="420" w:firstLineChars="200"/>
    </w:pPr>
    <w:rPr>
      <w:sz w:val="24"/>
      <w:szCs w:val="22"/>
    </w:rPr>
  </w:style>
  <w:style w:type="paragraph" w:customStyle="1" w:styleId="47">
    <w:name w:val="样式 标题 2 + 首行缩进:  1.13 厘米"/>
    <w:basedOn w:val="1"/>
    <w:qFormat/>
    <w:uiPriority w:val="0"/>
    <w:pPr>
      <w:keepNext/>
      <w:keepLines/>
      <w:spacing w:line="408" w:lineRule="auto"/>
      <w:ind w:firstLine="641"/>
      <w:outlineLvl w:val="1"/>
    </w:pPr>
    <w:rPr>
      <w:rFonts w:ascii="Cambria" w:hAnsi="Cambria"/>
      <w:b/>
      <w:kern w:val="0"/>
      <w:sz w:val="32"/>
      <w:szCs w:val="20"/>
    </w:rPr>
  </w:style>
  <w:style w:type="paragraph" w:customStyle="1" w:styleId="48">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
    <w:name w:val="_Style 1"/>
    <w:qFormat/>
    <w:uiPriority w:val="0"/>
    <w:rPr>
      <w:rFonts w:ascii="Calibri" w:hAnsi="Calibri" w:eastAsia="宋体" w:cs="宋体"/>
      <w:kern w:val="2"/>
      <w:sz w:val="28"/>
      <w:szCs w:val="22"/>
      <w:lang w:val="en-US" w:eastAsia="zh-CN" w:bidi="ar-SA"/>
    </w:rPr>
  </w:style>
  <w:style w:type="character" w:customStyle="1" w:styleId="50">
    <w:name w:val="NormalCharacter"/>
    <w:semiHidden/>
    <w:qFormat/>
    <w:uiPriority w:val="0"/>
  </w:style>
  <w:style w:type="paragraph" w:customStyle="1" w:styleId="51">
    <w:name w:val="Table Paragraph"/>
    <w:basedOn w:val="1"/>
    <w:qFormat/>
    <w:uiPriority w:val="1"/>
    <w:rPr>
      <w:rFonts w:ascii="宋体" w:hAnsi="宋体" w:cs="宋体"/>
      <w:lang w:val="zh-CN" w:bidi="zh-CN"/>
    </w:rPr>
  </w:style>
  <w:style w:type="character" w:customStyle="1" w:styleId="52">
    <w:name w:val="question-title2"/>
    <w:basedOn w:val="31"/>
    <w:qFormat/>
    <w:uiPriority w:val="0"/>
  </w:style>
  <w:style w:type="paragraph" w:customStyle="1" w:styleId="53">
    <w:name w:val="正文正"/>
    <w:basedOn w:val="1"/>
    <w:qFormat/>
    <w:uiPriority w:val="0"/>
    <w:pPr>
      <w:spacing w:line="560" w:lineRule="exact"/>
      <w:ind w:firstLine="561"/>
    </w:pPr>
    <w:rPr>
      <w:rFonts w:eastAsia="仿宋_GB2312"/>
      <w:sz w:val="28"/>
    </w:rPr>
  </w:style>
  <w:style w:type="paragraph" w:customStyle="1" w:styleId="54">
    <w:name w:val="[Normal]"/>
    <w:qFormat/>
    <w:uiPriority w:val="0"/>
    <w:rPr>
      <w:rFonts w:ascii="宋体" w:hAnsi="宋体" w:eastAsia="宋体" w:cs="Times New Roman"/>
      <w:sz w:val="24"/>
      <w:szCs w:val="22"/>
      <w:lang w:val="zh-CN" w:eastAsia="zh-CN" w:bidi="ar-SA"/>
    </w:rPr>
  </w:style>
  <w:style w:type="paragraph" w:customStyle="1" w:styleId="55">
    <w:name w:val="表内文字"/>
    <w:basedOn w:val="1"/>
    <w:qFormat/>
    <w:uiPriority w:val="0"/>
    <w:pPr>
      <w:spacing w:line="240" w:lineRule="atLeast"/>
      <w:jc w:val="center"/>
    </w:pPr>
    <w:rPr>
      <w:rFonts w:ascii="Arial" w:hAnsi="Arial" w:cs="Arial"/>
      <w:b/>
      <w:bCs/>
    </w:rPr>
  </w:style>
  <w:style w:type="paragraph" w:customStyle="1" w:styleId="56">
    <w:name w:val="xl55"/>
    <w:basedOn w:val="1"/>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57">
    <w:name w:val="标题 11"/>
    <w:basedOn w:val="1"/>
    <w:qFormat/>
    <w:uiPriority w:val="99"/>
    <w:pPr>
      <w:autoSpaceDE w:val="0"/>
      <w:autoSpaceDN w:val="0"/>
      <w:spacing w:line="702" w:lineRule="exact"/>
      <w:jc w:val="left"/>
      <w:outlineLvl w:val="1"/>
    </w:pPr>
    <w:rPr>
      <w:rFonts w:ascii="Microsoft JhengHei" w:hAnsi="Microsoft JhengHei" w:eastAsia="Microsoft JhengHei" w:cs="Microsoft JhengHei"/>
      <w:b/>
      <w:bCs/>
      <w:kern w:val="0"/>
      <w:sz w:val="44"/>
      <w:szCs w:val="44"/>
    </w:rPr>
  </w:style>
  <w:style w:type="paragraph" w:customStyle="1" w:styleId="58">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16089</Words>
  <Characters>17225</Characters>
  <Lines>1224</Lines>
  <Paragraphs>1298</Paragraphs>
  <TotalTime>3</TotalTime>
  <ScaleCrop>false</ScaleCrop>
  <LinksUpToDate>false</LinksUpToDate>
  <CharactersWithSpaces>17357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2022-05-03T03:36:00Z</dcterms:created>
  <dc:creator>fengjinkai</dc:creator>
  <cp:lastModifiedBy>易</cp:lastModifiedBy>
  <cp:lastPrinted>2025-04-09T06:09:00Z</cp:lastPrinted>
  <dcterms:modified xsi:type="dcterms:W3CDTF">2026-07-22T09:03:32Z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1DE039A5055044C0A1219CEC87D7A456_13</vt:lpwstr>
  </property>
  <property fmtid="{D5CDD505-2E9C-101B-9397-08002B2CF9AE}" pid="4" name="KSOTemplateDocerSaveRecord">
    <vt:lpwstr>eyJoZGlkIjoiNzgxMzBjZWJmNGZkZDI3NjIwZWNjZTY0MjE1YzIwOGQiLCJ1c2VySWQiOiIzOTMzNjgzNDMifQ==</vt:lpwstr>
  </property>
</Properties>
</file>