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bookmarkStart w:id="189" w:name="_GoBack"/>
      <w:bookmarkEnd w:id="189"/>
      <w:r>
        <w:rPr>
          <w:rFonts w:hint="eastAsia" w:ascii="Arial" w:hAnsi="Arial" w:eastAsia="宋体" w:cs="Arial"/>
          <w:b/>
          <w:bCs/>
          <w:color w:val="auto"/>
          <w:spacing w:val="120"/>
          <w:sz w:val="72"/>
          <w:szCs w:val="72"/>
          <w:highlight w:val="none"/>
          <w:lang w:eastAsia="zh-CN"/>
        </w:rPr>
        <w:tab/>
      </w:r>
    </w:p>
    <w:p>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lang w:val="en-US" w:eastAsia="zh-CN"/>
        </w:rPr>
      </w:pPr>
    </w:p>
    <w:p>
      <w:pPr>
        <w:overflowPunct w:val="0"/>
        <w:spacing w:line="400" w:lineRule="atLeast"/>
        <w:outlineLvl w:val="9"/>
        <w:rPr>
          <w:rFonts w:hint="default" w:ascii="Arial" w:hAnsi="Arial" w:eastAsia="宋体" w:cs="Arial"/>
          <w:b/>
          <w:color w:val="auto"/>
          <w:sz w:val="52"/>
          <w:highlight w:val="none"/>
        </w:rPr>
      </w:pPr>
    </w:p>
    <w:p>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w:t>
      </w:r>
      <w:r>
        <w:rPr>
          <w:rFonts w:hint="eastAsia" w:ascii="Arial" w:hAnsi="Arial" w:eastAsia="宋体" w:cs="Arial"/>
          <w:b/>
          <w:bCs/>
          <w:color w:val="auto"/>
          <w:sz w:val="72"/>
          <w:szCs w:val="72"/>
          <w:highlight w:val="none"/>
          <w:lang w:val="en-US" w:eastAsia="zh-CN"/>
        </w:rPr>
        <w:t xml:space="preserve"> </w:t>
      </w:r>
      <w:r>
        <w:rPr>
          <w:rFonts w:hint="eastAsia" w:ascii="Arial" w:hAnsi="Arial" w:eastAsia="宋体" w:cs="Arial"/>
          <w:b/>
          <w:bCs/>
          <w:color w:val="auto"/>
          <w:sz w:val="72"/>
          <w:szCs w:val="72"/>
          <w:highlight w:val="none"/>
          <w:lang w:val="en-US" w:eastAsia="zh-CN"/>
        </w:rPr>
        <w:t>购</w:t>
      </w:r>
      <w:r>
        <w:rPr>
          <w:rFonts w:hint="default" w:ascii="Arial" w:hAnsi="Arial" w:eastAsia="宋体" w:cs="Arial"/>
          <w:b/>
          <w:bCs/>
          <w:color w:val="auto"/>
          <w:sz w:val="72"/>
          <w:szCs w:val="72"/>
          <w:highlight w:val="none"/>
        </w:rPr>
        <w:t xml:space="preserve"> 文 件</w:t>
      </w:r>
    </w:p>
    <w:p>
      <w:pPr>
        <w:overflowPunct w:val="0"/>
        <w:spacing w:line="400" w:lineRule="atLeast"/>
        <w:jc w:val="center"/>
        <w:outlineLvl w:val="9"/>
        <w:rPr>
          <w:rFonts w:hint="default" w:ascii="Arial" w:hAnsi="Arial" w:eastAsia="宋体" w:cs="Arial"/>
          <w:b/>
          <w:color w:val="auto"/>
          <w:sz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4台预应力检测仪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pPr>
        <w:overflowPunct w:val="0"/>
        <w:jc w:val="center"/>
        <w:outlineLvl w:val="9"/>
        <w:rPr>
          <w:rFonts w:hint="default" w:ascii="Arial" w:hAnsi="Arial" w:eastAsia="宋体" w:cs="Arial"/>
          <w:b/>
          <w:bCs/>
          <w:color w:val="auto"/>
          <w:sz w:val="24"/>
          <w:highlight w:val="none"/>
        </w:rPr>
      </w:pPr>
    </w:p>
    <w:p>
      <w:pPr>
        <w:overflowPunct w:val="0"/>
        <w:jc w:val="center"/>
        <w:outlineLvl w:val="9"/>
        <w:rPr>
          <w:rFonts w:hint="default" w:ascii="Arial" w:hAnsi="Arial" w:eastAsia="宋体" w:cs="Arial"/>
          <w:b/>
          <w:bCs/>
          <w:color w:val="auto"/>
          <w:sz w:val="24"/>
          <w:highlight w:val="none"/>
        </w:rPr>
      </w:pPr>
    </w:p>
    <w:p>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pPr>
              <w:spacing w:line="600" w:lineRule="exact"/>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eastAsia="宋体" w:cs="Arial"/>
                <w:b/>
                <w:color w:val="auto"/>
                <w:spacing w:val="40"/>
                <w:sz w:val="28"/>
                <w:szCs w:val="28"/>
                <w:highlight w:val="none"/>
                <w:lang w:val="en-US" w:eastAsia="zh-CN"/>
              </w:rPr>
              <w:t>五</w:t>
            </w:r>
            <w:r>
              <w:rPr>
                <w:rFonts w:hint="default" w:ascii="Arial" w:hAnsi="Arial" w:eastAsia="宋体" w:cs="Arial"/>
                <w:b/>
                <w:color w:val="auto"/>
                <w:spacing w:val="40"/>
                <w:sz w:val="28"/>
                <w:szCs w:val="28"/>
                <w:highlight w:val="none"/>
              </w:rPr>
              <w:t>年</w:t>
            </w:r>
            <w:r>
              <w:rPr>
                <w:rFonts w:hint="eastAsia" w:ascii="Arial" w:hAnsi="Arial" w:eastAsia="宋体" w:cs="Arial"/>
                <w:b/>
                <w:color w:val="auto"/>
                <w:spacing w:val="40"/>
                <w:sz w:val="28"/>
                <w:szCs w:val="28"/>
                <w:highlight w:val="none"/>
                <w:lang w:val="en-US" w:eastAsia="zh-CN"/>
              </w:rPr>
              <w:t>二</w:t>
            </w:r>
            <w:r>
              <w:rPr>
                <w:rFonts w:hint="default" w:ascii="Arial" w:hAnsi="Arial" w:eastAsia="宋体" w:cs="Arial"/>
                <w:b/>
                <w:color w:val="auto"/>
                <w:spacing w:val="40"/>
                <w:sz w:val="28"/>
                <w:szCs w:val="28"/>
                <w:highlight w:val="none"/>
              </w:rPr>
              <w:t>月</w:t>
            </w:r>
          </w:p>
        </w:tc>
      </w:tr>
    </w:tbl>
    <w:p>
      <w:pPr>
        <w:overflowPunct w:val="0"/>
        <w:spacing w:line="600" w:lineRule="exact"/>
        <w:jc w:val="center"/>
        <w:outlineLvl w:val="9"/>
        <w:rPr>
          <w:rFonts w:hint="default" w:ascii="Arial" w:hAnsi="Arial" w:eastAsia="宋体" w:cs="Arial"/>
          <w:b/>
          <w:bCs/>
          <w:color w:val="auto"/>
          <w:spacing w:val="120"/>
          <w:sz w:val="72"/>
          <w:szCs w:val="72"/>
          <w:highlight w:val="none"/>
        </w:rPr>
      </w:pPr>
    </w:p>
    <w:p>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1"/>
          <w:szCs w:val="21"/>
          <w:highlight w:val="none"/>
        </w:rPr>
        <w:t>目    录</w:t>
      </w:r>
    </w:p>
    <w:p>
      <w:pPr>
        <w:spacing w:line="360" w:lineRule="auto"/>
        <w:jc w:val="center"/>
        <w:outlineLvl w:val="9"/>
        <w:rPr>
          <w:rFonts w:hint="eastAsia" w:ascii="宋体" w:hAnsi="宋体" w:eastAsia="宋体" w:cs="宋体"/>
          <w:b/>
          <w:bCs/>
          <w:color w:val="auto"/>
          <w:sz w:val="21"/>
          <w:szCs w:val="21"/>
          <w:highlight w:val="none"/>
        </w:rPr>
      </w:pPr>
    </w:p>
    <w:p>
      <w:pPr>
        <w:pStyle w:val="27"/>
        <w:tabs>
          <w:tab w:val="right" w:leader="dot" w:pos="9355"/>
          <w:tab w:val="clear" w:pos="9628"/>
        </w:tabs>
        <w:rPr>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_Toc20465 </w:instrText>
      </w:r>
      <w:r>
        <w:rPr>
          <w:rFonts w:hint="eastAsia" w:ascii="宋体" w:hAnsi="宋体" w:eastAsia="宋体" w:cs="宋体"/>
          <w:bCs w:val="0"/>
          <w:szCs w:val="21"/>
          <w:highlight w:val="none"/>
        </w:rPr>
        <w:fldChar w:fldCharType="separate"/>
      </w:r>
      <w:r>
        <w:rPr>
          <w:rFonts w:hint="eastAsia" w:ascii="宋体" w:hAnsi="宋体" w:eastAsia="宋体" w:cs="宋体"/>
          <w:bCs/>
          <w:kern w:val="1"/>
          <w:szCs w:val="28"/>
          <w:highlight w:val="none"/>
          <w:lang w:eastAsia="zh-CN"/>
        </w:rPr>
        <w:t>温州市交发集团所属温州市交通工程试验检测有限公司</w:t>
      </w:r>
      <w:r>
        <w:rPr>
          <w:rFonts w:hint="eastAsia" w:ascii="宋体" w:hAnsi="宋体" w:eastAsia="宋体" w:cs="宋体"/>
          <w:bCs/>
          <w:kern w:val="1"/>
          <w:szCs w:val="28"/>
          <w:highlight w:val="none"/>
        </w:rPr>
        <w:t>关于</w:t>
      </w:r>
      <w:r>
        <w:rPr>
          <w:rFonts w:hint="eastAsia" w:ascii="宋体" w:hAnsi="宋体" w:eastAsia="宋体" w:cs="宋体"/>
          <w:bCs/>
          <w:kern w:val="1"/>
          <w:szCs w:val="28"/>
          <w:highlight w:val="none"/>
          <w:lang w:eastAsia="zh-CN"/>
        </w:rPr>
        <w:t>4台预应力检测仪</w:t>
      </w:r>
      <w:r>
        <w:rPr>
          <w:rFonts w:hint="eastAsia" w:ascii="宋体" w:hAnsi="宋体" w:eastAsia="宋体" w:cs="宋体"/>
          <w:bCs/>
          <w:kern w:val="1"/>
          <w:szCs w:val="28"/>
          <w:highlight w:val="none"/>
          <w:lang w:val="en-US" w:eastAsia="zh-CN"/>
        </w:rPr>
        <w:t>项目</w:t>
      </w:r>
      <w:r>
        <w:rPr>
          <w:rFonts w:hint="eastAsia" w:ascii="宋体" w:hAnsi="宋体" w:eastAsia="宋体" w:cs="宋体"/>
          <w:bCs/>
          <w:kern w:val="1"/>
          <w:szCs w:val="28"/>
          <w:highlight w:val="none"/>
          <w:lang w:eastAsia="zh-CN"/>
        </w:rPr>
        <w:t>（自主）</w:t>
      </w:r>
      <w:r>
        <w:rPr>
          <w:rFonts w:hint="eastAsia" w:ascii="宋体" w:hAnsi="宋体" w:eastAsia="宋体" w:cs="宋体"/>
          <w:bCs/>
          <w:kern w:val="1"/>
          <w:szCs w:val="28"/>
          <w:highlight w:val="none"/>
        </w:rPr>
        <w:t>的</w:t>
      </w:r>
      <w:r>
        <w:rPr>
          <w:rFonts w:hint="eastAsia" w:ascii="宋体" w:hAnsi="宋体" w:eastAsia="宋体" w:cs="宋体"/>
          <w:bCs/>
          <w:kern w:val="1"/>
          <w:szCs w:val="28"/>
          <w:highlight w:val="none"/>
          <w:lang w:val="en-US" w:eastAsia="zh-CN"/>
        </w:rPr>
        <w:t>采购</w:t>
      </w:r>
      <w:r>
        <w:rPr>
          <w:rFonts w:hint="eastAsia" w:ascii="宋体" w:hAnsi="宋体" w:eastAsia="宋体" w:cs="宋体"/>
          <w:bCs/>
          <w:kern w:val="1"/>
          <w:szCs w:val="28"/>
          <w:highlight w:val="none"/>
        </w:rPr>
        <w:t>公告</w:t>
      </w:r>
      <w:r>
        <w:rPr>
          <w:highlight w:val="none"/>
        </w:rPr>
        <w:tab/>
      </w:r>
      <w:r>
        <w:rPr>
          <w:highlight w:val="none"/>
        </w:rPr>
        <w:fldChar w:fldCharType="begin"/>
      </w:r>
      <w:r>
        <w:rPr>
          <w:highlight w:val="none"/>
        </w:rPr>
        <w:instrText xml:space="preserve"> PAGEREF _Toc20465 \h </w:instrText>
      </w:r>
      <w:r>
        <w:rPr>
          <w:highlight w:val="none"/>
        </w:rPr>
        <w:fldChar w:fldCharType="separate"/>
      </w:r>
      <w:r>
        <w:rPr>
          <w:highlight w:val="none"/>
        </w:rPr>
        <w:t>4</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_Toc9134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须知前附表</w:t>
      </w:r>
      <w:r>
        <w:rPr>
          <w:highlight w:val="none"/>
        </w:rPr>
        <w:tab/>
      </w:r>
      <w:r>
        <w:rPr>
          <w:highlight w:val="none"/>
        </w:rPr>
        <w:fldChar w:fldCharType="begin"/>
      </w:r>
      <w:r>
        <w:rPr>
          <w:highlight w:val="none"/>
        </w:rPr>
        <w:instrText xml:space="preserve"> PAGEREF _Toc9134 \h </w:instrText>
      </w:r>
      <w:r>
        <w:rPr>
          <w:highlight w:val="none"/>
        </w:rPr>
        <w:fldChar w:fldCharType="separate"/>
      </w:r>
      <w:r>
        <w:rPr>
          <w:highlight w:val="none"/>
        </w:rPr>
        <w:t>8</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_Toc2964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rPr>
        <w:t>第一部分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w:t>
      </w:r>
      <w:r>
        <w:rPr>
          <w:highlight w:val="none"/>
        </w:rPr>
        <w:tab/>
      </w:r>
      <w:r>
        <w:rPr>
          <w:highlight w:val="none"/>
        </w:rPr>
        <w:fldChar w:fldCharType="begin"/>
      </w:r>
      <w:r>
        <w:rPr>
          <w:highlight w:val="none"/>
        </w:rPr>
        <w:instrText xml:space="preserve"> PAGEREF _Toc2964 \h </w:instrText>
      </w:r>
      <w:r>
        <w:rPr>
          <w:highlight w:val="none"/>
        </w:rPr>
        <w:fldChar w:fldCharType="separate"/>
      </w:r>
      <w:r>
        <w:rPr>
          <w:highlight w:val="none"/>
        </w:rPr>
        <w:t>10</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_Toc19516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第二部分</w:t>
      </w:r>
      <w:r>
        <w:rPr>
          <w:rFonts w:hint="eastAsia" w:ascii="Arial" w:hAnsi="Arial" w:eastAsia="宋体" w:cs="Arial"/>
          <w:bCs/>
          <w:kern w:val="2"/>
          <w:szCs w:val="28"/>
          <w:highlight w:val="none"/>
          <w:lang w:val="en-US" w:eastAsia="zh-CN" w:bidi="ar-SA"/>
        </w:rPr>
        <w:t xml:space="preserve">  合同条款</w:t>
      </w:r>
      <w:r>
        <w:rPr>
          <w:highlight w:val="none"/>
        </w:rPr>
        <w:tab/>
      </w:r>
      <w:r>
        <w:rPr>
          <w:highlight w:val="none"/>
        </w:rPr>
        <w:fldChar w:fldCharType="begin"/>
      </w:r>
      <w:r>
        <w:rPr>
          <w:highlight w:val="none"/>
        </w:rPr>
        <w:instrText xml:space="preserve"> PAGEREF _Toc19516 \h </w:instrText>
      </w:r>
      <w:r>
        <w:rPr>
          <w:highlight w:val="none"/>
        </w:rPr>
        <w:fldChar w:fldCharType="separate"/>
      </w:r>
      <w:r>
        <w:rPr>
          <w:highlight w:val="none"/>
        </w:rPr>
        <w:t>18</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_Toc31782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第三部分</w:t>
      </w:r>
      <w:r>
        <w:rPr>
          <w:rFonts w:hint="eastAsia" w:ascii="Arial" w:hAnsi="Arial" w:eastAsia="宋体" w:cs="Arial"/>
          <w:bCs/>
          <w:kern w:val="2"/>
          <w:szCs w:val="28"/>
          <w:highlight w:val="none"/>
          <w:lang w:val="en-US" w:eastAsia="zh-CN" w:bidi="ar-SA"/>
        </w:rPr>
        <w:t xml:space="preserve">  </w:t>
      </w:r>
      <w:r>
        <w:rPr>
          <w:rFonts w:hint="default" w:ascii="Arial" w:hAnsi="Arial" w:eastAsia="宋体" w:cs="Arial"/>
          <w:bCs/>
          <w:kern w:val="2"/>
          <w:szCs w:val="28"/>
          <w:highlight w:val="none"/>
          <w:lang w:val="en-US" w:eastAsia="zh-CN" w:bidi="ar-SA"/>
        </w:rPr>
        <w:t>附件</w:t>
      </w:r>
      <w:r>
        <w:rPr>
          <w:highlight w:val="none"/>
        </w:rPr>
        <w:tab/>
      </w:r>
      <w:r>
        <w:rPr>
          <w:highlight w:val="none"/>
        </w:rPr>
        <w:fldChar w:fldCharType="begin"/>
      </w:r>
      <w:r>
        <w:rPr>
          <w:highlight w:val="none"/>
        </w:rPr>
        <w:instrText xml:space="preserve"> PAGEREF _Toc31782 \h </w:instrText>
      </w:r>
      <w:r>
        <w:rPr>
          <w:highlight w:val="none"/>
        </w:rPr>
        <w:fldChar w:fldCharType="separate"/>
      </w:r>
      <w:r>
        <w:rPr>
          <w:highlight w:val="none"/>
        </w:rPr>
        <w:t>27</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_Toc17907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第四部分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采购内容及要求</w:t>
      </w:r>
      <w:r>
        <w:rPr>
          <w:highlight w:val="none"/>
        </w:rPr>
        <w:tab/>
      </w:r>
      <w:r>
        <w:rPr>
          <w:highlight w:val="none"/>
        </w:rPr>
        <w:fldChar w:fldCharType="begin"/>
      </w:r>
      <w:r>
        <w:rPr>
          <w:highlight w:val="none"/>
        </w:rPr>
        <w:instrText xml:space="preserve"> PAGEREF _Toc17907 \h </w:instrText>
      </w:r>
      <w:r>
        <w:rPr>
          <w:highlight w:val="none"/>
        </w:rPr>
        <w:fldChar w:fldCharType="separate"/>
      </w:r>
      <w:r>
        <w:rPr>
          <w:highlight w:val="none"/>
        </w:rPr>
        <w:t>44</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_Toc3679 </w:instrText>
      </w:r>
      <w:r>
        <w:rPr>
          <w:rFonts w:hint="eastAsia" w:ascii="宋体" w:hAnsi="宋体" w:eastAsia="宋体" w:cs="宋体"/>
          <w:bCs w:val="0"/>
          <w:szCs w:val="21"/>
          <w:highlight w:val="none"/>
        </w:rPr>
        <w:fldChar w:fldCharType="separate"/>
      </w:r>
      <w:r>
        <w:rPr>
          <w:rFonts w:hint="eastAsia" w:ascii="Arial" w:hAnsi="Arial" w:eastAsia="宋体" w:cs="Arial"/>
          <w:bCs/>
          <w:kern w:val="2"/>
          <w:szCs w:val="28"/>
          <w:highlight w:val="none"/>
          <w:lang w:val="en-US" w:eastAsia="zh-CN" w:bidi="ar-SA"/>
        </w:rPr>
        <w:t xml:space="preserve">第五部分  </w:t>
      </w:r>
      <w:r>
        <w:rPr>
          <w:rFonts w:hint="default" w:ascii="Arial" w:hAnsi="Arial" w:eastAsia="宋体" w:cs="Arial"/>
          <w:bCs/>
          <w:kern w:val="2"/>
          <w:szCs w:val="28"/>
          <w:highlight w:val="none"/>
          <w:lang w:val="en-US" w:eastAsia="zh-CN" w:bidi="ar-SA"/>
        </w:rPr>
        <w:t>评标原则及方法</w:t>
      </w:r>
      <w:r>
        <w:rPr>
          <w:highlight w:val="none"/>
        </w:rPr>
        <w:tab/>
      </w:r>
      <w:r>
        <w:rPr>
          <w:highlight w:val="none"/>
        </w:rPr>
        <w:fldChar w:fldCharType="begin"/>
      </w:r>
      <w:r>
        <w:rPr>
          <w:highlight w:val="none"/>
        </w:rPr>
        <w:instrText xml:space="preserve"> PAGEREF _Toc3679 \h </w:instrText>
      </w:r>
      <w:r>
        <w:rPr>
          <w:highlight w:val="none"/>
        </w:rPr>
        <w:fldChar w:fldCharType="separate"/>
      </w:r>
      <w:r>
        <w:rPr>
          <w:highlight w:val="none"/>
        </w:rPr>
        <w:t>47</w:t>
      </w:r>
      <w:r>
        <w:rPr>
          <w:highlight w:val="none"/>
        </w:rPr>
        <w:fldChar w:fldCharType="end"/>
      </w:r>
      <w:r>
        <w:rPr>
          <w:rFonts w:hint="eastAsia" w:ascii="宋体" w:hAnsi="宋体" w:eastAsia="宋体" w:cs="宋体"/>
          <w:bCs w:val="0"/>
          <w:color w:val="auto"/>
          <w:szCs w:val="21"/>
          <w:highlight w:val="none"/>
        </w:rPr>
        <w:fldChar w:fldCharType="end"/>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p>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kern w:val="0"/>
          <w:sz w:val="21"/>
          <w:szCs w:val="21"/>
          <w:highlight w:val="none"/>
        </w:rPr>
        <w:t>投标报名申请表</w:t>
      </w:r>
    </w:p>
    <w:p>
      <w:pPr>
        <w:jc w:val="center"/>
        <w:outlineLvl w:val="9"/>
        <w:rPr>
          <w:rFonts w:hint="eastAsia" w:ascii="宋体" w:hAnsi="宋体" w:eastAsia="宋体" w:cs="宋体"/>
          <w:b/>
          <w:color w:val="auto"/>
          <w:kern w:val="0"/>
          <w:sz w:val="21"/>
          <w:szCs w:val="21"/>
          <w:highlight w:val="none"/>
        </w:rPr>
      </w:pPr>
    </w:p>
    <w:tbl>
      <w:tblPr>
        <w:tblStyle w:val="33"/>
        <w:tblW w:w="0" w:type="auto"/>
        <w:jc w:val="center"/>
        <w:tblLayout w:type="fixed"/>
        <w:tblCellMar>
          <w:top w:w="0" w:type="dxa"/>
          <w:left w:w="108" w:type="dxa"/>
          <w:bottom w:w="0" w:type="dxa"/>
          <w:right w:w="108" w:type="dxa"/>
        </w:tblCellMar>
      </w:tblPr>
      <w:tblGrid>
        <w:gridCol w:w="814"/>
        <w:gridCol w:w="1501"/>
        <w:gridCol w:w="3520"/>
        <w:gridCol w:w="485"/>
        <w:gridCol w:w="775"/>
        <w:gridCol w:w="13"/>
        <w:gridCol w:w="2441"/>
      </w:tblGrid>
      <w:tr>
        <w:tblPrEx>
          <w:tblCellMar>
            <w:top w:w="0" w:type="dxa"/>
            <w:left w:w="108" w:type="dxa"/>
            <w:bottom w:w="0" w:type="dxa"/>
            <w:right w:w="108" w:type="dxa"/>
          </w:tblCellMar>
        </w:tblPrEx>
        <w:trPr>
          <w:trHeight w:val="705" w:hRule="atLeast"/>
          <w:jc w:val="center"/>
        </w:trPr>
        <w:tc>
          <w:tcPr>
            <w:tcW w:w="2315" w:type="dxa"/>
            <w:gridSpan w:val="2"/>
            <w:tcBorders>
              <w:top w:val="single" w:color="auto" w:sz="1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34" w:type="dxa"/>
            <w:gridSpan w:val="5"/>
            <w:tcBorders>
              <w:top w:val="single" w:color="auto" w:sz="1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tblPrEx>
          <w:tblCellMar>
            <w:top w:w="0" w:type="dxa"/>
            <w:left w:w="108" w:type="dxa"/>
            <w:bottom w:w="0" w:type="dxa"/>
            <w:right w:w="108" w:type="dxa"/>
          </w:tblCellMar>
        </w:tblPrEx>
        <w:trPr>
          <w:trHeight w:val="750"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4台预应力检测仪</w:t>
            </w:r>
          </w:p>
        </w:tc>
      </w:tr>
      <w:tr>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WGSS-JFJT-Z-2025017</w:t>
            </w: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74"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97"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59" w:hRule="atLeast"/>
          <w:jc w:val="center"/>
        </w:trPr>
        <w:tc>
          <w:tcPr>
            <w:tcW w:w="2315" w:type="dxa"/>
            <w:gridSpan w:val="2"/>
            <w:tcBorders>
              <w:top w:val="single" w:color="auto" w:sz="2" w:space="0"/>
              <w:left w:val="single" w:color="auto" w:sz="12" w:space="0"/>
              <w:bottom w:val="single" w:color="auto" w:sz="1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34" w:type="dxa"/>
            <w:gridSpan w:val="5"/>
            <w:tcBorders>
              <w:top w:val="single" w:color="auto" w:sz="2" w:space="0"/>
              <w:left w:val="single" w:color="auto" w:sz="2" w:space="0"/>
              <w:bottom w:val="single" w:color="auto" w:sz="1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09" w:hRule="atLeast"/>
          <w:jc w:val="center"/>
        </w:trPr>
        <w:tc>
          <w:tcPr>
            <w:tcW w:w="9549" w:type="dxa"/>
            <w:gridSpan w:val="7"/>
            <w:tcBorders>
              <w:top w:val="single" w:color="auto" w:sz="12" w:space="0"/>
              <w:left w:val="single" w:color="auto" w:sz="12" w:space="0"/>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tblPrEx>
          <w:tblCellMar>
            <w:top w:w="0" w:type="dxa"/>
            <w:left w:w="108" w:type="dxa"/>
            <w:bottom w:w="0" w:type="dxa"/>
            <w:right w:w="108" w:type="dxa"/>
          </w:tblCellMar>
        </w:tblPrEx>
        <w:trPr>
          <w:trHeight w:val="809"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78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bl>
    <w:p>
      <w:pPr>
        <w:spacing w:beforeLines="50"/>
        <w:outlineLvl w:val="9"/>
        <w:rPr>
          <w:rFonts w:hint="eastAsia" w:ascii="宋体" w:hAnsi="宋体" w:eastAsia="宋体" w:cs="宋体"/>
          <w:color w:val="auto"/>
          <w:sz w:val="21"/>
          <w:szCs w:val="21"/>
          <w:highlight w:val="none"/>
        </w:rPr>
      </w:pPr>
    </w:p>
    <w:p>
      <w:pPr>
        <w:pStyle w:val="2"/>
        <w:ind w:firstLine="200"/>
        <w:outlineLvl w:val="9"/>
        <w:rPr>
          <w:rFonts w:hint="eastAsia" w:ascii="宋体" w:hAnsi="宋体" w:eastAsia="宋体" w:cs="宋体"/>
          <w:color w:val="auto"/>
          <w:sz w:val="21"/>
          <w:szCs w:val="21"/>
          <w:highlight w:val="none"/>
        </w:rPr>
      </w:pPr>
    </w:p>
    <w:p>
      <w:pPr>
        <w:pStyle w:val="2"/>
        <w:ind w:firstLine="200"/>
        <w:outlineLvl w:val="9"/>
        <w:rPr>
          <w:rFonts w:hint="eastAsia" w:ascii="宋体" w:hAnsi="宋体" w:eastAsia="宋体" w:cs="宋体"/>
          <w:color w:val="auto"/>
          <w:sz w:val="21"/>
          <w:szCs w:val="21"/>
          <w:highlight w:val="none"/>
        </w:rPr>
      </w:pPr>
    </w:p>
    <w:p>
      <w:pPr>
        <w:pStyle w:val="2"/>
        <w:ind w:firstLine="200"/>
        <w:outlineLvl w:val="9"/>
        <w:rPr>
          <w:rFonts w:hint="eastAsia" w:ascii="宋体" w:hAnsi="宋体" w:eastAsia="宋体" w:cs="宋体"/>
          <w:color w:val="auto"/>
          <w:sz w:val="21"/>
          <w:szCs w:val="21"/>
          <w:highlight w:val="none"/>
        </w:rPr>
      </w:pPr>
    </w:p>
    <w:p>
      <w:pPr>
        <w:spacing w:line="360" w:lineRule="auto"/>
        <w:ind w:firstLine="413" w:firstLineChars="196"/>
        <w:outlineLvl w:val="9"/>
        <w:rPr>
          <w:rFonts w:hint="eastAsia" w:ascii="宋体" w:hAnsi="宋体" w:eastAsia="宋体" w:cs="宋体"/>
          <w:b/>
          <w:bCs/>
          <w:color w:val="auto"/>
          <w:sz w:val="21"/>
          <w:szCs w:val="21"/>
          <w:highlight w:val="none"/>
        </w:rPr>
      </w:pPr>
    </w:p>
    <w:p>
      <w:pPr>
        <w:spacing w:line="480" w:lineRule="auto"/>
        <w:ind w:firstLine="0" w:firstLineChars="0"/>
        <w:outlineLvl w:val="9"/>
        <w:rPr>
          <w:rFonts w:hint="eastAsia" w:ascii="宋体" w:hAnsi="宋体" w:eastAsia="宋体" w:cs="宋体"/>
          <w:color w:val="auto"/>
          <w:sz w:val="21"/>
          <w:szCs w:val="21"/>
          <w:highlight w:val="none"/>
        </w:rPr>
      </w:pPr>
      <w:bookmarkStart w:id="0" w:name="_Toc221374621"/>
      <w:bookmarkStart w:id="1" w:name="_Toc221356946"/>
      <w:bookmarkStart w:id="2" w:name="_Toc221356881"/>
      <w:bookmarkStart w:id="3" w:name="_Toc262049413"/>
      <w:bookmarkStart w:id="4" w:name="_Toc245191309"/>
      <w:bookmarkStart w:id="5" w:name="_Toc246261260"/>
      <w:bookmarkStart w:id="6" w:name="_Toc262105498"/>
      <w:bookmarkStart w:id="7" w:name="_Toc249758859"/>
      <w:bookmarkStart w:id="8" w:name="_Toc221423614"/>
      <w:bookmarkStart w:id="9" w:name="_Toc223715993"/>
      <w:bookmarkStart w:id="10" w:name="_Toc249758707"/>
      <w:bookmarkStart w:id="11" w:name="_Toc222114874"/>
      <w:bookmarkStart w:id="12" w:name="_Toc239145349"/>
      <w:bookmarkStart w:id="13" w:name="_Toc245722276"/>
      <w:bookmarkStart w:id="14" w:name="_Toc241404197"/>
    </w:p>
    <w:p>
      <w:pPr>
        <w:wordWrap w:val="0"/>
        <w:spacing w:line="360" w:lineRule="auto"/>
        <w:jc w:val="center"/>
        <w:outlineLvl w:val="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br w:type="page"/>
      </w:r>
      <w:bookmarkStart w:id="15" w:name="_Toc20465"/>
      <w:r>
        <w:rPr>
          <w:rFonts w:hint="eastAsia" w:ascii="宋体" w:hAnsi="宋体" w:eastAsia="宋体" w:cs="宋体"/>
          <w:b/>
          <w:bCs/>
          <w:color w:val="auto"/>
          <w:kern w:val="1"/>
          <w:sz w:val="28"/>
          <w:szCs w:val="28"/>
          <w:highlight w:val="none"/>
          <w:lang w:eastAsia="zh-CN"/>
        </w:rPr>
        <w:t>温州市交发集团所属温州市交通工程试验检测有限公司</w:t>
      </w:r>
      <w:r>
        <w:rPr>
          <w:rFonts w:hint="eastAsia" w:ascii="宋体" w:hAnsi="宋体" w:eastAsia="宋体" w:cs="宋体"/>
          <w:b/>
          <w:bCs/>
          <w:color w:val="auto"/>
          <w:kern w:val="1"/>
          <w:sz w:val="28"/>
          <w:szCs w:val="28"/>
          <w:highlight w:val="none"/>
        </w:rPr>
        <w:t>关于</w:t>
      </w:r>
      <w:r>
        <w:rPr>
          <w:rFonts w:hint="eastAsia" w:ascii="宋体" w:hAnsi="宋体" w:eastAsia="宋体" w:cs="宋体"/>
          <w:b/>
          <w:bCs/>
          <w:color w:val="auto"/>
          <w:kern w:val="1"/>
          <w:sz w:val="28"/>
          <w:szCs w:val="28"/>
          <w:highlight w:val="none"/>
          <w:lang w:eastAsia="zh-CN"/>
        </w:rPr>
        <w:t>4台预应力检测仪</w:t>
      </w:r>
      <w:r>
        <w:rPr>
          <w:rFonts w:hint="eastAsia" w:ascii="宋体" w:hAnsi="宋体" w:eastAsia="宋体" w:cs="宋体"/>
          <w:b/>
          <w:bCs/>
          <w:color w:val="auto"/>
          <w:kern w:val="1"/>
          <w:sz w:val="28"/>
          <w:szCs w:val="28"/>
          <w:highlight w:val="none"/>
          <w:lang w:val="en-US" w:eastAsia="zh-CN"/>
        </w:rPr>
        <w:t>项目</w:t>
      </w:r>
      <w:r>
        <w:rPr>
          <w:rFonts w:hint="eastAsia" w:ascii="宋体" w:hAnsi="宋体" w:eastAsia="宋体" w:cs="宋体"/>
          <w:b/>
          <w:bCs/>
          <w:color w:val="auto"/>
          <w:kern w:val="1"/>
          <w:sz w:val="28"/>
          <w:szCs w:val="28"/>
          <w:highlight w:val="none"/>
          <w:lang w:eastAsia="zh-CN"/>
        </w:rPr>
        <w:t>（自主）</w:t>
      </w:r>
      <w:r>
        <w:rPr>
          <w:rFonts w:hint="eastAsia" w:ascii="宋体" w:hAnsi="宋体" w:eastAsia="宋体" w:cs="宋体"/>
          <w:b/>
          <w:bCs/>
          <w:color w:val="auto"/>
          <w:kern w:val="1"/>
          <w:sz w:val="28"/>
          <w:szCs w:val="28"/>
          <w:highlight w:val="none"/>
        </w:rPr>
        <w:t>的</w:t>
      </w:r>
      <w:r>
        <w:rPr>
          <w:rFonts w:hint="eastAsia" w:ascii="宋体" w:hAnsi="宋体" w:eastAsia="宋体" w:cs="宋体"/>
          <w:b/>
          <w:bCs/>
          <w:color w:val="auto"/>
          <w:kern w:val="1"/>
          <w:sz w:val="28"/>
          <w:szCs w:val="28"/>
          <w:highlight w:val="none"/>
          <w:lang w:val="en-US" w:eastAsia="zh-CN"/>
        </w:rPr>
        <w:t>采购</w:t>
      </w:r>
      <w:r>
        <w:rPr>
          <w:rFonts w:hint="eastAsia" w:ascii="宋体" w:hAnsi="宋体" w:eastAsia="宋体" w:cs="宋体"/>
          <w:b/>
          <w:bCs/>
          <w:color w:val="auto"/>
          <w:kern w:val="1"/>
          <w:sz w:val="28"/>
          <w:szCs w:val="28"/>
          <w:highlight w:val="none"/>
        </w:rPr>
        <w:t>公告</w:t>
      </w:r>
      <w:bookmarkEnd w:id="15"/>
    </w:p>
    <w:p>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w:t>
      </w:r>
      <w:r>
        <w:rPr>
          <w:rFonts w:hint="eastAsia" w:ascii="宋体" w:hAnsi="宋体" w:eastAsia="宋体" w:cs="宋体"/>
          <w:bCs/>
          <w:color w:val="auto"/>
          <w:kern w:val="1"/>
          <w:sz w:val="21"/>
          <w:szCs w:val="21"/>
          <w:highlight w:val="none"/>
          <w:lang w:eastAsia="zh-CN"/>
        </w:rPr>
        <w:t>温州市市属国有企业采购管理办法</w:t>
      </w:r>
      <w:r>
        <w:rPr>
          <w:rFonts w:hint="eastAsia" w:ascii="宋体" w:hAnsi="宋体" w:eastAsia="宋体" w:cs="宋体"/>
          <w:bCs/>
          <w:color w:val="auto"/>
          <w:kern w:val="1"/>
          <w:sz w:val="21"/>
          <w:szCs w:val="21"/>
          <w:highlight w:val="none"/>
        </w:rPr>
        <w:t>》</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委托，就所需</w:t>
      </w:r>
      <w:r>
        <w:rPr>
          <w:rFonts w:hint="eastAsia" w:ascii="宋体" w:hAnsi="宋体" w:eastAsia="宋体" w:cs="宋体"/>
          <w:color w:val="auto"/>
          <w:sz w:val="21"/>
          <w:szCs w:val="21"/>
          <w:highlight w:val="none"/>
          <w:lang w:eastAsia="zh-CN"/>
        </w:rPr>
        <w:t>4台预应力检测仪项目</w:t>
      </w:r>
      <w:r>
        <w:rPr>
          <w:rFonts w:hint="eastAsia" w:ascii="宋体" w:hAnsi="宋体" w:eastAsia="宋体" w:cs="宋体"/>
          <w:color w:val="auto"/>
          <w:sz w:val="21"/>
          <w:szCs w:val="21"/>
          <w:highlight w:val="none"/>
        </w:rPr>
        <w:t>以公开招标的方式进行采购，欢迎国内合格的投标供应商前来投标。</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WGSS-JFJT-Z-2025017</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国企采购（非政府采购）</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3"/>
        <w:tblW w:w="9862"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51"/>
        <w:gridCol w:w="1395"/>
        <w:gridCol w:w="510"/>
        <w:gridCol w:w="525"/>
        <w:gridCol w:w="1401"/>
        <w:gridCol w:w="4810"/>
        <w:gridCol w:w="67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wBefore w:w="0" w:type="auto"/>
          <w:wAfter w:w="0" w:type="auto"/>
        </w:trPr>
        <w:tc>
          <w:tcPr>
            <w:tcW w:w="5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9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5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52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40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48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670" w:type="dxa"/>
            <w:tcBorders>
              <w:left w:val="single" w:color="000000" w:sz="4" w:space="0"/>
              <w:bottom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wBefore w:w="0" w:type="auto"/>
          <w:wAfter w:w="0" w:type="auto"/>
          <w:trHeight w:val="1270" w:hRule="atLeast"/>
        </w:trPr>
        <w:tc>
          <w:tcPr>
            <w:tcW w:w="551" w:type="dxa"/>
            <w:tcBorders>
              <w:top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预应力检测仪</w:t>
            </w:r>
          </w:p>
        </w:tc>
        <w:tc>
          <w:tcPr>
            <w:tcW w:w="5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52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台</w:t>
            </w:r>
          </w:p>
        </w:tc>
        <w:tc>
          <w:tcPr>
            <w:tcW w:w="1401"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0" w:after="0" w:line="440" w:lineRule="exact"/>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72万元</w:t>
            </w:r>
          </w:p>
        </w:tc>
        <w:tc>
          <w:tcPr>
            <w:tcW w:w="48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670" w:type="dxa"/>
            <w:tcBorders>
              <w:top w:val="single" w:color="000000" w:sz="4" w:space="0"/>
              <w:lef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p>
        </w:tc>
      </w:tr>
    </w:tbl>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单位负责人为同一人或者存在直接控股、管理关系的不同供应商，不得参加同一合同项下的采购活动</w:t>
      </w:r>
      <w:r>
        <w:rPr>
          <w:rFonts w:hint="eastAsia" w:ascii="宋体" w:hAnsi="宋体" w:eastAsia="宋体" w:cs="宋体"/>
          <w:bCs/>
          <w:color w:val="auto"/>
          <w:kern w:val="0"/>
          <w:sz w:val="21"/>
          <w:szCs w:val="21"/>
          <w:highlight w:val="none"/>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4、本项目不接受联合体投标。</w:t>
      </w:r>
    </w:p>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w:t>
      </w:r>
      <w:r>
        <w:rPr>
          <w:rFonts w:hint="eastAsia" w:ascii="宋体" w:hAnsi="宋体" w:eastAsia="宋体" w:cs="宋体"/>
          <w:color w:val="auto"/>
          <w:kern w:val="0"/>
          <w:sz w:val="21"/>
          <w:szCs w:val="21"/>
          <w:highlight w:val="none"/>
          <w:u w:val="single"/>
          <w:lang w:eastAsia="zh-CN"/>
        </w:rPr>
        <w:t>202</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u w:val="single"/>
          <w:lang w:val="en-US" w:eastAsia="zh-CN"/>
        </w:rPr>
        <w:t>21</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eastAsia="宋体" w:cs="宋体"/>
          <w:color w:val="auto"/>
          <w:kern w:val="0"/>
          <w:sz w:val="21"/>
          <w:szCs w:val="21"/>
          <w:highlight w:val="none"/>
          <w:lang w:val="en-US" w:eastAsia="zh-CN"/>
        </w:rPr>
        <w:t>500元</w:t>
      </w:r>
      <w:r>
        <w:rPr>
          <w:rFonts w:hint="eastAsia" w:ascii="宋体" w:hAnsi="宋体" w:eastAsia="宋体" w:cs="宋体"/>
          <w:color w:val="auto"/>
          <w:kern w:val="0"/>
          <w:sz w:val="21"/>
          <w:szCs w:val="21"/>
          <w:highlight w:val="none"/>
          <w:lang w:eastAsia="zh-CN"/>
        </w:rPr>
        <w:t>整(售后不退)。</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采购文件发售地点：本项目暂不接受现场获取采购文件。</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网上报名：请供应商登录“乐采云”（www.lecaiyun.com），进入“乐采云”平台进行注册并报名（未注册的供应商请尽早注册，客服电话：95763），（操作路径：供应商注册（</w:t>
      </w:r>
      <w:r>
        <w:rPr>
          <w:rFonts w:hint="eastAsia" w:ascii="宋体" w:hAnsi="宋体" w:eastAsia="宋体" w:cs="宋体"/>
          <w:color w:val="auto"/>
          <w:kern w:val="0"/>
          <w:sz w:val="21"/>
          <w:szCs w:val="21"/>
          <w:highlight w:val="none"/>
          <w:lang w:val="en-US" w:eastAsia="zh-CN"/>
        </w:rPr>
        <w:t>登录</w:t>
      </w:r>
      <w:r>
        <w:rPr>
          <w:rFonts w:hint="eastAsia" w:ascii="宋体" w:hAnsi="宋体" w:eastAsia="宋体" w:cs="宋体"/>
          <w:color w:val="auto"/>
          <w:kern w:val="0"/>
          <w:sz w:val="21"/>
          <w:szCs w:val="21"/>
          <w:highlight w:val="none"/>
          <w:lang w:eastAsia="zh-CN"/>
        </w:rPr>
        <w:t>）-项目采购-获取采购文件-申请获取采购文件）。网上报名后，请将标书购买费汇入代理公司账户（户名：大地工程咨询有限公司温州第一分公司；帐号：33050162870500000188；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标书购买费用凭证（加盖公章扫描件）等发送至代理机构电子邮箱249168092@qq.com）并联系采购代理公司审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eastAsia="宋体" w:cs="宋体"/>
          <w:color w:val="auto"/>
          <w:kern w:val="0"/>
          <w:sz w:val="21"/>
          <w:szCs w:val="21"/>
          <w:highlight w:val="none"/>
          <w:lang w:val="en-US" w:eastAsia="zh-CN"/>
        </w:rPr>
        <w:t>2025年3月18日14时30分整</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七、投标文件提交地点：温州市温州大道428号温州源大创业园四层8403室会议室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b w:val="0"/>
          <w:bCs w:val="0"/>
          <w:color w:val="auto"/>
          <w:kern w:val="0"/>
          <w:sz w:val="21"/>
          <w:szCs w:val="21"/>
          <w:highlight w:val="none"/>
          <w:lang w:val="en-US" w:eastAsia="zh-CN"/>
        </w:rPr>
        <w:t>整</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九、开标地点：温州市温州大道428号温州源大创业园四层8403室会议室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1、投标保证金额：人民币柒仟元整（投标供应商须在</w:t>
      </w: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color w:val="auto"/>
          <w:kern w:val="0"/>
          <w:sz w:val="21"/>
          <w:szCs w:val="21"/>
          <w:highlight w:val="none"/>
          <w:lang w:val="en-US" w:eastAsia="zh-CN"/>
        </w:rPr>
        <w:t>前将投标保证金以银行转帐形式缴纳并到帐，汇出账号须为投标供应商银行帐户）。</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户名：大地工程咨询有限公司温州第一分公司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账号：33050162870500000188</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开户行：中国建设银行温州双龙支行</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1、采购公告期限：5个工作日，从公告在浙江政府采购网上发布的次日起算；</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4</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、潜在供应商需在“乐采云”（www.lecaiyun.com）进行注册，使用供应商账号登陆</w:t>
      </w:r>
      <w:r>
        <w:rPr>
          <w:rFonts w:hint="eastAsia" w:ascii="宋体" w:hAnsi="宋体" w:eastAsia="宋体" w:cs="宋体"/>
          <w:color w:val="auto"/>
          <w:kern w:val="0"/>
          <w:sz w:val="21"/>
          <w:szCs w:val="21"/>
          <w:highlight w:val="none"/>
          <w:lang w:val="en-US" w:eastAsia="zh-CN"/>
        </w:rPr>
        <w:t>并获取采购文件</w:t>
      </w:r>
      <w:r>
        <w:rPr>
          <w:rFonts w:hint="eastAsia" w:ascii="宋体" w:hAnsi="宋体" w:eastAsia="宋体" w:cs="宋体"/>
          <w:color w:val="auto"/>
          <w:kern w:val="0"/>
          <w:sz w:val="21"/>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温州市温州大道428号温州源大创业园四层8403室</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eastAsia="宋体" w:cs="宋体"/>
          <w:color w:val="auto"/>
          <w:kern w:val="0"/>
          <w:sz w:val="21"/>
          <w:szCs w:val="21"/>
          <w:highlight w:val="none"/>
          <w:lang w:eastAsia="zh-CN"/>
        </w:rPr>
        <w:t>郑瑞木，</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温州市交通工程试验检测有限公司</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温州市经济技术开发区海桐路110号</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陈工</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0577-86687703</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温州市温州大道428号温州源大创业园四层8403室</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eastAsia="zh-CN"/>
        </w:rPr>
        <w:t>郑瑞木</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snapToGrid w:val="0"/>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监督管理部门</w:t>
      </w:r>
      <w:r>
        <w:rPr>
          <w:rFonts w:hint="eastAsia" w:ascii="宋体" w:hAnsi="宋体" w:eastAsia="宋体" w:cs="宋体"/>
          <w:color w:val="auto"/>
          <w:kern w:val="0"/>
          <w:sz w:val="21"/>
          <w:szCs w:val="21"/>
          <w:highlight w:val="none"/>
        </w:rPr>
        <w:t xml:space="preserve">：温州市交通发展集团有限公司纪检监察室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联系电话：0577-85559092</w:t>
      </w:r>
    </w:p>
    <w:p>
      <w:pPr>
        <w:pStyle w:val="19"/>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9"/>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9"/>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温州市交通工程试验检测有限公司</w:t>
      </w:r>
    </w:p>
    <w:p>
      <w:pPr>
        <w:pStyle w:val="19"/>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大地工程咨询有限公司</w:t>
      </w:r>
    </w:p>
    <w:p>
      <w:pPr>
        <w:widowControl/>
        <w:spacing w:before="60" w:after="60" w:line="360" w:lineRule="auto"/>
        <w:ind w:left="62" w:right="62" w:firstLine="442"/>
        <w:jc w:val="right"/>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2025年2月21日</w:t>
      </w:r>
    </w:p>
    <w:p>
      <w:pPr>
        <w:widowControl/>
        <w:spacing w:before="60" w:after="60" w:line="360" w:lineRule="auto"/>
        <w:ind w:left="62" w:right="62" w:firstLine="442"/>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kern w:val="0"/>
          <w:sz w:val="21"/>
          <w:szCs w:val="21"/>
          <w:highlight w:val="none"/>
          <w:lang w:val="en-US" w:eastAsia="zh-CN"/>
        </w:rPr>
        <w:br w:type="page"/>
      </w: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eastAsia="宋体" w:cs="宋体"/>
          <w:b/>
          <w:bCs/>
          <w:color w:val="auto"/>
          <w:sz w:val="28"/>
          <w:szCs w:val="28"/>
          <w:highlight w:val="none"/>
          <w:lang w:eastAsia="zh-CN"/>
        </w:rPr>
        <w:t>温州市交通工程试验检测有限公司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4台预应力检测仪项目（自主）</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pPr>
        <w:widowControl/>
        <w:jc w:val="center"/>
        <w:outlineLvl w:val="9"/>
        <w:rPr>
          <w:rFonts w:hint="eastAsia" w:ascii="宋体" w:hAnsi="宋体" w:eastAsia="宋体" w:cs="宋体"/>
          <w:color w:val="auto"/>
          <w:sz w:val="21"/>
          <w:szCs w:val="21"/>
          <w:highlight w:val="none"/>
        </w:rPr>
      </w:pP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eastAsia="宋体" w:cs="宋体"/>
          <w:bCs/>
          <w:color w:val="auto"/>
          <w:kern w:val="0"/>
          <w:sz w:val="21"/>
          <w:szCs w:val="21"/>
          <w:highlight w:val="none"/>
          <w:lang w:eastAsia="zh-CN"/>
        </w:rPr>
        <w:t>温州市交通工程试验检测有限公司</w:t>
      </w:r>
      <w:r>
        <w:rPr>
          <w:rFonts w:hint="eastAsia" w:ascii="宋体" w:hAnsi="宋体" w:eastAsia="宋体" w:cs="宋体"/>
          <w:bCs/>
          <w:color w:val="auto"/>
          <w:kern w:val="0"/>
          <w:sz w:val="21"/>
          <w:szCs w:val="21"/>
          <w:highlight w:val="none"/>
        </w:rPr>
        <w:t>的委托，就</w:t>
      </w:r>
      <w:r>
        <w:rPr>
          <w:rFonts w:hint="eastAsia" w:ascii="宋体" w:hAnsi="宋体" w:eastAsia="宋体" w:cs="宋体"/>
          <w:bCs/>
          <w:color w:val="auto"/>
          <w:kern w:val="0"/>
          <w:sz w:val="21"/>
          <w:szCs w:val="21"/>
          <w:highlight w:val="none"/>
          <w:u w:val="single"/>
          <w:lang w:eastAsia="zh-CN"/>
        </w:rPr>
        <w:t>4台预应力检测仪</w:t>
      </w:r>
      <w:r>
        <w:rPr>
          <w:rFonts w:hint="eastAsia" w:ascii="宋体" w:hAnsi="宋体" w:eastAsia="宋体" w:cs="宋体"/>
          <w:bCs/>
          <w:color w:val="auto"/>
          <w:kern w:val="0"/>
          <w:sz w:val="21"/>
          <w:szCs w:val="21"/>
          <w:highlight w:val="none"/>
          <w:u w:val="none"/>
          <w:lang w:eastAsia="zh-CN"/>
        </w:rPr>
        <w:t>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w:t>
      </w:r>
      <w:r>
        <w:rPr>
          <w:rFonts w:hint="eastAsia" w:ascii="宋体" w:hAnsi="宋体" w:eastAsia="宋体" w:cs="宋体"/>
          <w:color w:val="auto"/>
          <w:kern w:val="0"/>
          <w:sz w:val="21"/>
          <w:szCs w:val="21"/>
          <w:highlight w:val="none"/>
          <w:lang w:val="en-US" w:eastAsia="zh-CN"/>
        </w:rPr>
        <w:t>2025年2月27日</w:t>
      </w:r>
      <w:r>
        <w:rPr>
          <w:rFonts w:hint="eastAsia" w:ascii="宋体" w:hAnsi="宋体" w:eastAsia="宋体" w:cs="宋体"/>
          <w:bCs/>
          <w:color w:val="auto"/>
          <w:kern w:val="0"/>
          <w:sz w:val="21"/>
          <w:szCs w:val="21"/>
          <w:highlight w:val="none"/>
        </w:rPr>
        <w:t>上午11时00分</w:t>
      </w:r>
      <w:r>
        <w:rPr>
          <w:rFonts w:hint="eastAsia" w:ascii="宋体" w:hAnsi="宋体" w:eastAsia="宋体" w:cs="宋体"/>
          <w:bCs/>
          <w:color w:val="auto"/>
          <w:kern w:val="0"/>
          <w:sz w:val="21"/>
          <w:szCs w:val="21"/>
          <w:highlight w:val="none"/>
        </w:rPr>
        <w:t>前将书面材料签字（盖公章）并密封后送至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eastAsia="宋体" w:cs="宋体"/>
          <w:bCs/>
          <w:color w:val="auto"/>
          <w:kern w:val="0"/>
          <w:sz w:val="21"/>
          <w:szCs w:val="21"/>
          <w:highlight w:val="none"/>
          <w:lang w:val="en-US" w:eastAsia="zh-CN"/>
        </w:rPr>
        <w:t>249168092</w:t>
      </w:r>
      <w:r>
        <w:rPr>
          <w:rFonts w:hint="eastAsia" w:ascii="宋体" w:hAnsi="宋体" w:eastAsia="宋体" w:cs="宋体"/>
          <w:bCs/>
          <w:color w:val="auto"/>
          <w:kern w:val="0"/>
          <w:sz w:val="21"/>
          <w:szCs w:val="21"/>
          <w:highlight w:val="none"/>
        </w:rPr>
        <w:t>@qq.com，并同时将该原件寄至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val="en-US" w:eastAsia="zh-CN"/>
        </w:rPr>
        <w:t>郑瑞木</w:t>
      </w:r>
      <w:r>
        <w:rPr>
          <w:rFonts w:hint="eastAsia" w:ascii="宋体" w:hAnsi="宋体" w:eastAsia="宋体" w:cs="宋体"/>
          <w:bCs/>
          <w:color w:val="auto"/>
          <w:kern w:val="0"/>
          <w:sz w:val="21"/>
          <w:szCs w:val="21"/>
          <w:highlight w:val="none"/>
        </w:rPr>
        <w:t>，联系电话：15068415600，</w:t>
      </w:r>
      <w:r>
        <w:rPr>
          <w:rFonts w:hint="eastAsia" w:ascii="宋体" w:hAnsi="宋体" w:eastAsia="宋体" w:cs="宋体"/>
          <w:bCs/>
          <w:color w:val="auto"/>
          <w:kern w:val="0"/>
          <w:sz w:val="21"/>
          <w:szCs w:val="21"/>
          <w:highlight w:val="none"/>
          <w:lang w:eastAsia="zh-CN"/>
        </w:rPr>
        <w:t>0577-88551608</w:t>
      </w:r>
      <w:r>
        <w:rPr>
          <w:rFonts w:hint="eastAsia" w:ascii="宋体" w:hAnsi="宋体" w:eastAsia="宋体" w:cs="宋体"/>
          <w:bCs/>
          <w:color w:val="auto"/>
          <w:kern w:val="0"/>
          <w:sz w:val="21"/>
          <w:szCs w:val="21"/>
          <w:highlight w:val="none"/>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pPr>
        <w:pStyle w:val="2"/>
        <w:spacing w:line="360" w:lineRule="auto"/>
        <w:ind w:firstLine="0" w:firstLineChars="0"/>
        <w:outlineLvl w:val="9"/>
        <w:rPr>
          <w:rFonts w:hint="eastAsia" w:ascii="宋体" w:hAnsi="宋体" w:eastAsia="宋体" w:cs="宋体"/>
          <w:color w:val="auto"/>
          <w:sz w:val="21"/>
          <w:szCs w:val="21"/>
          <w:highlight w:val="none"/>
          <w:lang w:val="en-US" w:eastAsia="zh-CN"/>
        </w:rPr>
      </w:pP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温州市交通工程试验检测有限公司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pPr>
        <w:widowControl/>
        <w:spacing w:line="360" w:lineRule="auto"/>
        <w:ind w:left="62" w:right="62" w:firstLine="420" w:firstLineChars="200"/>
        <w:jc w:val="righ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2025年2月21日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Start w:id="17" w:name="_Toc9134"/>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pPr>
        <w:spacing w:line="360" w:lineRule="auto"/>
        <w:outlineLvl w:val="9"/>
        <w:rPr>
          <w:rFonts w:hint="eastAsia" w:ascii="宋体" w:hAnsi="宋体" w:eastAsia="宋体" w:cs="宋体"/>
          <w:color w:val="auto"/>
          <w:sz w:val="21"/>
          <w:szCs w:val="21"/>
          <w:highlight w:val="none"/>
        </w:rPr>
      </w:pPr>
    </w:p>
    <w:tbl>
      <w:tblPr>
        <w:tblStyle w:val="33"/>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采购人名称：温州市交通工程试验检测有限公司</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地址：温州市经济技术开发区海桐路110号</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联系人：陈工</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电话：0577-86687703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代理机构地址：温州市温州大道428号温州源大创业园四层8403室</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联系人：郑瑞木</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电话：15068415600，0577-88551608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项目名称：4台预应力检测仪</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项目编号：WGSS-JFJT-Z-2025017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79"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046" w:type="dxa"/>
            <w:tcBorders>
              <w:top w:val="single" w:color="000000" w:sz="4" w:space="0"/>
              <w:left w:val="single" w:color="000000" w:sz="4" w:space="0"/>
              <w:bottom w:val="single" w:color="000000" w:sz="4" w:space="0"/>
            </w:tcBorders>
            <w:noWrap w:val="0"/>
            <w:vAlign w:val="center"/>
          </w:tcPr>
          <w:p>
            <w:pPr>
              <w:widowControl/>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采购人发出通知后15个日历天内供应商须完成货物的供货、安装、调试。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541"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val="0"/>
                <w:color w:val="auto"/>
                <w:kern w:val="1"/>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Cs w:val="0"/>
                <w:color w:val="auto"/>
                <w:kern w:val="1"/>
                <w:sz w:val="21"/>
                <w:szCs w:val="21"/>
                <w:highlight w:val="none"/>
                <w:lang w:eastAsia="zh-CN"/>
              </w:rPr>
            </w:pPr>
            <w:r>
              <w:rPr>
                <w:rFonts w:hint="eastAsia" w:ascii="宋体" w:hAnsi="宋体" w:eastAsia="宋体" w:cs="宋体"/>
                <w:bCs w:val="0"/>
                <w:color w:val="auto"/>
                <w:kern w:val="1"/>
                <w:sz w:val="21"/>
                <w:szCs w:val="21"/>
                <w:highlight w:val="none"/>
                <w:lang w:val="en-US" w:eastAsia="zh-CN"/>
              </w:rPr>
              <w:t>2、</w:t>
            </w:r>
            <w:r>
              <w:rPr>
                <w:rFonts w:hint="eastAsia" w:ascii="宋体" w:hAnsi="宋体" w:eastAsia="宋体" w:cs="宋体"/>
                <w:bCs w:val="0"/>
                <w:color w:val="auto"/>
                <w:kern w:val="1"/>
                <w:sz w:val="21"/>
                <w:szCs w:val="21"/>
                <w:highlight w:val="none"/>
              </w:rPr>
              <w:t>单位负责人为同一人或者存在直接控股、管理关系的不同供应商，不得参加同一合同项下的采购活动</w:t>
            </w:r>
            <w:r>
              <w:rPr>
                <w:rFonts w:hint="eastAsia" w:ascii="宋体" w:hAnsi="宋体" w:eastAsia="宋体" w:cs="宋体"/>
                <w:bCs w:val="0"/>
                <w:color w:val="auto"/>
                <w:kern w:val="1"/>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firstLine="0" w:firstLineChars="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val="0"/>
                <w:color w:val="auto"/>
                <w:kern w:val="1"/>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0"/>
              </w:numPr>
              <w:jc w:val="left"/>
              <w:outlineLvl w:val="9"/>
              <w:rPr>
                <w:rFonts w:hint="eastAsia" w:ascii="宋体" w:hAnsi="宋体" w:eastAsia="宋体" w:cs="宋体"/>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4、本项目不接受联合体投标。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不</w:t>
            </w:r>
            <w:r>
              <w:rPr>
                <w:rFonts w:hint="eastAsia" w:ascii="宋体" w:hAnsi="宋体" w:eastAsia="宋体" w:cs="宋体"/>
                <w:color w:val="auto"/>
                <w:sz w:val="21"/>
                <w:szCs w:val="21"/>
                <w:highlight w:val="none"/>
              </w:rPr>
              <w:t>接受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不组织,投标供应商若需踏勘现场，请联系</w:t>
            </w:r>
            <w:r>
              <w:rPr>
                <w:rFonts w:hint="eastAsia" w:ascii="宋体" w:hAnsi="宋体" w:eastAsia="宋体" w:cs="宋体"/>
                <w:color w:val="auto"/>
                <w:sz w:val="21"/>
                <w:szCs w:val="21"/>
                <w:highlight w:val="none"/>
                <w:lang w:eastAsia="zh-CN"/>
              </w:rPr>
              <w:t>采购人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b w:val="0"/>
                <w:bCs w:val="0"/>
                <w:color w:val="auto"/>
                <w:kern w:val="0"/>
                <w:sz w:val="21"/>
                <w:szCs w:val="21"/>
                <w:highlight w:val="none"/>
                <w:lang w:val="en-US" w:eastAsia="zh-CN"/>
              </w:rPr>
              <w:t>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572"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人民币柒仟元整</w:t>
            </w:r>
            <w:r>
              <w:rPr>
                <w:rFonts w:hint="eastAsia" w:ascii="宋体" w:hAnsi="宋体" w:eastAsia="宋体" w:cs="宋体"/>
                <w:color w:val="auto"/>
                <w:sz w:val="21"/>
                <w:szCs w:val="21"/>
                <w:highlight w:val="none"/>
              </w:rPr>
              <w:t>（投标供应商须在</w:t>
            </w: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color w:val="auto"/>
                <w:sz w:val="21"/>
                <w:szCs w:val="21"/>
                <w:highlight w:val="none"/>
              </w:rPr>
              <w:t>前将投标保证金以银行转帐形式缴纳并到帐，汇出账号须为投标供应商银行帐户）。</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大地工程咨询有限公司温州第一分公司</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33050162870500000188</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中国建设银行温州双龙支行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投标文件一式</w:t>
            </w:r>
            <w:r>
              <w:rPr>
                <w:rFonts w:hint="eastAsia" w:ascii="宋体" w:hAnsi="宋体" w:eastAsia="宋体" w:cs="宋体"/>
                <w:color w:val="auto"/>
                <w:sz w:val="21"/>
                <w:szCs w:val="21"/>
                <w:highlight w:val="none"/>
                <w:lang w:val="en-US" w:eastAsia="zh-CN"/>
              </w:rPr>
              <w:t>伍</w:t>
            </w:r>
            <w:r>
              <w:rPr>
                <w:rFonts w:hint="eastAsia" w:ascii="宋体" w:hAnsi="宋体" w:eastAsia="宋体" w:cs="宋体"/>
                <w:color w:val="auto"/>
                <w:sz w:val="21"/>
                <w:szCs w:val="21"/>
                <w:highlight w:val="none"/>
              </w:rPr>
              <w:t>份，正本壹份，副</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98"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必须将投标文件的“技术资信标”、“商务（报价）标”分别单独密封，且在各自的密封袋上标明“技术资信标”、“商务（报价）标”字样；封口处贴上封条，封条处加盖投标供应商公章并由法定代表人或其授权代表签字或盖章。封皮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编号、并注明“开标时启封”字样。</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温州市温州大道428号温州源大创业园四层8403室会议室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b/>
                <w:bCs/>
                <w:color w:val="auto"/>
                <w:sz w:val="21"/>
                <w:szCs w:val="21"/>
                <w:highlight w:val="none"/>
                <w:lang w:eastAsia="zh-CN"/>
              </w:rPr>
              <w:t>温州市温州大道428号温州源大创业园四层8403室会议室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密封情况检查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开启</w:t>
            </w:r>
            <w:r>
              <w:rPr>
                <w:rFonts w:hint="eastAsia" w:ascii="宋体" w:hAnsi="宋体" w:eastAsia="宋体" w:cs="宋体"/>
                <w:color w:val="auto"/>
                <w:sz w:val="21"/>
                <w:szCs w:val="21"/>
                <w:highlight w:val="none"/>
              </w:rPr>
              <w:t>技术资信标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资格审查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技术资信标评审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开启商务（报价）标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商务（报价）评审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提交评审报告</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lang w:eastAsia="zh-CN"/>
              </w:rPr>
              <w:t>。</w:t>
            </w:r>
          </w:p>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履约担保的金额：合同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中标人在签订合同后5个工作日内须向采购人提交履约担保，并且要保证履约担保在合同履行期间的有效性。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eastAsia="宋体" w:cs="宋体"/>
                <w:color w:val="auto"/>
                <w:sz w:val="21"/>
                <w:szCs w:val="21"/>
                <w:highlight w:val="none"/>
                <w:lang w:val="en-US" w:eastAsia="zh-CN"/>
              </w:rPr>
              <w:t>500元</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pPr>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pPr>
              <w:snapToGrid w:val="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pPr>
        <w:spacing w:line="360" w:lineRule="auto"/>
        <w:outlineLvl w:val="9"/>
        <w:rPr>
          <w:rFonts w:hint="eastAsia" w:ascii="宋体" w:hAnsi="宋体" w:eastAsia="宋体" w:cs="宋体"/>
          <w:color w:val="auto"/>
          <w:sz w:val="21"/>
          <w:szCs w:val="21"/>
          <w:highlight w:val="none"/>
        </w:rPr>
      </w:pPr>
    </w:p>
    <w:p>
      <w:pPr>
        <w:spacing w:line="360" w:lineRule="auto"/>
        <w:jc w:val="center"/>
        <w:outlineLvl w:val="0"/>
        <w:rPr>
          <w:rFonts w:hint="eastAsia" w:ascii="宋体" w:hAnsi="宋体" w:eastAsia="宋体" w:cs="宋体"/>
          <w:color w:val="auto"/>
          <w:sz w:val="21"/>
          <w:szCs w:val="21"/>
          <w:highlight w:val="none"/>
        </w:rPr>
      </w:pPr>
      <w:bookmarkStart w:id="18" w:name="_Toc389760260"/>
      <w:bookmarkStart w:id="19" w:name="_Toc262049414"/>
      <w:bookmarkStart w:id="20" w:name="_Toc245191310"/>
      <w:bookmarkStart w:id="21" w:name="_Toc246261261"/>
      <w:bookmarkStart w:id="22" w:name="_Toc221356882"/>
      <w:bookmarkStart w:id="23" w:name="_Toc223715994"/>
      <w:bookmarkStart w:id="24" w:name="_Toc249758860"/>
      <w:bookmarkStart w:id="25" w:name="_Toc249758708"/>
      <w:bookmarkStart w:id="26" w:name="_Toc221356947"/>
      <w:bookmarkStart w:id="27" w:name="_Toc241404198"/>
      <w:bookmarkStart w:id="28" w:name="_Toc239145350"/>
      <w:bookmarkStart w:id="29" w:name="_Toc221423615"/>
      <w:bookmarkStart w:id="30" w:name="_Toc221374622"/>
      <w:bookmarkStart w:id="31" w:name="_Toc222114875"/>
      <w:bookmarkStart w:id="32" w:name="_Toc262105499"/>
      <w:bookmarkStart w:id="33" w:name="_Toc245722277"/>
      <w:r>
        <w:rPr>
          <w:rFonts w:hint="eastAsia" w:ascii="宋体" w:hAnsi="宋体" w:eastAsia="宋体" w:cs="宋体"/>
          <w:color w:val="auto"/>
          <w:sz w:val="21"/>
          <w:szCs w:val="21"/>
          <w:highlight w:val="none"/>
        </w:rPr>
        <w:br w:type="page"/>
      </w:r>
      <w:bookmarkStart w:id="34" w:name="_Toc2964"/>
      <w:bookmarkStart w:id="35" w:name="_Toc7550"/>
      <w:r>
        <w:rPr>
          <w:rFonts w:hint="eastAsia" w:ascii="宋体" w:hAnsi="宋体" w:eastAsia="宋体" w:cs="宋体"/>
          <w:b/>
          <w:bCs/>
          <w:color w:val="auto"/>
          <w:sz w:val="28"/>
          <w:szCs w:val="28"/>
          <w:highlight w:val="none"/>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11625"/>
      <w:bookmarkStart w:id="37" w:name="_Toc23876"/>
      <w:bookmarkStart w:id="38" w:name="_Toc18274"/>
      <w:r>
        <w:rPr>
          <w:rFonts w:hint="eastAsia" w:ascii="宋体" w:hAnsi="宋体" w:eastAsia="宋体" w:cs="宋体"/>
          <w:b/>
          <w:color w:val="auto"/>
          <w:kern w:val="1"/>
          <w:sz w:val="21"/>
          <w:szCs w:val="21"/>
          <w:highlight w:val="none"/>
        </w:rPr>
        <w:t>一、  说明</w:t>
      </w:r>
      <w:bookmarkEnd w:id="36"/>
      <w:bookmarkEnd w:id="37"/>
      <w:bookmarkEnd w:id="38"/>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本次采购是根据《</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w:t>
      </w:r>
      <w:r>
        <w:rPr>
          <w:rFonts w:hint="eastAsia" w:ascii="宋体" w:hAnsi="宋体" w:eastAsia="宋体" w:cs="宋体"/>
          <w:color w:val="auto"/>
          <w:sz w:val="21"/>
          <w:szCs w:val="21"/>
          <w:highlight w:val="none"/>
        </w:rPr>
        <w:t>相关法律法规及规范性文件</w:t>
      </w:r>
      <w:r>
        <w:rPr>
          <w:rFonts w:hint="eastAsia" w:ascii="宋体" w:hAnsi="宋体" w:eastAsia="宋体" w:cs="宋体"/>
          <w:color w:val="auto"/>
          <w:kern w:val="1"/>
          <w:sz w:val="21"/>
          <w:szCs w:val="21"/>
          <w:highlight w:val="none"/>
        </w:rPr>
        <w:t>组织和实施的。</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合格投标供应商</w:t>
      </w:r>
    </w:p>
    <w:p>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val="en-US" w:eastAsia="zh-CN"/>
        </w:rPr>
        <w:t>2.1</w:t>
      </w: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本项目谢绝联合体形式投标。</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投标供应商代表</w:t>
      </w:r>
    </w:p>
    <w:p>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▲指全权代表投标供应商参加投标活动并签署投标文件的人。如果投标供应商代表不是法定代表人，须持有《法定代表人授权书》</w:t>
      </w:r>
      <w:r>
        <w:rPr>
          <w:rFonts w:hint="eastAsia" w:ascii="宋体" w:hAnsi="宋体" w:eastAsia="宋体" w:cs="宋体"/>
          <w:color w:val="auto"/>
          <w:kern w:val="1"/>
          <w:sz w:val="21"/>
          <w:szCs w:val="21"/>
          <w:highlight w:val="none"/>
          <w:u w:val="single"/>
        </w:rPr>
        <w:t>。</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投标费用</w:t>
      </w:r>
    </w:p>
    <w:p>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221423617"/>
      <w:bookmarkEnd w:id="39"/>
      <w:bookmarkStart w:id="40" w:name="_Toc458603462"/>
      <w:bookmarkEnd w:id="40"/>
      <w:bookmarkStart w:id="41" w:name="_Toc222114877"/>
      <w:bookmarkEnd w:id="41"/>
      <w:bookmarkStart w:id="42" w:name="_Toc221356949"/>
      <w:bookmarkEnd w:id="42"/>
      <w:bookmarkStart w:id="43" w:name="_Toc241404200"/>
      <w:bookmarkEnd w:id="43"/>
      <w:bookmarkStart w:id="44" w:name="_Toc221374624"/>
      <w:bookmarkEnd w:id="44"/>
      <w:bookmarkStart w:id="45" w:name="_Toc239145352"/>
      <w:bookmarkEnd w:id="45"/>
      <w:bookmarkStart w:id="46" w:name="_Toc221356884"/>
      <w:bookmarkEnd w:id="46"/>
      <w:bookmarkStart w:id="47" w:name="_Toc223715996"/>
      <w:bookmarkEnd w:id="47"/>
      <w:bookmarkStart w:id="48" w:name="_Toc265529381"/>
      <w:bookmarkEnd w:id="48"/>
      <w:bookmarkStart w:id="49" w:name="_Toc31985"/>
      <w:bookmarkStart w:id="50" w:name="_Toc22626"/>
      <w:bookmarkStart w:id="51" w:name="_Toc27522"/>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或召开答疑会。如果标书答疑期内未收到有关疑问，视为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7.</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30612"/>
      <w:bookmarkStart w:id="53" w:name="_Toc28764"/>
      <w:bookmarkStart w:id="54" w:name="_Toc20312"/>
      <w:bookmarkStart w:id="55" w:name="_Toc24934"/>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投标截止时间至少15日前，对采购文件以补充文件的方式进行修改，并在浙江政府采购网、温州国企采购平台及温州市交通发展集团有限公司网站等发布公告的网站上发布更正公告，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该澄清和修改的内容为采购文件的组成部分。采购人可以视采购具体情况在采购文件要求提交截止时间前，作出延长投标文件递交截止时间和开标时间的决定，并在浙江政府采购网、温州国企采购平台及温州市交通发展集团有限公司网站等发布公告的网站上发布变更公告，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pPr>
        <w:spacing w:line="440" w:lineRule="exact"/>
        <w:ind w:firstLine="420" w:firstLineChars="200"/>
        <w:jc w:val="both"/>
        <w:outlineLvl w:val="9"/>
        <w:rPr>
          <w:rFonts w:hint="eastAsia" w:ascii="宋体" w:hAnsi="宋体" w:eastAsia="宋体" w:cs="宋体"/>
          <w:color w:val="auto"/>
          <w:sz w:val="21"/>
          <w:szCs w:val="21"/>
          <w:highlight w:val="none"/>
        </w:rPr>
      </w:pPr>
      <w:bookmarkStart w:id="56" w:name="_Toc6283"/>
      <w:bookmarkStart w:id="57" w:name="_Toc22892"/>
      <w:bookmarkStart w:id="58" w:name="_Toc22751"/>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收到澄清和修改的补充文件，无需回复确认已收到补充文件。当采购文件、采购文件的澄清、修改、补充等在同一内容的表述上不一致时，以最后发出的书面文件</w:t>
      </w:r>
      <w:bookmarkEnd w:id="56"/>
      <w:bookmarkEnd w:id="57"/>
      <w:bookmarkEnd w:id="58"/>
      <w:bookmarkStart w:id="60" w:name="_Toc27128"/>
      <w:bookmarkStart w:id="61" w:name="_Toc15788"/>
      <w:bookmarkStart w:id="62" w:name="_Toc5494"/>
      <w:r>
        <w:rPr>
          <w:rFonts w:hint="eastAsia" w:ascii="宋体" w:hAnsi="宋体" w:eastAsia="宋体" w:cs="宋体"/>
          <w:color w:val="auto"/>
          <w:sz w:val="21"/>
          <w:szCs w:val="21"/>
          <w:highlight w:val="none"/>
        </w:rPr>
        <w:t>为准。</w:t>
      </w:r>
      <w:bookmarkEnd w:id="59"/>
      <w:bookmarkEnd w:id="60"/>
      <w:bookmarkEnd w:id="61"/>
      <w:bookmarkEnd w:id="62"/>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7997"/>
      <w:bookmarkStart w:id="64" w:name="_Toc16281"/>
      <w:bookmarkStart w:id="65" w:name="_Toc1873"/>
      <w:bookmarkStart w:id="66" w:name="_Toc7451"/>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均可在本项目采购公告附件下载采购文件，并按采购文件规定的时间、地点递交投标文件。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221356950"/>
      <w:bookmarkEnd w:id="67"/>
      <w:bookmarkStart w:id="68" w:name="_Toc221423618"/>
      <w:bookmarkEnd w:id="68"/>
      <w:bookmarkStart w:id="69" w:name="_Toc458603463"/>
      <w:bookmarkEnd w:id="69"/>
      <w:bookmarkStart w:id="70" w:name="_Toc241404201"/>
      <w:bookmarkEnd w:id="70"/>
      <w:bookmarkStart w:id="71" w:name="_Toc221356885"/>
      <w:bookmarkEnd w:id="71"/>
      <w:bookmarkStart w:id="72" w:name="_Toc265529382"/>
      <w:bookmarkEnd w:id="72"/>
      <w:bookmarkStart w:id="73" w:name="_Toc222114878"/>
      <w:bookmarkEnd w:id="73"/>
      <w:bookmarkStart w:id="74" w:name="_Toc239145353"/>
      <w:bookmarkEnd w:id="74"/>
      <w:bookmarkStart w:id="75" w:name="_Toc221374625"/>
      <w:bookmarkEnd w:id="75"/>
      <w:bookmarkStart w:id="76" w:name="_Toc223715997"/>
      <w:bookmarkEnd w:id="76"/>
      <w:bookmarkStart w:id="77" w:name="_Toc22473"/>
      <w:bookmarkStart w:id="78" w:name="_Toc11921"/>
      <w:bookmarkStart w:id="79" w:name="_Toc5578"/>
      <w:r>
        <w:rPr>
          <w:rFonts w:hint="eastAsia" w:ascii="宋体" w:hAnsi="宋体" w:eastAsia="宋体" w:cs="宋体"/>
          <w:b/>
          <w:color w:val="auto"/>
          <w:kern w:val="1"/>
          <w:sz w:val="21"/>
          <w:szCs w:val="21"/>
          <w:highlight w:val="none"/>
        </w:rPr>
        <w:t>三、 投标文件的编制</w:t>
      </w:r>
      <w:bookmarkEnd w:id="77"/>
      <w:bookmarkEnd w:id="78"/>
      <w:bookmarkEnd w:id="79"/>
    </w:p>
    <w:p>
      <w:pPr>
        <w:numPr>
          <w:ilvl w:val="0"/>
          <w:numId w:val="0"/>
        </w:num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8.</w:t>
      </w: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各个方面做出实质性响应，导致投标被拒绝的风险由投标供应商自行承担。</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9.</w:t>
      </w:r>
      <w:r>
        <w:rPr>
          <w:rFonts w:hint="eastAsia" w:ascii="宋体" w:hAnsi="宋体" w:eastAsia="宋体" w:cs="宋体"/>
          <w:color w:val="auto"/>
          <w:kern w:val="1"/>
          <w:sz w:val="21"/>
          <w:szCs w:val="21"/>
          <w:highlight w:val="none"/>
        </w:rPr>
        <w:t>投标供应商法律责任</w:t>
      </w:r>
    </w:p>
    <w:p>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投标文件的构成：</w:t>
      </w:r>
    </w:p>
    <w:p>
      <w:pPr>
        <w:numPr>
          <w:ilvl w:val="0"/>
          <w:numId w:val="0"/>
        </w:numPr>
        <w:tabs>
          <w:tab w:val="left" w:pos="36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10.1</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3"/>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bottom w:val="single" w:color="000000" w:sz="4" w:space="0"/>
              <w:right w:val="single" w:color="000000" w:sz="4" w:space="0"/>
            </w:tcBorders>
            <w:noWrap w:val="0"/>
            <w:vAlign w:val="center"/>
          </w:tcPr>
          <w:p>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35"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04"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附件三</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附件四</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附件五</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附件六</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商务、技术偏离表（</w:t>
            </w:r>
            <w:r>
              <w:rPr>
                <w:rFonts w:hint="eastAsia" w:ascii="宋体" w:hAnsi="宋体" w:eastAsia="宋体" w:cs="宋体"/>
                <w:color w:val="auto"/>
                <w:kern w:val="1"/>
                <w:sz w:val="21"/>
                <w:szCs w:val="21"/>
                <w:highlight w:val="none"/>
                <w:lang w:val="en-US" w:eastAsia="zh-CN"/>
              </w:rPr>
              <w:t>如</w:t>
            </w:r>
            <w:r>
              <w:rPr>
                <w:rFonts w:hint="eastAsia" w:ascii="宋体" w:hAnsi="宋体" w:eastAsia="宋体" w:cs="宋体"/>
                <w:color w:val="auto"/>
                <w:kern w:val="1"/>
                <w:sz w:val="21"/>
                <w:szCs w:val="21"/>
                <w:highlight w:val="none"/>
              </w:rPr>
              <w:t>有）</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同类产品供货业绩一览表及业绩证明材料复印件</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八</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产品供货范围详细清单</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九</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随机备品备件和专用工具清单（如有）</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75"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七</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根据采购文件第五部分评标原则及方法“五、评分细则”中评分内容，需要提供的文件和资料。格式自拟。</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八</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bl>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的利益。</w:t>
      </w:r>
    </w:p>
    <w:p>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满意。同时在技术偏离表中作出详细说明。</w:t>
      </w:r>
    </w:p>
    <w:p>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3"/>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bottom w:val="single" w:color="000000" w:sz="4" w:space="0"/>
              <w:right w:val="single" w:color="000000" w:sz="4" w:space="0"/>
            </w:tcBorders>
            <w:noWrap w:val="0"/>
            <w:vAlign w:val="center"/>
          </w:tcPr>
          <w:p>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十一</w:t>
            </w:r>
            <w:r>
              <w:rPr>
                <w:rFonts w:hint="eastAsia" w:ascii="宋体" w:hAnsi="宋体" w:eastAsia="宋体" w:cs="宋体"/>
                <w:color w:val="auto"/>
                <w:kern w:val="1"/>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十二</w:t>
            </w:r>
            <w:r>
              <w:rPr>
                <w:rFonts w:hint="eastAsia" w:ascii="宋体" w:hAnsi="宋体" w:eastAsia="宋体" w:cs="宋体"/>
                <w:color w:val="auto"/>
                <w:kern w:val="1"/>
                <w:sz w:val="21"/>
                <w:szCs w:val="21"/>
                <w:highlight w:val="none"/>
              </w:rPr>
              <w:t>）</w:t>
            </w:r>
          </w:p>
        </w:tc>
      </w:tr>
    </w:tbl>
    <w:p>
      <w:pPr>
        <w:numPr>
          <w:ilvl w:val="0"/>
          <w:numId w:val="0"/>
        </w:numPr>
        <w:tabs>
          <w:tab w:val="left" w:pos="36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10.2</w:t>
      </w:r>
      <w:r>
        <w:rPr>
          <w:rFonts w:hint="eastAsia" w:ascii="宋体" w:hAnsi="宋体" w:eastAsia="宋体" w:cs="宋体"/>
          <w:color w:val="auto"/>
          <w:kern w:val="1"/>
          <w:sz w:val="21"/>
          <w:szCs w:val="21"/>
          <w:highlight w:val="none"/>
        </w:rPr>
        <w:t>投标文件格式</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11.</w:t>
      </w:r>
      <w:r>
        <w:rPr>
          <w:rFonts w:hint="eastAsia" w:ascii="宋体" w:hAnsi="宋体" w:eastAsia="宋体" w:cs="宋体"/>
          <w:bCs/>
          <w:color w:val="auto"/>
          <w:kern w:val="1"/>
          <w:sz w:val="21"/>
          <w:szCs w:val="21"/>
          <w:highlight w:val="none"/>
        </w:rPr>
        <w:t>投标报价</w:t>
      </w:r>
    </w:p>
    <w:p>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投标报价是指中标供应商在正确地完全履行合同义务后采购人应支付给中标供应商所有的价款，即完成上述范围工作任务所发生的一切费用（应包括但不限于设计、制造、货物款、质保期内所需耗材、专用工具、包装、运输装卸就位、安装、调试、设备的标定（校准/检定）、保险、验收、交付使用、技术服务、培训、售后服务、质保期保障、采购代理服务费、税金、利润等及完成合同所需的一切本身和不可或缺的所有工作开支、政策性文件规定及合同包含的所有风险、责任等各项全部费用，并承担一切风险责任。），供应商应根据上述因素自行考虑含入投标总价</w:t>
      </w:r>
      <w:r>
        <w:rPr>
          <w:rFonts w:hint="eastAsia" w:ascii="宋体" w:hAnsi="宋体" w:eastAsia="宋体" w:cs="宋体"/>
          <w:b/>
          <w:bCs/>
          <w:color w:val="auto"/>
          <w:sz w:val="21"/>
          <w:szCs w:val="21"/>
          <w:highlight w:val="none"/>
          <w:u w:val="single"/>
          <w:lang w:val="zh-CN" w:bidi="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11.1</w:t>
      </w: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lang w:val="en-US" w:eastAsia="zh-CN"/>
        </w:rPr>
        <w:t>11.2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11.5</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以其认为最合适的条款、条件签订合同的权利。</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11.6投标报价报出后，投标供应商不得以任何理由予以变更。任何包含价格调整的要求，将被认为是非实质性响应投标而予以拒绝</w:t>
      </w:r>
      <w:r>
        <w:rPr>
          <w:rFonts w:hint="eastAsia" w:ascii="宋体" w:hAnsi="宋体" w:eastAsia="宋体" w:cs="宋体"/>
          <w:color w:val="auto"/>
          <w:kern w:val="1"/>
          <w:sz w:val="21"/>
          <w:szCs w:val="21"/>
          <w:highlight w:val="none"/>
          <w:u w:val="non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pPr>
        <w:numPr>
          <w:ilvl w:val="1"/>
          <w:numId w:val="8"/>
        </w:numPr>
        <w:tabs>
          <w:tab w:val="left" w:pos="535"/>
          <w:tab w:val="clear" w:pos="992"/>
        </w:tabs>
        <w:overflowPunct w:val="0"/>
        <w:spacing w:line="460" w:lineRule="exact"/>
        <w:ind w:left="535" w:hanging="53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w:t>
      </w:r>
    </w:p>
    <w:p>
      <w:pPr>
        <w:numPr>
          <w:ilvl w:val="0"/>
          <w:numId w:val="0"/>
        </w:numPr>
        <w:tabs>
          <w:tab w:val="left" w:pos="535"/>
        </w:tabs>
        <w:overflowPunct w:val="0"/>
        <w:spacing w:line="460" w:lineRule="exact"/>
        <w:ind w:lef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证金汇出账户的名称须与投标供应商的名称相一致），否则采购人将不接受其投标。</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12.2中标供应商的投标保证金在提交履约担保并与采购人签订了合同且合同经备案后无息退还，未中标投标供应商的投标保证金将在确定中标供应商后无息退还</w:t>
      </w:r>
      <w:r>
        <w:rPr>
          <w:rFonts w:hint="eastAsia" w:ascii="宋体" w:hAnsi="宋体" w:eastAsia="宋体" w:cs="宋体"/>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中提供虚假技术指标及参数，经评标委员会确认属实的。</w:t>
      </w:r>
    </w:p>
    <w:p>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经国企采购监督管理部门审查认定投标供应商有违反《</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》等有关法律法规的行为。</w:t>
      </w:r>
    </w:p>
    <w:p>
      <w:pPr>
        <w:numPr>
          <w:ilvl w:val="0"/>
          <w:numId w:val="0"/>
        </w:numPr>
        <w:tabs>
          <w:tab w:val="left" w:pos="360"/>
        </w:tabs>
        <w:spacing w:line="43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13.1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自开标之日起120天内投标应保持有效。投标有效期短于这个规定期限的投标将视为非响应性投标而予以拒绝。</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13.2</w:t>
      </w: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14.</w:t>
      </w:r>
      <w:r>
        <w:rPr>
          <w:rFonts w:hint="eastAsia" w:ascii="宋体" w:hAnsi="宋体" w:eastAsia="宋体" w:cs="宋体"/>
          <w:bCs/>
          <w:color w:val="auto"/>
          <w:kern w:val="1"/>
          <w:sz w:val="21"/>
          <w:szCs w:val="21"/>
          <w:highlight w:val="none"/>
        </w:rPr>
        <w:t>投标文件的签署和规定</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b/>
          <w:color w:val="auto"/>
          <w:sz w:val="21"/>
          <w:szCs w:val="21"/>
          <w:highlight w:val="none"/>
          <w:u w:val="single"/>
          <w:lang w:val="en-US" w:eastAsia="zh-CN"/>
        </w:rPr>
        <w:t>14.1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eastAsia="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份的投标文件，分别装订成册，其中正本壹份、副本</w:t>
      </w:r>
      <w:r>
        <w:rPr>
          <w:rFonts w:hint="eastAsia" w:ascii="宋体" w:hAnsi="宋体" w:eastAsia="宋体" w:cs="宋体"/>
          <w:color w:val="auto"/>
          <w:kern w:val="1"/>
          <w:sz w:val="21"/>
          <w:szCs w:val="21"/>
          <w:highlight w:val="none"/>
          <w:u w:val="single"/>
          <w:lang w:val="en-US" w:eastAsia="zh-CN"/>
        </w:rPr>
        <w:t>肆</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电子版投标文件壹份（正本盖章版扫描件PDF格式存入U盘），装入商务（报价）标密封袋内。评审时以纸质投标文件作为评审依据</w:t>
      </w:r>
      <w:r>
        <w:rPr>
          <w:rFonts w:hint="eastAsia" w:ascii="宋体" w:hAnsi="宋体" w:eastAsia="宋体" w:cs="宋体"/>
          <w:color w:val="auto"/>
          <w:kern w:val="1"/>
          <w:sz w:val="21"/>
          <w:szCs w:val="21"/>
          <w:highlight w:val="none"/>
          <w:u w:val="singl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14.2</w:t>
      </w: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1"/>
          <w:sz w:val="21"/>
          <w:szCs w:val="21"/>
          <w:highlight w:val="none"/>
        </w:rPr>
        <w:t>或其授权代表签署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14.3</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投标文件如有修改和增删必须由投标文件签字人在修改和增删处旁签署或盖章，方才有效</w:t>
      </w:r>
      <w:r>
        <w:rPr>
          <w:rFonts w:hint="eastAsia" w:ascii="宋体" w:hAnsi="宋体" w:eastAsia="宋体" w:cs="宋体"/>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15.</w:t>
      </w:r>
      <w:r>
        <w:rPr>
          <w:rFonts w:hint="eastAsia" w:ascii="宋体" w:hAnsi="宋体" w:eastAsia="宋体" w:cs="宋体"/>
          <w:bCs/>
          <w:color w:val="auto"/>
          <w:kern w:val="1"/>
          <w:sz w:val="21"/>
          <w:szCs w:val="21"/>
          <w:highlight w:val="none"/>
        </w:rPr>
        <w:t>投标文件的密封及标记</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w:t>
      </w:r>
      <w:r>
        <w:rPr>
          <w:rFonts w:hint="eastAsia" w:ascii="宋体" w:hAnsi="宋体" w:eastAsia="宋体" w:cs="宋体"/>
          <w:color w:val="auto"/>
          <w:kern w:val="1"/>
          <w:sz w:val="21"/>
          <w:szCs w:val="21"/>
          <w:highlight w:val="none"/>
          <w:u w:val="single"/>
          <w:lang w:eastAsia="zh-CN"/>
        </w:rPr>
        <w:t>封条处</w:t>
      </w:r>
      <w:r>
        <w:rPr>
          <w:rFonts w:hint="eastAsia" w:ascii="宋体" w:hAnsi="宋体" w:eastAsia="宋体" w:cs="宋体"/>
          <w:color w:val="auto"/>
          <w:kern w:val="1"/>
          <w:sz w:val="21"/>
          <w:szCs w:val="21"/>
          <w:highlight w:val="none"/>
          <w:u w:val="single"/>
        </w:rPr>
        <w:t>加盖投标供应商公章并由法定代表人或其授权代表签字或盖章。封皮上写明投标项目名称、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对投标文件的误投和提前启封不负责任。</w:t>
      </w:r>
    </w:p>
    <w:p>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21356887"/>
      <w:bookmarkEnd w:id="81"/>
      <w:bookmarkStart w:id="82" w:name="_Toc241404202"/>
      <w:bookmarkEnd w:id="82"/>
      <w:bookmarkStart w:id="83" w:name="_Toc222114879"/>
      <w:bookmarkEnd w:id="83"/>
      <w:bookmarkStart w:id="84" w:name="_Toc221423619"/>
      <w:bookmarkEnd w:id="84"/>
      <w:bookmarkStart w:id="85" w:name="_Toc458603464"/>
      <w:bookmarkEnd w:id="85"/>
      <w:bookmarkStart w:id="86" w:name="_Toc221356951"/>
      <w:bookmarkEnd w:id="86"/>
      <w:bookmarkStart w:id="87" w:name="_Toc239145354"/>
      <w:bookmarkEnd w:id="87"/>
      <w:bookmarkStart w:id="88" w:name="_Toc223715998"/>
      <w:bookmarkEnd w:id="88"/>
      <w:bookmarkStart w:id="89" w:name="_Toc221374626"/>
      <w:bookmarkEnd w:id="89"/>
      <w:bookmarkStart w:id="90" w:name="_Toc265529383"/>
      <w:bookmarkEnd w:id="90"/>
      <w:bookmarkStart w:id="91" w:name="_Toc23941"/>
      <w:bookmarkStart w:id="92" w:name="_Toc14053"/>
      <w:bookmarkStart w:id="93" w:name="_Toc11756"/>
      <w:r>
        <w:rPr>
          <w:rFonts w:hint="eastAsia" w:ascii="宋体" w:hAnsi="宋体" w:eastAsia="宋体" w:cs="宋体"/>
          <w:b/>
          <w:bCs/>
          <w:color w:val="auto"/>
          <w:kern w:val="1"/>
          <w:sz w:val="21"/>
          <w:szCs w:val="21"/>
          <w:highlight w:val="none"/>
        </w:rPr>
        <w:t>四、 投标文件的递交</w:t>
      </w:r>
      <w:bookmarkEnd w:id="91"/>
      <w:bookmarkEnd w:id="92"/>
      <w:bookmarkEnd w:id="93"/>
    </w:p>
    <w:p>
      <w:pPr>
        <w:numPr>
          <w:ilvl w:val="0"/>
          <w:numId w:val="0"/>
        </w:numPr>
        <w:tabs>
          <w:tab w:val="left" w:pos="420"/>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16.</w:t>
      </w:r>
      <w:r>
        <w:rPr>
          <w:rFonts w:hint="eastAsia" w:ascii="宋体" w:hAnsi="宋体" w:eastAsia="宋体" w:cs="宋体"/>
          <w:bCs/>
          <w:color w:val="auto"/>
          <w:kern w:val="1"/>
          <w:sz w:val="21"/>
          <w:szCs w:val="21"/>
          <w:highlight w:val="none"/>
        </w:rPr>
        <w:t>投标文件的递交</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val="en-US" w:eastAsia="zh-CN"/>
        </w:rPr>
        <w:t>16.1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16.2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p>
    <w:p>
      <w:pPr>
        <w:numPr>
          <w:ilvl w:val="0"/>
          <w:numId w:val="9"/>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w:t>
      </w:r>
    </w:p>
    <w:p>
      <w:pPr>
        <w:numPr>
          <w:ilvl w:val="0"/>
          <w:numId w:val="0"/>
        </w:numPr>
        <w:tabs>
          <w:tab w:val="left" w:pos="420"/>
          <w:tab w:val="left" w:pos="540"/>
        </w:tabs>
        <w:spacing w:line="460" w:lineRule="exact"/>
        <w:ind w:leftChars="0" w:firstLine="422" w:firstLineChars="200"/>
        <w:outlineLvl w:val="9"/>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以上证明文件如密封在投标文件技术资信标中，在技术资信标开启后经查验符合要求亦为有效，否则作无效标处理。</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投标文件的修改和撤回</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lang w:val="en-US" w:eastAsia="zh-CN"/>
        </w:rPr>
        <w:t>17.1</w:t>
      </w: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，但不得影响开标活动的正常进行。</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17.2</w:t>
      </w: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bCs/>
          <w:color w:val="auto"/>
          <w:kern w:val="1"/>
          <w:sz w:val="21"/>
          <w:szCs w:val="21"/>
          <w:highlight w:val="none"/>
        </w:rPr>
        <w:t>、投标供应商名称，并注明“投标文件修改”或“投标文件撤回通知”字样。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17.3</w:t>
      </w: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从投标截止日期起至投标有效期满这段时间内，投标供应商不得撤回其投标，否则投标保证金将</w:t>
      </w:r>
      <w:r>
        <w:rPr>
          <w:rFonts w:hint="eastAsia" w:ascii="宋体" w:hAnsi="宋体" w:eastAsia="宋体" w:cs="宋体"/>
          <w:color w:val="auto"/>
          <w:kern w:val="1"/>
          <w:sz w:val="21"/>
          <w:szCs w:val="21"/>
          <w:highlight w:val="none"/>
        </w:rPr>
        <w:t>被不予退还。</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18.1</w:t>
      </w:r>
      <w:r>
        <w:rPr>
          <w:rFonts w:hint="eastAsia" w:ascii="宋体" w:hAnsi="宋体" w:eastAsia="宋体" w:cs="宋体"/>
          <w:b/>
          <w:color w:val="auto"/>
          <w:kern w:val="1"/>
          <w:sz w:val="21"/>
          <w:szCs w:val="21"/>
          <w:highlight w:val="none"/>
        </w:rPr>
        <w:t>在投标截止时间以后送达的投标文件；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lang w:val="en-US" w:eastAsia="zh-CN"/>
        </w:rPr>
        <w:t>18.2</w:t>
      </w: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w:t>
      </w:r>
      <w:r>
        <w:rPr>
          <w:rFonts w:hint="eastAsia" w:ascii="宋体" w:hAnsi="宋体" w:eastAsia="宋体" w:cs="宋体"/>
          <w:b/>
          <w:bCs/>
          <w:color w:val="auto"/>
          <w:kern w:val="1"/>
          <w:sz w:val="21"/>
          <w:szCs w:val="21"/>
          <w:highlight w:val="none"/>
          <w:lang w:val="en-US" w:eastAsia="zh-CN"/>
        </w:rPr>
        <w:t>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18.3</w:t>
      </w:r>
      <w:r>
        <w:rPr>
          <w:rFonts w:hint="eastAsia" w:ascii="宋体" w:hAnsi="宋体" w:eastAsia="宋体" w:cs="宋体"/>
          <w:b/>
          <w:color w:val="auto"/>
          <w:kern w:val="1"/>
          <w:sz w:val="21"/>
          <w:szCs w:val="21"/>
          <w:highlight w:val="none"/>
        </w:rPr>
        <w:t>未</w:t>
      </w:r>
      <w:r>
        <w:rPr>
          <w:rFonts w:hint="eastAsia" w:ascii="宋体" w:hAnsi="宋体" w:eastAsia="宋体" w:cs="宋体"/>
          <w:b/>
          <w:color w:val="auto"/>
          <w:kern w:val="1"/>
          <w:sz w:val="21"/>
          <w:szCs w:val="21"/>
          <w:highlight w:val="none"/>
          <w:lang w:val="en-US" w:eastAsia="zh-CN"/>
        </w:rPr>
        <w:t>按采购文件要求</w:t>
      </w:r>
      <w:r>
        <w:rPr>
          <w:rFonts w:hint="eastAsia" w:ascii="宋体" w:hAnsi="宋体" w:eastAsia="宋体" w:cs="宋体"/>
          <w:b/>
          <w:color w:val="auto"/>
          <w:kern w:val="1"/>
          <w:sz w:val="21"/>
          <w:szCs w:val="21"/>
          <w:highlight w:val="none"/>
        </w:rPr>
        <w:t>密封的投标文件；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18.4</w:t>
      </w:r>
      <w:r>
        <w:rPr>
          <w:rFonts w:hint="eastAsia" w:ascii="宋体" w:hAnsi="宋体" w:eastAsia="宋体" w:cs="宋体"/>
          <w:b/>
          <w:color w:val="auto"/>
          <w:kern w:val="1"/>
          <w:sz w:val="21"/>
          <w:szCs w:val="21"/>
          <w:highlight w:val="none"/>
        </w:rPr>
        <w:t>未按采购文件要求递交的投标文件。</w:t>
      </w:r>
    </w:p>
    <w:p>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21423620"/>
      <w:bookmarkEnd w:id="94"/>
      <w:bookmarkStart w:id="95" w:name="_Toc458603465"/>
      <w:bookmarkEnd w:id="95"/>
      <w:bookmarkStart w:id="96" w:name="_Toc239145355"/>
      <w:bookmarkEnd w:id="96"/>
      <w:bookmarkStart w:id="97" w:name="_Toc222114880"/>
      <w:bookmarkEnd w:id="97"/>
      <w:bookmarkStart w:id="98" w:name="_Toc221356888"/>
      <w:bookmarkEnd w:id="98"/>
      <w:bookmarkStart w:id="99" w:name="_Toc265529384"/>
      <w:bookmarkEnd w:id="99"/>
      <w:bookmarkStart w:id="100" w:name="_Toc241404203"/>
      <w:bookmarkEnd w:id="100"/>
      <w:bookmarkStart w:id="101" w:name="_Toc221374627"/>
      <w:bookmarkEnd w:id="101"/>
      <w:bookmarkStart w:id="102" w:name="_Toc223715999"/>
      <w:bookmarkEnd w:id="102"/>
      <w:bookmarkStart w:id="103" w:name="_Toc221356952"/>
      <w:bookmarkEnd w:id="103"/>
      <w:bookmarkStart w:id="104" w:name="_Toc462"/>
      <w:bookmarkStart w:id="105" w:name="_Toc21721"/>
      <w:bookmarkStart w:id="106" w:name="_Toc19925"/>
      <w:r>
        <w:rPr>
          <w:rFonts w:hint="eastAsia" w:ascii="宋体" w:hAnsi="宋体" w:eastAsia="宋体" w:cs="宋体"/>
          <w:b/>
          <w:bCs/>
          <w:color w:val="auto"/>
          <w:kern w:val="1"/>
          <w:sz w:val="21"/>
          <w:szCs w:val="21"/>
          <w:highlight w:val="none"/>
        </w:rPr>
        <w:t>五、 开标和评标</w:t>
      </w:r>
      <w:bookmarkEnd w:id="104"/>
      <w:bookmarkEnd w:id="105"/>
      <w:bookmarkEnd w:id="106"/>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19.</w:t>
      </w:r>
      <w:r>
        <w:rPr>
          <w:rFonts w:hint="eastAsia" w:ascii="宋体" w:hAnsi="宋体" w:eastAsia="宋体" w:cs="宋体"/>
          <w:color w:val="auto"/>
          <w:kern w:val="1"/>
          <w:sz w:val="21"/>
          <w:szCs w:val="21"/>
          <w:highlight w:val="none"/>
        </w:rPr>
        <w:t>评标委员会</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》等有关法律、法规的规定组建评标委员会，评标委员会成员由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20.</w:t>
      </w:r>
      <w:r>
        <w:rPr>
          <w:rFonts w:hint="eastAsia" w:ascii="宋体" w:hAnsi="宋体" w:eastAsia="宋体" w:cs="宋体"/>
          <w:color w:val="auto"/>
          <w:kern w:val="1"/>
          <w:sz w:val="21"/>
          <w:szCs w:val="21"/>
          <w:highlight w:val="none"/>
        </w:rPr>
        <w:t>评标过程的保密性</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pPr>
        <w:numPr>
          <w:ilvl w:val="0"/>
          <w:numId w:val="0"/>
        </w:numPr>
        <w:tabs>
          <w:tab w:val="left" w:pos="420"/>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w:t>
      </w:r>
      <w:r>
        <w:rPr>
          <w:rFonts w:hint="eastAsia" w:ascii="宋体" w:hAnsi="宋体" w:eastAsia="宋体" w:cs="宋体"/>
          <w:color w:val="auto"/>
          <w:kern w:val="1"/>
          <w:sz w:val="21"/>
          <w:szCs w:val="21"/>
          <w:highlight w:val="none"/>
        </w:rPr>
        <w:t>开标、评标</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21.1</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规定的时间、地点开启技术资信标。开标前，首先检查技术资信标的密封情况，确认无误后开启技术资信标。</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21.2</w:t>
      </w:r>
      <w:r>
        <w:rPr>
          <w:rFonts w:hint="eastAsia" w:ascii="宋体" w:hAnsi="宋体" w:eastAsia="宋体" w:cs="宋体"/>
          <w:color w:val="auto"/>
          <w:kern w:val="1"/>
          <w:sz w:val="21"/>
          <w:szCs w:val="21"/>
          <w:highlight w:val="none"/>
        </w:rPr>
        <w:t>投标文件的初审。初审分为资格审查和符合性检查。</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（加盖法人公章）等资格证明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21.3</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在对各投标供应商的投标文件进行综合评审时，投标文件有下列情况之一的，经评标委员会认定后按无效标处理：</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投标供应商投标报价超采购预算</w:t>
      </w:r>
      <w:r>
        <w:rPr>
          <w:rFonts w:hint="eastAsia" w:ascii="宋体" w:hAnsi="宋体" w:eastAsia="宋体" w:cs="宋体"/>
          <w:b/>
          <w:color w:val="auto"/>
          <w:kern w:val="1"/>
          <w:sz w:val="21"/>
          <w:szCs w:val="21"/>
          <w:highlight w:val="none"/>
          <w:lang w:val="en-US" w:eastAsia="zh-CN"/>
        </w:rPr>
        <w:t>金额</w:t>
      </w:r>
      <w:r>
        <w:rPr>
          <w:rFonts w:hint="eastAsia" w:ascii="宋体" w:hAnsi="宋体" w:eastAsia="宋体" w:cs="宋体"/>
          <w:b/>
          <w:color w:val="auto"/>
          <w:kern w:val="1"/>
          <w:sz w:val="21"/>
          <w:szCs w:val="21"/>
          <w:highlight w:val="none"/>
        </w:rPr>
        <w:t>的或超过最高投标限价的；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r>
        <w:rPr>
          <w:rFonts w:hint="eastAsia" w:ascii="宋体" w:hAnsi="宋体" w:eastAsia="宋体" w:cs="宋体"/>
          <w:b/>
          <w:color w:val="auto"/>
          <w:kern w:val="1"/>
          <w:sz w:val="21"/>
          <w:szCs w:val="21"/>
          <w:highlight w:val="none"/>
          <w:lang w:eastAsia="zh-CN"/>
        </w:rPr>
        <w:t>（售后保修、维修、配件等价格除外）</w:t>
      </w:r>
      <w:r>
        <w:rPr>
          <w:rFonts w:hint="eastAsia" w:ascii="宋体" w:hAnsi="宋体" w:eastAsia="宋体" w:cs="宋体"/>
          <w:b/>
          <w:color w:val="auto"/>
          <w:kern w:val="1"/>
          <w:sz w:val="21"/>
          <w:szCs w:val="21"/>
          <w:highlight w:val="none"/>
          <w:lang w:eastAsia="zh-CN"/>
        </w:rPr>
        <w:t>；</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）未实</w:t>
      </w:r>
      <w:r>
        <w:rPr>
          <w:rFonts w:hint="eastAsia" w:ascii="宋体" w:hAnsi="宋体" w:eastAsia="宋体" w:cs="宋体"/>
          <w:b/>
          <w:color w:val="auto"/>
          <w:kern w:val="1"/>
          <w:sz w:val="21"/>
          <w:szCs w:val="21"/>
          <w:highlight w:val="none"/>
          <w:lang w:eastAsia="zh-CN"/>
        </w:rPr>
        <w:t>质性响应采购文件中加“▲”同时加下划线的条款；</w:t>
      </w:r>
    </w:p>
    <w:p>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评标委员会认为投标供应商的报价明显低于其他有效投标供应商的报价，有可能影响产品质量或不能诚信履约的，应要求其在评标现场合理的时间内提供书面说明，必要时还应要求其一并提交有关证明材料；投标供应商代表不能在评标现场规定的合理时间内（在半个小时</w:t>
      </w:r>
      <w:r>
        <w:rPr>
          <w:rFonts w:hint="eastAsia" w:ascii="宋体" w:hAnsi="宋体" w:eastAsia="宋体" w:cs="宋体"/>
          <w:b/>
          <w:color w:val="auto"/>
          <w:kern w:val="1"/>
          <w:sz w:val="21"/>
          <w:szCs w:val="21"/>
          <w:highlight w:val="none"/>
          <w:lang w:val="en-US" w:eastAsia="zh-CN"/>
        </w:rPr>
        <w:t>以内</w:t>
      </w:r>
      <w:r>
        <w:rPr>
          <w:rFonts w:hint="eastAsia" w:ascii="宋体" w:hAnsi="宋体" w:eastAsia="宋体" w:cs="宋体"/>
          <w:b/>
          <w:color w:val="auto"/>
          <w:kern w:val="1"/>
          <w:sz w:val="21"/>
          <w:szCs w:val="21"/>
          <w:highlight w:val="none"/>
          <w:lang w:eastAsia="zh-CN"/>
        </w:rPr>
        <w:t>，具体要求将根据实际情况约定）书面证明其报价合理性的，评标委员会将其作为投标无效处理。</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10</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w:t>
      </w:r>
      <w:r>
        <w:rPr>
          <w:rFonts w:hint="eastAsia" w:ascii="宋体" w:hAnsi="宋体" w:eastAsia="宋体" w:cs="宋体"/>
          <w:b/>
          <w:color w:val="auto"/>
          <w:kern w:val="1"/>
          <w:sz w:val="21"/>
          <w:szCs w:val="21"/>
          <w:highlight w:val="none"/>
        </w:rPr>
        <w:t>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21.4</w:t>
      </w:r>
      <w:r>
        <w:rPr>
          <w:rFonts w:hint="eastAsia" w:ascii="宋体" w:hAnsi="宋体" w:eastAsia="宋体" w:cs="宋体"/>
          <w:b/>
          <w:color w:val="auto"/>
          <w:kern w:val="1"/>
          <w:sz w:val="21"/>
          <w:szCs w:val="21"/>
          <w:highlight w:val="none"/>
          <w:u w:val="single"/>
        </w:rPr>
        <w:t>▲有下列情形之一的，视为投标供应商串通投标，其投标无效：</w:t>
      </w:r>
    </w:p>
    <w:p>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21.5</w:t>
      </w: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时邀请所有投标供应商代表参加，参加开标的代表应准时出席。投标供应商代表未参加开标会的，事后不得对开标过程和开标结果提出异议。</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唱读结束后，投标供应商代表应对唱读内容及记录结果当场进行校核和确认，如有异议应当场提出，否则视为默许同意。</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开标时没有启封和宣读的投标文件，原封退回给投标供应商。</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指定专人作好记录，存档备查。</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21.6</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pPr>
        <w:numPr>
          <w:ilvl w:val="0"/>
          <w:numId w:val="0"/>
        </w:numPr>
        <w:tabs>
          <w:tab w:val="left" w:pos="720"/>
        </w:tabs>
        <w:spacing w:line="440" w:lineRule="exact"/>
        <w:ind w:leftChars="0" w:firstLine="404" w:firstLineChars="20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1</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numPr>
          <w:ilvl w:val="0"/>
          <w:numId w:val="0"/>
        </w:numPr>
        <w:tabs>
          <w:tab w:val="left" w:pos="720"/>
        </w:tabs>
        <w:spacing w:line="440" w:lineRule="exact"/>
        <w:ind w:leftChars="0" w:firstLine="404"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2</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21.7</w:t>
      </w: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21.8</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要求的投标将被拒绝，投标供应商不得通过修正或撤消不合要求的偏离或保留从而使其投标成为实质上响应的投标。</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21.9</w:t>
      </w: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21.10</w:t>
      </w:r>
      <w:r>
        <w:rPr>
          <w:rFonts w:hint="eastAsia" w:ascii="宋体" w:hAnsi="宋体" w:eastAsia="宋体" w:cs="宋体"/>
          <w:color w:val="auto"/>
          <w:kern w:val="1"/>
          <w:sz w:val="21"/>
          <w:szCs w:val="21"/>
          <w:highlight w:val="none"/>
        </w:rPr>
        <w:t>评标过程中遇到特殊情况，由评标委员会遵循公开、公正原则，采取投票方式按照少数服从多数原则决定。</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r>
        <w:rPr>
          <w:rFonts w:hint="eastAsia" w:ascii="宋体" w:hAnsi="宋体" w:eastAsia="宋体" w:cs="宋体"/>
          <w:color w:val="auto"/>
          <w:sz w:val="21"/>
          <w:szCs w:val="21"/>
          <w:highlight w:val="none"/>
        </w:rPr>
        <w:t>。</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23.</w:t>
      </w:r>
      <w:r>
        <w:rPr>
          <w:rFonts w:hint="eastAsia" w:ascii="宋体" w:hAnsi="宋体" w:eastAsia="宋体" w:cs="宋体"/>
          <w:color w:val="auto"/>
          <w:kern w:val="1"/>
          <w:sz w:val="21"/>
          <w:szCs w:val="21"/>
          <w:highlight w:val="none"/>
        </w:rPr>
        <w:t>投标文件的澄清</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bookmarkStart w:id="107" w:name="_Toc222114881"/>
      <w:bookmarkEnd w:id="107"/>
      <w:bookmarkStart w:id="108" w:name="_Toc221374628"/>
      <w:bookmarkEnd w:id="108"/>
      <w:bookmarkStart w:id="109" w:name="_Toc223716000"/>
      <w:bookmarkEnd w:id="109"/>
      <w:bookmarkStart w:id="110" w:name="_Toc221423621"/>
      <w:bookmarkEnd w:id="110"/>
      <w:bookmarkStart w:id="111" w:name="_Toc241404204"/>
      <w:bookmarkEnd w:id="111"/>
      <w:bookmarkStart w:id="112" w:name="_Toc239145356"/>
      <w:bookmarkEnd w:id="112"/>
      <w:bookmarkStart w:id="113" w:name="_Toc265529385"/>
      <w:bookmarkEnd w:id="113"/>
      <w:bookmarkStart w:id="114" w:name="_Toc221356889"/>
      <w:bookmarkEnd w:id="114"/>
      <w:bookmarkStart w:id="115" w:name="_Toc221356953"/>
      <w:bookmarkEnd w:id="115"/>
      <w:r>
        <w:rPr>
          <w:rFonts w:hint="eastAsia" w:ascii="宋体" w:hAnsi="宋体" w:eastAsia="宋体" w:cs="宋体"/>
          <w:bCs/>
          <w:color w:val="auto"/>
          <w:kern w:val="1"/>
          <w:sz w:val="21"/>
          <w:szCs w:val="21"/>
          <w:highlight w:val="none"/>
          <w:lang w:val="en-US" w:eastAsia="zh-CN"/>
        </w:rPr>
        <w:t>24.</w:t>
      </w:r>
      <w:r>
        <w:rPr>
          <w:rFonts w:hint="eastAsia" w:ascii="宋体" w:hAnsi="宋体" w:eastAsia="宋体" w:cs="宋体"/>
          <w:bCs/>
          <w:color w:val="auto"/>
          <w:kern w:val="1"/>
          <w:sz w:val="21"/>
          <w:szCs w:val="21"/>
          <w:highlight w:val="none"/>
        </w:rPr>
        <w:t>确定中标候选人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w:t>
      </w:r>
      <w:r>
        <w:rPr>
          <w:rFonts w:hint="eastAsia" w:ascii="宋体" w:hAnsi="宋体" w:eastAsia="宋体" w:cs="宋体"/>
          <w:color w:val="auto"/>
          <w:kern w:val="1"/>
          <w:sz w:val="21"/>
          <w:szCs w:val="21"/>
          <w:highlight w:val="none"/>
        </w:rPr>
        <w:t>中标候选人，</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根据评标委员会的推荐结果进行最终确认。</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24.2评标委员会依据法律、法规及</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有关规定在有效标中按投标供应商的最终得分（即技术</w:t>
      </w:r>
      <w:r>
        <w:rPr>
          <w:rFonts w:hint="eastAsia" w:ascii="宋体" w:hAnsi="宋体" w:eastAsia="宋体" w:cs="宋体"/>
          <w:color w:val="auto"/>
          <w:kern w:val="1"/>
          <w:sz w:val="21"/>
          <w:szCs w:val="21"/>
          <w:highlight w:val="none"/>
          <w:lang w:val="en-US" w:eastAsia="zh-CN"/>
        </w:rPr>
        <w:t>资信</w:t>
      </w:r>
      <w:r>
        <w:rPr>
          <w:rFonts w:hint="eastAsia" w:ascii="宋体" w:hAnsi="宋体" w:eastAsia="宋体" w:cs="宋体"/>
          <w:color w:val="auto"/>
          <w:kern w:val="1"/>
          <w:sz w:val="21"/>
          <w:szCs w:val="21"/>
          <w:highlight w:val="none"/>
        </w:rPr>
        <w:t>分与商务分之和）高低进行排序，得分</w:t>
      </w:r>
      <w:r>
        <w:rPr>
          <w:rFonts w:hint="eastAsia" w:ascii="宋体" w:hAnsi="宋体" w:eastAsia="宋体" w:cs="宋体"/>
          <w:color w:val="auto"/>
          <w:kern w:val="1"/>
          <w:sz w:val="21"/>
          <w:szCs w:val="21"/>
          <w:highlight w:val="none"/>
          <w:lang w:val="en-US" w:eastAsia="zh-CN"/>
        </w:rPr>
        <w:t>第一</w:t>
      </w:r>
      <w:r>
        <w:rPr>
          <w:rFonts w:hint="eastAsia" w:ascii="宋体" w:hAnsi="宋体" w:eastAsia="宋体" w:cs="宋体"/>
          <w:color w:val="auto"/>
          <w:kern w:val="1"/>
          <w:sz w:val="21"/>
          <w:szCs w:val="21"/>
          <w:highlight w:val="none"/>
        </w:rPr>
        <w:t>名的投标供应商推荐为中标候选人（综合得分相同的，按投标报价由低到高顺序排列</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综合得分相同且报价相同的，</w:t>
      </w:r>
      <w:r>
        <w:rPr>
          <w:rFonts w:hint="eastAsia" w:ascii="宋体" w:hAnsi="宋体" w:eastAsia="宋体" w:cs="宋体"/>
          <w:color w:val="auto"/>
          <w:kern w:val="1"/>
          <w:sz w:val="21"/>
          <w:szCs w:val="21"/>
          <w:highlight w:val="none"/>
          <w:lang w:eastAsia="zh-CN"/>
        </w:rPr>
        <w:t>则由评标委员会以少数服从多数的原则投票选择其中一名为名次优先者）</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24.3排名第一的中标候选人放弃中标；因不可抗力提出不能履行合同；或者</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规定应当提交履约保证金而在规定的期限内未能提交的；或未能在规定时间内与采购单位签订合同的；或者经质疑，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审查后，确因排名第一的候选人在本次采购活动中存在违法违规行为或其他原因使质疑成立的，本次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失败，重新</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对决标结果不做任何解释，也不保证最低价中标。</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rPr>
        <w:t>评标细则详见“评标原则及方法”。</w:t>
      </w:r>
    </w:p>
    <w:p>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0395"/>
      <w:bookmarkStart w:id="118" w:name="_Toc19318"/>
      <w:bookmarkStart w:id="119" w:name="_Toc16279"/>
      <w:r>
        <w:rPr>
          <w:rFonts w:hint="eastAsia" w:ascii="宋体" w:hAnsi="宋体" w:eastAsia="宋体" w:cs="宋体"/>
          <w:b/>
          <w:color w:val="auto"/>
          <w:kern w:val="1"/>
          <w:sz w:val="21"/>
          <w:szCs w:val="21"/>
          <w:highlight w:val="none"/>
        </w:rPr>
        <w:t>六、 授予合同</w:t>
      </w:r>
      <w:bookmarkEnd w:id="117"/>
      <w:bookmarkEnd w:id="118"/>
      <w:bookmarkEnd w:id="119"/>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26.</w:t>
      </w:r>
      <w:r>
        <w:rPr>
          <w:rFonts w:hint="eastAsia" w:ascii="宋体" w:hAnsi="宋体" w:eastAsia="宋体" w:cs="宋体"/>
          <w:color w:val="auto"/>
          <w:kern w:val="1"/>
          <w:sz w:val="21"/>
          <w:szCs w:val="21"/>
          <w:highlight w:val="none"/>
        </w:rPr>
        <w:t>评标委员会推荐的中标候选人经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确认后发布项目采购公告的网站上公示，各投标供应商对评标结果如有异议，可在规定时间内以书面形式向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27.</w:t>
      </w:r>
      <w:r>
        <w:rPr>
          <w:rFonts w:hint="eastAsia" w:ascii="宋体" w:hAnsi="宋体" w:eastAsia="宋体" w:cs="宋体"/>
          <w:color w:val="auto"/>
          <w:kern w:val="1"/>
          <w:sz w:val="21"/>
          <w:szCs w:val="21"/>
          <w:highlight w:val="none"/>
        </w:rPr>
        <w:t>中标通知书</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27.1中标供应商确定后，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 xml:space="preserve">将向中标供应商发出中标通知书。 </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和中标供应商均具有同等法律效力。</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28.</w:t>
      </w:r>
      <w:r>
        <w:rPr>
          <w:rFonts w:hint="eastAsia" w:ascii="宋体" w:hAnsi="宋体" w:eastAsia="宋体" w:cs="宋体"/>
          <w:bCs/>
          <w:color w:val="auto"/>
          <w:kern w:val="1"/>
          <w:sz w:val="21"/>
          <w:szCs w:val="21"/>
          <w:highlight w:val="none"/>
        </w:rPr>
        <w:t>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28.1中标供应商应按中标通知书规定的时间、地点签订合同。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可以与排位在中标供应商之后的第一位的中标候选人签订合同。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pPr>
        <w:spacing w:line="440" w:lineRule="exact"/>
        <w:ind w:left="538"/>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w:t>
      </w:r>
    </w:p>
    <w:p>
      <w:pPr>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理，其投标保证金将被不予退还。</w:t>
      </w:r>
    </w:p>
    <w:p>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p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固定金额9000元</w:t>
      </w:r>
      <w:r>
        <w:rPr>
          <w:rFonts w:hint="eastAsia" w:ascii="宋体" w:hAnsi="宋体" w:eastAsia="宋体" w:cs="宋体"/>
          <w:color w:val="auto"/>
          <w:kern w:val="1"/>
          <w:sz w:val="21"/>
          <w:szCs w:val="21"/>
          <w:highlight w:val="none"/>
        </w:rPr>
        <w:t>计取，请</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在投标报价中综合考虑，由中标供应商在领取中标（成交）通知书之前支付给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pPr>
        <w:numPr>
          <w:ilvl w:val="0"/>
          <w:numId w:val="0"/>
        </w:numPr>
        <w:tabs>
          <w:tab w:val="left" w:pos="540"/>
        </w:tabs>
        <w:spacing w:line="440" w:lineRule="exact"/>
        <w:ind w:left="0" w:firstLine="0"/>
        <w:outlineLvl w:val="9"/>
        <w:rPr>
          <w:rFonts w:hint="eastAsia" w:ascii="宋体" w:hAnsi="宋体" w:eastAsia="宋体" w:cs="宋体"/>
          <w:b w:val="0"/>
          <w:color w:val="auto"/>
          <w:kern w:val="1"/>
          <w:sz w:val="21"/>
          <w:szCs w:val="21"/>
          <w:highlight w:val="none"/>
        </w:rPr>
      </w:pPr>
      <w:r>
        <w:rPr>
          <w:rFonts w:hint="eastAsia" w:ascii="宋体" w:hAnsi="宋体" w:eastAsia="宋体" w:cs="宋体"/>
          <w:color w:val="auto"/>
          <w:spacing w:val="0"/>
          <w:kern w:val="1"/>
          <w:sz w:val="21"/>
          <w:szCs w:val="21"/>
          <w:highlight w:val="none"/>
          <w:lang w:val="en-US" w:eastAsia="zh-CN"/>
        </w:rPr>
        <w:t>29.2</w:t>
      </w:r>
      <w:r>
        <w:rPr>
          <w:rFonts w:hint="eastAsia" w:ascii="宋体" w:hAnsi="宋体" w:eastAsia="宋体" w:cs="宋体"/>
          <w:color w:val="auto"/>
          <w:spacing w:val="0"/>
          <w:kern w:val="1"/>
          <w:sz w:val="21"/>
          <w:szCs w:val="21"/>
          <w:highlight w:val="none"/>
          <w:lang w:eastAsia="zh-CN"/>
        </w:rPr>
        <w:t>采购代理</w:t>
      </w:r>
      <w:r>
        <w:rPr>
          <w:rFonts w:hint="eastAsia" w:ascii="宋体" w:hAnsi="宋体" w:eastAsia="宋体" w:cs="宋体"/>
          <w:color w:val="auto"/>
          <w:spacing w:val="0"/>
          <w:kern w:val="1"/>
          <w:sz w:val="21"/>
          <w:szCs w:val="21"/>
          <w:highlight w:val="none"/>
        </w:rPr>
        <w:t>服务费可以是现金、支票或汇票。</w:t>
      </w:r>
    </w:p>
    <w:p>
      <w:pPr>
        <w:tabs>
          <w:tab w:val="left" w:pos="420"/>
        </w:tabs>
        <w:spacing w:line="440" w:lineRule="exact"/>
        <w:outlineLvl w:val="9"/>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val="en-US" w:eastAsia="zh-CN"/>
        </w:rPr>
        <w:t>30.乐采云技术服务费</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乐采云技术服务费由乐采云平台向中标供应商收取，该费用在采购代理公司发布采购结果公示之后，由乐采云平台推送给中标供应商，中标供应商应在收到缴费通知后及时支付。</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收费标准：</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（一）不涉及具体金额的采购项目，技术服务费800元/件；</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（二）涉及具体金额的采购项目，根据标的额，按照以下比例收取技术服务费：</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中标价80万元以下（含80万元的）：按800元收取；</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中标价超过80万元的：中标价的千分之一（0.1%），以30000元封顶。</w:t>
      </w:r>
    </w:p>
    <w:p>
      <w:pPr>
        <w:tabs>
          <w:tab w:val="left" w:pos="540"/>
        </w:tabs>
        <w:spacing w:line="440" w:lineRule="exact"/>
        <w:jc w:val="center"/>
        <w:outlineLvl w:val="0"/>
        <w:rPr>
          <w:rFonts w:hint="eastAsia" w:ascii="Arial" w:hAnsi="Arial" w:eastAsia="宋体" w:cs="Arial"/>
          <w:color w:val="auto"/>
          <w:sz w:val="32"/>
          <w:szCs w:val="32"/>
          <w:highlight w:val="none"/>
          <w:lang w:eastAsia="zh-CN"/>
        </w:rPr>
      </w:pPr>
      <w:bookmarkStart w:id="120" w:name="_Toc19516"/>
      <w:r>
        <w:rPr>
          <w:rFonts w:hint="eastAsia" w:ascii="宋体" w:hAnsi="宋体" w:eastAsia="宋体" w:cs="宋体"/>
          <w:color w:val="auto"/>
          <w:kern w:val="1"/>
          <w:sz w:val="21"/>
          <w:szCs w:val="21"/>
          <w:highlight w:val="none"/>
          <w:lang w:val="en-US" w:eastAsia="zh-CN"/>
        </w:rPr>
        <w:br w:type="column"/>
      </w:r>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eastAsia" w:ascii="Arial" w:hAnsi="Arial" w:eastAsia="宋体" w:cs="Arial"/>
          <w:b/>
          <w:bCs/>
          <w:color w:val="auto"/>
          <w:kern w:val="2"/>
          <w:sz w:val="28"/>
          <w:szCs w:val="28"/>
          <w:highlight w:val="none"/>
          <w:lang w:val="en-US" w:eastAsia="zh-CN" w:bidi="ar-SA"/>
        </w:rPr>
        <w:t xml:space="preserve">  合同条款</w:t>
      </w:r>
      <w:bookmarkEnd w:id="120"/>
    </w:p>
    <w:bookmarkEnd w:id="121"/>
    <w:p>
      <w:pPr>
        <w:spacing w:line="360" w:lineRule="auto"/>
        <w:ind w:firstLine="440" w:firstLineChars="200"/>
        <w:rPr>
          <w:rFonts w:hint="eastAsia" w:ascii="宋体" w:hAnsi="宋体" w:cs="宋体"/>
          <w:color w:val="auto"/>
          <w:kern w:val="0"/>
          <w:sz w:val="22"/>
          <w:szCs w:val="22"/>
          <w:highlight w:val="none"/>
        </w:rPr>
      </w:pPr>
      <w:bookmarkStart w:id="122" w:name="_Toc246261270"/>
      <w:bookmarkStart w:id="123" w:name="_Toc262049424"/>
      <w:bookmarkStart w:id="124" w:name="_Toc249758718"/>
      <w:bookmarkStart w:id="125" w:name="_Toc249758870"/>
      <w:bookmarkStart w:id="126" w:name="_Toc245191319"/>
      <w:bookmarkStart w:id="127" w:name="_Toc221374631"/>
      <w:bookmarkStart w:id="128" w:name="_Toc221423624"/>
      <w:bookmarkStart w:id="129" w:name="_Toc249758719"/>
      <w:bookmarkStart w:id="130" w:name="_Toc389760268"/>
      <w:bookmarkStart w:id="131" w:name="_Toc241404207"/>
      <w:bookmarkStart w:id="132" w:name="_Toc239145359"/>
      <w:bookmarkStart w:id="133" w:name="_Toc223716003"/>
      <w:bookmarkStart w:id="134" w:name="_Toc262105509"/>
      <w:bookmarkStart w:id="135" w:name="_Toc221356956"/>
      <w:bookmarkStart w:id="136" w:name="_Toc221356892"/>
      <w:bookmarkStart w:id="137" w:name="_Toc222114884"/>
      <w:bookmarkStart w:id="138" w:name="_Toc245722286"/>
    </w:p>
    <w:p>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w:t>
      </w:r>
    </w:p>
    <w:p>
      <w:pPr>
        <w:spacing w:line="360" w:lineRule="auto"/>
        <w:rPr>
          <w:rFonts w:ascii="宋体" w:hAnsi="宋体" w:cs="宋体"/>
          <w:color w:val="auto"/>
          <w:sz w:val="22"/>
          <w:szCs w:val="22"/>
          <w:highlight w:val="none"/>
        </w:rPr>
      </w:pPr>
    </w:p>
    <w:p>
      <w:pPr>
        <w:spacing w:line="440" w:lineRule="exact"/>
        <w:ind w:firstLine="2380" w:firstLineChars="850"/>
        <w:rPr>
          <w:rFonts w:ascii="新宋体" w:hAnsi="新宋体" w:eastAsia="新宋体"/>
          <w:color w:val="auto"/>
          <w:sz w:val="28"/>
          <w:highlight w:val="none"/>
        </w:rPr>
      </w:pPr>
    </w:p>
    <w:p>
      <w:pPr>
        <w:spacing w:line="440" w:lineRule="exact"/>
        <w:ind w:firstLine="2380" w:firstLineChars="850"/>
        <w:rPr>
          <w:rFonts w:hint="eastAsia" w:ascii="新宋体" w:hAnsi="新宋体" w:eastAsia="新宋体"/>
          <w:color w:val="auto"/>
          <w:sz w:val="28"/>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4台预应力检测仪</w:t>
            </w:r>
          </w:p>
        </w:tc>
      </w:tr>
    </w:tbl>
    <w:p>
      <w:pPr>
        <w:spacing w:line="440" w:lineRule="exact"/>
        <w:ind w:firstLine="2413" w:firstLineChars="862"/>
        <w:rPr>
          <w:rFonts w:ascii="新宋体" w:hAnsi="新宋体" w:eastAsia="新宋体"/>
          <w:color w:val="auto"/>
          <w:sz w:val="28"/>
          <w:highlight w:val="none"/>
        </w:rPr>
      </w:pPr>
    </w:p>
    <w:p>
      <w:pPr>
        <w:spacing w:line="440" w:lineRule="exact"/>
        <w:ind w:firstLine="2413" w:firstLineChars="862"/>
        <w:rPr>
          <w:rFonts w:ascii="新宋体" w:hAnsi="新宋体" w:eastAsia="新宋体"/>
          <w:color w:val="auto"/>
          <w:sz w:val="28"/>
          <w:highlight w:val="none"/>
        </w:rPr>
      </w:pPr>
    </w:p>
    <w:p>
      <w:pPr>
        <w:spacing w:line="440" w:lineRule="exact"/>
        <w:ind w:firstLine="2413" w:firstLineChars="862"/>
        <w:rPr>
          <w:rFonts w:ascii="新宋体" w:hAnsi="新宋体" w:eastAsia="新宋体"/>
          <w:color w:val="auto"/>
          <w:sz w:val="28"/>
          <w:highlight w:val="none"/>
        </w:rPr>
      </w:pPr>
    </w:p>
    <w:p>
      <w:pPr>
        <w:pStyle w:val="7"/>
        <w:rPr>
          <w:rFonts w:ascii="新宋体" w:hAnsi="新宋体" w:eastAsia="新宋体"/>
          <w:color w:val="auto"/>
          <w:sz w:val="28"/>
          <w:highlight w:val="none"/>
        </w:rPr>
      </w:pPr>
    </w:p>
    <w:p>
      <w:pPr>
        <w:rPr>
          <w:color w:val="auto"/>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rPr>
            </w:pP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签订地点：</w:t>
            </w:r>
          </w:p>
        </w:tc>
        <w:tc>
          <w:tcPr>
            <w:tcW w:w="5430" w:type="dxa"/>
            <w:tcBorders>
              <w:top w:val="nil"/>
              <w:left w:val="nil"/>
              <w:bottom w:val="nil"/>
              <w:right w:val="nil"/>
            </w:tcBorders>
            <w:noWrap w:val="0"/>
            <w:vAlign w:val="center"/>
          </w:tcPr>
          <w:p>
            <w:pPr>
              <w:spacing w:line="600" w:lineRule="exact"/>
              <w:jc w:val="both"/>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浙江省温州市</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bCs w:val="0"/>
                <w:color w:val="auto"/>
                <w:sz w:val="28"/>
                <w:szCs w:val="28"/>
                <w:highlight w:val="none"/>
                <w:u w:val="none"/>
                <w:lang w:val="en-US" w:eastAsia="zh-CN"/>
              </w:rPr>
              <w:t>区（县）</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bCs w:val="0"/>
                <w:color w:val="auto"/>
                <w:sz w:val="28"/>
                <w:szCs w:val="28"/>
                <w:highlight w:val="none"/>
                <w:u w:val="single"/>
                <w:lang w:val="en-US" w:eastAsia="zh-CN"/>
              </w:rPr>
              <w:t>（具体地点）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签订时间：</w:t>
            </w:r>
          </w:p>
        </w:tc>
        <w:tc>
          <w:tcPr>
            <w:tcW w:w="5430" w:type="dxa"/>
            <w:tcBorders>
              <w:top w:val="nil"/>
              <w:left w:val="nil"/>
              <w:bottom w:val="nil"/>
              <w:right w:val="nil"/>
            </w:tcBorders>
            <w:noWrap w:val="0"/>
            <w:vAlign w:val="center"/>
          </w:tcPr>
          <w:p>
            <w:pPr>
              <w:spacing w:line="600" w:lineRule="exact"/>
              <w:jc w:val="both"/>
              <w:outlineLvl w:val="9"/>
              <w:rPr>
                <w:rFonts w:hint="default" w:ascii="Arial" w:hAnsi="Arial" w:eastAsia="宋体" w:cs="Arial"/>
                <w:b/>
                <w:color w:val="auto"/>
                <w:sz w:val="28"/>
                <w:szCs w:val="28"/>
                <w:highlight w:val="none"/>
                <w:u w:val="single"/>
                <w:lang w:val="en-US" w:eastAsia="zh-CN"/>
              </w:rPr>
            </w:pPr>
            <w:r>
              <w:rPr>
                <w:rFonts w:hint="eastAsia" w:ascii="Arial" w:hAnsi="Arial" w:eastAsia="宋体" w:cs="Arial"/>
                <w:b/>
                <w:color w:val="auto"/>
                <w:sz w:val="28"/>
                <w:szCs w:val="28"/>
                <w:highlight w:val="none"/>
                <w:lang w:val="en-US" w:eastAsia="zh-CN"/>
              </w:rPr>
              <w:t>二〇二五年</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月</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日</w:t>
            </w:r>
          </w:p>
        </w:tc>
      </w:tr>
    </w:tbl>
    <w:p>
      <w:pPr>
        <w:spacing w:line="400" w:lineRule="exact"/>
        <w:rPr>
          <w:rFonts w:ascii="新宋体" w:hAnsi="新宋体" w:eastAsia="新宋体"/>
          <w:b/>
          <w:bCs/>
          <w:color w:val="auto"/>
          <w:sz w:val="22"/>
          <w:szCs w:val="22"/>
          <w:highlight w:val="none"/>
        </w:rPr>
      </w:pPr>
    </w:p>
    <w:p>
      <w:pPr>
        <w:spacing w:line="400" w:lineRule="exact"/>
        <w:rPr>
          <w:rFonts w:ascii="新宋体" w:hAnsi="新宋体" w:eastAsia="新宋体"/>
          <w:b/>
          <w:bCs/>
          <w:color w:val="auto"/>
          <w:sz w:val="22"/>
          <w:szCs w:val="22"/>
          <w:highlight w:val="none"/>
        </w:rPr>
      </w:pPr>
    </w:p>
    <w:p>
      <w:pPr>
        <w:spacing w:line="400" w:lineRule="exact"/>
        <w:rPr>
          <w:rFonts w:ascii="新宋体" w:hAnsi="新宋体" w:eastAsia="新宋体"/>
          <w:b/>
          <w:bCs/>
          <w:color w:val="auto"/>
          <w:sz w:val="22"/>
          <w:szCs w:val="22"/>
          <w:highlight w:val="none"/>
        </w:rPr>
      </w:pPr>
    </w:p>
    <w:p>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bCs/>
          <w:color w:val="auto"/>
          <w:sz w:val="22"/>
          <w:szCs w:val="22"/>
          <w:highlight w:val="none"/>
        </w:rPr>
        <w:br w:type="page"/>
      </w:r>
      <w:r>
        <w:rPr>
          <w:rFonts w:hint="eastAsia" w:ascii="宋体" w:hAnsi="宋体" w:cs="宋体"/>
          <w:color w:val="auto"/>
          <w:kern w:val="1"/>
          <w:sz w:val="22"/>
          <w:szCs w:val="22"/>
          <w:highlight w:val="none"/>
        </w:rPr>
        <w:t>甲方：</w:t>
      </w:r>
      <w:r>
        <w:rPr>
          <w:rFonts w:hint="eastAsia" w:ascii="宋体" w:hAnsi="宋体" w:cs="宋体"/>
          <w:color w:val="auto"/>
          <w:kern w:val="1"/>
          <w:sz w:val="22"/>
          <w:szCs w:val="22"/>
          <w:highlight w:val="none"/>
          <w:u w:val="single"/>
          <w:lang w:eastAsia="zh-CN"/>
        </w:rPr>
        <w:t>温州市交通工程试验检测有限公司</w:t>
      </w:r>
      <w:r>
        <w:rPr>
          <w:rFonts w:hint="eastAsia" w:ascii="宋体" w:hAnsi="宋体" w:cs="宋体"/>
          <w:color w:val="auto"/>
          <w:kern w:val="1"/>
          <w:sz w:val="22"/>
          <w:szCs w:val="22"/>
          <w:highlight w:val="none"/>
        </w:rPr>
        <w:t xml:space="preserve"> （采购人）</w:t>
      </w:r>
    </w:p>
    <w:p>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乙方：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（中标人）</w:t>
      </w:r>
    </w:p>
    <w:p>
      <w:pPr>
        <w:tabs>
          <w:tab w:val="left" w:pos="360"/>
        </w:tabs>
        <w:spacing w:line="360" w:lineRule="auto"/>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鉴于甲方于</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年</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月</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日接受乙方对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的投标，双方根据《中华人民共和国民法典》和本项目的采购文件、投标文件及其投标中的承诺，经双方友好协商，同意签订本合同，共同遵守：</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第一条：采购商品清单及合同价格</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乙方提供如下内容的合格产品：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金额单位：人民币元</w:t>
      </w:r>
    </w:p>
    <w:tbl>
      <w:tblPr>
        <w:tblStyle w:val="33"/>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86"/>
        <w:gridCol w:w="851"/>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360" w:lineRule="auto"/>
              <w:ind w:firstLine="2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84" w:type="dxa"/>
            <w:noWrap w:val="0"/>
            <w:vAlign w:val="center"/>
          </w:tcPr>
          <w:p>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合同单价</w:t>
            </w: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204" w:type="dxa"/>
            <w:gridSpan w:val="3"/>
            <w:noWrap w:val="0"/>
            <w:vAlign w:val="center"/>
          </w:tcPr>
          <w:p>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合同总价</w:t>
            </w: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bl>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是指中标供应商在正确地完全履行合同义务后采购人应支付给中标供应商所有的价款，即完成上述范围工作任务所发生的一切费用（应包括但不限于设计、制造、货物款、质保期内所需耗材、专用工具、包装、运输装卸就位、安装、</w:t>
      </w:r>
      <w:r>
        <w:rPr>
          <w:rFonts w:hint="eastAsia" w:ascii="宋体" w:hAnsi="宋体" w:eastAsia="宋体" w:cs="宋体"/>
          <w:color w:val="auto"/>
          <w:sz w:val="22"/>
          <w:szCs w:val="22"/>
          <w:highlight w:val="none"/>
          <w:lang w:eastAsia="zh-CN"/>
        </w:rPr>
        <w:t>调试、设备的标定（校准/检定）、保险、</w:t>
      </w:r>
      <w:r>
        <w:rPr>
          <w:rFonts w:hint="eastAsia" w:ascii="宋体" w:hAnsi="宋体" w:eastAsia="宋体" w:cs="宋体"/>
          <w:color w:val="auto"/>
          <w:sz w:val="22"/>
          <w:szCs w:val="22"/>
          <w:highlight w:val="none"/>
        </w:rPr>
        <w:t>验收、交付使用、技术服务、培训、售后服务、质保期保障、采购代理服务费、税金、利润等及完成合同所需的一切本身和不可或缺的所有工作开支、政策性文件规定及合同包含的所有风险、责任等各项全部费用，并承担一切风险责任。），供应商应根据上述因素自行考虑含入投标总价。</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第二条：质量标准和要求</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1"/>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2、乙</w:t>
      </w:r>
      <w:r>
        <w:rPr>
          <w:rFonts w:hint="eastAsia" w:ascii="宋体" w:hAnsi="宋体" w:eastAsia="宋体" w:cs="宋体"/>
          <w:b w:val="0"/>
          <w:bCs w:val="0"/>
          <w:color w:val="auto"/>
          <w:sz w:val="22"/>
          <w:szCs w:val="22"/>
          <w:highlight w:val="none"/>
        </w:rPr>
        <w:t>方所出售的货物还应符合国家、浙江省和温州市有关安全、环保、卫生之规定。</w:t>
      </w:r>
    </w:p>
    <w:p>
      <w:pPr>
        <w:snapToGrid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3、乙方应保证所供货物是全新的、未使用过的，并完全符合合同规定的质量、规格和性能的要求。</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第三条：权利瑕疵担保</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保证对其出售的货物享有合法的权利。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保证在其出售的货物上不存在任何未曾向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透露的担保物权，如抵押权、质押权、留置权等。</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保证其所出售的货物没有侵犯任何第三人的知识产权和商业秘密等权利。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使用该货物构成上述侵权的，则由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承担全部责任。</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第四条：包装要求</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所出售的全部货物均应按标准保护措施进行包装，这类包装应适应于远距离运输、防潮、防震、防锈和防野蛮装卸等要求，以确保货物安全无损地运抵指定现场。</w:t>
      </w:r>
    </w:p>
    <w:p>
      <w:pPr>
        <w:pStyle w:val="21"/>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2、每一个包装箱内应附一份详细装箱单和质量证书。</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第五条：交货时间及地点</w:t>
      </w:r>
    </w:p>
    <w:p>
      <w:pPr>
        <w:pStyle w:val="21"/>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1、交货时间：采购人发出通知后</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个日历天内供应商须完成货物的供货、安装、调试。</w:t>
      </w:r>
    </w:p>
    <w:p>
      <w:pPr>
        <w:pStyle w:val="21"/>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2、交货地点及方式：由乙方负责将货物运送至甲方指定地点（温州市范围内）。甲方对货物签收前，货物的损灭、丢失、盗窃等之风险均由乙方承担。</w:t>
      </w:r>
    </w:p>
    <w:p>
      <w:pPr>
        <w:snapToGrid w:val="0"/>
        <w:spacing w:line="360" w:lineRule="auto"/>
        <w:ind w:firstLine="440" w:firstLineChars="200"/>
        <w:rPr>
          <w:rFonts w:hint="eastAsia"/>
          <w:color w:val="auto"/>
          <w:highlight w:val="none"/>
        </w:rPr>
      </w:pPr>
      <w:r>
        <w:rPr>
          <w:rFonts w:hint="eastAsia" w:ascii="宋体" w:hAnsi="宋体" w:eastAsia="宋体" w:cs="宋体"/>
          <w:bCs/>
          <w:color w:val="auto"/>
          <w:kern w:val="0"/>
          <w:sz w:val="22"/>
          <w:szCs w:val="22"/>
          <w:highlight w:val="none"/>
          <w:lang w:val="en-US" w:eastAsia="zh-CN" w:bidi="ar-SA"/>
        </w:rPr>
        <w:t>3、甲方需要分批收货的，乙方应按甲方要求分批交货。</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第六条：到货、安装</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1、乙方送货至指定地点后，由甲方对货物进行初步验收，若有缺少或损坏的乙方应负责按照甲方的要求采取补足、更换或退货等处理措施，并承担由此发生的一切费用和损失。</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2、货物安装、调试、试运行（试运行1个月后所有功能运行正常）完毕后，如未发现设备质量问题，乙方可申请最终验收。</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3、乙方在所有货物的到货、验收期间应接受甲方的协调和管理，乙方应采取严格的安全措施，承担由于自身原因所造成的事故责任及其发生的一切费用。</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第七条：售后服务</w:t>
      </w:r>
    </w:p>
    <w:p>
      <w:pPr>
        <w:snapToGrid w:val="0"/>
        <w:spacing w:line="360" w:lineRule="auto"/>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见甲方采购文件要求和乙方投标文件承诺。(当不一致时以两者中较高服务条款优先)。</w:t>
      </w:r>
    </w:p>
    <w:p>
      <w:pPr>
        <w:snapToGrid w:val="0"/>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第八条：</w:t>
      </w:r>
      <w:r>
        <w:rPr>
          <w:rFonts w:hint="eastAsia" w:ascii="宋体" w:hAnsi="宋体" w:eastAsia="宋体" w:cs="宋体"/>
          <w:b/>
          <w:bCs/>
          <w:color w:val="auto"/>
          <w:sz w:val="22"/>
          <w:szCs w:val="22"/>
          <w:highlight w:val="none"/>
          <w:lang w:val="en-US" w:eastAsia="zh-CN"/>
        </w:rPr>
        <w:t>合同价款</w:t>
      </w:r>
      <w:r>
        <w:rPr>
          <w:rFonts w:hint="eastAsia" w:ascii="宋体" w:hAnsi="宋体" w:eastAsia="宋体" w:cs="宋体"/>
          <w:b/>
          <w:bCs/>
          <w:color w:val="auto"/>
          <w:sz w:val="22"/>
          <w:szCs w:val="22"/>
          <w:highlight w:val="none"/>
        </w:rPr>
        <w:t>的支付</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结算</w:t>
      </w:r>
    </w:p>
    <w:p>
      <w:pPr>
        <w:snapToGrid w:val="0"/>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一</w:t>
      </w:r>
      <w:r>
        <w:rPr>
          <w:rFonts w:hint="eastAsia" w:ascii="宋体" w:hAnsi="宋体" w:eastAsia="宋体" w:cs="宋体"/>
          <w:bCs/>
          <w:color w:val="auto"/>
          <w:sz w:val="22"/>
          <w:szCs w:val="22"/>
          <w:highlight w:val="none"/>
          <w:lang w:eastAsia="zh-CN"/>
        </w:rPr>
        <w:t>）合同价款的支付：</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1、中标供应商在签订合同后5个工作日内须向甲方提交履约担保，履约担保的金额为合同总价的5%；履约担保在所有产品最终验收合格后15个工作日内无息退还。</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bCs/>
          <w:color w:val="auto"/>
          <w:sz w:val="22"/>
          <w:szCs w:val="22"/>
          <w:highlight w:val="none"/>
        </w:rPr>
        <w:t>产品试运行结束并经</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组织最终验收合格后1</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支付</w:t>
      </w:r>
      <w:r>
        <w:rPr>
          <w:rFonts w:hint="eastAsia" w:ascii="宋体" w:hAnsi="宋体" w:eastAsia="宋体" w:cs="宋体"/>
          <w:bCs/>
          <w:color w:val="auto"/>
          <w:sz w:val="22"/>
          <w:szCs w:val="22"/>
          <w:highlight w:val="none"/>
          <w:lang w:val="en-US" w:eastAsia="zh-CN"/>
        </w:rPr>
        <w:t>至</w:t>
      </w:r>
      <w:r>
        <w:rPr>
          <w:rFonts w:hint="eastAsia" w:ascii="宋体" w:hAnsi="宋体" w:eastAsia="宋体" w:cs="宋体"/>
          <w:bCs/>
          <w:color w:val="auto"/>
          <w:sz w:val="22"/>
          <w:szCs w:val="22"/>
          <w:highlight w:val="none"/>
        </w:rPr>
        <w:t>合同</w:t>
      </w:r>
      <w:r>
        <w:rPr>
          <w:rFonts w:hint="eastAsia" w:ascii="宋体" w:hAnsi="宋体" w:eastAsia="宋体" w:cs="宋体"/>
          <w:bCs/>
          <w:color w:val="auto"/>
          <w:sz w:val="22"/>
          <w:szCs w:val="22"/>
          <w:highlight w:val="none"/>
          <w:lang w:val="en-US" w:eastAsia="zh-CN"/>
        </w:rPr>
        <w:t>总</w:t>
      </w:r>
      <w:r>
        <w:rPr>
          <w:rFonts w:hint="eastAsia" w:ascii="宋体" w:hAnsi="宋体" w:eastAsia="宋体" w:cs="宋体"/>
          <w:bCs/>
          <w:color w:val="auto"/>
          <w:sz w:val="22"/>
          <w:szCs w:val="22"/>
          <w:highlight w:val="none"/>
        </w:rPr>
        <w:t>价的</w:t>
      </w:r>
      <w:r>
        <w:rPr>
          <w:rFonts w:hint="eastAsia" w:ascii="宋体" w:hAnsi="宋体" w:eastAsia="宋体" w:cs="宋体"/>
          <w:bCs/>
          <w:color w:val="auto"/>
          <w:sz w:val="22"/>
          <w:szCs w:val="22"/>
          <w:highlight w:val="none"/>
          <w:lang w:val="en-US" w:eastAsia="zh-CN"/>
        </w:rPr>
        <w:t>70</w:t>
      </w:r>
      <w:r>
        <w:rPr>
          <w:rFonts w:hint="eastAsia" w:ascii="宋体" w:hAnsi="宋体" w:eastAsia="宋体" w:cs="宋体"/>
          <w:bCs/>
          <w:color w:val="auto"/>
          <w:sz w:val="22"/>
          <w:szCs w:val="22"/>
          <w:highlight w:val="none"/>
        </w:rPr>
        <w:t>%，产品试运行结束并经</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组织最终验收合格后</w:t>
      </w:r>
      <w:r>
        <w:rPr>
          <w:rFonts w:hint="eastAsia" w:ascii="宋体" w:hAnsi="宋体" w:eastAsia="宋体" w:cs="宋体"/>
          <w:bCs/>
          <w:color w:val="auto"/>
          <w:sz w:val="22"/>
          <w:szCs w:val="22"/>
          <w:highlight w:val="none"/>
          <w:lang w:val="en-US" w:eastAsia="zh-CN"/>
        </w:rPr>
        <w:t>6个月</w:t>
      </w:r>
      <w:r>
        <w:rPr>
          <w:rFonts w:hint="eastAsia" w:ascii="宋体" w:hAnsi="宋体" w:eastAsia="宋体" w:cs="宋体"/>
          <w:bCs/>
          <w:color w:val="auto"/>
          <w:sz w:val="22"/>
          <w:szCs w:val="22"/>
          <w:highlight w:val="none"/>
        </w:rPr>
        <w:t>内</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支付</w:t>
      </w:r>
      <w:r>
        <w:rPr>
          <w:rFonts w:hint="eastAsia" w:ascii="宋体" w:hAnsi="宋体" w:eastAsia="宋体" w:cs="宋体"/>
          <w:bCs/>
          <w:color w:val="auto"/>
          <w:sz w:val="22"/>
          <w:szCs w:val="22"/>
          <w:highlight w:val="none"/>
          <w:lang w:val="en-US" w:eastAsia="zh-CN"/>
        </w:rPr>
        <w:t>至</w:t>
      </w:r>
      <w:r>
        <w:rPr>
          <w:rFonts w:hint="eastAsia" w:ascii="宋体" w:hAnsi="宋体" w:eastAsia="宋体" w:cs="宋体"/>
          <w:bCs/>
          <w:color w:val="auto"/>
          <w:sz w:val="22"/>
          <w:szCs w:val="22"/>
          <w:highlight w:val="none"/>
        </w:rPr>
        <w:t>合同</w:t>
      </w:r>
      <w:r>
        <w:rPr>
          <w:rFonts w:hint="eastAsia" w:ascii="宋体" w:hAnsi="宋体" w:eastAsia="宋体" w:cs="宋体"/>
          <w:bCs/>
          <w:color w:val="auto"/>
          <w:sz w:val="22"/>
          <w:szCs w:val="22"/>
          <w:highlight w:val="none"/>
          <w:lang w:val="en-US" w:eastAsia="zh-CN"/>
        </w:rPr>
        <w:t>总</w:t>
      </w:r>
      <w:r>
        <w:rPr>
          <w:rFonts w:hint="eastAsia" w:ascii="宋体" w:hAnsi="宋体" w:eastAsia="宋体" w:cs="宋体"/>
          <w:bCs/>
          <w:color w:val="auto"/>
          <w:sz w:val="22"/>
          <w:szCs w:val="22"/>
          <w:highlight w:val="none"/>
        </w:rPr>
        <w:t>价的</w:t>
      </w:r>
      <w:r>
        <w:rPr>
          <w:rFonts w:hint="eastAsia" w:ascii="宋体" w:hAnsi="宋体" w:eastAsia="宋体" w:cs="宋体"/>
          <w:bCs/>
          <w:color w:val="auto"/>
          <w:sz w:val="22"/>
          <w:szCs w:val="22"/>
          <w:highlight w:val="none"/>
          <w:lang w:val="en-US" w:eastAsia="zh-CN"/>
        </w:rPr>
        <w:t>95</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剩余5%为质量保证金，</w:t>
      </w:r>
      <w:r>
        <w:rPr>
          <w:rFonts w:hint="eastAsia" w:ascii="宋体" w:hAnsi="宋体" w:eastAsia="宋体" w:cs="宋体"/>
          <w:bCs/>
          <w:color w:val="auto"/>
          <w:sz w:val="22"/>
          <w:szCs w:val="22"/>
          <w:highlight w:val="none"/>
        </w:rPr>
        <w:t>在质量保证期</w:t>
      </w:r>
      <w:r>
        <w:rPr>
          <w:rFonts w:hint="eastAsia" w:ascii="宋体" w:hAnsi="宋体" w:eastAsia="宋体" w:cs="宋体"/>
          <w:bCs/>
          <w:color w:val="auto"/>
          <w:sz w:val="22"/>
          <w:szCs w:val="22"/>
          <w:highlight w:val="none"/>
          <w:lang w:val="en-US" w:eastAsia="zh-CN"/>
        </w:rPr>
        <w:t>结束</w:t>
      </w:r>
      <w:r>
        <w:rPr>
          <w:rFonts w:hint="eastAsia" w:ascii="宋体" w:hAnsi="宋体" w:eastAsia="宋体" w:cs="宋体"/>
          <w:bCs/>
          <w:color w:val="auto"/>
          <w:sz w:val="22"/>
          <w:szCs w:val="22"/>
          <w:highlight w:val="none"/>
        </w:rPr>
        <w:t>后10个工作日内无息退还</w:t>
      </w:r>
      <w:r>
        <w:rPr>
          <w:rFonts w:hint="eastAsia" w:ascii="宋体" w:hAnsi="宋体" w:eastAsia="宋体" w:cs="宋体"/>
          <w:color w:val="auto"/>
          <w:sz w:val="22"/>
          <w:szCs w:val="22"/>
          <w:highlight w:val="none"/>
          <w:lang w:val="en-US" w:eastAsia="zh-CN"/>
        </w:rPr>
        <w:t>。</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3、乙方根据甲方要求提供增值税专用发票。</w:t>
      </w:r>
    </w:p>
    <w:p>
      <w:pPr>
        <w:snapToGrid w:val="0"/>
        <w:spacing w:line="360" w:lineRule="auto"/>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合同价款</w:t>
      </w:r>
      <w:r>
        <w:rPr>
          <w:rFonts w:hint="eastAsia" w:ascii="宋体" w:hAnsi="宋体" w:eastAsia="宋体" w:cs="宋体"/>
          <w:b/>
          <w:bCs/>
          <w:color w:val="auto"/>
          <w:sz w:val="22"/>
          <w:szCs w:val="22"/>
          <w:highlight w:val="none"/>
        </w:rPr>
        <w:t>的</w:t>
      </w:r>
      <w:r>
        <w:rPr>
          <w:rFonts w:hint="eastAsia" w:ascii="宋体" w:hAnsi="宋体" w:eastAsia="宋体" w:cs="宋体"/>
          <w:b/>
          <w:bCs/>
          <w:color w:val="auto"/>
          <w:sz w:val="22"/>
          <w:szCs w:val="22"/>
          <w:highlight w:val="none"/>
          <w:lang w:val="en-US" w:eastAsia="zh-CN"/>
        </w:rPr>
        <w:t>结算：合同结算价=乙方实际供货且通过甲方验收的货物数量</w:t>
      </w:r>
      <w:r>
        <w:rPr>
          <w:rFonts w:hint="default" w:ascii="Arial" w:hAnsi="Arial" w:eastAsia="宋体" w:cs="Arial"/>
          <w:b/>
          <w:bCs/>
          <w:color w:val="auto"/>
          <w:sz w:val="22"/>
          <w:szCs w:val="22"/>
          <w:highlight w:val="none"/>
          <w:lang w:val="en-US" w:eastAsia="zh-CN"/>
        </w:rPr>
        <w:t>×合同单价</w:t>
      </w:r>
      <w:r>
        <w:rPr>
          <w:rFonts w:hint="eastAsia" w:ascii="Arial" w:hAnsi="Arial" w:eastAsia="宋体" w:cs="Arial"/>
          <w:b/>
          <w:bCs/>
          <w:color w:val="auto"/>
          <w:sz w:val="22"/>
          <w:szCs w:val="22"/>
          <w:highlight w:val="none"/>
          <w:lang w:val="en-US" w:eastAsia="zh-CN"/>
        </w:rPr>
        <w:t>。</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第九条：验收</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中标供应商应按有关要求供货，并提供货物质量检验证明文件、设备校准/检定证书、测试方法和验收标准。提供的质量检验证明文件、设备校准/检定证书、测试方法和验收标准经甲方认可后与合同一起作为项目验收标准的组成。</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中标供应商将所有货物运抵安装地点后，由甲方按照装箱列表单、采购文件要求、投标文件等进行现场开箱初验。甲方应对所购产品外观和基本使用功能等进行认真检查、确认。如对外观有异议，应当场向乙方提出。若因乙方制造工艺、质量问题等导致验收不合格，乙方应及时予以处理，直至验收合格，期间发生的一切费用由乙方承担，甲方保留向乙方索赔的权利。</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3、具体验收要求和标准：根据《温州市市属国有企业采购管理办法》及温州市等有关规定由甲方组织验收。</w:t>
      </w:r>
    </w:p>
    <w:p>
      <w:pPr>
        <w:widowControl/>
        <w:autoSpaceDE w:val="0"/>
        <w:autoSpaceDN w:val="0"/>
        <w:adjustRightInd w:val="0"/>
        <w:spacing w:line="360" w:lineRule="auto"/>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第十条：辅助服务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应提交所提供货物的技术文件，包括相应的每一套设备的中文技术文件，例如：产品目录、使用说明、维护手册和/或服务指南。这些文件应包装好随同货物一起发运。</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还应提供下列服务：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（1）货物的现场安装、调试、启动监督及技术支持；</w:t>
      </w:r>
    </w:p>
    <w:p>
      <w:p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（2）在项目现场就货物的安装、启动、运营、维护</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操作人员进行培训</w:t>
      </w:r>
      <w:r>
        <w:rPr>
          <w:rFonts w:hint="eastAsia" w:ascii="宋体" w:hAnsi="宋体" w:eastAsia="宋体" w:cs="宋体"/>
          <w:color w:val="auto"/>
          <w:sz w:val="22"/>
          <w:szCs w:val="22"/>
          <w:highlight w:val="none"/>
          <w:lang w:eastAsia="zh-CN"/>
        </w:rPr>
        <w:t>，后续解答甲方的技术咨询</w:t>
      </w:r>
      <w:r>
        <w:rPr>
          <w:rFonts w:hint="eastAsia" w:ascii="宋体" w:hAnsi="宋体" w:eastAsia="宋体" w:cs="宋体"/>
          <w:color w:val="auto"/>
          <w:sz w:val="22"/>
          <w:szCs w:val="22"/>
          <w:highlight w:val="none"/>
        </w:rPr>
        <w:t>。免费提供操作培训服务，并提供详细的培训计划及方案。投标供应商提供培训场所与设备进行本地化培训，培训内容应包括产品使用，维护管理等，并提供培训手册。乙方提供的培训次数不少于2次，培训期间乙方人员产生的相关费用自行支付</w:t>
      </w:r>
      <w:r>
        <w:rPr>
          <w:rFonts w:hint="eastAsia" w:ascii="宋体" w:hAnsi="宋体" w:eastAsia="宋体" w:cs="宋体"/>
          <w:color w:val="auto"/>
          <w:sz w:val="22"/>
          <w:szCs w:val="22"/>
          <w:highlight w:val="none"/>
          <w:lang w:eastAsia="zh-CN"/>
        </w:rPr>
        <w:t>。</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辅助服务的费用包含在合同价中，</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不再另行支付。</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第十一条：质量保证</w:t>
      </w:r>
    </w:p>
    <w:p>
      <w:p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质量保证期：本项目所有产品的免费质保期为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eastAsia="zh-CN"/>
        </w:rPr>
        <w:t>年</w:t>
      </w:r>
      <w:r>
        <w:rPr>
          <w:rFonts w:hint="eastAsia" w:ascii="宋体" w:hAnsi="宋体" w:eastAsia="宋体" w:cs="宋体"/>
          <w:color w:val="auto"/>
          <w:sz w:val="22"/>
          <w:szCs w:val="22"/>
          <w:highlight w:val="none"/>
          <w:lang w:eastAsia="zh-CN"/>
        </w:rPr>
        <w:t>，自验收合格次日起计算。若货物另有高于合同约定的质保期期限或卖方投标文件另有承诺的按就高原则执行。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在质量保证期内，如果货物的质量或规格与合同不符，或证实货物是有缺陷的，包括潜在的缺陷或使用不符合要求的材料等，</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可以根据本合同第十二条规定以书面形式向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提出补救措施或索赔。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在约定的时间内未能弥补缺陷，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可采取必要的补救措施，但其风险和费用将由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根据合同规定对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行使的其他权利不受影响。</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甲方验收合格不免除乙方对货物的质量保证责任。</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第十二条：补救措施和索赔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有权根据权威质量检测部门出具的检验报告向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提出索赔。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2、在质量保证期内，因乙方产品存在缺陷的，甲方有权按照下列一种或多种方式要求乙方承担违约责任，并同时有权收取乙方合同总价10%作为违约金，乙方同意无条件接受：</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（1）甲方退还货物，乙方退还货款，由此发生的一切费用和损失由乙方承担。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（2）根据货物的质量状况以及</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所遭受的损失，经过甲乙双方商定降低货物的价格，协商（协商期限为发生该事件后7个工作日内）不成的，按上述第（1）项处理。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通知乙方采用符合合同规定的规格、质量和性能要求的新零件、部件和设备来更换有缺陷的部分或修补缺陷部分，乙方自收到通知之日起7日内更换或修补完成，相应产生的费用由乙方承担。同时，乙方应在约定的质量保证期基础上相应延长修补和/或更换件的质量保证期。若乙方在7天内未完成的，甲方有权直接按上述第（1）项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甲方在采取以上一种或多种方式时，有权从应付货款中扣除索赔金额，如不足以弥补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损失的，</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有权进一步要求乙方赔偿。</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第十三条：履约延误</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应按照《合同》规定的时间、地点交货和提供服务。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2、在履行《合同》过程中，如果</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可能遇到妨碍按时交货和提供服务的情况时，应及时将拖延的事实、可能拖延的期限和理由通知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在收到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通知后，应尽快对情况进行评价，并确定是否同意延长交货时间或延期提供服务。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在规定时间内无法交货，将处于每逾期一天，按合同总价的0.5%罚款。逾期的违约赔偿最高限度为合同总价的5%，如违约金达到最高限额时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可终止合同。</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第十四条：不可抗力</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1、如果合同各方因不可抗力而导致合同实施延误或不能履行合同义务的话，不应该承担误期赔偿或不能履行合同义务的责任。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第十五条：争议的解决</w:t>
      </w:r>
    </w:p>
    <w:p>
      <w:pPr>
        <w:pStyle w:val="21"/>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在发生所供商品的质量、售后服务等问题时，</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有权直接向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索赔，签订必要的书面处理合同。协商不能解决的，任何一方有权在</w:t>
      </w:r>
      <w:r>
        <w:rPr>
          <w:rFonts w:hint="eastAsia" w:ascii="宋体" w:hAnsi="宋体" w:eastAsia="宋体" w:cs="宋体"/>
          <w:color w:val="auto"/>
          <w:sz w:val="22"/>
          <w:szCs w:val="22"/>
          <w:highlight w:val="none"/>
          <w:u w:val="single"/>
        </w:rPr>
        <w:t>甲方所在地人民法院起诉</w:t>
      </w:r>
      <w:r>
        <w:rPr>
          <w:rFonts w:hint="eastAsia" w:ascii="宋体" w:hAnsi="宋体" w:eastAsia="宋体" w:cs="宋体"/>
          <w:color w:val="auto"/>
          <w:sz w:val="22"/>
          <w:szCs w:val="22"/>
          <w:highlight w:val="none"/>
        </w:rPr>
        <w:t>的途径解决。</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第十六条：违约处理</w:t>
      </w:r>
    </w:p>
    <w:p>
      <w:pPr>
        <w:numPr>
          <w:ilvl w:val="0"/>
          <w:numId w:val="10"/>
        </w:num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由于乙方发生违约事件，未能及时</w:t>
      </w:r>
      <w:r>
        <w:rPr>
          <w:rFonts w:hint="eastAsia" w:ascii="宋体" w:hAnsi="宋体" w:eastAsia="宋体" w:cs="宋体"/>
          <w:color w:val="auto"/>
          <w:sz w:val="22"/>
          <w:szCs w:val="22"/>
          <w:highlight w:val="none"/>
        </w:rPr>
        <w:t>采取补救措施</w:t>
      </w:r>
      <w:r>
        <w:rPr>
          <w:rFonts w:hint="eastAsia" w:ascii="宋体" w:hAnsi="宋体" w:eastAsia="宋体" w:cs="宋体"/>
          <w:color w:val="auto"/>
          <w:sz w:val="22"/>
          <w:szCs w:val="22"/>
          <w:highlight w:val="none"/>
          <w:lang w:val="en-US" w:eastAsia="zh-CN"/>
        </w:rPr>
        <w:t>的（或采取补救措施后仍无法补救的），甲方有权</w:t>
      </w:r>
      <w:r>
        <w:rPr>
          <w:rFonts w:hint="eastAsia" w:ascii="宋体" w:hAnsi="宋体" w:eastAsia="宋体" w:cs="宋体"/>
          <w:color w:val="auto"/>
          <w:sz w:val="22"/>
          <w:szCs w:val="22"/>
          <w:highlight w:val="none"/>
        </w:rPr>
        <w:t>出</w:t>
      </w:r>
      <w:r>
        <w:rPr>
          <w:rFonts w:hint="eastAsia" w:ascii="宋体" w:hAnsi="宋体" w:eastAsia="宋体" w:cs="宋体"/>
          <w:color w:val="auto"/>
          <w:sz w:val="22"/>
          <w:szCs w:val="22"/>
          <w:highlight w:val="none"/>
          <w:lang w:val="en-US" w:eastAsia="zh-CN"/>
        </w:rPr>
        <w:t>解除</w:t>
      </w:r>
      <w:r>
        <w:rPr>
          <w:rFonts w:hint="eastAsia" w:ascii="宋体" w:hAnsi="宋体" w:eastAsia="宋体" w:cs="宋体"/>
          <w:color w:val="auto"/>
          <w:sz w:val="22"/>
          <w:szCs w:val="22"/>
          <w:highlight w:val="none"/>
        </w:rPr>
        <w:t>部分或全部合同</w:t>
      </w:r>
      <w:r>
        <w:rPr>
          <w:rFonts w:hint="eastAsia" w:ascii="宋体" w:hAnsi="宋体" w:eastAsia="宋体" w:cs="宋体"/>
          <w:color w:val="auto"/>
          <w:sz w:val="22"/>
          <w:szCs w:val="22"/>
          <w:highlight w:val="none"/>
          <w:lang w:eastAsia="zh-CN"/>
        </w:rPr>
        <w:t>。</w:t>
      </w:r>
    </w:p>
    <w:p>
      <w:pPr>
        <w:numPr>
          <w:ilvl w:val="0"/>
          <w:numId w:val="10"/>
        </w:numPr>
        <w:snapToGrid w:val="0"/>
        <w:spacing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若由于乙方原因导致</w:t>
      </w:r>
      <w:r>
        <w:rPr>
          <w:rFonts w:hint="eastAsia" w:ascii="宋体" w:hAnsi="宋体" w:eastAsia="宋体" w:cs="宋体"/>
          <w:color w:val="auto"/>
          <w:sz w:val="22"/>
          <w:szCs w:val="22"/>
          <w:highlight w:val="none"/>
        </w:rPr>
        <w:t>终止了全部或部分合同，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可以依其认为适当的条件和方法购买与</w:t>
      </w:r>
    </w:p>
    <w:p>
      <w:pPr>
        <w:numPr>
          <w:ilvl w:val="0"/>
          <w:numId w:val="0"/>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本合同约定</w:t>
      </w:r>
      <w:r>
        <w:rPr>
          <w:rFonts w:hint="eastAsia" w:ascii="宋体" w:hAnsi="宋体" w:eastAsia="宋体" w:cs="宋体"/>
          <w:color w:val="auto"/>
          <w:sz w:val="22"/>
          <w:szCs w:val="22"/>
          <w:highlight w:val="none"/>
        </w:rPr>
        <w:t>货物类似的货物，</w:t>
      </w:r>
      <w:r>
        <w:rPr>
          <w:rFonts w:hint="eastAsia" w:ascii="宋体" w:hAnsi="宋体" w:eastAsia="宋体" w:cs="宋体"/>
          <w:color w:val="auto"/>
          <w:sz w:val="22"/>
          <w:szCs w:val="22"/>
          <w:highlight w:val="none"/>
        </w:rPr>
        <w:t>甲方购买类似货物所超出的那部分费用由乙方承担</w:t>
      </w:r>
      <w:r>
        <w:rPr>
          <w:rFonts w:hint="eastAsia" w:ascii="宋体" w:hAnsi="宋体" w:eastAsia="宋体" w:cs="宋体"/>
          <w:color w:val="auto"/>
          <w:sz w:val="22"/>
          <w:szCs w:val="22"/>
          <w:highlight w:val="none"/>
        </w:rPr>
        <w:t>。但是，</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应继续执行合同中未终止的部分。</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条：合同转让和分包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事先书面同意外，</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不得转让和分包其应履行的合同义务。</w:t>
      </w:r>
    </w:p>
    <w:p>
      <w:pPr>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条：</w:t>
      </w:r>
      <w:r>
        <w:rPr>
          <w:rFonts w:hint="eastAsia" w:ascii="宋体" w:hAnsi="宋体" w:eastAsia="宋体" w:cs="宋体"/>
          <w:b/>
          <w:bCs/>
          <w:color w:val="auto"/>
          <w:sz w:val="22"/>
          <w:szCs w:val="22"/>
          <w:highlight w:val="none"/>
          <w:lang w:val="en-US" w:eastAsia="zh-CN"/>
        </w:rPr>
        <w:t>合同文件</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下列文件构成本合同的组成部分：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（1）补充协议（如有）；</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（2）合同</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（3）中标（成交）通知书；</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（4）采购文件；             </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（5）投标文件；</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（6）其他合同文件。</w:t>
      </w:r>
    </w:p>
    <w:p>
      <w:pPr>
        <w:snapToGrid w:val="0"/>
        <w:spacing w:line="360" w:lineRule="auto"/>
        <w:ind w:firstLine="330" w:firstLineChars="15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注：若投标文件中乙方承诺的标准高于采购文件要求的，则以投标文件中相关条款为准。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在合同订立及履行过程中形成的与合同有关的文件均构成合同文件组成部分。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述文件相互补充和解释，如有不明确或不一致之处，以上述次序在先者为准；双方关于合同内容的会议纪要等书面文本视为本合同的组成部分。合同签订后，双方签订的补充协议也是本合同的组成部分。如双方签订的补充协议与其他文件发生矛盾或歧义时，属于同一类内容的文件，应以最新签署的为准。</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条：合同生效</w:t>
      </w:r>
    </w:p>
    <w:p>
      <w:pPr>
        <w:pStyle w:val="21"/>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1、本合同一式五份，合同双方各执两份，采购代理机构一份，在双方法定代表人或授权代表签署加盖印章后生效。</w:t>
      </w:r>
    </w:p>
    <w:p>
      <w:pPr>
        <w:spacing w:line="460" w:lineRule="exact"/>
        <w:ind w:left="27" w:leftChars="13"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                                        乙方： </w:t>
      </w:r>
    </w:p>
    <w:p>
      <w:pPr>
        <w:spacing w:line="460" w:lineRule="exact"/>
        <w:ind w:left="27" w:leftChars="13"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（盖章）                                      （盖章）</w:t>
      </w:r>
    </w:p>
    <w:p>
      <w:pPr>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法定代表或授权人：                            法定代表或授权人：</w:t>
      </w:r>
    </w:p>
    <w:p>
      <w:pPr>
        <w:spacing w:line="460" w:lineRule="exact"/>
        <w:ind w:left="6597" w:leftChars="208" w:hanging="6160" w:hangingChars="2800"/>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日期：</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年</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日                      日期：</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年</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日</w:t>
      </w:r>
    </w:p>
    <w:p>
      <w:pPr>
        <w:spacing w:line="440" w:lineRule="exact"/>
        <w:ind w:left="0" w:firstLine="0" w:firstLineChars="0"/>
        <w:jc w:val="center"/>
        <w:outlineLvl w:val="9"/>
        <w:rPr>
          <w:rFonts w:hint="eastAsia" w:ascii="宋体" w:hAnsi="宋体" w:cs="宋体"/>
          <w:b/>
          <w:color w:val="auto"/>
          <w:kern w:val="1"/>
          <w:sz w:val="22"/>
          <w:szCs w:val="22"/>
          <w:highlight w:val="none"/>
        </w:rPr>
      </w:pPr>
      <w:r>
        <w:rPr>
          <w:rFonts w:hint="eastAsia"/>
          <w:b/>
          <w:bCs/>
          <w:color w:val="auto"/>
          <w:sz w:val="22"/>
          <w:szCs w:val="22"/>
          <w:highlight w:val="none"/>
          <w:u w:val="single"/>
        </w:rPr>
        <w:t>注：本合同为范本合同，最终以双方签订的合同为准</w:t>
      </w:r>
      <w:r>
        <w:rPr>
          <w:rFonts w:hint="eastAsia"/>
          <w:b/>
          <w:bCs/>
          <w:color w:val="auto"/>
          <w:sz w:val="22"/>
          <w:szCs w:val="22"/>
          <w:highlight w:val="none"/>
          <w:u w:val="single"/>
          <w:lang w:eastAsia="zh-CN"/>
        </w:rPr>
        <w:t>。</w:t>
      </w:r>
    </w:p>
    <w:p>
      <w:pPr>
        <w:rPr>
          <w:rFonts w:hint="eastAsia" w:ascii="宋体" w:hAnsi="宋体" w:eastAsia="宋体" w:cs="宋体"/>
          <w:color w:val="auto"/>
          <w:sz w:val="22"/>
          <w:szCs w:val="22"/>
          <w:highlight w:val="none"/>
          <w:lang w:val="en-US" w:eastAsia="zh-CN"/>
        </w:rPr>
      </w:pPr>
      <w:r>
        <w:rPr>
          <w:rFonts w:hint="eastAsia" w:ascii="宋体" w:hAnsi="宋体" w:cs="宋体"/>
          <w:b/>
          <w:color w:val="auto"/>
          <w:kern w:val="1"/>
          <w:sz w:val="22"/>
          <w:szCs w:val="22"/>
          <w:highlight w:val="none"/>
        </w:rPr>
        <w:br w:type="page"/>
      </w:r>
      <w:r>
        <w:rPr>
          <w:rFonts w:hint="eastAsia" w:ascii="宋体" w:hAnsi="宋体" w:eastAsia="宋体" w:cs="宋体"/>
          <w:color w:val="auto"/>
          <w:sz w:val="22"/>
          <w:szCs w:val="22"/>
          <w:highlight w:val="none"/>
          <w:lang w:val="en-US" w:eastAsia="zh-CN"/>
        </w:rPr>
        <w:t xml:space="preserve">合同附件一 </w:t>
      </w:r>
    </w:p>
    <w:p>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pPr>
        <w:spacing w:line="500" w:lineRule="exact"/>
        <w:jc w:val="center"/>
        <w:outlineLvl w:val="9"/>
        <w:rPr>
          <w:rFonts w:hint="default" w:ascii="Arial" w:hAnsi="Arial" w:eastAsia="宋体" w:cs="Arial"/>
          <w:b/>
          <w:color w:val="auto"/>
          <w:szCs w:val="21"/>
          <w:highlight w:val="none"/>
        </w:rPr>
      </w:pP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eastAsia="宋体" w:cs="宋体"/>
          <w:color w:val="auto"/>
          <w:sz w:val="21"/>
          <w:szCs w:val="21"/>
          <w:highlight w:val="none"/>
          <w:u w:val="single"/>
          <w:lang w:eastAsia="zh-CN"/>
        </w:rPr>
        <w:t>温州市交通工程试验检测有限公司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合同，自觉按合同办事。</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rPr>
        <w:t>项目有关的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合同的附件，与该合同具有同等的法律效力，经合同双方签署立即生效。</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pPr>
        <w:pStyle w:val="19"/>
        <w:outlineLvl w:val="9"/>
        <w:rPr>
          <w:rFonts w:hint="eastAsia" w:ascii="宋体" w:hAnsi="宋体" w:eastAsia="宋体" w:cs="宋体"/>
          <w:color w:val="auto"/>
          <w:sz w:val="21"/>
          <w:szCs w:val="21"/>
          <w:highlight w:val="none"/>
        </w:rPr>
      </w:pPr>
    </w:p>
    <w:p>
      <w:pPr>
        <w:pStyle w:val="19"/>
        <w:outlineLvl w:val="9"/>
        <w:rPr>
          <w:rFonts w:hint="eastAsia" w:ascii="宋体" w:hAnsi="宋体" w:eastAsia="宋体" w:cs="宋体"/>
          <w:b w:val="0"/>
          <w:bCs w:val="0"/>
          <w:color w:val="auto"/>
          <w:sz w:val="21"/>
          <w:szCs w:val="21"/>
          <w:highlight w:val="none"/>
        </w:rPr>
      </w:pP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pPr>
        <w:spacing w:line="460" w:lineRule="exact"/>
        <w:ind w:left="6600" w:hanging="6300" w:hangingChars="30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pPr>
        <w:spacing w:line="460" w:lineRule="exact"/>
        <w:jc w:val="right"/>
        <w:outlineLvl w:val="9"/>
        <w:rPr>
          <w:rFonts w:hint="eastAsia" w:ascii="新宋体" w:hAnsi="新宋体" w:eastAsia="新宋体" w:cs="新宋体"/>
          <w:color w:val="auto"/>
          <w:sz w:val="22"/>
          <w:szCs w:val="22"/>
          <w:highlight w:val="none"/>
        </w:rPr>
      </w:pPr>
    </w:p>
    <w:p>
      <w:pPr>
        <w:ind w:firstLine="220" w:firstLineChars="100"/>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br w:type="page"/>
      </w:r>
    </w:p>
    <w:p>
      <w:pPr>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p>
    <w:p>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31782"/>
      <w:r>
        <w:rPr>
          <w:rFonts w:hint="default" w:ascii="Arial" w:hAnsi="Arial" w:eastAsia="宋体" w:cs="Arial"/>
          <w:b/>
          <w:bCs/>
          <w:color w:val="auto"/>
          <w:kern w:val="2"/>
          <w:sz w:val="28"/>
          <w:szCs w:val="28"/>
          <w:highlight w:val="none"/>
          <w:lang w:val="en-US" w:eastAsia="zh-CN" w:bidi="ar-SA"/>
        </w:rPr>
        <w:t>第三部分</w:t>
      </w:r>
      <w:r>
        <w:rPr>
          <w:rFonts w:hint="eastAsia" w:ascii="Arial" w:hAnsi="Arial" w:eastAsia="宋体" w:cs="Arial"/>
          <w:b/>
          <w:bCs/>
          <w:color w:val="auto"/>
          <w:kern w:val="2"/>
          <w:sz w:val="28"/>
          <w:szCs w:val="28"/>
          <w:highlight w:val="none"/>
          <w:lang w:val="en-US" w:eastAsia="zh-CN" w:bidi="ar-SA"/>
        </w:rPr>
        <w:t xml:space="preserve">  </w:t>
      </w:r>
      <w:r>
        <w:rPr>
          <w:rFonts w:hint="default" w:ascii="Arial" w:hAnsi="Arial" w:eastAsia="宋体" w:cs="Arial"/>
          <w:b/>
          <w:bCs/>
          <w:color w:val="auto"/>
          <w:kern w:val="2"/>
          <w:sz w:val="28"/>
          <w:szCs w:val="28"/>
          <w:highlight w:val="none"/>
          <w:lang w:val="en-US" w:eastAsia="zh-CN" w:bidi="ar-SA"/>
        </w:rPr>
        <w:t>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20" w:beforeLines="50" w:after="120" w:afterLines="50"/>
        <w:outlineLvl w:val="9"/>
        <w:rPr>
          <w:rFonts w:ascii="宋体" w:hAnsi="宋体" w:eastAsia="宋体" w:cs="宋体"/>
          <w:color w:val="auto"/>
          <w:sz w:val="22"/>
          <w:highlight w:val="none"/>
        </w:rPr>
      </w:pPr>
    </w:p>
    <w:p>
      <w:pPr>
        <w:spacing w:before="120" w:beforeLines="50" w:after="120" w:afterLines="50"/>
        <w:jc w:val="center"/>
        <w:outlineLvl w:val="9"/>
        <w:rPr>
          <w:rFonts w:hint="eastAsia" w:ascii="宋体" w:hAnsi="宋体" w:eastAsia="宋体" w:cs="宋体"/>
          <w:color w:val="auto"/>
          <w:sz w:val="22"/>
          <w:highlight w:val="none"/>
        </w:rPr>
      </w:pPr>
    </w:p>
    <w:p>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Cs w:val="24"/>
          <w:highlight w:val="none"/>
        </w:rPr>
      </w:pPr>
    </w:p>
    <w:p>
      <w:pPr>
        <w:outlineLvl w:val="9"/>
        <w:rPr>
          <w:rFonts w:ascii="宋体" w:hAnsi="宋体" w:eastAsia="宋体" w:cs="宋体"/>
          <w:color w:val="auto"/>
          <w:szCs w:val="24"/>
          <w:highlight w:val="none"/>
        </w:rPr>
      </w:pPr>
    </w:p>
    <w:p>
      <w:pPr>
        <w:ind w:left="480" w:hanging="480" w:hangingChars="200"/>
        <w:outlineLvl w:val="9"/>
        <w:rPr>
          <w:rFonts w:ascii="宋体" w:hAnsi="宋体" w:eastAsia="宋体" w:cs="宋体"/>
          <w:color w:val="auto"/>
          <w:sz w:val="24"/>
          <w:szCs w:val="24"/>
          <w:highlight w:val="none"/>
        </w:rPr>
      </w:pPr>
    </w:p>
    <w:p>
      <w:pPr>
        <w:outlineLvl w:val="9"/>
        <w:rPr>
          <w:rFonts w:ascii="宋体" w:hAnsi="宋体" w:eastAsia="宋体" w:cs="宋体"/>
          <w:color w:val="auto"/>
          <w:szCs w:val="24"/>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4台预应力检测仪</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WGSS-JFJT-Z-2025017</w:t>
      </w:r>
    </w:p>
    <w:p>
      <w:pPr>
        <w:jc w:val="center"/>
        <w:outlineLvl w:val="9"/>
        <w:rPr>
          <w:rFonts w:hint="eastAsia" w:ascii="宋体" w:hAnsi="宋体" w:eastAsia="宋体" w:cs="宋体"/>
          <w:color w:val="auto"/>
          <w:sz w:val="40"/>
          <w:szCs w:val="40"/>
          <w:highlight w:val="none"/>
          <w:u w:val="none"/>
        </w:rPr>
      </w:pPr>
    </w:p>
    <w:p>
      <w:pPr>
        <w:jc w:val="center"/>
        <w:outlineLvl w:val="9"/>
        <w:rPr>
          <w:rFonts w:hint="eastAsia" w:ascii="宋体" w:hAnsi="宋体" w:eastAsia="宋体" w:cs="宋体"/>
          <w:color w:val="auto"/>
          <w:sz w:val="40"/>
          <w:szCs w:val="40"/>
          <w:highlight w:val="none"/>
          <w:u w:val="none"/>
        </w:rPr>
      </w:pPr>
    </w:p>
    <w:p>
      <w:pPr>
        <w:spacing w:line="360" w:lineRule="auto"/>
        <w:jc w:val="center"/>
        <w:outlineLvl w:val="9"/>
        <w:rPr>
          <w:rFonts w:hint="eastAsia" w:ascii="宋体" w:hAnsi="宋体" w:eastAsia="宋体" w:cs="宋体"/>
          <w:color w:val="auto"/>
          <w:sz w:val="40"/>
          <w:szCs w:val="40"/>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44"/>
          <w:szCs w:val="44"/>
          <w:highlight w:val="none"/>
        </w:rPr>
      </w:pPr>
    </w:p>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法定代表人（法定负责人）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pP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2"/>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460" w:lineRule="exact"/>
        <w:outlineLvl w:val="9"/>
        <w:rPr>
          <w:rFonts w:hint="eastAsia" w:ascii="宋体" w:hAnsi="宋体" w:eastAsia="宋体" w:cs="宋体"/>
          <w:b/>
          <w:bCs/>
          <w:color w:val="auto"/>
          <w:sz w:val="21"/>
          <w:szCs w:val="21"/>
          <w:highlight w:val="none"/>
        </w:rPr>
      </w:pPr>
      <w:bookmarkStart w:id="140" w:name="_Toc246261271"/>
      <w:bookmarkStart w:id="141" w:name="_Toc239145360"/>
      <w:bookmarkStart w:id="142" w:name="_Toc221374632"/>
      <w:bookmarkStart w:id="143" w:name="_Toc221356894"/>
      <w:bookmarkStart w:id="144" w:name="_Toc223716004"/>
      <w:bookmarkStart w:id="145" w:name="_Toc262105510"/>
      <w:bookmarkStart w:id="146" w:name="_Toc221423625"/>
      <w:bookmarkStart w:id="147" w:name="_Toc249758871"/>
      <w:bookmarkStart w:id="148" w:name="_Toc222114885"/>
      <w:bookmarkStart w:id="149" w:name="_Toc245722287"/>
      <w:bookmarkStart w:id="150" w:name="_Toc241404208"/>
      <w:bookmarkStart w:id="151" w:name="_Toc249758721"/>
      <w:bookmarkStart w:id="152" w:name="_Toc221356957"/>
      <w:bookmarkStart w:id="153" w:name="_Toc245191320"/>
      <w:bookmarkStart w:id="154" w:name="_Toc389760269"/>
      <w:bookmarkStart w:id="155" w:name="_Toc262049425"/>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附件一</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温州市交通工程试验检测有限公司</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WGSS-JFJT-Z-2025017</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pPr>
        <w:pStyle w:val="64"/>
        <w:outlineLvl w:val="9"/>
        <w:rPr>
          <w:rFonts w:hint="eastAsia" w:ascii="宋体" w:hAnsi="宋体" w:eastAsia="宋体" w:cs="宋体"/>
          <w:color w:val="auto"/>
          <w:sz w:val="21"/>
          <w:szCs w:val="21"/>
          <w:highlight w:val="none"/>
          <w:u w:val="none"/>
          <w:lang w:eastAsia="zh-CN"/>
        </w:rPr>
      </w:pPr>
    </w:p>
    <w:p>
      <w:pPr>
        <w:pStyle w:val="64"/>
        <w:outlineLvl w:val="9"/>
        <w:rPr>
          <w:rFonts w:hint="eastAsia" w:ascii="宋体" w:hAnsi="宋体" w:eastAsia="宋体" w:cs="宋体"/>
          <w:color w:val="auto"/>
          <w:sz w:val="21"/>
          <w:szCs w:val="21"/>
          <w:highlight w:val="none"/>
          <w:u w:val="none"/>
          <w:lang w:eastAsia="zh-CN"/>
        </w:rPr>
      </w:pP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pPr>
        <w:pStyle w:val="64"/>
        <w:outlineLvl w:val="9"/>
        <w:rPr>
          <w:rFonts w:hint="eastAsia" w:ascii="宋体" w:hAnsi="宋体" w:eastAsia="宋体" w:cs="宋体"/>
          <w:color w:val="auto"/>
          <w:sz w:val="21"/>
          <w:szCs w:val="21"/>
          <w:highlight w:val="none"/>
          <w:u w:val="none"/>
          <w:lang w:eastAsia="zh-CN"/>
        </w:rPr>
        <w:sectPr>
          <w:headerReference r:id="rId4" w:type="first"/>
          <w:headerReference r:id="rId3" w:type="default"/>
          <w:footerReference r:id="rId5" w:type="default"/>
          <w:pgSz w:w="11906" w:h="16838"/>
          <w:pgMar w:top="1134" w:right="1134" w:bottom="1134" w:left="1417" w:header="851" w:footer="567" w:gutter="0"/>
          <w:paperSrc/>
          <w:pgNumType w:fmt="decimal"/>
          <w:cols w:space="720" w:num="1"/>
          <w:rtlGutter w:val="0"/>
          <w:docGrid w:linePitch="312" w:charSpace="0"/>
        </w:sectPr>
      </w:pPr>
    </w:p>
    <w:p>
      <w:pPr>
        <w:adjustRightInd/>
        <w:snapToGrid/>
        <w:spacing w:before="120" w:after="120" w:line="320" w:lineRule="exact"/>
        <w:jc w:val="both"/>
        <w:outlineLvl w:val="9"/>
        <w:rPr>
          <w:rFonts w:hint="eastAsia" w:ascii="宋体" w:hAnsi="宋体" w:eastAsia="宋体" w:cs="宋体"/>
          <w:color w:val="auto"/>
          <w:kern w:val="2"/>
          <w:sz w:val="21"/>
          <w:szCs w:val="21"/>
          <w:highlight w:val="none"/>
          <w:lang w:eastAsia="zh-CN"/>
        </w:rPr>
      </w:pPr>
      <w:bookmarkStart w:id="156" w:name="_Toc23743"/>
      <w:bookmarkStart w:id="157" w:name="_Toc15187"/>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二</w:t>
      </w:r>
      <w:bookmarkEnd w:id="156"/>
      <w:bookmarkEnd w:id="157"/>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p>
    <w:p>
      <w:pPr>
        <w:spacing w:line="360" w:lineRule="auto"/>
        <w:jc w:val="center"/>
        <w:outlineLvl w:val="9"/>
        <w:rPr>
          <w:rFonts w:hint="eastAsia" w:ascii="宋体" w:hAnsi="宋体" w:eastAsia="宋体" w:cs="宋体"/>
          <w:b/>
          <w:color w:val="auto"/>
          <w:sz w:val="21"/>
          <w:szCs w:val="21"/>
          <w:highlight w:val="none"/>
        </w:rPr>
      </w:pPr>
    </w:p>
    <w:p>
      <w:pPr>
        <w:spacing w:line="360" w:lineRule="auto"/>
        <w:ind w:firstLine="3285" w:firstLineChars="155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法定代表人授权书</w:t>
      </w:r>
    </w:p>
    <w:p>
      <w:pPr>
        <w:outlineLvl w:val="9"/>
        <w:rPr>
          <w:rFonts w:hint="eastAsia" w:ascii="宋体" w:hAnsi="宋体" w:eastAsia="宋体" w:cs="宋体"/>
          <w:b/>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80" w:lineRule="exact"/>
        <w:ind w:firstLine="2319" w:firstLineChars="1100"/>
        <w:outlineLvl w:val="9"/>
        <w:rPr>
          <w:rFonts w:hint="eastAsia" w:ascii="宋体" w:hAnsi="宋体" w:eastAsia="宋体" w:cs="宋体"/>
          <w:b/>
          <w:color w:val="auto"/>
          <w:sz w:val="21"/>
          <w:szCs w:val="21"/>
          <w:highlight w:val="none"/>
        </w:rPr>
      </w:pPr>
    </w:p>
    <w:p>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WGSS-JFJT-Z-2025017</w:t>
      </w:r>
      <w:r>
        <w:rPr>
          <w:rFonts w:hint="eastAsia" w:ascii="宋体" w:hAnsi="宋体" w:eastAsia="宋体" w:cs="宋体"/>
          <w:color w:val="auto"/>
          <w:sz w:val="21"/>
          <w:szCs w:val="21"/>
          <w:highlight w:val="none"/>
        </w:rPr>
        <w:t xml:space="preserve"> ）的投标和合同执行，以我方的名义处理一切与之有关的事宜。</w:t>
      </w:r>
    </w:p>
    <w:p>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法定代表人（法定负责人）（签字或盖章）：                  </w:t>
      </w:r>
    </w:p>
    <w:p>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71" w:type="dxa"/>
            <w:noWrap w:val="0"/>
            <w:vAlign w:val="center"/>
          </w:tcPr>
          <w:p>
            <w:pPr>
              <w:spacing w:line="380" w:lineRule="exact"/>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pPr>
              <w:spacing w:line="38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pPr>
              <w:spacing w:line="380" w:lineRule="exact"/>
              <w:jc w:val="center"/>
              <w:outlineLvl w:val="9"/>
              <w:rPr>
                <w:rFonts w:hint="eastAsia" w:ascii="宋体" w:hAnsi="宋体" w:eastAsia="宋体" w:cs="宋体"/>
                <w:color w:val="auto"/>
                <w:sz w:val="21"/>
                <w:szCs w:val="21"/>
                <w:highlight w:val="none"/>
                <w:vertAlign w:val="baseline"/>
              </w:rPr>
            </w:pPr>
          </w:p>
        </w:tc>
      </w:tr>
    </w:tbl>
    <w:p>
      <w:pPr>
        <w:pStyle w:val="21"/>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pPr>
        <w:pStyle w:val="21"/>
        <w:spacing w:line="320" w:lineRule="exact"/>
        <w:ind w:firstLine="723" w:firstLineChars="343"/>
        <w:outlineLvl w:val="9"/>
        <w:rPr>
          <w:rFonts w:hint="eastAsia" w:ascii="宋体" w:hAnsi="宋体" w:eastAsia="宋体" w:cs="宋体"/>
          <w:b/>
          <w:color w:val="auto"/>
          <w:kern w:val="2"/>
          <w:sz w:val="21"/>
          <w:szCs w:val="21"/>
          <w:highlight w:val="none"/>
        </w:rPr>
      </w:pP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pPr>
        <w:widowControl/>
        <w:spacing w:line="360" w:lineRule="auto"/>
        <w:outlineLvl w:val="9"/>
        <w:rPr>
          <w:rFonts w:hint="eastAsia" w:ascii="宋体" w:hAnsi="宋体" w:eastAsia="宋体" w:cs="宋体"/>
          <w:color w:val="auto"/>
          <w:sz w:val="21"/>
          <w:szCs w:val="21"/>
          <w:highlight w:val="none"/>
          <w:u w:val="single"/>
        </w:rPr>
      </w:pPr>
    </w:p>
    <w:p>
      <w:pPr>
        <w:spacing w:line="42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eastAsia="宋体" w:cs="宋体"/>
          <w:color w:val="auto"/>
          <w:sz w:val="21"/>
          <w:szCs w:val="21"/>
          <w:highlight w:val="none"/>
          <w:u w:val="single"/>
          <w:lang w:eastAsia="zh-CN"/>
        </w:rPr>
        <w:t>WGSS-JFJT-Z-2025017</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lang w:eastAsia="zh-CN"/>
        </w:rPr>
        <w:t>4台预应力检测仪</w:t>
      </w:r>
      <w:r>
        <w:rPr>
          <w:rFonts w:hint="eastAsia" w:ascii="宋体" w:hAnsi="宋体" w:eastAsia="宋体" w:cs="宋体"/>
          <w:color w:val="auto"/>
          <w:kern w:val="0"/>
          <w:sz w:val="21"/>
          <w:szCs w:val="21"/>
          <w:highlight w:val="none"/>
        </w:rPr>
        <w:t>采购项目，签署上述项目的投标文件、进行合同谈判、签署合同和处理与之有关的一切事务。</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11" w:hRule="atLeast"/>
        </w:trPr>
        <w:tc>
          <w:tcPr>
            <w:tcW w:w="9571" w:type="dxa"/>
            <w:noWrap w:val="0"/>
            <w:vAlign w:val="center"/>
          </w:tcPr>
          <w:p>
            <w:pPr>
              <w:widowControl/>
              <w:spacing w:line="360" w:lineRule="auto"/>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pPr>
        <w:widowControl/>
        <w:spacing w:line="480" w:lineRule="auto"/>
        <w:ind w:left="420" w:firstLine="473"/>
        <w:jc w:val="left"/>
        <w:outlineLvl w:val="9"/>
        <w:rPr>
          <w:rFonts w:hint="eastAsia" w:ascii="宋体" w:hAnsi="宋体" w:eastAsia="宋体" w:cs="宋体"/>
          <w:color w:val="auto"/>
          <w:kern w:val="0"/>
          <w:sz w:val="21"/>
          <w:szCs w:val="21"/>
          <w:highlight w:val="none"/>
        </w:rPr>
      </w:pP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831" w:hRule="atLeast"/>
        </w:trPr>
        <w:tc>
          <w:tcPr>
            <w:tcW w:w="9571" w:type="dxa"/>
            <w:noWrap w:val="0"/>
            <w:vAlign w:val="top"/>
          </w:tcPr>
          <w:p>
            <w:pPr>
              <w:pStyle w:val="2"/>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附企业法人有效营业执照（或法人登记证书）复印件加盖单位公章</w:t>
            </w:r>
          </w:p>
        </w:tc>
      </w:tr>
    </w:tbl>
    <w:p>
      <w:pPr>
        <w:pStyle w:val="2"/>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lang w:val="en-US" w:eastAsia="zh-CN"/>
        </w:rPr>
        <w:t>附件四</w:t>
      </w:r>
    </w:p>
    <w:p>
      <w:pPr>
        <w:pStyle w:val="4"/>
        <w:outlineLvl w:val="9"/>
        <w:rPr>
          <w:rFonts w:hint="eastAsia" w:ascii="宋体" w:hAnsi="宋体" w:eastAsia="宋体" w:cs="宋体"/>
          <w:color w:val="auto"/>
          <w:kern w:val="2"/>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符合参加国企采购活动应当具备的条件的承诺函</w:t>
      </w:r>
      <w:r>
        <w:rPr>
          <w:rFonts w:hint="eastAsia" w:ascii="宋体" w:hAnsi="宋体" w:eastAsia="宋体" w:cs="宋体"/>
          <w:b/>
          <w:bCs/>
          <w:color w:val="auto"/>
          <w:sz w:val="21"/>
          <w:szCs w:val="21"/>
          <w:highlight w:val="none"/>
        </w:rPr>
        <w:t>;</w:t>
      </w:r>
    </w:p>
    <w:p>
      <w:pPr>
        <w:spacing w:line="460" w:lineRule="exact"/>
        <w:outlineLvl w:val="9"/>
        <w:rPr>
          <w:rFonts w:hint="eastAsia" w:ascii="宋体" w:hAnsi="宋体" w:eastAsia="宋体" w:cs="宋体"/>
          <w:b/>
          <w:bCs/>
          <w:color w:val="auto"/>
          <w:sz w:val="21"/>
          <w:szCs w:val="21"/>
          <w:highlight w:val="none"/>
          <w:u w:val="single"/>
        </w:rPr>
      </w:pPr>
    </w:p>
    <w:p>
      <w:pPr>
        <w:spacing w:line="46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温州市交通工程试验检测有限公司</w:t>
      </w:r>
      <w:r>
        <w:rPr>
          <w:rFonts w:hint="eastAsia" w:ascii="宋体" w:hAnsi="宋体" w:eastAsia="宋体" w:cs="宋体"/>
          <w:b/>
          <w:bCs/>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WGSS-JFJT-Z-2025017</w:t>
      </w:r>
      <w:r>
        <w:rPr>
          <w:rFonts w:hint="eastAsia" w:ascii="宋体" w:hAnsi="宋体" w:eastAsia="宋体" w:cs="宋体"/>
          <w:color w:val="auto"/>
          <w:sz w:val="21"/>
          <w:szCs w:val="21"/>
          <w:highlight w:val="none"/>
        </w:rPr>
        <w:t>】国企采购活动，郑重承诺：</w:t>
      </w:r>
    </w:p>
    <w:p>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温州市市属国有企业采购管理办法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第十八条</w:t>
      </w:r>
      <w:r>
        <w:rPr>
          <w:rFonts w:hint="eastAsia" w:ascii="宋体" w:hAnsi="宋体" w:eastAsia="宋体" w:cs="宋体"/>
          <w:color w:val="auto"/>
          <w:kern w:val="0"/>
          <w:sz w:val="21"/>
          <w:szCs w:val="21"/>
          <w:highlight w:val="none"/>
        </w:rPr>
        <w:t>对供应商参加温州市国有企业采购活动应当具备的条件</w:t>
      </w:r>
      <w:r>
        <w:rPr>
          <w:rFonts w:hint="eastAsia" w:ascii="宋体" w:hAnsi="宋体" w:eastAsia="宋体" w:cs="宋体"/>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3、具有履行合同所必需的设备和专业技术、售后保障等能力；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5、参加采购、招投标等活动前三年内，在经营活动中没有重大违法记录、严重失信行为和行贿记录；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pPr>
        <w:spacing w:line="460" w:lineRule="exact"/>
        <w:outlineLvl w:val="9"/>
        <w:rPr>
          <w:rFonts w:hint="eastAsia" w:ascii="宋体" w:hAnsi="宋体" w:eastAsia="宋体" w:cs="宋体"/>
          <w:b/>
          <w:bCs/>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附件五</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单位负责人为同一人或者存在直接控股、管理关系的不同供应商，不得参加同一合同项下的采购活动承诺函</w:t>
      </w:r>
    </w:p>
    <w:p>
      <w:pPr>
        <w:spacing w:line="46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WGSS-JFJT-Z-2025017</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附件六</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投标供应商没有失信记录承诺函</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left="442" w:hanging="422" w:hangingChars="200"/>
        <w:outlineLvl w:val="9"/>
        <w:rPr>
          <w:rFonts w:hint="eastAsia" w:ascii="宋体" w:hAnsi="宋体" w:eastAsia="宋体" w:cs="宋体"/>
          <w:b/>
          <w:bCs/>
          <w:color w:val="auto"/>
          <w:sz w:val="21"/>
          <w:szCs w:val="21"/>
          <w:highlight w:val="none"/>
        </w:rPr>
      </w:pPr>
    </w:p>
    <w:p>
      <w:pP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p>
    <w:p>
      <w:pPr>
        <w:adjustRightInd/>
        <w:snapToGrid/>
        <w:spacing w:before="120" w:after="120" w:line="500" w:lineRule="exact"/>
        <w:jc w:val="left"/>
        <w:outlineLvl w:val="9"/>
        <w:rPr>
          <w:rFonts w:hint="eastAsia" w:ascii="宋体" w:hAnsi="宋体" w:eastAsia="宋体" w:cs="宋体"/>
          <w:color w:val="auto"/>
          <w:kern w:val="2"/>
          <w:sz w:val="21"/>
          <w:szCs w:val="21"/>
          <w:highlight w:val="none"/>
        </w:rPr>
      </w:pPr>
      <w:bookmarkStart w:id="158" w:name="_Toc26668"/>
      <w:bookmarkStart w:id="159" w:name="_Toc19189"/>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七</w:t>
      </w:r>
      <w:bookmarkEnd w:id="158"/>
      <w:bookmarkEnd w:id="159"/>
      <w:r>
        <w:rPr>
          <w:rFonts w:hint="eastAsia" w:ascii="宋体" w:hAnsi="宋体" w:eastAsia="宋体" w:cs="宋体"/>
          <w:color w:val="auto"/>
          <w:kern w:val="2"/>
          <w:sz w:val="21"/>
          <w:szCs w:val="21"/>
          <w:highlight w:val="none"/>
        </w:rPr>
        <w:t xml:space="preserve">                         </w:t>
      </w:r>
    </w:p>
    <w:p>
      <w:pPr>
        <w:adjustRightInd/>
        <w:snapToGrid/>
        <w:spacing w:before="120" w:after="120" w:line="500" w:lineRule="exact"/>
        <w:jc w:val="center"/>
        <w:outlineLvl w:val="9"/>
        <w:rPr>
          <w:rFonts w:hint="eastAsia" w:ascii="宋体" w:hAnsi="宋体" w:eastAsia="宋体" w:cs="宋体"/>
          <w:color w:val="auto"/>
          <w:sz w:val="21"/>
          <w:szCs w:val="21"/>
          <w:highlight w:val="none"/>
        </w:rPr>
      </w:pPr>
      <w:bookmarkStart w:id="160" w:name="_Toc20212"/>
      <w:bookmarkStart w:id="161" w:name="_Toc14434"/>
      <w:r>
        <w:rPr>
          <w:rFonts w:hint="eastAsia" w:ascii="宋体" w:hAnsi="宋体" w:eastAsia="宋体" w:cs="宋体"/>
          <w:color w:val="auto"/>
          <w:sz w:val="21"/>
          <w:szCs w:val="21"/>
          <w:highlight w:val="none"/>
        </w:rPr>
        <w:t>技术、商务偏离表</w:t>
      </w:r>
      <w:bookmarkEnd w:id="160"/>
      <w:bookmarkEnd w:id="161"/>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WGSS-JFJT-Z-2025017</w:t>
      </w:r>
    </w:p>
    <w:tbl>
      <w:tblPr>
        <w:tblStyle w:val="33"/>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80"/>
        <w:gridCol w:w="2880"/>
        <w:gridCol w:w="1080"/>
        <w:gridCol w:w="2700"/>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56"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144" w:type="dxa"/>
            <w:vMerge w:val="continue"/>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6"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144"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               </w:t>
      </w:r>
    </w:p>
    <w:p>
      <w:pPr>
        <w:spacing w:before="120" w:after="120" w:line="38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同类产品供货业绩一览表</w:t>
      </w:r>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lang w:eastAsia="zh-CN"/>
        </w:rPr>
        <w:t>4台预应力检测仪</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eastAsia="zh-CN"/>
        </w:rPr>
        <w:t>WGSS-JFJT-Z-2025017</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192"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1636"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260"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345"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合同时间</w:t>
            </w:r>
          </w:p>
        </w:tc>
        <w:tc>
          <w:tcPr>
            <w:tcW w:w="2435"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bl>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1.此表仅提供了表格形式，投标供应商应根据需要准备足够数量的表格来填写。</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2.每项业绩须根据第五部分评标原则及方法—五、评分细则-“同类产品供货业绩”</w:t>
      </w:r>
      <w:r>
        <w:rPr>
          <w:rFonts w:hint="eastAsia" w:ascii="新宋体" w:hAnsi="新宋体" w:eastAsia="新宋体" w:cs="ˎ̥"/>
          <w:color w:val="auto"/>
          <w:sz w:val="22"/>
          <w:szCs w:val="22"/>
          <w:highlight w:val="none"/>
          <w:lang w:val="en-US" w:eastAsia="zh-CN"/>
        </w:rPr>
        <w:t>的</w:t>
      </w:r>
      <w:r>
        <w:rPr>
          <w:rFonts w:hint="eastAsia" w:ascii="新宋体" w:hAnsi="新宋体" w:eastAsia="新宋体" w:cs="ˎ̥"/>
          <w:color w:val="auto"/>
          <w:sz w:val="22"/>
          <w:szCs w:val="22"/>
          <w:highlight w:val="none"/>
        </w:rPr>
        <w:t xml:space="preserve">要求提供证明材料； </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3.投标供应商不按此要求填写此项内容或未按要求提供业绩证明材料将视为无业绩，不纳入评分范围。</w:t>
      </w:r>
    </w:p>
    <w:p>
      <w:pPr>
        <w:spacing w:line="400" w:lineRule="exact"/>
        <w:ind w:firstLine="413" w:firstLineChars="196"/>
        <w:outlineLvl w:val="9"/>
        <w:rPr>
          <w:rFonts w:hint="eastAsia" w:ascii="宋体" w:hAnsi="宋体" w:eastAsia="宋体" w:cs="宋体"/>
          <w:b/>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numPr>
          <w:ilvl w:val="0"/>
          <w:numId w:val="0"/>
        </w:numPr>
        <w:ind w:right="-1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九</w:t>
      </w:r>
    </w:p>
    <w:p>
      <w:pPr>
        <w:spacing w:line="4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产品供货范围详细清单</w:t>
      </w: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rPr>
        <w:t xml:space="preserve">                     </w:t>
      </w:r>
    </w:p>
    <w:p>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WGSS-JFJT-Z-2025017</w:t>
      </w:r>
    </w:p>
    <w:tbl>
      <w:tblPr>
        <w:tblStyle w:val="33"/>
        <w:tblW w:w="49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1"/>
        <w:gridCol w:w="1782"/>
        <w:gridCol w:w="848"/>
        <w:gridCol w:w="1505"/>
        <w:gridCol w:w="789"/>
        <w:gridCol w:w="829"/>
        <w:gridCol w:w="1612"/>
        <w:gridCol w:w="777"/>
        <w:gridCol w:w="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性能及指标</w:t>
            </w:r>
          </w:p>
        </w:tc>
        <w:tc>
          <w:tcPr>
            <w:tcW w:w="40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w:t>
            </w:r>
          </w:p>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bl>
    <w:p>
      <w:pPr>
        <w:pStyle w:val="15"/>
        <w:rPr>
          <w:rFonts w:hint="eastAsia" w:ascii="宋体" w:hAnsi="宋体" w:eastAsia="宋体" w:cs="宋体"/>
          <w:color w:val="auto"/>
          <w:sz w:val="21"/>
          <w:szCs w:val="21"/>
          <w:highlight w:val="none"/>
        </w:rPr>
      </w:pPr>
    </w:p>
    <w:p>
      <w:pPr>
        <w:pStyle w:val="15"/>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tabs>
          <w:tab w:val="left" w:pos="840"/>
        </w:tabs>
        <w:adjustRightInd w:val="0"/>
        <w:snapToGrid w:val="0"/>
        <w:spacing w:line="360" w:lineRule="auto"/>
        <w:ind w:left="420" w:leftChars="200" w:firstLine="315" w:firstLineChars="150"/>
        <w:rPr>
          <w:rFonts w:hint="eastAsia" w:ascii="宋体" w:hAnsi="宋体" w:eastAsia="宋体" w:cs="宋体"/>
          <w:color w:val="auto"/>
          <w:sz w:val="21"/>
          <w:szCs w:val="21"/>
          <w:highlight w:val="none"/>
        </w:rPr>
      </w:pPr>
    </w:p>
    <w:p>
      <w:pPr>
        <w:spacing w:line="460" w:lineRule="exact"/>
        <w:jc w:val="center"/>
        <w:rPr>
          <w:rFonts w:hint="eastAsia" w:ascii="宋体" w:hAnsi="宋体" w:eastAsia="宋体" w:cs="宋体"/>
          <w:b/>
          <w:bCs/>
          <w:color w:val="auto"/>
          <w:sz w:val="21"/>
          <w:szCs w:val="21"/>
          <w:highlight w:val="none"/>
        </w:rPr>
      </w:pPr>
    </w:p>
    <w:p>
      <w:pPr>
        <w:spacing w:line="460" w:lineRule="exact"/>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p>
    <w:p>
      <w:pPr>
        <w:spacing w:line="46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随机备品备件和专用工具清单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p>
    <w:p>
      <w:pPr>
        <w:spacing w:line="4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rPr>
        <w:t xml:space="preserve">                     </w:t>
      </w:r>
    </w:p>
    <w:p>
      <w:pPr>
        <w:spacing w:line="460" w:lineRule="exact"/>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WGSS-JFJT-Z-2025017</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789"/>
        <w:gridCol w:w="1470"/>
        <w:gridCol w:w="1260"/>
        <w:gridCol w:w="1260"/>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13"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设备名称及编号</w:t>
            </w:r>
          </w:p>
        </w:tc>
        <w:tc>
          <w:tcPr>
            <w:tcW w:w="1789"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附件及备件、专用工具名称</w:t>
            </w:r>
          </w:p>
        </w:tc>
        <w:tc>
          <w:tcPr>
            <w:tcW w:w="147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品牌/产地</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包装形式</w:t>
            </w:r>
          </w:p>
        </w:tc>
        <w:tc>
          <w:tcPr>
            <w:tcW w:w="1515"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789"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47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26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26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515"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注：1、投标供应商可按以上表格形式进行复制，附在技术资信标内。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2、本表所列为随设备所带的附件及备品备件。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3、设备验收时，实到的随机备品备件的产地等应与此一览表一一对应。</w:t>
      </w:r>
    </w:p>
    <w:p>
      <w:pPr>
        <w:spacing w:line="360" w:lineRule="auto"/>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（商务（报价）标封面，供参考）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ind w:left="480" w:hanging="560" w:hangingChars="200"/>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4台预应力检测仪</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WGSS-JFJT-Z-2025017</w:t>
      </w:r>
    </w:p>
    <w:p>
      <w:pPr>
        <w:jc w:val="center"/>
        <w:outlineLvl w:val="9"/>
        <w:rPr>
          <w:rFonts w:hint="eastAsia" w:ascii="宋体" w:hAnsi="宋体" w:eastAsia="宋体" w:cs="宋体"/>
          <w:color w:val="auto"/>
          <w:sz w:val="28"/>
          <w:szCs w:val="28"/>
          <w:highlight w:val="none"/>
          <w:u w:val="none"/>
        </w:rPr>
      </w:pPr>
    </w:p>
    <w:p>
      <w:pPr>
        <w:jc w:val="center"/>
        <w:outlineLvl w:val="9"/>
        <w:rPr>
          <w:rFonts w:hint="eastAsia" w:ascii="宋体" w:hAnsi="宋体" w:eastAsia="宋体" w:cs="宋体"/>
          <w:color w:val="auto"/>
          <w:sz w:val="28"/>
          <w:szCs w:val="28"/>
          <w:highlight w:val="none"/>
          <w:u w:val="none"/>
        </w:rPr>
      </w:pPr>
    </w:p>
    <w:p>
      <w:pPr>
        <w:spacing w:line="360" w:lineRule="auto"/>
        <w:jc w:val="center"/>
        <w:outlineLvl w:val="9"/>
        <w:rPr>
          <w:rFonts w:hint="eastAsia"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pPr>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2"/>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一</w:t>
      </w:r>
    </w:p>
    <w:p>
      <w:pPr>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pPr>
        <w:spacing w:line="380" w:lineRule="exact"/>
        <w:jc w:val="center"/>
        <w:outlineLvl w:val="9"/>
        <w:rPr>
          <w:rFonts w:hint="eastAsia" w:ascii="宋体" w:hAnsi="宋体" w:eastAsia="宋体" w:cs="宋体"/>
          <w:b/>
          <w:bCs/>
          <w:color w:val="auto"/>
          <w:sz w:val="21"/>
          <w:szCs w:val="21"/>
          <w:highlight w:val="none"/>
        </w:rPr>
      </w:pP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4台预应力检测仪</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WGSS-JFJT-Z-2025017</w:t>
      </w:r>
    </w:p>
    <w:p>
      <w:pPr>
        <w:spacing w:line="560" w:lineRule="exact"/>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（价格单位：人民币元）</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3022"/>
        <w:gridCol w:w="2740"/>
        <w:gridCol w:w="1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2680" w:type="dxa"/>
            <w:noWrap w:val="0"/>
            <w:vAlign w:val="center"/>
          </w:tcPr>
          <w:p>
            <w:pPr>
              <w:ind w:right="-21" w:rightChars="-1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w:t>
            </w:r>
          </w:p>
        </w:tc>
        <w:tc>
          <w:tcPr>
            <w:tcW w:w="3022" w:type="dxa"/>
            <w:tcBorders>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2740"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供货期限</w:t>
            </w:r>
          </w:p>
        </w:tc>
        <w:tc>
          <w:tcPr>
            <w:tcW w:w="1023"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2680" w:type="dxa"/>
            <w:noWrap w:val="0"/>
            <w:vAlign w:val="center"/>
          </w:tcPr>
          <w:p>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4台预应力检测仪</w:t>
            </w:r>
          </w:p>
        </w:tc>
        <w:tc>
          <w:tcPr>
            <w:tcW w:w="3022" w:type="dxa"/>
            <w:tcBorders>
              <w:right w:val="single" w:color="auto" w:sz="4" w:space="0"/>
            </w:tcBorders>
            <w:noWrap w:val="0"/>
            <w:vAlign w:val="center"/>
          </w:tcPr>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2740" w:type="dxa"/>
            <w:tcBorders>
              <w:left w:val="single" w:color="auto" w:sz="4" w:space="0"/>
            </w:tcBorders>
            <w:noWrap w:val="0"/>
            <w:vAlign w:val="center"/>
          </w:tcPr>
          <w:p>
            <w:pPr>
              <w:ind w:right="-21" w:rightChars="-1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2"/>
                <w:szCs w:val="22"/>
                <w:highlight w:val="none"/>
              </w:rPr>
              <w:t>采购人发出通知后</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个日历天内供应商须完成货物的供货、安装、调试</w:t>
            </w:r>
            <w:r>
              <w:rPr>
                <w:rFonts w:hint="eastAsia" w:ascii="宋体" w:hAnsi="宋体" w:eastAsia="宋体" w:cs="宋体"/>
                <w:bCs/>
                <w:color w:val="auto"/>
                <w:sz w:val="22"/>
                <w:szCs w:val="22"/>
                <w:highlight w:val="none"/>
                <w:lang w:eastAsia="zh-CN"/>
              </w:rPr>
              <w:t>。</w:t>
            </w:r>
          </w:p>
        </w:tc>
        <w:tc>
          <w:tcPr>
            <w:tcW w:w="1023"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Cs/>
          <w:color w:val="auto"/>
          <w:sz w:val="21"/>
          <w:szCs w:val="21"/>
          <w:highlight w:val="none"/>
        </w:rPr>
      </w:pPr>
    </w:p>
    <w:p>
      <w:pPr>
        <w:ind w:firstLine="0" w:firstLine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spacing w:line="360" w:lineRule="exact"/>
        <w:ind w:left="210" w:hanging="210" w:hangingChars="1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1、投标报价（即</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）包含的内容详见第一部分投标供应商须知第11点。</w:t>
      </w:r>
    </w:p>
    <w:p>
      <w:pPr>
        <w:spacing w:line="360" w:lineRule="exact"/>
        <w:ind w:left="21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此投标报价一览表中投标报价应与“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分项报价表”中“总计价”相一致。 </w:t>
      </w:r>
    </w:p>
    <w:p>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此表不得自行增减内容，不提供此表格将被视为没有实质性响应</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,其投标文件将被拒绝。</w:t>
      </w:r>
      <w:r>
        <w:rPr>
          <w:rFonts w:hint="eastAsia" w:ascii="宋体" w:hAnsi="宋体" w:eastAsia="宋体" w:cs="宋体"/>
          <w:b/>
          <w:color w:val="auto"/>
          <w:sz w:val="21"/>
          <w:szCs w:val="21"/>
          <w:highlight w:val="none"/>
        </w:rPr>
        <w:t xml:space="preserve">                                                          </w:t>
      </w:r>
    </w:p>
    <w:p>
      <w:pPr>
        <w:spacing w:line="340" w:lineRule="exact"/>
        <w:ind w:right="-21" w:rightChars="-1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jc w:val="both"/>
        <w:outlineLvl w:val="9"/>
        <w:rPr>
          <w:rFonts w:hint="eastAsia" w:ascii="宋体" w:hAnsi="宋体" w:eastAsia="宋体" w:cs="宋体"/>
          <w:b/>
          <w:bCs/>
          <w:color w:val="auto"/>
          <w:sz w:val="21"/>
          <w:szCs w:val="21"/>
          <w:highlight w:val="none"/>
        </w:rPr>
        <w:sectPr>
          <w:footerReference r:id="rId6" w:type="default"/>
          <w:pgSz w:w="11906" w:h="16838"/>
          <w:pgMar w:top="1134" w:right="1134" w:bottom="1134" w:left="1417" w:header="851" w:footer="567" w:gutter="0"/>
          <w:paperSrc/>
          <w:pgNumType w:fmt="decimal"/>
          <w:cols w:space="720" w:num="1"/>
          <w:rtlGutter w:val="0"/>
          <w:docGrid w:linePitch="312" w:charSpace="0"/>
        </w:sectPr>
      </w:pPr>
    </w:p>
    <w:p>
      <w:pPr>
        <w:spacing w:line="380" w:lineRule="exact"/>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十二</w:t>
      </w:r>
    </w:p>
    <w:p>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bookmarkStart w:id="162" w:name="_Hlk483770012"/>
      <w:r>
        <w:rPr>
          <w:rFonts w:hint="eastAsia" w:ascii="宋体" w:hAnsi="宋体" w:eastAsia="宋体" w:cs="宋体"/>
          <w:b/>
          <w:color w:val="auto"/>
          <w:sz w:val="21"/>
          <w:szCs w:val="21"/>
          <w:highlight w:val="none"/>
          <w:lang w:val="zh-CN"/>
        </w:rPr>
        <w:t>投标分项报价表</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4台预应力检测仪</w:t>
      </w:r>
    </w:p>
    <w:p>
      <w:pPr>
        <w:spacing w:line="56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WGSS-JFJT-Z-2025017</w:t>
      </w:r>
      <w:r>
        <w:rPr>
          <w:rFonts w:hint="eastAsia" w:ascii="宋体" w:hAnsi="宋体" w:eastAsia="宋体" w:cs="宋体"/>
          <w:b/>
          <w:color w:val="auto"/>
          <w:sz w:val="21"/>
          <w:szCs w:val="21"/>
          <w:highlight w:val="none"/>
        </w:rPr>
        <w:t xml:space="preserve">                  </w:t>
      </w:r>
    </w:p>
    <w:p>
      <w:pPr>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eastAsia="zh-CN"/>
        </w:rPr>
        <w:t>（价格单位：人民币元）</w:t>
      </w:r>
    </w:p>
    <w:p>
      <w:pPr>
        <w:pStyle w:val="2"/>
        <w:outlineLvl w:val="9"/>
        <w:rPr>
          <w:rFonts w:hint="eastAsia" w:ascii="宋体" w:hAnsi="宋体" w:eastAsia="宋体" w:cs="宋体"/>
          <w:b/>
          <w:color w:val="auto"/>
          <w:sz w:val="21"/>
          <w:szCs w:val="21"/>
          <w:highlight w:val="none"/>
          <w:lang w:eastAsia="zh-CN"/>
        </w:rPr>
      </w:pPr>
    </w:p>
    <w:bookmarkEnd w:id="162"/>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89"/>
        <w:gridCol w:w="1630"/>
        <w:gridCol w:w="1417"/>
        <w:gridCol w:w="1106"/>
        <w:gridCol w:w="1139"/>
        <w:gridCol w:w="119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right w:val="single" w:color="auto" w:sz="4" w:space="0"/>
            </w:tcBorders>
            <w:noWrap w:val="0"/>
            <w:vAlign w:val="center"/>
          </w:tcPr>
          <w:p>
            <w:pPr>
              <w:ind w:right="-11"/>
              <w:jc w:val="center"/>
              <w:rPr>
                <w:rFonts w:hint="eastAsia" w:ascii="宋体" w:hAnsi="宋体" w:eastAsia="宋体" w:cs="黑体"/>
                <w:b/>
                <w:bCs/>
                <w:color w:val="auto"/>
                <w:sz w:val="22"/>
                <w:szCs w:val="22"/>
                <w:highlight w:val="none"/>
                <w:lang w:eastAsia="zh-CN"/>
              </w:rPr>
            </w:pPr>
            <w:r>
              <w:rPr>
                <w:rFonts w:hint="eastAsia" w:ascii="宋体" w:hAnsi="宋体" w:cs="黑体"/>
                <w:b/>
                <w:bCs/>
                <w:color w:val="auto"/>
                <w:sz w:val="22"/>
                <w:szCs w:val="22"/>
                <w:highlight w:val="none"/>
                <w:lang w:val="en-US" w:eastAsia="zh-CN"/>
              </w:rPr>
              <w:t>序号</w:t>
            </w:r>
          </w:p>
        </w:tc>
        <w:tc>
          <w:tcPr>
            <w:tcW w:w="178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货物名称</w:t>
            </w:r>
          </w:p>
        </w:tc>
        <w:tc>
          <w:tcPr>
            <w:tcW w:w="1630"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品牌、型号、规格</w:t>
            </w:r>
          </w:p>
        </w:tc>
        <w:tc>
          <w:tcPr>
            <w:tcW w:w="1417"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产地</w:t>
            </w:r>
          </w:p>
        </w:tc>
        <w:tc>
          <w:tcPr>
            <w:tcW w:w="1106"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数量</w:t>
            </w:r>
          </w:p>
        </w:tc>
        <w:tc>
          <w:tcPr>
            <w:tcW w:w="113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color w:val="auto"/>
                <w:sz w:val="22"/>
                <w:szCs w:val="22"/>
                <w:highlight w:val="none"/>
              </w:rPr>
            </w:pPr>
            <w:r>
              <w:rPr>
                <w:rFonts w:ascii="宋体" w:hAnsi="宋体" w:cs="黑体"/>
                <w:b/>
                <w:bCs/>
                <w:color w:val="auto"/>
                <w:sz w:val="22"/>
                <w:szCs w:val="22"/>
                <w:highlight w:val="none"/>
              </w:rPr>
              <w:t>单价</w:t>
            </w:r>
          </w:p>
        </w:tc>
        <w:tc>
          <w:tcPr>
            <w:tcW w:w="1198"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color w:val="auto"/>
                <w:sz w:val="22"/>
                <w:szCs w:val="22"/>
                <w:highlight w:val="none"/>
              </w:rPr>
            </w:pPr>
            <w:r>
              <w:rPr>
                <w:rFonts w:ascii="宋体" w:hAnsi="宋体" w:cs="黑体"/>
                <w:b/>
                <w:bCs/>
                <w:color w:val="auto"/>
                <w:sz w:val="22"/>
                <w:szCs w:val="22"/>
                <w:highlight w:val="none"/>
              </w:rPr>
              <w:t>总价</w:t>
            </w:r>
          </w:p>
        </w:tc>
        <w:tc>
          <w:tcPr>
            <w:tcW w:w="897" w:type="dxa"/>
            <w:tcBorders>
              <w:top w:val="single" w:color="auto" w:sz="12" w:space="0"/>
              <w:left w:val="single" w:color="auto" w:sz="4" w:space="0"/>
              <w:bottom w:val="single" w:color="auto" w:sz="12" w:space="0"/>
              <w:right w:val="single" w:color="auto" w:sz="12"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免费</w:t>
            </w:r>
          </w:p>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1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随机备品备件、耗材、专用工具（如有）</w:t>
            </w:r>
          </w:p>
        </w:tc>
        <w:tc>
          <w:tcPr>
            <w:tcW w:w="5757" w:type="dxa"/>
            <w:gridSpan w:val="5"/>
            <w:tcBorders>
              <w:top w:val="single" w:color="auto" w:sz="1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运杂及保险费（含卸货）</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安装调试及验收费（包括设备的测试、调试、验收等费用）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技术培训费、技术服务费、售后服务费等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其他相关费用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97" w:type="dxa"/>
            <w:gridSpan w:val="3"/>
            <w:tcBorders>
              <w:top w:val="single" w:color="auto" w:sz="2" w:space="0"/>
              <w:left w:val="single" w:color="auto" w:sz="12" w:space="0"/>
              <w:bottom w:val="single" w:color="auto" w:sz="12" w:space="0"/>
              <w:right w:val="single" w:color="auto" w:sz="4" w:space="0"/>
            </w:tcBorders>
            <w:noWrap w:val="0"/>
            <w:vAlign w:val="center"/>
          </w:tcPr>
          <w:p>
            <w:pPr>
              <w:ind w:right="-11"/>
              <w:rPr>
                <w:rFonts w:ascii="宋体" w:hAnsi="宋体" w:cs="黑体"/>
                <w:color w:val="auto"/>
                <w:sz w:val="22"/>
                <w:szCs w:val="22"/>
                <w:highlight w:val="none"/>
              </w:rPr>
            </w:pPr>
            <w:r>
              <w:rPr>
                <w:rFonts w:hint="eastAsia" w:ascii="宋体" w:hAnsi="宋体" w:cs="黑体"/>
                <w:color w:val="auto"/>
                <w:sz w:val="22"/>
                <w:szCs w:val="22"/>
                <w:highlight w:val="none"/>
              </w:rPr>
              <w:t>总计价</w:t>
            </w:r>
          </w:p>
        </w:tc>
        <w:tc>
          <w:tcPr>
            <w:tcW w:w="5757" w:type="dxa"/>
            <w:gridSpan w:val="5"/>
            <w:tcBorders>
              <w:top w:val="single" w:color="auto" w:sz="2" w:space="0"/>
              <w:left w:val="single" w:color="auto" w:sz="4" w:space="0"/>
              <w:bottom w:val="single" w:color="auto" w:sz="12" w:space="0"/>
              <w:right w:val="single" w:color="auto" w:sz="12" w:space="0"/>
            </w:tcBorders>
            <w:noWrap w:val="0"/>
            <w:vAlign w:val="center"/>
          </w:tcPr>
          <w:p>
            <w:pPr>
              <w:ind w:right="-10"/>
              <w:rPr>
                <w:rFonts w:ascii="宋体" w:hAnsi="宋体" w:cs="黑体"/>
                <w:color w:val="auto"/>
                <w:sz w:val="22"/>
                <w:szCs w:val="22"/>
                <w:highlight w:val="none"/>
              </w:rPr>
            </w:pPr>
          </w:p>
        </w:tc>
      </w:tr>
    </w:tbl>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exact"/>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总计价应与“开标一览表”中投标总报价相一致。</w:t>
      </w:r>
    </w:p>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pPr>
        <w:spacing w:line="360" w:lineRule="exact"/>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3、本表可在不改变主要格式的情况下根据具体需要自行调整。</w:t>
      </w:r>
    </w:p>
    <w:p>
      <w:pPr>
        <w:spacing w:line="360" w:lineRule="exact"/>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上表“单价”、“合价”均为含税价。</w:t>
      </w:r>
    </w:p>
    <w:p>
      <w:pPr>
        <w:spacing w:line="460" w:lineRule="exact"/>
        <w:ind w:firstLine="3780" w:firstLineChars="1800"/>
        <w:jc w:val="left"/>
        <w:outlineLvl w:val="9"/>
        <w:rPr>
          <w:rFonts w:hint="eastAsia" w:ascii="宋体" w:hAnsi="宋体" w:eastAsia="宋体" w:cs="宋体"/>
          <w:color w:val="auto"/>
          <w:sz w:val="21"/>
          <w:szCs w:val="21"/>
          <w:highlight w:val="none"/>
        </w:rPr>
      </w:pPr>
      <w:bookmarkStart w:id="163" w:name="_Toc235866828"/>
    </w:p>
    <w:p>
      <w:pPr>
        <w:spacing w:line="460" w:lineRule="exact"/>
        <w:ind w:firstLine="3780" w:firstLineChars="18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1050" w:firstLineChars="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360" w:lineRule="exact"/>
        <w:ind w:left="0" w:leftChars="0" w:firstLine="6090" w:firstLineChars="2900"/>
        <w:jc w:val="left"/>
        <w:outlineLvl w:val="9"/>
        <w:rPr>
          <w:rFonts w:hint="eastAsia" w:ascii="宋体" w:hAnsi="宋体" w:eastAsia="宋体" w:cs="宋体"/>
          <w:b w:val="0"/>
          <w:bCs w:val="0"/>
          <w:color w:val="auto"/>
          <w:sz w:val="21"/>
          <w:szCs w:val="21"/>
          <w:highlight w:val="none"/>
        </w:rPr>
        <w:sectPr>
          <w:pgSz w:w="11906" w:h="16838"/>
          <w:pgMar w:top="1134" w:right="1134" w:bottom="1134" w:left="1417" w:header="851" w:footer="567" w:gutter="0"/>
          <w:paperSrc/>
          <w:pgNumType w:fmt="decimal"/>
          <w:cols w:space="720" w:num="1"/>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pPr>
        <w:spacing w:line="360" w:lineRule="auto"/>
        <w:jc w:val="center"/>
        <w:outlineLvl w:val="0"/>
        <w:rPr>
          <w:rFonts w:hint="eastAsia" w:ascii="宋体" w:hAnsi="宋体" w:eastAsia="宋体" w:cs="宋体"/>
          <w:color w:val="auto"/>
          <w:sz w:val="36"/>
          <w:highlight w:val="none"/>
          <w:lang w:eastAsia="zh-CN"/>
        </w:rPr>
      </w:pPr>
      <w:bookmarkStart w:id="164" w:name="_Toc17907"/>
      <w:r>
        <w:rPr>
          <w:rFonts w:hint="eastAsia" w:ascii="宋体" w:hAnsi="宋体" w:eastAsia="宋体" w:cs="宋体"/>
          <w:b/>
          <w:bCs/>
          <w:color w:val="auto"/>
          <w:sz w:val="28"/>
          <w:szCs w:val="28"/>
          <w:highlight w:val="none"/>
          <w:lang w:eastAsia="zh-CN"/>
        </w:rPr>
        <w:t>第四部分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采购内容及要求</w:t>
      </w:r>
      <w:bookmarkEnd w:id="164"/>
    </w:p>
    <w:p>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bookmarkStart w:id="165" w:name="_Toc187051758"/>
      <w:bookmarkStart w:id="166" w:name="_Toc184281683"/>
      <w:bookmarkStart w:id="167" w:name="_Toc479601381"/>
      <w:bookmarkStart w:id="168" w:name="_Toc26699"/>
      <w:r>
        <w:rPr>
          <w:rFonts w:hint="eastAsia" w:ascii="宋体" w:hAnsi="宋体" w:eastAsia="宋体" w:cs="宋体"/>
          <w:color w:val="auto"/>
          <w:sz w:val="21"/>
          <w:szCs w:val="21"/>
          <w:highlight w:val="none"/>
          <w:lang w:val="en-US" w:eastAsia="zh-CN"/>
        </w:rPr>
        <w:t>一、概述</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1、潜在供应商领取采购文件后,必须按国家《保密法》以及保密工作的相关规定，对采购文件内容应承担保密义务，维护采购人的权益，发生窃、泄密事件潜在供应商应承担相应的法律责任。</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2、供应商一旦参与本次采购活动，即被视为接受了本采购文件的所有内容，如有任何异议，均需在答疑截止时间前以采购文件规定的形式提出。</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165"/>
    <w:bookmarkEnd w:id="166"/>
    <w:bookmarkEnd w:id="167"/>
    <w:bookmarkEnd w:id="168"/>
    <w:p>
      <w:pPr>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宋体"/>
          <w:b w:val="0"/>
          <w:bCs w:val="0"/>
          <w:color w:val="auto"/>
          <w:sz w:val="21"/>
          <w:szCs w:val="21"/>
          <w:highlight w:val="none"/>
          <w:u w:val="none"/>
          <w:lang w:val="en-US" w:eastAsia="zh-CN"/>
        </w:rPr>
      </w:pPr>
      <w:bookmarkStart w:id="169" w:name="_Toc239145361"/>
      <w:bookmarkStart w:id="170" w:name="_Toc223716005"/>
      <w:bookmarkStart w:id="171" w:name="_Toc262049426"/>
      <w:bookmarkStart w:id="172" w:name="_Toc245722288"/>
      <w:bookmarkStart w:id="173" w:name="_Toc221356897"/>
      <w:bookmarkStart w:id="174" w:name="_Toc246261272"/>
      <w:bookmarkStart w:id="175" w:name="_Toc221374633"/>
      <w:bookmarkStart w:id="176" w:name="_Toc249758722"/>
      <w:bookmarkStart w:id="177" w:name="_Toc241404209"/>
      <w:bookmarkStart w:id="178" w:name="_Toc221356960"/>
      <w:bookmarkStart w:id="179" w:name="_Toc245191321"/>
      <w:bookmarkStart w:id="180" w:name="_Toc222114886"/>
      <w:bookmarkStart w:id="181" w:name="_Toc262105511"/>
      <w:bookmarkStart w:id="182" w:name="_Toc389760270"/>
      <w:bookmarkStart w:id="183" w:name="_Toc221423626"/>
      <w:bookmarkStart w:id="184" w:name="_Toc249758872"/>
      <w:r>
        <w:rPr>
          <w:rFonts w:hint="eastAsia" w:ascii="宋体" w:hAnsi="宋体" w:eastAsia="宋体" w:cs="宋体"/>
          <w:b w:val="0"/>
          <w:bCs w:val="0"/>
          <w:color w:val="auto"/>
          <w:sz w:val="21"/>
          <w:szCs w:val="21"/>
          <w:highlight w:val="none"/>
          <w:u w:val="none"/>
          <w:lang w:val="en-US" w:eastAsia="zh-CN"/>
        </w:rPr>
        <w:t>二、采购内容及要求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bookmarkStart w:id="185" w:name="OLE_LINK19"/>
      <w:r>
        <w:rPr>
          <w:rFonts w:hint="eastAsia" w:ascii="宋体" w:hAnsi="宋体" w:eastAsia="宋体" w:cs="宋体"/>
          <w:b w:val="0"/>
          <w:bCs w:val="0"/>
          <w:color w:val="auto"/>
          <w:sz w:val="21"/>
          <w:szCs w:val="21"/>
          <w:highlight w:val="none"/>
          <w:u w:val="none"/>
          <w:lang w:val="en-US" w:eastAsia="zh-CN"/>
        </w:rPr>
        <w:t>（一）</w:t>
      </w:r>
      <w:r>
        <w:rPr>
          <w:rFonts w:hint="eastAsia" w:ascii="宋体" w:hAnsi="宋体" w:eastAsia="宋体" w:cs="宋体"/>
          <w:b w:val="0"/>
          <w:bCs w:val="0"/>
          <w:color w:val="auto"/>
          <w:sz w:val="21"/>
          <w:szCs w:val="21"/>
          <w:highlight w:val="none"/>
          <w:u w:val="single"/>
          <w:lang w:val="en-US" w:eastAsia="zh-CN"/>
        </w:rPr>
        <w:t>▲采购内容：4台预应力检测仪</w:t>
      </w:r>
      <w:r>
        <w:rPr>
          <w:rFonts w:hint="eastAsia" w:ascii="宋体" w:hAnsi="宋体" w:eastAsia="宋体" w:cs="宋体"/>
          <w:b w:val="0"/>
          <w:bCs w:val="0"/>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（二）技术要求：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适用于预应力梁板施工的单根预应力筋有效预应力检测，能够同时测力和位移：①有效预应力偏差的检测；②同束不均匀度的检测；③同断面不均匀度的检测；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满足DB33/T 2154—2018中要求具备力和位移限值功能；精度要求：1)单根重复性测试结果最大不确定度：1%;2)示值最大误差：1%FS;3)测试最大误差：±1.5%FS。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1、数控式液压泵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（1）功能：可远程控制进行张拉检测工作，也可以在本地主机上；控制油泵实现进回油操作；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（2）★通讯方式：无线、有线；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（3）控制最大张力值（防止超张拉）：软件设置≥230kN，可根据实际情况修改；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（4）★工作电压：≥48V，直流。标配移动电源，可不用现场接电，独立工作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（5）油泵泄压方式：采用新型电磁阀，可缓慢泄压，保障钢绞线自主回缩，减少钢绞线损伤，保压力值更稳定；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（6）张拉速率调节方式：可根据需要自主调节油泵工作参数控制张拉速率；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（7）油泵泵头：油泵具备高、低压双泵头功能，自主切换，张拉效率更高，检测的稳定性；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（8）自检安全/自动排空：本产品设置有自检程序，在张拉过程中出现数据异常的情况，会提示进入安全模式并自动进行回油操作，保障设备和操作人员的安全；此程序可实现设备的自动排空功能；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（9）额定功率：≥550W</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（10）最大允许输出油压：≥60MPa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2、智能限位装置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（1）功能：测试夹片位移量，控制张拉过程，保护工作夹片；压力传感器直接测得压力值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（2）★位移传感器：内含三支，等间距分布传感器（确保读取到每个夹片的位移情况，防止工作夹片张拉不均衡造成的错测）；（在</w:t>
      </w:r>
      <w:r>
        <w:rPr>
          <w:rFonts w:hint="eastAsia" w:ascii="宋体" w:hAnsi="宋体" w:eastAsia="宋体" w:cs="宋体"/>
          <w:color w:val="auto"/>
          <w:sz w:val="21"/>
          <w:szCs w:val="21"/>
          <w:highlight w:val="none"/>
        </w:rPr>
        <w:t>技术、商务偏离表</w:t>
      </w:r>
      <w:r>
        <w:rPr>
          <w:rFonts w:hint="eastAsia" w:ascii="宋体" w:hAnsi="宋体" w:eastAsia="宋体" w:cs="宋体"/>
          <w:color w:val="auto"/>
          <w:sz w:val="21"/>
          <w:szCs w:val="21"/>
          <w:highlight w:val="none"/>
          <w:lang w:val="en-US" w:eastAsia="zh-CN"/>
        </w:rPr>
        <w:t>后附</w:t>
      </w:r>
      <w:r>
        <w:rPr>
          <w:rFonts w:hint="eastAsia" w:ascii="宋体" w:hAnsi="宋体" w:eastAsia="宋体" w:cs="宋体"/>
          <w:color w:val="auto"/>
          <w:kern w:val="1"/>
          <w:sz w:val="21"/>
          <w:szCs w:val="21"/>
          <w:highlight w:val="none"/>
          <w:lang w:val="en-US" w:eastAsia="zh-CN"/>
        </w:rPr>
        <w:t>实物照片打印件并</w:t>
      </w:r>
      <w:r>
        <w:rPr>
          <w:rFonts w:hint="eastAsia" w:ascii="宋体" w:hAnsi="宋体" w:cs="宋体"/>
          <w:kern w:val="1"/>
          <w:szCs w:val="21"/>
          <w:highlight w:val="none"/>
        </w:rPr>
        <w:t>加盖</w:t>
      </w:r>
      <w:r>
        <w:rPr>
          <w:rFonts w:hint="eastAsia" w:ascii="宋体" w:hAnsi="宋体" w:cs="宋体"/>
          <w:kern w:val="1"/>
          <w:szCs w:val="21"/>
          <w:highlight w:val="none"/>
          <w:lang w:eastAsia="zh-CN"/>
        </w:rPr>
        <w:t>投标供应商</w:t>
      </w:r>
      <w:r>
        <w:rPr>
          <w:rFonts w:hint="eastAsia" w:ascii="宋体" w:hAnsi="宋体" w:cs="宋体"/>
          <w:kern w:val="1"/>
          <w:szCs w:val="21"/>
          <w:highlight w:val="none"/>
        </w:rPr>
        <w:t>公章</w:t>
      </w:r>
      <w:r>
        <w:rPr>
          <w:rFonts w:hint="eastAsia" w:ascii="宋体" w:hAnsi="宋体" w:eastAsia="宋体" w:cs="宋体"/>
          <w:color w:val="auto"/>
          <w:kern w:val="1"/>
          <w:sz w:val="21"/>
          <w:szCs w:val="21"/>
          <w:highlight w:val="none"/>
          <w:lang w:val="en-US" w:eastAsia="zh-CN"/>
        </w:rPr>
        <w:t>，否则视为负偏离）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（3）数传方式：无线传输（解决有线接头产生的不稳定因素）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（4）位移传感器量程：0～10mm；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（5）位移读数精度：不高于0.01mm；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（6）压力传感器量程：0～250kN；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（7）压力读数精度：优于0.5%FS。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3、数据处理系统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（1）功能：可远程控制数控油泵工作以及出油量速率，实时记录并绘制张拉数据曲线，根据数据处理算法判断张拉力是否为有效张拉力；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r>
        <w:rPr>
          <w:rFonts w:hint="eastAsia" w:ascii="宋体" w:hAnsi="宋体" w:cs="宋体"/>
          <w:color w:val="auto"/>
          <w:kern w:val="1"/>
          <w:sz w:val="21"/>
          <w:szCs w:val="21"/>
          <w:highlight w:val="none"/>
          <w:lang w:val="en-US" w:eastAsia="zh-CN"/>
        </w:rPr>
        <w:t>采集仪</w:t>
      </w:r>
      <w:r>
        <w:rPr>
          <w:rFonts w:hint="eastAsia" w:ascii="宋体" w:hAnsi="宋体" w:eastAsia="宋体" w:cs="宋体"/>
          <w:color w:val="auto"/>
          <w:kern w:val="1"/>
          <w:sz w:val="21"/>
          <w:szCs w:val="21"/>
          <w:highlight w:val="none"/>
          <w:lang w:val="en-US" w:eastAsia="zh-CN"/>
        </w:rPr>
        <w:t>操作系统</w:t>
      </w:r>
      <w:r>
        <w:rPr>
          <w:rFonts w:hint="eastAsia" w:ascii="宋体" w:hAnsi="宋体" w:cs="宋体"/>
          <w:color w:val="auto"/>
          <w:kern w:val="1"/>
          <w:sz w:val="21"/>
          <w:szCs w:val="21"/>
          <w:highlight w:val="none"/>
          <w:lang w:val="en-US" w:eastAsia="zh-CN"/>
        </w:rPr>
        <w:t>及配置</w:t>
      </w:r>
      <w:r>
        <w:rPr>
          <w:rFonts w:hint="eastAsia" w:ascii="宋体" w:hAnsi="宋体" w:eastAsia="宋体" w:cs="宋体"/>
          <w:color w:val="auto"/>
          <w:kern w:val="1"/>
          <w:sz w:val="21"/>
          <w:szCs w:val="21"/>
          <w:highlight w:val="none"/>
          <w:lang w:val="en-US" w:eastAsia="zh-CN"/>
        </w:rPr>
        <w:t>：WINDOWS，兼容性好；运行内存：≥8GB；存储空间：≥128GB，可存储大量数据；屏幕显示：≥13英寸屏幕，2K分辨率，并且支持多点触控；可显示数据：位移、油压、压力；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分析软件</w:t>
      </w:r>
      <w:r>
        <w:rPr>
          <w:rFonts w:hint="eastAsia" w:ascii="宋体" w:hAnsi="宋体" w:eastAsia="宋体" w:cs="宋体"/>
          <w:color w:val="auto"/>
          <w:kern w:val="1"/>
          <w:sz w:val="21"/>
          <w:szCs w:val="21"/>
          <w:highlight w:val="none"/>
          <w:lang w:val="en-US" w:eastAsia="zh-CN"/>
        </w:rPr>
        <w:t>主机配置：WINDOWS，兼容性好；运行内存：≥16GB</w:t>
      </w:r>
      <w:r>
        <w:rPr>
          <w:rFonts w:hint="eastAsia" w:ascii="宋体" w:hAnsi="宋体" w:cs="宋体"/>
          <w:color w:val="auto"/>
          <w:kern w:val="1"/>
          <w:sz w:val="21"/>
          <w:szCs w:val="21"/>
          <w:highlight w:val="none"/>
          <w:lang w:val="en-US" w:eastAsia="zh-CN"/>
        </w:rPr>
        <w:t>，</w:t>
      </w:r>
      <w:r>
        <w:rPr>
          <w:rFonts w:hint="eastAsia" w:ascii="宋体" w:hAnsi="宋体" w:eastAsia="宋体" w:cs="宋体"/>
          <w:color w:val="auto"/>
          <w:kern w:val="1"/>
          <w:sz w:val="21"/>
          <w:szCs w:val="21"/>
          <w:highlight w:val="none"/>
          <w:lang w:val="en-US" w:eastAsia="zh-CN"/>
        </w:rPr>
        <w:t>硬盘≥</w:t>
      </w:r>
      <w:r>
        <w:rPr>
          <w:rFonts w:hint="eastAsia" w:ascii="宋体" w:hAnsi="宋体" w:cs="宋体"/>
          <w:color w:val="auto"/>
          <w:kern w:val="1"/>
          <w:sz w:val="21"/>
          <w:szCs w:val="21"/>
          <w:highlight w:val="none"/>
          <w:lang w:val="en-US" w:eastAsia="zh-CN"/>
        </w:rPr>
        <w:t>512</w:t>
      </w:r>
      <w:r>
        <w:rPr>
          <w:rFonts w:hint="eastAsia" w:ascii="宋体" w:hAnsi="宋体" w:eastAsia="宋体" w:cs="宋体"/>
          <w:color w:val="auto"/>
          <w:kern w:val="1"/>
          <w:sz w:val="21"/>
          <w:szCs w:val="21"/>
          <w:highlight w:val="none"/>
          <w:lang w:val="en-US" w:eastAsia="zh-CN"/>
        </w:rPr>
        <w:t>GB；满足数据分析处理、报告出具。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4、千斤顶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（1）公称油压：≥52MPa；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（2）张拉活塞面积：约4.77*10-3m2；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（3）公称张力：≥248kN；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（4）张拉最大行程：≥110mm；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（5）最大穿心孔径：不低于φ16mm；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5、提供设备的校准＼检定的证书（可中标后提供）。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注：1、为完成本项目所必需的未列入采购清单的其他配件投标供应商需无偿提供。</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▲供货期限：采购人发出通知后15个日历天内供应商须完成货物的供货、安装、调试</w:t>
      </w:r>
      <w:r>
        <w:rPr>
          <w:rFonts w:hint="eastAsia" w:ascii="宋体" w:hAnsi="宋体" w:eastAsia="宋体" w:cs="宋体"/>
          <w:color w:val="auto"/>
          <w:kern w:val="1"/>
          <w:sz w:val="21"/>
          <w:szCs w:val="21"/>
          <w:highlight w:val="none"/>
          <w:u w:val="singl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default" w:ascii="宋体" w:hAnsi="宋体" w:eastAsia="宋体" w:cs="宋体"/>
          <w:color w:val="auto"/>
          <w:kern w:val="1"/>
          <w:sz w:val="21"/>
          <w:szCs w:val="21"/>
          <w:highlight w:val="none"/>
          <w:lang w:val="en-US" w:eastAsia="zh-CN"/>
        </w:rPr>
        <w:t>交货地点：由乙方负责将货物运送至甲方指定地点（温州市范围内）。甲方对货物签收前，货物的损灭、丢失、盗窃等之风险均由乙方承担。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bookmarkStart w:id="186" w:name="_Toc48918770"/>
      <w:bookmarkStart w:id="187" w:name="_Toc19801897"/>
      <w:r>
        <w:rPr>
          <w:rFonts w:hint="eastAsia" w:ascii="宋体" w:hAnsi="宋体" w:eastAsia="宋体" w:cs="宋体"/>
          <w:color w:val="auto"/>
          <w:kern w:val="1"/>
          <w:sz w:val="21"/>
          <w:szCs w:val="21"/>
          <w:highlight w:val="none"/>
          <w:lang w:val="en-US" w:eastAsia="zh-CN"/>
        </w:rPr>
        <w:t>（五）产品质保及售后服务要求</w:t>
      </w:r>
      <w:bookmarkEnd w:id="186"/>
      <w:bookmarkEnd w:id="187"/>
      <w:r>
        <w:rPr>
          <w:rFonts w:hint="eastAsia" w:ascii="宋体" w:hAnsi="宋体" w:eastAsia="宋体" w:cs="宋体"/>
          <w:color w:val="auto"/>
          <w:kern w:val="1"/>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non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1、本项目所有产品的免费质保期为一年，自验收合格次日起计算。</w:t>
      </w:r>
      <w:r>
        <w:rPr>
          <w:rFonts w:hint="eastAsia" w:ascii="宋体" w:hAnsi="宋体" w:eastAsia="宋体" w:cs="宋体"/>
          <w:color w:val="auto"/>
          <w:kern w:val="1"/>
          <w:sz w:val="21"/>
          <w:szCs w:val="21"/>
          <w:highlight w:val="none"/>
          <w:u w:val="none"/>
          <w:lang w:val="en-US" w:eastAsia="zh-CN"/>
        </w:rPr>
        <w:t>若货物另有高于合同约定的质保期期限或卖方投标文件另有承诺的按就高原则执行。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2、卖方提供的设备必须为未经使用的原厂行货</w:t>
      </w:r>
      <w:r>
        <w:rPr>
          <w:rFonts w:hint="eastAsia" w:ascii="宋体" w:hAnsi="宋体" w:eastAsia="宋体" w:cs="宋体"/>
          <w:color w:val="auto"/>
          <w:kern w:val="1"/>
          <w:sz w:val="21"/>
          <w:szCs w:val="21"/>
          <w:highlight w:val="none"/>
          <w:lang w:val="en-US" w:eastAsia="zh-CN"/>
        </w:rPr>
        <w:t>，且需对设备质量“三包”，设备质量标准按原厂质量标准执行，原厂质量标准应满足有关国家标准、行业标准或通用标准；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3、质保期满后，卖方应继续承担技术支持、维修、保养和维修件和易损件的优惠供应。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在质保期内，系统或设备发生故障时，接到电话后即时响应，免费提供咨询、维修服务，确认需要派人到现场时，派遣技术人员乘坐最近一班交通工具到达现场，且一般故障排除时间不超过24个小时，如超过24小时无法解决问题，投标供应商需及时提供替代设备，保证设备正常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2、中标供应商所提供的产品必须符合行业的国家标准和我国现行的产品认证制度规定，并满足采购人提出的产品技术要求。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3、投标供应商所提供的货物应保证是全新的和未使用过的且原装合格正品。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4、中标供应商对成交产品使用的安全性能与可靠性负全部责任。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（七）其他要求：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zh-CN" w:eastAsia="zh-CN"/>
        </w:rPr>
      </w:pPr>
      <w:r>
        <w:rPr>
          <w:rFonts w:hint="eastAsia" w:ascii="宋体" w:hAnsi="宋体" w:eastAsia="宋体" w:cs="宋体"/>
          <w:color w:val="auto"/>
          <w:kern w:val="1"/>
          <w:sz w:val="21"/>
          <w:szCs w:val="21"/>
          <w:highlight w:val="none"/>
          <w:lang w:val="en-US" w:eastAsia="zh-CN"/>
        </w:rPr>
        <w:t>1、保留测试项的指标，采购人可在合同签订前要求中标供应商提供设备测试。如测试不满足采购文件要求，则视为投标供应商提供虚假材料，其投标无效，并按有关规定上报监管部门处理。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2、所有产品安装、调试、故障解决及后续因实际需求变更引起的重新配置工作均由中标供应商负责实施。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如采购文件中遗漏了本次项目所必须具备的设备、配件或服务，请投标供应商在投标文件中指出，并提出解决方案供参考；中标供应商有义务保证采购人该项目的完整，如项目实施过程中因缺少设备、配件或服务导致采购人设备无法正常操作，中标供应商须免费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none"/>
          <w:lang w:val="en-US" w:eastAsia="zh-CN"/>
        </w:rPr>
      </w:pPr>
      <w:r>
        <w:rPr>
          <w:rFonts w:hint="eastAsia" w:ascii="宋体" w:hAnsi="宋体" w:eastAsia="宋体" w:cs="宋体"/>
          <w:color w:val="auto"/>
          <w:kern w:val="1"/>
          <w:sz w:val="21"/>
          <w:szCs w:val="21"/>
          <w:highlight w:val="none"/>
          <w:u w:val="none"/>
          <w:lang w:val="en-US" w:eastAsia="zh-CN"/>
        </w:rPr>
        <w:t>4、免费提供操作培训服务，并提供详细的培训计划及方案。投标供应商提供培训场所与设备进行本地化培训，培训内容应包括产品使用，维护管理等，并提供培训手册。乙方提供的培训次数不少于2次，培训期间乙方人员产生的相关费用自行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single"/>
          <w:lang w:val="en-US" w:eastAsia="zh-CN"/>
        </w:rPr>
        <w:t>▲本项目采用综合评分法，提供相同品牌产品且通过资格审查、符合性审查的不同投标人参加同一标项下投标的，按一家投标人计算，评审后得分最高的同品牌投标人获得中标人推荐资格；评审得分相同的，由评标委员会投票，确定票数多的投标人获得中标人推荐资格，其他同品牌投标人不作为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（八）▲本项目采购预算：72万元，投标供应商报价超过采购预算金额的，其投标文件作无效标处理。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（九）付款方式：详见合同条款。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（十）验收方式：</w:t>
      </w:r>
      <w:bookmarkEnd w:id="185"/>
      <w:r>
        <w:rPr>
          <w:rFonts w:hint="eastAsia" w:ascii="宋体" w:hAnsi="宋体" w:eastAsia="宋体" w:cs="宋体"/>
          <w:color w:val="auto"/>
          <w:kern w:val="1"/>
          <w:sz w:val="21"/>
          <w:szCs w:val="21"/>
          <w:highlight w:val="none"/>
          <w:lang w:val="en-US" w:eastAsia="zh-CN"/>
        </w:rPr>
        <w:t>详见合同条款。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Arial" w:hAnsi="Arial" w:eastAsia="宋体" w:cs="Arial"/>
          <w:b/>
          <w:bCs/>
          <w:color w:val="auto"/>
          <w:kern w:val="2"/>
          <w:sz w:val="28"/>
          <w:szCs w:val="28"/>
          <w:highlight w:val="none"/>
          <w:lang w:val="en-US" w:eastAsia="zh-CN" w:bidi="ar-SA"/>
        </w:rPr>
        <w:sectPr>
          <w:pgSz w:w="11906" w:h="16838"/>
          <w:pgMar w:top="1134" w:right="1134" w:bottom="1134" w:left="1417" w:header="851" w:footer="567" w:gutter="0"/>
          <w:paperSrc/>
          <w:pgNumType w:fmt="decimal"/>
          <w:cols w:space="720" w:num="1"/>
          <w:rtlGutter w:val="0"/>
          <w:docGrid w:linePitch="312" w:charSpace="0"/>
        </w:sectPr>
      </w:pPr>
      <w:bookmarkStart w:id="188" w:name="_Toc367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Arial" w:hAnsi="Arial" w:eastAsia="宋体" w:cs="Arial"/>
          <w:color w:val="auto"/>
          <w:sz w:val="28"/>
          <w:szCs w:val="28"/>
          <w:highlight w:val="none"/>
        </w:rPr>
      </w:pPr>
      <w:r>
        <w:rPr>
          <w:rFonts w:hint="eastAsia" w:ascii="Arial" w:hAnsi="Arial" w:eastAsia="宋体" w:cs="Arial"/>
          <w:b/>
          <w:bCs/>
          <w:color w:val="auto"/>
          <w:kern w:val="2"/>
          <w:sz w:val="28"/>
          <w:szCs w:val="28"/>
          <w:highlight w:val="none"/>
          <w:lang w:val="en-US" w:eastAsia="zh-CN" w:bidi="ar-SA"/>
        </w:rPr>
        <w:t xml:space="preserve">第五部分  </w:t>
      </w:r>
      <w:r>
        <w:rPr>
          <w:rFonts w:hint="default" w:ascii="Arial" w:hAnsi="Arial" w:eastAsia="宋体" w:cs="Arial"/>
          <w:b/>
          <w:bCs/>
          <w:color w:val="auto"/>
          <w:kern w:val="2"/>
          <w:sz w:val="28"/>
          <w:szCs w:val="28"/>
          <w:highlight w:val="none"/>
          <w:lang w:val="en-US" w:eastAsia="zh-CN" w:bidi="ar-SA"/>
        </w:rPr>
        <w:t>评标原则及方法</w:t>
      </w:r>
      <w:bookmarkEnd w:id="188"/>
    </w:p>
    <w:p>
      <w:pPr>
        <w:spacing w:line="360" w:lineRule="auto"/>
        <w:ind w:left="439" w:leftChars="209"/>
        <w:outlineLvl w:val="9"/>
        <w:rPr>
          <w:rFonts w:hint="default" w:ascii="Arial" w:hAnsi="Arial" w:eastAsia="宋体" w:cs="Arial"/>
          <w:b/>
          <w:color w:val="auto"/>
          <w:sz w:val="22"/>
          <w:szCs w:val="22"/>
          <w:highlight w:val="none"/>
        </w:rPr>
      </w:pPr>
    </w:p>
    <w:p>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根</w:t>
      </w:r>
      <w:r>
        <w:rPr>
          <w:rFonts w:hint="eastAsia" w:ascii="宋体" w:hAnsi="宋体" w:eastAsia="宋体" w:cs="宋体"/>
          <w:b/>
          <w:color w:val="auto"/>
          <w:sz w:val="21"/>
          <w:szCs w:val="21"/>
          <w:highlight w:val="none"/>
        </w:rPr>
        <w:t>据《</w:t>
      </w:r>
      <w:r>
        <w:rPr>
          <w:rFonts w:hint="eastAsia" w:ascii="宋体" w:hAnsi="宋体" w:eastAsia="宋体" w:cs="宋体"/>
          <w:b/>
          <w:color w:val="auto"/>
          <w:sz w:val="21"/>
          <w:szCs w:val="21"/>
          <w:highlight w:val="none"/>
          <w:lang w:eastAsia="zh-CN"/>
        </w:rPr>
        <w:t>温州市市属国有企业采购管理办法</w:t>
      </w:r>
      <w:r>
        <w:rPr>
          <w:rFonts w:hint="eastAsia" w:ascii="宋体" w:hAnsi="宋体" w:eastAsia="宋体" w:cs="宋体"/>
          <w:b/>
          <w:color w:val="auto"/>
          <w:sz w:val="21"/>
          <w:szCs w:val="21"/>
          <w:highlight w:val="none"/>
        </w:rPr>
        <w:t>》等相关法规特制定以下评标办法。</w:t>
      </w:r>
    </w:p>
    <w:p>
      <w:pPr>
        <w:pStyle w:val="3"/>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r>
        <w:rPr>
          <w:rFonts w:hint="eastAsia" w:ascii="宋体" w:hAnsi="宋体" w:eastAsia="宋体" w:cs="宋体"/>
          <w:color w:val="auto"/>
          <w:sz w:val="21"/>
          <w:szCs w:val="21"/>
          <w:highlight w:val="none"/>
          <w:u w:val="single"/>
        </w:rPr>
        <w:t>。</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预算金额，本项目做流标处理。</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内投标供应商不参加询问核实活动或不予答复的）。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分（技术资信权值</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0%），商务（报价）</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分（商务（报价）权值</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技术资信分的评定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3"/>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29"/>
        <w:gridCol w:w="945"/>
        <w:gridCol w:w="5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noWrap w:val="0"/>
            <w:vAlign w:val="center"/>
          </w:tcPr>
          <w:p>
            <w:pPr>
              <w:ind w:left="-50"/>
              <w:jc w:val="center"/>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序号</w:t>
            </w:r>
          </w:p>
        </w:tc>
        <w:tc>
          <w:tcPr>
            <w:tcW w:w="1929" w:type="dxa"/>
            <w:noWrap w:val="0"/>
            <w:vAlign w:val="center"/>
          </w:tcPr>
          <w:p>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945" w:type="dxa"/>
            <w:noWrap w:val="0"/>
            <w:vAlign w:val="center"/>
          </w:tcPr>
          <w:p>
            <w:pPr>
              <w:spacing w:line="2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pPr>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范围</w:t>
            </w:r>
          </w:p>
        </w:tc>
        <w:tc>
          <w:tcPr>
            <w:tcW w:w="5785" w:type="dxa"/>
            <w:noWrap w:val="0"/>
            <w:vAlign w:val="center"/>
          </w:tcPr>
          <w:p>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9" w:type="dxa"/>
            <w:noWrap w:val="0"/>
            <w:vAlign w:val="center"/>
          </w:tcPr>
          <w:p>
            <w:pPr>
              <w:spacing w:line="360" w:lineRule="exact"/>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同类产品供货业绩</w:t>
            </w:r>
          </w:p>
        </w:tc>
        <w:tc>
          <w:tcPr>
            <w:tcW w:w="945" w:type="dxa"/>
            <w:noWrap w:val="0"/>
            <w:vAlign w:val="center"/>
          </w:tcPr>
          <w:p>
            <w:pPr>
              <w:spacing w:line="460" w:lineRule="exact"/>
              <w:ind w:left="-5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投标供应商自</w:t>
            </w:r>
            <w:r>
              <w:rPr>
                <w:rFonts w:hint="eastAsia" w:ascii="宋体" w:hAnsi="宋体" w:eastAsia="宋体" w:cs="宋体"/>
                <w:color w:val="auto"/>
                <w:sz w:val="21"/>
                <w:szCs w:val="21"/>
                <w:highlight w:val="none"/>
                <w:lang w:val="en-US" w:eastAsia="zh-CN"/>
              </w:rPr>
              <w:t>2022年1月1日起至今（以合同签订时间为准）同类产品供货业绩，提供合同复印件，每份有效合同得1分，最多得5分。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业绩证明材料：提供合同复印件（加盖投标供应商公章），否则不予得分。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对应于采购文件技术规格及配置等的偏离度</w:t>
            </w:r>
          </w:p>
        </w:tc>
        <w:tc>
          <w:tcPr>
            <w:tcW w:w="945" w:type="dxa"/>
            <w:noWrap w:val="0"/>
            <w:vAlign w:val="center"/>
          </w:tcPr>
          <w:p>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与采购文件第四部分采购内容及要求中“（二）技术要求”：打“</w:t>
            </w:r>
            <w:r>
              <w:rPr>
                <w:rFonts w:hint="eastAsia" w:ascii="宋体" w:hAnsi="宋体" w:eastAsia="宋体" w:cs="宋体"/>
                <w:color w:val="auto"/>
                <w:kern w:val="1"/>
                <w:sz w:val="21"/>
                <w:szCs w:val="21"/>
                <w:highlight w:val="none"/>
                <w:lang w:val="en-US" w:eastAsia="zh-CN"/>
              </w:rPr>
              <w:t>★</w:t>
            </w:r>
            <w:r>
              <w:rPr>
                <w:rFonts w:hint="eastAsia" w:ascii="宋体" w:hAnsi="宋体" w:eastAsia="宋体" w:cs="宋体"/>
                <w:color w:val="auto"/>
                <w:sz w:val="21"/>
                <w:szCs w:val="21"/>
                <w:highlight w:val="none"/>
                <w:lang w:val="en-US" w:eastAsia="zh-CN"/>
              </w:rPr>
              <w:t>”号负偏离的每项扣3分；未打“</w:t>
            </w:r>
            <w:r>
              <w:rPr>
                <w:rFonts w:hint="eastAsia" w:ascii="宋体" w:hAnsi="宋体" w:eastAsia="宋体" w:cs="宋体"/>
                <w:color w:val="auto"/>
                <w:kern w:val="1"/>
                <w:sz w:val="21"/>
                <w:szCs w:val="21"/>
                <w:highlight w:val="none"/>
                <w:lang w:val="en-US" w:eastAsia="zh-CN"/>
              </w:rPr>
              <w:t>★</w:t>
            </w:r>
            <w:r>
              <w:rPr>
                <w:rFonts w:hint="eastAsia" w:ascii="宋体" w:hAnsi="宋体" w:eastAsia="宋体" w:cs="宋体"/>
                <w:color w:val="auto"/>
                <w:sz w:val="21"/>
                <w:szCs w:val="21"/>
                <w:highlight w:val="none"/>
                <w:lang w:val="en-US" w:eastAsia="zh-CN"/>
              </w:rPr>
              <w:t>”号负偏离的每项扣1分，扣完为止。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整体供货方案</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0-15分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根据各投标供应商整体供货方案：包括但不限于产品制造、运输、安装、调试、验收、培训等，横向比较打分；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供货方案合理性、可行性强得：15-10.1分；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5.1</w:t>
            </w:r>
            <w:r>
              <w:rPr>
                <w:rFonts w:hint="default" w:ascii="宋体" w:hAnsi="宋体" w:eastAsia="宋体" w:cs="宋体"/>
                <w:color w:val="auto"/>
                <w:sz w:val="21"/>
                <w:szCs w:val="21"/>
                <w:highlight w:val="none"/>
                <w:lang w:val="en-US" w:eastAsia="zh-CN"/>
              </w:rPr>
              <w:t>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0-15分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1、根据投标供应商售后服务方案、服务标准、备品情况、售后服务承诺的合理性、完整性、可行性等，进行横向比较打分；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合理性、完整性、可行性强得：10-6.8分；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合理性、完整性、可行性一般得：6.7-3.4分；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合理性、完整性、可行性差得：3.3-0分。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2、根据售后服务人员配备、应急方案（包括故障响应、修复时间）等，进行横向比较打分；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A档：5-3.4分；B档：3.3-1.7</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质保期满后相关服务</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5785" w:type="dxa"/>
            <w:noWrap w:val="0"/>
            <w:vAlign w:val="center"/>
          </w:tcPr>
          <w:p>
            <w:pPr>
              <w:numPr>
                <w:ilvl w:val="0"/>
                <w:numId w:val="0"/>
              </w:numPr>
              <w:outlineLvl w:val="9"/>
              <w:rPr>
                <w:rFonts w:hint="default" w:ascii="宋体" w:hAnsi="宋体" w:eastAsia="宋体" w:cs="宋体"/>
                <w:color w:val="auto"/>
                <w:sz w:val="21"/>
                <w:szCs w:val="21"/>
                <w:highlight w:val="none"/>
                <w:lang w:val="en-US" w:eastAsia="zh-CN"/>
              </w:rPr>
            </w:pPr>
            <w:r>
              <w:rPr>
                <w:rFonts w:hint="eastAsia"/>
                <w:color w:val="auto"/>
                <w:highlight w:val="none"/>
                <w:lang w:val="en-US" w:eastAsia="zh-CN"/>
              </w:rPr>
              <w:t>根据投标供应商承诺提供质保期满后的技术支持、维修、保养和维修</w:t>
            </w:r>
            <w:r>
              <w:rPr>
                <w:rFonts w:hint="eastAsia" w:ascii="宋体" w:hAnsi="宋体" w:eastAsia="宋体" w:cs="宋体"/>
                <w:color w:val="auto"/>
                <w:sz w:val="21"/>
                <w:szCs w:val="21"/>
                <w:highlight w:val="none"/>
                <w:lang w:val="en-US" w:eastAsia="zh-CN"/>
              </w:rPr>
              <w:t>件和易损件的优惠措施，横向比较打分；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承诺到位，优惠明显的得：5-3.4分；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较为</w:t>
            </w:r>
            <w:r>
              <w:rPr>
                <w:rFonts w:hint="default" w:ascii="宋体" w:hAnsi="宋体" w:eastAsia="宋体" w:cs="宋体"/>
                <w:color w:val="auto"/>
                <w:sz w:val="21"/>
                <w:szCs w:val="21"/>
                <w:highlight w:val="none"/>
                <w:lang w:val="en-US" w:eastAsia="zh-CN"/>
              </w:rPr>
              <w:t>到位，优惠较为明显的得：</w:t>
            </w:r>
            <w:r>
              <w:rPr>
                <w:rFonts w:hint="eastAsia" w:ascii="宋体" w:hAnsi="宋体" w:eastAsia="宋体" w:cs="宋体"/>
                <w:color w:val="auto"/>
                <w:sz w:val="21"/>
                <w:szCs w:val="21"/>
                <w:highlight w:val="none"/>
                <w:lang w:val="en-US" w:eastAsia="zh-CN"/>
              </w:rPr>
              <w:t>3.3-1.7</w:t>
            </w:r>
            <w:r>
              <w:rPr>
                <w:rFonts w:hint="default" w:ascii="宋体" w:hAnsi="宋体" w:eastAsia="宋体" w:cs="宋体"/>
                <w:color w:val="auto"/>
                <w:sz w:val="21"/>
                <w:szCs w:val="21"/>
                <w:highlight w:val="none"/>
                <w:lang w:val="en-US" w:eastAsia="zh-CN"/>
              </w:rPr>
              <w:t>分；</w:t>
            </w:r>
          </w:p>
          <w:p>
            <w:pPr>
              <w:numPr>
                <w:ilvl w:val="0"/>
                <w:numId w:val="0"/>
              </w:numP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到位，优惠</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明显的得：</w:t>
            </w:r>
            <w:r>
              <w:rPr>
                <w:rFonts w:hint="eastAsia" w:ascii="宋体" w:hAnsi="宋体" w:eastAsia="宋体" w:cs="宋体"/>
                <w:color w:val="auto"/>
                <w:sz w:val="21"/>
                <w:szCs w:val="21"/>
                <w:highlight w:val="none"/>
                <w:lang w:val="en-US" w:eastAsia="zh-CN"/>
              </w:rPr>
              <w:t>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pPr>
              <w:numPr>
                <w:ilvl w:val="0"/>
                <w:numId w:val="0"/>
              </w:numPr>
              <w:ind w:left="0" w:leftChars="0" w:firstLine="0" w:firstLineChars="0"/>
              <w:outlineLvl w:val="9"/>
              <w:rPr>
                <w:rFonts w:hint="default"/>
                <w:color w:val="auto"/>
                <w:highlight w:val="none"/>
                <w:lang w:val="en-US" w:eastAsia="zh-CN"/>
              </w:rPr>
            </w:pPr>
            <w:r>
              <w:rPr>
                <w:rFonts w:hint="eastAsia" w:ascii="Times New Roman" w:hAnsi="Times New Roman" w:eastAsia="宋体" w:cs="Times New Roman"/>
                <w:b/>
                <w:bCs/>
                <w:color w:val="auto"/>
                <w:highlight w:val="none"/>
                <w:lang w:val="en-US" w:eastAsia="zh-CN"/>
              </w:rPr>
              <w:t>注：未提供承诺书的不予得分。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29" w:type="dxa"/>
            <w:noWrap w:val="0"/>
            <w:vAlign w:val="center"/>
          </w:tcPr>
          <w:p>
            <w:pPr>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质保期</w:t>
            </w:r>
          </w:p>
        </w:tc>
        <w:tc>
          <w:tcPr>
            <w:tcW w:w="945" w:type="dxa"/>
            <w:noWrap w:val="0"/>
            <w:vAlign w:val="center"/>
          </w:tcPr>
          <w:p>
            <w:pPr>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0-2分</w:t>
            </w:r>
          </w:p>
        </w:tc>
        <w:tc>
          <w:tcPr>
            <w:tcW w:w="5785" w:type="dxa"/>
            <w:noWrap w:val="0"/>
            <w:vAlign w:val="center"/>
          </w:tcPr>
          <w:p>
            <w:pPr>
              <w:numPr>
                <w:ilvl w:val="0"/>
                <w:numId w:val="0"/>
              </w:numPr>
              <w:ind w:left="0" w:leftChars="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在满足采购文件要求的免费维保服务期一年的基础上，每增加一年得1分（不足一年的不得分），最高得2分。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根据投标文件中是否有超出采购要求的优惠条件及增值服务进行评审，横向比较打分；</w:t>
            </w:r>
          </w:p>
          <w:p>
            <w:pPr>
              <w:numPr>
                <w:ilvl w:val="0"/>
                <w:numId w:val="0"/>
              </w:numPr>
              <w:ind w:left="0" w:leftChars="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A档：3-2.1分；B档：2.0-1.1</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bl>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sz w:val="21"/>
          <w:szCs w:val="21"/>
          <w:highlight w:val="none"/>
          <w:lang w:bidi="he-IL"/>
        </w:rPr>
      </w:pPr>
      <w:r>
        <w:rPr>
          <w:rFonts w:hint="eastAsia" w:ascii="宋体" w:hAnsi="宋体" w:eastAsia="宋体" w:cs="宋体"/>
          <w:b/>
          <w:bCs/>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2、商务（报价）评分（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满足</w:t>
      </w:r>
      <w:r>
        <w:rPr>
          <w:rFonts w:hint="eastAsia" w:ascii="宋体" w:hAnsi="宋体" w:eastAsia="宋体" w:cs="宋体"/>
          <w:color w:val="auto"/>
          <w:sz w:val="21"/>
          <w:szCs w:val="21"/>
          <w:highlight w:val="none"/>
          <w:lang w:eastAsia="zh-CN" w:bidi="he-IL"/>
        </w:rPr>
        <w:t>采购文件</w:t>
      </w:r>
      <w:r>
        <w:rPr>
          <w:rFonts w:hint="eastAsia" w:ascii="宋体" w:hAnsi="宋体" w:eastAsia="宋体" w:cs="宋体"/>
          <w:color w:val="auto"/>
          <w:sz w:val="21"/>
          <w:szCs w:val="21"/>
          <w:highlight w:val="none"/>
          <w:lang w:bidi="he-IL"/>
        </w:rPr>
        <w:t>要求且投标价格最低的投标报价为评标基准价;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1）有效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的投标价等于评标基准价时，其商务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评分值为满分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2）其他有效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评分按以下公式计算：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得分=（评标基准价/</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投标报价）×商务（报价）权值×100（四舍五入后保留小数2位）（商务（报价）权值为</w:t>
      </w:r>
      <w:r>
        <w:rPr>
          <w:rFonts w:hint="eastAsia" w:ascii="宋体" w:hAnsi="宋体" w:eastAsia="宋体" w:cs="宋体"/>
          <w:color w:val="auto"/>
          <w:sz w:val="21"/>
          <w:szCs w:val="21"/>
          <w:highlight w:val="none"/>
          <w:lang w:val="en-US" w:eastAsia="zh-CN" w:bidi="he-IL"/>
        </w:rPr>
        <w:t>3</w:t>
      </w:r>
      <w:r>
        <w:rPr>
          <w:rFonts w:hint="eastAsia" w:ascii="宋体" w:hAnsi="宋体" w:eastAsia="宋体" w:cs="宋体"/>
          <w:color w:val="auto"/>
          <w:sz w:val="21"/>
          <w:szCs w:val="21"/>
          <w:highlight w:val="none"/>
          <w:lang w:bidi="he-IL"/>
        </w:rPr>
        <w:t>0%）</w:t>
      </w:r>
    </w:p>
    <w:p>
      <w:pPr>
        <w:keepNext w:val="0"/>
        <w:keepLines w:val="0"/>
        <w:pageBreakBefore w:val="0"/>
        <w:widowControl w:val="0"/>
        <w:numPr>
          <w:ilvl w:val="0"/>
          <w:numId w:val="12"/>
        </w:numPr>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u w:val="single"/>
          <w:lang w:bidi="he-IL"/>
        </w:rPr>
      </w:pPr>
      <w:r>
        <w:rPr>
          <w:rFonts w:hint="eastAsia" w:ascii="宋体" w:hAnsi="宋体" w:eastAsia="宋体" w:cs="宋体"/>
          <w:color w:val="auto"/>
          <w:sz w:val="21"/>
          <w:szCs w:val="21"/>
          <w:highlight w:val="none"/>
          <w:u w:val="single"/>
          <w:lang w:eastAsia="zh-CN" w:bidi="he-IL"/>
        </w:rPr>
        <w:t>▲</w:t>
      </w:r>
      <w:r>
        <w:rPr>
          <w:rFonts w:hint="eastAsia" w:ascii="宋体" w:hAnsi="宋体" w:eastAsia="宋体" w:cs="宋体"/>
          <w:color w:val="auto"/>
          <w:sz w:val="21"/>
          <w:szCs w:val="21"/>
          <w:highlight w:val="none"/>
          <w:u w:val="single"/>
          <w:lang w:bidi="he-IL"/>
        </w:rPr>
        <w:t>本项目</w:t>
      </w:r>
      <w:r>
        <w:rPr>
          <w:rFonts w:hint="eastAsia" w:ascii="宋体" w:hAnsi="宋体" w:eastAsia="宋体" w:cs="宋体"/>
          <w:color w:val="auto"/>
          <w:sz w:val="21"/>
          <w:szCs w:val="21"/>
          <w:highlight w:val="none"/>
          <w:u w:val="single"/>
          <w:lang w:val="en-US" w:eastAsia="zh-CN" w:bidi="he-IL"/>
        </w:rPr>
        <w:t>采购预算：72万元</w:t>
      </w:r>
      <w:r>
        <w:rPr>
          <w:rFonts w:hint="eastAsia" w:ascii="宋体" w:hAnsi="宋体" w:eastAsia="宋体" w:cs="宋体"/>
          <w:color w:val="auto"/>
          <w:sz w:val="21"/>
          <w:szCs w:val="21"/>
          <w:highlight w:val="none"/>
          <w:u w:val="single"/>
          <w:lang w:eastAsia="zh-CN" w:bidi="he-IL"/>
        </w:rPr>
        <w:t>，投标供应商</w:t>
      </w:r>
      <w:r>
        <w:rPr>
          <w:rFonts w:hint="eastAsia" w:ascii="宋体" w:hAnsi="宋体" w:eastAsia="宋体" w:cs="宋体"/>
          <w:color w:val="auto"/>
          <w:sz w:val="21"/>
          <w:szCs w:val="21"/>
          <w:highlight w:val="none"/>
          <w:u w:val="single"/>
          <w:lang w:bidi="he-IL"/>
        </w:rPr>
        <w:t>报价超过采购预算金额的，其投标文件作无效标处理。</w:t>
      </w:r>
    </w:p>
    <w:p>
      <w:pPr>
        <w:keepNext w:val="0"/>
        <w:keepLines w:val="0"/>
        <w:pageBreakBefore w:val="0"/>
        <w:widowControl w:val="0"/>
        <w:numPr>
          <w:ilvl w:val="0"/>
          <w:numId w:val="12"/>
        </w:numPr>
        <w:kinsoku/>
        <w:wordWrap/>
        <w:overflowPunct/>
        <w:topLinePunct w:val="0"/>
        <w:autoSpaceDE/>
        <w:autoSpaceDN/>
        <w:bidi w:val="0"/>
        <w:adjustRightInd/>
        <w:snapToGrid/>
        <w:spacing w:line="380" w:lineRule="exact"/>
        <w:ind w:firstLine="316"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bidi="he-IL"/>
        </w:rPr>
        <w:t>所有</w:t>
      </w:r>
      <w:r>
        <w:rPr>
          <w:rFonts w:hint="eastAsia" w:ascii="宋体" w:hAnsi="宋体" w:eastAsia="宋体" w:cs="宋体"/>
          <w:color w:val="auto"/>
          <w:sz w:val="21"/>
          <w:szCs w:val="21"/>
          <w:highlight w:val="none"/>
          <w:u w:val="single"/>
          <w:lang w:eastAsia="zh-CN" w:bidi="he-IL"/>
        </w:rPr>
        <w:t>投标供应商</w:t>
      </w:r>
      <w:r>
        <w:rPr>
          <w:rFonts w:hint="eastAsia" w:ascii="宋体" w:hAnsi="宋体" w:eastAsia="宋体" w:cs="宋体"/>
          <w:color w:val="auto"/>
          <w:sz w:val="21"/>
          <w:szCs w:val="21"/>
          <w:highlight w:val="none"/>
          <w:u w:val="single"/>
          <w:lang w:bidi="he-IL"/>
        </w:rPr>
        <w:t>商务报价均超采购预算</w:t>
      </w:r>
      <w:r>
        <w:rPr>
          <w:rFonts w:hint="eastAsia" w:ascii="宋体" w:hAnsi="宋体" w:eastAsia="宋体" w:cs="宋体"/>
          <w:color w:val="auto"/>
          <w:sz w:val="21"/>
          <w:szCs w:val="21"/>
          <w:highlight w:val="none"/>
          <w:u w:val="single"/>
          <w:lang w:val="en-US" w:eastAsia="zh-CN" w:bidi="he-IL"/>
        </w:rPr>
        <w:t>金额</w:t>
      </w:r>
      <w:r>
        <w:rPr>
          <w:rFonts w:hint="eastAsia" w:ascii="宋体" w:hAnsi="宋体" w:eastAsia="宋体" w:cs="宋体"/>
          <w:color w:val="auto"/>
          <w:sz w:val="21"/>
          <w:szCs w:val="21"/>
          <w:highlight w:val="none"/>
          <w:u w:val="single"/>
          <w:lang w:bidi="he-IL"/>
        </w:rPr>
        <w:t>，重新组织招标。</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3、有效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的综合得分为技术资信分和商务（报价）分的总和。</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4、评标委员会按综合得分高低顺序排列，综合得分</w:t>
      </w:r>
      <w:r>
        <w:rPr>
          <w:rFonts w:hint="eastAsia" w:ascii="宋体" w:hAnsi="宋体" w:eastAsia="宋体" w:cs="宋体"/>
          <w:color w:val="auto"/>
          <w:sz w:val="21"/>
          <w:szCs w:val="21"/>
          <w:highlight w:val="none"/>
          <w:lang w:val="en-US" w:eastAsia="zh-CN" w:bidi="he-IL"/>
        </w:rPr>
        <w:t>第一</w:t>
      </w:r>
      <w:r>
        <w:rPr>
          <w:rFonts w:hint="eastAsia" w:ascii="宋体" w:hAnsi="宋体" w:eastAsia="宋体" w:cs="宋体"/>
          <w:color w:val="auto"/>
          <w:sz w:val="21"/>
          <w:szCs w:val="21"/>
          <w:highlight w:val="none"/>
          <w:lang w:bidi="he-IL"/>
        </w:rPr>
        <w:t>名</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作为中标候选人向</w:t>
      </w:r>
      <w:r>
        <w:rPr>
          <w:rFonts w:hint="eastAsia" w:ascii="宋体" w:hAnsi="宋体" w:eastAsia="宋体" w:cs="宋体"/>
          <w:color w:val="auto"/>
          <w:sz w:val="21"/>
          <w:szCs w:val="21"/>
          <w:highlight w:val="none"/>
          <w:lang w:eastAsia="zh-CN" w:bidi="he-IL"/>
        </w:rPr>
        <w:t>采购人</w:t>
      </w:r>
      <w:r>
        <w:rPr>
          <w:rFonts w:hint="eastAsia" w:ascii="宋体" w:hAnsi="宋体" w:eastAsia="宋体" w:cs="宋体"/>
          <w:color w:val="auto"/>
          <w:sz w:val="21"/>
          <w:szCs w:val="21"/>
          <w:highlight w:val="none"/>
          <w:lang w:bidi="he-IL"/>
        </w:rPr>
        <w:t>推荐，并提交评标报告。综合得分相同的，按投标报价由低到高顺序排列</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综合得分相同且报价相同的，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sz w:val="21"/>
          <w:szCs w:val="21"/>
          <w:highlight w:val="none"/>
          <w:lang w:bidi="he-I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根据评标委员会的推荐结果进行最终确认。如中标人放弃中标、或因不可抗力提出不能履行合同；或未能在规定时间内与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签订合同的；或者经质疑，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审查后，确因中标人在本次采购活动中存在违法违规行为或其他原因使质疑成立的，本次招标失败</w:t>
      </w:r>
      <w:r>
        <w:rPr>
          <w:rFonts w:hint="eastAsia" w:ascii="宋体" w:hAnsi="宋体" w:eastAsia="宋体" w:cs="宋体"/>
          <w:color w:val="auto"/>
          <w:kern w:val="1"/>
          <w:sz w:val="21"/>
          <w:szCs w:val="21"/>
          <w:highlight w:val="none"/>
          <w:lang w:val="en-US" w:eastAsia="zh-CN"/>
        </w:rPr>
        <w:t>(指发生上述情况的标段）</w:t>
      </w:r>
      <w:r>
        <w:rPr>
          <w:rFonts w:hint="eastAsia" w:ascii="宋体" w:hAnsi="宋体" w:eastAsia="宋体" w:cs="宋体"/>
          <w:color w:val="auto"/>
          <w:sz w:val="21"/>
          <w:szCs w:val="21"/>
          <w:highlight w:val="none"/>
        </w:rPr>
        <w:t>，重新招标。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采购人或者采购代理机构应当自中标人确定之日起2个工作日内在浙江政府采购网、温州国企采购平台等发布采购公告的网站上发布中标公告</w:t>
      </w:r>
      <w:r>
        <w:rPr>
          <w:rFonts w:hint="eastAsia" w:ascii="宋体" w:hAnsi="宋体" w:eastAsia="宋体" w:cs="宋体"/>
          <w:b w:val="0"/>
          <w:color w:val="auto"/>
          <w:sz w:val="21"/>
          <w:szCs w:val="21"/>
          <w:highlight w:val="none"/>
          <w:lang w:eastAsia="zh-CN"/>
        </w:rPr>
        <w:t>，公告期</w:t>
      </w:r>
      <w:r>
        <w:rPr>
          <w:rFonts w:hint="eastAsia" w:ascii="宋体" w:hAnsi="宋体" w:eastAsia="宋体" w:cs="宋体"/>
          <w:b w:val="0"/>
          <w:color w:val="auto"/>
          <w:sz w:val="21"/>
          <w:szCs w:val="21"/>
          <w:highlight w:val="none"/>
          <w:lang w:val="en-US" w:eastAsia="zh-CN"/>
        </w:rPr>
        <w:t>为</w:t>
      </w:r>
      <w:r>
        <w:rPr>
          <w:rFonts w:hint="eastAsia" w:ascii="宋体" w:hAnsi="宋体" w:eastAsia="宋体" w:cs="宋体"/>
          <w:b w:val="0"/>
          <w:color w:val="auto"/>
          <w:sz w:val="21"/>
          <w:szCs w:val="21"/>
          <w:highlight w:val="none"/>
          <w:lang w:eastAsia="zh-CN"/>
        </w:rPr>
        <w:t>3日。供应商有质疑（异议）的应在公告期内提出（</w:t>
      </w:r>
      <w:r>
        <w:rPr>
          <w:rFonts w:hint="eastAsia" w:ascii="宋体" w:hAnsi="宋体" w:eastAsia="宋体" w:cs="宋体"/>
          <w:i w:val="0"/>
          <w:iCs w:val="0"/>
          <w:caps w:val="0"/>
          <w:color w:val="auto"/>
          <w:spacing w:val="0"/>
          <w:sz w:val="21"/>
          <w:szCs w:val="21"/>
          <w:highlight w:val="none"/>
          <w:lang w:eastAsia="zh-CN"/>
        </w:rPr>
        <w:t>以书面形式向采购人或受其委托的采购代理机构提出质疑</w:t>
      </w:r>
      <w:r>
        <w:rPr>
          <w:rFonts w:hint="eastAsia" w:ascii="宋体" w:hAnsi="宋体" w:eastAsia="宋体" w:cs="宋体"/>
          <w:b w:val="0"/>
          <w:color w:val="auto"/>
          <w:sz w:val="21"/>
          <w:szCs w:val="21"/>
          <w:highlight w:val="none"/>
          <w:lang w:eastAsia="zh-CN"/>
        </w:rPr>
        <w:t>（异议）），</w:t>
      </w:r>
      <w:r>
        <w:rPr>
          <w:rFonts w:hint="eastAsia" w:ascii="宋体" w:hAnsi="宋体" w:eastAsia="宋体" w:cs="宋体"/>
          <w:i w:val="0"/>
          <w:iCs w:val="0"/>
          <w:caps w:val="0"/>
          <w:color w:val="auto"/>
          <w:spacing w:val="0"/>
          <w:sz w:val="21"/>
          <w:szCs w:val="21"/>
          <w:highlight w:val="none"/>
          <w:lang w:eastAsia="zh-CN"/>
        </w:rPr>
        <w:t>对质疑答复不满的，可以在答复期满后15个工作日内向温州市交通发展集团有限公司纪检监察室投诉。</w:t>
      </w:r>
      <w:r>
        <w:rPr>
          <w:rFonts w:hint="eastAsia" w:ascii="宋体" w:hAnsi="宋体" w:eastAsia="宋体" w:cs="宋体"/>
          <w:b w:val="0"/>
          <w:color w:val="auto"/>
          <w:sz w:val="21"/>
          <w:szCs w:val="21"/>
          <w:highlight w:val="none"/>
          <w:lang w:eastAsia="zh-CN"/>
        </w:rPr>
        <w:t>公告期内无供应商提出质疑（异议）的，</w:t>
      </w:r>
      <w:r>
        <w:rPr>
          <w:rFonts w:hint="eastAsia" w:ascii="宋体" w:hAnsi="宋体" w:eastAsia="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lang w:eastAsia="zh-CN"/>
        </w:rPr>
        <w:t>应当向中标人发出中标通知书，并在30日内按照采购文件和中标人投标文件的约定签订合同</w:t>
      </w:r>
      <w:r>
        <w:rPr>
          <w:rFonts w:hint="eastAsia" w:ascii="宋体" w:hAnsi="宋体" w:eastAsia="宋体" w:cs="宋体"/>
          <w:i w:val="0"/>
          <w:iCs w:val="0"/>
          <w:caps w:val="0"/>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p>
      <w:pPr>
        <w:outlineLvl w:val="9"/>
        <w:rPr>
          <w:color w:val="auto"/>
          <w:highlight w:val="none"/>
        </w:rPr>
      </w:pPr>
    </w:p>
    <w:p>
      <w:pPr>
        <w:outlineLvl w:val="9"/>
        <w:rPr>
          <w:color w:val="auto"/>
          <w:highlight w:val="none"/>
        </w:rPr>
      </w:pPr>
    </w:p>
    <w:sectPr>
      <w:pgSz w:w="11906" w:h="16838"/>
      <w:pgMar w:top="1134" w:right="1134" w:bottom="1134" w:left="1417" w:header="851" w:footer="567"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5"/>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4410" w:firstLineChars="24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5EKn3eMBAAC8AwAADgAAAGRycy9lMm9Eb2MueG1srVPBjtMwEL0j&#10;8Q+W7zRtoexu1HQFVIuQECAtfIDrOI0l22ON3SblA+APOHHZO9/V72DspF1YLnvg4ozH4zfvPU+W&#10;1701bK8waHAVn02mnCknodZuW/Evn2+eXXIWonC1MOBUxQ8q8OvV0yfLzpdqDi2YWiEjEBfKzle8&#10;jdGXRRFkq6wIE/DK0WEDaEWkLW6LGkVH6NYU8+n0ZdEB1h5BqhAoux4O+YiIjwGEptFSrUHurHJx&#10;QEVlRCRJodU+8FVm2zRKxo9NE1RkpuKkNOaVmlC8SWuxWopyi8K3Wo4UxGMoPNBkhXbU9Ay1FlGw&#10;Hep/oKyWCAGaOJFgi0FIdoRUzKYPvLlthVdZC1kd/Nn08P9g5Yf9J2S6pkngzAlLD3788f3489fx&#10;7ht7nuzpfCip6tZTXexfQ59Kx3ygZFLdN2jTl/QwOidzD2dzVR+ZpOTVxXx2ueBM0tHsxcXVYpFQ&#10;ivvLHkN8q8CyFFQc6e2ypWL/PsSh9FSSejm40cZQXpTG/ZUgzJQpEvOBYYpiv+lH2huoD6SGfgLq&#10;0wJ+5ayjEai4o4nnzLxz5HCallOAp2BzCoSTdLHikbMhfBOHqdp51Ns2z1kiFfyrXSSmWUCiMfQe&#10;2dGjZgvGAUxT8+c+V93/d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J2k0NIAAAAEAQAADwAA&#10;AAAAAAABACAAAAAiAAAAZHJzL2Rvd25yZXYueG1sUEsBAhQAFAAAAAgAh07iQORCp93jAQAAvAMA&#10;AA4AAAAAAAAAAQAgAAAAIQEAAGRycy9lMm9Eb2MueG1sUEsFBgAAAAAGAAYAWQEAAH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left="3" w:leftChars="1" w:right="-82" w:rightChars="-39" w:hanging="1" w:hangingChars="1"/>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F780"/>
    <w:multiLevelType w:val="singleLevel"/>
    <w:tmpl w:val="B111F780"/>
    <w:lvl w:ilvl="0" w:tentative="0">
      <w:start w:val="3"/>
      <w:numFmt w:val="decimal"/>
      <w:suff w:val="nothing"/>
      <w:lvlText w:val="%1）"/>
      <w:lvlJc w:val="left"/>
    </w:lvl>
  </w:abstractNum>
  <w:abstractNum w:abstractNumId="1">
    <w:nsid w:val="E662331A"/>
    <w:multiLevelType w:val="singleLevel"/>
    <w:tmpl w:val="E662331A"/>
    <w:lvl w:ilvl="0" w:tentative="0">
      <w:start w:val="3"/>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pStyle w:val="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0"/>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CA75A52"/>
    <w:multiLevelType w:val="multilevel"/>
    <w:tmpl w:val="4CA75A52"/>
    <w:lvl w:ilvl="0" w:tentative="0">
      <w:start w:val="1"/>
      <w:numFmt w:val="decimal"/>
      <w:pStyle w:val="130"/>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6">
    <w:nsid w:val="57CE32F7"/>
    <w:multiLevelType w:val="multilevel"/>
    <w:tmpl w:val="57CE32F7"/>
    <w:lvl w:ilvl="0" w:tentative="0">
      <w:start w:val="1"/>
      <w:numFmt w:val="none"/>
      <w:lvlText w:val="2"/>
      <w:lvlJc w:val="left"/>
    </w:lvl>
    <w:lvl w:ilvl="1" w:tentative="0">
      <w:start w:val="1"/>
      <w:numFmt w:val="decimal"/>
      <w:pStyle w:val="153"/>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7">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7CE32FA"/>
    <w:multiLevelType w:val="multilevel"/>
    <w:tmpl w:val="57CE32FA"/>
    <w:lvl w:ilvl="0" w:tentative="0">
      <w:start w:val="1"/>
      <w:numFmt w:val="decimal"/>
      <w:pStyle w:val="123"/>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9">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1">
    <w:nsid w:val="6FE66CAF"/>
    <w:multiLevelType w:val="singleLevel"/>
    <w:tmpl w:val="6FE66CAF"/>
    <w:lvl w:ilvl="0" w:tentative="0">
      <w:start w:val="1"/>
      <w:numFmt w:val="decimal"/>
      <w:suff w:val="nothing"/>
      <w:lvlText w:val="%1、"/>
      <w:lvlJc w:val="left"/>
    </w:lvl>
  </w:abstractNum>
  <w:num w:numId="1">
    <w:abstractNumId w:val="2"/>
  </w:num>
  <w:num w:numId="2">
    <w:abstractNumId w:val="3"/>
  </w:num>
  <w:num w:numId="3">
    <w:abstractNumId w:val="8"/>
  </w:num>
  <w:num w:numId="4">
    <w:abstractNumId w:val="5"/>
  </w:num>
  <w:num w:numId="5">
    <w:abstractNumId w:val="6"/>
  </w:num>
  <w:num w:numId="6">
    <w:abstractNumId w:val="9"/>
  </w:num>
  <w:num w:numId="7">
    <w:abstractNumId w:val="7"/>
  </w:num>
  <w:num w:numId="8">
    <w:abstractNumId w:val="4"/>
  </w:num>
  <w:num w:numId="9">
    <w:abstractNumId w:val="10"/>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jc5OWYxNjRmZjI0Nzc3NDdkOThlYjY2MWNhNGU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4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24B"/>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29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5CE7"/>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2ABD"/>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4FFB"/>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237"/>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2345"/>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0F5"/>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1DD"/>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9DA"/>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2AE"/>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70D"/>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0351AA"/>
    <w:rsid w:val="011473B7"/>
    <w:rsid w:val="011C2D0B"/>
    <w:rsid w:val="011E2D38"/>
    <w:rsid w:val="012539DB"/>
    <w:rsid w:val="0127533C"/>
    <w:rsid w:val="012C2953"/>
    <w:rsid w:val="01341807"/>
    <w:rsid w:val="013B6B5D"/>
    <w:rsid w:val="0154289E"/>
    <w:rsid w:val="015772A4"/>
    <w:rsid w:val="0159792A"/>
    <w:rsid w:val="015D0D5E"/>
    <w:rsid w:val="01626374"/>
    <w:rsid w:val="01687703"/>
    <w:rsid w:val="018B7BC6"/>
    <w:rsid w:val="01A240C2"/>
    <w:rsid w:val="01B4086F"/>
    <w:rsid w:val="01BB7833"/>
    <w:rsid w:val="01C34939"/>
    <w:rsid w:val="01DE3640"/>
    <w:rsid w:val="01E03724"/>
    <w:rsid w:val="01E52B01"/>
    <w:rsid w:val="01E7687A"/>
    <w:rsid w:val="01E850A3"/>
    <w:rsid w:val="01F33470"/>
    <w:rsid w:val="01F62F61"/>
    <w:rsid w:val="01F64D0F"/>
    <w:rsid w:val="02021905"/>
    <w:rsid w:val="020411DA"/>
    <w:rsid w:val="0204742C"/>
    <w:rsid w:val="020510A1"/>
    <w:rsid w:val="020C4532"/>
    <w:rsid w:val="0216715F"/>
    <w:rsid w:val="02201D4B"/>
    <w:rsid w:val="022A76E3"/>
    <w:rsid w:val="02412E30"/>
    <w:rsid w:val="0241303B"/>
    <w:rsid w:val="02497534"/>
    <w:rsid w:val="024C2B81"/>
    <w:rsid w:val="02555161"/>
    <w:rsid w:val="025D4496"/>
    <w:rsid w:val="026A2F71"/>
    <w:rsid w:val="027619AC"/>
    <w:rsid w:val="0281633B"/>
    <w:rsid w:val="028265A2"/>
    <w:rsid w:val="028415AA"/>
    <w:rsid w:val="02843A23"/>
    <w:rsid w:val="028A4153"/>
    <w:rsid w:val="028F58D9"/>
    <w:rsid w:val="02924A37"/>
    <w:rsid w:val="029702A0"/>
    <w:rsid w:val="02A23BF1"/>
    <w:rsid w:val="02A93B2F"/>
    <w:rsid w:val="02AB3D4B"/>
    <w:rsid w:val="02AE55E9"/>
    <w:rsid w:val="02B61C6F"/>
    <w:rsid w:val="02B726F0"/>
    <w:rsid w:val="02BE441C"/>
    <w:rsid w:val="02BE61EA"/>
    <w:rsid w:val="02C42F4A"/>
    <w:rsid w:val="02C72207"/>
    <w:rsid w:val="02C84876"/>
    <w:rsid w:val="02D432A2"/>
    <w:rsid w:val="02F565B8"/>
    <w:rsid w:val="02FA35F7"/>
    <w:rsid w:val="02FB5F01"/>
    <w:rsid w:val="03074F92"/>
    <w:rsid w:val="031713E0"/>
    <w:rsid w:val="03192A63"/>
    <w:rsid w:val="031C3BCC"/>
    <w:rsid w:val="03305DBD"/>
    <w:rsid w:val="03404493"/>
    <w:rsid w:val="034B55D8"/>
    <w:rsid w:val="034C72DC"/>
    <w:rsid w:val="03541CED"/>
    <w:rsid w:val="03555A65"/>
    <w:rsid w:val="035F6D40"/>
    <w:rsid w:val="0364016E"/>
    <w:rsid w:val="03675EC4"/>
    <w:rsid w:val="036A171F"/>
    <w:rsid w:val="036D2DAF"/>
    <w:rsid w:val="0370464D"/>
    <w:rsid w:val="037405E1"/>
    <w:rsid w:val="0374413D"/>
    <w:rsid w:val="03820E78"/>
    <w:rsid w:val="03895B20"/>
    <w:rsid w:val="03903C1F"/>
    <w:rsid w:val="0394702E"/>
    <w:rsid w:val="039E565E"/>
    <w:rsid w:val="03A02A00"/>
    <w:rsid w:val="03A16874"/>
    <w:rsid w:val="03A4774E"/>
    <w:rsid w:val="03AA491B"/>
    <w:rsid w:val="03B863D4"/>
    <w:rsid w:val="03C17F50"/>
    <w:rsid w:val="03C30C20"/>
    <w:rsid w:val="03CA0524"/>
    <w:rsid w:val="03CD109D"/>
    <w:rsid w:val="03E43571"/>
    <w:rsid w:val="04001F15"/>
    <w:rsid w:val="040C0819"/>
    <w:rsid w:val="04115E30"/>
    <w:rsid w:val="04181A86"/>
    <w:rsid w:val="042A0CA0"/>
    <w:rsid w:val="042F134C"/>
    <w:rsid w:val="043A3F7F"/>
    <w:rsid w:val="04443659"/>
    <w:rsid w:val="044C330C"/>
    <w:rsid w:val="04581CB1"/>
    <w:rsid w:val="0464619F"/>
    <w:rsid w:val="047A7A72"/>
    <w:rsid w:val="047E3A7D"/>
    <w:rsid w:val="04810F1A"/>
    <w:rsid w:val="04845087"/>
    <w:rsid w:val="04895240"/>
    <w:rsid w:val="04896013"/>
    <w:rsid w:val="049F343C"/>
    <w:rsid w:val="04A921D1"/>
    <w:rsid w:val="04AB0FFD"/>
    <w:rsid w:val="04AB1DE0"/>
    <w:rsid w:val="04BC3FEE"/>
    <w:rsid w:val="04BF3ADE"/>
    <w:rsid w:val="04C94C9B"/>
    <w:rsid w:val="04CD691B"/>
    <w:rsid w:val="04CE1F73"/>
    <w:rsid w:val="04D05CEB"/>
    <w:rsid w:val="04D60767"/>
    <w:rsid w:val="04DE0B22"/>
    <w:rsid w:val="04E87DBA"/>
    <w:rsid w:val="04EB48D3"/>
    <w:rsid w:val="04EF43C3"/>
    <w:rsid w:val="04FC263C"/>
    <w:rsid w:val="04FF23B1"/>
    <w:rsid w:val="050B0AD1"/>
    <w:rsid w:val="050E0E60"/>
    <w:rsid w:val="0522654F"/>
    <w:rsid w:val="053B7608"/>
    <w:rsid w:val="054C2BF3"/>
    <w:rsid w:val="055B3806"/>
    <w:rsid w:val="055C757F"/>
    <w:rsid w:val="05616943"/>
    <w:rsid w:val="056A1C9B"/>
    <w:rsid w:val="0571302A"/>
    <w:rsid w:val="05785125"/>
    <w:rsid w:val="057A683F"/>
    <w:rsid w:val="058C7E64"/>
    <w:rsid w:val="05A21435"/>
    <w:rsid w:val="05A60D08"/>
    <w:rsid w:val="05A7034E"/>
    <w:rsid w:val="05BE1FE7"/>
    <w:rsid w:val="05C75836"/>
    <w:rsid w:val="05CA098C"/>
    <w:rsid w:val="05CF6EFA"/>
    <w:rsid w:val="05D610DF"/>
    <w:rsid w:val="05DA3601"/>
    <w:rsid w:val="05DE1D42"/>
    <w:rsid w:val="05E91398"/>
    <w:rsid w:val="05ED13B3"/>
    <w:rsid w:val="05EF2F96"/>
    <w:rsid w:val="06035C4C"/>
    <w:rsid w:val="060A67AF"/>
    <w:rsid w:val="060F2843"/>
    <w:rsid w:val="0618720B"/>
    <w:rsid w:val="061F28BB"/>
    <w:rsid w:val="06224324"/>
    <w:rsid w:val="06231CCF"/>
    <w:rsid w:val="062736E9"/>
    <w:rsid w:val="065546FA"/>
    <w:rsid w:val="06587D46"/>
    <w:rsid w:val="066160DF"/>
    <w:rsid w:val="066E2B97"/>
    <w:rsid w:val="066F5090"/>
    <w:rsid w:val="067508F8"/>
    <w:rsid w:val="067D59FE"/>
    <w:rsid w:val="067D77AC"/>
    <w:rsid w:val="06810AB9"/>
    <w:rsid w:val="068A5032"/>
    <w:rsid w:val="069C16EE"/>
    <w:rsid w:val="06A02BE2"/>
    <w:rsid w:val="06A31B81"/>
    <w:rsid w:val="06B00EE4"/>
    <w:rsid w:val="06B036DE"/>
    <w:rsid w:val="06B07B82"/>
    <w:rsid w:val="06C96DE5"/>
    <w:rsid w:val="06DF3FC3"/>
    <w:rsid w:val="06E50BF8"/>
    <w:rsid w:val="06F061D0"/>
    <w:rsid w:val="06F40028"/>
    <w:rsid w:val="06FA0DFD"/>
    <w:rsid w:val="07013F3A"/>
    <w:rsid w:val="0721638A"/>
    <w:rsid w:val="073C31C4"/>
    <w:rsid w:val="073F2CB4"/>
    <w:rsid w:val="07416A2C"/>
    <w:rsid w:val="07484347"/>
    <w:rsid w:val="07524795"/>
    <w:rsid w:val="07571DAC"/>
    <w:rsid w:val="0757624F"/>
    <w:rsid w:val="076444C8"/>
    <w:rsid w:val="076646E5"/>
    <w:rsid w:val="07743A9C"/>
    <w:rsid w:val="07837045"/>
    <w:rsid w:val="0788465B"/>
    <w:rsid w:val="0790350F"/>
    <w:rsid w:val="07987D21"/>
    <w:rsid w:val="079C7F32"/>
    <w:rsid w:val="07A62D33"/>
    <w:rsid w:val="07A7743A"/>
    <w:rsid w:val="07AA4BA0"/>
    <w:rsid w:val="07B00766"/>
    <w:rsid w:val="07BF4985"/>
    <w:rsid w:val="07C90C5E"/>
    <w:rsid w:val="07CE3B6C"/>
    <w:rsid w:val="07E06245"/>
    <w:rsid w:val="07EA2C20"/>
    <w:rsid w:val="07F226D3"/>
    <w:rsid w:val="07F95559"/>
    <w:rsid w:val="08091E9C"/>
    <w:rsid w:val="0813711E"/>
    <w:rsid w:val="08236B0E"/>
    <w:rsid w:val="08251291"/>
    <w:rsid w:val="08314716"/>
    <w:rsid w:val="08444A26"/>
    <w:rsid w:val="084C5688"/>
    <w:rsid w:val="084E1401"/>
    <w:rsid w:val="08534C69"/>
    <w:rsid w:val="08627618"/>
    <w:rsid w:val="08646E76"/>
    <w:rsid w:val="087118E4"/>
    <w:rsid w:val="08832ED9"/>
    <w:rsid w:val="088C1F29"/>
    <w:rsid w:val="08A52E0C"/>
    <w:rsid w:val="08A96637"/>
    <w:rsid w:val="08B6462D"/>
    <w:rsid w:val="08BA17C6"/>
    <w:rsid w:val="08C43471"/>
    <w:rsid w:val="08D67FF6"/>
    <w:rsid w:val="08D71A65"/>
    <w:rsid w:val="08DA0030"/>
    <w:rsid w:val="08E60609"/>
    <w:rsid w:val="08F10DED"/>
    <w:rsid w:val="08FB4A65"/>
    <w:rsid w:val="09023F99"/>
    <w:rsid w:val="09167A44"/>
    <w:rsid w:val="092263E9"/>
    <w:rsid w:val="092D781C"/>
    <w:rsid w:val="092E2FE0"/>
    <w:rsid w:val="092F562C"/>
    <w:rsid w:val="09363AA0"/>
    <w:rsid w:val="09436A8B"/>
    <w:rsid w:val="09491BC8"/>
    <w:rsid w:val="094B5940"/>
    <w:rsid w:val="0956479B"/>
    <w:rsid w:val="095F346D"/>
    <w:rsid w:val="0969457A"/>
    <w:rsid w:val="097338EA"/>
    <w:rsid w:val="097430E9"/>
    <w:rsid w:val="09801C3A"/>
    <w:rsid w:val="09821F98"/>
    <w:rsid w:val="098826F0"/>
    <w:rsid w:val="0992356F"/>
    <w:rsid w:val="099700EE"/>
    <w:rsid w:val="09AA4D5C"/>
    <w:rsid w:val="09BC4A90"/>
    <w:rsid w:val="09C120A6"/>
    <w:rsid w:val="09C556F2"/>
    <w:rsid w:val="09CA440C"/>
    <w:rsid w:val="09D171C5"/>
    <w:rsid w:val="09D51F72"/>
    <w:rsid w:val="09DB4F16"/>
    <w:rsid w:val="09E33DCA"/>
    <w:rsid w:val="09F258F5"/>
    <w:rsid w:val="09F623CE"/>
    <w:rsid w:val="0A0F4281"/>
    <w:rsid w:val="0A185604"/>
    <w:rsid w:val="0A2111FE"/>
    <w:rsid w:val="0A342878"/>
    <w:rsid w:val="0A4009B1"/>
    <w:rsid w:val="0A477E03"/>
    <w:rsid w:val="0A4B5C12"/>
    <w:rsid w:val="0A4F2821"/>
    <w:rsid w:val="0A5D6A2C"/>
    <w:rsid w:val="0A6071C9"/>
    <w:rsid w:val="0A66087D"/>
    <w:rsid w:val="0A6F38B0"/>
    <w:rsid w:val="0A7E3AF3"/>
    <w:rsid w:val="0A864A3F"/>
    <w:rsid w:val="0A8E01DA"/>
    <w:rsid w:val="0A92556F"/>
    <w:rsid w:val="0A943317"/>
    <w:rsid w:val="0AA017EC"/>
    <w:rsid w:val="0ABB08A3"/>
    <w:rsid w:val="0ACF221D"/>
    <w:rsid w:val="0AE93662"/>
    <w:rsid w:val="0AFA761E"/>
    <w:rsid w:val="0AFB3396"/>
    <w:rsid w:val="0B032E7A"/>
    <w:rsid w:val="0B072B3A"/>
    <w:rsid w:val="0B154457"/>
    <w:rsid w:val="0B1A7CEE"/>
    <w:rsid w:val="0B2226D0"/>
    <w:rsid w:val="0B2D2A19"/>
    <w:rsid w:val="0B304DED"/>
    <w:rsid w:val="0B380146"/>
    <w:rsid w:val="0B3A2110"/>
    <w:rsid w:val="0B4765DB"/>
    <w:rsid w:val="0B57681E"/>
    <w:rsid w:val="0B5A630E"/>
    <w:rsid w:val="0B5F3925"/>
    <w:rsid w:val="0B6009BF"/>
    <w:rsid w:val="0B607562"/>
    <w:rsid w:val="0B651029"/>
    <w:rsid w:val="0B720882"/>
    <w:rsid w:val="0B73117E"/>
    <w:rsid w:val="0B754EF6"/>
    <w:rsid w:val="0B756E97"/>
    <w:rsid w:val="0B763412"/>
    <w:rsid w:val="0B7A6CEC"/>
    <w:rsid w:val="0B805C85"/>
    <w:rsid w:val="0B9B7B81"/>
    <w:rsid w:val="0B9D61FB"/>
    <w:rsid w:val="0BBC71F2"/>
    <w:rsid w:val="0BBE2317"/>
    <w:rsid w:val="0BC32105"/>
    <w:rsid w:val="0BC835B0"/>
    <w:rsid w:val="0BC85FF0"/>
    <w:rsid w:val="0BCA3494"/>
    <w:rsid w:val="0BCF606E"/>
    <w:rsid w:val="0C061FF2"/>
    <w:rsid w:val="0C0645F0"/>
    <w:rsid w:val="0C122745"/>
    <w:rsid w:val="0C1E10EA"/>
    <w:rsid w:val="0C272694"/>
    <w:rsid w:val="0C2A5CE1"/>
    <w:rsid w:val="0C4A6C5B"/>
    <w:rsid w:val="0C5B0590"/>
    <w:rsid w:val="0C66524E"/>
    <w:rsid w:val="0C684A5B"/>
    <w:rsid w:val="0C7B478E"/>
    <w:rsid w:val="0C7D5E81"/>
    <w:rsid w:val="0C7E427E"/>
    <w:rsid w:val="0C8527EA"/>
    <w:rsid w:val="0CAC6535"/>
    <w:rsid w:val="0CAE24F9"/>
    <w:rsid w:val="0CB13789"/>
    <w:rsid w:val="0CB15D9B"/>
    <w:rsid w:val="0CC06645"/>
    <w:rsid w:val="0CC336B3"/>
    <w:rsid w:val="0CC55A09"/>
    <w:rsid w:val="0CD111CF"/>
    <w:rsid w:val="0CD42F61"/>
    <w:rsid w:val="0CDC49D2"/>
    <w:rsid w:val="0CDC4F61"/>
    <w:rsid w:val="0CDD07CE"/>
    <w:rsid w:val="0CDF5CB6"/>
    <w:rsid w:val="0CE57E5A"/>
    <w:rsid w:val="0CF15CF4"/>
    <w:rsid w:val="0CF92C7B"/>
    <w:rsid w:val="0D084DCD"/>
    <w:rsid w:val="0D1F524B"/>
    <w:rsid w:val="0D2546FA"/>
    <w:rsid w:val="0D270472"/>
    <w:rsid w:val="0D4032E2"/>
    <w:rsid w:val="0D4874A9"/>
    <w:rsid w:val="0D5F5E5E"/>
    <w:rsid w:val="0D705975"/>
    <w:rsid w:val="0D7511DD"/>
    <w:rsid w:val="0D7D0761"/>
    <w:rsid w:val="0D804797"/>
    <w:rsid w:val="0D8D29CB"/>
    <w:rsid w:val="0D9D24E2"/>
    <w:rsid w:val="0DA0358F"/>
    <w:rsid w:val="0DA1300A"/>
    <w:rsid w:val="0DA675E9"/>
    <w:rsid w:val="0DB02216"/>
    <w:rsid w:val="0DB22432"/>
    <w:rsid w:val="0DBA3094"/>
    <w:rsid w:val="0DBD4932"/>
    <w:rsid w:val="0DC2161A"/>
    <w:rsid w:val="0DC3019B"/>
    <w:rsid w:val="0DC618C7"/>
    <w:rsid w:val="0DCF16EF"/>
    <w:rsid w:val="0DD26844"/>
    <w:rsid w:val="0DE87C01"/>
    <w:rsid w:val="0E060087"/>
    <w:rsid w:val="0E0C012B"/>
    <w:rsid w:val="0E131B45"/>
    <w:rsid w:val="0E1E401F"/>
    <w:rsid w:val="0E223CCA"/>
    <w:rsid w:val="0E2C0A8C"/>
    <w:rsid w:val="0E3F6C7C"/>
    <w:rsid w:val="0E473391"/>
    <w:rsid w:val="0E4A4418"/>
    <w:rsid w:val="0E517A1B"/>
    <w:rsid w:val="0E59465B"/>
    <w:rsid w:val="0E6B25E0"/>
    <w:rsid w:val="0E707FAD"/>
    <w:rsid w:val="0E794DEA"/>
    <w:rsid w:val="0E9C01D8"/>
    <w:rsid w:val="0E9C7FC8"/>
    <w:rsid w:val="0E9E29B6"/>
    <w:rsid w:val="0EA40CAF"/>
    <w:rsid w:val="0EB304BC"/>
    <w:rsid w:val="0ECD7D40"/>
    <w:rsid w:val="0ED407AA"/>
    <w:rsid w:val="0ED92269"/>
    <w:rsid w:val="0EE165B6"/>
    <w:rsid w:val="0EED16E8"/>
    <w:rsid w:val="0EEE1FB3"/>
    <w:rsid w:val="0EF8634B"/>
    <w:rsid w:val="0F020C19"/>
    <w:rsid w:val="0F040A6B"/>
    <w:rsid w:val="0F052A35"/>
    <w:rsid w:val="0F15053F"/>
    <w:rsid w:val="0F1F541B"/>
    <w:rsid w:val="0F2065EE"/>
    <w:rsid w:val="0F292DE5"/>
    <w:rsid w:val="0F2F360E"/>
    <w:rsid w:val="0F3244A3"/>
    <w:rsid w:val="0F384BB8"/>
    <w:rsid w:val="0F4870A8"/>
    <w:rsid w:val="0F4A0448"/>
    <w:rsid w:val="0F550F53"/>
    <w:rsid w:val="0F5512C6"/>
    <w:rsid w:val="0F565DC7"/>
    <w:rsid w:val="0F566D70"/>
    <w:rsid w:val="0F587009"/>
    <w:rsid w:val="0F5B2655"/>
    <w:rsid w:val="0F5D253D"/>
    <w:rsid w:val="0F8B4CE8"/>
    <w:rsid w:val="0F8F3AB5"/>
    <w:rsid w:val="0F90435C"/>
    <w:rsid w:val="0F9067A2"/>
    <w:rsid w:val="0FA062BA"/>
    <w:rsid w:val="0FA22032"/>
    <w:rsid w:val="0FA91EC1"/>
    <w:rsid w:val="0FAB0EE6"/>
    <w:rsid w:val="0FAB6B10"/>
    <w:rsid w:val="0FB26719"/>
    <w:rsid w:val="0FB56135"/>
    <w:rsid w:val="0FC71A98"/>
    <w:rsid w:val="0FD221D2"/>
    <w:rsid w:val="0FDD270D"/>
    <w:rsid w:val="0FED0431"/>
    <w:rsid w:val="0FF705D0"/>
    <w:rsid w:val="10090303"/>
    <w:rsid w:val="10125409"/>
    <w:rsid w:val="10423E68"/>
    <w:rsid w:val="10432B4B"/>
    <w:rsid w:val="104906FF"/>
    <w:rsid w:val="1054157E"/>
    <w:rsid w:val="10572E1C"/>
    <w:rsid w:val="10593038"/>
    <w:rsid w:val="106063AA"/>
    <w:rsid w:val="10611EED"/>
    <w:rsid w:val="10653BD9"/>
    <w:rsid w:val="106612B1"/>
    <w:rsid w:val="106B68C8"/>
    <w:rsid w:val="107B379B"/>
    <w:rsid w:val="107F6DE4"/>
    <w:rsid w:val="108160EB"/>
    <w:rsid w:val="10885856"/>
    <w:rsid w:val="109B71AD"/>
    <w:rsid w:val="10A818CA"/>
    <w:rsid w:val="10AB3168"/>
    <w:rsid w:val="10B052F5"/>
    <w:rsid w:val="10BE10ED"/>
    <w:rsid w:val="10CF32FA"/>
    <w:rsid w:val="10D840C9"/>
    <w:rsid w:val="10D97CD5"/>
    <w:rsid w:val="10F96B81"/>
    <w:rsid w:val="1102722C"/>
    <w:rsid w:val="11086EBE"/>
    <w:rsid w:val="110D4F61"/>
    <w:rsid w:val="110E048D"/>
    <w:rsid w:val="11186A50"/>
    <w:rsid w:val="111E393A"/>
    <w:rsid w:val="111F7DDE"/>
    <w:rsid w:val="112768A5"/>
    <w:rsid w:val="11415DF7"/>
    <w:rsid w:val="114A3B4D"/>
    <w:rsid w:val="114E06C3"/>
    <w:rsid w:val="116972AB"/>
    <w:rsid w:val="116F0D7B"/>
    <w:rsid w:val="11750B6F"/>
    <w:rsid w:val="117A7878"/>
    <w:rsid w:val="117B0D8C"/>
    <w:rsid w:val="118400B0"/>
    <w:rsid w:val="118440E5"/>
    <w:rsid w:val="11934F04"/>
    <w:rsid w:val="119F2F9C"/>
    <w:rsid w:val="11A2456B"/>
    <w:rsid w:val="11AC53EA"/>
    <w:rsid w:val="11B5604C"/>
    <w:rsid w:val="11B970BF"/>
    <w:rsid w:val="11C269BB"/>
    <w:rsid w:val="11C40985"/>
    <w:rsid w:val="11C537A2"/>
    <w:rsid w:val="11C924C1"/>
    <w:rsid w:val="11CA5601"/>
    <w:rsid w:val="11CC783A"/>
    <w:rsid w:val="11E22431"/>
    <w:rsid w:val="11E479CB"/>
    <w:rsid w:val="11E76422"/>
    <w:rsid w:val="11F95924"/>
    <w:rsid w:val="12035A07"/>
    <w:rsid w:val="12040D82"/>
    <w:rsid w:val="120B0362"/>
    <w:rsid w:val="121302B8"/>
    <w:rsid w:val="123449D0"/>
    <w:rsid w:val="12384D02"/>
    <w:rsid w:val="12445622"/>
    <w:rsid w:val="1246139A"/>
    <w:rsid w:val="12462401"/>
    <w:rsid w:val="124755D5"/>
    <w:rsid w:val="12490E8B"/>
    <w:rsid w:val="124F64A1"/>
    <w:rsid w:val="125900B2"/>
    <w:rsid w:val="12610B6D"/>
    <w:rsid w:val="12614426"/>
    <w:rsid w:val="126F08F1"/>
    <w:rsid w:val="12755C92"/>
    <w:rsid w:val="127952CC"/>
    <w:rsid w:val="127E28E2"/>
    <w:rsid w:val="128D0644"/>
    <w:rsid w:val="128D6FC9"/>
    <w:rsid w:val="129105F5"/>
    <w:rsid w:val="12911EF1"/>
    <w:rsid w:val="12AF2577"/>
    <w:rsid w:val="12B92E70"/>
    <w:rsid w:val="12BE6B73"/>
    <w:rsid w:val="12BF4EB8"/>
    <w:rsid w:val="12C14EC5"/>
    <w:rsid w:val="12C56763"/>
    <w:rsid w:val="12CA1FCB"/>
    <w:rsid w:val="12CC7AF2"/>
    <w:rsid w:val="12D6271E"/>
    <w:rsid w:val="12F86B39"/>
    <w:rsid w:val="12F928B1"/>
    <w:rsid w:val="130B7721"/>
    <w:rsid w:val="132475B6"/>
    <w:rsid w:val="1324792E"/>
    <w:rsid w:val="13274D28"/>
    <w:rsid w:val="135350C1"/>
    <w:rsid w:val="135F091C"/>
    <w:rsid w:val="135F2879"/>
    <w:rsid w:val="137B5074"/>
    <w:rsid w:val="138E2FF9"/>
    <w:rsid w:val="13912AE9"/>
    <w:rsid w:val="139B5716"/>
    <w:rsid w:val="139C7B5A"/>
    <w:rsid w:val="139E0996"/>
    <w:rsid w:val="139E19ED"/>
    <w:rsid w:val="13AA61E0"/>
    <w:rsid w:val="13BC5DB8"/>
    <w:rsid w:val="13D15645"/>
    <w:rsid w:val="13D87C3E"/>
    <w:rsid w:val="13DF14C8"/>
    <w:rsid w:val="13E56991"/>
    <w:rsid w:val="14061C1F"/>
    <w:rsid w:val="140C03C2"/>
    <w:rsid w:val="141352AC"/>
    <w:rsid w:val="14182CF5"/>
    <w:rsid w:val="141F44C0"/>
    <w:rsid w:val="14223741"/>
    <w:rsid w:val="142E658A"/>
    <w:rsid w:val="14312B79"/>
    <w:rsid w:val="143C14DB"/>
    <w:rsid w:val="14404A34"/>
    <w:rsid w:val="14494080"/>
    <w:rsid w:val="144C629F"/>
    <w:rsid w:val="145A50B4"/>
    <w:rsid w:val="14636234"/>
    <w:rsid w:val="14661880"/>
    <w:rsid w:val="14670B76"/>
    <w:rsid w:val="1468384A"/>
    <w:rsid w:val="146D0E60"/>
    <w:rsid w:val="14700951"/>
    <w:rsid w:val="147D6BCA"/>
    <w:rsid w:val="148C2CB4"/>
    <w:rsid w:val="149A54A8"/>
    <w:rsid w:val="149E54BE"/>
    <w:rsid w:val="14B32A8F"/>
    <w:rsid w:val="14B4083D"/>
    <w:rsid w:val="14BC5EE0"/>
    <w:rsid w:val="14E0370A"/>
    <w:rsid w:val="14F275B8"/>
    <w:rsid w:val="14F90946"/>
    <w:rsid w:val="14FC3F92"/>
    <w:rsid w:val="15120349"/>
    <w:rsid w:val="15121A08"/>
    <w:rsid w:val="151E215B"/>
    <w:rsid w:val="152754B3"/>
    <w:rsid w:val="153365DC"/>
    <w:rsid w:val="153B4ABB"/>
    <w:rsid w:val="1554489C"/>
    <w:rsid w:val="15551088"/>
    <w:rsid w:val="15684AB8"/>
    <w:rsid w:val="156C736A"/>
    <w:rsid w:val="156E6271"/>
    <w:rsid w:val="15774ACC"/>
    <w:rsid w:val="15816760"/>
    <w:rsid w:val="158C5316"/>
    <w:rsid w:val="159159C0"/>
    <w:rsid w:val="159266A5"/>
    <w:rsid w:val="159B37AB"/>
    <w:rsid w:val="159C0716"/>
    <w:rsid w:val="159D39C7"/>
    <w:rsid w:val="15A07014"/>
    <w:rsid w:val="15A44D56"/>
    <w:rsid w:val="15AA1C40"/>
    <w:rsid w:val="15AA3A18"/>
    <w:rsid w:val="15AC1251"/>
    <w:rsid w:val="15D31197"/>
    <w:rsid w:val="15E05662"/>
    <w:rsid w:val="15E77D94"/>
    <w:rsid w:val="15EC2259"/>
    <w:rsid w:val="15EF58A5"/>
    <w:rsid w:val="15F1786F"/>
    <w:rsid w:val="15FA2BC8"/>
    <w:rsid w:val="15FF517B"/>
    <w:rsid w:val="161B2305"/>
    <w:rsid w:val="16201F02"/>
    <w:rsid w:val="16205108"/>
    <w:rsid w:val="1621190A"/>
    <w:rsid w:val="16291E54"/>
    <w:rsid w:val="16322A9F"/>
    <w:rsid w:val="1638549E"/>
    <w:rsid w:val="163B705A"/>
    <w:rsid w:val="163D6DEC"/>
    <w:rsid w:val="16461969"/>
    <w:rsid w:val="164D719B"/>
    <w:rsid w:val="1657280D"/>
    <w:rsid w:val="1658169C"/>
    <w:rsid w:val="16695657"/>
    <w:rsid w:val="167143CC"/>
    <w:rsid w:val="167835B4"/>
    <w:rsid w:val="1682323F"/>
    <w:rsid w:val="16823A23"/>
    <w:rsid w:val="16831344"/>
    <w:rsid w:val="1693258A"/>
    <w:rsid w:val="1695644C"/>
    <w:rsid w:val="16985257"/>
    <w:rsid w:val="169D182C"/>
    <w:rsid w:val="16A82624"/>
    <w:rsid w:val="16AF286C"/>
    <w:rsid w:val="16B56AEF"/>
    <w:rsid w:val="16B70252"/>
    <w:rsid w:val="16BC39F0"/>
    <w:rsid w:val="16CA07EC"/>
    <w:rsid w:val="16D43177"/>
    <w:rsid w:val="16EE5252"/>
    <w:rsid w:val="16FC296F"/>
    <w:rsid w:val="16FE3FF2"/>
    <w:rsid w:val="16FF1B3E"/>
    <w:rsid w:val="170D06D9"/>
    <w:rsid w:val="1715252F"/>
    <w:rsid w:val="17163A31"/>
    <w:rsid w:val="17190B83"/>
    <w:rsid w:val="171E4368"/>
    <w:rsid w:val="17451D57"/>
    <w:rsid w:val="17455C69"/>
    <w:rsid w:val="174A5489"/>
    <w:rsid w:val="174F2A9F"/>
    <w:rsid w:val="17535B2F"/>
    <w:rsid w:val="17566817"/>
    <w:rsid w:val="17571954"/>
    <w:rsid w:val="1767603B"/>
    <w:rsid w:val="17744441"/>
    <w:rsid w:val="178766DD"/>
    <w:rsid w:val="178D5376"/>
    <w:rsid w:val="17920BDE"/>
    <w:rsid w:val="17A63418"/>
    <w:rsid w:val="17A728DB"/>
    <w:rsid w:val="17AC1CA0"/>
    <w:rsid w:val="17B7090E"/>
    <w:rsid w:val="17BE7C25"/>
    <w:rsid w:val="17C211D0"/>
    <w:rsid w:val="17C43F85"/>
    <w:rsid w:val="17CB360D"/>
    <w:rsid w:val="17D47448"/>
    <w:rsid w:val="17DD6997"/>
    <w:rsid w:val="17DF2075"/>
    <w:rsid w:val="17E86A50"/>
    <w:rsid w:val="17EF6030"/>
    <w:rsid w:val="17F83137"/>
    <w:rsid w:val="180E295A"/>
    <w:rsid w:val="180E4708"/>
    <w:rsid w:val="181B5077"/>
    <w:rsid w:val="181B6E25"/>
    <w:rsid w:val="18216B7B"/>
    <w:rsid w:val="1836010C"/>
    <w:rsid w:val="183E5080"/>
    <w:rsid w:val="18422604"/>
    <w:rsid w:val="184E7566"/>
    <w:rsid w:val="18511F7B"/>
    <w:rsid w:val="18514D04"/>
    <w:rsid w:val="185A16FC"/>
    <w:rsid w:val="18697B91"/>
    <w:rsid w:val="18711A77"/>
    <w:rsid w:val="18714C97"/>
    <w:rsid w:val="187B7D7B"/>
    <w:rsid w:val="188A56C0"/>
    <w:rsid w:val="188E75F7"/>
    <w:rsid w:val="189B2329"/>
    <w:rsid w:val="18A137CE"/>
    <w:rsid w:val="18A254E0"/>
    <w:rsid w:val="18B015C6"/>
    <w:rsid w:val="18B54B84"/>
    <w:rsid w:val="18C43019"/>
    <w:rsid w:val="18CD2347"/>
    <w:rsid w:val="18CD6371"/>
    <w:rsid w:val="18CE20EA"/>
    <w:rsid w:val="18D6132D"/>
    <w:rsid w:val="18DA1C8B"/>
    <w:rsid w:val="18E45469"/>
    <w:rsid w:val="18E67433"/>
    <w:rsid w:val="18E765BB"/>
    <w:rsid w:val="18F002B2"/>
    <w:rsid w:val="18F112B9"/>
    <w:rsid w:val="19102431"/>
    <w:rsid w:val="19145D4E"/>
    <w:rsid w:val="19266489"/>
    <w:rsid w:val="193F08F1"/>
    <w:rsid w:val="19404D95"/>
    <w:rsid w:val="19456052"/>
    <w:rsid w:val="19502AFF"/>
    <w:rsid w:val="1956151F"/>
    <w:rsid w:val="195F2281"/>
    <w:rsid w:val="19600F94"/>
    <w:rsid w:val="19630A84"/>
    <w:rsid w:val="1966641E"/>
    <w:rsid w:val="196D16E9"/>
    <w:rsid w:val="196D472F"/>
    <w:rsid w:val="196D545F"/>
    <w:rsid w:val="19856C4C"/>
    <w:rsid w:val="198C1D89"/>
    <w:rsid w:val="199B1FCC"/>
    <w:rsid w:val="199C38C7"/>
    <w:rsid w:val="19A6191B"/>
    <w:rsid w:val="19A70A54"/>
    <w:rsid w:val="19AA0461"/>
    <w:rsid w:val="19BE215E"/>
    <w:rsid w:val="19CE2059"/>
    <w:rsid w:val="19D43730"/>
    <w:rsid w:val="19EB33D0"/>
    <w:rsid w:val="19EC5694"/>
    <w:rsid w:val="19F1077B"/>
    <w:rsid w:val="19F33BB6"/>
    <w:rsid w:val="19F90A68"/>
    <w:rsid w:val="19FA25FA"/>
    <w:rsid w:val="19FD4A34"/>
    <w:rsid w:val="1A0314F5"/>
    <w:rsid w:val="1A057B8F"/>
    <w:rsid w:val="1A0D33B2"/>
    <w:rsid w:val="1A0F645B"/>
    <w:rsid w:val="1A10540D"/>
    <w:rsid w:val="1A254201"/>
    <w:rsid w:val="1A2E2E40"/>
    <w:rsid w:val="1A3F6DFB"/>
    <w:rsid w:val="1A404921"/>
    <w:rsid w:val="1A4162BA"/>
    <w:rsid w:val="1A455016"/>
    <w:rsid w:val="1A491C1E"/>
    <w:rsid w:val="1A4E34E2"/>
    <w:rsid w:val="1A587EBD"/>
    <w:rsid w:val="1A5A3C35"/>
    <w:rsid w:val="1A5E0B32"/>
    <w:rsid w:val="1A6478D0"/>
    <w:rsid w:val="1A6B4094"/>
    <w:rsid w:val="1A7578F5"/>
    <w:rsid w:val="1A856B1C"/>
    <w:rsid w:val="1A8B2040"/>
    <w:rsid w:val="1A9052EF"/>
    <w:rsid w:val="1A943D1C"/>
    <w:rsid w:val="1AAE21D3"/>
    <w:rsid w:val="1AAE3F81"/>
    <w:rsid w:val="1AAE5D2F"/>
    <w:rsid w:val="1AB136EC"/>
    <w:rsid w:val="1ACE6D7A"/>
    <w:rsid w:val="1AD5150D"/>
    <w:rsid w:val="1AD82DAC"/>
    <w:rsid w:val="1AEC04B2"/>
    <w:rsid w:val="1AF8540B"/>
    <w:rsid w:val="1AFD2812"/>
    <w:rsid w:val="1B066D72"/>
    <w:rsid w:val="1B0B13D3"/>
    <w:rsid w:val="1B1F4E7E"/>
    <w:rsid w:val="1B23502C"/>
    <w:rsid w:val="1B2B0B2B"/>
    <w:rsid w:val="1B315AE2"/>
    <w:rsid w:val="1B3401EA"/>
    <w:rsid w:val="1B430B6D"/>
    <w:rsid w:val="1B4459E3"/>
    <w:rsid w:val="1B4B06D5"/>
    <w:rsid w:val="1B5419E7"/>
    <w:rsid w:val="1B542D7A"/>
    <w:rsid w:val="1B657548"/>
    <w:rsid w:val="1B775612"/>
    <w:rsid w:val="1B87029B"/>
    <w:rsid w:val="1B8751B7"/>
    <w:rsid w:val="1B8C1DFB"/>
    <w:rsid w:val="1B9211AC"/>
    <w:rsid w:val="1B9273FE"/>
    <w:rsid w:val="1B9B2757"/>
    <w:rsid w:val="1B9E2C8F"/>
    <w:rsid w:val="1BA333BA"/>
    <w:rsid w:val="1BB05793"/>
    <w:rsid w:val="1BC25F36"/>
    <w:rsid w:val="1BC47F37"/>
    <w:rsid w:val="1BCA30A8"/>
    <w:rsid w:val="1BCC44FF"/>
    <w:rsid w:val="1BD01CD5"/>
    <w:rsid w:val="1BE058C3"/>
    <w:rsid w:val="1BE13EE2"/>
    <w:rsid w:val="1BEC4D61"/>
    <w:rsid w:val="1BF1692E"/>
    <w:rsid w:val="1BF41E67"/>
    <w:rsid w:val="1BFC0F14"/>
    <w:rsid w:val="1BFF32E4"/>
    <w:rsid w:val="1C0F6782"/>
    <w:rsid w:val="1C0F6CA1"/>
    <w:rsid w:val="1C144B4A"/>
    <w:rsid w:val="1C250273"/>
    <w:rsid w:val="1C3E1334"/>
    <w:rsid w:val="1C406E5A"/>
    <w:rsid w:val="1C5D7A0C"/>
    <w:rsid w:val="1C5F3784"/>
    <w:rsid w:val="1C787AFD"/>
    <w:rsid w:val="1C7B5167"/>
    <w:rsid w:val="1C847665"/>
    <w:rsid w:val="1C8E14EE"/>
    <w:rsid w:val="1C8E290F"/>
    <w:rsid w:val="1C930D61"/>
    <w:rsid w:val="1CA13D9D"/>
    <w:rsid w:val="1CA2357A"/>
    <w:rsid w:val="1CA500C6"/>
    <w:rsid w:val="1CAA49BD"/>
    <w:rsid w:val="1CB25FAA"/>
    <w:rsid w:val="1CC00D0E"/>
    <w:rsid w:val="1CC932F4"/>
    <w:rsid w:val="1CCC06EE"/>
    <w:rsid w:val="1CCF11A1"/>
    <w:rsid w:val="1CD221A8"/>
    <w:rsid w:val="1CD359F6"/>
    <w:rsid w:val="1CE12983"/>
    <w:rsid w:val="1CEC56C6"/>
    <w:rsid w:val="1CFC0FD3"/>
    <w:rsid w:val="1D05532B"/>
    <w:rsid w:val="1D12396D"/>
    <w:rsid w:val="1D1327C1"/>
    <w:rsid w:val="1D17405F"/>
    <w:rsid w:val="1D1D20C9"/>
    <w:rsid w:val="1D210A3A"/>
    <w:rsid w:val="1D235D75"/>
    <w:rsid w:val="1D3249F5"/>
    <w:rsid w:val="1D351BD5"/>
    <w:rsid w:val="1D44297A"/>
    <w:rsid w:val="1D4A3283"/>
    <w:rsid w:val="1D4C4AF7"/>
    <w:rsid w:val="1D5A79CD"/>
    <w:rsid w:val="1D5C5F16"/>
    <w:rsid w:val="1D706292"/>
    <w:rsid w:val="1D754BF1"/>
    <w:rsid w:val="1D756FD8"/>
    <w:rsid w:val="1D8B67FB"/>
    <w:rsid w:val="1D9456B0"/>
    <w:rsid w:val="1DA11B7B"/>
    <w:rsid w:val="1DA21F76"/>
    <w:rsid w:val="1DAF24EA"/>
    <w:rsid w:val="1DAF6D38"/>
    <w:rsid w:val="1DB00D10"/>
    <w:rsid w:val="1DBF0DD0"/>
    <w:rsid w:val="1DD0420E"/>
    <w:rsid w:val="1DDB4025"/>
    <w:rsid w:val="1DE55F0B"/>
    <w:rsid w:val="1DF148B0"/>
    <w:rsid w:val="1DF443A0"/>
    <w:rsid w:val="1DFE0D7B"/>
    <w:rsid w:val="1E1933BA"/>
    <w:rsid w:val="1E262080"/>
    <w:rsid w:val="1E2C7696"/>
    <w:rsid w:val="1E2F362A"/>
    <w:rsid w:val="1E336153"/>
    <w:rsid w:val="1E3D5D47"/>
    <w:rsid w:val="1E48797C"/>
    <w:rsid w:val="1E4C01D3"/>
    <w:rsid w:val="1E4D4545"/>
    <w:rsid w:val="1E522E75"/>
    <w:rsid w:val="1E5310C7"/>
    <w:rsid w:val="1E544E3F"/>
    <w:rsid w:val="1E641526"/>
    <w:rsid w:val="1E6A25F7"/>
    <w:rsid w:val="1E6B66E3"/>
    <w:rsid w:val="1E6D7CAF"/>
    <w:rsid w:val="1E707ECB"/>
    <w:rsid w:val="1E7C0235"/>
    <w:rsid w:val="1E831280"/>
    <w:rsid w:val="1E8A260F"/>
    <w:rsid w:val="1E917E41"/>
    <w:rsid w:val="1EA90CE7"/>
    <w:rsid w:val="1EA96F39"/>
    <w:rsid w:val="1EAD6901"/>
    <w:rsid w:val="1EAE3636"/>
    <w:rsid w:val="1EB37344"/>
    <w:rsid w:val="1EBE6643"/>
    <w:rsid w:val="1EC450BA"/>
    <w:rsid w:val="1EC475AC"/>
    <w:rsid w:val="1ECB3ABB"/>
    <w:rsid w:val="1ED347D1"/>
    <w:rsid w:val="1ED737A4"/>
    <w:rsid w:val="1EDD4E34"/>
    <w:rsid w:val="1EE73F05"/>
    <w:rsid w:val="1EEE06B3"/>
    <w:rsid w:val="1EF108E0"/>
    <w:rsid w:val="1EFA59E6"/>
    <w:rsid w:val="1EFF124F"/>
    <w:rsid w:val="1F0108E9"/>
    <w:rsid w:val="1F073C5F"/>
    <w:rsid w:val="1F073E4B"/>
    <w:rsid w:val="1F0829BA"/>
    <w:rsid w:val="1F093E7B"/>
    <w:rsid w:val="1F0B2A59"/>
    <w:rsid w:val="1F100D66"/>
    <w:rsid w:val="1F231D0D"/>
    <w:rsid w:val="1F2962CC"/>
    <w:rsid w:val="1F2B5BA0"/>
    <w:rsid w:val="1F2F7577"/>
    <w:rsid w:val="1F336601"/>
    <w:rsid w:val="1F470500"/>
    <w:rsid w:val="1F525966"/>
    <w:rsid w:val="1F552885"/>
    <w:rsid w:val="1F584E4F"/>
    <w:rsid w:val="1F603402"/>
    <w:rsid w:val="1F613647"/>
    <w:rsid w:val="1F6272CF"/>
    <w:rsid w:val="1F6D7B33"/>
    <w:rsid w:val="1F6F5903"/>
    <w:rsid w:val="1F8D23B7"/>
    <w:rsid w:val="1F8F25D3"/>
    <w:rsid w:val="1F9B2041"/>
    <w:rsid w:val="1FA12306"/>
    <w:rsid w:val="1FAD7766"/>
    <w:rsid w:val="1FB6316D"/>
    <w:rsid w:val="1FBA6856"/>
    <w:rsid w:val="1FBA6F24"/>
    <w:rsid w:val="20010622"/>
    <w:rsid w:val="200148E1"/>
    <w:rsid w:val="20036B1D"/>
    <w:rsid w:val="200F09DD"/>
    <w:rsid w:val="2015557A"/>
    <w:rsid w:val="202866BE"/>
    <w:rsid w:val="2029112A"/>
    <w:rsid w:val="202B047B"/>
    <w:rsid w:val="20315438"/>
    <w:rsid w:val="2035005E"/>
    <w:rsid w:val="20355839"/>
    <w:rsid w:val="203C5B8B"/>
    <w:rsid w:val="203E1903"/>
    <w:rsid w:val="204809D3"/>
    <w:rsid w:val="2050449D"/>
    <w:rsid w:val="205C6849"/>
    <w:rsid w:val="205D447F"/>
    <w:rsid w:val="205E7196"/>
    <w:rsid w:val="206879C4"/>
    <w:rsid w:val="206A094A"/>
    <w:rsid w:val="20713A86"/>
    <w:rsid w:val="207215AC"/>
    <w:rsid w:val="207C1FE9"/>
    <w:rsid w:val="207F6CD8"/>
    <w:rsid w:val="2099122F"/>
    <w:rsid w:val="209F5B27"/>
    <w:rsid w:val="20A53730"/>
    <w:rsid w:val="20A976C4"/>
    <w:rsid w:val="20B519C6"/>
    <w:rsid w:val="20B6593D"/>
    <w:rsid w:val="20B73672"/>
    <w:rsid w:val="20BB11A5"/>
    <w:rsid w:val="20BE4F05"/>
    <w:rsid w:val="20DD55C0"/>
    <w:rsid w:val="20DF33BF"/>
    <w:rsid w:val="20E06E5E"/>
    <w:rsid w:val="20E95D13"/>
    <w:rsid w:val="20EF0E4F"/>
    <w:rsid w:val="210668C5"/>
    <w:rsid w:val="21073380"/>
    <w:rsid w:val="21095FEA"/>
    <w:rsid w:val="212B00D9"/>
    <w:rsid w:val="212B621B"/>
    <w:rsid w:val="212C5BFF"/>
    <w:rsid w:val="21354AB4"/>
    <w:rsid w:val="214967B1"/>
    <w:rsid w:val="21562C7C"/>
    <w:rsid w:val="215D225D"/>
    <w:rsid w:val="216E0C7E"/>
    <w:rsid w:val="21720694"/>
    <w:rsid w:val="2181419D"/>
    <w:rsid w:val="21815F4B"/>
    <w:rsid w:val="218D5374"/>
    <w:rsid w:val="219B707D"/>
    <w:rsid w:val="219C6341"/>
    <w:rsid w:val="21B1573D"/>
    <w:rsid w:val="21B87493"/>
    <w:rsid w:val="21C34C84"/>
    <w:rsid w:val="21DB28CB"/>
    <w:rsid w:val="21E14C3C"/>
    <w:rsid w:val="21EA1722"/>
    <w:rsid w:val="21EE4E29"/>
    <w:rsid w:val="22160D89"/>
    <w:rsid w:val="2217141C"/>
    <w:rsid w:val="222E2BCF"/>
    <w:rsid w:val="2230171F"/>
    <w:rsid w:val="22351050"/>
    <w:rsid w:val="22394A78"/>
    <w:rsid w:val="225A7C7A"/>
    <w:rsid w:val="2268700D"/>
    <w:rsid w:val="22725CD1"/>
    <w:rsid w:val="227B299A"/>
    <w:rsid w:val="2288155B"/>
    <w:rsid w:val="229D60CC"/>
    <w:rsid w:val="22A32754"/>
    <w:rsid w:val="22A53EBB"/>
    <w:rsid w:val="22A87507"/>
    <w:rsid w:val="22B57588"/>
    <w:rsid w:val="22BA014F"/>
    <w:rsid w:val="22C24A6D"/>
    <w:rsid w:val="22C733E0"/>
    <w:rsid w:val="22C91390"/>
    <w:rsid w:val="22D60519"/>
    <w:rsid w:val="22D64075"/>
    <w:rsid w:val="22DC5FF2"/>
    <w:rsid w:val="22DD3655"/>
    <w:rsid w:val="22ED69EA"/>
    <w:rsid w:val="22F4099F"/>
    <w:rsid w:val="22F82FE0"/>
    <w:rsid w:val="22F86AB7"/>
    <w:rsid w:val="22FD5AA5"/>
    <w:rsid w:val="22FF583D"/>
    <w:rsid w:val="23014CCC"/>
    <w:rsid w:val="23046E34"/>
    <w:rsid w:val="23056708"/>
    <w:rsid w:val="23197531"/>
    <w:rsid w:val="231A7DFC"/>
    <w:rsid w:val="231B0800"/>
    <w:rsid w:val="233C481F"/>
    <w:rsid w:val="233D40F4"/>
    <w:rsid w:val="234F1862"/>
    <w:rsid w:val="23563407"/>
    <w:rsid w:val="23854494"/>
    <w:rsid w:val="2392443F"/>
    <w:rsid w:val="23BA2A2E"/>
    <w:rsid w:val="23C12F77"/>
    <w:rsid w:val="23C6058D"/>
    <w:rsid w:val="23C6233B"/>
    <w:rsid w:val="23C71C0F"/>
    <w:rsid w:val="23E80503"/>
    <w:rsid w:val="23FB537B"/>
    <w:rsid w:val="23FC763B"/>
    <w:rsid w:val="24003A9F"/>
    <w:rsid w:val="240F65F1"/>
    <w:rsid w:val="24134E54"/>
    <w:rsid w:val="241C63FF"/>
    <w:rsid w:val="24214B3D"/>
    <w:rsid w:val="2426692F"/>
    <w:rsid w:val="2428627F"/>
    <w:rsid w:val="24286B52"/>
    <w:rsid w:val="2428729B"/>
    <w:rsid w:val="242B0CE0"/>
    <w:rsid w:val="242E43EB"/>
    <w:rsid w:val="2435301D"/>
    <w:rsid w:val="24392625"/>
    <w:rsid w:val="243948BB"/>
    <w:rsid w:val="243C4BFD"/>
    <w:rsid w:val="24431BDE"/>
    <w:rsid w:val="2446522A"/>
    <w:rsid w:val="245416F5"/>
    <w:rsid w:val="24577437"/>
    <w:rsid w:val="245A2A83"/>
    <w:rsid w:val="245B0EF6"/>
    <w:rsid w:val="246456B0"/>
    <w:rsid w:val="24674E07"/>
    <w:rsid w:val="24773C37"/>
    <w:rsid w:val="247C7C96"/>
    <w:rsid w:val="247D056D"/>
    <w:rsid w:val="248159A8"/>
    <w:rsid w:val="24961D0D"/>
    <w:rsid w:val="24997A50"/>
    <w:rsid w:val="24A33F82"/>
    <w:rsid w:val="24B46637"/>
    <w:rsid w:val="24BB1774"/>
    <w:rsid w:val="24BC104F"/>
    <w:rsid w:val="24BC4B7C"/>
    <w:rsid w:val="24C35FFD"/>
    <w:rsid w:val="24C7636B"/>
    <w:rsid w:val="24CD14A7"/>
    <w:rsid w:val="24D528C8"/>
    <w:rsid w:val="24DB57CD"/>
    <w:rsid w:val="24F13E0A"/>
    <w:rsid w:val="24F60D1D"/>
    <w:rsid w:val="250273A3"/>
    <w:rsid w:val="25037266"/>
    <w:rsid w:val="250A78B2"/>
    <w:rsid w:val="251175E6"/>
    <w:rsid w:val="25237319"/>
    <w:rsid w:val="25317C88"/>
    <w:rsid w:val="25372975"/>
    <w:rsid w:val="253D30E8"/>
    <w:rsid w:val="25407ECB"/>
    <w:rsid w:val="25473008"/>
    <w:rsid w:val="254C6870"/>
    <w:rsid w:val="25687529"/>
    <w:rsid w:val="256C2A6E"/>
    <w:rsid w:val="256E51F3"/>
    <w:rsid w:val="2577560E"/>
    <w:rsid w:val="25861B66"/>
    <w:rsid w:val="259D70CC"/>
    <w:rsid w:val="25A61150"/>
    <w:rsid w:val="25AD6BEE"/>
    <w:rsid w:val="25AE12D9"/>
    <w:rsid w:val="25B07326"/>
    <w:rsid w:val="25B508B9"/>
    <w:rsid w:val="25B83F05"/>
    <w:rsid w:val="25E371D4"/>
    <w:rsid w:val="25F2263E"/>
    <w:rsid w:val="25F25669"/>
    <w:rsid w:val="25F52012"/>
    <w:rsid w:val="25F969F8"/>
    <w:rsid w:val="25FB2263"/>
    <w:rsid w:val="25FC58BB"/>
    <w:rsid w:val="26061115"/>
    <w:rsid w:val="26142B86"/>
    <w:rsid w:val="26174B81"/>
    <w:rsid w:val="26180815"/>
    <w:rsid w:val="261C6242"/>
    <w:rsid w:val="26215F4F"/>
    <w:rsid w:val="262670C1"/>
    <w:rsid w:val="26492DAF"/>
    <w:rsid w:val="264D28A0"/>
    <w:rsid w:val="26584F46"/>
    <w:rsid w:val="26586048"/>
    <w:rsid w:val="265A6D6B"/>
    <w:rsid w:val="26667E05"/>
    <w:rsid w:val="267B565F"/>
    <w:rsid w:val="268169ED"/>
    <w:rsid w:val="268A7650"/>
    <w:rsid w:val="268D5392"/>
    <w:rsid w:val="269229A8"/>
    <w:rsid w:val="269360B3"/>
    <w:rsid w:val="26940BB8"/>
    <w:rsid w:val="269C55D5"/>
    <w:rsid w:val="269E208E"/>
    <w:rsid w:val="26A71E26"/>
    <w:rsid w:val="26A76454"/>
    <w:rsid w:val="26A821CC"/>
    <w:rsid w:val="26AC3A6A"/>
    <w:rsid w:val="26B11081"/>
    <w:rsid w:val="26B730FC"/>
    <w:rsid w:val="26BD06A7"/>
    <w:rsid w:val="26BD5C77"/>
    <w:rsid w:val="26BE72FA"/>
    <w:rsid w:val="26D10020"/>
    <w:rsid w:val="26E1500A"/>
    <w:rsid w:val="26F22019"/>
    <w:rsid w:val="270B04C3"/>
    <w:rsid w:val="270F3FF9"/>
    <w:rsid w:val="27103C37"/>
    <w:rsid w:val="271B0BF0"/>
    <w:rsid w:val="27374C98"/>
    <w:rsid w:val="27400656"/>
    <w:rsid w:val="274E0A59"/>
    <w:rsid w:val="274F0899"/>
    <w:rsid w:val="276A143F"/>
    <w:rsid w:val="276B5295"/>
    <w:rsid w:val="27767BD4"/>
    <w:rsid w:val="277B7C10"/>
    <w:rsid w:val="27856069"/>
    <w:rsid w:val="27985D9D"/>
    <w:rsid w:val="27A143AE"/>
    <w:rsid w:val="27AB3D22"/>
    <w:rsid w:val="27AD7DA2"/>
    <w:rsid w:val="27B274EC"/>
    <w:rsid w:val="27CC5A46"/>
    <w:rsid w:val="27D668C5"/>
    <w:rsid w:val="27EF271C"/>
    <w:rsid w:val="28095B17"/>
    <w:rsid w:val="280C22E7"/>
    <w:rsid w:val="28101FE6"/>
    <w:rsid w:val="28284BD4"/>
    <w:rsid w:val="28333D17"/>
    <w:rsid w:val="28441A80"/>
    <w:rsid w:val="28487915"/>
    <w:rsid w:val="284A0FF5"/>
    <w:rsid w:val="284D6B87"/>
    <w:rsid w:val="284E0B51"/>
    <w:rsid w:val="285A12A4"/>
    <w:rsid w:val="285F670D"/>
    <w:rsid w:val="28620159"/>
    <w:rsid w:val="287C56BE"/>
    <w:rsid w:val="287C746C"/>
    <w:rsid w:val="288E0F4E"/>
    <w:rsid w:val="28BD72A1"/>
    <w:rsid w:val="28CD1A76"/>
    <w:rsid w:val="28DE0127"/>
    <w:rsid w:val="28E079FB"/>
    <w:rsid w:val="28E81B48"/>
    <w:rsid w:val="28EC5824"/>
    <w:rsid w:val="28F54945"/>
    <w:rsid w:val="29080D00"/>
    <w:rsid w:val="290F02E0"/>
    <w:rsid w:val="291B4ED7"/>
    <w:rsid w:val="291E4B2B"/>
    <w:rsid w:val="292559B5"/>
    <w:rsid w:val="292C2C40"/>
    <w:rsid w:val="293B1047"/>
    <w:rsid w:val="293D3EB3"/>
    <w:rsid w:val="29534671"/>
    <w:rsid w:val="295E660F"/>
    <w:rsid w:val="295E6B72"/>
    <w:rsid w:val="29626662"/>
    <w:rsid w:val="29824994"/>
    <w:rsid w:val="29844243"/>
    <w:rsid w:val="2984482A"/>
    <w:rsid w:val="298A7967"/>
    <w:rsid w:val="298D0473"/>
    <w:rsid w:val="299D58EC"/>
    <w:rsid w:val="29A263F9"/>
    <w:rsid w:val="29A632EB"/>
    <w:rsid w:val="29B04E61"/>
    <w:rsid w:val="29B31040"/>
    <w:rsid w:val="29B41A9A"/>
    <w:rsid w:val="29BB2216"/>
    <w:rsid w:val="29BF3AB4"/>
    <w:rsid w:val="29CA2459"/>
    <w:rsid w:val="29D62BAC"/>
    <w:rsid w:val="29E74DB9"/>
    <w:rsid w:val="29E929AE"/>
    <w:rsid w:val="2A092F82"/>
    <w:rsid w:val="2A0E67EA"/>
    <w:rsid w:val="2A104310"/>
    <w:rsid w:val="2A1805FD"/>
    <w:rsid w:val="2A1A5586"/>
    <w:rsid w:val="2A2111BF"/>
    <w:rsid w:val="2A255ACC"/>
    <w:rsid w:val="2A367C21"/>
    <w:rsid w:val="2A37462E"/>
    <w:rsid w:val="2A391AB9"/>
    <w:rsid w:val="2A426494"/>
    <w:rsid w:val="2A532F2C"/>
    <w:rsid w:val="2A5C57A7"/>
    <w:rsid w:val="2A5F0DF4"/>
    <w:rsid w:val="2A64640A"/>
    <w:rsid w:val="2A6E1037"/>
    <w:rsid w:val="2A711836"/>
    <w:rsid w:val="2A886691"/>
    <w:rsid w:val="2A9071FF"/>
    <w:rsid w:val="2AB4113F"/>
    <w:rsid w:val="2AB50D09"/>
    <w:rsid w:val="2AB5244A"/>
    <w:rsid w:val="2AB70C30"/>
    <w:rsid w:val="2AC1560A"/>
    <w:rsid w:val="2AC776EE"/>
    <w:rsid w:val="2AE82B97"/>
    <w:rsid w:val="2AF16E79"/>
    <w:rsid w:val="2AFA6471"/>
    <w:rsid w:val="2AFC6642"/>
    <w:rsid w:val="2AFE23BA"/>
    <w:rsid w:val="2B0D2CED"/>
    <w:rsid w:val="2B0E7D9D"/>
    <w:rsid w:val="2B102FB5"/>
    <w:rsid w:val="2B1F714C"/>
    <w:rsid w:val="2B2014AE"/>
    <w:rsid w:val="2B2B6040"/>
    <w:rsid w:val="2B33475A"/>
    <w:rsid w:val="2B342280"/>
    <w:rsid w:val="2B514F0A"/>
    <w:rsid w:val="2B575A34"/>
    <w:rsid w:val="2B5B014C"/>
    <w:rsid w:val="2B6A14A8"/>
    <w:rsid w:val="2B7E52A9"/>
    <w:rsid w:val="2B82123D"/>
    <w:rsid w:val="2B85488A"/>
    <w:rsid w:val="2B8D039B"/>
    <w:rsid w:val="2B90195F"/>
    <w:rsid w:val="2B9B5E5B"/>
    <w:rsid w:val="2B9F0788"/>
    <w:rsid w:val="2BAA4604"/>
    <w:rsid w:val="2BAC0068"/>
    <w:rsid w:val="2BB1742D"/>
    <w:rsid w:val="2BB21A69"/>
    <w:rsid w:val="2BDF21EC"/>
    <w:rsid w:val="2BE9306B"/>
    <w:rsid w:val="2BEB3377"/>
    <w:rsid w:val="2C0A4127"/>
    <w:rsid w:val="2C0D6779"/>
    <w:rsid w:val="2C274940"/>
    <w:rsid w:val="2C395B26"/>
    <w:rsid w:val="2C416A03"/>
    <w:rsid w:val="2C530710"/>
    <w:rsid w:val="2C657D51"/>
    <w:rsid w:val="2C6E17C2"/>
    <w:rsid w:val="2C7566AC"/>
    <w:rsid w:val="2C807E2F"/>
    <w:rsid w:val="2C8114F5"/>
    <w:rsid w:val="2C8132A3"/>
    <w:rsid w:val="2C844B41"/>
    <w:rsid w:val="2C954FA0"/>
    <w:rsid w:val="2C9E2ECC"/>
    <w:rsid w:val="2C9E6AF0"/>
    <w:rsid w:val="2CA13945"/>
    <w:rsid w:val="2CA3146B"/>
    <w:rsid w:val="2CA64F96"/>
    <w:rsid w:val="2CAE117D"/>
    <w:rsid w:val="2CAE1BBE"/>
    <w:rsid w:val="2CB371D5"/>
    <w:rsid w:val="2CB4131A"/>
    <w:rsid w:val="2CBE44F7"/>
    <w:rsid w:val="2CC234F1"/>
    <w:rsid w:val="2CC80A91"/>
    <w:rsid w:val="2CCA0CCA"/>
    <w:rsid w:val="2CDC497D"/>
    <w:rsid w:val="2CE13D42"/>
    <w:rsid w:val="2CEC36FF"/>
    <w:rsid w:val="2CED44CE"/>
    <w:rsid w:val="2CF47F19"/>
    <w:rsid w:val="2D016192"/>
    <w:rsid w:val="2D031489"/>
    <w:rsid w:val="2D0A14EA"/>
    <w:rsid w:val="2D1C2005"/>
    <w:rsid w:val="2D257DDB"/>
    <w:rsid w:val="2D263E4A"/>
    <w:rsid w:val="2D303F58"/>
    <w:rsid w:val="2D341F2A"/>
    <w:rsid w:val="2D6055AE"/>
    <w:rsid w:val="2D7626DC"/>
    <w:rsid w:val="2D7801D2"/>
    <w:rsid w:val="2D7C1CBC"/>
    <w:rsid w:val="2D9B0395"/>
    <w:rsid w:val="2DA42C0C"/>
    <w:rsid w:val="2DAF3E40"/>
    <w:rsid w:val="2DB476A8"/>
    <w:rsid w:val="2DB72CF5"/>
    <w:rsid w:val="2DBC4548"/>
    <w:rsid w:val="2DC23B73"/>
    <w:rsid w:val="2DCA03B0"/>
    <w:rsid w:val="2DCD2FA3"/>
    <w:rsid w:val="2DD90EBD"/>
    <w:rsid w:val="2DE24215"/>
    <w:rsid w:val="2DE30427"/>
    <w:rsid w:val="2DE735DA"/>
    <w:rsid w:val="2DE871BD"/>
    <w:rsid w:val="2DF872ED"/>
    <w:rsid w:val="2E192945"/>
    <w:rsid w:val="2E2959A0"/>
    <w:rsid w:val="2E40405E"/>
    <w:rsid w:val="2E4427DA"/>
    <w:rsid w:val="2E4B1DBB"/>
    <w:rsid w:val="2E4E5407"/>
    <w:rsid w:val="2E530C6F"/>
    <w:rsid w:val="2E5A1FFE"/>
    <w:rsid w:val="2E633990"/>
    <w:rsid w:val="2E660EFE"/>
    <w:rsid w:val="2E666BF4"/>
    <w:rsid w:val="2E725599"/>
    <w:rsid w:val="2E755089"/>
    <w:rsid w:val="2E81758A"/>
    <w:rsid w:val="2E840E29"/>
    <w:rsid w:val="2EA2374F"/>
    <w:rsid w:val="2EF064BE"/>
    <w:rsid w:val="2EF44200"/>
    <w:rsid w:val="2F0343B1"/>
    <w:rsid w:val="2F067A90"/>
    <w:rsid w:val="2F106B60"/>
    <w:rsid w:val="2F1C72B3"/>
    <w:rsid w:val="2F262CF3"/>
    <w:rsid w:val="2F2919D0"/>
    <w:rsid w:val="2F302D5E"/>
    <w:rsid w:val="2F4405B8"/>
    <w:rsid w:val="2F4F47F1"/>
    <w:rsid w:val="2F567BD3"/>
    <w:rsid w:val="2F5B4F94"/>
    <w:rsid w:val="2F632BBC"/>
    <w:rsid w:val="2F6641B9"/>
    <w:rsid w:val="2F6F3887"/>
    <w:rsid w:val="2F750D0C"/>
    <w:rsid w:val="2F805A94"/>
    <w:rsid w:val="2F837332"/>
    <w:rsid w:val="2F9953DE"/>
    <w:rsid w:val="2FA67BEF"/>
    <w:rsid w:val="2FA84FEB"/>
    <w:rsid w:val="2FB92D54"/>
    <w:rsid w:val="2FC82F97"/>
    <w:rsid w:val="2FCC0CD9"/>
    <w:rsid w:val="2FD23E16"/>
    <w:rsid w:val="2FD45DE0"/>
    <w:rsid w:val="2FDF6A95"/>
    <w:rsid w:val="2FE45109"/>
    <w:rsid w:val="2FF06486"/>
    <w:rsid w:val="2FF95846"/>
    <w:rsid w:val="300246FB"/>
    <w:rsid w:val="30093CDB"/>
    <w:rsid w:val="300F63F2"/>
    <w:rsid w:val="30134B5A"/>
    <w:rsid w:val="30134B9E"/>
    <w:rsid w:val="303643A5"/>
    <w:rsid w:val="303845C1"/>
    <w:rsid w:val="30406FD1"/>
    <w:rsid w:val="30450A8C"/>
    <w:rsid w:val="304E5B92"/>
    <w:rsid w:val="30515682"/>
    <w:rsid w:val="306E7B96"/>
    <w:rsid w:val="3071362F"/>
    <w:rsid w:val="307779B6"/>
    <w:rsid w:val="30962F52"/>
    <w:rsid w:val="30A43A04"/>
    <w:rsid w:val="30A6777C"/>
    <w:rsid w:val="30BE1F06"/>
    <w:rsid w:val="30C145B6"/>
    <w:rsid w:val="30C831C7"/>
    <w:rsid w:val="30D616E4"/>
    <w:rsid w:val="30DF2C8E"/>
    <w:rsid w:val="30F85AFE"/>
    <w:rsid w:val="310855D7"/>
    <w:rsid w:val="311346E6"/>
    <w:rsid w:val="312A6542"/>
    <w:rsid w:val="314F1EA4"/>
    <w:rsid w:val="315947EF"/>
    <w:rsid w:val="316311C9"/>
    <w:rsid w:val="31717D8A"/>
    <w:rsid w:val="31741628"/>
    <w:rsid w:val="318A0E4C"/>
    <w:rsid w:val="318B4ACA"/>
    <w:rsid w:val="318C4BC4"/>
    <w:rsid w:val="31973569"/>
    <w:rsid w:val="31B82C24"/>
    <w:rsid w:val="31DC0F7C"/>
    <w:rsid w:val="31E52004"/>
    <w:rsid w:val="31E569C4"/>
    <w:rsid w:val="320F1A2D"/>
    <w:rsid w:val="32133D5A"/>
    <w:rsid w:val="32140991"/>
    <w:rsid w:val="321815D1"/>
    <w:rsid w:val="322D4ACD"/>
    <w:rsid w:val="3235386A"/>
    <w:rsid w:val="324234D5"/>
    <w:rsid w:val="324A2266"/>
    <w:rsid w:val="324D6924"/>
    <w:rsid w:val="324E2CE2"/>
    <w:rsid w:val="32526702"/>
    <w:rsid w:val="32546D64"/>
    <w:rsid w:val="325A7D56"/>
    <w:rsid w:val="327318E0"/>
    <w:rsid w:val="327B600A"/>
    <w:rsid w:val="327F4D78"/>
    <w:rsid w:val="32836549"/>
    <w:rsid w:val="3287538B"/>
    <w:rsid w:val="32B50CED"/>
    <w:rsid w:val="32B9580A"/>
    <w:rsid w:val="32C1089D"/>
    <w:rsid w:val="32CB3728"/>
    <w:rsid w:val="32D27F9E"/>
    <w:rsid w:val="32DC56D7"/>
    <w:rsid w:val="32E4458C"/>
    <w:rsid w:val="32EA5924"/>
    <w:rsid w:val="32EE7197"/>
    <w:rsid w:val="32F43EB9"/>
    <w:rsid w:val="32F93107"/>
    <w:rsid w:val="33002903"/>
    <w:rsid w:val="33014FE2"/>
    <w:rsid w:val="33106F7B"/>
    <w:rsid w:val="331309CD"/>
    <w:rsid w:val="331532D3"/>
    <w:rsid w:val="3317670F"/>
    <w:rsid w:val="3321133C"/>
    <w:rsid w:val="33233533"/>
    <w:rsid w:val="332901F1"/>
    <w:rsid w:val="332C1A8F"/>
    <w:rsid w:val="332E1CAB"/>
    <w:rsid w:val="332F6F63"/>
    <w:rsid w:val="333077D1"/>
    <w:rsid w:val="33354DE7"/>
    <w:rsid w:val="333D68D1"/>
    <w:rsid w:val="33423060"/>
    <w:rsid w:val="3348512D"/>
    <w:rsid w:val="334E7C57"/>
    <w:rsid w:val="335039CF"/>
    <w:rsid w:val="33583BE9"/>
    <w:rsid w:val="33635E53"/>
    <w:rsid w:val="33641229"/>
    <w:rsid w:val="33767FA9"/>
    <w:rsid w:val="337C6572"/>
    <w:rsid w:val="339C6957"/>
    <w:rsid w:val="339C6C14"/>
    <w:rsid w:val="339E2CFE"/>
    <w:rsid w:val="33A14B6A"/>
    <w:rsid w:val="33A31D51"/>
    <w:rsid w:val="33A930DF"/>
    <w:rsid w:val="33AB50A9"/>
    <w:rsid w:val="33C5616B"/>
    <w:rsid w:val="33CA3782"/>
    <w:rsid w:val="33D26ADA"/>
    <w:rsid w:val="33DB773D"/>
    <w:rsid w:val="33E006B7"/>
    <w:rsid w:val="33EF57B7"/>
    <w:rsid w:val="33F054D3"/>
    <w:rsid w:val="33F24A86"/>
    <w:rsid w:val="340225C1"/>
    <w:rsid w:val="34034EE6"/>
    <w:rsid w:val="340A1DD0"/>
    <w:rsid w:val="340E140B"/>
    <w:rsid w:val="341669C7"/>
    <w:rsid w:val="341E1D1F"/>
    <w:rsid w:val="341E3ACD"/>
    <w:rsid w:val="34235B6C"/>
    <w:rsid w:val="34254E5C"/>
    <w:rsid w:val="3445105A"/>
    <w:rsid w:val="344828F8"/>
    <w:rsid w:val="34497086"/>
    <w:rsid w:val="3451335B"/>
    <w:rsid w:val="346810AD"/>
    <w:rsid w:val="34763909"/>
    <w:rsid w:val="34943237"/>
    <w:rsid w:val="34A7178A"/>
    <w:rsid w:val="34C849A9"/>
    <w:rsid w:val="34CB5B1B"/>
    <w:rsid w:val="34D90FE6"/>
    <w:rsid w:val="34E26D79"/>
    <w:rsid w:val="34E44723"/>
    <w:rsid w:val="34F32569"/>
    <w:rsid w:val="34F47453"/>
    <w:rsid w:val="34FE7690"/>
    <w:rsid w:val="34FF17C5"/>
    <w:rsid w:val="35044A71"/>
    <w:rsid w:val="35095D36"/>
    <w:rsid w:val="350E5C1B"/>
    <w:rsid w:val="35142B6E"/>
    <w:rsid w:val="35154ED0"/>
    <w:rsid w:val="351A4DEC"/>
    <w:rsid w:val="351D1FD7"/>
    <w:rsid w:val="35215623"/>
    <w:rsid w:val="35274BB7"/>
    <w:rsid w:val="35311EFE"/>
    <w:rsid w:val="3539462C"/>
    <w:rsid w:val="35415CC5"/>
    <w:rsid w:val="35472BB0"/>
    <w:rsid w:val="354B6B44"/>
    <w:rsid w:val="356419B4"/>
    <w:rsid w:val="3575771D"/>
    <w:rsid w:val="357C7EED"/>
    <w:rsid w:val="35812566"/>
    <w:rsid w:val="358B5A5F"/>
    <w:rsid w:val="358C0119"/>
    <w:rsid w:val="359A7022"/>
    <w:rsid w:val="359D5EC3"/>
    <w:rsid w:val="359E6C74"/>
    <w:rsid w:val="35AA1ED7"/>
    <w:rsid w:val="35BE2E72"/>
    <w:rsid w:val="35D02BA5"/>
    <w:rsid w:val="35D56FBA"/>
    <w:rsid w:val="35F40F8A"/>
    <w:rsid w:val="35FA08D1"/>
    <w:rsid w:val="35FC5E78"/>
    <w:rsid w:val="360A4309"/>
    <w:rsid w:val="36140CB9"/>
    <w:rsid w:val="361B6516"/>
    <w:rsid w:val="361E2874"/>
    <w:rsid w:val="36257395"/>
    <w:rsid w:val="36370E76"/>
    <w:rsid w:val="363932F5"/>
    <w:rsid w:val="363E2205"/>
    <w:rsid w:val="364F0283"/>
    <w:rsid w:val="36511F38"/>
    <w:rsid w:val="365C268B"/>
    <w:rsid w:val="365E3B0D"/>
    <w:rsid w:val="365E4655"/>
    <w:rsid w:val="36653C36"/>
    <w:rsid w:val="366D4898"/>
    <w:rsid w:val="367774C5"/>
    <w:rsid w:val="36851EDC"/>
    <w:rsid w:val="36853990"/>
    <w:rsid w:val="36932F45"/>
    <w:rsid w:val="369D517D"/>
    <w:rsid w:val="369E4A52"/>
    <w:rsid w:val="36AE738B"/>
    <w:rsid w:val="36B3674F"/>
    <w:rsid w:val="36B812AD"/>
    <w:rsid w:val="36BB1AA7"/>
    <w:rsid w:val="36BD56F1"/>
    <w:rsid w:val="36BE3744"/>
    <w:rsid w:val="36BE5504"/>
    <w:rsid w:val="36E42DAC"/>
    <w:rsid w:val="36E7464B"/>
    <w:rsid w:val="36EF34FF"/>
    <w:rsid w:val="371E0791"/>
    <w:rsid w:val="37247B2D"/>
    <w:rsid w:val="3727621C"/>
    <w:rsid w:val="372C4753"/>
    <w:rsid w:val="372C6501"/>
    <w:rsid w:val="372D208E"/>
    <w:rsid w:val="373B4EC8"/>
    <w:rsid w:val="373C4996"/>
    <w:rsid w:val="374C6AA7"/>
    <w:rsid w:val="375647D6"/>
    <w:rsid w:val="37732382"/>
    <w:rsid w:val="37823DA5"/>
    <w:rsid w:val="378974B0"/>
    <w:rsid w:val="379B110E"/>
    <w:rsid w:val="37A04FCA"/>
    <w:rsid w:val="37A42999"/>
    <w:rsid w:val="37AA6032"/>
    <w:rsid w:val="37B564F7"/>
    <w:rsid w:val="37B92247"/>
    <w:rsid w:val="37BC1229"/>
    <w:rsid w:val="37CD7BFE"/>
    <w:rsid w:val="37DA51A5"/>
    <w:rsid w:val="37DC7F27"/>
    <w:rsid w:val="37EA43F2"/>
    <w:rsid w:val="37F0284C"/>
    <w:rsid w:val="37FC5ED4"/>
    <w:rsid w:val="38073D44"/>
    <w:rsid w:val="3810198A"/>
    <w:rsid w:val="381274A5"/>
    <w:rsid w:val="38186543"/>
    <w:rsid w:val="38250279"/>
    <w:rsid w:val="383E473E"/>
    <w:rsid w:val="38455ACD"/>
    <w:rsid w:val="38580A64"/>
    <w:rsid w:val="385E26EA"/>
    <w:rsid w:val="38611B4B"/>
    <w:rsid w:val="38635F53"/>
    <w:rsid w:val="3873436A"/>
    <w:rsid w:val="3883307A"/>
    <w:rsid w:val="3885236D"/>
    <w:rsid w:val="38A81357"/>
    <w:rsid w:val="38B1729A"/>
    <w:rsid w:val="38B93DC5"/>
    <w:rsid w:val="38BB18EB"/>
    <w:rsid w:val="38BB7B3D"/>
    <w:rsid w:val="38C509BB"/>
    <w:rsid w:val="38CD0F8C"/>
    <w:rsid w:val="38D94BBA"/>
    <w:rsid w:val="38E01351"/>
    <w:rsid w:val="38E075A3"/>
    <w:rsid w:val="38E1420B"/>
    <w:rsid w:val="38E27E68"/>
    <w:rsid w:val="38EF5A38"/>
    <w:rsid w:val="38F04EFE"/>
    <w:rsid w:val="39047736"/>
    <w:rsid w:val="39052C4B"/>
    <w:rsid w:val="390810C8"/>
    <w:rsid w:val="390A24E3"/>
    <w:rsid w:val="390A2872"/>
    <w:rsid w:val="390B6EF7"/>
    <w:rsid w:val="39112E4E"/>
    <w:rsid w:val="39184F8F"/>
    <w:rsid w:val="391C307B"/>
    <w:rsid w:val="392B4CC2"/>
    <w:rsid w:val="392D4A0A"/>
    <w:rsid w:val="393578EF"/>
    <w:rsid w:val="3938118D"/>
    <w:rsid w:val="39480AC1"/>
    <w:rsid w:val="394A237A"/>
    <w:rsid w:val="395025EE"/>
    <w:rsid w:val="39567866"/>
    <w:rsid w:val="39583C9F"/>
    <w:rsid w:val="395B4E7C"/>
    <w:rsid w:val="395D73D0"/>
    <w:rsid w:val="3961094E"/>
    <w:rsid w:val="39700927"/>
    <w:rsid w:val="39754190"/>
    <w:rsid w:val="397A15B2"/>
    <w:rsid w:val="39A44A75"/>
    <w:rsid w:val="39A71E6F"/>
    <w:rsid w:val="39AF6B99"/>
    <w:rsid w:val="39B60304"/>
    <w:rsid w:val="39B744F9"/>
    <w:rsid w:val="39C90037"/>
    <w:rsid w:val="39D05CA1"/>
    <w:rsid w:val="39D12944"/>
    <w:rsid w:val="39EB4452"/>
    <w:rsid w:val="39F1482F"/>
    <w:rsid w:val="39FC2C7A"/>
    <w:rsid w:val="3A0B0650"/>
    <w:rsid w:val="3A276794"/>
    <w:rsid w:val="3A2C0AE9"/>
    <w:rsid w:val="3A4F2C33"/>
    <w:rsid w:val="3A52002D"/>
    <w:rsid w:val="3A571AE7"/>
    <w:rsid w:val="3A5868EC"/>
    <w:rsid w:val="3A59760D"/>
    <w:rsid w:val="3A5C70FE"/>
    <w:rsid w:val="3A655F55"/>
    <w:rsid w:val="3A672189"/>
    <w:rsid w:val="3A6C28F2"/>
    <w:rsid w:val="3A747E84"/>
    <w:rsid w:val="3A79380C"/>
    <w:rsid w:val="3A856654"/>
    <w:rsid w:val="3A971EE4"/>
    <w:rsid w:val="3AA35DD3"/>
    <w:rsid w:val="3AAF547F"/>
    <w:rsid w:val="3ABE56C2"/>
    <w:rsid w:val="3AC30A47"/>
    <w:rsid w:val="3ACC4E51"/>
    <w:rsid w:val="3AD62A0C"/>
    <w:rsid w:val="3AE03C9D"/>
    <w:rsid w:val="3AE61078"/>
    <w:rsid w:val="3AEA37C6"/>
    <w:rsid w:val="3AF25027"/>
    <w:rsid w:val="3AF866BC"/>
    <w:rsid w:val="3B077069"/>
    <w:rsid w:val="3B0D21A6"/>
    <w:rsid w:val="3B0F4170"/>
    <w:rsid w:val="3B443E1A"/>
    <w:rsid w:val="3B451940"/>
    <w:rsid w:val="3B502F8E"/>
    <w:rsid w:val="3B534A75"/>
    <w:rsid w:val="3B5953EB"/>
    <w:rsid w:val="3B6049CB"/>
    <w:rsid w:val="3B660234"/>
    <w:rsid w:val="3B6722D3"/>
    <w:rsid w:val="3B736951"/>
    <w:rsid w:val="3B84690C"/>
    <w:rsid w:val="3B8E784F"/>
    <w:rsid w:val="3B9259C0"/>
    <w:rsid w:val="3BB4717C"/>
    <w:rsid w:val="3BB6283D"/>
    <w:rsid w:val="3BC431AC"/>
    <w:rsid w:val="3BCB3FD3"/>
    <w:rsid w:val="3BDB05F6"/>
    <w:rsid w:val="3BE830AD"/>
    <w:rsid w:val="3BFA097C"/>
    <w:rsid w:val="3C0001FC"/>
    <w:rsid w:val="3C033CD5"/>
    <w:rsid w:val="3C0F7707"/>
    <w:rsid w:val="3C125CC6"/>
    <w:rsid w:val="3C131A3E"/>
    <w:rsid w:val="3C1A2DCC"/>
    <w:rsid w:val="3C243C4B"/>
    <w:rsid w:val="3C2D6FA3"/>
    <w:rsid w:val="3C3E2F5F"/>
    <w:rsid w:val="3C463BC1"/>
    <w:rsid w:val="3C4E65DA"/>
    <w:rsid w:val="3C567AE3"/>
    <w:rsid w:val="3C57138A"/>
    <w:rsid w:val="3C620EB2"/>
    <w:rsid w:val="3C6B4CC5"/>
    <w:rsid w:val="3C700C3E"/>
    <w:rsid w:val="3C706E90"/>
    <w:rsid w:val="3C776471"/>
    <w:rsid w:val="3C787A30"/>
    <w:rsid w:val="3C8A61A4"/>
    <w:rsid w:val="3C8B453E"/>
    <w:rsid w:val="3C925059"/>
    <w:rsid w:val="3CAC611A"/>
    <w:rsid w:val="3CB90837"/>
    <w:rsid w:val="3CBE05CE"/>
    <w:rsid w:val="3CC64DD6"/>
    <w:rsid w:val="3CD636FE"/>
    <w:rsid w:val="3CE957CA"/>
    <w:rsid w:val="3CFB6910"/>
    <w:rsid w:val="3D0539A1"/>
    <w:rsid w:val="3D0C6BB9"/>
    <w:rsid w:val="3D112421"/>
    <w:rsid w:val="3D2008B6"/>
    <w:rsid w:val="3D2832C7"/>
    <w:rsid w:val="3D402D06"/>
    <w:rsid w:val="3D407F0C"/>
    <w:rsid w:val="3D4103E4"/>
    <w:rsid w:val="3D4E5423"/>
    <w:rsid w:val="3D891FB8"/>
    <w:rsid w:val="3D89635E"/>
    <w:rsid w:val="3D912DD0"/>
    <w:rsid w:val="3D9907AC"/>
    <w:rsid w:val="3D995500"/>
    <w:rsid w:val="3DB17760"/>
    <w:rsid w:val="3DD07C2E"/>
    <w:rsid w:val="3DD31EFC"/>
    <w:rsid w:val="3DD32146"/>
    <w:rsid w:val="3DD671C7"/>
    <w:rsid w:val="3DDE728C"/>
    <w:rsid w:val="3DE03BA2"/>
    <w:rsid w:val="3DED69EA"/>
    <w:rsid w:val="3DF22BCF"/>
    <w:rsid w:val="3DFF474F"/>
    <w:rsid w:val="3E0755D2"/>
    <w:rsid w:val="3E203150"/>
    <w:rsid w:val="3E2D328B"/>
    <w:rsid w:val="3E3E1ADA"/>
    <w:rsid w:val="3E3E7246"/>
    <w:rsid w:val="3E3F6B1A"/>
    <w:rsid w:val="3E437BFD"/>
    <w:rsid w:val="3E483C21"/>
    <w:rsid w:val="3E4A5DD5"/>
    <w:rsid w:val="3E4B3711"/>
    <w:rsid w:val="3E55419C"/>
    <w:rsid w:val="3E5A7DF8"/>
    <w:rsid w:val="3E6B6EBE"/>
    <w:rsid w:val="3E707E79"/>
    <w:rsid w:val="3E7375E2"/>
    <w:rsid w:val="3E7C38CA"/>
    <w:rsid w:val="3E817133"/>
    <w:rsid w:val="3E8407E0"/>
    <w:rsid w:val="3E861193"/>
    <w:rsid w:val="3E9055C8"/>
    <w:rsid w:val="3E95136C"/>
    <w:rsid w:val="3E9C21BE"/>
    <w:rsid w:val="3EB40CEE"/>
    <w:rsid w:val="3EBA2645"/>
    <w:rsid w:val="3EBB0897"/>
    <w:rsid w:val="3EC3774B"/>
    <w:rsid w:val="3ECD2378"/>
    <w:rsid w:val="3ED24B60"/>
    <w:rsid w:val="3EE80F60"/>
    <w:rsid w:val="3EE84E4F"/>
    <w:rsid w:val="3EFB54FF"/>
    <w:rsid w:val="3F021889"/>
    <w:rsid w:val="3F0328C5"/>
    <w:rsid w:val="3F0C204C"/>
    <w:rsid w:val="3F223AA0"/>
    <w:rsid w:val="3F2301EA"/>
    <w:rsid w:val="3F2350B4"/>
    <w:rsid w:val="3F34287B"/>
    <w:rsid w:val="3F496E81"/>
    <w:rsid w:val="3F512DDB"/>
    <w:rsid w:val="3F514D57"/>
    <w:rsid w:val="3F5D7151"/>
    <w:rsid w:val="3F7217F0"/>
    <w:rsid w:val="3F770324"/>
    <w:rsid w:val="3F7B0026"/>
    <w:rsid w:val="3F8664D8"/>
    <w:rsid w:val="3F9966FE"/>
    <w:rsid w:val="3FA1467E"/>
    <w:rsid w:val="3FB452E6"/>
    <w:rsid w:val="3FB86B84"/>
    <w:rsid w:val="3FBA6DA0"/>
    <w:rsid w:val="3FBD063E"/>
    <w:rsid w:val="3FC03C8B"/>
    <w:rsid w:val="3FC432BB"/>
    <w:rsid w:val="3FD15E98"/>
    <w:rsid w:val="3FF322B2"/>
    <w:rsid w:val="401435B0"/>
    <w:rsid w:val="40167D4F"/>
    <w:rsid w:val="4024421A"/>
    <w:rsid w:val="4037219F"/>
    <w:rsid w:val="403749A1"/>
    <w:rsid w:val="403838CF"/>
    <w:rsid w:val="403F61D0"/>
    <w:rsid w:val="4061165D"/>
    <w:rsid w:val="40655DAC"/>
    <w:rsid w:val="40697B54"/>
    <w:rsid w:val="40745B6C"/>
    <w:rsid w:val="407955BC"/>
    <w:rsid w:val="407A2B6E"/>
    <w:rsid w:val="40866C82"/>
    <w:rsid w:val="408E47C7"/>
    <w:rsid w:val="409B286F"/>
    <w:rsid w:val="409E221E"/>
    <w:rsid w:val="409F1AF2"/>
    <w:rsid w:val="40A23AD8"/>
    <w:rsid w:val="40AF414B"/>
    <w:rsid w:val="40C9460E"/>
    <w:rsid w:val="40D40E0E"/>
    <w:rsid w:val="40D739F2"/>
    <w:rsid w:val="40E15914"/>
    <w:rsid w:val="40E47ED6"/>
    <w:rsid w:val="40F24318"/>
    <w:rsid w:val="40FA4F7A"/>
    <w:rsid w:val="41061B71"/>
    <w:rsid w:val="410E3720"/>
    <w:rsid w:val="411029F0"/>
    <w:rsid w:val="411725F3"/>
    <w:rsid w:val="411C310C"/>
    <w:rsid w:val="411E138B"/>
    <w:rsid w:val="41200E85"/>
    <w:rsid w:val="41250259"/>
    <w:rsid w:val="41285F8B"/>
    <w:rsid w:val="41306BEE"/>
    <w:rsid w:val="413466DE"/>
    <w:rsid w:val="41354204"/>
    <w:rsid w:val="41405083"/>
    <w:rsid w:val="41411E71"/>
    <w:rsid w:val="41443AE3"/>
    <w:rsid w:val="41460F8F"/>
    <w:rsid w:val="4149483A"/>
    <w:rsid w:val="415A69D6"/>
    <w:rsid w:val="41635215"/>
    <w:rsid w:val="417979B4"/>
    <w:rsid w:val="41A028AC"/>
    <w:rsid w:val="41A35272"/>
    <w:rsid w:val="41A76EB0"/>
    <w:rsid w:val="41AB6C30"/>
    <w:rsid w:val="41AF3FB7"/>
    <w:rsid w:val="41B35408"/>
    <w:rsid w:val="41C757A4"/>
    <w:rsid w:val="41D27F9E"/>
    <w:rsid w:val="41D659E7"/>
    <w:rsid w:val="41D8350E"/>
    <w:rsid w:val="41DA12FB"/>
    <w:rsid w:val="41DA7286"/>
    <w:rsid w:val="41E2438C"/>
    <w:rsid w:val="42004812"/>
    <w:rsid w:val="42042555"/>
    <w:rsid w:val="420662CD"/>
    <w:rsid w:val="421107CE"/>
    <w:rsid w:val="42187DAE"/>
    <w:rsid w:val="421B6F3F"/>
    <w:rsid w:val="422512FB"/>
    <w:rsid w:val="42260235"/>
    <w:rsid w:val="42312C1E"/>
    <w:rsid w:val="42313785"/>
    <w:rsid w:val="423C1CEE"/>
    <w:rsid w:val="423E3462"/>
    <w:rsid w:val="42530DE6"/>
    <w:rsid w:val="42576B28"/>
    <w:rsid w:val="426052B1"/>
    <w:rsid w:val="42703746"/>
    <w:rsid w:val="42760F52"/>
    <w:rsid w:val="42776299"/>
    <w:rsid w:val="427C658F"/>
    <w:rsid w:val="427F3DA2"/>
    <w:rsid w:val="4287667D"/>
    <w:rsid w:val="429107C7"/>
    <w:rsid w:val="42915594"/>
    <w:rsid w:val="429D65A5"/>
    <w:rsid w:val="42A20F87"/>
    <w:rsid w:val="42AB6380"/>
    <w:rsid w:val="42AC04F6"/>
    <w:rsid w:val="42AD2961"/>
    <w:rsid w:val="42AD5223"/>
    <w:rsid w:val="42B21FB1"/>
    <w:rsid w:val="42B44153"/>
    <w:rsid w:val="42B76DE9"/>
    <w:rsid w:val="42C24FD2"/>
    <w:rsid w:val="42C259CE"/>
    <w:rsid w:val="42C34B3A"/>
    <w:rsid w:val="42C51789"/>
    <w:rsid w:val="42C83C9E"/>
    <w:rsid w:val="42CE66BF"/>
    <w:rsid w:val="42D24401"/>
    <w:rsid w:val="42E07A7D"/>
    <w:rsid w:val="42F94AE0"/>
    <w:rsid w:val="42F95E64"/>
    <w:rsid w:val="43010842"/>
    <w:rsid w:val="43056584"/>
    <w:rsid w:val="431B3177"/>
    <w:rsid w:val="43217136"/>
    <w:rsid w:val="432804C5"/>
    <w:rsid w:val="432D7889"/>
    <w:rsid w:val="4333000A"/>
    <w:rsid w:val="43364990"/>
    <w:rsid w:val="433D167D"/>
    <w:rsid w:val="434067DF"/>
    <w:rsid w:val="43444EC6"/>
    <w:rsid w:val="434460FE"/>
    <w:rsid w:val="43482915"/>
    <w:rsid w:val="434A4497"/>
    <w:rsid w:val="434E6604"/>
    <w:rsid w:val="435419B5"/>
    <w:rsid w:val="43562321"/>
    <w:rsid w:val="43566872"/>
    <w:rsid w:val="43572B58"/>
    <w:rsid w:val="43657F58"/>
    <w:rsid w:val="436F52E9"/>
    <w:rsid w:val="437F46CD"/>
    <w:rsid w:val="438A245E"/>
    <w:rsid w:val="438C0A54"/>
    <w:rsid w:val="439813C3"/>
    <w:rsid w:val="439E42E3"/>
    <w:rsid w:val="43A31DF5"/>
    <w:rsid w:val="43AE647A"/>
    <w:rsid w:val="43AF6CB4"/>
    <w:rsid w:val="43C26223"/>
    <w:rsid w:val="43D45F57"/>
    <w:rsid w:val="43DB2D79"/>
    <w:rsid w:val="43EE526A"/>
    <w:rsid w:val="43FB1735"/>
    <w:rsid w:val="43FF1225"/>
    <w:rsid w:val="44096233"/>
    <w:rsid w:val="440B2993"/>
    <w:rsid w:val="441D5B50"/>
    <w:rsid w:val="4428381B"/>
    <w:rsid w:val="44384737"/>
    <w:rsid w:val="4441183E"/>
    <w:rsid w:val="444E121C"/>
    <w:rsid w:val="445D419E"/>
    <w:rsid w:val="447504D4"/>
    <w:rsid w:val="447F4B92"/>
    <w:rsid w:val="448654A3"/>
    <w:rsid w:val="44A92F3F"/>
    <w:rsid w:val="44BB02B2"/>
    <w:rsid w:val="44C4421D"/>
    <w:rsid w:val="44D83825"/>
    <w:rsid w:val="44E03886"/>
    <w:rsid w:val="44E11217"/>
    <w:rsid w:val="44EB619B"/>
    <w:rsid w:val="44F56185"/>
    <w:rsid w:val="44F87A23"/>
    <w:rsid w:val="44FC59D4"/>
    <w:rsid w:val="450C0C5A"/>
    <w:rsid w:val="450F1F1B"/>
    <w:rsid w:val="45187B20"/>
    <w:rsid w:val="45195706"/>
    <w:rsid w:val="45216F7A"/>
    <w:rsid w:val="4528655A"/>
    <w:rsid w:val="452D1A51"/>
    <w:rsid w:val="455354ED"/>
    <w:rsid w:val="45571DB1"/>
    <w:rsid w:val="45576E3F"/>
    <w:rsid w:val="45596713"/>
    <w:rsid w:val="456F23DB"/>
    <w:rsid w:val="457D238B"/>
    <w:rsid w:val="45835E86"/>
    <w:rsid w:val="458A0BEF"/>
    <w:rsid w:val="45912351"/>
    <w:rsid w:val="45AB26B8"/>
    <w:rsid w:val="45AF0A29"/>
    <w:rsid w:val="45BA6330"/>
    <w:rsid w:val="45BE6BF8"/>
    <w:rsid w:val="45C77E7B"/>
    <w:rsid w:val="45DD01B5"/>
    <w:rsid w:val="45DD7344"/>
    <w:rsid w:val="45ED2AC0"/>
    <w:rsid w:val="45F75EB9"/>
    <w:rsid w:val="46184820"/>
    <w:rsid w:val="461B60BF"/>
    <w:rsid w:val="461E7067"/>
    <w:rsid w:val="46207231"/>
    <w:rsid w:val="462C3E28"/>
    <w:rsid w:val="462D5F0B"/>
    <w:rsid w:val="463D6035"/>
    <w:rsid w:val="463F7FFF"/>
    <w:rsid w:val="464506CE"/>
    <w:rsid w:val="464C0026"/>
    <w:rsid w:val="465E1F1B"/>
    <w:rsid w:val="468462A3"/>
    <w:rsid w:val="468C0F41"/>
    <w:rsid w:val="46965D88"/>
    <w:rsid w:val="46B226AF"/>
    <w:rsid w:val="46BA1434"/>
    <w:rsid w:val="46BD0F1C"/>
    <w:rsid w:val="46CF702C"/>
    <w:rsid w:val="46D30747"/>
    <w:rsid w:val="46E07FFF"/>
    <w:rsid w:val="46F35188"/>
    <w:rsid w:val="46FF32EA"/>
    <w:rsid w:val="470433AC"/>
    <w:rsid w:val="4710242B"/>
    <w:rsid w:val="4714323A"/>
    <w:rsid w:val="471975D2"/>
    <w:rsid w:val="471F5C4F"/>
    <w:rsid w:val="472E597E"/>
    <w:rsid w:val="4732546E"/>
    <w:rsid w:val="47431D24"/>
    <w:rsid w:val="47482EE3"/>
    <w:rsid w:val="474A397C"/>
    <w:rsid w:val="47691672"/>
    <w:rsid w:val="478163F5"/>
    <w:rsid w:val="478758D4"/>
    <w:rsid w:val="4791488A"/>
    <w:rsid w:val="47A50E5C"/>
    <w:rsid w:val="47A54BED"/>
    <w:rsid w:val="47AB44A7"/>
    <w:rsid w:val="47B169D4"/>
    <w:rsid w:val="47B57E4D"/>
    <w:rsid w:val="47B70069"/>
    <w:rsid w:val="47BA5463"/>
    <w:rsid w:val="47BE6D02"/>
    <w:rsid w:val="47C50090"/>
    <w:rsid w:val="47D26C51"/>
    <w:rsid w:val="47E32EDF"/>
    <w:rsid w:val="47E36278"/>
    <w:rsid w:val="47E66258"/>
    <w:rsid w:val="47FB6345"/>
    <w:rsid w:val="48001A16"/>
    <w:rsid w:val="48003E28"/>
    <w:rsid w:val="48175F8B"/>
    <w:rsid w:val="48180B08"/>
    <w:rsid w:val="48276F9D"/>
    <w:rsid w:val="482A25E9"/>
    <w:rsid w:val="482A3405"/>
    <w:rsid w:val="48347216"/>
    <w:rsid w:val="483529B5"/>
    <w:rsid w:val="483D40CA"/>
    <w:rsid w:val="483E7897"/>
    <w:rsid w:val="483F42E6"/>
    <w:rsid w:val="484336AB"/>
    <w:rsid w:val="484918BE"/>
    <w:rsid w:val="48587156"/>
    <w:rsid w:val="485B134D"/>
    <w:rsid w:val="485D69D2"/>
    <w:rsid w:val="48621D83"/>
    <w:rsid w:val="486A50DB"/>
    <w:rsid w:val="4871227C"/>
    <w:rsid w:val="487E50B2"/>
    <w:rsid w:val="488A74EF"/>
    <w:rsid w:val="488C6E00"/>
    <w:rsid w:val="48965ED0"/>
    <w:rsid w:val="48AE4FC8"/>
    <w:rsid w:val="48B015E7"/>
    <w:rsid w:val="48B80F6E"/>
    <w:rsid w:val="48B90820"/>
    <w:rsid w:val="48BF5427"/>
    <w:rsid w:val="48C0725D"/>
    <w:rsid w:val="48C17C7F"/>
    <w:rsid w:val="48C76ACC"/>
    <w:rsid w:val="48CC3D64"/>
    <w:rsid w:val="48CE19E6"/>
    <w:rsid w:val="48CE7418"/>
    <w:rsid w:val="48E357A6"/>
    <w:rsid w:val="48E9042E"/>
    <w:rsid w:val="48EC1A58"/>
    <w:rsid w:val="48F27740"/>
    <w:rsid w:val="48F350D1"/>
    <w:rsid w:val="4904108C"/>
    <w:rsid w:val="490948F4"/>
    <w:rsid w:val="49156307"/>
    <w:rsid w:val="49170DBF"/>
    <w:rsid w:val="49197ED6"/>
    <w:rsid w:val="491D3EFC"/>
    <w:rsid w:val="491F38BC"/>
    <w:rsid w:val="49206677"/>
    <w:rsid w:val="493612BF"/>
    <w:rsid w:val="493C500A"/>
    <w:rsid w:val="49431BB4"/>
    <w:rsid w:val="49494CF1"/>
    <w:rsid w:val="495A6A50"/>
    <w:rsid w:val="497912B4"/>
    <w:rsid w:val="498126DD"/>
    <w:rsid w:val="49A40179"/>
    <w:rsid w:val="49AC617A"/>
    <w:rsid w:val="49B3739C"/>
    <w:rsid w:val="49B83F7E"/>
    <w:rsid w:val="49BD459D"/>
    <w:rsid w:val="49C2361A"/>
    <w:rsid w:val="49C5081B"/>
    <w:rsid w:val="49C86A61"/>
    <w:rsid w:val="49C94099"/>
    <w:rsid w:val="49D071C0"/>
    <w:rsid w:val="49D942C7"/>
    <w:rsid w:val="49E435E0"/>
    <w:rsid w:val="49E56856"/>
    <w:rsid w:val="49E862B8"/>
    <w:rsid w:val="49EE03A8"/>
    <w:rsid w:val="49F70BF1"/>
    <w:rsid w:val="49FE1F7F"/>
    <w:rsid w:val="4A0330F2"/>
    <w:rsid w:val="4A081A4B"/>
    <w:rsid w:val="4A0F7CE8"/>
    <w:rsid w:val="4A105B3D"/>
    <w:rsid w:val="4A111CB3"/>
    <w:rsid w:val="4A146C78"/>
    <w:rsid w:val="4A1D447C"/>
    <w:rsid w:val="4A24440E"/>
    <w:rsid w:val="4A30518F"/>
    <w:rsid w:val="4A357BCE"/>
    <w:rsid w:val="4A383EAC"/>
    <w:rsid w:val="4A565917"/>
    <w:rsid w:val="4A592677"/>
    <w:rsid w:val="4A5E657A"/>
    <w:rsid w:val="4A631216"/>
    <w:rsid w:val="4A652BA1"/>
    <w:rsid w:val="4A707CD5"/>
    <w:rsid w:val="4A722025"/>
    <w:rsid w:val="4A8150B3"/>
    <w:rsid w:val="4A993A56"/>
    <w:rsid w:val="4A9B272E"/>
    <w:rsid w:val="4A9E2E1A"/>
    <w:rsid w:val="4AC12FAB"/>
    <w:rsid w:val="4AC8224B"/>
    <w:rsid w:val="4ACE4B79"/>
    <w:rsid w:val="4ACF1C05"/>
    <w:rsid w:val="4AD52CE0"/>
    <w:rsid w:val="4AD63E8B"/>
    <w:rsid w:val="4AD87C28"/>
    <w:rsid w:val="4AE271AB"/>
    <w:rsid w:val="4AE304BB"/>
    <w:rsid w:val="4AE63099"/>
    <w:rsid w:val="4AF62C56"/>
    <w:rsid w:val="4B1F03FF"/>
    <w:rsid w:val="4B217CD3"/>
    <w:rsid w:val="4B272E10"/>
    <w:rsid w:val="4B3317B5"/>
    <w:rsid w:val="4B386DCB"/>
    <w:rsid w:val="4B397515"/>
    <w:rsid w:val="4B3D1AB5"/>
    <w:rsid w:val="4B3F0159"/>
    <w:rsid w:val="4B447E66"/>
    <w:rsid w:val="4B4614E8"/>
    <w:rsid w:val="4B481704"/>
    <w:rsid w:val="4B4E6231"/>
    <w:rsid w:val="4B524836"/>
    <w:rsid w:val="4B533C05"/>
    <w:rsid w:val="4B5556D7"/>
    <w:rsid w:val="4B5619A4"/>
    <w:rsid w:val="4B707C68"/>
    <w:rsid w:val="4B7A496D"/>
    <w:rsid w:val="4B7F2C4C"/>
    <w:rsid w:val="4B840262"/>
    <w:rsid w:val="4B842010"/>
    <w:rsid w:val="4B8D35BB"/>
    <w:rsid w:val="4B906762"/>
    <w:rsid w:val="4B982181"/>
    <w:rsid w:val="4B9F0FFF"/>
    <w:rsid w:val="4BA56A48"/>
    <w:rsid w:val="4BB05A0E"/>
    <w:rsid w:val="4BBE7206"/>
    <w:rsid w:val="4BC93EC7"/>
    <w:rsid w:val="4BD54436"/>
    <w:rsid w:val="4BDD7BA7"/>
    <w:rsid w:val="4BDE3E16"/>
    <w:rsid w:val="4BE11211"/>
    <w:rsid w:val="4BF61160"/>
    <w:rsid w:val="4C017B05"/>
    <w:rsid w:val="4C0B6FF0"/>
    <w:rsid w:val="4C110A6F"/>
    <w:rsid w:val="4C167D0A"/>
    <w:rsid w:val="4C1C493F"/>
    <w:rsid w:val="4C2757BD"/>
    <w:rsid w:val="4C442D53"/>
    <w:rsid w:val="4C5B10B2"/>
    <w:rsid w:val="4C5E6D05"/>
    <w:rsid w:val="4C5F55F7"/>
    <w:rsid w:val="4C60482B"/>
    <w:rsid w:val="4C6562E6"/>
    <w:rsid w:val="4C6F1504"/>
    <w:rsid w:val="4C6F4853"/>
    <w:rsid w:val="4C72455F"/>
    <w:rsid w:val="4C7E2F03"/>
    <w:rsid w:val="4C924E2D"/>
    <w:rsid w:val="4CA832EE"/>
    <w:rsid w:val="4CAF130F"/>
    <w:rsid w:val="4CB1386B"/>
    <w:rsid w:val="4CBC5A46"/>
    <w:rsid w:val="4CBD13AA"/>
    <w:rsid w:val="4CBF59F6"/>
    <w:rsid w:val="4CC528E0"/>
    <w:rsid w:val="4CC56D84"/>
    <w:rsid w:val="4CD60F91"/>
    <w:rsid w:val="4CD63CA5"/>
    <w:rsid w:val="4CDF7E46"/>
    <w:rsid w:val="4CE52F83"/>
    <w:rsid w:val="4CE56B27"/>
    <w:rsid w:val="4D111FCA"/>
    <w:rsid w:val="4D153868"/>
    <w:rsid w:val="4D1C1903"/>
    <w:rsid w:val="4D2414EF"/>
    <w:rsid w:val="4D2E4F0D"/>
    <w:rsid w:val="4D2F41FE"/>
    <w:rsid w:val="4D3121D0"/>
    <w:rsid w:val="4D31389E"/>
    <w:rsid w:val="4D395197"/>
    <w:rsid w:val="4D474356"/>
    <w:rsid w:val="4D50664E"/>
    <w:rsid w:val="4D52686A"/>
    <w:rsid w:val="4D554464"/>
    <w:rsid w:val="4D5B0D0C"/>
    <w:rsid w:val="4D64034B"/>
    <w:rsid w:val="4D862425"/>
    <w:rsid w:val="4D8B58D8"/>
    <w:rsid w:val="4D9C7306"/>
    <w:rsid w:val="4DA02203"/>
    <w:rsid w:val="4DA41222"/>
    <w:rsid w:val="4DA977C7"/>
    <w:rsid w:val="4DAC584E"/>
    <w:rsid w:val="4DAE5A6A"/>
    <w:rsid w:val="4DAE6651"/>
    <w:rsid w:val="4DB473A2"/>
    <w:rsid w:val="4DC96400"/>
    <w:rsid w:val="4DCD321F"/>
    <w:rsid w:val="4DD74FC1"/>
    <w:rsid w:val="4DD94895"/>
    <w:rsid w:val="4DDC65B1"/>
    <w:rsid w:val="4DE35714"/>
    <w:rsid w:val="4DF33E82"/>
    <w:rsid w:val="4DFC67D6"/>
    <w:rsid w:val="4E0929FA"/>
    <w:rsid w:val="4E0B07C7"/>
    <w:rsid w:val="4E1D492C"/>
    <w:rsid w:val="4E233D62"/>
    <w:rsid w:val="4E242250"/>
    <w:rsid w:val="4E2574FC"/>
    <w:rsid w:val="4E3B5550"/>
    <w:rsid w:val="4E3B694B"/>
    <w:rsid w:val="4E522718"/>
    <w:rsid w:val="4E5524F6"/>
    <w:rsid w:val="4E751272"/>
    <w:rsid w:val="4E772300"/>
    <w:rsid w:val="4E7939C1"/>
    <w:rsid w:val="4E812E8E"/>
    <w:rsid w:val="4E8C30EE"/>
    <w:rsid w:val="4E8C3CA1"/>
    <w:rsid w:val="4E8D6FCE"/>
    <w:rsid w:val="4E907D8B"/>
    <w:rsid w:val="4E927F61"/>
    <w:rsid w:val="4E956C60"/>
    <w:rsid w:val="4E9823FF"/>
    <w:rsid w:val="4E9C3B15"/>
    <w:rsid w:val="4EAA7FE0"/>
    <w:rsid w:val="4EB37674"/>
    <w:rsid w:val="4EC310A1"/>
    <w:rsid w:val="4ECC61A8"/>
    <w:rsid w:val="4ED34357"/>
    <w:rsid w:val="4ED432AF"/>
    <w:rsid w:val="4EDA49A4"/>
    <w:rsid w:val="4EDF04EB"/>
    <w:rsid w:val="4EE31744"/>
    <w:rsid w:val="4EE62F10"/>
    <w:rsid w:val="4F0010EA"/>
    <w:rsid w:val="4F004A6C"/>
    <w:rsid w:val="4F016ADD"/>
    <w:rsid w:val="4F456A25"/>
    <w:rsid w:val="4F4E3EA4"/>
    <w:rsid w:val="4F6B2B1F"/>
    <w:rsid w:val="4F6D3DC4"/>
    <w:rsid w:val="4F6E3703"/>
    <w:rsid w:val="4F82477B"/>
    <w:rsid w:val="4F9D2381"/>
    <w:rsid w:val="4F9F185E"/>
    <w:rsid w:val="4FA2522A"/>
    <w:rsid w:val="4FB25B1F"/>
    <w:rsid w:val="4FC675FE"/>
    <w:rsid w:val="4FCE41A2"/>
    <w:rsid w:val="4FCF20BE"/>
    <w:rsid w:val="4FDD6193"/>
    <w:rsid w:val="4FEC5731"/>
    <w:rsid w:val="4FF36048"/>
    <w:rsid w:val="5001388B"/>
    <w:rsid w:val="50066CDB"/>
    <w:rsid w:val="50081433"/>
    <w:rsid w:val="50147408"/>
    <w:rsid w:val="50195A76"/>
    <w:rsid w:val="501A1195"/>
    <w:rsid w:val="501A73E7"/>
    <w:rsid w:val="501E2A33"/>
    <w:rsid w:val="50250266"/>
    <w:rsid w:val="502E69EF"/>
    <w:rsid w:val="50354221"/>
    <w:rsid w:val="503B124D"/>
    <w:rsid w:val="503C110B"/>
    <w:rsid w:val="503F29AA"/>
    <w:rsid w:val="505E72D4"/>
    <w:rsid w:val="50630D4D"/>
    <w:rsid w:val="506348EA"/>
    <w:rsid w:val="50697817"/>
    <w:rsid w:val="506E62E8"/>
    <w:rsid w:val="50792360"/>
    <w:rsid w:val="508C721A"/>
    <w:rsid w:val="50A867A1"/>
    <w:rsid w:val="50AA7726"/>
    <w:rsid w:val="50AB003F"/>
    <w:rsid w:val="50B96C00"/>
    <w:rsid w:val="50BB305F"/>
    <w:rsid w:val="50D21A70"/>
    <w:rsid w:val="50DA0D51"/>
    <w:rsid w:val="50EA43F6"/>
    <w:rsid w:val="50FA3A11"/>
    <w:rsid w:val="5118100E"/>
    <w:rsid w:val="511856D5"/>
    <w:rsid w:val="512978E2"/>
    <w:rsid w:val="513E4F39"/>
    <w:rsid w:val="513F7105"/>
    <w:rsid w:val="51426BF5"/>
    <w:rsid w:val="51512619"/>
    <w:rsid w:val="515406D7"/>
    <w:rsid w:val="51585DA9"/>
    <w:rsid w:val="515E7029"/>
    <w:rsid w:val="515F6BC4"/>
    <w:rsid w:val="51694182"/>
    <w:rsid w:val="518D27D7"/>
    <w:rsid w:val="51905BB3"/>
    <w:rsid w:val="519630FA"/>
    <w:rsid w:val="51974326"/>
    <w:rsid w:val="519B757D"/>
    <w:rsid w:val="51A0391C"/>
    <w:rsid w:val="51A61200"/>
    <w:rsid w:val="51A90A23"/>
    <w:rsid w:val="51AA6D0A"/>
    <w:rsid w:val="51AB47EE"/>
    <w:rsid w:val="51AD0775"/>
    <w:rsid w:val="51B318A1"/>
    <w:rsid w:val="51CC4711"/>
    <w:rsid w:val="51D068B2"/>
    <w:rsid w:val="51E17DD8"/>
    <w:rsid w:val="51E27A91"/>
    <w:rsid w:val="51E5351D"/>
    <w:rsid w:val="51F003FF"/>
    <w:rsid w:val="51FC2A48"/>
    <w:rsid w:val="5201260D"/>
    <w:rsid w:val="520E6AD8"/>
    <w:rsid w:val="521A547C"/>
    <w:rsid w:val="521F0CE5"/>
    <w:rsid w:val="522B7EBA"/>
    <w:rsid w:val="52304D2F"/>
    <w:rsid w:val="52326C6A"/>
    <w:rsid w:val="523350A2"/>
    <w:rsid w:val="523C53F3"/>
    <w:rsid w:val="52472FB7"/>
    <w:rsid w:val="5259532C"/>
    <w:rsid w:val="525E7A5F"/>
    <w:rsid w:val="525F7333"/>
    <w:rsid w:val="526C0B94"/>
    <w:rsid w:val="528648C0"/>
    <w:rsid w:val="52880638"/>
    <w:rsid w:val="528B1ED6"/>
    <w:rsid w:val="52917701"/>
    <w:rsid w:val="52AC708D"/>
    <w:rsid w:val="52B302A6"/>
    <w:rsid w:val="52B814FE"/>
    <w:rsid w:val="52BE7D56"/>
    <w:rsid w:val="52C84ED8"/>
    <w:rsid w:val="52CA0FA4"/>
    <w:rsid w:val="52DE1094"/>
    <w:rsid w:val="52E77591"/>
    <w:rsid w:val="52EC1CE1"/>
    <w:rsid w:val="52F04AE9"/>
    <w:rsid w:val="52F203B0"/>
    <w:rsid w:val="52F3107C"/>
    <w:rsid w:val="52F552A5"/>
    <w:rsid w:val="52FE6B4C"/>
    <w:rsid w:val="530E6CE2"/>
    <w:rsid w:val="532E0DDC"/>
    <w:rsid w:val="533407C0"/>
    <w:rsid w:val="533B1B4E"/>
    <w:rsid w:val="53565C5E"/>
    <w:rsid w:val="535F10F2"/>
    <w:rsid w:val="5367649F"/>
    <w:rsid w:val="53682EE2"/>
    <w:rsid w:val="536A5F90"/>
    <w:rsid w:val="53704398"/>
    <w:rsid w:val="537B1F4B"/>
    <w:rsid w:val="53860F02"/>
    <w:rsid w:val="538E1C7E"/>
    <w:rsid w:val="538F59F6"/>
    <w:rsid w:val="539D0113"/>
    <w:rsid w:val="53AA47B9"/>
    <w:rsid w:val="53AC378D"/>
    <w:rsid w:val="53B11E10"/>
    <w:rsid w:val="53C27B7A"/>
    <w:rsid w:val="53C51035"/>
    <w:rsid w:val="53C63FD1"/>
    <w:rsid w:val="53C7491B"/>
    <w:rsid w:val="53DB0C3B"/>
    <w:rsid w:val="53DF697E"/>
    <w:rsid w:val="53E126F6"/>
    <w:rsid w:val="53E144A4"/>
    <w:rsid w:val="53E4700B"/>
    <w:rsid w:val="53FA3C53"/>
    <w:rsid w:val="54071C8E"/>
    <w:rsid w:val="54102FDB"/>
    <w:rsid w:val="54216F96"/>
    <w:rsid w:val="5426635A"/>
    <w:rsid w:val="542F7F88"/>
    <w:rsid w:val="543520B1"/>
    <w:rsid w:val="543A7D6A"/>
    <w:rsid w:val="544B5DC1"/>
    <w:rsid w:val="545318ED"/>
    <w:rsid w:val="54716CC6"/>
    <w:rsid w:val="5472334E"/>
    <w:rsid w:val="54752E3E"/>
    <w:rsid w:val="54755F87"/>
    <w:rsid w:val="548412D3"/>
    <w:rsid w:val="54890697"/>
    <w:rsid w:val="54995E0B"/>
    <w:rsid w:val="549C0855"/>
    <w:rsid w:val="54C618EB"/>
    <w:rsid w:val="54D23DEC"/>
    <w:rsid w:val="54D97871"/>
    <w:rsid w:val="54E1260A"/>
    <w:rsid w:val="54EA382C"/>
    <w:rsid w:val="54EF2BF0"/>
    <w:rsid w:val="54F92EF3"/>
    <w:rsid w:val="55007040"/>
    <w:rsid w:val="55050B9B"/>
    <w:rsid w:val="55052414"/>
    <w:rsid w:val="5512068D"/>
    <w:rsid w:val="551C4417"/>
    <w:rsid w:val="55216B22"/>
    <w:rsid w:val="552503C0"/>
    <w:rsid w:val="55254864"/>
    <w:rsid w:val="553973C4"/>
    <w:rsid w:val="554C0043"/>
    <w:rsid w:val="55591B89"/>
    <w:rsid w:val="556F5ADF"/>
    <w:rsid w:val="55733821"/>
    <w:rsid w:val="5573405C"/>
    <w:rsid w:val="557821C2"/>
    <w:rsid w:val="557D4431"/>
    <w:rsid w:val="55B55D4B"/>
    <w:rsid w:val="55BB0D24"/>
    <w:rsid w:val="55BD684B"/>
    <w:rsid w:val="55C220B3"/>
    <w:rsid w:val="55C4407D"/>
    <w:rsid w:val="55C56B4E"/>
    <w:rsid w:val="55C92486"/>
    <w:rsid w:val="55D50038"/>
    <w:rsid w:val="55E95D9F"/>
    <w:rsid w:val="55EE4C56"/>
    <w:rsid w:val="55F432B8"/>
    <w:rsid w:val="55F61D5C"/>
    <w:rsid w:val="56053A7E"/>
    <w:rsid w:val="560D1830"/>
    <w:rsid w:val="560D3DAD"/>
    <w:rsid w:val="560D6F51"/>
    <w:rsid w:val="56184A51"/>
    <w:rsid w:val="56351A54"/>
    <w:rsid w:val="56446F6C"/>
    <w:rsid w:val="5648419A"/>
    <w:rsid w:val="564C33E3"/>
    <w:rsid w:val="564E1B99"/>
    <w:rsid w:val="5651115B"/>
    <w:rsid w:val="5651609A"/>
    <w:rsid w:val="56570A4D"/>
    <w:rsid w:val="56574EF1"/>
    <w:rsid w:val="56646662"/>
    <w:rsid w:val="566E3FE9"/>
    <w:rsid w:val="567A0BDF"/>
    <w:rsid w:val="56824C41"/>
    <w:rsid w:val="5683366D"/>
    <w:rsid w:val="568A4384"/>
    <w:rsid w:val="56957A31"/>
    <w:rsid w:val="56B212FD"/>
    <w:rsid w:val="56BC6B02"/>
    <w:rsid w:val="56C035E5"/>
    <w:rsid w:val="56DA342C"/>
    <w:rsid w:val="56DC4D8F"/>
    <w:rsid w:val="56DF0A43"/>
    <w:rsid w:val="56E10C5F"/>
    <w:rsid w:val="56E81623"/>
    <w:rsid w:val="56EA7B13"/>
    <w:rsid w:val="56F91B04"/>
    <w:rsid w:val="56F95FA8"/>
    <w:rsid w:val="56FD753C"/>
    <w:rsid w:val="570F757A"/>
    <w:rsid w:val="572172AD"/>
    <w:rsid w:val="572528F9"/>
    <w:rsid w:val="573967DC"/>
    <w:rsid w:val="574014E1"/>
    <w:rsid w:val="574057D9"/>
    <w:rsid w:val="57435475"/>
    <w:rsid w:val="574A05B2"/>
    <w:rsid w:val="575267EE"/>
    <w:rsid w:val="57540446"/>
    <w:rsid w:val="575729E9"/>
    <w:rsid w:val="575907F5"/>
    <w:rsid w:val="575A0494"/>
    <w:rsid w:val="577D0987"/>
    <w:rsid w:val="57825F9E"/>
    <w:rsid w:val="57853398"/>
    <w:rsid w:val="5785783C"/>
    <w:rsid w:val="57900884"/>
    <w:rsid w:val="57946072"/>
    <w:rsid w:val="5798020F"/>
    <w:rsid w:val="5798756F"/>
    <w:rsid w:val="579D29FC"/>
    <w:rsid w:val="57A34752"/>
    <w:rsid w:val="57AF6667"/>
    <w:rsid w:val="57B036A5"/>
    <w:rsid w:val="57B4088C"/>
    <w:rsid w:val="57BE7E3C"/>
    <w:rsid w:val="57C2639A"/>
    <w:rsid w:val="57C27F27"/>
    <w:rsid w:val="57C57C38"/>
    <w:rsid w:val="57C9719E"/>
    <w:rsid w:val="57CC546B"/>
    <w:rsid w:val="57CF0AB7"/>
    <w:rsid w:val="57CF5E09"/>
    <w:rsid w:val="57D4431F"/>
    <w:rsid w:val="57D83E10"/>
    <w:rsid w:val="57DD1426"/>
    <w:rsid w:val="57E07B2A"/>
    <w:rsid w:val="57FB18AC"/>
    <w:rsid w:val="57FE314A"/>
    <w:rsid w:val="580249E9"/>
    <w:rsid w:val="58185A7A"/>
    <w:rsid w:val="581A4428"/>
    <w:rsid w:val="58207565"/>
    <w:rsid w:val="58240E03"/>
    <w:rsid w:val="583A0626"/>
    <w:rsid w:val="583B239C"/>
    <w:rsid w:val="58494664"/>
    <w:rsid w:val="5851771E"/>
    <w:rsid w:val="58597148"/>
    <w:rsid w:val="58600972"/>
    <w:rsid w:val="58605180"/>
    <w:rsid w:val="58627B7D"/>
    <w:rsid w:val="586C27AA"/>
    <w:rsid w:val="58737694"/>
    <w:rsid w:val="587A291B"/>
    <w:rsid w:val="587F48DE"/>
    <w:rsid w:val="588418A2"/>
    <w:rsid w:val="58920462"/>
    <w:rsid w:val="5892605D"/>
    <w:rsid w:val="5893792C"/>
    <w:rsid w:val="58977827"/>
    <w:rsid w:val="5898138F"/>
    <w:rsid w:val="589A10C5"/>
    <w:rsid w:val="589C1084"/>
    <w:rsid w:val="58B06B3A"/>
    <w:rsid w:val="58B34C11"/>
    <w:rsid w:val="58B77EC9"/>
    <w:rsid w:val="58C35A5C"/>
    <w:rsid w:val="58C373C9"/>
    <w:rsid w:val="58E6430A"/>
    <w:rsid w:val="58E662A8"/>
    <w:rsid w:val="58F06F37"/>
    <w:rsid w:val="58F5454D"/>
    <w:rsid w:val="58FC1D80"/>
    <w:rsid w:val="59030A18"/>
    <w:rsid w:val="59084281"/>
    <w:rsid w:val="59102873"/>
    <w:rsid w:val="59156760"/>
    <w:rsid w:val="591A5A7B"/>
    <w:rsid w:val="592201AE"/>
    <w:rsid w:val="592310BA"/>
    <w:rsid w:val="59253085"/>
    <w:rsid w:val="592D39AB"/>
    <w:rsid w:val="59412B2A"/>
    <w:rsid w:val="59444C41"/>
    <w:rsid w:val="5952374E"/>
    <w:rsid w:val="595B379D"/>
    <w:rsid w:val="59622AE1"/>
    <w:rsid w:val="59646258"/>
    <w:rsid w:val="597459BF"/>
    <w:rsid w:val="597C07CB"/>
    <w:rsid w:val="597C6A1D"/>
    <w:rsid w:val="59995821"/>
    <w:rsid w:val="599B3347"/>
    <w:rsid w:val="599E6971"/>
    <w:rsid w:val="59A17C3D"/>
    <w:rsid w:val="59B166C6"/>
    <w:rsid w:val="59C669A8"/>
    <w:rsid w:val="59CD7278"/>
    <w:rsid w:val="59D52E71"/>
    <w:rsid w:val="59D6437F"/>
    <w:rsid w:val="59D94E1E"/>
    <w:rsid w:val="59DC6116"/>
    <w:rsid w:val="59DF6790"/>
    <w:rsid w:val="59E76F1A"/>
    <w:rsid w:val="59E77A8E"/>
    <w:rsid w:val="59E944B5"/>
    <w:rsid w:val="59F64A21"/>
    <w:rsid w:val="59F824B8"/>
    <w:rsid w:val="5A00551A"/>
    <w:rsid w:val="5A130709"/>
    <w:rsid w:val="5A13112F"/>
    <w:rsid w:val="5A165FC8"/>
    <w:rsid w:val="5A174AEB"/>
    <w:rsid w:val="5A19426B"/>
    <w:rsid w:val="5A2A1379"/>
    <w:rsid w:val="5A2C3F9F"/>
    <w:rsid w:val="5A395F05"/>
    <w:rsid w:val="5A3966BC"/>
    <w:rsid w:val="5A494BC1"/>
    <w:rsid w:val="5A551748"/>
    <w:rsid w:val="5A621F92"/>
    <w:rsid w:val="5A667E66"/>
    <w:rsid w:val="5A6D6C90"/>
    <w:rsid w:val="5A844281"/>
    <w:rsid w:val="5A89319F"/>
    <w:rsid w:val="5A8B6F17"/>
    <w:rsid w:val="5A8F6383"/>
    <w:rsid w:val="5A9304C2"/>
    <w:rsid w:val="5A987931"/>
    <w:rsid w:val="5A9B4B84"/>
    <w:rsid w:val="5AA1498D"/>
    <w:rsid w:val="5AA4447D"/>
    <w:rsid w:val="5AB31742"/>
    <w:rsid w:val="5AC10B8B"/>
    <w:rsid w:val="5AC266B1"/>
    <w:rsid w:val="5AD14B46"/>
    <w:rsid w:val="5AE04594"/>
    <w:rsid w:val="5AFC7E15"/>
    <w:rsid w:val="5B0311A3"/>
    <w:rsid w:val="5B0373F5"/>
    <w:rsid w:val="5B0F13AB"/>
    <w:rsid w:val="5B150ED7"/>
    <w:rsid w:val="5B2C6E0F"/>
    <w:rsid w:val="5B3951AC"/>
    <w:rsid w:val="5B4E75CF"/>
    <w:rsid w:val="5B547C51"/>
    <w:rsid w:val="5B5852AB"/>
    <w:rsid w:val="5B670635"/>
    <w:rsid w:val="5B743E4F"/>
    <w:rsid w:val="5B783FF8"/>
    <w:rsid w:val="5B8402CF"/>
    <w:rsid w:val="5B8F47E5"/>
    <w:rsid w:val="5B901433"/>
    <w:rsid w:val="5BA20379"/>
    <w:rsid w:val="5BA22FF9"/>
    <w:rsid w:val="5BB701E0"/>
    <w:rsid w:val="5BB7574F"/>
    <w:rsid w:val="5BBA79E8"/>
    <w:rsid w:val="5BC37463"/>
    <w:rsid w:val="5BC8419B"/>
    <w:rsid w:val="5BF14E79"/>
    <w:rsid w:val="5BF40AEC"/>
    <w:rsid w:val="5BF44F90"/>
    <w:rsid w:val="5BF84A80"/>
    <w:rsid w:val="5BFD0E7B"/>
    <w:rsid w:val="5C043425"/>
    <w:rsid w:val="5C2A2760"/>
    <w:rsid w:val="5C2C297C"/>
    <w:rsid w:val="5C2C57D9"/>
    <w:rsid w:val="5C2D3FFE"/>
    <w:rsid w:val="5C3F76AA"/>
    <w:rsid w:val="5C545A2F"/>
    <w:rsid w:val="5C5D0D87"/>
    <w:rsid w:val="5C602626"/>
    <w:rsid w:val="5C64278E"/>
    <w:rsid w:val="5C6C4B26"/>
    <w:rsid w:val="5C6E01B4"/>
    <w:rsid w:val="5C7659A5"/>
    <w:rsid w:val="5C9127DF"/>
    <w:rsid w:val="5C9A5B38"/>
    <w:rsid w:val="5CA95D7B"/>
    <w:rsid w:val="5CC42BB4"/>
    <w:rsid w:val="5CCC1A69"/>
    <w:rsid w:val="5CD8040E"/>
    <w:rsid w:val="5CEE19DF"/>
    <w:rsid w:val="5CFE4309"/>
    <w:rsid w:val="5D053658"/>
    <w:rsid w:val="5D101956"/>
    <w:rsid w:val="5D1F7DEB"/>
    <w:rsid w:val="5D211DB5"/>
    <w:rsid w:val="5D221689"/>
    <w:rsid w:val="5D284EF1"/>
    <w:rsid w:val="5D2C22D6"/>
    <w:rsid w:val="5D3550EC"/>
    <w:rsid w:val="5D355860"/>
    <w:rsid w:val="5D521F6E"/>
    <w:rsid w:val="5D5B704F"/>
    <w:rsid w:val="5D665A1A"/>
    <w:rsid w:val="5D7F7C86"/>
    <w:rsid w:val="5D8159AA"/>
    <w:rsid w:val="5D8A308E"/>
    <w:rsid w:val="5D900B7B"/>
    <w:rsid w:val="5D902A97"/>
    <w:rsid w:val="5D9A3915"/>
    <w:rsid w:val="5D9E47C0"/>
    <w:rsid w:val="5DA55635"/>
    <w:rsid w:val="5DAB167E"/>
    <w:rsid w:val="5DAB78D0"/>
    <w:rsid w:val="5DB42C29"/>
    <w:rsid w:val="5DB70023"/>
    <w:rsid w:val="5DB86706"/>
    <w:rsid w:val="5DBD7190"/>
    <w:rsid w:val="5DC866D4"/>
    <w:rsid w:val="5DCB1D21"/>
    <w:rsid w:val="5DD0462F"/>
    <w:rsid w:val="5DD166EA"/>
    <w:rsid w:val="5DD76D12"/>
    <w:rsid w:val="5DF70D68"/>
    <w:rsid w:val="5E075446"/>
    <w:rsid w:val="5E0B4F4B"/>
    <w:rsid w:val="5E14191A"/>
    <w:rsid w:val="5E23390B"/>
    <w:rsid w:val="5E282CCF"/>
    <w:rsid w:val="5E2A6A47"/>
    <w:rsid w:val="5E3E6996"/>
    <w:rsid w:val="5E511610"/>
    <w:rsid w:val="5E734892"/>
    <w:rsid w:val="5E83050C"/>
    <w:rsid w:val="5E8F1076"/>
    <w:rsid w:val="5E991118"/>
    <w:rsid w:val="5E9B5B97"/>
    <w:rsid w:val="5EAA7669"/>
    <w:rsid w:val="5EAE6868"/>
    <w:rsid w:val="5ED66BCF"/>
    <w:rsid w:val="5ED679F2"/>
    <w:rsid w:val="5EDF7832"/>
    <w:rsid w:val="5EE1723E"/>
    <w:rsid w:val="5EEC31DD"/>
    <w:rsid w:val="5EF04772"/>
    <w:rsid w:val="5EF05EE3"/>
    <w:rsid w:val="5EF36EB6"/>
    <w:rsid w:val="5F021772"/>
    <w:rsid w:val="5F096FA4"/>
    <w:rsid w:val="5F0B0627"/>
    <w:rsid w:val="5F171192"/>
    <w:rsid w:val="5F241273"/>
    <w:rsid w:val="5F243081"/>
    <w:rsid w:val="5F2A12F8"/>
    <w:rsid w:val="5F334021"/>
    <w:rsid w:val="5F3C58B7"/>
    <w:rsid w:val="5F3E6E9B"/>
    <w:rsid w:val="5F443B39"/>
    <w:rsid w:val="5F4E193D"/>
    <w:rsid w:val="5F642583"/>
    <w:rsid w:val="5F6441DB"/>
    <w:rsid w:val="5F6A0654"/>
    <w:rsid w:val="5F751F44"/>
    <w:rsid w:val="5F7A755A"/>
    <w:rsid w:val="5F7C2BC5"/>
    <w:rsid w:val="5F866F22"/>
    <w:rsid w:val="5F8F4D7B"/>
    <w:rsid w:val="5F8F74AA"/>
    <w:rsid w:val="5F915CB4"/>
    <w:rsid w:val="5F920D48"/>
    <w:rsid w:val="5F9C361C"/>
    <w:rsid w:val="5FA42829"/>
    <w:rsid w:val="5FBF1411"/>
    <w:rsid w:val="5FCA0D9F"/>
    <w:rsid w:val="5FCE126B"/>
    <w:rsid w:val="5FD67828"/>
    <w:rsid w:val="5FDD304B"/>
    <w:rsid w:val="5FDE04BB"/>
    <w:rsid w:val="5FE4753D"/>
    <w:rsid w:val="600F2399"/>
    <w:rsid w:val="600F3107"/>
    <w:rsid w:val="6017749F"/>
    <w:rsid w:val="602478DB"/>
    <w:rsid w:val="60363DC9"/>
    <w:rsid w:val="603747E8"/>
    <w:rsid w:val="6045400C"/>
    <w:rsid w:val="60481228"/>
    <w:rsid w:val="60496E03"/>
    <w:rsid w:val="604A33D1"/>
    <w:rsid w:val="60533A3D"/>
    <w:rsid w:val="60567FC7"/>
    <w:rsid w:val="605A639A"/>
    <w:rsid w:val="6071159A"/>
    <w:rsid w:val="607D5554"/>
    <w:rsid w:val="60824CE9"/>
    <w:rsid w:val="60870181"/>
    <w:rsid w:val="608C5797"/>
    <w:rsid w:val="608F6033"/>
    <w:rsid w:val="609C3324"/>
    <w:rsid w:val="609D1752"/>
    <w:rsid w:val="60A24FBB"/>
    <w:rsid w:val="60A76A75"/>
    <w:rsid w:val="60AF2BCD"/>
    <w:rsid w:val="60BC0341"/>
    <w:rsid w:val="60CC6205"/>
    <w:rsid w:val="60DB227B"/>
    <w:rsid w:val="60E4166B"/>
    <w:rsid w:val="60E75352"/>
    <w:rsid w:val="60FF065F"/>
    <w:rsid w:val="610067AB"/>
    <w:rsid w:val="61024E87"/>
    <w:rsid w:val="61037CF4"/>
    <w:rsid w:val="610C038F"/>
    <w:rsid w:val="61137C66"/>
    <w:rsid w:val="611834CF"/>
    <w:rsid w:val="611D2893"/>
    <w:rsid w:val="611F485D"/>
    <w:rsid w:val="6122434D"/>
    <w:rsid w:val="61300818"/>
    <w:rsid w:val="613F6CAD"/>
    <w:rsid w:val="61406582"/>
    <w:rsid w:val="61471ACE"/>
    <w:rsid w:val="614A2D2C"/>
    <w:rsid w:val="615950B5"/>
    <w:rsid w:val="615F10FE"/>
    <w:rsid w:val="61616C24"/>
    <w:rsid w:val="617C580C"/>
    <w:rsid w:val="61866A86"/>
    <w:rsid w:val="61907509"/>
    <w:rsid w:val="619E1C26"/>
    <w:rsid w:val="61A158C4"/>
    <w:rsid w:val="61A82AA5"/>
    <w:rsid w:val="61AB4343"/>
    <w:rsid w:val="61B437D3"/>
    <w:rsid w:val="61BA27D8"/>
    <w:rsid w:val="61BC3E5A"/>
    <w:rsid w:val="61BF2475"/>
    <w:rsid w:val="61C947C9"/>
    <w:rsid w:val="61D07906"/>
    <w:rsid w:val="61D73F2D"/>
    <w:rsid w:val="61DE513F"/>
    <w:rsid w:val="61DF3FED"/>
    <w:rsid w:val="61EB0423"/>
    <w:rsid w:val="61ED0120"/>
    <w:rsid w:val="61F25A52"/>
    <w:rsid w:val="6200643D"/>
    <w:rsid w:val="620A1884"/>
    <w:rsid w:val="621041A6"/>
    <w:rsid w:val="6214107C"/>
    <w:rsid w:val="623D6784"/>
    <w:rsid w:val="62483D95"/>
    <w:rsid w:val="624A76B8"/>
    <w:rsid w:val="624B51DE"/>
    <w:rsid w:val="625C1559"/>
    <w:rsid w:val="62744735"/>
    <w:rsid w:val="627D06E2"/>
    <w:rsid w:val="627D5CDF"/>
    <w:rsid w:val="62B17737"/>
    <w:rsid w:val="62C51434"/>
    <w:rsid w:val="62CB283C"/>
    <w:rsid w:val="62D033F2"/>
    <w:rsid w:val="62D376AD"/>
    <w:rsid w:val="62D653F0"/>
    <w:rsid w:val="62ED0FD3"/>
    <w:rsid w:val="62FD0BCE"/>
    <w:rsid w:val="630E2DDB"/>
    <w:rsid w:val="63343EC4"/>
    <w:rsid w:val="633D721D"/>
    <w:rsid w:val="63461B81"/>
    <w:rsid w:val="63511D57"/>
    <w:rsid w:val="63702B97"/>
    <w:rsid w:val="63860BC4"/>
    <w:rsid w:val="63860E60"/>
    <w:rsid w:val="639808F7"/>
    <w:rsid w:val="639855AC"/>
    <w:rsid w:val="639A569E"/>
    <w:rsid w:val="639A6746"/>
    <w:rsid w:val="63A177AC"/>
    <w:rsid w:val="63A46C3D"/>
    <w:rsid w:val="63AE1EC8"/>
    <w:rsid w:val="63B219B9"/>
    <w:rsid w:val="63BD3EBA"/>
    <w:rsid w:val="63C11BFC"/>
    <w:rsid w:val="63C139AA"/>
    <w:rsid w:val="63C416EC"/>
    <w:rsid w:val="63C77D26"/>
    <w:rsid w:val="63CD6CBE"/>
    <w:rsid w:val="63CF256B"/>
    <w:rsid w:val="63D27965"/>
    <w:rsid w:val="63E2436F"/>
    <w:rsid w:val="63EA73A4"/>
    <w:rsid w:val="63EE4356"/>
    <w:rsid w:val="63F279DE"/>
    <w:rsid w:val="63F975E8"/>
    <w:rsid w:val="63FA3360"/>
    <w:rsid w:val="6403064C"/>
    <w:rsid w:val="64046C3B"/>
    <w:rsid w:val="640F6E0B"/>
    <w:rsid w:val="641C5084"/>
    <w:rsid w:val="641F5809"/>
    <w:rsid w:val="642F3009"/>
    <w:rsid w:val="64354398"/>
    <w:rsid w:val="644353F5"/>
    <w:rsid w:val="644D7933"/>
    <w:rsid w:val="644F546A"/>
    <w:rsid w:val="645804F4"/>
    <w:rsid w:val="645B56F0"/>
    <w:rsid w:val="645C3964"/>
    <w:rsid w:val="646A7B3B"/>
    <w:rsid w:val="64871480"/>
    <w:rsid w:val="6487730D"/>
    <w:rsid w:val="648D1ADE"/>
    <w:rsid w:val="64A038CF"/>
    <w:rsid w:val="64AC28AC"/>
    <w:rsid w:val="64AD03D2"/>
    <w:rsid w:val="64BD0615"/>
    <w:rsid w:val="64BE25DF"/>
    <w:rsid w:val="64D9450A"/>
    <w:rsid w:val="64DD1634"/>
    <w:rsid w:val="64E220FD"/>
    <w:rsid w:val="64EE4C72"/>
    <w:rsid w:val="64F00736"/>
    <w:rsid w:val="64F34037"/>
    <w:rsid w:val="64F61FBA"/>
    <w:rsid w:val="652977A7"/>
    <w:rsid w:val="652C424A"/>
    <w:rsid w:val="652F0DE7"/>
    <w:rsid w:val="6530072B"/>
    <w:rsid w:val="65366A7B"/>
    <w:rsid w:val="65493C57"/>
    <w:rsid w:val="65544F71"/>
    <w:rsid w:val="655C1270"/>
    <w:rsid w:val="656932F7"/>
    <w:rsid w:val="65695546"/>
    <w:rsid w:val="65837903"/>
    <w:rsid w:val="65896749"/>
    <w:rsid w:val="658E01CE"/>
    <w:rsid w:val="65A76BCF"/>
    <w:rsid w:val="65AE4863"/>
    <w:rsid w:val="65C854C3"/>
    <w:rsid w:val="65CC6636"/>
    <w:rsid w:val="65CE23AE"/>
    <w:rsid w:val="65D33E68"/>
    <w:rsid w:val="65DA0D53"/>
    <w:rsid w:val="65DD280C"/>
    <w:rsid w:val="65E25E59"/>
    <w:rsid w:val="65F21520"/>
    <w:rsid w:val="66180023"/>
    <w:rsid w:val="661C5518"/>
    <w:rsid w:val="661D6DEA"/>
    <w:rsid w:val="661E7DF0"/>
    <w:rsid w:val="66214BD4"/>
    <w:rsid w:val="66266DCE"/>
    <w:rsid w:val="66284AF4"/>
    <w:rsid w:val="663A5C95"/>
    <w:rsid w:val="664A237C"/>
    <w:rsid w:val="665066E6"/>
    <w:rsid w:val="6663423B"/>
    <w:rsid w:val="6683763C"/>
    <w:rsid w:val="669140FA"/>
    <w:rsid w:val="669C425A"/>
    <w:rsid w:val="66A74E0F"/>
    <w:rsid w:val="66B47F1D"/>
    <w:rsid w:val="66BB0B84"/>
    <w:rsid w:val="66BC5FE0"/>
    <w:rsid w:val="66C11F13"/>
    <w:rsid w:val="66D02156"/>
    <w:rsid w:val="66D71736"/>
    <w:rsid w:val="66FD119D"/>
    <w:rsid w:val="670562A3"/>
    <w:rsid w:val="67134D8E"/>
    <w:rsid w:val="671604B0"/>
    <w:rsid w:val="671939D8"/>
    <w:rsid w:val="671C6B25"/>
    <w:rsid w:val="67226E55"/>
    <w:rsid w:val="67240B64"/>
    <w:rsid w:val="67307B4D"/>
    <w:rsid w:val="674C5C80"/>
    <w:rsid w:val="67582877"/>
    <w:rsid w:val="67584625"/>
    <w:rsid w:val="675E5115"/>
    <w:rsid w:val="676C4760"/>
    <w:rsid w:val="6784475E"/>
    <w:rsid w:val="6784541A"/>
    <w:rsid w:val="67917B37"/>
    <w:rsid w:val="679F04A6"/>
    <w:rsid w:val="67A21D44"/>
    <w:rsid w:val="67A61834"/>
    <w:rsid w:val="67A71109"/>
    <w:rsid w:val="67AD7DD6"/>
    <w:rsid w:val="67BA07B7"/>
    <w:rsid w:val="67BB7EBB"/>
    <w:rsid w:val="67BD26DA"/>
    <w:rsid w:val="67C938CC"/>
    <w:rsid w:val="67DB0DB2"/>
    <w:rsid w:val="67DD3A75"/>
    <w:rsid w:val="67ED03C9"/>
    <w:rsid w:val="67F120DA"/>
    <w:rsid w:val="67F51E74"/>
    <w:rsid w:val="67FF2CF3"/>
    <w:rsid w:val="68060525"/>
    <w:rsid w:val="680E630A"/>
    <w:rsid w:val="68124EB0"/>
    <w:rsid w:val="681364CD"/>
    <w:rsid w:val="68242759"/>
    <w:rsid w:val="68243885"/>
    <w:rsid w:val="683A1F7D"/>
    <w:rsid w:val="683B3B1F"/>
    <w:rsid w:val="687234C5"/>
    <w:rsid w:val="68744D1D"/>
    <w:rsid w:val="688558EE"/>
    <w:rsid w:val="689C6793"/>
    <w:rsid w:val="68A044D6"/>
    <w:rsid w:val="68A613C0"/>
    <w:rsid w:val="68A71F0C"/>
    <w:rsid w:val="68B51B7E"/>
    <w:rsid w:val="68BC4845"/>
    <w:rsid w:val="68CB0E27"/>
    <w:rsid w:val="68D66127"/>
    <w:rsid w:val="69032E72"/>
    <w:rsid w:val="690C1B6B"/>
    <w:rsid w:val="6917406C"/>
    <w:rsid w:val="691C6622"/>
    <w:rsid w:val="69286279"/>
    <w:rsid w:val="692C3FBB"/>
    <w:rsid w:val="693B5DB2"/>
    <w:rsid w:val="694105EE"/>
    <w:rsid w:val="69513A22"/>
    <w:rsid w:val="69566E7A"/>
    <w:rsid w:val="69603C65"/>
    <w:rsid w:val="696075A1"/>
    <w:rsid w:val="69623539"/>
    <w:rsid w:val="69660ABA"/>
    <w:rsid w:val="696B0B76"/>
    <w:rsid w:val="69797B93"/>
    <w:rsid w:val="697A6D19"/>
    <w:rsid w:val="697D65C5"/>
    <w:rsid w:val="69847953"/>
    <w:rsid w:val="698F2FC0"/>
    <w:rsid w:val="69913E1E"/>
    <w:rsid w:val="69AC2A06"/>
    <w:rsid w:val="69B02243"/>
    <w:rsid w:val="69B16A82"/>
    <w:rsid w:val="69C67B3E"/>
    <w:rsid w:val="69D57C48"/>
    <w:rsid w:val="69DD5D56"/>
    <w:rsid w:val="69DD7064"/>
    <w:rsid w:val="69E76134"/>
    <w:rsid w:val="69F0323B"/>
    <w:rsid w:val="69F61B52"/>
    <w:rsid w:val="69F745C9"/>
    <w:rsid w:val="69FF2B55"/>
    <w:rsid w:val="6A0A361D"/>
    <w:rsid w:val="6A0B1E23"/>
    <w:rsid w:val="6A0C7949"/>
    <w:rsid w:val="6A1113CA"/>
    <w:rsid w:val="6A1707C7"/>
    <w:rsid w:val="6A184B90"/>
    <w:rsid w:val="6A19661F"/>
    <w:rsid w:val="6A1A3E14"/>
    <w:rsid w:val="6A20375A"/>
    <w:rsid w:val="6A25387A"/>
    <w:rsid w:val="6A2627B9"/>
    <w:rsid w:val="6A3A2708"/>
    <w:rsid w:val="6A470981"/>
    <w:rsid w:val="6A5F3BB4"/>
    <w:rsid w:val="6A746C1C"/>
    <w:rsid w:val="6A8676FB"/>
    <w:rsid w:val="6A883473"/>
    <w:rsid w:val="6A8B2F63"/>
    <w:rsid w:val="6A933BC6"/>
    <w:rsid w:val="6A9516EC"/>
    <w:rsid w:val="6A9A6D03"/>
    <w:rsid w:val="6A9C2A7B"/>
    <w:rsid w:val="6AA41B3A"/>
    <w:rsid w:val="6AD37B7E"/>
    <w:rsid w:val="6ADF6E0B"/>
    <w:rsid w:val="6AEA7C8A"/>
    <w:rsid w:val="6AF22AF0"/>
    <w:rsid w:val="6AFB3C45"/>
    <w:rsid w:val="6B09579B"/>
    <w:rsid w:val="6B32469D"/>
    <w:rsid w:val="6B3453A9"/>
    <w:rsid w:val="6B3709F5"/>
    <w:rsid w:val="6B425A43"/>
    <w:rsid w:val="6B4534B2"/>
    <w:rsid w:val="6B4A0729"/>
    <w:rsid w:val="6B4A43F1"/>
    <w:rsid w:val="6B513865"/>
    <w:rsid w:val="6B533A81"/>
    <w:rsid w:val="6B581098"/>
    <w:rsid w:val="6B655563"/>
    <w:rsid w:val="6B6A0DCB"/>
    <w:rsid w:val="6B6A2C01"/>
    <w:rsid w:val="6B7457A6"/>
    <w:rsid w:val="6B80239C"/>
    <w:rsid w:val="6B84510D"/>
    <w:rsid w:val="6B8E4AB9"/>
    <w:rsid w:val="6B99520C"/>
    <w:rsid w:val="6BAF6037"/>
    <w:rsid w:val="6BBD38BD"/>
    <w:rsid w:val="6BCD3CC0"/>
    <w:rsid w:val="6BD00FC6"/>
    <w:rsid w:val="6BD44496"/>
    <w:rsid w:val="6BDA0D35"/>
    <w:rsid w:val="6C0A4BCD"/>
    <w:rsid w:val="6C0E79A8"/>
    <w:rsid w:val="6C163A2B"/>
    <w:rsid w:val="6C1D29BA"/>
    <w:rsid w:val="6C200F3D"/>
    <w:rsid w:val="6C2E004A"/>
    <w:rsid w:val="6C2E143A"/>
    <w:rsid w:val="6C690350"/>
    <w:rsid w:val="6C691082"/>
    <w:rsid w:val="6C692E30"/>
    <w:rsid w:val="6C70308B"/>
    <w:rsid w:val="6C7812C6"/>
    <w:rsid w:val="6C7F4402"/>
    <w:rsid w:val="6C8D4D71"/>
    <w:rsid w:val="6C9A748E"/>
    <w:rsid w:val="6C9E1B12"/>
    <w:rsid w:val="6CA07073"/>
    <w:rsid w:val="6CA87DFD"/>
    <w:rsid w:val="6CAB169B"/>
    <w:rsid w:val="6CAD5413"/>
    <w:rsid w:val="6CB272BB"/>
    <w:rsid w:val="6CB30550"/>
    <w:rsid w:val="6CBE7962"/>
    <w:rsid w:val="6CBF0CA2"/>
    <w:rsid w:val="6CC5493F"/>
    <w:rsid w:val="6CCA7D73"/>
    <w:rsid w:val="6CCC538B"/>
    <w:rsid w:val="6CD429A0"/>
    <w:rsid w:val="6CD609FE"/>
    <w:rsid w:val="6CD96208"/>
    <w:rsid w:val="6CDC7AA6"/>
    <w:rsid w:val="6CE10C19"/>
    <w:rsid w:val="6CE8644B"/>
    <w:rsid w:val="6D08089B"/>
    <w:rsid w:val="6D17288C"/>
    <w:rsid w:val="6D2A6553"/>
    <w:rsid w:val="6D321474"/>
    <w:rsid w:val="6D396CA7"/>
    <w:rsid w:val="6D505A47"/>
    <w:rsid w:val="6D526662"/>
    <w:rsid w:val="6D561607"/>
    <w:rsid w:val="6D5B09CB"/>
    <w:rsid w:val="6D5D0BE7"/>
    <w:rsid w:val="6D645431"/>
    <w:rsid w:val="6D6F0791"/>
    <w:rsid w:val="6D6F26C8"/>
    <w:rsid w:val="6D75698C"/>
    <w:rsid w:val="6D885538"/>
    <w:rsid w:val="6D9B480C"/>
    <w:rsid w:val="6D9D7236"/>
    <w:rsid w:val="6DA82D3D"/>
    <w:rsid w:val="6DB644D4"/>
    <w:rsid w:val="6DBE53FE"/>
    <w:rsid w:val="6DC179FA"/>
    <w:rsid w:val="6DC249BF"/>
    <w:rsid w:val="6DC36570"/>
    <w:rsid w:val="6DCF4F15"/>
    <w:rsid w:val="6DD30FEB"/>
    <w:rsid w:val="6DE05374"/>
    <w:rsid w:val="6DE51FC5"/>
    <w:rsid w:val="6DEA61F3"/>
    <w:rsid w:val="6DF00C5C"/>
    <w:rsid w:val="6DF41368"/>
    <w:rsid w:val="6DFB21AE"/>
    <w:rsid w:val="6E03170B"/>
    <w:rsid w:val="6E072901"/>
    <w:rsid w:val="6E0E7DF8"/>
    <w:rsid w:val="6E2A4841"/>
    <w:rsid w:val="6E301E58"/>
    <w:rsid w:val="6E3B56D2"/>
    <w:rsid w:val="6E3B6A4F"/>
    <w:rsid w:val="6E423939"/>
    <w:rsid w:val="6E443B55"/>
    <w:rsid w:val="6E470F4F"/>
    <w:rsid w:val="6E526272"/>
    <w:rsid w:val="6E584EF8"/>
    <w:rsid w:val="6E59013E"/>
    <w:rsid w:val="6E654F2C"/>
    <w:rsid w:val="6E681AD6"/>
    <w:rsid w:val="6E6D6FE0"/>
    <w:rsid w:val="6E801D36"/>
    <w:rsid w:val="6E8D36BE"/>
    <w:rsid w:val="6E923636"/>
    <w:rsid w:val="6E9C74ED"/>
    <w:rsid w:val="6E9D4600"/>
    <w:rsid w:val="6EA6162E"/>
    <w:rsid w:val="6EA6211A"/>
    <w:rsid w:val="6EA6688B"/>
    <w:rsid w:val="6EAF43DA"/>
    <w:rsid w:val="6EB557D6"/>
    <w:rsid w:val="6EBC053F"/>
    <w:rsid w:val="6EC03A0B"/>
    <w:rsid w:val="6EC6456A"/>
    <w:rsid w:val="6EDC3D8E"/>
    <w:rsid w:val="6EE135E3"/>
    <w:rsid w:val="6EFF5CCE"/>
    <w:rsid w:val="6F1057E5"/>
    <w:rsid w:val="6F2542F6"/>
    <w:rsid w:val="6F2A4AF9"/>
    <w:rsid w:val="6F3C65DA"/>
    <w:rsid w:val="6F4D4C8B"/>
    <w:rsid w:val="6F547DC8"/>
    <w:rsid w:val="6F60051B"/>
    <w:rsid w:val="6F800BBD"/>
    <w:rsid w:val="6F8166E3"/>
    <w:rsid w:val="6F951522"/>
    <w:rsid w:val="6FA441A8"/>
    <w:rsid w:val="6FA52550"/>
    <w:rsid w:val="6FB6638D"/>
    <w:rsid w:val="6FBA413A"/>
    <w:rsid w:val="6FC569FF"/>
    <w:rsid w:val="6FCB0CF7"/>
    <w:rsid w:val="6FD35191"/>
    <w:rsid w:val="6FD46C64"/>
    <w:rsid w:val="6FD9651F"/>
    <w:rsid w:val="6FF70753"/>
    <w:rsid w:val="6FFF2A18"/>
    <w:rsid w:val="700215D2"/>
    <w:rsid w:val="700510C2"/>
    <w:rsid w:val="70126A6A"/>
    <w:rsid w:val="70190E0F"/>
    <w:rsid w:val="70371866"/>
    <w:rsid w:val="70453BB5"/>
    <w:rsid w:val="70531E2E"/>
    <w:rsid w:val="70553D17"/>
    <w:rsid w:val="705931BC"/>
    <w:rsid w:val="705D2AD6"/>
    <w:rsid w:val="705E5AAA"/>
    <w:rsid w:val="7082528E"/>
    <w:rsid w:val="70881F5C"/>
    <w:rsid w:val="70A07FA3"/>
    <w:rsid w:val="70A64653"/>
    <w:rsid w:val="70A73F27"/>
    <w:rsid w:val="70B6681B"/>
    <w:rsid w:val="70B7060E"/>
    <w:rsid w:val="70BA00FF"/>
    <w:rsid w:val="70BD7BEF"/>
    <w:rsid w:val="70C45C38"/>
    <w:rsid w:val="70C97A41"/>
    <w:rsid w:val="70D34D1C"/>
    <w:rsid w:val="70E10EAD"/>
    <w:rsid w:val="70F51656"/>
    <w:rsid w:val="70F84783"/>
    <w:rsid w:val="70FA273A"/>
    <w:rsid w:val="70FF2DCA"/>
    <w:rsid w:val="71154EDC"/>
    <w:rsid w:val="71370742"/>
    <w:rsid w:val="714106E5"/>
    <w:rsid w:val="714A7C64"/>
    <w:rsid w:val="714C2B45"/>
    <w:rsid w:val="71535959"/>
    <w:rsid w:val="715851FD"/>
    <w:rsid w:val="715C5FD9"/>
    <w:rsid w:val="717C1858"/>
    <w:rsid w:val="717C7162"/>
    <w:rsid w:val="71816E6E"/>
    <w:rsid w:val="71817BFF"/>
    <w:rsid w:val="718907D9"/>
    <w:rsid w:val="719C5A56"/>
    <w:rsid w:val="719F001B"/>
    <w:rsid w:val="71A30E03"/>
    <w:rsid w:val="71A863B8"/>
    <w:rsid w:val="71B74082"/>
    <w:rsid w:val="71BB412E"/>
    <w:rsid w:val="71C50D8A"/>
    <w:rsid w:val="71C97242"/>
    <w:rsid w:val="71CC1958"/>
    <w:rsid w:val="71CF3736"/>
    <w:rsid w:val="71D04977"/>
    <w:rsid w:val="71E90971"/>
    <w:rsid w:val="71EA0570"/>
    <w:rsid w:val="71F66F14"/>
    <w:rsid w:val="71FD2D1D"/>
    <w:rsid w:val="72037883"/>
    <w:rsid w:val="72141A90"/>
    <w:rsid w:val="721B4BCD"/>
    <w:rsid w:val="722436B3"/>
    <w:rsid w:val="722C51DE"/>
    <w:rsid w:val="724335ED"/>
    <w:rsid w:val="72455208"/>
    <w:rsid w:val="725105EF"/>
    <w:rsid w:val="72536897"/>
    <w:rsid w:val="72577769"/>
    <w:rsid w:val="72632DD6"/>
    <w:rsid w:val="72710C91"/>
    <w:rsid w:val="727128B9"/>
    <w:rsid w:val="72713736"/>
    <w:rsid w:val="727B38BE"/>
    <w:rsid w:val="727D2B35"/>
    <w:rsid w:val="7295497F"/>
    <w:rsid w:val="729A01E8"/>
    <w:rsid w:val="72A15DC8"/>
    <w:rsid w:val="72B017B9"/>
    <w:rsid w:val="72B03567"/>
    <w:rsid w:val="72B175CC"/>
    <w:rsid w:val="72D134AC"/>
    <w:rsid w:val="72EB459F"/>
    <w:rsid w:val="73143081"/>
    <w:rsid w:val="732B0E40"/>
    <w:rsid w:val="73375A36"/>
    <w:rsid w:val="73410663"/>
    <w:rsid w:val="73552881"/>
    <w:rsid w:val="73691968"/>
    <w:rsid w:val="736B1B84"/>
    <w:rsid w:val="736B56E0"/>
    <w:rsid w:val="736B748E"/>
    <w:rsid w:val="73816CB2"/>
    <w:rsid w:val="738320CD"/>
    <w:rsid w:val="7394423F"/>
    <w:rsid w:val="73981633"/>
    <w:rsid w:val="739939DD"/>
    <w:rsid w:val="73A368C1"/>
    <w:rsid w:val="73B04E40"/>
    <w:rsid w:val="73C63158"/>
    <w:rsid w:val="73CD1EF7"/>
    <w:rsid w:val="73CF2113"/>
    <w:rsid w:val="73D50AB3"/>
    <w:rsid w:val="73D634A1"/>
    <w:rsid w:val="73D76CAF"/>
    <w:rsid w:val="73E536E4"/>
    <w:rsid w:val="73EF1E6D"/>
    <w:rsid w:val="73F76F74"/>
    <w:rsid w:val="74075FB0"/>
    <w:rsid w:val="74094463"/>
    <w:rsid w:val="740C0C71"/>
    <w:rsid w:val="7416616B"/>
    <w:rsid w:val="74193F58"/>
    <w:rsid w:val="741D778A"/>
    <w:rsid w:val="741E2752"/>
    <w:rsid w:val="742C42E4"/>
    <w:rsid w:val="74387CB8"/>
    <w:rsid w:val="7445482C"/>
    <w:rsid w:val="74467A52"/>
    <w:rsid w:val="744B07FC"/>
    <w:rsid w:val="744F6DB0"/>
    <w:rsid w:val="74640AAD"/>
    <w:rsid w:val="7470370E"/>
    <w:rsid w:val="74736F42"/>
    <w:rsid w:val="74784D53"/>
    <w:rsid w:val="74822CE1"/>
    <w:rsid w:val="74A71A4B"/>
    <w:rsid w:val="74AC1C9D"/>
    <w:rsid w:val="74AF784E"/>
    <w:rsid w:val="74C4154C"/>
    <w:rsid w:val="74D06143"/>
    <w:rsid w:val="74D27F2D"/>
    <w:rsid w:val="74D774D1"/>
    <w:rsid w:val="74E36A44"/>
    <w:rsid w:val="74E90FB2"/>
    <w:rsid w:val="74EB5C99"/>
    <w:rsid w:val="74FF6B82"/>
    <w:rsid w:val="75037369"/>
    <w:rsid w:val="750603EC"/>
    <w:rsid w:val="750671AB"/>
    <w:rsid w:val="750B6C7D"/>
    <w:rsid w:val="750E0A19"/>
    <w:rsid w:val="75283036"/>
    <w:rsid w:val="752E55CB"/>
    <w:rsid w:val="75377F70"/>
    <w:rsid w:val="754206C3"/>
    <w:rsid w:val="754601B3"/>
    <w:rsid w:val="754D7793"/>
    <w:rsid w:val="755C3532"/>
    <w:rsid w:val="757614C7"/>
    <w:rsid w:val="758233BE"/>
    <w:rsid w:val="75834F63"/>
    <w:rsid w:val="758B5863"/>
    <w:rsid w:val="759D60A7"/>
    <w:rsid w:val="75A60C51"/>
    <w:rsid w:val="75B34AF2"/>
    <w:rsid w:val="75B53949"/>
    <w:rsid w:val="75C01EA3"/>
    <w:rsid w:val="75CA033B"/>
    <w:rsid w:val="75DC28C5"/>
    <w:rsid w:val="75E41D5D"/>
    <w:rsid w:val="75E46FC4"/>
    <w:rsid w:val="75E72CC8"/>
    <w:rsid w:val="75E8126A"/>
    <w:rsid w:val="75E90518"/>
    <w:rsid w:val="75ED4AD2"/>
    <w:rsid w:val="75F57246"/>
    <w:rsid w:val="760360A4"/>
    <w:rsid w:val="761262E7"/>
    <w:rsid w:val="761612B3"/>
    <w:rsid w:val="76164029"/>
    <w:rsid w:val="76350F96"/>
    <w:rsid w:val="76393874"/>
    <w:rsid w:val="763B49C3"/>
    <w:rsid w:val="765B39FF"/>
    <w:rsid w:val="766351AE"/>
    <w:rsid w:val="76645C78"/>
    <w:rsid w:val="766905FD"/>
    <w:rsid w:val="76740D50"/>
    <w:rsid w:val="767825EE"/>
    <w:rsid w:val="767B2F7C"/>
    <w:rsid w:val="7682346D"/>
    <w:rsid w:val="76876225"/>
    <w:rsid w:val="76876CD5"/>
    <w:rsid w:val="769036A0"/>
    <w:rsid w:val="76972F5A"/>
    <w:rsid w:val="769D0129"/>
    <w:rsid w:val="769F6722"/>
    <w:rsid w:val="76A417B2"/>
    <w:rsid w:val="76A96C4B"/>
    <w:rsid w:val="76AE3E58"/>
    <w:rsid w:val="76B15B00"/>
    <w:rsid w:val="76BF6130"/>
    <w:rsid w:val="76D96E05"/>
    <w:rsid w:val="76DB2B7D"/>
    <w:rsid w:val="76E20F52"/>
    <w:rsid w:val="77054020"/>
    <w:rsid w:val="770A5210"/>
    <w:rsid w:val="770C2D36"/>
    <w:rsid w:val="771340C5"/>
    <w:rsid w:val="771F2A69"/>
    <w:rsid w:val="772042D9"/>
    <w:rsid w:val="77291B3A"/>
    <w:rsid w:val="77336515"/>
    <w:rsid w:val="77372CC4"/>
    <w:rsid w:val="773C699C"/>
    <w:rsid w:val="77420E4E"/>
    <w:rsid w:val="77601CBF"/>
    <w:rsid w:val="7762556B"/>
    <w:rsid w:val="777F5641"/>
    <w:rsid w:val="778F0FBE"/>
    <w:rsid w:val="7790745B"/>
    <w:rsid w:val="77923A19"/>
    <w:rsid w:val="77E90BBD"/>
    <w:rsid w:val="77EE068E"/>
    <w:rsid w:val="780600CD"/>
    <w:rsid w:val="780F6F82"/>
    <w:rsid w:val="78153E6C"/>
    <w:rsid w:val="78393FFF"/>
    <w:rsid w:val="7840713B"/>
    <w:rsid w:val="78474C8B"/>
    <w:rsid w:val="784F27C1"/>
    <w:rsid w:val="786A00BE"/>
    <w:rsid w:val="78746DE5"/>
    <w:rsid w:val="78762534"/>
    <w:rsid w:val="788C2381"/>
    <w:rsid w:val="788F00C3"/>
    <w:rsid w:val="78A7292D"/>
    <w:rsid w:val="78B13B95"/>
    <w:rsid w:val="78B673FD"/>
    <w:rsid w:val="78BB0E3D"/>
    <w:rsid w:val="78D417E2"/>
    <w:rsid w:val="78D635FC"/>
    <w:rsid w:val="78DD2859"/>
    <w:rsid w:val="78E81387"/>
    <w:rsid w:val="78F61EF0"/>
    <w:rsid w:val="79102FB2"/>
    <w:rsid w:val="791D122B"/>
    <w:rsid w:val="793175A6"/>
    <w:rsid w:val="794146B9"/>
    <w:rsid w:val="794909BC"/>
    <w:rsid w:val="795135CA"/>
    <w:rsid w:val="795B7FA5"/>
    <w:rsid w:val="795D3C1D"/>
    <w:rsid w:val="79607369"/>
    <w:rsid w:val="796075AF"/>
    <w:rsid w:val="79667075"/>
    <w:rsid w:val="79703A50"/>
    <w:rsid w:val="79823784"/>
    <w:rsid w:val="798A2EAF"/>
    <w:rsid w:val="798B2638"/>
    <w:rsid w:val="798E2128"/>
    <w:rsid w:val="798E42B3"/>
    <w:rsid w:val="7992668B"/>
    <w:rsid w:val="79AA3928"/>
    <w:rsid w:val="79AC0800"/>
    <w:rsid w:val="79AC25AE"/>
    <w:rsid w:val="79AD6A52"/>
    <w:rsid w:val="79B17BC5"/>
    <w:rsid w:val="79B576B5"/>
    <w:rsid w:val="79B80F53"/>
    <w:rsid w:val="79BF5F60"/>
    <w:rsid w:val="79D02741"/>
    <w:rsid w:val="79D5608F"/>
    <w:rsid w:val="79D80EF1"/>
    <w:rsid w:val="79E4061A"/>
    <w:rsid w:val="79EE5FFB"/>
    <w:rsid w:val="79F226B7"/>
    <w:rsid w:val="7A0423EA"/>
    <w:rsid w:val="7A155F22"/>
    <w:rsid w:val="7A1E3683"/>
    <w:rsid w:val="7A2C376D"/>
    <w:rsid w:val="7A370F38"/>
    <w:rsid w:val="7A392094"/>
    <w:rsid w:val="7A410F49"/>
    <w:rsid w:val="7A49604F"/>
    <w:rsid w:val="7A574C10"/>
    <w:rsid w:val="7A5C5D83"/>
    <w:rsid w:val="7A6047E0"/>
    <w:rsid w:val="7A635363"/>
    <w:rsid w:val="7A721A4A"/>
    <w:rsid w:val="7A7272AE"/>
    <w:rsid w:val="7A7632E8"/>
    <w:rsid w:val="7A76533C"/>
    <w:rsid w:val="7A85177D"/>
    <w:rsid w:val="7A9674E6"/>
    <w:rsid w:val="7AAA1FDB"/>
    <w:rsid w:val="7AB91427"/>
    <w:rsid w:val="7AB931D5"/>
    <w:rsid w:val="7ABC2730"/>
    <w:rsid w:val="7AC733F4"/>
    <w:rsid w:val="7AD26045"/>
    <w:rsid w:val="7AD87AFF"/>
    <w:rsid w:val="7ADB4DD1"/>
    <w:rsid w:val="7AE244DA"/>
    <w:rsid w:val="7AE30252"/>
    <w:rsid w:val="7AE51809"/>
    <w:rsid w:val="7AE77D42"/>
    <w:rsid w:val="7AED55D2"/>
    <w:rsid w:val="7AF95CC7"/>
    <w:rsid w:val="7AFA5427"/>
    <w:rsid w:val="7B03675F"/>
    <w:rsid w:val="7B0408F4"/>
    <w:rsid w:val="7B084A14"/>
    <w:rsid w:val="7B1B3E90"/>
    <w:rsid w:val="7B1E128A"/>
    <w:rsid w:val="7B252618"/>
    <w:rsid w:val="7B297EA4"/>
    <w:rsid w:val="7B3024C9"/>
    <w:rsid w:val="7B3B62E0"/>
    <w:rsid w:val="7B474C85"/>
    <w:rsid w:val="7B533629"/>
    <w:rsid w:val="7B610EBF"/>
    <w:rsid w:val="7B6475E5"/>
    <w:rsid w:val="7B65510B"/>
    <w:rsid w:val="7B72293D"/>
    <w:rsid w:val="7B784E3E"/>
    <w:rsid w:val="7B8130BE"/>
    <w:rsid w:val="7B8F3A15"/>
    <w:rsid w:val="7B931C78"/>
    <w:rsid w:val="7BA2010D"/>
    <w:rsid w:val="7BB345C7"/>
    <w:rsid w:val="7BBD0AA3"/>
    <w:rsid w:val="7BBF019E"/>
    <w:rsid w:val="7BC260B9"/>
    <w:rsid w:val="7BC41A78"/>
    <w:rsid w:val="7BCC510C"/>
    <w:rsid w:val="7BCD4FC7"/>
    <w:rsid w:val="7BCE4A5E"/>
    <w:rsid w:val="7BD86151"/>
    <w:rsid w:val="7BDA78A7"/>
    <w:rsid w:val="7BE023AE"/>
    <w:rsid w:val="7BE40725"/>
    <w:rsid w:val="7BE44282"/>
    <w:rsid w:val="7BE95D3C"/>
    <w:rsid w:val="7BEE5100"/>
    <w:rsid w:val="7C086E90"/>
    <w:rsid w:val="7C0E57A2"/>
    <w:rsid w:val="7C1C1C6D"/>
    <w:rsid w:val="7C2E374F"/>
    <w:rsid w:val="7C30396B"/>
    <w:rsid w:val="7C336D80"/>
    <w:rsid w:val="7C3A5D4A"/>
    <w:rsid w:val="7C3F3BAE"/>
    <w:rsid w:val="7C4250E9"/>
    <w:rsid w:val="7C45537B"/>
    <w:rsid w:val="7C4E5B9F"/>
    <w:rsid w:val="7C605FFE"/>
    <w:rsid w:val="7C66738C"/>
    <w:rsid w:val="7C6944CC"/>
    <w:rsid w:val="7C6D24C9"/>
    <w:rsid w:val="7C6F4493"/>
    <w:rsid w:val="7C857813"/>
    <w:rsid w:val="7C8D6A46"/>
    <w:rsid w:val="7C8E3521"/>
    <w:rsid w:val="7C907F65"/>
    <w:rsid w:val="7C995777"/>
    <w:rsid w:val="7C9D3D1B"/>
    <w:rsid w:val="7C9E79C2"/>
    <w:rsid w:val="7C9F1FF3"/>
    <w:rsid w:val="7CAE75E0"/>
    <w:rsid w:val="7CAF663E"/>
    <w:rsid w:val="7CC15684"/>
    <w:rsid w:val="7CC16371"/>
    <w:rsid w:val="7CC534D5"/>
    <w:rsid w:val="7CD2719C"/>
    <w:rsid w:val="7CDE33C7"/>
    <w:rsid w:val="7CDE6F23"/>
    <w:rsid w:val="7CE32552"/>
    <w:rsid w:val="7CE87DA1"/>
    <w:rsid w:val="7CEC7892"/>
    <w:rsid w:val="7CEF1130"/>
    <w:rsid w:val="7CF2727E"/>
    <w:rsid w:val="7D1961AD"/>
    <w:rsid w:val="7D257B78"/>
    <w:rsid w:val="7D3134F6"/>
    <w:rsid w:val="7D41294B"/>
    <w:rsid w:val="7D4415A9"/>
    <w:rsid w:val="7D4C5992"/>
    <w:rsid w:val="7D630C0D"/>
    <w:rsid w:val="7D6A07B6"/>
    <w:rsid w:val="7D7004C3"/>
    <w:rsid w:val="7D717D97"/>
    <w:rsid w:val="7D721A7F"/>
    <w:rsid w:val="7D7635FF"/>
    <w:rsid w:val="7D767CCF"/>
    <w:rsid w:val="7D781125"/>
    <w:rsid w:val="7D841263"/>
    <w:rsid w:val="7D897FB0"/>
    <w:rsid w:val="7D8C08A4"/>
    <w:rsid w:val="7D8C5801"/>
    <w:rsid w:val="7D983576"/>
    <w:rsid w:val="7DB06D12"/>
    <w:rsid w:val="7DB62063"/>
    <w:rsid w:val="7DBB7264"/>
    <w:rsid w:val="7DCC76C3"/>
    <w:rsid w:val="7DD6660C"/>
    <w:rsid w:val="7DD87AEC"/>
    <w:rsid w:val="7DDD141E"/>
    <w:rsid w:val="7DE41430"/>
    <w:rsid w:val="7DE5777F"/>
    <w:rsid w:val="7DEE13E8"/>
    <w:rsid w:val="7DFA5FDE"/>
    <w:rsid w:val="7E152E18"/>
    <w:rsid w:val="7E1627B9"/>
    <w:rsid w:val="7E24305B"/>
    <w:rsid w:val="7E27490B"/>
    <w:rsid w:val="7E3E2F36"/>
    <w:rsid w:val="7E485582"/>
    <w:rsid w:val="7E5378C5"/>
    <w:rsid w:val="7E611BB9"/>
    <w:rsid w:val="7E6B25BB"/>
    <w:rsid w:val="7E6C3D1C"/>
    <w:rsid w:val="7E6E2528"/>
    <w:rsid w:val="7E725B75"/>
    <w:rsid w:val="7E747B3F"/>
    <w:rsid w:val="7E7713DD"/>
    <w:rsid w:val="7E8104AE"/>
    <w:rsid w:val="7E865AC4"/>
    <w:rsid w:val="7E8F67B5"/>
    <w:rsid w:val="7E926217"/>
    <w:rsid w:val="7E9271C8"/>
    <w:rsid w:val="7E941F8F"/>
    <w:rsid w:val="7E9425CD"/>
    <w:rsid w:val="7E9802BB"/>
    <w:rsid w:val="7EA1645A"/>
    <w:rsid w:val="7EAA512E"/>
    <w:rsid w:val="7EB42631"/>
    <w:rsid w:val="7EC108AA"/>
    <w:rsid w:val="7EC272FC"/>
    <w:rsid w:val="7ED42AEF"/>
    <w:rsid w:val="7EDC3936"/>
    <w:rsid w:val="7EDC55AA"/>
    <w:rsid w:val="7EDF54D0"/>
    <w:rsid w:val="7EEA7E01"/>
    <w:rsid w:val="7EEB1D75"/>
    <w:rsid w:val="7EF173E1"/>
    <w:rsid w:val="7EF23159"/>
    <w:rsid w:val="7EFB200E"/>
    <w:rsid w:val="7F0950B4"/>
    <w:rsid w:val="7F0C2702"/>
    <w:rsid w:val="7F0E68CA"/>
    <w:rsid w:val="7F1430D0"/>
    <w:rsid w:val="7F203823"/>
    <w:rsid w:val="7F233313"/>
    <w:rsid w:val="7F2822B2"/>
    <w:rsid w:val="7F2F3374"/>
    <w:rsid w:val="7F3472CE"/>
    <w:rsid w:val="7F383F22"/>
    <w:rsid w:val="7F427C3D"/>
    <w:rsid w:val="7F531E4A"/>
    <w:rsid w:val="7F555E5A"/>
    <w:rsid w:val="7F5D6511"/>
    <w:rsid w:val="7F6C4C41"/>
    <w:rsid w:val="7F737DF6"/>
    <w:rsid w:val="7F8253D1"/>
    <w:rsid w:val="7F923880"/>
    <w:rsid w:val="7F933E41"/>
    <w:rsid w:val="7F947D6D"/>
    <w:rsid w:val="7F9963BC"/>
    <w:rsid w:val="7F9B10FB"/>
    <w:rsid w:val="7F9D4908"/>
    <w:rsid w:val="7F9E4EE6"/>
    <w:rsid w:val="7FA5765E"/>
    <w:rsid w:val="7FA85ABC"/>
    <w:rsid w:val="7FAF70F7"/>
    <w:rsid w:val="7FD567C9"/>
    <w:rsid w:val="7FD840FD"/>
    <w:rsid w:val="7FE17456"/>
    <w:rsid w:val="7FF70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46"/>
    <w:qFormat/>
    <w:uiPriority w:val="0"/>
    <w:pPr>
      <w:keepNext/>
      <w:jc w:val="center"/>
      <w:outlineLvl w:val="0"/>
    </w:pPr>
    <w:rPr>
      <w:rFonts w:ascii="楷体_GB2312" w:eastAsia="楷体_GB2312"/>
      <w:b/>
      <w:bCs/>
    </w:rPr>
  </w:style>
  <w:style w:type="paragraph" w:styleId="6">
    <w:name w:val="heading 2"/>
    <w:basedOn w:val="1"/>
    <w:next w:val="1"/>
    <w:link w:val="47"/>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48"/>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49"/>
    <w:qFormat/>
    <w:uiPriority w:val="0"/>
    <w:pPr>
      <w:keepNext/>
      <w:keepLines/>
      <w:spacing w:before="280" w:beforeLines="0" w:after="290" w:afterLines="0" w:line="376" w:lineRule="auto"/>
      <w:outlineLvl w:val="3"/>
    </w:pPr>
    <w:rPr>
      <w:rFonts w:ascii="Cambria" w:hAnsi="Cambria"/>
      <w:b/>
      <w:bCs/>
      <w:sz w:val="28"/>
      <w:szCs w:val="28"/>
    </w:rPr>
  </w:style>
  <w:style w:type="paragraph" w:styleId="9">
    <w:name w:val="heading 5"/>
    <w:basedOn w:val="1"/>
    <w:next w:val="1"/>
    <w:link w:val="50"/>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1">
    <w:name w:val="heading 7"/>
    <w:basedOn w:val="1"/>
    <w:next w:val="1"/>
    <w:link w:val="5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5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5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5">
    <w:name w:val="Default Paragraph Font"/>
    <w:unhideWhenUsed/>
    <w:uiPriority w:val="1"/>
  </w:style>
  <w:style w:type="table" w:default="1" w:styleId="3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3"/>
      <w:tblCellMar>
        <w:top w:w="0" w:type="dxa"/>
        <w:left w:w="108" w:type="dxa"/>
        <w:bottom w:w="0" w:type="dxa"/>
        <w:right w:w="108" w:type="dxa"/>
      </w:tblCellMar>
    </w:tblPr>
  </w:style>
  <w:style w:type="paragraph" w:styleId="2">
    <w:name w:val="Body Text First Indent"/>
    <w:basedOn w:val="3"/>
    <w:next w:val="4"/>
    <w:link w:val="45"/>
    <w:uiPriority w:val="0"/>
    <w:pPr>
      <w:ind w:firstLine="420" w:firstLineChars="100"/>
    </w:pPr>
  </w:style>
  <w:style w:type="paragraph" w:styleId="3">
    <w:name w:val="Body Text"/>
    <w:basedOn w:val="1"/>
    <w:next w:val="2"/>
    <w:link w:val="44"/>
    <w:uiPriority w:val="0"/>
    <w:pPr>
      <w:keepNext w:val="0"/>
      <w:keepLines w:val="0"/>
      <w:widowControl w:val="0"/>
      <w:suppressLineNumbers w:val="0"/>
      <w:spacing w:before="0" w:beforeAutospacing="0" w:after="120" w:afterAutospacing="0"/>
      <w:ind w:left="0" w:right="0"/>
      <w:jc w:val="both"/>
    </w:pPr>
  </w:style>
  <w:style w:type="paragraph" w:styleId="4">
    <w:name w:val="toc 6"/>
    <w:basedOn w:val="1"/>
    <w:next w:val="1"/>
    <w:semiHidden/>
    <w:qFormat/>
    <w:uiPriority w:val="0"/>
    <w:pPr>
      <w:ind w:left="1050"/>
      <w:jc w:val="left"/>
    </w:pPr>
    <w:rPr>
      <w:sz w:val="18"/>
      <w:szCs w:val="18"/>
    </w:rPr>
  </w:style>
  <w:style w:type="paragraph" w:styleId="14">
    <w:name w:val="Normal Indent"/>
    <w:basedOn w:val="1"/>
    <w:next w:val="15"/>
    <w:link w:val="54"/>
    <w:qFormat/>
    <w:uiPriority w:val="0"/>
    <w:pPr>
      <w:adjustRightInd w:val="0"/>
      <w:spacing w:line="312" w:lineRule="atLeast"/>
      <w:ind w:firstLine="420"/>
      <w:textAlignment w:val="baseline"/>
    </w:pPr>
    <w:rPr>
      <w:kern w:val="0"/>
      <w:szCs w:val="20"/>
    </w:rPr>
  </w:style>
  <w:style w:type="paragraph" w:styleId="15">
    <w:name w:val="Body Text First Indent 2"/>
    <w:basedOn w:val="16"/>
    <w:unhideWhenUsed/>
    <w:qFormat/>
    <w:uiPriority w:val="99"/>
    <w:pPr>
      <w:ind w:firstLine="420" w:firstLineChars="200"/>
    </w:pPr>
  </w:style>
  <w:style w:type="paragraph" w:styleId="16">
    <w:name w:val="Body Text Indent"/>
    <w:basedOn w:val="1"/>
    <w:link w:val="55"/>
    <w:uiPriority w:val="0"/>
    <w:pPr>
      <w:ind w:left="480" w:hanging="480" w:hangingChars="200"/>
    </w:pPr>
    <w:rPr>
      <w:sz w:val="24"/>
    </w:rPr>
  </w:style>
  <w:style w:type="paragraph" w:styleId="17">
    <w:name w:val="Document Map"/>
    <w:basedOn w:val="1"/>
    <w:uiPriority w:val="0"/>
    <w:pPr>
      <w:shd w:val="clear" w:color="auto" w:fill="000080"/>
    </w:pPr>
  </w:style>
  <w:style w:type="paragraph" w:styleId="18">
    <w:name w:val="annotation text"/>
    <w:basedOn w:val="1"/>
    <w:link w:val="56"/>
    <w:uiPriority w:val="0"/>
    <w:pPr>
      <w:jc w:val="left"/>
    </w:pPr>
  </w:style>
  <w:style w:type="paragraph" w:styleId="19">
    <w:name w:val="Block Text"/>
    <w:basedOn w:val="1"/>
    <w:qFormat/>
    <w:uiPriority w:val="0"/>
    <w:pPr>
      <w:spacing w:before="156" w:beforeLines="50" w:after="156" w:afterLines="50"/>
      <w:ind w:left="426" w:right="-11" w:hanging="426" w:hangingChars="203"/>
    </w:pPr>
    <w:rPr>
      <w:rFonts w:eastAsia="楷体_GB2312"/>
    </w:rPr>
  </w:style>
  <w:style w:type="paragraph" w:styleId="20">
    <w:name w:val="toc 3"/>
    <w:basedOn w:val="1"/>
    <w:next w:val="1"/>
    <w:uiPriority w:val="39"/>
    <w:pPr>
      <w:ind w:left="840" w:leftChars="400"/>
    </w:pPr>
  </w:style>
  <w:style w:type="paragraph" w:styleId="21">
    <w:name w:val="Plain Text"/>
    <w:basedOn w:val="1"/>
    <w:next w:val="22"/>
    <w:link w:val="57"/>
    <w:uiPriority w:val="0"/>
    <w:pPr>
      <w:widowControl/>
      <w:overflowPunct w:val="0"/>
      <w:autoSpaceDE w:val="0"/>
      <w:autoSpaceDN w:val="0"/>
      <w:adjustRightInd w:val="0"/>
      <w:jc w:val="left"/>
      <w:textAlignment w:val="baseline"/>
    </w:pPr>
    <w:rPr>
      <w:rFonts w:ascii="宋体" w:hAnsi="Courier New"/>
      <w:kern w:val="0"/>
      <w:szCs w:val="21"/>
    </w:rPr>
  </w:style>
  <w:style w:type="paragraph" w:styleId="22">
    <w:name w:val="Date"/>
    <w:basedOn w:val="1"/>
    <w:next w:val="1"/>
    <w:link w:val="58"/>
    <w:uiPriority w:val="0"/>
    <w:pPr>
      <w:ind w:left="100" w:leftChars="2500"/>
    </w:pPr>
  </w:style>
  <w:style w:type="paragraph" w:styleId="23">
    <w:name w:val="Body Text Indent 2"/>
    <w:basedOn w:val="1"/>
    <w:uiPriority w:val="0"/>
    <w:pPr>
      <w:spacing w:line="500" w:lineRule="exact"/>
      <w:ind w:firstLine="511" w:firstLineChars="213"/>
    </w:pPr>
    <w:rPr>
      <w:sz w:val="24"/>
    </w:rPr>
  </w:style>
  <w:style w:type="paragraph" w:styleId="24">
    <w:name w:val="Balloon Text"/>
    <w:basedOn w:val="1"/>
    <w:uiPriority w:val="0"/>
    <w:rPr>
      <w:sz w:val="18"/>
      <w:szCs w:val="18"/>
    </w:rPr>
  </w:style>
  <w:style w:type="paragraph" w:styleId="25">
    <w:name w:val="footer"/>
    <w:basedOn w:val="1"/>
    <w:link w:val="59"/>
    <w:uiPriority w:val="0"/>
    <w:pPr>
      <w:tabs>
        <w:tab w:val="center" w:pos="4153"/>
        <w:tab w:val="right" w:pos="8306"/>
      </w:tabs>
      <w:snapToGrid w:val="0"/>
      <w:jc w:val="left"/>
    </w:pPr>
    <w:rPr>
      <w:sz w:val="18"/>
      <w:szCs w:val="18"/>
    </w:rPr>
  </w:style>
  <w:style w:type="paragraph" w:styleId="26">
    <w:name w:val="header"/>
    <w:basedOn w:val="1"/>
    <w:link w:val="60"/>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iPriority w:val="39"/>
    <w:pPr>
      <w:tabs>
        <w:tab w:val="right" w:leader="dot" w:pos="9628"/>
      </w:tabs>
      <w:spacing w:line="480" w:lineRule="auto"/>
    </w:pPr>
    <w:rPr>
      <w:rFonts w:ascii="Arial" w:hAnsi="Arial" w:eastAsia="新宋体" w:cs="Arial"/>
      <w:bCs/>
      <w:sz w:val="24"/>
      <w:lang/>
    </w:rPr>
  </w:style>
  <w:style w:type="paragraph" w:styleId="28">
    <w:name w:val="Body Text Indent 3"/>
    <w:basedOn w:val="1"/>
    <w:link w:val="61"/>
    <w:uiPriority w:val="0"/>
    <w:pPr>
      <w:spacing w:line="500" w:lineRule="exact"/>
      <w:ind w:left="511" w:hanging="511" w:hangingChars="213"/>
    </w:pPr>
    <w:rPr>
      <w:sz w:val="24"/>
    </w:rPr>
  </w:style>
  <w:style w:type="paragraph" w:styleId="29">
    <w:name w:val="toc 2"/>
    <w:basedOn w:val="1"/>
    <w:next w:val="1"/>
    <w:uiPriority w:val="39"/>
    <w:pPr>
      <w:ind w:left="420" w:leftChars="200"/>
    </w:pPr>
  </w:style>
  <w:style w:type="paragraph" w:styleId="3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1">
    <w:name w:val="Title"/>
    <w:basedOn w:val="1"/>
    <w:next w:val="1"/>
    <w:link w:val="62"/>
    <w:qFormat/>
    <w:uiPriority w:val="0"/>
    <w:pPr>
      <w:spacing w:before="240" w:after="60"/>
      <w:jc w:val="center"/>
      <w:outlineLvl w:val="0"/>
    </w:pPr>
    <w:rPr>
      <w:rFonts w:ascii="Cambria" w:hAnsi="Cambria"/>
      <w:b/>
      <w:bCs/>
      <w:sz w:val="32"/>
      <w:szCs w:val="32"/>
    </w:rPr>
  </w:style>
  <w:style w:type="paragraph" w:styleId="32">
    <w:name w:val="annotation subject"/>
    <w:basedOn w:val="18"/>
    <w:next w:val="18"/>
    <w:link w:val="63"/>
    <w:uiPriority w:val="0"/>
    <w:rPr>
      <w:b/>
      <w:bCs/>
    </w:rPr>
  </w:style>
  <w:style w:type="table" w:styleId="34">
    <w:name w:val="Table Grid"/>
    <w:basedOn w:val="33"/>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uiPriority w:val="0"/>
  </w:style>
  <w:style w:type="character" w:styleId="38">
    <w:name w:val="FollowedHyperlink"/>
    <w:uiPriority w:val="0"/>
    <w:rPr>
      <w:color w:val="800080"/>
      <w:u w:val="none"/>
    </w:rPr>
  </w:style>
  <w:style w:type="character" w:styleId="39">
    <w:name w:val="Emphasis"/>
    <w:basedOn w:val="35"/>
    <w:qFormat/>
    <w:uiPriority w:val="0"/>
  </w:style>
  <w:style w:type="character" w:styleId="40">
    <w:name w:val="Hyperlink"/>
    <w:uiPriority w:val="99"/>
    <w:rPr>
      <w:color w:val="000000"/>
      <w:sz w:val="20"/>
      <w:szCs w:val="20"/>
      <w:u w:val="none"/>
    </w:rPr>
  </w:style>
  <w:style w:type="character" w:styleId="41">
    <w:name w:val="HTML Code"/>
    <w:basedOn w:val="35"/>
    <w:uiPriority w:val="0"/>
    <w:rPr>
      <w:rFonts w:ascii="Courier New" w:hAnsi="Courier New"/>
      <w:sz w:val="20"/>
    </w:rPr>
  </w:style>
  <w:style w:type="character" w:styleId="42">
    <w:name w:val="annotation reference"/>
    <w:uiPriority w:val="0"/>
    <w:rPr>
      <w:sz w:val="21"/>
      <w:szCs w:val="21"/>
    </w:rPr>
  </w:style>
  <w:style w:type="character" w:styleId="43">
    <w:name w:val="HTML Cite"/>
    <w:basedOn w:val="35"/>
    <w:uiPriority w:val="0"/>
  </w:style>
  <w:style w:type="character" w:customStyle="1" w:styleId="44">
    <w:name w:val="正文文本 Char"/>
    <w:link w:val="3"/>
    <w:uiPriority w:val="0"/>
    <w:rPr>
      <w:kern w:val="2"/>
      <w:sz w:val="21"/>
      <w:szCs w:val="24"/>
    </w:rPr>
  </w:style>
  <w:style w:type="character" w:customStyle="1" w:styleId="45">
    <w:name w:val="正文首行缩进 Char"/>
    <w:basedOn w:val="44"/>
    <w:link w:val="2"/>
    <w:uiPriority w:val="0"/>
  </w:style>
  <w:style w:type="character" w:customStyle="1" w:styleId="46">
    <w:name w:val="标题 1 Char"/>
    <w:link w:val="5"/>
    <w:uiPriority w:val="0"/>
    <w:rPr>
      <w:rFonts w:ascii="楷体_GB2312" w:eastAsia="楷体_GB2312"/>
      <w:b/>
      <w:bCs/>
      <w:kern w:val="2"/>
      <w:sz w:val="21"/>
      <w:szCs w:val="24"/>
      <w:lang w:val="en-US" w:eastAsia="zh-CN" w:bidi="ar-SA"/>
    </w:rPr>
  </w:style>
  <w:style w:type="character" w:customStyle="1" w:styleId="47">
    <w:name w:val="标题 2 Char"/>
    <w:link w:val="6"/>
    <w:uiPriority w:val="0"/>
    <w:rPr>
      <w:rFonts w:ascii="Arial" w:hAnsi="Arial" w:eastAsia="黑体"/>
      <w:b/>
      <w:bCs/>
      <w:kern w:val="2"/>
      <w:sz w:val="32"/>
      <w:szCs w:val="32"/>
    </w:rPr>
  </w:style>
  <w:style w:type="character" w:customStyle="1" w:styleId="48">
    <w:name w:val="标题 3 Char"/>
    <w:link w:val="7"/>
    <w:uiPriority w:val="0"/>
    <w:rPr>
      <w:b/>
      <w:bCs/>
      <w:kern w:val="2"/>
      <w:sz w:val="32"/>
      <w:szCs w:val="32"/>
      <w:lang w:bidi="ar-SA"/>
    </w:rPr>
  </w:style>
  <w:style w:type="character" w:customStyle="1" w:styleId="49">
    <w:name w:val="标题 4 Char"/>
    <w:link w:val="8"/>
    <w:uiPriority w:val="0"/>
    <w:rPr>
      <w:rFonts w:ascii="Cambria" w:hAnsi="Cambria" w:eastAsia="宋体"/>
      <w:b/>
      <w:bCs/>
      <w:kern w:val="2"/>
      <w:sz w:val="28"/>
      <w:szCs w:val="28"/>
      <w:lang w:bidi="ar-SA"/>
    </w:rPr>
  </w:style>
  <w:style w:type="character" w:customStyle="1" w:styleId="50">
    <w:name w:val="标题 5 Char"/>
    <w:link w:val="9"/>
    <w:uiPriority w:val="0"/>
    <w:rPr>
      <w:b/>
      <w:bCs/>
      <w:kern w:val="2"/>
      <w:sz w:val="28"/>
      <w:szCs w:val="28"/>
    </w:rPr>
  </w:style>
  <w:style w:type="character" w:customStyle="1" w:styleId="51">
    <w:name w:val="标题 7 Char"/>
    <w:link w:val="11"/>
    <w:uiPriority w:val="0"/>
    <w:rPr>
      <w:b/>
      <w:bCs/>
      <w:kern w:val="2"/>
      <w:sz w:val="24"/>
      <w:szCs w:val="24"/>
    </w:rPr>
  </w:style>
  <w:style w:type="character" w:customStyle="1" w:styleId="52">
    <w:name w:val="标题 8 Char"/>
    <w:link w:val="12"/>
    <w:uiPriority w:val="0"/>
    <w:rPr>
      <w:rFonts w:ascii="Arial" w:hAnsi="Arial" w:eastAsia="黑体"/>
      <w:kern w:val="2"/>
      <w:sz w:val="24"/>
      <w:szCs w:val="24"/>
    </w:rPr>
  </w:style>
  <w:style w:type="character" w:customStyle="1" w:styleId="53">
    <w:name w:val="标题 9 Char"/>
    <w:link w:val="13"/>
    <w:uiPriority w:val="0"/>
    <w:rPr>
      <w:rFonts w:ascii="Arial" w:hAnsi="Arial" w:eastAsia="黑体"/>
      <w:kern w:val="2"/>
      <w:sz w:val="24"/>
      <w:szCs w:val="21"/>
    </w:rPr>
  </w:style>
  <w:style w:type="character" w:customStyle="1" w:styleId="54">
    <w:name w:val="正文缩进 Char"/>
    <w:link w:val="14"/>
    <w:qFormat/>
    <w:uiPriority w:val="0"/>
    <w:rPr>
      <w:rFonts w:eastAsia="宋体"/>
      <w:sz w:val="21"/>
      <w:lang w:val="en-US" w:eastAsia="zh-CN" w:bidi="ar-SA"/>
    </w:rPr>
  </w:style>
  <w:style w:type="character" w:customStyle="1" w:styleId="55">
    <w:name w:val="正文文本缩进 Char"/>
    <w:link w:val="16"/>
    <w:uiPriority w:val="0"/>
    <w:rPr>
      <w:kern w:val="2"/>
      <w:sz w:val="24"/>
      <w:szCs w:val="24"/>
    </w:rPr>
  </w:style>
  <w:style w:type="character" w:customStyle="1" w:styleId="56">
    <w:name w:val="批注文字 Char"/>
    <w:link w:val="18"/>
    <w:uiPriority w:val="0"/>
    <w:rPr>
      <w:kern w:val="2"/>
      <w:sz w:val="21"/>
      <w:szCs w:val="24"/>
    </w:rPr>
  </w:style>
  <w:style w:type="character" w:customStyle="1" w:styleId="57">
    <w:name w:val="纯文本 Char"/>
    <w:link w:val="21"/>
    <w:uiPriority w:val="0"/>
    <w:rPr>
      <w:rFonts w:ascii="宋体" w:hAnsi="Courier New" w:eastAsia="宋体"/>
      <w:sz w:val="21"/>
      <w:szCs w:val="21"/>
      <w:lang w:val="en-US" w:eastAsia="zh-CN" w:bidi="ar-SA"/>
    </w:rPr>
  </w:style>
  <w:style w:type="character" w:customStyle="1" w:styleId="58">
    <w:name w:val="日期 Char"/>
    <w:link w:val="22"/>
    <w:uiPriority w:val="0"/>
    <w:rPr>
      <w:kern w:val="2"/>
      <w:sz w:val="21"/>
      <w:szCs w:val="24"/>
    </w:rPr>
  </w:style>
  <w:style w:type="character" w:customStyle="1" w:styleId="59">
    <w:name w:val="页脚 Char"/>
    <w:link w:val="25"/>
    <w:uiPriority w:val="0"/>
    <w:rPr>
      <w:kern w:val="2"/>
      <w:sz w:val="18"/>
      <w:szCs w:val="18"/>
    </w:rPr>
  </w:style>
  <w:style w:type="character" w:customStyle="1" w:styleId="60">
    <w:name w:val="页眉 Char"/>
    <w:link w:val="26"/>
    <w:uiPriority w:val="0"/>
    <w:rPr>
      <w:kern w:val="2"/>
      <w:sz w:val="18"/>
      <w:szCs w:val="18"/>
    </w:rPr>
  </w:style>
  <w:style w:type="character" w:customStyle="1" w:styleId="61">
    <w:name w:val="正文文本缩进 3 Char"/>
    <w:link w:val="28"/>
    <w:uiPriority w:val="0"/>
    <w:rPr>
      <w:kern w:val="2"/>
      <w:sz w:val="24"/>
      <w:szCs w:val="24"/>
    </w:rPr>
  </w:style>
  <w:style w:type="character" w:customStyle="1" w:styleId="62">
    <w:name w:val="标题 Char"/>
    <w:link w:val="31"/>
    <w:uiPriority w:val="0"/>
    <w:rPr>
      <w:rFonts w:ascii="Cambria" w:hAnsi="Cambria" w:cs="Times New Roman"/>
      <w:b/>
      <w:bCs/>
      <w:kern w:val="2"/>
      <w:sz w:val="32"/>
      <w:szCs w:val="32"/>
    </w:rPr>
  </w:style>
  <w:style w:type="character" w:customStyle="1" w:styleId="63">
    <w:name w:val="批注主题 Char"/>
    <w:link w:val="32"/>
    <w:uiPriority w:val="0"/>
    <w:rPr>
      <w:b/>
      <w:bCs/>
      <w:kern w:val="2"/>
      <w:sz w:val="21"/>
      <w:szCs w:val="24"/>
    </w:rPr>
  </w:style>
  <w:style w:type="paragraph" w:customStyle="1" w:styleId="64">
    <w:name w:val="BodyText1I"/>
    <w:basedOn w:val="65"/>
    <w:qFormat/>
    <w:uiPriority w:val="0"/>
    <w:pPr>
      <w:spacing w:after="120" w:line="240" w:lineRule="auto"/>
      <w:ind w:firstLine="420" w:firstLineChars="100"/>
      <w:jc w:val="both"/>
    </w:pPr>
  </w:style>
  <w:style w:type="paragraph" w:customStyle="1" w:styleId="65">
    <w:name w:val="BodyText"/>
    <w:basedOn w:val="1"/>
    <w:qFormat/>
    <w:uiPriority w:val="0"/>
    <w:pPr>
      <w:spacing w:after="120" w:line="240" w:lineRule="auto"/>
      <w:jc w:val="both"/>
    </w:pPr>
  </w:style>
  <w:style w:type="character" w:customStyle="1" w:styleId="66">
    <w:name w:val="正文（缩进） Char Char"/>
    <w:link w:val="67"/>
    <w:uiPriority w:val="0"/>
    <w:rPr>
      <w:sz w:val="24"/>
      <w:szCs w:val="24"/>
    </w:rPr>
  </w:style>
  <w:style w:type="paragraph" w:customStyle="1" w:styleId="67">
    <w:name w:val="正文（缩进）"/>
    <w:basedOn w:val="1"/>
    <w:link w:val="66"/>
    <w:uiPriority w:val="0"/>
    <w:pPr>
      <w:spacing w:before="156" w:beforeLines="50" w:after="156" w:afterLines="50" w:line="360" w:lineRule="auto"/>
      <w:ind w:firstLine="480" w:firstLineChars="200"/>
    </w:pPr>
    <w:rPr>
      <w:kern w:val="0"/>
      <w:sz w:val="24"/>
    </w:rPr>
  </w:style>
  <w:style w:type="character" w:customStyle="1" w:styleId="68">
    <w:name w:val="正文（标记） Char Char"/>
    <w:link w:val="69"/>
    <w:uiPriority w:val="0"/>
    <w:rPr>
      <w:sz w:val="24"/>
      <w:szCs w:val="24"/>
    </w:rPr>
  </w:style>
  <w:style w:type="paragraph" w:customStyle="1" w:styleId="69">
    <w:name w:val="正文（标记）"/>
    <w:basedOn w:val="1"/>
    <w:link w:val="68"/>
    <w:uiPriority w:val="0"/>
    <w:pPr>
      <w:numPr>
        <w:ilvl w:val="0"/>
        <w:numId w:val="1"/>
      </w:numPr>
      <w:spacing w:before="156" w:beforeLines="50" w:after="156" w:afterLines="50"/>
    </w:pPr>
    <w:rPr>
      <w:kern w:val="0"/>
      <w:sz w:val="24"/>
    </w:rPr>
  </w:style>
  <w:style w:type="character" w:customStyle="1" w:styleId="70">
    <w:name w:val="文档正文 Char"/>
    <w:link w:val="71"/>
    <w:uiPriority w:val="0"/>
    <w:rPr>
      <w:rFonts w:ascii="Tahoma" w:hAnsi="Tahoma" w:eastAsia="仿宋_GB2312"/>
      <w:sz w:val="28"/>
      <w:lang w:val="en-US" w:eastAsia="zh-CN" w:bidi="ar-SA"/>
    </w:rPr>
  </w:style>
  <w:style w:type="paragraph" w:customStyle="1" w:styleId="71">
    <w:name w:val="文档正文"/>
    <w:basedOn w:val="1"/>
    <w:link w:val="70"/>
    <w:uiPriority w:val="0"/>
    <w:pPr>
      <w:spacing w:line="360" w:lineRule="auto"/>
      <w:ind w:firstLine="480" w:firstLineChars="200"/>
    </w:pPr>
    <w:rPr>
      <w:rFonts w:ascii="Tahoma" w:hAnsi="Tahoma" w:eastAsia="仿宋_GB2312"/>
      <w:kern w:val="0"/>
      <w:sz w:val="28"/>
      <w:szCs w:val="20"/>
    </w:rPr>
  </w:style>
  <w:style w:type="character" w:customStyle="1" w:styleId="72">
    <w:name w:val="unnamed51"/>
    <w:uiPriority w:val="0"/>
    <w:rPr>
      <w:sz w:val="22"/>
      <w:szCs w:val="22"/>
    </w:rPr>
  </w:style>
  <w:style w:type="character" w:customStyle="1" w:styleId="73">
    <w:name w:val="textcolor1"/>
    <w:uiPriority w:val="0"/>
    <w:rPr>
      <w:color w:val="FF6600"/>
    </w:rPr>
  </w:style>
  <w:style w:type="character" w:customStyle="1" w:styleId="74">
    <w:name w:val="Char Char2"/>
    <w:uiPriority w:val="0"/>
    <w:rPr>
      <w:rFonts w:ascii="宋体" w:hAnsi="Courier New" w:eastAsia="宋体"/>
      <w:kern w:val="2"/>
      <w:sz w:val="21"/>
      <w:lang w:val="en-US" w:eastAsia="zh-CN"/>
    </w:rPr>
  </w:style>
  <w:style w:type="character" w:customStyle="1" w:styleId="75">
    <w:name w:val="无间隔 Char Char"/>
    <w:link w:val="76"/>
    <w:uiPriority w:val="0"/>
    <w:rPr>
      <w:rFonts w:ascii="楷体_GB2312" w:hAnsi="宋体" w:eastAsia="楷体_GB2312"/>
      <w:bCs/>
      <w:kern w:val="2"/>
      <w:sz w:val="24"/>
      <w:szCs w:val="24"/>
      <w:u w:val="single"/>
      <w:lang w:val="en-US" w:eastAsia="zh-CN" w:bidi="ar-SA"/>
    </w:rPr>
  </w:style>
  <w:style w:type="paragraph" w:customStyle="1" w:styleId="76">
    <w:name w:val="无间隔1"/>
    <w:link w:val="75"/>
    <w:uiPriority w:val="0"/>
    <w:pPr>
      <w:widowControl w:val="0"/>
      <w:spacing w:line="300" w:lineRule="auto"/>
    </w:pPr>
    <w:rPr>
      <w:rFonts w:ascii="楷体_GB2312" w:hAnsi="宋体" w:eastAsia="楷体_GB2312"/>
      <w:bCs/>
      <w:kern w:val="2"/>
      <w:sz w:val="24"/>
      <w:szCs w:val="24"/>
      <w:u w:val="single"/>
      <w:lang w:val="en-US" w:eastAsia="zh-CN" w:bidi="ar-SA"/>
    </w:rPr>
  </w:style>
  <w:style w:type="character" w:customStyle="1" w:styleId="77">
    <w:name w:val="彩色列表 - 强调文字颜色 1 Char"/>
    <w:link w:val="78"/>
    <w:uiPriority w:val="0"/>
    <w:rPr>
      <w:rFonts w:ascii="Calibri" w:hAnsi="Calibri"/>
      <w:kern w:val="2"/>
      <w:sz w:val="21"/>
      <w:szCs w:val="24"/>
    </w:rPr>
  </w:style>
  <w:style w:type="paragraph" w:customStyle="1" w:styleId="78">
    <w:name w:val="彩色列表 - 强调文字颜色 11"/>
    <w:basedOn w:val="1"/>
    <w:link w:val="77"/>
    <w:uiPriority w:val="0"/>
    <w:pPr>
      <w:ind w:firstLine="420" w:firstLineChars="200"/>
    </w:pPr>
    <w:rPr>
      <w:rFonts w:ascii="Calibri" w:hAnsi="Calibri"/>
    </w:rPr>
  </w:style>
  <w:style w:type="character" w:customStyle="1" w:styleId="79">
    <w:name w:val="样式6 列表并列 Char"/>
    <w:link w:val="80"/>
    <w:locked/>
    <w:uiPriority w:val="0"/>
    <w:rPr>
      <w:rFonts w:ascii="Arial" w:hAnsi="Arial" w:cs="Arial"/>
      <w:kern w:val="21"/>
      <w:sz w:val="21"/>
      <w:szCs w:val="24"/>
      <w:lang w:val="en-US" w:eastAsia="zh-CN" w:bidi="ar-SA"/>
    </w:rPr>
  </w:style>
  <w:style w:type="paragraph" w:customStyle="1" w:styleId="80">
    <w:name w:val="样式6 列表并列"/>
    <w:link w:val="79"/>
    <w:uiPriority w:val="0"/>
    <w:pPr>
      <w:widowControl w:val="0"/>
      <w:numPr>
        <w:ilvl w:val="0"/>
        <w:numId w:val="2"/>
      </w:numPr>
      <w:spacing w:before="40" w:after="40" w:line="240" w:lineRule="atLeast"/>
      <w:ind w:left="840" w:hanging="420"/>
    </w:pPr>
    <w:rPr>
      <w:rFonts w:ascii="Arial" w:hAnsi="Arial" w:cs="Arial"/>
      <w:kern w:val="21"/>
      <w:sz w:val="21"/>
      <w:szCs w:val="24"/>
      <w:lang w:val="en-US" w:eastAsia="zh-CN" w:bidi="ar-SA"/>
    </w:rPr>
  </w:style>
  <w:style w:type="character" w:customStyle="1" w:styleId="81">
    <w:name w:val="证 Char Char"/>
    <w:link w:val="82"/>
    <w:uiPriority w:val="0"/>
    <w:rPr>
      <w:rFonts w:ascii="宋体" w:hAnsi="宋体"/>
      <w:kern w:val="2"/>
      <w:sz w:val="24"/>
      <w:szCs w:val="24"/>
    </w:rPr>
  </w:style>
  <w:style w:type="paragraph" w:customStyle="1" w:styleId="82">
    <w:name w:val="证"/>
    <w:basedOn w:val="1"/>
    <w:link w:val="81"/>
    <w:uiPriority w:val="0"/>
    <w:pPr>
      <w:spacing w:line="360" w:lineRule="auto"/>
      <w:ind w:firstLine="480" w:firstLineChars="200"/>
    </w:pPr>
    <w:rPr>
      <w:rFonts w:ascii="宋体" w:hAnsi="宋体"/>
      <w:sz w:val="24"/>
    </w:rPr>
  </w:style>
  <w:style w:type="character" w:customStyle="1" w:styleId="83">
    <w:name w:val="font31"/>
    <w:uiPriority w:val="0"/>
    <w:rPr>
      <w:rFonts w:hint="eastAsia" w:ascii="宋体" w:hAnsi="宋体" w:eastAsia="宋体" w:cs="宋体"/>
      <w:color w:val="000000"/>
      <w:sz w:val="20"/>
      <w:szCs w:val="20"/>
      <w:u w:val="none"/>
    </w:rPr>
  </w:style>
  <w:style w:type="character" w:customStyle="1" w:styleId="84">
    <w:name w:val="List Paragraph Char"/>
    <w:link w:val="85"/>
    <w:uiPriority w:val="0"/>
    <w:rPr>
      <w:rFonts w:ascii="Calibri" w:hAnsi="Calibri" w:eastAsia="宋体"/>
      <w:kern w:val="2"/>
      <w:sz w:val="21"/>
      <w:szCs w:val="22"/>
      <w:lang w:val="en-US" w:eastAsia="zh-CN" w:bidi="ar-SA"/>
    </w:rPr>
  </w:style>
  <w:style w:type="paragraph" w:customStyle="1" w:styleId="85">
    <w:name w:val="List Paragraph"/>
    <w:basedOn w:val="1"/>
    <w:link w:val="84"/>
    <w:qFormat/>
    <w:uiPriority w:val="0"/>
    <w:pPr>
      <w:ind w:firstLine="420" w:firstLineChars="200"/>
    </w:pPr>
    <w:rPr>
      <w:rFonts w:ascii="Calibri" w:hAnsi="Calibri"/>
      <w:szCs w:val="22"/>
    </w:rPr>
  </w:style>
  <w:style w:type="character" w:customStyle="1" w:styleId="86">
    <w:name w:val="标准文本 Char Char"/>
    <w:link w:val="87"/>
    <w:uiPriority w:val="0"/>
    <w:rPr>
      <w:sz w:val="24"/>
    </w:rPr>
  </w:style>
  <w:style w:type="paragraph" w:customStyle="1" w:styleId="87">
    <w:name w:val="标准文本"/>
    <w:basedOn w:val="1"/>
    <w:link w:val="86"/>
    <w:uiPriority w:val="0"/>
    <w:pPr>
      <w:spacing w:line="360" w:lineRule="auto"/>
      <w:ind w:firstLine="480" w:firstLineChars="200"/>
    </w:pPr>
    <w:rPr>
      <w:kern w:val="0"/>
      <w:sz w:val="24"/>
      <w:szCs w:val="20"/>
    </w:rPr>
  </w:style>
  <w:style w:type="character" w:customStyle="1" w:styleId="88">
    <w:name w:val="Char Char1"/>
    <w:aliases w:val="Texte Char,小 Char Char"/>
    <w:uiPriority w:val="0"/>
    <w:rPr>
      <w:rFonts w:ascii="宋体" w:hAnsi="Courier New" w:eastAsia="宋体"/>
      <w:kern w:val="2"/>
      <w:sz w:val="21"/>
      <w:lang w:val="en-US" w:eastAsia="zh-CN" w:bidi="ar-SA"/>
    </w:rPr>
  </w:style>
  <w:style w:type="character" w:customStyle="1" w:styleId="89">
    <w:name w:val="ca-18"/>
    <w:uiPriority w:val="0"/>
  </w:style>
  <w:style w:type="character" w:customStyle="1" w:styleId="90">
    <w:name w:val="Texte Char Char"/>
    <w:uiPriority w:val="0"/>
    <w:rPr>
      <w:rFonts w:ascii="宋体" w:hAnsi="Courier New" w:eastAsia="宋体"/>
      <w:sz w:val="21"/>
      <w:szCs w:val="21"/>
      <w:lang w:val="en-US" w:eastAsia="zh-CN" w:bidi="ar-SA"/>
    </w:rPr>
  </w:style>
  <w:style w:type="character" w:customStyle="1" w:styleId="91">
    <w:name w:val="目录1 Char"/>
    <w:link w:val="92"/>
    <w:uiPriority w:val="0"/>
    <w:rPr>
      <w:b/>
      <w:bCs/>
      <w:kern w:val="44"/>
      <w:sz w:val="36"/>
      <w:szCs w:val="36"/>
    </w:rPr>
  </w:style>
  <w:style w:type="paragraph" w:customStyle="1" w:styleId="92">
    <w:name w:val="目录1"/>
    <w:basedOn w:val="5"/>
    <w:link w:val="91"/>
    <w:qFormat/>
    <w:uiPriority w:val="0"/>
    <w:pPr>
      <w:keepLines/>
      <w:spacing w:before="340" w:after="330" w:line="440" w:lineRule="exact"/>
    </w:pPr>
    <w:rPr>
      <w:rFonts w:ascii="Times New Roman" w:eastAsia="宋体"/>
      <w:kern w:val="44"/>
      <w:sz w:val="36"/>
      <w:szCs w:val="36"/>
    </w:rPr>
  </w:style>
  <w:style w:type="character" w:customStyle="1" w:styleId="93">
    <w:name w:val="Char Char Char"/>
    <w:uiPriority w:val="0"/>
    <w:rPr>
      <w:rFonts w:ascii="宋体" w:hAnsi="Courier New" w:eastAsia="宋体"/>
      <w:sz w:val="21"/>
      <w:szCs w:val="21"/>
      <w:lang w:val="en-US" w:eastAsia="zh-CN" w:bidi="ar-SA"/>
    </w:rPr>
  </w:style>
  <w:style w:type="character" w:customStyle="1" w:styleId="94">
    <w:name w:val="表内 Char Char"/>
    <w:link w:val="95"/>
    <w:uiPriority w:val="0"/>
    <w:rPr>
      <w:rFonts w:ascii="宋体" w:hAnsi="宋体"/>
      <w:kern w:val="2"/>
      <w:sz w:val="18"/>
      <w:szCs w:val="18"/>
    </w:rPr>
  </w:style>
  <w:style w:type="paragraph" w:customStyle="1" w:styleId="95">
    <w:name w:val="表内"/>
    <w:basedOn w:val="1"/>
    <w:link w:val="94"/>
    <w:uiPriority w:val="0"/>
    <w:rPr>
      <w:rFonts w:ascii="宋体" w:hAnsi="宋体"/>
      <w:sz w:val="18"/>
      <w:szCs w:val="18"/>
    </w:rPr>
  </w:style>
  <w:style w:type="character" w:customStyle="1" w:styleId="96">
    <w:name w:val="font01"/>
    <w:uiPriority w:val="0"/>
    <w:rPr>
      <w:rFonts w:ascii="font-weight : 400" w:hAnsi="font-weight : 400" w:eastAsia="font-weight : 400" w:cs="font-weight : 400"/>
      <w:color w:val="000000"/>
      <w:sz w:val="22"/>
      <w:szCs w:val="22"/>
      <w:u w:val="none"/>
    </w:rPr>
  </w:style>
  <w:style w:type="character" w:customStyle="1" w:styleId="97">
    <w:name w:val="style21"/>
    <w:uiPriority w:val="0"/>
    <w:rPr>
      <w:sz w:val="15"/>
      <w:szCs w:val="15"/>
    </w:rPr>
  </w:style>
  <w:style w:type="character" w:customStyle="1" w:styleId="98">
    <w:name w:val="apple-converted-space"/>
    <w:basedOn w:val="35"/>
    <w:uiPriority w:val="0"/>
  </w:style>
  <w:style w:type="character" w:customStyle="1" w:styleId="99">
    <w:name w:val="哈哈正文 Char"/>
    <w:link w:val="100"/>
    <w:uiPriority w:val="0"/>
    <w:rPr>
      <w:rFonts w:ascii="宋体" w:hAnsi="宋体" w:eastAsia="宋体" w:cs="宋体"/>
      <w:kern w:val="2"/>
      <w:sz w:val="24"/>
      <w:lang w:val="en-US" w:eastAsia="zh-CN" w:bidi="ar-SA"/>
    </w:rPr>
  </w:style>
  <w:style w:type="paragraph" w:customStyle="1" w:styleId="100">
    <w:name w:val="哈哈正文"/>
    <w:basedOn w:val="1"/>
    <w:link w:val="99"/>
    <w:uiPriority w:val="0"/>
    <w:pPr>
      <w:spacing w:line="360" w:lineRule="auto"/>
      <w:ind w:firstLine="200" w:firstLineChars="200"/>
    </w:pPr>
    <w:rPr>
      <w:rFonts w:ascii="宋体" w:hAnsi="宋体" w:cs="宋体"/>
      <w:sz w:val="24"/>
      <w:szCs w:val="20"/>
    </w:rPr>
  </w:style>
  <w:style w:type="character" w:customStyle="1" w:styleId="101">
    <w:name w:val="font11"/>
    <w:uiPriority w:val="0"/>
    <w:rPr>
      <w:rFonts w:hint="eastAsia" w:ascii="宋体" w:hAnsi="宋体" w:eastAsia="宋体" w:cs="宋体"/>
      <w:color w:val="000000"/>
      <w:sz w:val="22"/>
      <w:szCs w:val="22"/>
      <w:u w:val="none"/>
    </w:rPr>
  </w:style>
  <w:style w:type="paragraph" w:customStyle="1" w:styleId="102">
    <w:name w:val="Char Char Char Char"/>
    <w:basedOn w:val="17"/>
    <w:uiPriority w:val="0"/>
    <w:rPr>
      <w:rFonts w:ascii="Tahoma" w:hAnsi="Tahoma"/>
      <w:sz w:val="24"/>
    </w:rPr>
  </w:style>
  <w:style w:type="paragraph" w:customStyle="1" w:styleId="103">
    <w:name w:val="style3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4">
    <w:name w:val="Char Char Char Char Char Char"/>
    <w:basedOn w:val="1"/>
    <w:uiPriority w:val="0"/>
    <w:rPr>
      <w:rFonts w:ascii="Tahoma" w:hAnsi="Tahoma"/>
      <w:sz w:val="24"/>
      <w:szCs w:val="20"/>
    </w:rPr>
  </w:style>
  <w:style w:type="paragraph" w:customStyle="1" w:styleId="105">
    <w:name w:val="四级目录 Char Char Char Char Char"/>
    <w:next w:val="1"/>
    <w:uiPriority w:val="0"/>
    <w:pPr>
      <w:spacing w:line="360" w:lineRule="auto"/>
      <w:ind w:left="200" w:leftChars="200"/>
    </w:pPr>
    <w:rPr>
      <w:rFonts w:eastAsia="仿宋_GB2312"/>
      <w:sz w:val="30"/>
      <w:lang w:val="en-US" w:eastAsia="en-US" w:bidi="ar-SA"/>
    </w:rPr>
  </w:style>
  <w:style w:type="paragraph" w:customStyle="1" w:styleId="106">
    <w:name w:val="列表内容"/>
    <w:basedOn w:val="1"/>
    <w:next w:val="1"/>
    <w:uiPriority w:val="0"/>
    <w:pPr>
      <w:widowControl/>
      <w:tabs>
        <w:tab w:val="left" w:pos="840"/>
      </w:tabs>
      <w:ind w:left="360"/>
      <w:jc w:val="left"/>
    </w:pPr>
    <w:rPr>
      <w:kern w:val="0"/>
      <w:sz w:val="18"/>
      <w:szCs w:val="20"/>
    </w:rPr>
  </w:style>
  <w:style w:type="paragraph" w:customStyle="1" w:styleId="107">
    <w:name w:val="_Style 1"/>
    <w:uiPriority w:val="0"/>
    <w:pPr>
      <w:widowControl w:val="0"/>
      <w:jc w:val="both"/>
    </w:pPr>
    <w:rPr>
      <w:kern w:val="2"/>
      <w:sz w:val="21"/>
      <w:szCs w:val="24"/>
      <w:lang w:val="en-US" w:eastAsia="zh-CN" w:bidi="ar-SA"/>
    </w:rPr>
  </w:style>
  <w:style w:type="paragraph" w:customStyle="1" w:styleId="108">
    <w:name w:val="xl35"/>
    <w:basedOn w:val="1"/>
    <w:uiPriority w:val="0"/>
    <w:pPr>
      <w:widowControl/>
      <w:pBdr>
        <w:left w:val="single" w:color="auto" w:sz="0" w:space="0"/>
        <w:bottom w:val="single" w:color="auto" w:sz="0" w:space="0"/>
        <w:right w:val="single" w:color="auto" w:sz="0"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9">
    <w:name w:val="Char Char1 Char Char Char Char Char Char"/>
    <w:basedOn w:val="1"/>
    <w:uiPriority w:val="0"/>
    <w:pPr>
      <w:widowControl/>
      <w:spacing w:after="160" w:afterLines="0" w:line="240" w:lineRule="exact"/>
      <w:jc w:val="left"/>
    </w:pPr>
    <w:rPr>
      <w:rFonts w:ascii="宋体" w:hAnsi="宋体" w:cs="宋体"/>
      <w:kern w:val="0"/>
      <w:szCs w:val="20"/>
    </w:rPr>
  </w:style>
  <w:style w:type="paragraph" w:customStyle="1" w:styleId="110">
    <w:name w:val="列出段落1"/>
    <w:basedOn w:val="1"/>
    <w:uiPriority w:val="0"/>
    <w:pPr>
      <w:spacing w:line="415" w:lineRule="auto"/>
      <w:ind w:left="420" w:firstLine="420" w:firstLineChars="200"/>
      <w:jc w:val="left"/>
    </w:pPr>
    <w:rPr>
      <w:rFonts w:ascii="Calibri" w:hAnsi="Calibri"/>
      <w:sz w:val="28"/>
      <w:szCs w:val="22"/>
    </w:rPr>
  </w:style>
  <w:style w:type="paragraph" w:customStyle="1" w:styleId="111">
    <w:name w:val="Char Char Char Char Char Char Char Char Char Char Char Char Char1"/>
    <w:basedOn w:val="1"/>
    <w:uiPriority w:val="0"/>
    <w:rPr>
      <w:rFonts w:ascii="Tahoma" w:hAnsi="Tahoma"/>
      <w:sz w:val="24"/>
      <w:szCs w:val="20"/>
    </w:rPr>
  </w:style>
  <w:style w:type="paragraph" w:customStyle="1" w:styleId="112">
    <w:name w:val=" Char3"/>
    <w:basedOn w:val="17"/>
    <w:uiPriority w:val="0"/>
  </w:style>
  <w:style w:type="paragraph" w:customStyle="1" w:styleId="113">
    <w:name w:val=" Char Char7 Char"/>
    <w:basedOn w:val="1"/>
    <w:uiPriority w:val="0"/>
    <w:pPr>
      <w:tabs>
        <w:tab w:val="left" w:pos="425"/>
      </w:tabs>
      <w:ind w:left="420" w:leftChars="200" w:firstLine="270" w:firstLineChars="150"/>
    </w:pPr>
  </w:style>
  <w:style w:type="paragraph" w:customStyle="1" w:styleId="114">
    <w:name w:val="正文2"/>
    <w:basedOn w:val="1"/>
    <w:uiPriority w:val="0"/>
    <w:pPr>
      <w:spacing w:before="156" w:beforeLines="0" w:line="360" w:lineRule="auto"/>
      <w:ind w:firstLine="510" w:firstLineChars="200"/>
    </w:pPr>
    <w:rPr>
      <w:sz w:val="24"/>
      <w:szCs w:val="20"/>
    </w:rPr>
  </w:style>
  <w:style w:type="paragraph" w:customStyle="1" w:styleId="115">
    <w:name w:val="正文－恩普"/>
    <w:basedOn w:val="14"/>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6">
    <w:name w:val="默认段落字体 Para Char"/>
    <w:basedOn w:val="1"/>
    <w:uiPriority w:val="0"/>
    <w:pPr>
      <w:tabs>
        <w:tab w:val="left" w:pos="360"/>
      </w:tabs>
      <w:adjustRightInd w:val="0"/>
      <w:textAlignment w:val="baseline"/>
    </w:pPr>
  </w:style>
  <w:style w:type="paragraph" w:customStyle="1" w:styleId="117">
    <w:name w:val=" Char Char Char Char Char Char Char"/>
    <w:basedOn w:val="1"/>
    <w:uiPriority w:val="0"/>
    <w:rPr>
      <w:rFonts w:ascii="仿宋_GB2312" w:eastAsia="仿宋_GB2312"/>
      <w:b/>
      <w:sz w:val="32"/>
      <w:szCs w:val="32"/>
    </w:rPr>
  </w:style>
  <w:style w:type="paragraph" w:customStyle="1" w:styleId="118">
    <w:name w:val=" Char Char1 Char Char Char Char Char Char"/>
    <w:basedOn w:val="1"/>
    <w:uiPriority w:val="0"/>
    <w:rPr>
      <w:rFonts w:ascii="仿宋_GB2312" w:eastAsia="仿宋_GB2312"/>
      <w:b/>
      <w:sz w:val="32"/>
      <w:szCs w:val="32"/>
    </w:rPr>
  </w:style>
  <w:style w:type="paragraph" w:customStyle="1" w:styleId="119">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0">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1">
    <w:name w:val="默认段落字体 Para Char Char Char Char Char Char Char"/>
    <w:basedOn w:val="1"/>
    <w:uiPriority w:val="0"/>
    <w:pPr>
      <w:adjustRightInd w:val="0"/>
      <w:spacing w:line="360" w:lineRule="auto"/>
    </w:pPr>
    <w:rPr>
      <w:rFonts w:ascii="Tahoma" w:hAnsi="Tahoma"/>
      <w:kern w:val="0"/>
      <w:sz w:val="24"/>
      <w:szCs w:val="20"/>
    </w:rPr>
  </w:style>
  <w:style w:type="paragraph" w:styleId="122">
    <w:name w:val=""/>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3">
    <w:name w:val="GP标题1"/>
    <w:basedOn w:val="1"/>
    <w:next w:val="1"/>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4">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125">
    <w:name w:val="简单回函地址"/>
    <w:basedOn w:val="1"/>
    <w:uiPriority w:val="0"/>
  </w:style>
  <w:style w:type="paragraph" w:customStyle="1" w:styleId="126">
    <w:name w:val=" Char Char Char Char Char Char Char Char Char Char Char Char Char"/>
    <w:basedOn w:val="1"/>
    <w:uiPriority w:val="0"/>
    <w:rPr>
      <w:rFonts w:ascii="Tahoma" w:hAnsi="Tahoma"/>
      <w:sz w:val="24"/>
      <w:szCs w:val="20"/>
    </w:rPr>
  </w:style>
  <w:style w:type="paragraph" w:customStyle="1" w:styleId="127">
    <w:name w:val="正文首行缩进1"/>
    <w:basedOn w:val="3"/>
    <w:uiPriority w:val="0"/>
    <w:pPr>
      <w:ind w:firstLine="420" w:firstLineChars="100"/>
    </w:pPr>
    <w:rPr>
      <w:rFonts w:ascii="Calibri" w:hAnsi="Calibri"/>
    </w:rPr>
  </w:style>
  <w:style w:type="paragraph" w:customStyle="1" w:styleId="128">
    <w:name w:val="reader-word-layer reader-word-s1-2"/>
    <w:basedOn w:val="1"/>
    <w:uiPriority w:val="0"/>
    <w:pPr>
      <w:widowControl/>
      <w:spacing w:before="100" w:beforeAutospacing="1" w:after="100" w:afterAutospacing="1"/>
      <w:jc w:val="left"/>
    </w:pPr>
    <w:rPr>
      <w:rFonts w:ascii="宋体" w:hAnsi="宋体" w:cs="宋体"/>
      <w:kern w:val="0"/>
      <w:sz w:val="24"/>
    </w:rPr>
  </w:style>
  <w:style w:type="paragraph" w:customStyle="1" w:styleId="129">
    <w:name w:val="xl55"/>
    <w:basedOn w:val="1"/>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0">
    <w:name w:val="编号，小四"/>
    <w:basedOn w:val="1"/>
    <w:qFormat/>
    <w:uiPriority w:val="0"/>
    <w:pPr>
      <w:numPr>
        <w:ilvl w:val="0"/>
        <w:numId w:val="4"/>
      </w:numPr>
      <w:spacing w:line="360" w:lineRule="auto"/>
    </w:pPr>
    <w:rPr>
      <w:rFonts w:ascii="Arial" w:hAnsi="Arial" w:cs="宋体"/>
      <w:sz w:val="24"/>
      <w:szCs w:val="20"/>
    </w:rPr>
  </w:style>
  <w:style w:type="paragraph" w:customStyle="1" w:styleId="131">
    <w:name w:val="p0"/>
    <w:basedOn w:val="1"/>
    <w:uiPriority w:val="0"/>
    <w:pPr>
      <w:widowControl/>
    </w:pPr>
    <w:rPr>
      <w:rFonts w:ascii="Calibri" w:hAnsi="Calibri" w:cs="Calibri"/>
      <w:kern w:val="0"/>
      <w:szCs w:val="21"/>
    </w:rPr>
  </w:style>
  <w:style w:type="paragraph" w:customStyle="1" w:styleId="13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3">
    <w:name w:val="_Style 13"/>
    <w:basedOn w:val="1"/>
    <w:uiPriority w:val="0"/>
    <w:rPr>
      <w:rFonts w:ascii="Tahoma" w:hAnsi="Tahoma"/>
      <w:sz w:val="24"/>
      <w:szCs w:val="20"/>
    </w:rPr>
  </w:style>
  <w:style w:type="paragraph" w:customStyle="1" w:styleId="134">
    <w:name w:val="表内文字"/>
    <w:basedOn w:val="1"/>
    <w:uiPriority w:val="0"/>
    <w:pPr>
      <w:spacing w:line="240" w:lineRule="atLeast"/>
      <w:jc w:val="center"/>
    </w:pPr>
    <w:rPr>
      <w:rFonts w:ascii="Arial" w:hAnsi="Arial" w:eastAsia="宋体" w:cs="Arial"/>
      <w:b/>
      <w:bCs/>
    </w:rPr>
  </w:style>
  <w:style w:type="paragraph" w:styleId="135">
    <w:name w:val="No Spacing"/>
    <w:basedOn w:val="7"/>
    <w:qFormat/>
    <w:uiPriority w:val="0"/>
    <w:pPr>
      <w:widowControl w:val="0"/>
      <w:jc w:val="both"/>
    </w:pPr>
    <w:rPr>
      <w:kern w:val="2"/>
      <w:sz w:val="21"/>
      <w:szCs w:val="24"/>
      <w:lang w:val="en-US" w:eastAsia="zh-CN" w:bidi="ar-SA"/>
    </w:rPr>
  </w:style>
  <w:style w:type="paragraph" w:customStyle="1" w:styleId="136">
    <w:name w:val="样式 Arial 小四 首行缩进:  0.85 厘米"/>
    <w:basedOn w:val="1"/>
    <w:uiPriority w:val="0"/>
    <w:pPr>
      <w:spacing w:line="360" w:lineRule="auto"/>
      <w:ind w:firstLine="482"/>
    </w:pPr>
    <w:rPr>
      <w:rFonts w:ascii="Arial" w:hAnsi="Arial" w:cs="宋体"/>
      <w:sz w:val="24"/>
      <w:szCs w:val="20"/>
    </w:rPr>
  </w:style>
  <w:style w:type="paragraph" w:customStyle="1" w:styleId="137">
    <w:name w:val="Char Char Char Char Char Char Char"/>
    <w:basedOn w:val="1"/>
    <w:uiPriority w:val="0"/>
    <w:rPr>
      <w:rFonts w:ascii="仿宋_GB2312" w:eastAsia="仿宋_GB2312"/>
      <w:b/>
      <w:sz w:val="32"/>
      <w:szCs w:val="32"/>
    </w:rPr>
  </w:style>
  <w:style w:type="paragraph" w:customStyle="1" w:styleId="138">
    <w:name w:val="Char Char"/>
    <w:basedOn w:val="1"/>
    <w:uiPriority w:val="0"/>
    <w:rPr>
      <w:rFonts w:ascii="仿宋_GB2312" w:eastAsia="仿宋_GB2312"/>
      <w:b/>
      <w:sz w:val="32"/>
      <w:szCs w:val="32"/>
    </w:rPr>
  </w:style>
  <w:style w:type="paragraph" w:customStyle="1" w:styleId="139">
    <w:name w:val="Char Char Char Char Char Char Char Char Char Char Char Char Char"/>
    <w:basedOn w:val="1"/>
    <w:uiPriority w:val="0"/>
    <w:rPr>
      <w:rFonts w:ascii="Tahoma" w:hAnsi="Tahoma"/>
      <w:sz w:val="24"/>
      <w:szCs w:val="20"/>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 Char Char Char Char"/>
    <w:basedOn w:val="17"/>
    <w:uiPriority w:val="0"/>
    <w:rPr>
      <w:rFonts w:ascii="Tahoma" w:hAnsi="Tahoma"/>
      <w:sz w:val="24"/>
    </w:rPr>
  </w:style>
  <w:style w:type="paragraph" w:customStyle="1" w:styleId="142">
    <w:name w:val="正文1"/>
    <w:basedOn w:val="1"/>
    <w:uiPriority w:val="0"/>
    <w:pPr>
      <w:spacing w:line="480" w:lineRule="exact"/>
      <w:ind w:firstLine="480" w:firstLineChars="200"/>
    </w:pPr>
    <w:rPr>
      <w:rFonts w:ascii="宋体"/>
      <w:sz w:val="24"/>
      <w:szCs w:val="20"/>
    </w:rPr>
  </w:style>
  <w:style w:type="paragraph" w:customStyle="1" w:styleId="143">
    <w:name w:val="Char1 Char Char Char Char"/>
    <w:basedOn w:val="17"/>
    <w:uiPriority w:val="0"/>
    <w:rPr>
      <w:rFonts w:ascii="Tahoma" w:hAnsi="Tahoma" w:cs="Tahoma"/>
      <w:kern w:val="0"/>
      <w:sz w:val="18"/>
    </w:rPr>
  </w:style>
  <w:style w:type="paragraph" w:customStyle="1" w:styleId="144">
    <w:name w:val="无间距"/>
    <w:uiPriority w:val="0"/>
    <w:pPr>
      <w:widowControl w:val="0"/>
      <w:jc w:val="both"/>
    </w:pPr>
    <w:rPr>
      <w:kern w:val="2"/>
      <w:sz w:val="21"/>
      <w:szCs w:val="24"/>
      <w:lang w:val="en-US" w:eastAsia="zh-CN" w:bidi="ar-SA"/>
    </w:rPr>
  </w:style>
  <w:style w:type="paragraph" w:customStyle="1" w:styleId="145">
    <w:name w:val="正文表标题"/>
    <w:next w:val="140"/>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6">
    <w:name w:val="表内容"/>
    <w:basedOn w:val="1"/>
    <w:uiPriority w:val="0"/>
    <w:pPr>
      <w:widowControl/>
      <w:spacing w:line="320" w:lineRule="exact"/>
      <w:jc w:val="left"/>
    </w:pPr>
    <w:rPr>
      <w:rFonts w:cs="Arial"/>
      <w:kern w:val="0"/>
      <w:sz w:val="20"/>
      <w:szCs w:val="20"/>
    </w:rPr>
  </w:style>
  <w:style w:type="paragraph" w:customStyle="1" w:styleId="147">
    <w:name w:val="保留正文"/>
    <w:basedOn w:val="3"/>
    <w:uiPriority w:val="0"/>
    <w:pPr>
      <w:keepNext/>
      <w:spacing w:after="160" w:afterLines="0"/>
    </w:pPr>
  </w:style>
  <w:style w:type="paragraph" w:customStyle="1" w:styleId="148">
    <w:name w:val="TableCaption Char"/>
    <w:next w:val="1"/>
    <w:uiPriority w:val="0"/>
    <w:pPr>
      <w:numPr>
        <w:ilvl w:val="0"/>
        <w:numId w:val="2"/>
      </w:numPr>
      <w:tabs>
        <w:tab w:val="left" w:pos="720"/>
      </w:tabs>
      <w:spacing w:line="480" w:lineRule="auto"/>
      <w:ind w:left="907" w:hanging="907"/>
    </w:pPr>
    <w:rPr>
      <w:rFonts w:ascii="Arial" w:hAnsi="Arial"/>
      <w:color w:val="000000"/>
      <w:sz w:val="18"/>
      <w:lang w:val="en-US" w:eastAsia="en-US" w:bidi="ar-SA"/>
    </w:rPr>
  </w:style>
  <w:style w:type="paragraph" w:customStyle="1" w:styleId="149">
    <w:name w:val="pa-8"/>
    <w:basedOn w:val="1"/>
    <w:uiPriority w:val="0"/>
    <w:pPr>
      <w:widowControl/>
      <w:spacing w:before="150" w:after="150"/>
      <w:jc w:val="left"/>
    </w:pPr>
    <w:rPr>
      <w:rFonts w:ascii="宋体" w:hAnsi="宋体" w:cs="宋体"/>
      <w:kern w:val="0"/>
      <w:sz w:val="24"/>
    </w:rPr>
  </w:style>
  <w:style w:type="paragraph" w:styleId="150">
    <w:name w:val="List Paragraph"/>
    <w:basedOn w:val="1"/>
    <w:qFormat/>
    <w:uiPriority w:val="34"/>
    <w:pPr>
      <w:ind w:firstLine="420" w:firstLineChars="200"/>
    </w:pPr>
  </w:style>
  <w:style w:type="paragraph" w:customStyle="1" w:styleId="151">
    <w:name w:val="Char Char Char Char1"/>
    <w:basedOn w:val="1"/>
    <w:uiPriority w:val="0"/>
    <w:rPr>
      <w:rFonts w:ascii="Tahoma" w:hAnsi="Tahoma"/>
      <w:sz w:val="24"/>
      <w:szCs w:val="20"/>
    </w:rPr>
  </w:style>
  <w:style w:type="paragraph" w:customStyle="1" w:styleId="152">
    <w:name w:val="pbulletcmt"/>
    <w:basedOn w:val="1"/>
    <w:uiPriority w:val="0"/>
    <w:pPr>
      <w:widowControl/>
      <w:spacing w:before="100" w:beforeAutospacing="1" w:after="100" w:afterAutospacing="1"/>
      <w:jc w:val="left"/>
    </w:pPr>
    <w:rPr>
      <w:kern w:val="0"/>
      <w:sz w:val="24"/>
    </w:rPr>
  </w:style>
  <w:style w:type="paragraph" w:customStyle="1" w:styleId="153">
    <w:name w:val="项目标号"/>
    <w:uiPriority w:val="0"/>
    <w:pPr>
      <w:numPr>
        <w:ilvl w:val="1"/>
        <w:numId w:val="5"/>
      </w:numPr>
      <w:tabs>
        <w:tab w:val="left" w:pos="780"/>
      </w:tabs>
      <w:spacing w:line="360" w:lineRule="auto"/>
    </w:pPr>
    <w:rPr>
      <w:sz w:val="24"/>
      <w:lang w:val="en-US" w:eastAsia="zh-CN" w:bidi="ar-SA"/>
    </w:rPr>
  </w:style>
  <w:style w:type="paragraph" w:customStyle="1" w:styleId="154">
    <w:name w:val="样式 四号 首行缩进:  1 厘米"/>
    <w:basedOn w:val="1"/>
    <w:uiPriority w:val="0"/>
    <w:pPr>
      <w:spacing w:line="440" w:lineRule="exact"/>
      <w:ind w:firstLine="567"/>
    </w:pPr>
    <w:rPr>
      <w:rFonts w:cs="宋体"/>
      <w:sz w:val="28"/>
      <w:szCs w:val="20"/>
    </w:rPr>
  </w:style>
  <w:style w:type="paragraph" w:customStyle="1" w:styleId="155">
    <w:name w:val="表格"/>
    <w:basedOn w:val="156"/>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6">
    <w:name w:val="表头"/>
    <w:basedOn w:val="135"/>
    <w:qFormat/>
    <w:uiPriority w:val="0"/>
    <w:pPr>
      <w:jc w:val="center"/>
    </w:pPr>
    <w:rPr>
      <w:rFonts w:ascii="楷体_GB2312"/>
      <w:kern w:val="28"/>
      <w:sz w:val="28"/>
      <w:szCs w:val="28"/>
    </w:rPr>
  </w:style>
  <w:style w:type="paragraph" w:customStyle="1" w:styleId="157">
    <w:name w:val="正文文本首行缩进1"/>
    <w:basedOn w:val="3"/>
    <w:qFormat/>
    <w:uiPriority w:val="0"/>
    <w:pPr>
      <w:ind w:firstLine="420" w:firstLineChars="100"/>
    </w:pPr>
    <w:rPr>
      <w:szCs w:val="21"/>
    </w:rPr>
  </w:style>
  <w:style w:type="paragraph" w:customStyle="1" w:styleId="158">
    <w:name w:val="[Normal]"/>
    <w:qFormat/>
    <w:uiPriority w:val="0"/>
    <w:rPr>
      <w:rFonts w:ascii="宋体" w:hAnsi="宋体" w:eastAsia="宋体" w:cs="Times New Roman"/>
      <w:sz w:val="24"/>
      <w:szCs w:val="22"/>
      <w:lang w:val="zh-CN" w:eastAsia="zh-CN" w:bidi="ar-SA"/>
    </w:rPr>
  </w:style>
  <w:style w:type="paragraph" w:customStyle="1" w:styleId="15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msonospacing"/>
    <w:basedOn w:val="1"/>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 w:type="paragraph" w:customStyle="1" w:styleId="161">
    <w:name w:val="首行缩进"/>
    <w:basedOn w:val="1"/>
    <w:qFormat/>
    <w:uiPriority w:val="0"/>
    <w:pPr>
      <w:spacing w:line="360" w:lineRule="auto"/>
      <w:ind w:firstLine="480" w:firstLineChars="200"/>
    </w:pPr>
    <w:rPr>
      <w:rFonts w:hAnsi="宋体" w:cs="宋体"/>
      <w:sz w:val="24"/>
    </w:rPr>
  </w:style>
  <w:style w:type="paragraph" w:customStyle="1" w:styleId="162">
    <w:name w:val="列表段落1"/>
    <w:basedOn w:val="1"/>
    <w:qFormat/>
    <w:uiPriority w:val="0"/>
    <w:pPr>
      <w:ind w:firstLine="420" w:firstLineChars="200"/>
    </w:pPr>
    <w:rPr>
      <w:rFonts w:ascii="Calibri" w:hAnsi="Calibri"/>
      <w:szCs w:val="22"/>
    </w:rPr>
  </w:style>
  <w:style w:type="table" w:customStyle="1" w:styleId="163">
    <w:name w:val="Table Normal"/>
    <w:unhideWhenUsed/>
    <w:qFormat/>
    <w:uiPriority w:val="0"/>
    <w:tblPr>
      <w:tblStyle w:val="3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19057</Words>
  <Characters>19995</Characters>
  <Lines>316</Lines>
  <Paragraphs>89</Paragraphs>
  <TotalTime>0</TotalTime>
  <ScaleCrop>false</ScaleCrop>
  <LinksUpToDate>false</LinksUpToDate>
  <CharactersWithSpaces>21219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清蒸</cp:lastModifiedBy>
  <cp:lastPrinted>2023-05-24T04:46:14Z</cp:lastPrinted>
  <dcterms:modified xsi:type="dcterms:W3CDTF">2025-02-21T09:04:48Z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C7692C11EB3E40E889EDED469A3BDCF7_13</vt:lpwstr>
  </property>
  <property fmtid="{D5CDD505-2E9C-101B-9397-08002B2CF9AE}" pid="4" name="KSOTemplateDocerSaveRecord">
    <vt:lpwstr>eyJoZGlkIjoiOGI5Yjc5OWYxNjRmZjI0Nzc3NDdkOThlYjY2MWNhNGUiLCJ1c2VySWQiOiIzMTgxMzUwMTQifQ==</vt:lpwstr>
  </property>
</Properties>
</file>