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82D2">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14:paraId="63005AF1">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14:paraId="4A3EE95B">
      <w:pPr>
        <w:spacing w:line="400" w:lineRule="atLeast"/>
        <w:jc w:val="center"/>
        <w:rPr>
          <w:rFonts w:hint="eastAsia" w:ascii="宋体" w:hAnsi="宋体" w:eastAsia="宋体" w:cs="宋体"/>
          <w:b/>
          <w:sz w:val="52"/>
          <w:szCs w:val="24"/>
          <w:highlight w:val="none"/>
        </w:rPr>
      </w:pPr>
    </w:p>
    <w:p w14:paraId="1EFDF5E6">
      <w:pPr>
        <w:spacing w:line="400" w:lineRule="atLeast"/>
        <w:jc w:val="center"/>
        <w:rPr>
          <w:rFonts w:hint="eastAsia" w:ascii="宋体" w:hAnsi="宋体" w:eastAsia="宋体" w:cs="宋体"/>
          <w:b/>
          <w:sz w:val="52"/>
          <w:szCs w:val="24"/>
          <w:highlight w:val="none"/>
        </w:rPr>
      </w:pPr>
    </w:p>
    <w:p w14:paraId="722BCB78">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14:paraId="033F056C">
      <w:pPr>
        <w:spacing w:line="400" w:lineRule="exact"/>
        <w:jc w:val="center"/>
        <w:rPr>
          <w:rFonts w:hint="eastAsia" w:ascii="宋体" w:hAnsi="宋体" w:eastAsia="宋体" w:cs="宋体"/>
          <w:b/>
          <w:sz w:val="32"/>
          <w:szCs w:val="24"/>
          <w:highlight w:val="none"/>
        </w:rPr>
      </w:pPr>
    </w:p>
    <w:p w14:paraId="3702F311">
      <w:pPr>
        <w:spacing w:line="400" w:lineRule="exact"/>
        <w:jc w:val="center"/>
        <w:rPr>
          <w:rFonts w:hint="eastAsia" w:ascii="宋体" w:hAnsi="宋体" w:eastAsia="宋体" w:cs="宋体"/>
          <w:b/>
          <w:sz w:val="32"/>
          <w:szCs w:val="24"/>
          <w:highlight w:val="none"/>
        </w:rPr>
      </w:pPr>
    </w:p>
    <w:tbl>
      <w:tblPr>
        <w:tblStyle w:val="25"/>
        <w:tblW w:w="0" w:type="auto"/>
        <w:jc w:val="center"/>
        <w:tblLayout w:type="fixed"/>
        <w:tblCellMar>
          <w:top w:w="0" w:type="dxa"/>
          <w:left w:w="108" w:type="dxa"/>
          <w:bottom w:w="0" w:type="dxa"/>
          <w:right w:w="108" w:type="dxa"/>
        </w:tblCellMar>
      </w:tblPr>
      <w:tblGrid>
        <w:gridCol w:w="2340"/>
        <w:gridCol w:w="360"/>
        <w:gridCol w:w="3233"/>
      </w:tblGrid>
      <w:tr w14:paraId="5F155CA4">
        <w:tblPrEx>
          <w:tblCellMar>
            <w:top w:w="0" w:type="dxa"/>
            <w:left w:w="108" w:type="dxa"/>
            <w:bottom w:w="0" w:type="dxa"/>
            <w:right w:w="108" w:type="dxa"/>
          </w:tblCellMar>
        </w:tblPrEx>
        <w:trPr>
          <w:trHeight w:val="659" w:hRule="atLeast"/>
          <w:jc w:val="center"/>
        </w:trPr>
        <w:tc>
          <w:tcPr>
            <w:tcW w:w="2340" w:type="dxa"/>
            <w:vAlign w:val="center"/>
          </w:tcPr>
          <w:p w14:paraId="1E9D2333">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60" w:type="dxa"/>
            <w:vAlign w:val="center"/>
          </w:tcPr>
          <w:p w14:paraId="0AAD20D7">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14:paraId="0CDB6A2E">
            <w:pPr>
              <w:adjustRightInd w:val="0"/>
              <w:snapToGrid w:val="0"/>
              <w:spacing w:line="440" w:lineRule="exact"/>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WGSS-JFJT-X-2024008</w:t>
            </w:r>
          </w:p>
        </w:tc>
      </w:tr>
      <w:tr w14:paraId="0D3C2CE6">
        <w:tblPrEx>
          <w:tblCellMar>
            <w:top w:w="0" w:type="dxa"/>
            <w:left w:w="108" w:type="dxa"/>
            <w:bottom w:w="0" w:type="dxa"/>
            <w:right w:w="108" w:type="dxa"/>
          </w:tblCellMar>
        </w:tblPrEx>
        <w:trPr>
          <w:trHeight w:val="614" w:hRule="atLeast"/>
          <w:jc w:val="center"/>
        </w:trPr>
        <w:tc>
          <w:tcPr>
            <w:tcW w:w="2340" w:type="dxa"/>
            <w:vAlign w:val="center"/>
          </w:tcPr>
          <w:p w14:paraId="26175245">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项目名称</w:t>
            </w:r>
          </w:p>
        </w:tc>
        <w:tc>
          <w:tcPr>
            <w:tcW w:w="360" w:type="dxa"/>
            <w:vAlign w:val="center"/>
          </w:tcPr>
          <w:p w14:paraId="168B9CD2">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14:paraId="35479B1E">
            <w:pPr>
              <w:adjustRightInd w:val="0"/>
              <w:snapToGrid w:val="0"/>
              <w:spacing w:line="440" w:lineRule="exac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陶山服务区物业项目</w:t>
            </w:r>
          </w:p>
        </w:tc>
      </w:tr>
      <w:tr w14:paraId="5B261DBB">
        <w:tblPrEx>
          <w:tblCellMar>
            <w:top w:w="0" w:type="dxa"/>
            <w:left w:w="108" w:type="dxa"/>
            <w:bottom w:w="0" w:type="dxa"/>
            <w:right w:w="108" w:type="dxa"/>
          </w:tblCellMar>
        </w:tblPrEx>
        <w:trPr>
          <w:trHeight w:val="614" w:hRule="atLeast"/>
          <w:jc w:val="center"/>
        </w:trPr>
        <w:tc>
          <w:tcPr>
            <w:tcW w:w="2340" w:type="dxa"/>
            <w:vAlign w:val="center"/>
          </w:tcPr>
          <w:p w14:paraId="23035045">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采购方式</w:t>
            </w:r>
          </w:p>
        </w:tc>
        <w:tc>
          <w:tcPr>
            <w:tcW w:w="360" w:type="dxa"/>
            <w:vAlign w:val="center"/>
          </w:tcPr>
          <w:p w14:paraId="0ABF3E27">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233" w:type="dxa"/>
            <w:vAlign w:val="center"/>
          </w:tcPr>
          <w:p w14:paraId="2BBF3017">
            <w:pPr>
              <w:adjustRightInd w:val="0"/>
              <w:snapToGrid w:val="0"/>
              <w:spacing w:line="44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公开招标</w:t>
            </w:r>
          </w:p>
        </w:tc>
      </w:tr>
    </w:tbl>
    <w:p w14:paraId="265BA81C">
      <w:pPr>
        <w:jc w:val="center"/>
        <w:rPr>
          <w:rFonts w:hint="eastAsia" w:ascii="宋体" w:hAnsi="宋体" w:eastAsia="宋体" w:cs="宋体"/>
          <w:b/>
          <w:sz w:val="24"/>
          <w:szCs w:val="24"/>
          <w:highlight w:val="none"/>
        </w:rPr>
      </w:pPr>
    </w:p>
    <w:p w14:paraId="1F4FC811">
      <w:pPr>
        <w:jc w:val="center"/>
        <w:rPr>
          <w:rFonts w:hint="eastAsia" w:ascii="宋体" w:hAnsi="宋体" w:eastAsia="宋体" w:cs="宋体"/>
          <w:b/>
          <w:sz w:val="24"/>
          <w:szCs w:val="24"/>
          <w:highlight w:val="none"/>
        </w:rPr>
      </w:pPr>
    </w:p>
    <w:p w14:paraId="046FBBE3">
      <w:pPr>
        <w:jc w:val="center"/>
        <w:rPr>
          <w:rFonts w:hint="eastAsia" w:ascii="宋体" w:hAnsi="宋体" w:eastAsia="宋体" w:cs="宋体"/>
          <w:b/>
          <w:sz w:val="24"/>
          <w:szCs w:val="24"/>
          <w:highlight w:val="none"/>
        </w:rPr>
      </w:pPr>
    </w:p>
    <w:p w14:paraId="128E1FC7">
      <w:pPr>
        <w:jc w:val="center"/>
        <w:rPr>
          <w:rFonts w:hint="eastAsia" w:ascii="宋体" w:hAnsi="宋体" w:eastAsia="宋体" w:cs="宋体"/>
          <w:b/>
          <w:sz w:val="24"/>
          <w:szCs w:val="24"/>
          <w:highlight w:val="none"/>
        </w:rPr>
      </w:pPr>
    </w:p>
    <w:p w14:paraId="52D1AADC">
      <w:pPr>
        <w:jc w:val="center"/>
        <w:rPr>
          <w:rFonts w:hint="eastAsia" w:ascii="宋体" w:hAnsi="宋体" w:eastAsia="宋体" w:cs="宋体"/>
          <w:b/>
          <w:sz w:val="24"/>
          <w:szCs w:val="24"/>
          <w:highlight w:val="none"/>
        </w:rPr>
      </w:pPr>
    </w:p>
    <w:p w14:paraId="0BB4DA0C">
      <w:pPr>
        <w:jc w:val="center"/>
        <w:rPr>
          <w:rFonts w:hint="eastAsia" w:ascii="宋体" w:hAnsi="宋体" w:eastAsia="宋体" w:cs="宋体"/>
          <w:b/>
          <w:sz w:val="24"/>
          <w:szCs w:val="24"/>
          <w:highlight w:val="none"/>
        </w:rPr>
      </w:pPr>
    </w:p>
    <w:p w14:paraId="79BA49DE">
      <w:pPr>
        <w:jc w:val="center"/>
        <w:rPr>
          <w:rFonts w:hint="eastAsia" w:ascii="宋体" w:hAnsi="宋体" w:eastAsia="宋体" w:cs="宋体"/>
          <w:b/>
          <w:sz w:val="24"/>
          <w:szCs w:val="24"/>
          <w:highlight w:val="none"/>
        </w:rPr>
      </w:pPr>
    </w:p>
    <w:p w14:paraId="4109BFD5">
      <w:pPr>
        <w:jc w:val="center"/>
        <w:rPr>
          <w:rFonts w:hint="eastAsia" w:ascii="宋体" w:hAnsi="宋体" w:eastAsia="宋体" w:cs="宋体"/>
          <w:b/>
          <w:sz w:val="24"/>
          <w:szCs w:val="24"/>
          <w:highlight w:val="none"/>
        </w:rPr>
      </w:pPr>
    </w:p>
    <w:p w14:paraId="1AD7CA16">
      <w:pPr>
        <w:jc w:val="center"/>
        <w:rPr>
          <w:rFonts w:hint="eastAsia" w:ascii="宋体" w:hAnsi="宋体" w:eastAsia="宋体" w:cs="宋体"/>
          <w:b/>
          <w:sz w:val="24"/>
          <w:szCs w:val="24"/>
          <w:highlight w:val="none"/>
        </w:rPr>
      </w:pPr>
    </w:p>
    <w:p w14:paraId="7BCD71BF">
      <w:pPr>
        <w:jc w:val="center"/>
        <w:rPr>
          <w:rFonts w:hint="eastAsia" w:ascii="宋体" w:hAnsi="宋体" w:eastAsia="宋体" w:cs="宋体"/>
          <w:b/>
          <w:sz w:val="24"/>
          <w:szCs w:val="24"/>
          <w:highlight w:val="none"/>
        </w:rPr>
      </w:pPr>
    </w:p>
    <w:p w14:paraId="2CB9F497">
      <w:pPr>
        <w:jc w:val="center"/>
        <w:rPr>
          <w:rFonts w:hint="eastAsia" w:ascii="宋体" w:hAnsi="宋体" w:eastAsia="宋体" w:cs="宋体"/>
          <w:b/>
          <w:sz w:val="24"/>
          <w:szCs w:val="24"/>
          <w:highlight w:val="none"/>
        </w:rPr>
      </w:pPr>
    </w:p>
    <w:tbl>
      <w:tblPr>
        <w:tblStyle w:val="25"/>
        <w:tblW w:w="0" w:type="auto"/>
        <w:jc w:val="center"/>
        <w:tblLayout w:type="fixed"/>
        <w:tblCellMar>
          <w:top w:w="0" w:type="dxa"/>
          <w:left w:w="108" w:type="dxa"/>
          <w:bottom w:w="0" w:type="dxa"/>
          <w:right w:w="108" w:type="dxa"/>
        </w:tblCellMar>
      </w:tblPr>
      <w:tblGrid>
        <w:gridCol w:w="2199"/>
        <w:gridCol w:w="360"/>
        <w:gridCol w:w="4789"/>
      </w:tblGrid>
      <w:tr w14:paraId="0C4310FF">
        <w:tblPrEx>
          <w:tblCellMar>
            <w:top w:w="0" w:type="dxa"/>
            <w:left w:w="108" w:type="dxa"/>
            <w:bottom w:w="0" w:type="dxa"/>
            <w:right w:w="108" w:type="dxa"/>
          </w:tblCellMar>
        </w:tblPrEx>
        <w:trPr>
          <w:trHeight w:val="614" w:hRule="atLeast"/>
          <w:jc w:val="center"/>
        </w:trPr>
        <w:tc>
          <w:tcPr>
            <w:tcW w:w="2199" w:type="dxa"/>
            <w:vAlign w:val="center"/>
          </w:tcPr>
          <w:p w14:paraId="25F11D89">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14:paraId="219661E6">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14:paraId="3486CEE6">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温州市高速公路资产经营有限公司</w:t>
            </w:r>
          </w:p>
        </w:tc>
      </w:tr>
      <w:tr w14:paraId="48688E88">
        <w:tblPrEx>
          <w:tblCellMar>
            <w:top w:w="0" w:type="dxa"/>
            <w:left w:w="108" w:type="dxa"/>
            <w:bottom w:w="0" w:type="dxa"/>
            <w:right w:w="108" w:type="dxa"/>
          </w:tblCellMar>
        </w:tblPrEx>
        <w:trPr>
          <w:trHeight w:val="614" w:hRule="atLeast"/>
          <w:jc w:val="center"/>
        </w:trPr>
        <w:tc>
          <w:tcPr>
            <w:tcW w:w="2199" w:type="dxa"/>
            <w:vAlign w:val="center"/>
          </w:tcPr>
          <w:p w14:paraId="061051E6">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14:paraId="04FA9DEA">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14:paraId="4E719540">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14:paraId="18678976">
      <w:pPr>
        <w:spacing w:before="156"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四</w:t>
      </w:r>
      <w:r>
        <w:rPr>
          <w:rFonts w:hint="eastAsia" w:ascii="宋体" w:hAnsi="宋体" w:eastAsia="宋体" w:cs="宋体"/>
          <w:spacing w:val="40"/>
          <w:sz w:val="30"/>
          <w:szCs w:val="30"/>
          <w:highlight w:val="none"/>
        </w:rPr>
        <w:t>年</w:t>
      </w:r>
    </w:p>
    <w:p w14:paraId="46D00EE0">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6FDD5237">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14:paraId="7E23D238">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14:paraId="0F40B90A">
      <w:pPr>
        <w:tabs>
          <w:tab w:val="right" w:leader="dot" w:pos="9660"/>
        </w:tabs>
        <w:spacing w:line="480" w:lineRule="auto"/>
        <w:rPr>
          <w:rFonts w:hint="eastAsia" w:ascii="宋体" w:hAnsi="宋体" w:eastAsia="宋体" w:cs="宋体"/>
          <w:spacing w:val="0"/>
          <w:szCs w:val="24"/>
          <w:highlight w:val="none"/>
          <w:u w:val="single"/>
        </w:rPr>
      </w:pPr>
      <w:r>
        <w:rPr>
          <w:rFonts w:hint="eastAsia" w:ascii="宋体" w:hAnsi="宋体" w:eastAsia="宋体" w:cs="宋体"/>
          <w:snapToGrid/>
          <w:spacing w:val="0"/>
          <w:kern w:val="2"/>
          <w:szCs w:val="24"/>
          <w:highlight w:val="none"/>
          <w:u w:val="single"/>
          <w:lang w:eastAsia="zh-CN"/>
        </w:rPr>
        <w:t>温州市交发集团所属温州市高速公路资产经营有限公司关于</w:t>
      </w:r>
      <w:r>
        <w:rPr>
          <w:rFonts w:hint="eastAsia" w:ascii="宋体" w:hAnsi="宋体" w:eastAsia="宋体" w:cs="宋体"/>
          <w:szCs w:val="24"/>
          <w:highlight w:val="none"/>
          <w:u w:val="single"/>
        </w:rPr>
        <w:fldChar w:fldCharType="begin"/>
      </w:r>
      <w:r>
        <w:rPr>
          <w:rFonts w:hint="eastAsia" w:ascii="宋体" w:hAnsi="宋体" w:eastAsia="宋体" w:cs="宋体"/>
          <w:szCs w:val="24"/>
          <w:highlight w:val="none"/>
          <w:u w:val="single"/>
        </w:rPr>
        <w:instrText xml:space="preserve"> HYPERLINK \l "_Toc491780521" </w:instrText>
      </w:r>
      <w:r>
        <w:rPr>
          <w:rFonts w:hint="eastAsia" w:ascii="宋体" w:hAnsi="宋体" w:eastAsia="宋体" w:cs="宋体"/>
          <w:szCs w:val="24"/>
          <w:highlight w:val="none"/>
          <w:u w:val="single"/>
        </w:rPr>
        <w:fldChar w:fldCharType="separate"/>
      </w:r>
      <w:r>
        <w:rPr>
          <w:rFonts w:hint="eastAsia" w:ascii="宋体" w:hAnsi="宋体" w:eastAsia="宋体" w:cs="宋体"/>
          <w:snapToGrid/>
          <w:spacing w:val="0"/>
          <w:kern w:val="2"/>
          <w:szCs w:val="24"/>
          <w:highlight w:val="none"/>
          <w:u w:val="single"/>
          <w:lang w:eastAsia="zh-CN"/>
        </w:rPr>
        <w:t>陶山服务区物业项目</w:t>
      </w:r>
      <w:r>
        <w:rPr>
          <w:rFonts w:hint="eastAsia" w:ascii="宋体" w:hAnsi="宋体" w:eastAsia="宋体" w:cs="宋体"/>
          <w:snapToGrid/>
          <w:spacing w:val="0"/>
          <w:kern w:val="2"/>
          <w:szCs w:val="24"/>
          <w:highlight w:val="none"/>
          <w:u w:val="single"/>
        </w:rPr>
        <w:t>的采购公告</w:t>
      </w:r>
      <w:r>
        <w:rPr>
          <w:rFonts w:hint="eastAsia" w:ascii="宋体" w:hAnsi="宋体" w:eastAsia="宋体" w:cs="宋体"/>
          <w:snapToGrid/>
          <w:spacing w:val="0"/>
          <w:kern w:val="2"/>
          <w:szCs w:val="24"/>
          <w:highlight w:val="none"/>
          <w:u w:val="single"/>
        </w:rPr>
        <w:tab/>
      </w:r>
      <w:r>
        <w:rPr>
          <w:rFonts w:hint="eastAsia" w:ascii="宋体" w:hAnsi="宋体" w:eastAsia="宋体" w:cs="宋体"/>
          <w:snapToGrid/>
          <w:spacing w:val="0"/>
          <w:kern w:val="2"/>
          <w:szCs w:val="24"/>
          <w:highlight w:val="none"/>
          <w:u w:val="single"/>
        </w:rPr>
        <w:t>3</w:t>
      </w:r>
      <w:r>
        <w:rPr>
          <w:rFonts w:hint="eastAsia" w:ascii="宋体" w:hAnsi="宋体" w:eastAsia="宋体" w:cs="宋体"/>
          <w:snapToGrid/>
          <w:spacing w:val="0"/>
          <w:kern w:val="2"/>
          <w:szCs w:val="24"/>
          <w:highlight w:val="none"/>
          <w:u w:val="single"/>
        </w:rPr>
        <w:fldChar w:fldCharType="end"/>
      </w:r>
    </w:p>
    <w:p w14:paraId="260485FB">
      <w:pPr>
        <w:tabs>
          <w:tab w:val="right" w:leader="dot" w:pos="9660"/>
        </w:tabs>
        <w:spacing w:line="480" w:lineRule="auto"/>
        <w:rPr>
          <w:rFonts w:hint="eastAsia" w:ascii="宋体" w:hAnsi="宋体" w:eastAsia="宋体" w:cs="宋体"/>
          <w:spacing w:val="0"/>
          <w:szCs w:val="24"/>
          <w:highlight w:val="none"/>
          <w:u w:val="single"/>
        </w:rPr>
      </w:pPr>
      <w:r>
        <w:rPr>
          <w:rFonts w:hint="eastAsia" w:ascii="宋体" w:hAnsi="宋体" w:eastAsia="宋体" w:cs="宋体"/>
          <w:spacing w:val="0"/>
          <w:szCs w:val="24"/>
          <w:highlight w:val="none"/>
          <w:u w:val="single"/>
          <w:lang w:eastAsia="zh-CN"/>
        </w:rPr>
        <w:t>温州市交发集团所属温州市高速公路资产经营有限公司关于</w:t>
      </w:r>
      <w:r>
        <w:rPr>
          <w:rFonts w:hint="eastAsia" w:ascii="宋体" w:hAnsi="宋体" w:eastAsia="宋体" w:cs="宋体"/>
          <w:szCs w:val="24"/>
          <w:highlight w:val="none"/>
          <w:u w:val="single"/>
        </w:rPr>
        <w:fldChar w:fldCharType="begin"/>
      </w:r>
      <w:r>
        <w:rPr>
          <w:rFonts w:hint="eastAsia" w:ascii="宋体" w:hAnsi="宋体" w:eastAsia="宋体" w:cs="宋体"/>
          <w:szCs w:val="24"/>
          <w:highlight w:val="none"/>
          <w:u w:val="single"/>
        </w:rPr>
        <w:instrText xml:space="preserve"> HYPERLINK \l "_Toc491780522" </w:instrText>
      </w:r>
      <w:r>
        <w:rPr>
          <w:rFonts w:hint="eastAsia" w:ascii="宋体" w:hAnsi="宋体" w:eastAsia="宋体" w:cs="宋体"/>
          <w:szCs w:val="24"/>
          <w:highlight w:val="none"/>
          <w:u w:val="single"/>
        </w:rPr>
        <w:fldChar w:fldCharType="separate"/>
      </w:r>
      <w:r>
        <w:rPr>
          <w:rFonts w:hint="eastAsia" w:ascii="宋体" w:hAnsi="宋体" w:eastAsia="宋体" w:cs="宋体"/>
          <w:spacing w:val="0"/>
          <w:szCs w:val="24"/>
          <w:highlight w:val="none"/>
          <w:u w:val="single"/>
          <w:lang w:eastAsia="zh-CN"/>
        </w:rPr>
        <w:t>陶山服务区物业项目</w:t>
      </w:r>
      <w:r>
        <w:rPr>
          <w:rFonts w:hint="eastAsia" w:ascii="宋体" w:hAnsi="宋体" w:eastAsia="宋体" w:cs="宋体"/>
          <w:spacing w:val="0"/>
          <w:szCs w:val="24"/>
          <w:highlight w:val="none"/>
          <w:u w:val="single"/>
          <w:lang w:val="en-US" w:eastAsia="zh-CN"/>
        </w:rPr>
        <w:t>项目</w:t>
      </w:r>
      <w:r>
        <w:rPr>
          <w:rFonts w:hint="eastAsia" w:ascii="宋体" w:hAnsi="宋体" w:eastAsia="宋体" w:cs="宋体"/>
          <w:spacing w:val="0"/>
          <w:szCs w:val="24"/>
          <w:highlight w:val="none"/>
          <w:u w:val="single"/>
        </w:rPr>
        <w:t>征求意见公示</w:t>
      </w:r>
      <w:r>
        <w:rPr>
          <w:rFonts w:hint="eastAsia" w:ascii="宋体" w:hAnsi="宋体" w:eastAsia="宋体" w:cs="宋体"/>
          <w:spacing w:val="0"/>
          <w:szCs w:val="24"/>
          <w:highlight w:val="none"/>
          <w:u w:val="single"/>
        </w:rPr>
        <w:tab/>
      </w:r>
      <w:r>
        <w:rPr>
          <w:rFonts w:hint="eastAsia" w:ascii="宋体" w:hAnsi="宋体" w:eastAsia="宋体" w:cs="宋体"/>
          <w:spacing w:val="0"/>
          <w:szCs w:val="24"/>
          <w:highlight w:val="none"/>
          <w:u w:val="single"/>
        </w:rPr>
        <w:t>5</w:t>
      </w:r>
      <w:r>
        <w:rPr>
          <w:rFonts w:hint="eastAsia" w:ascii="宋体" w:hAnsi="宋体" w:eastAsia="宋体" w:cs="宋体"/>
          <w:spacing w:val="0"/>
          <w:szCs w:val="24"/>
          <w:highlight w:val="none"/>
          <w:u w:val="single"/>
        </w:rPr>
        <w:fldChar w:fldCharType="end"/>
      </w:r>
    </w:p>
    <w:p w14:paraId="33BF25BB">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14:paraId="518E09C7">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18</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14:paraId="69EDB00D">
      <w:pPr>
        <w:tabs>
          <w:tab w:val="right" w:leader="dot" w:pos="9660"/>
        </w:tabs>
        <w:spacing w:line="480" w:lineRule="auto"/>
        <w:rPr>
          <w:rFonts w:hint="default"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40</w:t>
      </w:r>
    </w:p>
    <w:p w14:paraId="62A01741">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59</w:t>
      </w:r>
    </w:p>
    <w:p w14:paraId="507C10C5">
      <w:pPr>
        <w:tabs>
          <w:tab w:val="right" w:leader="dot" w:pos="9660"/>
        </w:tabs>
        <w:spacing w:line="480" w:lineRule="auto"/>
        <w:rPr>
          <w:rFonts w:hint="eastAsia"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67</w:t>
      </w:r>
    </w:p>
    <w:p w14:paraId="44D68F92">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14:paraId="7C255563">
      <w:pPr>
        <w:jc w:val="center"/>
        <w:rPr>
          <w:rFonts w:hint="eastAsia" w:ascii="宋体" w:hAnsi="宋体" w:eastAsia="宋体" w:cs="宋体"/>
          <w:sz w:val="24"/>
          <w:highlight w:val="none"/>
        </w:rPr>
      </w:pPr>
      <w:bookmarkStart w:id="1" w:name="_Hlk10719563"/>
      <w:bookmarkStart w:id="2" w:name="_Hlk10921265"/>
      <w:r>
        <w:rPr>
          <w:rFonts w:hint="eastAsia" w:ascii="宋体" w:hAnsi="宋体" w:eastAsia="宋体" w:cs="宋体"/>
          <w:sz w:val="24"/>
          <w:szCs w:val="24"/>
          <w:highlight w:val="none"/>
        </w:rPr>
        <w:br w:type="page"/>
      </w:r>
      <w:bookmarkEnd w:id="1"/>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温州市高速公路资产经营有限公司关于陶山服务区物业项目</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的采购公告</w:t>
      </w:r>
    </w:p>
    <w:p w14:paraId="263F7404">
      <w:pPr>
        <w:jc w:val="center"/>
        <w:rPr>
          <w:rFonts w:hint="eastAsia" w:ascii="宋体" w:hAnsi="宋体" w:eastAsia="宋体" w:cs="宋体"/>
          <w:highlight w:val="none"/>
        </w:rPr>
      </w:pPr>
    </w:p>
    <w:p w14:paraId="24DE39A6">
      <w:pPr>
        <w:widowControl/>
        <w:spacing w:before="60" w:after="60"/>
        <w:ind w:right="60" w:firstLine="420" w:firstLineChars="200"/>
        <w:jc w:val="left"/>
        <w:rPr>
          <w:rFonts w:hint="eastAsia" w:ascii="宋体" w:hAnsi="宋体" w:eastAsia="宋体" w:cs="宋体"/>
          <w:color w:val="auto"/>
          <w:highlight w:val="none"/>
        </w:rPr>
      </w:pPr>
      <w:r>
        <w:rPr>
          <w:rFonts w:hint="eastAsia" w:ascii="宋体" w:hAnsi="宋体" w:eastAsia="宋体" w:cs="宋体"/>
          <w:highlight w:val="none"/>
        </w:rPr>
        <w:t>根据《温州市市属国有企业采购管理办法》</w:t>
      </w:r>
      <w:r>
        <w:rPr>
          <w:rFonts w:hint="eastAsia" w:ascii="宋体" w:hAnsi="宋体" w:eastAsia="宋体" w:cs="宋体"/>
          <w:color w:val="auto"/>
          <w:highlight w:val="none"/>
        </w:rPr>
        <w:t>（温国资委〔2024〕第51号）等有关规定，</w:t>
      </w:r>
      <w:r>
        <w:rPr>
          <w:rFonts w:hint="eastAsia" w:ascii="宋体" w:hAnsi="宋体" w:eastAsia="宋体" w:cs="宋体"/>
          <w:color w:val="auto"/>
          <w:highlight w:val="none"/>
          <w:lang w:eastAsia="zh-CN"/>
        </w:rPr>
        <w:t>浙江国际招投标有限公司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温州市高速公路资产经营有限公司</w:t>
      </w:r>
      <w:r>
        <w:rPr>
          <w:rFonts w:hint="eastAsia" w:ascii="宋体" w:hAnsi="宋体" w:eastAsia="宋体" w:cs="宋体"/>
          <w:color w:val="auto"/>
          <w:highlight w:val="none"/>
        </w:rPr>
        <w:t>的委托，就</w:t>
      </w:r>
      <w:r>
        <w:rPr>
          <w:rFonts w:hint="eastAsia" w:ascii="宋体" w:hAnsi="宋体" w:eastAsia="宋体" w:cs="宋体"/>
          <w:color w:val="auto"/>
          <w:highlight w:val="none"/>
          <w:lang w:eastAsia="zh-CN"/>
        </w:rPr>
        <w:t>陶山服务区物业项目</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以公开招标方式进行国企采购，欢迎国内合格的投标供应商前来投标。</w:t>
      </w:r>
    </w:p>
    <w:p w14:paraId="520EDD25">
      <w:pPr>
        <w:widowControl/>
        <w:spacing w:before="60" w:after="60"/>
        <w:ind w:right="60"/>
        <w:jc w:val="left"/>
        <w:rPr>
          <w:rFonts w:hint="eastAsia" w:ascii="宋体" w:hAnsi="宋体" w:eastAsia="宋体" w:cs="宋体"/>
          <w:bCs/>
          <w:color w:val="auto"/>
          <w:kern w:val="0"/>
          <w:szCs w:val="21"/>
          <w:highlight w:val="none"/>
          <w:lang w:eastAsia="zh-CN"/>
        </w:rPr>
      </w:pPr>
      <w:r>
        <w:rPr>
          <w:rFonts w:hint="eastAsia" w:ascii="宋体" w:hAnsi="宋体" w:eastAsia="宋体" w:cs="宋体"/>
          <w:b/>
          <w:bCs w:val="0"/>
          <w:color w:val="auto"/>
          <w:kern w:val="0"/>
          <w:szCs w:val="21"/>
          <w:highlight w:val="none"/>
          <w:lang w:val="en-US" w:eastAsia="zh-CN"/>
        </w:rPr>
        <w:t>一</w:t>
      </w:r>
      <w:r>
        <w:rPr>
          <w:rFonts w:hint="eastAsia" w:ascii="宋体" w:hAnsi="宋体" w:eastAsia="宋体" w:cs="宋体"/>
          <w:b/>
          <w:bCs w:val="0"/>
          <w:color w:val="auto"/>
          <w:kern w:val="0"/>
          <w:szCs w:val="21"/>
          <w:highlight w:val="none"/>
        </w:rPr>
        <w:t>、项目编号：</w:t>
      </w:r>
      <w:r>
        <w:rPr>
          <w:rFonts w:hint="eastAsia" w:ascii="宋体" w:hAnsi="宋体" w:eastAsia="宋体" w:cs="宋体"/>
          <w:bCs/>
          <w:color w:val="auto"/>
          <w:kern w:val="0"/>
          <w:szCs w:val="21"/>
          <w:highlight w:val="none"/>
          <w:lang w:eastAsia="zh-CN"/>
        </w:rPr>
        <w:t>WGSS-JFJT-X-2024008</w:t>
      </w:r>
    </w:p>
    <w:p w14:paraId="50CDC20E">
      <w:pPr>
        <w:widowControl/>
        <w:spacing w:before="60" w:after="60"/>
        <w:ind w:right="60"/>
        <w:jc w:val="left"/>
        <w:rPr>
          <w:rFonts w:hint="eastAsia" w:ascii="宋体" w:hAnsi="宋体" w:eastAsia="宋体" w:cs="宋体"/>
          <w:b w:val="0"/>
          <w:bCs/>
          <w:color w:val="auto"/>
          <w:kern w:val="0"/>
          <w:szCs w:val="21"/>
          <w:highlight w:val="none"/>
          <w:lang w:eastAsia="zh-CN"/>
        </w:rPr>
      </w:pPr>
      <w:r>
        <w:rPr>
          <w:rFonts w:hint="eastAsia" w:ascii="宋体" w:hAnsi="宋体" w:eastAsia="宋体" w:cs="宋体"/>
          <w:b/>
          <w:bCs w:val="0"/>
          <w:color w:val="auto"/>
          <w:kern w:val="0"/>
          <w:szCs w:val="21"/>
          <w:highlight w:val="none"/>
          <w:lang w:val="en-US" w:eastAsia="zh-CN"/>
        </w:rPr>
        <w:t>二</w:t>
      </w:r>
      <w:r>
        <w:rPr>
          <w:rFonts w:hint="eastAsia" w:ascii="宋体" w:hAnsi="宋体" w:eastAsia="宋体" w:cs="宋体"/>
          <w:b/>
          <w:bCs w:val="0"/>
          <w:color w:val="auto"/>
          <w:kern w:val="0"/>
          <w:szCs w:val="21"/>
          <w:highlight w:val="none"/>
        </w:rPr>
        <w:t>、项目名称：</w:t>
      </w:r>
      <w:r>
        <w:rPr>
          <w:rFonts w:hint="eastAsia" w:ascii="宋体" w:hAnsi="宋体" w:eastAsia="宋体" w:cs="宋体"/>
          <w:b w:val="0"/>
          <w:bCs/>
          <w:color w:val="auto"/>
          <w:kern w:val="0"/>
          <w:szCs w:val="21"/>
          <w:highlight w:val="none"/>
        </w:rPr>
        <w:t>陶山服务区物业项目</w:t>
      </w:r>
    </w:p>
    <w:p w14:paraId="05A12544">
      <w:pPr>
        <w:widowControl/>
        <w:spacing w:before="60" w:after="60"/>
        <w:ind w:right="60"/>
        <w:jc w:val="left"/>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val="en-US" w:eastAsia="zh-CN"/>
        </w:rPr>
        <w:t>三</w:t>
      </w:r>
      <w:r>
        <w:rPr>
          <w:rFonts w:hint="eastAsia" w:ascii="宋体" w:hAnsi="宋体" w:eastAsia="宋体" w:cs="宋体"/>
          <w:b/>
          <w:bCs w:val="0"/>
          <w:color w:val="auto"/>
          <w:kern w:val="0"/>
          <w:szCs w:val="21"/>
          <w:highlight w:val="none"/>
        </w:rPr>
        <w:t>、采购性质：</w:t>
      </w:r>
      <w:r>
        <w:rPr>
          <w:rFonts w:hint="eastAsia" w:ascii="宋体" w:hAnsi="宋体" w:eastAsia="宋体" w:cs="宋体"/>
          <w:bCs/>
          <w:color w:val="auto"/>
          <w:kern w:val="0"/>
          <w:szCs w:val="21"/>
          <w:highlight w:val="none"/>
        </w:rPr>
        <w:t>国企采购（非政府采购）</w:t>
      </w:r>
    </w:p>
    <w:p w14:paraId="46FB2736">
      <w:pPr>
        <w:widowControl/>
        <w:spacing w:before="60" w:after="60"/>
        <w:ind w:right="60"/>
        <w:jc w:val="left"/>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val="en-US" w:eastAsia="zh-CN"/>
        </w:rPr>
        <w:t>四</w:t>
      </w:r>
      <w:r>
        <w:rPr>
          <w:rFonts w:hint="eastAsia" w:ascii="宋体" w:hAnsi="宋体" w:eastAsia="宋体" w:cs="宋体"/>
          <w:b/>
          <w:bCs w:val="0"/>
          <w:color w:val="auto"/>
          <w:kern w:val="0"/>
          <w:szCs w:val="21"/>
          <w:highlight w:val="none"/>
        </w:rPr>
        <w:t>、预算金额：</w:t>
      </w:r>
      <w:r>
        <w:rPr>
          <w:rFonts w:hint="eastAsia" w:ascii="宋体" w:hAnsi="宋体" w:eastAsia="宋体" w:cs="宋体"/>
          <w:bCs/>
          <w:color w:val="auto"/>
          <w:kern w:val="0"/>
          <w:szCs w:val="21"/>
          <w:highlight w:val="none"/>
        </w:rPr>
        <w:t>人民币</w:t>
      </w:r>
      <w:r>
        <w:rPr>
          <w:rFonts w:hint="eastAsia" w:ascii="宋体" w:hAnsi="宋体" w:eastAsia="宋体" w:cs="宋体"/>
          <w:bCs/>
          <w:color w:val="auto"/>
          <w:kern w:val="0"/>
          <w:szCs w:val="21"/>
          <w:highlight w:val="none"/>
          <w:lang w:val="en-US" w:eastAsia="zh-CN"/>
        </w:rPr>
        <w:t>384</w:t>
      </w:r>
      <w:r>
        <w:rPr>
          <w:rFonts w:hint="eastAsia" w:ascii="宋体" w:hAnsi="宋体" w:eastAsia="宋体" w:cs="宋体"/>
          <w:bCs/>
          <w:color w:val="auto"/>
          <w:kern w:val="0"/>
          <w:szCs w:val="21"/>
          <w:highlight w:val="none"/>
        </w:rPr>
        <w:t>万元</w:t>
      </w:r>
    </w:p>
    <w:p w14:paraId="5A179513">
      <w:pPr>
        <w:widowControl/>
        <w:spacing w:before="60" w:after="60"/>
        <w:ind w:right="60"/>
        <w:jc w:val="left"/>
        <w:rPr>
          <w:rFonts w:hint="eastAsia" w:ascii="宋体" w:hAnsi="宋体" w:eastAsia="宋体" w:cs="宋体"/>
          <w:b/>
          <w:bCs w:val="0"/>
          <w:color w:val="auto"/>
          <w:highlight w:val="none"/>
        </w:rPr>
      </w:pPr>
      <w:r>
        <w:rPr>
          <w:rFonts w:hint="eastAsia" w:ascii="宋体" w:hAnsi="宋体" w:eastAsia="宋体" w:cs="宋体"/>
          <w:b/>
          <w:bCs w:val="0"/>
          <w:color w:val="auto"/>
          <w:kern w:val="0"/>
          <w:szCs w:val="21"/>
          <w:highlight w:val="none"/>
          <w:lang w:val="en-US" w:eastAsia="zh-CN"/>
        </w:rPr>
        <w:t>五</w:t>
      </w:r>
      <w:r>
        <w:rPr>
          <w:rFonts w:hint="eastAsia" w:ascii="宋体" w:hAnsi="宋体" w:eastAsia="宋体" w:cs="宋体"/>
          <w:b/>
          <w:bCs w:val="0"/>
          <w:color w:val="auto"/>
          <w:kern w:val="0"/>
          <w:szCs w:val="21"/>
          <w:highlight w:val="none"/>
        </w:rPr>
        <w:t>、采购内容（具体采购内容及详细技术要求见采购文件相关部分）：</w:t>
      </w:r>
    </w:p>
    <w:tbl>
      <w:tblPr>
        <w:tblStyle w:val="25"/>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242"/>
        <w:gridCol w:w="621"/>
        <w:gridCol w:w="653"/>
        <w:gridCol w:w="1105"/>
        <w:gridCol w:w="4863"/>
      </w:tblGrid>
      <w:tr w14:paraId="70D6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dxa"/>
            <w:tcMar>
              <w:top w:w="0" w:type="dxa"/>
              <w:left w:w="108" w:type="dxa"/>
              <w:bottom w:w="0" w:type="dxa"/>
              <w:right w:w="108" w:type="dxa"/>
            </w:tcMar>
            <w:vAlign w:val="center"/>
          </w:tcPr>
          <w:p w14:paraId="27B1EFBD">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1242" w:type="dxa"/>
            <w:tcMar>
              <w:top w:w="0" w:type="dxa"/>
              <w:left w:w="108" w:type="dxa"/>
              <w:bottom w:w="0" w:type="dxa"/>
              <w:right w:w="108" w:type="dxa"/>
            </w:tcMar>
            <w:vAlign w:val="center"/>
          </w:tcPr>
          <w:p w14:paraId="37BC203F">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标项内容</w:t>
            </w:r>
          </w:p>
        </w:tc>
        <w:tc>
          <w:tcPr>
            <w:tcW w:w="621" w:type="dxa"/>
            <w:tcMar>
              <w:top w:w="0" w:type="dxa"/>
              <w:left w:w="108" w:type="dxa"/>
              <w:bottom w:w="0" w:type="dxa"/>
              <w:right w:w="108" w:type="dxa"/>
            </w:tcMar>
            <w:vAlign w:val="center"/>
          </w:tcPr>
          <w:p w14:paraId="0AA54D44">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数量</w:t>
            </w:r>
          </w:p>
        </w:tc>
        <w:tc>
          <w:tcPr>
            <w:tcW w:w="653" w:type="dxa"/>
            <w:tcMar>
              <w:top w:w="0" w:type="dxa"/>
              <w:left w:w="108" w:type="dxa"/>
              <w:bottom w:w="0" w:type="dxa"/>
              <w:right w:w="108" w:type="dxa"/>
            </w:tcMar>
            <w:vAlign w:val="center"/>
          </w:tcPr>
          <w:p w14:paraId="02365DB3">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单位</w:t>
            </w:r>
          </w:p>
        </w:tc>
        <w:tc>
          <w:tcPr>
            <w:tcW w:w="1105" w:type="dxa"/>
            <w:tcMar>
              <w:top w:w="0" w:type="dxa"/>
              <w:left w:w="108" w:type="dxa"/>
              <w:bottom w:w="0" w:type="dxa"/>
              <w:right w:w="108" w:type="dxa"/>
            </w:tcMar>
            <w:vAlign w:val="center"/>
          </w:tcPr>
          <w:p w14:paraId="5850DC2C">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预算金额(万元)</w:t>
            </w:r>
          </w:p>
        </w:tc>
        <w:tc>
          <w:tcPr>
            <w:tcW w:w="4863" w:type="dxa"/>
            <w:tcMar>
              <w:top w:w="0" w:type="dxa"/>
              <w:left w:w="108" w:type="dxa"/>
              <w:bottom w:w="0" w:type="dxa"/>
              <w:right w:w="108" w:type="dxa"/>
            </w:tcMar>
            <w:vAlign w:val="center"/>
          </w:tcPr>
          <w:p w14:paraId="299F5734">
            <w:pPr>
              <w:widowControl/>
              <w:spacing w:before="60" w:after="60" w:line="240" w:lineRule="exact"/>
              <w:ind w:left="60" w:right="6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简要技术要求、用途</w:t>
            </w:r>
          </w:p>
        </w:tc>
      </w:tr>
      <w:tr w14:paraId="6624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dxa"/>
            <w:tcMar>
              <w:top w:w="0" w:type="dxa"/>
              <w:left w:w="108" w:type="dxa"/>
              <w:bottom w:w="0" w:type="dxa"/>
              <w:right w:w="108" w:type="dxa"/>
            </w:tcMar>
            <w:vAlign w:val="center"/>
          </w:tcPr>
          <w:p w14:paraId="4273EE55">
            <w:pPr>
              <w:widowControl/>
              <w:spacing w:before="60" w:after="60" w:line="240" w:lineRule="exac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1242" w:type="dxa"/>
            <w:tcMar>
              <w:top w:w="0" w:type="dxa"/>
              <w:left w:w="108" w:type="dxa"/>
              <w:bottom w:w="0" w:type="dxa"/>
              <w:right w:w="108" w:type="dxa"/>
            </w:tcMar>
            <w:vAlign w:val="center"/>
          </w:tcPr>
          <w:p w14:paraId="6D888C46">
            <w:pPr>
              <w:widowControl/>
              <w:spacing w:before="60" w:after="60" w:line="240" w:lineRule="exact"/>
              <w:jc w:val="center"/>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lang w:eastAsia="zh-CN"/>
              </w:rPr>
              <w:t>陶山服务区物业项目</w:t>
            </w:r>
          </w:p>
        </w:tc>
        <w:tc>
          <w:tcPr>
            <w:tcW w:w="621" w:type="dxa"/>
            <w:tcMar>
              <w:top w:w="0" w:type="dxa"/>
              <w:left w:w="108" w:type="dxa"/>
              <w:bottom w:w="0" w:type="dxa"/>
              <w:right w:w="108" w:type="dxa"/>
            </w:tcMar>
            <w:vAlign w:val="center"/>
          </w:tcPr>
          <w:p w14:paraId="338E1549">
            <w:pPr>
              <w:widowControl/>
              <w:spacing w:before="60" w:after="60" w:line="240" w:lineRule="exac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653" w:type="dxa"/>
            <w:tcMar>
              <w:top w:w="0" w:type="dxa"/>
              <w:left w:w="108" w:type="dxa"/>
              <w:bottom w:w="0" w:type="dxa"/>
              <w:right w:w="108" w:type="dxa"/>
            </w:tcMar>
            <w:vAlign w:val="center"/>
          </w:tcPr>
          <w:p w14:paraId="78E4B9A4">
            <w:pPr>
              <w:widowControl/>
              <w:spacing w:before="60" w:after="60" w:line="24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项</w:t>
            </w:r>
          </w:p>
        </w:tc>
        <w:tc>
          <w:tcPr>
            <w:tcW w:w="1105" w:type="dxa"/>
            <w:tcMar>
              <w:top w:w="0" w:type="dxa"/>
              <w:left w:w="108" w:type="dxa"/>
              <w:bottom w:w="0" w:type="dxa"/>
              <w:right w:w="108" w:type="dxa"/>
            </w:tcMar>
            <w:vAlign w:val="center"/>
          </w:tcPr>
          <w:p w14:paraId="46390BD0">
            <w:pPr>
              <w:widowControl/>
              <w:spacing w:before="60" w:after="60" w:line="240" w:lineRule="exact"/>
              <w:jc w:val="center"/>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384</w:t>
            </w:r>
          </w:p>
        </w:tc>
        <w:tc>
          <w:tcPr>
            <w:tcW w:w="4863" w:type="dxa"/>
            <w:tcMar>
              <w:top w:w="0" w:type="dxa"/>
              <w:left w:w="108" w:type="dxa"/>
              <w:bottom w:w="0" w:type="dxa"/>
              <w:right w:w="108" w:type="dxa"/>
            </w:tcMar>
            <w:vAlign w:val="center"/>
          </w:tcPr>
          <w:p w14:paraId="734036AC">
            <w:pPr>
              <w:widowControl/>
              <w:spacing w:before="60" w:after="60" w:line="240" w:lineRule="exac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lang w:eastAsia="zh-CN"/>
              </w:rPr>
              <w:t>陶山服务区物业项目</w:t>
            </w:r>
            <w:r>
              <w:rPr>
                <w:rFonts w:hint="eastAsia" w:ascii="宋体" w:hAnsi="宋体" w:eastAsia="宋体" w:cs="宋体"/>
                <w:color w:val="auto"/>
                <w:sz w:val="18"/>
                <w:szCs w:val="18"/>
                <w:highlight w:val="none"/>
              </w:rPr>
              <w:t>，服务内容包括陶山服务区物业服务</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kern w:val="0"/>
                <w:sz w:val="18"/>
                <w:szCs w:val="18"/>
                <w:highlight w:val="none"/>
                <w:lang w:eastAsia="zh-CN"/>
              </w:rPr>
              <w:t>瓯江红·畅美高速”党群服务中心物业服务</w:t>
            </w:r>
            <w:r>
              <w:rPr>
                <w:rFonts w:hint="eastAsia" w:ascii="宋体" w:hAnsi="宋体" w:eastAsia="宋体" w:cs="宋体"/>
                <w:bCs/>
                <w:color w:val="auto"/>
                <w:kern w:val="0"/>
                <w:sz w:val="18"/>
                <w:szCs w:val="18"/>
                <w:highlight w:val="none"/>
                <w:lang w:val="en-US" w:eastAsia="zh-CN"/>
              </w:rPr>
              <w:t>两部分</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采购</w:t>
            </w:r>
            <w:r>
              <w:rPr>
                <w:rFonts w:hint="eastAsia" w:ascii="宋体" w:hAnsi="宋体" w:eastAsia="宋体" w:cs="宋体"/>
                <w:color w:val="auto"/>
                <w:sz w:val="18"/>
                <w:szCs w:val="18"/>
                <w:highlight w:val="none"/>
              </w:rPr>
              <w:t>内容及详细技术要求见采购文件相关部分。</w:t>
            </w:r>
          </w:p>
        </w:tc>
      </w:tr>
    </w:tbl>
    <w:p w14:paraId="7F385308">
      <w:pPr>
        <w:widowControl/>
        <w:spacing w:before="60" w:after="60"/>
        <w:ind w:right="60"/>
        <w:jc w:val="left"/>
        <w:rPr>
          <w:rFonts w:hint="eastAsia" w:ascii="宋体" w:hAnsi="宋体" w:eastAsia="宋体" w:cs="宋体"/>
          <w:b/>
          <w:bCs w:val="0"/>
          <w:kern w:val="0"/>
          <w:szCs w:val="21"/>
          <w:highlight w:val="none"/>
        </w:rPr>
      </w:pPr>
      <w:bookmarkStart w:id="3" w:name="B09_招标内容"/>
      <w:bookmarkEnd w:id="3"/>
      <w:r>
        <w:rPr>
          <w:rFonts w:hint="eastAsia" w:ascii="宋体" w:hAnsi="宋体" w:eastAsia="宋体" w:cs="宋体"/>
          <w:b/>
          <w:bCs w:val="0"/>
          <w:kern w:val="0"/>
          <w:szCs w:val="21"/>
          <w:highlight w:val="none"/>
          <w:lang w:val="en-US" w:eastAsia="zh-CN"/>
        </w:rPr>
        <w:t>六</w:t>
      </w:r>
      <w:r>
        <w:rPr>
          <w:rFonts w:hint="eastAsia" w:ascii="宋体" w:hAnsi="宋体" w:eastAsia="宋体" w:cs="宋体"/>
          <w:b/>
          <w:bCs w:val="0"/>
          <w:kern w:val="0"/>
          <w:szCs w:val="21"/>
          <w:highlight w:val="none"/>
        </w:rPr>
        <w:t>、投标供应商资格要求：</w:t>
      </w:r>
    </w:p>
    <w:p w14:paraId="7919E45E">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1、符合《温州市市属国有企业采购管理办法》（温国资委〔2024〕第51号）第十</w:t>
      </w:r>
      <w:r>
        <w:rPr>
          <w:rFonts w:hint="eastAsia" w:ascii="宋体" w:hAnsi="宋体" w:eastAsia="宋体" w:cs="宋体"/>
          <w:kern w:val="0"/>
          <w:szCs w:val="21"/>
          <w:highlight w:val="none"/>
          <w:lang w:val="en-US" w:eastAsia="zh-CN"/>
        </w:rPr>
        <w:t>八</w:t>
      </w:r>
      <w:r>
        <w:rPr>
          <w:rFonts w:hint="eastAsia" w:ascii="宋体" w:hAnsi="宋体" w:eastAsia="宋体" w:cs="宋体"/>
          <w:kern w:val="0"/>
          <w:szCs w:val="21"/>
          <w:highlight w:val="none"/>
        </w:rPr>
        <w:t>条对投标供应商参加温州市国有企业采购活动应当具备的基本资格条件；</w:t>
      </w:r>
    </w:p>
    <w:p w14:paraId="1A716A29">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color w:val="auto"/>
          <w:kern w:val="0"/>
          <w:szCs w:val="21"/>
          <w:highlight w:val="none"/>
          <w:lang w:val="en-US" w:eastAsia="zh-CN"/>
        </w:rPr>
        <w:t>至本项目投标截止前未被列入“信用中国”网站(www.creditchina.gov.cn)“记录失信被执行人或重大税收违法案件当事人名单”记录名单</w:t>
      </w:r>
      <w:r>
        <w:rPr>
          <w:rFonts w:hint="eastAsia" w:ascii="宋体" w:hAnsi="宋体" w:eastAsia="宋体" w:cs="宋体"/>
          <w:szCs w:val="21"/>
          <w:highlight w:val="none"/>
        </w:rPr>
        <w:t>；</w:t>
      </w:r>
    </w:p>
    <w:p w14:paraId="4213A0EA">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、单位负责人为同一人或者存在直接控股、管理关系的不同供应商，不得同时参加本项目投标活动；</w:t>
      </w:r>
    </w:p>
    <w:p w14:paraId="264A422F">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14:paraId="5C26F4A6">
      <w:pPr>
        <w:widowControl/>
        <w:spacing w:before="60" w:after="60"/>
        <w:ind w:right="60"/>
        <w:jc w:val="left"/>
        <w:rPr>
          <w:rFonts w:hint="eastAsia" w:ascii="宋体" w:hAnsi="宋体" w:eastAsia="宋体" w:cs="宋体"/>
          <w:b/>
          <w:bCs w:val="0"/>
          <w:kern w:val="0"/>
          <w:szCs w:val="21"/>
          <w:highlight w:val="none"/>
        </w:rPr>
      </w:pPr>
      <w:r>
        <w:rPr>
          <w:rFonts w:hint="eastAsia" w:ascii="宋体" w:hAnsi="宋体" w:eastAsia="宋体" w:cs="宋体"/>
          <w:b/>
          <w:bCs w:val="0"/>
          <w:kern w:val="0"/>
          <w:szCs w:val="21"/>
          <w:highlight w:val="none"/>
          <w:lang w:val="en-US" w:eastAsia="zh-CN"/>
        </w:rPr>
        <w:t>七</w:t>
      </w:r>
      <w:r>
        <w:rPr>
          <w:rFonts w:hint="eastAsia" w:ascii="宋体" w:hAnsi="宋体" w:eastAsia="宋体" w:cs="宋体"/>
          <w:b/>
          <w:bCs w:val="0"/>
          <w:kern w:val="0"/>
          <w:szCs w:val="21"/>
          <w:highlight w:val="none"/>
        </w:rPr>
        <w:t>、发售采购文件时间及地点：</w:t>
      </w:r>
    </w:p>
    <w:p w14:paraId="328E2637">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1.报名时间及采购文件发售时间：公告发布之日起至投标截止时间止（上午08：30-11：30，下午14：30-17：00，节假日除外，未购买采购文件的潜在投标供应商拒绝参加投标）。</w:t>
      </w:r>
    </w:p>
    <w:p w14:paraId="19F9AF23">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2.购领采购文件地点：乐采云平台</w:t>
      </w:r>
    </w:p>
    <w:p w14:paraId="6A6E5DDB">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3.采购文件售价：人民币500元整（售后不退）</w:t>
      </w:r>
    </w:p>
    <w:p w14:paraId="5824AB7C">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4.报名方式、购买标书及注意事项：</w:t>
      </w:r>
    </w:p>
    <w:p w14:paraId="6DCE67B3">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网上报名（乐采云报名）：请供应商登录乐采云平台（https://www.lecaiyun.com），进入“乐采云”平台进行注册并报名（未注册的供应商请尽早注册，客服电话：95763）。操作路径：乐采云平台-登录-项目采购-获取采购文件-申请获取采购文件。网上报名后，请将标书购买费汇入代理公司账户（缴纳报名费后将缴费截图、可以拷贝的开票信息等资料发代理机构电子邮箱1826066763@qq.com，并马上联系采购代理公司审核），标书款汇入账户信息：</w:t>
      </w:r>
    </w:p>
    <w:p w14:paraId="4854B294">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单位名称：浙江国际招投标有限公司</w:t>
      </w:r>
    </w:p>
    <w:p w14:paraId="628FB9FA">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开户银行：工商银行杭州市武林支行</w:t>
      </w:r>
    </w:p>
    <w:p w14:paraId="24FF1F48">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账    号：1202021209906782015</w:t>
      </w:r>
    </w:p>
    <w:p w14:paraId="5B86F611">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提示：仅需浏览采购文件的供应商可点击“游客，浏览采购文件”直接下载采购文件浏览，供应商只有在“乐采云平台”完成获取采购文件申请并下载了采购文件后才视作依法获取采购文件（法律法规所指的供应商获取采购文件时间以供应商完成获取采购文件申请后下载采购文件的时间为准）。</w:t>
      </w:r>
    </w:p>
    <w:p w14:paraId="0F333922">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注：请供应商按上述要求获取采购文件，如未在“乐采云”系统内完成相关流程，引起的投标无效责任自负。</w:t>
      </w:r>
    </w:p>
    <w:p w14:paraId="1CA7782D">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5.标供应商获取采购文件时须提交的文件资料：</w:t>
      </w:r>
      <w:r>
        <w:rPr>
          <w:rFonts w:hint="eastAsia" w:ascii="宋体" w:hAnsi="宋体" w:eastAsia="宋体" w:cs="宋体"/>
          <w:szCs w:val="21"/>
          <w:highlight w:val="none"/>
          <w:lang w:eastAsia="zh-CN"/>
        </w:rPr>
        <w:t>无</w:t>
      </w:r>
      <w:r>
        <w:rPr>
          <w:rFonts w:hint="eastAsia" w:ascii="宋体" w:hAnsi="宋体" w:eastAsia="宋体" w:cs="宋体"/>
          <w:szCs w:val="21"/>
          <w:highlight w:val="none"/>
        </w:rPr>
        <w:t>。</w:t>
      </w:r>
    </w:p>
    <w:p w14:paraId="4B685622">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
          <w:bCs w:val="0"/>
          <w:kern w:val="0"/>
          <w:szCs w:val="21"/>
          <w:highlight w:val="none"/>
          <w:lang w:val="en-US" w:eastAsia="zh-CN"/>
        </w:rPr>
        <w:t>八</w:t>
      </w:r>
      <w:r>
        <w:rPr>
          <w:rFonts w:hint="eastAsia" w:ascii="宋体" w:hAnsi="宋体" w:eastAsia="宋体" w:cs="宋体"/>
          <w:b/>
          <w:bCs w:val="0"/>
          <w:kern w:val="0"/>
          <w:szCs w:val="21"/>
          <w:highlight w:val="none"/>
        </w:rPr>
        <w:t>、投标截止时间：</w:t>
      </w:r>
      <w:bookmarkStart w:id="4" w:name="B23_谈判响应文件提交截止日期"/>
      <w:bookmarkEnd w:id="4"/>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11</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13</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14</w:t>
      </w:r>
      <w:r>
        <w:rPr>
          <w:rFonts w:hint="eastAsia" w:ascii="宋体" w:hAnsi="宋体" w:eastAsia="宋体" w:cs="宋体"/>
          <w:bCs/>
          <w:color w:val="0000FF"/>
          <w:kern w:val="0"/>
          <w:szCs w:val="21"/>
          <w:highlight w:val="none"/>
        </w:rPr>
        <w:t>时30分</w:t>
      </w:r>
      <w:r>
        <w:rPr>
          <w:rFonts w:hint="eastAsia" w:ascii="宋体" w:hAnsi="宋体" w:eastAsia="宋体" w:cs="宋体"/>
          <w:bCs/>
          <w:color w:val="auto"/>
          <w:kern w:val="0"/>
          <w:szCs w:val="21"/>
          <w:highlight w:val="none"/>
        </w:rPr>
        <w:t>(北京时间，下同)。</w:t>
      </w:r>
    </w:p>
    <w:p w14:paraId="5B72B2D6">
      <w:pPr>
        <w:widowControl/>
        <w:spacing w:before="60" w:after="60"/>
        <w:ind w:left="578" w:leftChars="29" w:right="60" w:hanging="517" w:hangingChars="245"/>
        <w:jc w:val="left"/>
        <w:rPr>
          <w:rFonts w:hint="eastAsia" w:ascii="宋体" w:hAnsi="宋体" w:eastAsia="宋体" w:cs="宋体"/>
          <w:bCs/>
          <w:kern w:val="0"/>
          <w:szCs w:val="21"/>
          <w:highlight w:val="none"/>
        </w:rPr>
      </w:pPr>
      <w:r>
        <w:rPr>
          <w:rFonts w:hint="eastAsia" w:ascii="宋体" w:hAnsi="宋体" w:eastAsia="宋体" w:cs="宋体"/>
          <w:b/>
          <w:bCs w:val="0"/>
          <w:kern w:val="0"/>
          <w:szCs w:val="21"/>
          <w:highlight w:val="none"/>
          <w:lang w:val="en-US" w:eastAsia="zh-CN"/>
        </w:rPr>
        <w:t>九</w:t>
      </w:r>
      <w:r>
        <w:rPr>
          <w:rFonts w:hint="eastAsia" w:ascii="宋体" w:hAnsi="宋体" w:eastAsia="宋体" w:cs="宋体"/>
          <w:b/>
          <w:bCs w:val="0"/>
          <w:kern w:val="0"/>
          <w:szCs w:val="21"/>
          <w:highlight w:val="none"/>
        </w:rPr>
        <w:t>、投标文件提交地点：</w:t>
      </w:r>
      <w:r>
        <w:rPr>
          <w:rFonts w:hint="eastAsia" w:ascii="宋体" w:hAnsi="宋体" w:eastAsia="宋体" w:cs="宋体"/>
          <w:bCs/>
          <w:kern w:val="0"/>
          <w:szCs w:val="21"/>
          <w:highlight w:val="none"/>
        </w:rPr>
        <w:t>温州市政务服务管理中心收标区 (温州市鹿城区会展路1268号温州市民中心A座3楼公共资源交易专区)（详见当天大厅大屏幕）。</w:t>
      </w:r>
    </w:p>
    <w:p w14:paraId="51169A82">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
          <w:bCs w:val="0"/>
          <w:kern w:val="0"/>
          <w:szCs w:val="21"/>
          <w:highlight w:val="none"/>
        </w:rPr>
        <w:t>十、开标时间：</w:t>
      </w:r>
      <w:bookmarkStart w:id="5" w:name="B26_谈判时间日期"/>
      <w:bookmarkEnd w:id="5"/>
      <w:r>
        <w:rPr>
          <w:rFonts w:hint="eastAsia" w:ascii="宋体" w:hAnsi="宋体" w:eastAsia="宋体" w:cs="宋体"/>
          <w:bCs/>
          <w:kern w:val="0"/>
          <w:szCs w:val="21"/>
          <w:highlight w:val="none"/>
        </w:rPr>
        <w:t>同投标截止时间。</w:t>
      </w:r>
    </w:p>
    <w:p w14:paraId="7CE3D796">
      <w:pPr>
        <w:widowControl/>
        <w:spacing w:before="60" w:after="60"/>
        <w:ind w:left="578" w:leftChars="29" w:right="60" w:hanging="517" w:hangingChars="245"/>
        <w:jc w:val="left"/>
        <w:rPr>
          <w:rFonts w:hint="eastAsia" w:ascii="宋体" w:hAnsi="宋体" w:eastAsia="宋体" w:cs="宋体"/>
          <w:szCs w:val="21"/>
          <w:highlight w:val="none"/>
          <w:shd w:val="clear" w:color="auto" w:fill="FFFFFF"/>
        </w:rPr>
      </w:pPr>
      <w:r>
        <w:rPr>
          <w:rFonts w:hint="eastAsia" w:ascii="宋体" w:hAnsi="宋体" w:eastAsia="宋体" w:cs="宋体"/>
          <w:b/>
          <w:bCs w:val="0"/>
          <w:kern w:val="0"/>
          <w:szCs w:val="21"/>
          <w:highlight w:val="none"/>
        </w:rPr>
        <w:t>十</w:t>
      </w:r>
      <w:r>
        <w:rPr>
          <w:rFonts w:hint="eastAsia" w:ascii="宋体" w:hAnsi="宋体" w:eastAsia="宋体" w:cs="宋体"/>
          <w:b/>
          <w:bCs w:val="0"/>
          <w:kern w:val="0"/>
          <w:szCs w:val="21"/>
          <w:highlight w:val="none"/>
          <w:lang w:val="en-US" w:eastAsia="zh-CN"/>
        </w:rPr>
        <w:t>一</w:t>
      </w:r>
      <w:r>
        <w:rPr>
          <w:rFonts w:hint="eastAsia" w:ascii="宋体" w:hAnsi="宋体" w:eastAsia="宋体" w:cs="宋体"/>
          <w:b/>
          <w:bCs w:val="0"/>
          <w:kern w:val="0"/>
          <w:szCs w:val="21"/>
          <w:highlight w:val="none"/>
        </w:rPr>
        <w:t>、开标地点：</w:t>
      </w:r>
      <w:r>
        <w:rPr>
          <w:rFonts w:hint="eastAsia" w:ascii="宋体" w:hAnsi="宋体" w:eastAsia="宋体" w:cs="宋体"/>
          <w:kern w:val="0"/>
          <w:szCs w:val="21"/>
          <w:highlight w:val="none"/>
        </w:rPr>
        <w:t>温州市政务服务管理中心</w:t>
      </w:r>
      <w:r>
        <w:rPr>
          <w:rFonts w:hint="eastAsia" w:ascii="宋体" w:hAnsi="宋体" w:eastAsia="宋体" w:cs="宋体"/>
          <w:bCs/>
          <w:kern w:val="0"/>
          <w:szCs w:val="21"/>
          <w:highlight w:val="none"/>
        </w:rPr>
        <w:t>开标区</w:t>
      </w:r>
      <w:r>
        <w:rPr>
          <w:rFonts w:hint="eastAsia" w:ascii="宋体" w:hAnsi="宋体" w:eastAsia="宋体" w:cs="宋体"/>
          <w:szCs w:val="21"/>
          <w:highlight w:val="none"/>
          <w:shd w:val="clear" w:color="auto" w:fill="FFFFFF"/>
        </w:rPr>
        <w:t>。</w:t>
      </w:r>
    </w:p>
    <w:p w14:paraId="656D34E4">
      <w:pPr>
        <w:widowControl/>
        <w:spacing w:before="60" w:after="60"/>
        <w:ind w:left="60" w:right="60"/>
        <w:jc w:val="left"/>
        <w:rPr>
          <w:rFonts w:hint="eastAsia" w:ascii="宋体" w:hAnsi="宋体" w:eastAsia="宋体" w:cs="宋体"/>
          <w:b/>
          <w:bCs w:val="0"/>
          <w:kern w:val="0"/>
          <w:szCs w:val="21"/>
          <w:highlight w:val="none"/>
        </w:rPr>
      </w:pPr>
      <w:r>
        <w:rPr>
          <w:rFonts w:hint="eastAsia" w:ascii="宋体" w:hAnsi="宋体" w:eastAsia="宋体" w:cs="宋体"/>
          <w:b/>
          <w:bCs w:val="0"/>
          <w:kern w:val="0"/>
          <w:szCs w:val="21"/>
          <w:highlight w:val="none"/>
        </w:rPr>
        <w:t>十</w:t>
      </w:r>
      <w:r>
        <w:rPr>
          <w:rFonts w:hint="eastAsia" w:ascii="宋体" w:hAnsi="宋体" w:eastAsia="宋体" w:cs="宋体"/>
          <w:b/>
          <w:bCs w:val="0"/>
          <w:kern w:val="0"/>
          <w:szCs w:val="21"/>
          <w:highlight w:val="none"/>
          <w:lang w:val="en-US" w:eastAsia="zh-CN"/>
        </w:rPr>
        <w:t>二</w:t>
      </w:r>
      <w:r>
        <w:rPr>
          <w:rFonts w:hint="eastAsia" w:ascii="宋体" w:hAnsi="宋体" w:eastAsia="宋体" w:cs="宋体"/>
          <w:b/>
          <w:bCs w:val="0"/>
          <w:kern w:val="0"/>
          <w:szCs w:val="21"/>
          <w:highlight w:val="none"/>
        </w:rPr>
        <w:t>、投标保证金及交付方式：</w:t>
      </w:r>
    </w:p>
    <w:p w14:paraId="2384C120">
      <w:pPr>
        <w:widowControl/>
        <w:spacing w:before="60" w:after="60" w:line="280" w:lineRule="exact"/>
        <w:ind w:right="62" w:firstLine="420" w:firstLineChars="200"/>
        <w:jc w:val="left"/>
        <w:rPr>
          <w:rFonts w:hint="eastAsia" w:ascii="宋体" w:hAnsi="宋体" w:eastAsia="宋体" w:cs="宋体"/>
          <w:b/>
          <w:bCs/>
          <w:color w:val="auto"/>
          <w:kern w:val="0"/>
          <w:szCs w:val="21"/>
          <w:highlight w:val="none"/>
        </w:rPr>
      </w:pPr>
      <w:bookmarkStart w:id="6" w:name="B29_谈判保证金"/>
      <w:bookmarkEnd w:id="6"/>
      <w:bookmarkStart w:id="7" w:name="_Hlk516555339"/>
      <w:bookmarkStart w:id="8" w:name="_Hlk3381632"/>
      <w:r>
        <w:rPr>
          <w:rFonts w:hint="eastAsia" w:ascii="宋体" w:hAnsi="宋体" w:eastAsia="宋体" w:cs="宋体"/>
          <w:kern w:val="0"/>
          <w:szCs w:val="21"/>
          <w:highlight w:val="none"/>
        </w:rPr>
        <w:t>投标保证金：人民币</w:t>
      </w:r>
      <w:r>
        <w:rPr>
          <w:rFonts w:hint="eastAsia" w:ascii="宋体" w:hAnsi="宋体" w:eastAsia="宋体" w:cs="宋体"/>
          <w:kern w:val="0"/>
          <w:szCs w:val="21"/>
          <w:highlight w:val="none"/>
          <w:lang w:val="en-US" w:eastAsia="zh-CN"/>
        </w:rPr>
        <w:t>35</w:t>
      </w:r>
      <w:r>
        <w:rPr>
          <w:rFonts w:hint="eastAsia" w:ascii="宋体" w:hAnsi="宋体" w:eastAsia="宋体" w:cs="宋体"/>
          <w:kern w:val="0"/>
          <w:szCs w:val="21"/>
          <w:highlight w:val="none"/>
        </w:rPr>
        <w:t>000元整，采用银行转账形式，保证金缴纳截止时间：与投标截止时间相同。</w:t>
      </w:r>
      <w:r>
        <w:rPr>
          <w:rFonts w:hint="eastAsia" w:ascii="宋体" w:hAnsi="宋体" w:eastAsia="宋体" w:cs="宋体"/>
          <w:b/>
          <w:bCs/>
          <w:kern w:val="0"/>
          <w:szCs w:val="21"/>
          <w:u w:val="single"/>
        </w:rPr>
        <w:t>投标保证金要求从投标人</w:t>
      </w:r>
      <w:r>
        <w:rPr>
          <w:rFonts w:hint="eastAsia" w:ascii="宋体" w:hAnsi="宋体" w:eastAsia="宋体" w:cs="宋体"/>
          <w:b/>
          <w:bCs/>
          <w:kern w:val="0"/>
          <w:szCs w:val="21"/>
          <w:u w:val="single"/>
          <w:lang w:val="en-US" w:eastAsia="zh-CN"/>
        </w:rPr>
        <w:t>的</w:t>
      </w:r>
      <w:r>
        <w:rPr>
          <w:rFonts w:hint="eastAsia" w:ascii="宋体" w:hAnsi="宋体" w:eastAsia="宋体" w:cs="宋体"/>
          <w:b/>
          <w:bCs/>
          <w:kern w:val="0"/>
          <w:szCs w:val="21"/>
          <w:u w:val="single"/>
        </w:rPr>
        <w:t>银行账号汇出，保证金缴纳时间以到账时间为准</w:t>
      </w:r>
      <w:r>
        <w:rPr>
          <w:rFonts w:hint="eastAsia" w:ascii="宋体" w:hAnsi="宋体" w:eastAsia="宋体" w:cs="宋体"/>
          <w:kern w:val="0"/>
          <w:szCs w:val="21"/>
        </w:rPr>
        <w:t>。保证金缴纳账户信息：与标书款汇入账户信息相同。</w:t>
      </w:r>
    </w:p>
    <w:bookmarkEnd w:id="7"/>
    <w:bookmarkEnd w:id="8"/>
    <w:p w14:paraId="019BA25C">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十</w:t>
      </w:r>
      <w:r>
        <w:rPr>
          <w:rFonts w:hint="eastAsia" w:ascii="宋体" w:hAnsi="宋体" w:eastAsia="宋体" w:cs="宋体"/>
          <w:bCs/>
          <w:color w:val="auto"/>
          <w:kern w:val="0"/>
          <w:szCs w:val="21"/>
          <w:highlight w:val="none"/>
          <w:lang w:val="en-US" w:eastAsia="zh-CN"/>
        </w:rPr>
        <w:t>三</w:t>
      </w:r>
      <w:r>
        <w:rPr>
          <w:rFonts w:hint="eastAsia" w:ascii="宋体" w:hAnsi="宋体" w:eastAsia="宋体" w:cs="宋体"/>
          <w:bCs/>
          <w:color w:val="auto"/>
          <w:kern w:val="0"/>
          <w:szCs w:val="21"/>
          <w:highlight w:val="none"/>
        </w:rPr>
        <w:t>、其他事项：</w:t>
      </w:r>
    </w:p>
    <w:p w14:paraId="5DBC0016">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1、供应商认为采购文件使自己的权益受到损害的，可以自采购公告发出之日（采购公告发布当天不算）起6日内，以书面形式向采购人和采购代理机构提出质疑。</w:t>
      </w:r>
    </w:p>
    <w:p w14:paraId="6B81B051">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lang w:eastAsia="zh-CN"/>
        </w:rPr>
        <w:t>2</w:t>
      </w:r>
      <w:r>
        <w:rPr>
          <w:rFonts w:hint="eastAsia" w:ascii="宋体" w:hAnsi="宋体" w:eastAsia="宋体" w:cs="宋体"/>
          <w:bCs/>
          <w:color w:val="auto"/>
          <w:kern w:val="0"/>
          <w:szCs w:val="21"/>
          <w:highlight w:val="none"/>
          <w:u w:val="single"/>
          <w:lang w:val="en-US" w:eastAsia="zh-CN"/>
        </w:rPr>
        <w:t>.</w:t>
      </w:r>
      <w:r>
        <w:rPr>
          <w:rFonts w:hint="eastAsia" w:ascii="宋体" w:hAnsi="宋体" w:eastAsia="宋体" w:cs="宋体"/>
          <w:bCs/>
          <w:color w:val="auto"/>
          <w:kern w:val="0"/>
          <w:szCs w:val="21"/>
          <w:highlight w:val="none"/>
          <w:u w:val="single"/>
        </w:rPr>
        <w:t>质疑投标人对采购人、采购代理机构的答复不满意或者采购人、采购代理机构未在规定的时间内作出答复的，可以在答复期满后15个工作日内向采购人（集团）的内设监管职能部门投诉。</w:t>
      </w:r>
    </w:p>
    <w:p w14:paraId="4DAA8D44">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strike/>
          <w:dstrike w:val="0"/>
          <w:kern w:val="0"/>
          <w:szCs w:val="21"/>
          <w:highlight w:val="none"/>
          <w:u w:val="single"/>
        </w:rPr>
      </w:pPr>
      <w:r>
        <w:rPr>
          <w:rFonts w:hint="eastAsia" w:ascii="宋体" w:hAnsi="宋体" w:eastAsia="宋体" w:cs="宋体"/>
          <w:bCs/>
          <w:strike w:val="0"/>
          <w:dstrike w:val="0"/>
          <w:color w:val="auto"/>
          <w:kern w:val="0"/>
          <w:szCs w:val="21"/>
          <w:highlight w:val="none"/>
          <w:u w:val="single"/>
          <w:lang w:eastAsia="zh-CN"/>
        </w:rPr>
        <w:t>3</w:t>
      </w:r>
      <w:r>
        <w:rPr>
          <w:rFonts w:hint="eastAsia" w:ascii="宋体" w:hAnsi="宋体" w:eastAsia="宋体" w:cs="宋体"/>
          <w:bCs/>
          <w:strike w:val="0"/>
          <w:dstrike w:val="0"/>
          <w:color w:val="auto"/>
          <w:kern w:val="0"/>
          <w:szCs w:val="21"/>
          <w:highlight w:val="none"/>
          <w:u w:val="single"/>
          <w:lang w:val="en-US" w:eastAsia="zh-CN"/>
        </w:rPr>
        <w:t>.</w:t>
      </w:r>
      <w:r>
        <w:rPr>
          <w:rFonts w:hint="eastAsia" w:ascii="宋体" w:hAnsi="宋体" w:eastAsia="宋体" w:cs="宋体"/>
          <w:bCs/>
          <w:strike w:val="0"/>
          <w:dstrike w:val="0"/>
          <w:color w:val="auto"/>
          <w:kern w:val="0"/>
          <w:szCs w:val="21"/>
          <w:highlight w:val="none"/>
          <w:u w:val="single"/>
          <w:lang w:eastAsia="zh-CN"/>
        </w:rPr>
        <w:t>温州市交通发展集团有限公司</w:t>
      </w:r>
      <w:r>
        <w:rPr>
          <w:rFonts w:hint="eastAsia" w:ascii="宋体" w:hAnsi="宋体" w:eastAsia="宋体" w:cs="宋体"/>
          <w:bCs/>
          <w:strike w:val="0"/>
          <w:dstrike w:val="0"/>
          <w:color w:val="auto"/>
          <w:kern w:val="0"/>
          <w:szCs w:val="21"/>
          <w:highlight w:val="none"/>
          <w:u w:val="single"/>
        </w:rPr>
        <w:t>负责对投标人反映的企业本部及所属企业在采购活动中出现的违法违规问题</w:t>
      </w:r>
      <w:r>
        <w:rPr>
          <w:rFonts w:hint="eastAsia" w:ascii="宋体" w:hAnsi="宋体" w:eastAsia="宋体" w:cs="宋体"/>
          <w:bCs/>
          <w:strike w:val="0"/>
          <w:dstrike w:val="0"/>
          <w:kern w:val="0"/>
          <w:szCs w:val="21"/>
          <w:highlight w:val="none"/>
          <w:u w:val="single"/>
        </w:rPr>
        <w:t>进行</w:t>
      </w:r>
      <w:r>
        <w:rPr>
          <w:rFonts w:hint="eastAsia" w:ascii="宋体" w:hAnsi="宋体" w:eastAsia="宋体" w:cs="宋体"/>
          <w:bCs/>
          <w:strike w:val="0"/>
          <w:dstrike w:val="0"/>
          <w:kern w:val="0"/>
          <w:szCs w:val="21"/>
          <w:highlight w:val="none"/>
          <w:u w:val="single"/>
          <w:lang w:val="en-US" w:eastAsia="zh-CN"/>
        </w:rPr>
        <w:t>投诉</w:t>
      </w:r>
      <w:r>
        <w:rPr>
          <w:rFonts w:hint="eastAsia" w:ascii="宋体" w:hAnsi="宋体" w:eastAsia="宋体" w:cs="宋体"/>
          <w:bCs/>
          <w:strike w:val="0"/>
          <w:dstrike w:val="0"/>
          <w:kern w:val="0"/>
          <w:szCs w:val="21"/>
          <w:highlight w:val="none"/>
          <w:u w:val="single"/>
        </w:rPr>
        <w:t>回复。投标人认为</w:t>
      </w:r>
      <w:r>
        <w:rPr>
          <w:rFonts w:hint="eastAsia" w:ascii="宋体" w:hAnsi="宋体" w:eastAsia="宋体" w:cs="宋体"/>
          <w:bCs/>
          <w:strike w:val="0"/>
          <w:dstrike w:val="0"/>
          <w:kern w:val="0"/>
          <w:szCs w:val="21"/>
          <w:highlight w:val="none"/>
          <w:u w:val="single"/>
          <w:lang w:eastAsia="zh-CN"/>
        </w:rPr>
        <w:t>温州市交通发展集团有限公司</w:t>
      </w:r>
      <w:r>
        <w:rPr>
          <w:rFonts w:hint="eastAsia" w:ascii="宋体" w:hAnsi="宋体" w:eastAsia="宋体" w:cs="宋体"/>
          <w:bCs/>
          <w:strike w:val="0"/>
          <w:dstrike w:val="0"/>
          <w:kern w:val="0"/>
          <w:szCs w:val="21"/>
          <w:highlight w:val="none"/>
          <w:u w:val="single"/>
          <w:lang w:val="en-US" w:eastAsia="zh-CN"/>
        </w:rPr>
        <w:t>投诉</w:t>
      </w:r>
      <w:r>
        <w:rPr>
          <w:rFonts w:hint="eastAsia" w:ascii="宋体" w:hAnsi="宋体" w:eastAsia="宋体" w:cs="宋体"/>
          <w:bCs/>
          <w:strike w:val="0"/>
          <w:dstrike w:val="0"/>
          <w:kern w:val="0"/>
          <w:szCs w:val="21"/>
          <w:highlight w:val="none"/>
          <w:u w:val="single"/>
        </w:rPr>
        <w:t>回复处理结果不合法的，可以采购人或采购代理机构为对象依法向人民法院提起诉讼。</w:t>
      </w:r>
    </w:p>
    <w:p w14:paraId="7C3D6040">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4</w:t>
      </w:r>
      <w:r>
        <w:rPr>
          <w:rFonts w:hint="eastAsia" w:ascii="宋体" w:hAnsi="宋体" w:eastAsia="宋体" w:cs="宋体"/>
          <w:bCs/>
          <w:kern w:val="0"/>
          <w:szCs w:val="21"/>
          <w:highlight w:val="none"/>
          <w:lang w:val="en-US" w:eastAsia="zh-CN"/>
        </w:rPr>
        <w:t>.</w:t>
      </w:r>
      <w:r>
        <w:rPr>
          <w:rFonts w:hint="eastAsia" w:ascii="宋体" w:hAnsi="宋体" w:eastAsia="宋体" w:cs="宋体"/>
          <w:bCs/>
          <w:kern w:val="0"/>
          <w:szCs w:val="21"/>
          <w:highlight w:val="none"/>
        </w:rPr>
        <w:t>采购公告附件的采购文件仅供阅览使用，未按照本公告规定的方式获取采购文件的潜在供应商提起的质疑，采购人及采购组织机构将不予受理、答复。</w:t>
      </w:r>
    </w:p>
    <w:p w14:paraId="70CDE8C1">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5</w:t>
      </w:r>
      <w:r>
        <w:rPr>
          <w:rFonts w:hint="eastAsia" w:ascii="宋体" w:hAnsi="宋体" w:eastAsia="宋体" w:cs="宋体"/>
          <w:bCs/>
          <w:kern w:val="0"/>
          <w:szCs w:val="21"/>
          <w:highlight w:val="none"/>
          <w:lang w:val="en-US" w:eastAsia="zh-CN"/>
        </w:rPr>
        <w:t>.</w:t>
      </w:r>
      <w:r>
        <w:rPr>
          <w:rFonts w:hint="eastAsia" w:ascii="宋体" w:hAnsi="宋体" w:eastAsia="宋体" w:cs="宋体"/>
          <w:bCs/>
          <w:kern w:val="0"/>
          <w:szCs w:val="21"/>
          <w:highlight w:val="none"/>
        </w:rPr>
        <w:t>供应商如对采购文件有疑问应按采购文件规定的询疑截止时间前提出，逾期提出的，采购组织机构可以不予受理、答复。</w:t>
      </w:r>
    </w:p>
    <w:p w14:paraId="14F8D988">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、联系方式</w:t>
      </w:r>
    </w:p>
    <w:p w14:paraId="28633534">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温州市高速公路资产经营有限公司</w:t>
      </w:r>
    </w:p>
    <w:p w14:paraId="67736623">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温州市汤家桥国大广场东首5-6楼</w:t>
      </w:r>
    </w:p>
    <w:p w14:paraId="2707B154">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蔡先生</w:t>
      </w:r>
      <w:r>
        <w:rPr>
          <w:rFonts w:hint="eastAsia" w:ascii="宋体" w:hAnsi="宋体" w:eastAsia="宋体" w:cs="宋体"/>
          <w:highlight w:val="none"/>
        </w:rPr>
        <w:t>，联系电话：</w:t>
      </w:r>
      <w:r>
        <w:rPr>
          <w:rFonts w:hint="eastAsia" w:ascii="宋体" w:hAnsi="宋体" w:eastAsia="宋体" w:cs="宋体"/>
          <w:highlight w:val="none"/>
          <w:lang w:eastAsia="zh-CN"/>
        </w:rPr>
        <w:t>13376871622</w:t>
      </w:r>
    </w:p>
    <w:p w14:paraId="6F882D3F">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14:paraId="79EFFDDF">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bookmarkStart w:id="230" w:name="_GoBack"/>
      <w:bookmarkEnd w:id="230"/>
    </w:p>
    <w:p w14:paraId="760B4EA1">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14:paraId="6CB3B435">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14:paraId="129B592A">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14:paraId="45345656">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采购监管部门：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14:paraId="0F3E9A95">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14:paraId="76402FF6">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温州市高速公路资产经营有限公司</w:t>
      </w:r>
      <w:r>
        <w:rPr>
          <w:rFonts w:hint="eastAsia" w:ascii="宋体" w:hAnsi="宋体" w:eastAsia="宋体" w:cs="宋体"/>
          <w:bCs/>
          <w:kern w:val="0"/>
          <w:szCs w:val="21"/>
          <w:highlight w:val="none"/>
        </w:rPr>
        <w:t xml:space="preserve"> </w:t>
      </w:r>
    </w:p>
    <w:p w14:paraId="36737716">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2B2B0CD0">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4</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10</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23</w:t>
      </w:r>
      <w:r>
        <w:rPr>
          <w:rFonts w:hint="eastAsia" w:ascii="宋体" w:hAnsi="宋体" w:eastAsia="宋体" w:cs="宋体"/>
          <w:color w:val="0000FF"/>
          <w:kern w:val="0"/>
          <w:szCs w:val="21"/>
          <w:highlight w:val="none"/>
        </w:rPr>
        <w:t>日</w:t>
      </w:r>
    </w:p>
    <w:p w14:paraId="616FFDBB">
      <w:pPr>
        <w:jc w:val="center"/>
        <w:rPr>
          <w:rFonts w:hint="eastAsia" w:ascii="宋体" w:hAnsi="宋体" w:eastAsia="宋体" w:cs="宋体"/>
          <w:sz w:val="24"/>
          <w:highlight w:val="none"/>
        </w:rPr>
      </w:pPr>
      <w:bookmarkStart w:id="9" w:name="_Toc491780522"/>
    </w:p>
    <w:p w14:paraId="713416AD">
      <w:pPr>
        <w:jc w:val="center"/>
        <w:rPr>
          <w:rFonts w:hint="eastAsia" w:ascii="宋体" w:hAnsi="宋体" w:eastAsia="宋体" w:cs="宋体"/>
          <w:sz w:val="24"/>
          <w:highlight w:val="none"/>
        </w:rPr>
      </w:pPr>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温州市高速公路资产经营有限公司关于陶山服务区物业项目</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的征求意见公示</w:t>
      </w:r>
      <w:bookmarkEnd w:id="9"/>
    </w:p>
    <w:p w14:paraId="6A6D8D19">
      <w:pPr>
        <w:rPr>
          <w:rFonts w:hint="eastAsia" w:ascii="宋体" w:hAnsi="宋体" w:eastAsia="宋体" w:cs="宋体"/>
          <w:highlight w:val="none"/>
        </w:rPr>
      </w:pPr>
    </w:p>
    <w:p w14:paraId="3BC97ABE">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温州市高速公路资产经营有限公司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陶山服务区物业项目</w:t>
      </w:r>
      <w:r>
        <w:rPr>
          <w:rFonts w:hint="eastAsia" w:ascii="宋体" w:hAnsi="宋体" w:eastAsia="宋体" w:cs="宋体"/>
          <w:bCs/>
          <w:kern w:val="0"/>
          <w:szCs w:val="21"/>
          <w:highlight w:val="none"/>
        </w:rPr>
        <w:t>以公开招标方式进行采购。现将本项目采购文件公布如下（详见附件），并公开征求投标供应商及专家意见。</w:t>
      </w:r>
    </w:p>
    <w:p w14:paraId="79D59144">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14:paraId="30B0CA3A">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14:paraId="0E1749A1">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2、投标供应商资格条件是否具有明显倾向性和歧视性；</w:t>
      </w:r>
    </w:p>
    <w:p w14:paraId="18E8FA64">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14:paraId="75F524A5">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14:paraId="0A1ADA11">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各投标供应商及专家提出修改理由和建议的，请于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10</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29</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17</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14:paraId="5CDA6647">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14:paraId="3F79E23C">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14:paraId="780D1E43">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14:paraId="7F5E76B7">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温州市高速公路资产经营有限公司</w:t>
      </w:r>
    </w:p>
    <w:p w14:paraId="632FA85B">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14:paraId="7B12F734">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10</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23</w:t>
      </w:r>
      <w:r>
        <w:rPr>
          <w:rFonts w:hint="eastAsia" w:ascii="宋体" w:hAnsi="宋体" w:eastAsia="宋体" w:cs="宋体"/>
          <w:bCs/>
          <w:color w:val="0000FF"/>
          <w:kern w:val="0"/>
          <w:szCs w:val="21"/>
          <w:highlight w:val="none"/>
        </w:rPr>
        <w:t>日</w:t>
      </w:r>
      <w:bookmarkEnd w:id="2"/>
    </w:p>
    <w:p w14:paraId="1D126F99">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27056845"/>
      <w:bookmarkStart w:id="11" w:name="_Toc491780523"/>
      <w:bookmarkStart w:id="12" w:name="_Toc219538612"/>
      <w:bookmarkStart w:id="13" w:name="_Toc223717603"/>
      <w:bookmarkStart w:id="14" w:name="_Toc223933220"/>
      <w:bookmarkStart w:id="15" w:name="_Toc227057032"/>
      <w:bookmarkStart w:id="16" w:name="_Toc217460684"/>
      <w:bookmarkStart w:id="17" w:name="_Toc227489886"/>
      <w:bookmarkStart w:id="18" w:name="_Toc218041725"/>
      <w:bookmarkStart w:id="19" w:name="_Toc215415529"/>
      <w:bookmarkStart w:id="20" w:name="_Toc216667819"/>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14:paraId="709A5BF0">
      <w:pPr>
        <w:spacing w:before="156" w:beforeLines="50" w:after="156" w:afterLines="50"/>
        <w:jc w:val="center"/>
        <w:rPr>
          <w:rFonts w:hint="eastAsia" w:ascii="宋体" w:hAnsi="宋体" w:eastAsia="宋体" w:cs="宋体"/>
          <w:b/>
          <w:sz w:val="28"/>
          <w:szCs w:val="28"/>
          <w:highlight w:val="none"/>
        </w:rPr>
      </w:pPr>
      <w:bookmarkStart w:id="21" w:name="_Toc433729304"/>
      <w:bookmarkStart w:id="22" w:name="_Toc401243876"/>
      <w:bookmarkStart w:id="23" w:name="_Toc227056846"/>
      <w:bookmarkStart w:id="24" w:name="_Toc217460685"/>
      <w:bookmarkStart w:id="25" w:name="_Toc223717604"/>
      <w:bookmarkStart w:id="26" w:name="_Toc227057033"/>
      <w:bookmarkStart w:id="27" w:name="_Toc227489887"/>
      <w:bookmarkStart w:id="28" w:name="_Toc215415530"/>
      <w:bookmarkStart w:id="29" w:name="_Toc216667820"/>
      <w:bookmarkStart w:id="30" w:name="_Toc219538613"/>
      <w:bookmarkStart w:id="31" w:name="_Toc223933221"/>
      <w:bookmarkStart w:id="32" w:name="_Toc218041726"/>
      <w:r>
        <w:rPr>
          <w:rFonts w:hint="eastAsia" w:ascii="宋体" w:hAnsi="宋体" w:eastAsia="宋体" w:cs="宋体"/>
          <w:b/>
          <w:sz w:val="28"/>
          <w:szCs w:val="28"/>
          <w:highlight w:val="none"/>
        </w:rPr>
        <w:t>投标人须知前附表</w:t>
      </w:r>
      <w:bookmarkEnd w:id="21"/>
      <w:bookmarkEnd w:id="22"/>
    </w:p>
    <w:tbl>
      <w:tblPr>
        <w:tblStyle w:val="25"/>
        <w:tblW w:w="0" w:type="auto"/>
        <w:jc w:val="center"/>
        <w:tblLayout w:type="fixed"/>
        <w:tblCellMar>
          <w:top w:w="0" w:type="dxa"/>
          <w:left w:w="108" w:type="dxa"/>
          <w:bottom w:w="0" w:type="dxa"/>
          <w:right w:w="108" w:type="dxa"/>
        </w:tblCellMar>
      </w:tblPr>
      <w:tblGrid>
        <w:gridCol w:w="836"/>
        <w:gridCol w:w="1624"/>
        <w:gridCol w:w="6528"/>
      </w:tblGrid>
      <w:tr w14:paraId="5D2A3F4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C45A42A">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14:paraId="5263F638">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14:paraId="344D19DE">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14:paraId="635608D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6ADA38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C61B3A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14:paraId="72D4BFB2">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陶山服务区物业项目</w:t>
            </w:r>
          </w:p>
        </w:tc>
      </w:tr>
      <w:tr w14:paraId="66F9D368">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58DE93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F0D47A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14:paraId="5C01A059">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WGSS-JFJT-X-2024008</w:t>
            </w:r>
          </w:p>
        </w:tc>
      </w:tr>
      <w:tr w14:paraId="7D336EBF">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5C6003E">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5941B3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14:paraId="648282BA">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温州市高速公路资产经营有限公司</w:t>
            </w:r>
          </w:p>
          <w:p w14:paraId="3C707C44">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温州市汤家桥国大广场东首5-6楼</w:t>
            </w:r>
          </w:p>
          <w:p w14:paraId="40104371">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蔡先生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13376871622</w:t>
            </w:r>
          </w:p>
        </w:tc>
      </w:tr>
      <w:tr w14:paraId="2FBA81CD">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6DF556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A214CD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14:paraId="3F0B094F">
            <w:pPr>
              <w:spacing w:line="240" w:lineRule="exac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代理机构名称：</w:t>
            </w:r>
            <w:r>
              <w:rPr>
                <w:rFonts w:hint="eastAsia" w:ascii="宋体" w:hAnsi="宋体" w:eastAsia="宋体" w:cs="宋体"/>
                <w:color w:val="auto"/>
                <w:kern w:val="0"/>
                <w:sz w:val="18"/>
                <w:szCs w:val="18"/>
                <w:highlight w:val="none"/>
                <w:lang w:eastAsia="zh-CN"/>
              </w:rPr>
              <w:t>浙江国际招投标有限公司</w:t>
            </w:r>
          </w:p>
          <w:p w14:paraId="68EE8EAB">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代理机构地址：温州市黎明西路342号人保财险鹿城支公司办公大楼401室</w:t>
            </w:r>
          </w:p>
          <w:p w14:paraId="77EF5DAC">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联系人：冯先生</w:t>
            </w:r>
          </w:p>
          <w:p w14:paraId="34305905">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联系方式：13857723185 邮箱：1826066763@qq.com</w:t>
            </w:r>
          </w:p>
        </w:tc>
      </w:tr>
      <w:tr w14:paraId="28CB292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399C7B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AA407A6">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14:paraId="233BCB06">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eastAsia="zh-CN"/>
              </w:rPr>
              <w:t>陶山服务区物业项目</w:t>
            </w:r>
            <w:r>
              <w:rPr>
                <w:rFonts w:hint="eastAsia" w:ascii="宋体" w:hAnsi="宋体" w:eastAsia="宋体" w:cs="宋体"/>
                <w:color w:val="auto"/>
                <w:sz w:val="18"/>
                <w:szCs w:val="18"/>
                <w:highlight w:val="none"/>
              </w:rPr>
              <w:t>，服务内容包括陶山服务区物业服务、“瓯江红·畅美高速”党群服务中心物业服务两部分，</w:t>
            </w:r>
            <w:r>
              <w:rPr>
                <w:rFonts w:hint="eastAsia" w:ascii="宋体" w:hAnsi="宋体" w:eastAsia="宋体" w:cs="宋体"/>
                <w:color w:val="auto"/>
                <w:sz w:val="18"/>
                <w:szCs w:val="18"/>
                <w:highlight w:val="none"/>
                <w:lang w:val="en-US" w:eastAsia="zh-CN"/>
              </w:rPr>
              <w:t>采购</w:t>
            </w:r>
            <w:r>
              <w:rPr>
                <w:rFonts w:hint="eastAsia" w:ascii="宋体" w:hAnsi="宋体" w:eastAsia="宋体" w:cs="宋体"/>
                <w:color w:val="auto"/>
                <w:sz w:val="18"/>
                <w:szCs w:val="18"/>
                <w:highlight w:val="none"/>
              </w:rPr>
              <w:t>内容及详细技术要求见采购文件相关部分。</w:t>
            </w:r>
          </w:p>
        </w:tc>
      </w:tr>
      <w:tr w14:paraId="738AF4A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41B3465">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302B5EB">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14:paraId="244D346D">
            <w:pPr>
              <w:spacing w:line="240" w:lineRule="exact"/>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u w:val="single"/>
              </w:rPr>
              <w:t>▲本项目采购</w:t>
            </w:r>
            <w:r>
              <w:rPr>
                <w:rFonts w:hint="eastAsia" w:ascii="宋体" w:hAnsi="宋体" w:eastAsia="宋体" w:cs="宋体"/>
                <w:b/>
                <w:color w:val="auto"/>
                <w:kern w:val="0"/>
                <w:sz w:val="18"/>
                <w:szCs w:val="18"/>
                <w:highlight w:val="none"/>
                <w:u w:val="single"/>
                <w:lang w:val="en-US" w:eastAsia="zh-CN"/>
              </w:rPr>
              <w:t>总</w:t>
            </w:r>
            <w:r>
              <w:rPr>
                <w:rFonts w:hint="eastAsia" w:ascii="宋体" w:hAnsi="宋体" w:eastAsia="宋体" w:cs="宋体"/>
                <w:b/>
                <w:color w:val="auto"/>
                <w:kern w:val="0"/>
                <w:sz w:val="18"/>
                <w:szCs w:val="18"/>
                <w:highlight w:val="none"/>
                <w:u w:val="single"/>
              </w:rPr>
              <w:t>预算为人民币</w:t>
            </w:r>
            <w:r>
              <w:rPr>
                <w:rFonts w:hint="eastAsia" w:ascii="宋体" w:hAnsi="宋体" w:eastAsia="宋体" w:cs="宋体"/>
                <w:b/>
                <w:color w:val="auto"/>
                <w:kern w:val="0"/>
                <w:sz w:val="18"/>
                <w:szCs w:val="18"/>
                <w:highlight w:val="none"/>
                <w:u w:val="single"/>
                <w:lang w:val="en-US" w:eastAsia="zh-CN"/>
              </w:rPr>
              <w:t>384</w:t>
            </w:r>
            <w:r>
              <w:rPr>
                <w:rFonts w:hint="eastAsia" w:ascii="宋体" w:hAnsi="宋体" w:eastAsia="宋体" w:cs="宋体"/>
                <w:b/>
                <w:color w:val="auto"/>
                <w:kern w:val="0"/>
                <w:sz w:val="18"/>
                <w:szCs w:val="18"/>
                <w:highlight w:val="none"/>
                <w:u w:val="single"/>
              </w:rPr>
              <w:t>万元</w:t>
            </w:r>
            <w:r>
              <w:rPr>
                <w:rFonts w:hint="eastAsia" w:ascii="宋体" w:hAnsi="宋体" w:eastAsia="宋体" w:cs="宋体"/>
                <w:b/>
                <w:color w:val="auto"/>
                <w:kern w:val="0"/>
                <w:sz w:val="18"/>
                <w:szCs w:val="18"/>
                <w:highlight w:val="none"/>
                <w:u w:val="single"/>
                <w:lang w:eastAsia="zh-CN"/>
              </w:rPr>
              <w:t>（</w:t>
            </w:r>
            <w:r>
              <w:rPr>
                <w:rFonts w:hint="eastAsia" w:ascii="宋体" w:hAnsi="宋体" w:eastAsia="宋体" w:cs="宋体"/>
                <w:b/>
                <w:color w:val="auto"/>
                <w:kern w:val="0"/>
                <w:sz w:val="18"/>
                <w:szCs w:val="18"/>
                <w:highlight w:val="none"/>
                <w:u w:val="single"/>
                <w:lang w:val="en-US" w:eastAsia="zh-CN"/>
              </w:rPr>
              <w:t>其中陶山服务区物业服务预算金额363万元，“瓯江红·畅美高速”党群服务中心物业服务预算金额21万元</w:t>
            </w:r>
            <w:r>
              <w:rPr>
                <w:rFonts w:hint="eastAsia" w:ascii="宋体" w:hAnsi="宋体" w:eastAsia="宋体" w:cs="宋体"/>
                <w:b/>
                <w:color w:val="auto"/>
                <w:kern w:val="0"/>
                <w:sz w:val="18"/>
                <w:szCs w:val="18"/>
                <w:highlight w:val="none"/>
                <w:u w:val="single"/>
                <w:lang w:eastAsia="zh-CN"/>
              </w:rPr>
              <w:t>）</w:t>
            </w:r>
            <w:r>
              <w:rPr>
                <w:rFonts w:hint="eastAsia" w:ascii="宋体" w:hAnsi="宋体" w:eastAsia="宋体" w:cs="宋体"/>
                <w:b/>
                <w:color w:val="auto"/>
                <w:kern w:val="0"/>
                <w:sz w:val="18"/>
                <w:szCs w:val="18"/>
                <w:highlight w:val="none"/>
                <w:u w:val="single"/>
              </w:rPr>
              <w:t>，投标供应商</w:t>
            </w:r>
            <w:r>
              <w:rPr>
                <w:rFonts w:hint="eastAsia" w:ascii="宋体" w:hAnsi="宋体" w:eastAsia="宋体" w:cs="宋体"/>
                <w:b/>
                <w:color w:val="auto"/>
                <w:kern w:val="0"/>
                <w:sz w:val="18"/>
                <w:szCs w:val="18"/>
                <w:highlight w:val="none"/>
                <w:u w:val="single"/>
                <w:lang w:val="en-US" w:eastAsia="zh-CN"/>
              </w:rPr>
              <w:t>关于陶山服务区物业服务投标报价超过363万元，或者关于“瓯江</w:t>
            </w:r>
            <w:r>
              <w:rPr>
                <w:rFonts w:hint="eastAsia" w:ascii="宋体" w:hAnsi="宋体" w:eastAsia="宋体" w:cs="宋体"/>
                <w:b/>
                <w:color w:val="auto"/>
                <w:kern w:val="0"/>
                <w:sz w:val="18"/>
                <w:szCs w:val="18"/>
                <w:highlight w:val="none"/>
                <w:u w:val="single"/>
              </w:rPr>
              <w:t>的作无效标处理</w:t>
            </w:r>
            <w:r>
              <w:rPr>
                <w:rFonts w:hint="eastAsia" w:ascii="宋体" w:hAnsi="宋体" w:eastAsia="宋体" w:cs="宋体"/>
                <w:b/>
                <w:color w:val="auto"/>
                <w:kern w:val="0"/>
                <w:sz w:val="18"/>
                <w:szCs w:val="18"/>
                <w:highlight w:val="none"/>
                <w:u w:val="single"/>
                <w:lang w:eastAsia="zh-CN"/>
              </w:rPr>
              <w:t>，</w:t>
            </w:r>
            <w:r>
              <w:rPr>
                <w:rFonts w:hint="eastAsia" w:ascii="宋体" w:hAnsi="宋体" w:eastAsia="宋体" w:cs="宋体"/>
                <w:b/>
                <w:color w:val="auto"/>
                <w:kern w:val="0"/>
                <w:sz w:val="18"/>
                <w:szCs w:val="18"/>
                <w:highlight w:val="none"/>
                <w:u w:val="single"/>
                <w:lang w:val="en-US" w:eastAsia="zh-CN"/>
              </w:rPr>
              <w:t>红·畅美高速”党群服务中心物业服务的投标报价超过21万元的作无效标处理</w:t>
            </w:r>
            <w:r>
              <w:rPr>
                <w:rFonts w:hint="eastAsia" w:ascii="宋体" w:hAnsi="宋体" w:eastAsia="宋体" w:cs="宋体"/>
                <w:b/>
                <w:color w:val="auto"/>
                <w:kern w:val="0"/>
                <w:sz w:val="18"/>
                <w:szCs w:val="18"/>
                <w:highlight w:val="none"/>
              </w:rPr>
              <w:t>。</w:t>
            </w:r>
          </w:p>
        </w:tc>
      </w:tr>
      <w:tr w14:paraId="15944BD6">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454EC5D">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E5C2123">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14:paraId="45EFA533">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合同签订之日起1年，采用“1+1</w:t>
            </w:r>
            <w:r>
              <w:rPr>
                <w:rFonts w:hint="eastAsia" w:ascii="宋体" w:hAnsi="宋体" w:eastAsia="宋体" w:cs="宋体"/>
                <w:color w:val="auto"/>
                <w:kern w:val="0"/>
                <w:sz w:val="18"/>
                <w:szCs w:val="18"/>
                <w:highlight w:val="none"/>
                <w:lang w:val="en-US" w:eastAsia="zh-CN"/>
              </w:rPr>
              <w:t>年</w:t>
            </w:r>
            <w:r>
              <w:rPr>
                <w:rFonts w:hint="eastAsia" w:ascii="宋体" w:hAnsi="宋体" w:eastAsia="宋体" w:cs="宋体"/>
                <w:color w:val="auto"/>
                <w:kern w:val="0"/>
                <w:sz w:val="18"/>
                <w:szCs w:val="18"/>
                <w:highlight w:val="none"/>
              </w:rPr>
              <w:t>”模式，合同期满后，经经营公司各项考核合格后，合同可以顺延1年。</w:t>
            </w:r>
          </w:p>
        </w:tc>
      </w:tr>
      <w:tr w14:paraId="7FD371C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DC1C469">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BE07989">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14:paraId="3BF26713">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14:paraId="42B3414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0DEED5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C0D6F6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14:paraId="79E3D5B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14:paraId="6E1097E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1E26FF4">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5337E2E">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14:paraId="08F8B217">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，投标供应商若需踏勘现场，请联系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14:paraId="26596DB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082A0F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024737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14:paraId="7258D52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14:paraId="15D4A491">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7032C00">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EE2D0B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14:paraId="5C4187D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4</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10</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29</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17</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14:paraId="234177E5">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1"/>
                <w:rFonts w:hint="eastAsia" w:ascii="宋体" w:hAnsi="宋体" w:eastAsia="宋体" w:cs="宋体"/>
                <w:color w:val="auto"/>
                <w:kern w:val="0"/>
                <w:sz w:val="18"/>
                <w:szCs w:val="18"/>
                <w:highlight w:val="none"/>
              </w:rPr>
              <w:t>澄清文件加盖公章后以扫描件发送至邮箱</w:t>
            </w:r>
            <w:r>
              <w:rPr>
                <w:rStyle w:val="31"/>
                <w:rFonts w:hint="eastAsia" w:ascii="宋体" w:hAnsi="宋体" w:eastAsia="宋体" w:cs="宋体"/>
                <w:color w:val="auto"/>
                <w:kern w:val="0"/>
                <w:sz w:val="18"/>
                <w:szCs w:val="18"/>
                <w:highlight w:val="none"/>
                <w:lang w:eastAsia="zh-CN"/>
              </w:rPr>
              <w:t>1826066763</w:t>
            </w:r>
            <w:r>
              <w:rPr>
                <w:rStyle w:val="31"/>
                <w:rFonts w:hint="eastAsia" w:ascii="宋体" w:hAnsi="宋体" w:eastAsia="宋体" w:cs="宋体"/>
                <w:color w:val="auto"/>
                <w:kern w:val="0"/>
                <w:sz w:val="18"/>
                <w:szCs w:val="18"/>
                <w:highlight w:val="none"/>
              </w:rPr>
              <w:t>@qq.com</w:t>
            </w:r>
            <w:r>
              <w:rPr>
                <w:rStyle w:val="31"/>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14:paraId="4491139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57489B4">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2CB4704D">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14:paraId="484B3651">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14:paraId="421D6DB9">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81979EA">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2A78D7E">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14:paraId="50767CAC">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14:paraId="22F1D30A">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A9606F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0A72BE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14:paraId="3671A86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14:paraId="7A6BA903">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842688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B46F07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14:paraId="7BE05DF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14:paraId="07139EB0">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2B075A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02ED9A6">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14:paraId="3796E584">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14:paraId="5B05B20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F438F9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6536ACE">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14:paraId="71A35991">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14:paraId="3878F2AB">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14:paraId="64690B6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74061D3B">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73504C1">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14:paraId="14C613E6">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4</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11</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13</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14</w:t>
            </w:r>
            <w:r>
              <w:rPr>
                <w:rFonts w:hint="eastAsia" w:ascii="宋体" w:hAnsi="宋体" w:eastAsia="宋体" w:cs="宋体"/>
                <w:b/>
                <w:bCs/>
                <w:color w:val="0000FF"/>
                <w:kern w:val="0"/>
                <w:sz w:val="18"/>
                <w:szCs w:val="18"/>
                <w:highlight w:val="none"/>
              </w:rPr>
              <w:t>时30分</w:t>
            </w:r>
          </w:p>
          <w:p w14:paraId="6C882642">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14:paraId="7A123F5E">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61CD841">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94D06A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14:paraId="62642004">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14:paraId="42FB0BF3">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14:paraId="6D02D213">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w:t>
            </w:r>
            <w:r>
              <w:rPr>
                <w:rFonts w:hint="eastAsia" w:ascii="宋体" w:hAnsi="宋体" w:eastAsia="宋体" w:cs="宋体"/>
                <w:bCs/>
                <w:kern w:val="0"/>
                <w:sz w:val="18"/>
                <w:szCs w:val="18"/>
                <w:highlight w:val="none"/>
              </w:rPr>
              <w:t>温州市政务服务管理中心开标区</w:t>
            </w:r>
          </w:p>
        </w:tc>
      </w:tr>
      <w:tr w14:paraId="4023D16B">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3691B7C">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585C653B">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14:paraId="4FC82A2A">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14:paraId="34CBCE7E">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2.公布在投标截止时间前递交投标文件的投标供应商名称，并点名确认投标供应商是否派授权代表到场；</w:t>
            </w:r>
          </w:p>
          <w:p w14:paraId="5BD22F67">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14:paraId="7729EADA">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4.密封情况检查：由投标供应商或其推选的代表检查投标文件密封情况；</w:t>
            </w:r>
          </w:p>
          <w:p w14:paraId="7AEDAA08">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14:paraId="5DCDE150">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6.确认开标结果：投标供应商授权代表对开标记录进行当场校核及勘误，并签字确认；并同时由记录人、核对人当场签字确认。</w:t>
            </w:r>
          </w:p>
          <w:p w14:paraId="1466E42C">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14:paraId="7B251945">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8.投标供应商授权代表未参加开标会议；未到场签字确认的，不影响开标，评标过程，视同认可开标结果；事后不得对采购相关人员、开标过程和开标结果提出异议。</w:t>
            </w:r>
          </w:p>
        </w:tc>
      </w:tr>
      <w:tr w14:paraId="717C2E27">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85D72E2">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4CB93D2F">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14:paraId="3DA92DC8">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14:paraId="383533DF">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14:paraId="42019567">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1F4BED3">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30401E7B">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14:paraId="59B92EB1">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14:paraId="08E841CC">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14:paraId="06595086">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14:paraId="6186C16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04D8E45">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0ACF6597">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14:paraId="6CDFAD0C">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14:paraId="67D3A15E">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14:paraId="2196FD64">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F7B50CE">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79172FAA">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7F72E1E7">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1、采购文件、采购公告中如有前后不一致的，一律以本“投标供应商须知前附表”为准；</w:t>
            </w:r>
          </w:p>
          <w:p w14:paraId="641E2566">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14:paraId="636D6989">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14:paraId="596F7266">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温州市高速公路资产经营有限公司</w:t>
            </w:r>
            <w:r>
              <w:rPr>
                <w:rFonts w:hint="eastAsia" w:ascii="宋体" w:hAnsi="宋体" w:eastAsia="宋体" w:cs="宋体"/>
                <w:kern w:val="0"/>
                <w:sz w:val="18"/>
                <w:szCs w:val="18"/>
                <w:highlight w:val="none"/>
              </w:rPr>
              <w:t>纪检监察室</w:t>
            </w:r>
          </w:p>
          <w:p w14:paraId="3A6479F9">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14:paraId="669DAA02">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B94DC17">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14:paraId="64B733E7">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14:paraId="77352E55">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14:paraId="6ABD8FCF">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14:paraId="5E9BC85E">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14:paraId="670B55C2">
      <w:pPr>
        <w:rPr>
          <w:rFonts w:hint="eastAsia" w:ascii="宋体" w:hAnsi="宋体" w:eastAsia="宋体" w:cs="宋体"/>
          <w:szCs w:val="24"/>
          <w:highlight w:val="none"/>
        </w:rPr>
      </w:pPr>
    </w:p>
    <w:p w14:paraId="2F90FA41">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14:paraId="4B6192A9">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14:paraId="303A05C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本次采购工作是按照《温州市市属国有企业采购管理办法》等有关法律、法规组织和实施的。</w:t>
      </w:r>
    </w:p>
    <w:p w14:paraId="79E87C62">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14:paraId="76CB72C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14:paraId="365F12FC">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14:paraId="1545835D">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14:paraId="5A25112F">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14:paraId="760463A9">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14:paraId="6C3DD5D4">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14:paraId="2025DDBB">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14:paraId="59D0CAFD">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14:paraId="556BECE2">
      <w:pPr>
        <w:spacing w:before="156" w:beforeLines="50" w:after="156" w:afterLines="50"/>
        <w:jc w:val="center"/>
        <w:rPr>
          <w:rFonts w:hint="eastAsia" w:ascii="宋体" w:hAnsi="宋体" w:eastAsia="宋体" w:cs="宋体"/>
          <w:b/>
          <w:sz w:val="28"/>
          <w:szCs w:val="28"/>
          <w:highlight w:val="none"/>
        </w:rPr>
      </w:pPr>
      <w:bookmarkStart w:id="33" w:name="_Toc205877558"/>
      <w:bookmarkStart w:id="34" w:name="_Toc227057034"/>
      <w:bookmarkStart w:id="35" w:name="_Toc223933222"/>
      <w:bookmarkStart w:id="36" w:name="_Toc205877453"/>
      <w:bookmarkStart w:id="37" w:name="_Toc204491318"/>
      <w:bookmarkStart w:id="38" w:name="_Toc215415531"/>
      <w:bookmarkStart w:id="39" w:name="_Toc227489888"/>
      <w:bookmarkStart w:id="40" w:name="_Toc223717605"/>
      <w:bookmarkStart w:id="41" w:name="_Toc205005287"/>
      <w:bookmarkStart w:id="42" w:name="_Toc219538614"/>
      <w:bookmarkStart w:id="43" w:name="_Toc209250720"/>
      <w:bookmarkStart w:id="44" w:name="_Toc205004969"/>
      <w:bookmarkStart w:id="45" w:name="_Toc205703103"/>
      <w:bookmarkStart w:id="46" w:name="_Toc214365791"/>
      <w:bookmarkStart w:id="47" w:name="_Toc209261366"/>
      <w:bookmarkStart w:id="48" w:name="_Toc204578576"/>
      <w:bookmarkStart w:id="49" w:name="_Toc210879709"/>
      <w:bookmarkStart w:id="50" w:name="_Toc216667821"/>
      <w:bookmarkStart w:id="51" w:name="_Toc209261433"/>
      <w:bookmarkStart w:id="52" w:name="_Toc209332634"/>
      <w:bookmarkStart w:id="53" w:name="_Toc209251128"/>
      <w:bookmarkStart w:id="54" w:name="_Toc218041727"/>
      <w:bookmarkStart w:id="55" w:name="_Toc217460686"/>
      <w:bookmarkStart w:id="56" w:name="_Toc207609182"/>
      <w:bookmarkStart w:id="57" w:name="_Toc227056847"/>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9CE425D">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14:paraId="04BE9B0F">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14:paraId="4BA9305C">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14:paraId="7060AF20">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14:paraId="04048FB4">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5日前发布更正公告，不足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205DB402">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14:paraId="2DC62DA2">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2D75BBE1">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14:paraId="33CBA62D">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14:paraId="1E84676B">
      <w:pPr>
        <w:spacing w:before="156" w:beforeLines="50" w:after="156" w:afterLines="50"/>
        <w:jc w:val="center"/>
        <w:rPr>
          <w:rFonts w:hint="eastAsia" w:ascii="宋体" w:hAnsi="宋体" w:eastAsia="宋体" w:cs="宋体"/>
          <w:b/>
          <w:sz w:val="28"/>
          <w:szCs w:val="28"/>
          <w:highlight w:val="none"/>
        </w:rPr>
      </w:pPr>
      <w:bookmarkStart w:id="58" w:name="_Toc205703104"/>
      <w:bookmarkStart w:id="59" w:name="_Toc209261367"/>
      <w:bookmarkStart w:id="60" w:name="_Toc204491319"/>
      <w:bookmarkStart w:id="61" w:name="_Toc214365792"/>
      <w:bookmarkStart w:id="62" w:name="_Toc227057035"/>
      <w:bookmarkStart w:id="63" w:name="_Toc227056848"/>
      <w:bookmarkStart w:id="64" w:name="_Toc215415532"/>
      <w:bookmarkStart w:id="65" w:name="_Toc216667822"/>
      <w:bookmarkStart w:id="66" w:name="_Toc207609183"/>
      <w:bookmarkStart w:id="67" w:name="_Toc217460687"/>
      <w:bookmarkStart w:id="68" w:name="_Toc205877454"/>
      <w:bookmarkStart w:id="69" w:name="_Toc209332635"/>
      <w:bookmarkStart w:id="70" w:name="_Toc205005288"/>
      <w:bookmarkStart w:id="71" w:name="_Toc210879710"/>
      <w:bookmarkStart w:id="72" w:name="_Toc209261434"/>
      <w:bookmarkStart w:id="73" w:name="_Toc227489889"/>
      <w:bookmarkStart w:id="74" w:name="_Toc218041728"/>
      <w:bookmarkStart w:id="75" w:name="_Toc204578577"/>
      <w:bookmarkStart w:id="76" w:name="_Toc219538615"/>
      <w:bookmarkStart w:id="77" w:name="_Toc223933223"/>
      <w:bookmarkStart w:id="78" w:name="_Toc205877559"/>
      <w:bookmarkStart w:id="79" w:name="_Toc205004970"/>
      <w:bookmarkStart w:id="80" w:name="_Toc209250721"/>
      <w:bookmarkStart w:id="81" w:name="_Toc223717606"/>
      <w:bookmarkStart w:id="82" w:name="_Toc209251129"/>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240FC5F">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14:paraId="252962C4">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14:paraId="3CF063BE">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14:paraId="40FA795C">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14:paraId="02B6E5D1">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2DC0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14:paraId="205DB1D3">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1D9E1A10">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6C2B339E">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1A65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6405379">
            <w:pPr>
              <w:jc w:val="center"/>
              <w:rPr>
                <w:rFonts w:hint="eastAsia" w:ascii="宋体" w:hAnsi="宋体" w:eastAsia="宋体" w:cs="宋体"/>
                <w:b/>
                <w:sz w:val="18"/>
                <w:szCs w:val="18"/>
                <w:highlight w:val="none"/>
              </w:rPr>
            </w:pPr>
          </w:p>
        </w:tc>
        <w:tc>
          <w:tcPr>
            <w:tcW w:w="7122" w:type="dxa"/>
            <w:vAlign w:val="center"/>
          </w:tcPr>
          <w:p w14:paraId="281910B7">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14:paraId="33636D90">
            <w:pPr>
              <w:jc w:val="center"/>
              <w:rPr>
                <w:rFonts w:hint="eastAsia" w:ascii="宋体" w:hAnsi="宋体" w:eastAsia="宋体" w:cs="宋体"/>
                <w:b/>
                <w:sz w:val="18"/>
                <w:szCs w:val="18"/>
                <w:highlight w:val="none"/>
              </w:rPr>
            </w:pPr>
          </w:p>
        </w:tc>
      </w:tr>
      <w:tr w14:paraId="0AF4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688015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7FA32067">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66393E9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5A8D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218943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66F09EF">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4FF726F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0AA5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97BE61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7540A958">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70BCB7D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2D12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FFF9B9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1E4E3499">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59A69D8A">
            <w:pPr>
              <w:jc w:val="center"/>
              <w:rPr>
                <w:rFonts w:hint="eastAsia" w:ascii="宋体" w:hAnsi="宋体" w:eastAsia="宋体" w:cs="宋体"/>
                <w:sz w:val="18"/>
                <w:szCs w:val="18"/>
                <w:highlight w:val="none"/>
              </w:rPr>
            </w:pPr>
          </w:p>
        </w:tc>
      </w:tr>
      <w:tr w14:paraId="4FE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B9D4AE5">
            <w:pPr>
              <w:jc w:val="center"/>
              <w:rPr>
                <w:rFonts w:hint="eastAsia" w:ascii="宋体" w:hAnsi="宋体" w:eastAsia="宋体" w:cs="宋体"/>
                <w:sz w:val="18"/>
                <w:szCs w:val="18"/>
                <w:highlight w:val="none"/>
              </w:rPr>
            </w:pPr>
          </w:p>
        </w:tc>
        <w:tc>
          <w:tcPr>
            <w:tcW w:w="7122" w:type="dxa"/>
            <w:vAlign w:val="center"/>
          </w:tcPr>
          <w:p w14:paraId="46701A22">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7D66144E">
            <w:pPr>
              <w:jc w:val="center"/>
              <w:rPr>
                <w:rFonts w:hint="eastAsia" w:ascii="宋体" w:hAnsi="宋体" w:eastAsia="宋体" w:cs="宋体"/>
                <w:sz w:val="18"/>
                <w:szCs w:val="18"/>
                <w:highlight w:val="none"/>
              </w:rPr>
            </w:pPr>
          </w:p>
        </w:tc>
      </w:tr>
      <w:tr w14:paraId="5E63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E8ABD4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13B8F8BF">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575BF95F">
            <w:pPr>
              <w:jc w:val="center"/>
              <w:rPr>
                <w:rFonts w:hint="eastAsia" w:ascii="宋体" w:hAnsi="宋体" w:eastAsia="宋体" w:cs="宋体"/>
                <w:sz w:val="18"/>
                <w:szCs w:val="18"/>
                <w:highlight w:val="none"/>
              </w:rPr>
            </w:pPr>
          </w:p>
        </w:tc>
      </w:tr>
      <w:tr w14:paraId="09BD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C97A7C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6717DB8D">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14:paraId="4B79C9C2">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0FA2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4C9BFA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6542037A">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参加国企采购活动前三年内，在经营活动中没有重大违法记录。请在投标声明书中如实填写（新成立不满三年的组织机构自成立之日起算）</w:t>
            </w:r>
          </w:p>
        </w:tc>
        <w:tc>
          <w:tcPr>
            <w:tcW w:w="1105" w:type="dxa"/>
            <w:vAlign w:val="center"/>
          </w:tcPr>
          <w:p w14:paraId="7244F607">
            <w:pPr>
              <w:jc w:val="center"/>
              <w:rPr>
                <w:rFonts w:hint="eastAsia" w:ascii="宋体" w:hAnsi="宋体" w:eastAsia="宋体" w:cs="宋体"/>
                <w:sz w:val="18"/>
                <w:szCs w:val="18"/>
                <w:highlight w:val="none"/>
              </w:rPr>
            </w:pPr>
          </w:p>
        </w:tc>
      </w:tr>
      <w:tr w14:paraId="005C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FF7E08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7054CA34">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5D49C012">
            <w:pPr>
              <w:jc w:val="center"/>
              <w:rPr>
                <w:rFonts w:hint="eastAsia" w:ascii="宋体" w:hAnsi="宋体" w:eastAsia="宋体" w:cs="宋体"/>
                <w:sz w:val="18"/>
                <w:szCs w:val="18"/>
                <w:highlight w:val="none"/>
              </w:rPr>
            </w:pPr>
          </w:p>
        </w:tc>
      </w:tr>
      <w:tr w14:paraId="65F4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C613A7B">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14:paraId="4DC6F840">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14:paraId="4CA411B8">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14:paraId="2F2F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CCFFB5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14:paraId="58B0855A">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14:paraId="39F05B19">
            <w:pPr>
              <w:jc w:val="center"/>
              <w:rPr>
                <w:rFonts w:hint="eastAsia" w:ascii="宋体" w:hAnsi="宋体" w:eastAsia="宋体" w:cs="宋体"/>
                <w:sz w:val="18"/>
                <w:szCs w:val="18"/>
                <w:highlight w:val="none"/>
              </w:rPr>
            </w:pPr>
          </w:p>
        </w:tc>
      </w:tr>
      <w:tr w14:paraId="2130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50CEE8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14:paraId="181D68B4">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14:paraId="581B7AF4">
            <w:pPr>
              <w:jc w:val="center"/>
              <w:rPr>
                <w:rFonts w:hint="eastAsia" w:ascii="宋体" w:hAnsi="宋体" w:eastAsia="宋体" w:cs="宋体"/>
                <w:sz w:val="18"/>
                <w:szCs w:val="18"/>
                <w:highlight w:val="none"/>
              </w:rPr>
            </w:pPr>
          </w:p>
        </w:tc>
      </w:tr>
      <w:tr w14:paraId="2C43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EE78AA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14:paraId="061ECFE6">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14:paraId="699381AE">
            <w:pPr>
              <w:jc w:val="center"/>
              <w:rPr>
                <w:rFonts w:hint="eastAsia" w:ascii="宋体" w:hAnsi="宋体" w:eastAsia="宋体" w:cs="宋体"/>
                <w:sz w:val="18"/>
                <w:szCs w:val="18"/>
                <w:highlight w:val="none"/>
              </w:rPr>
            </w:pPr>
          </w:p>
        </w:tc>
      </w:tr>
      <w:tr w14:paraId="3FB1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A14D64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14:paraId="160B7D34">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14:paraId="5404432A">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14:paraId="0F3E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9FAAAE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14:paraId="3356DBF4">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14:paraId="34269CB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14:paraId="6A0E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1BB373E">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14:paraId="74BD849A">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14:paraId="4DC4944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14:paraId="7922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DF32417">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14:paraId="459985B2">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2021年1月1日以来</w:t>
            </w:r>
            <w:r>
              <w:rPr>
                <w:rFonts w:hint="eastAsia" w:ascii="宋体" w:hAnsi="宋体" w:eastAsia="宋体" w:cs="宋体"/>
                <w:sz w:val="18"/>
                <w:szCs w:val="18"/>
                <w:highlight w:val="none"/>
              </w:rPr>
              <w:t>同类项目业绩一览表</w:t>
            </w:r>
          </w:p>
        </w:tc>
        <w:tc>
          <w:tcPr>
            <w:tcW w:w="1105" w:type="dxa"/>
            <w:vAlign w:val="center"/>
          </w:tcPr>
          <w:p w14:paraId="6EEEA4DF">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14:paraId="45B0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22F3DC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shd w:val="clear" w:color="auto" w:fill="auto"/>
            <w:vAlign w:val="center"/>
          </w:tcPr>
          <w:p w14:paraId="0C10DCDA">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14:paraId="4E9D0225">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14:paraId="2CAA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8903E6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shd w:val="clear" w:color="auto" w:fill="auto"/>
            <w:vAlign w:val="center"/>
          </w:tcPr>
          <w:p w14:paraId="311E6B74">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rPr>
              <w:t>根据采购文件中的采购内容及要求以及技术资信评分项目逐项编制</w:t>
            </w:r>
            <w:r>
              <w:rPr>
                <w:rFonts w:hint="eastAsia" w:ascii="宋体" w:hAnsi="宋体" w:eastAsia="宋体" w:cs="宋体"/>
                <w:sz w:val="18"/>
                <w:szCs w:val="18"/>
                <w:highlight w:val="none"/>
                <w:lang w:eastAsia="zh-CN"/>
              </w:rPr>
              <w:t>）</w:t>
            </w:r>
          </w:p>
        </w:tc>
        <w:tc>
          <w:tcPr>
            <w:tcW w:w="1105" w:type="dxa"/>
            <w:vAlign w:val="center"/>
          </w:tcPr>
          <w:p w14:paraId="33969362">
            <w:pPr>
              <w:jc w:val="center"/>
              <w:rPr>
                <w:rFonts w:hint="eastAsia" w:ascii="宋体" w:hAnsi="宋体" w:eastAsia="宋体" w:cs="宋体"/>
                <w:sz w:val="18"/>
                <w:szCs w:val="18"/>
                <w:highlight w:val="none"/>
                <w:lang w:val="en-US" w:eastAsia="zh-CN"/>
              </w:rPr>
            </w:pPr>
          </w:p>
        </w:tc>
      </w:tr>
    </w:tbl>
    <w:p w14:paraId="6A355873">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14:paraId="43C17205">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1）投标供应商可根据采购文件中的技术规格书以及技术资信评分表，提供投标供应商认为需要提供的文件和资料。</w:t>
      </w:r>
    </w:p>
    <w:p w14:paraId="3CDD5449">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2）投标文件中应承诺：投标供应商所提供的服务及货物在合同执行过程中如若发生侵权事件，其侵权责任与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代理机构无关，由投标供应商承担全部责任。侵权造成的所有相关费用，均由投标供应商支付，保证不伤害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14:paraId="026BFCCB">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以上所需的各种证书、证件、证明、执照若系复印件，须在复印件上加盖投标供应商有效的公章</w:t>
      </w:r>
      <w:r>
        <w:rPr>
          <w:rFonts w:hint="eastAsia" w:ascii="宋体" w:hAnsi="宋体" w:eastAsia="宋体" w:cs="宋体"/>
          <w:sz w:val="22"/>
          <w:highlight w:val="none"/>
        </w:rPr>
        <w:t>。</w:t>
      </w:r>
    </w:p>
    <w:p w14:paraId="77246E9F">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4）投标供应商可在采购文件中对采购服务的技术规格和要求选用替代标准，但这些替代标准必须相当于或优于采购文件中提出的相应要求，并使采购人满意。同时在技术偏离表中作出详细说明。</w:t>
      </w:r>
    </w:p>
    <w:p w14:paraId="2BF2BE64">
      <w:pPr>
        <w:tabs>
          <w:tab w:val="left" w:pos="5355"/>
        </w:tabs>
        <w:rPr>
          <w:rFonts w:hint="eastAsia" w:ascii="宋体" w:hAnsi="宋体" w:eastAsia="宋体" w:cs="宋体"/>
          <w:b/>
          <w:sz w:val="22"/>
          <w:highlight w:val="none"/>
        </w:rPr>
      </w:pPr>
    </w:p>
    <w:p w14:paraId="6F83D4B4">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4511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75BD2E8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14:paraId="6F7BC8A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14:paraId="24426CA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14:paraId="4C3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193054D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14:paraId="3EC2E0DB">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14:paraId="27A27EE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一</w:t>
            </w:r>
          </w:p>
        </w:tc>
      </w:tr>
      <w:tr w14:paraId="5AE5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EC7D64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14:paraId="3152031B">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14:paraId="4065CE2F">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二</w:t>
            </w:r>
          </w:p>
        </w:tc>
      </w:tr>
    </w:tbl>
    <w:p w14:paraId="31879A85">
      <w:pPr>
        <w:rPr>
          <w:rFonts w:hint="eastAsia" w:ascii="宋体" w:hAnsi="宋体" w:eastAsia="宋体" w:cs="宋体"/>
          <w:b/>
          <w:sz w:val="22"/>
          <w:highlight w:val="none"/>
        </w:rPr>
      </w:pPr>
    </w:p>
    <w:p w14:paraId="7E5F4C56">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14:paraId="27431B0C">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14:paraId="450F950A">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14:paraId="00E50F5A">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投标文件尽可能简练有针对性，双面打印/复印后装订。</w:t>
      </w:r>
    </w:p>
    <w:p w14:paraId="6B5FEDC7">
      <w:pPr>
        <w:numPr>
          <w:ilvl w:val="0"/>
          <w:numId w:val="3"/>
        </w:numPr>
        <w:tabs>
          <w:tab w:val="left" w:pos="525"/>
          <w:tab w:val="left" w:pos="900"/>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投标报价</w:t>
      </w:r>
    </w:p>
    <w:p w14:paraId="3DA6BCCF">
      <w:pPr>
        <w:ind w:left="526" w:hanging="526" w:hangingChars="238"/>
        <w:rPr>
          <w:rFonts w:hint="eastAsia" w:ascii="宋体" w:hAnsi="宋体" w:eastAsia="宋体" w:cs="宋体"/>
          <w:b/>
          <w:bCs/>
          <w:sz w:val="22"/>
          <w:szCs w:val="22"/>
          <w:highlight w:val="none"/>
        </w:rPr>
      </w:pPr>
      <w:r>
        <w:rPr>
          <w:rFonts w:hint="eastAsia" w:ascii="宋体" w:hAnsi="宋体" w:eastAsia="宋体" w:cs="宋体"/>
          <w:b/>
          <w:bCs/>
          <w:sz w:val="22"/>
          <w:highlight w:val="none"/>
        </w:rPr>
        <w:t>12.1</w:t>
      </w:r>
      <w:r>
        <w:rPr>
          <w:rFonts w:hint="eastAsia" w:ascii="宋体" w:hAnsi="宋体" w:eastAsia="宋体" w:cs="宋体"/>
          <w:b/>
          <w:bCs/>
          <w:sz w:val="22"/>
          <w:szCs w:val="22"/>
          <w:highlight w:val="none"/>
        </w:rPr>
        <w:t xml:space="preserve"> </w:t>
      </w:r>
      <w:r>
        <w:rPr>
          <w:rFonts w:hint="eastAsia" w:ascii="宋体" w:hAnsi="宋体" w:eastAsia="宋体" w:cs="宋体"/>
          <w:b/>
          <w:sz w:val="22"/>
          <w:szCs w:val="22"/>
          <w:highlight w:val="none"/>
          <w:u w:val="single"/>
        </w:rPr>
        <w:t>▲本项目投标报价为期限壹年的承包费用报价。投标报价是指</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在正确地完全履行合同义务后</w:t>
      </w:r>
      <w:r>
        <w:rPr>
          <w:rFonts w:hint="eastAsia" w:ascii="宋体" w:hAnsi="宋体" w:eastAsia="宋体" w:cs="宋体"/>
          <w:b/>
          <w:sz w:val="22"/>
          <w:szCs w:val="22"/>
          <w:highlight w:val="none"/>
          <w:u w:val="single"/>
          <w:lang w:val="en-US" w:eastAsia="zh-CN"/>
        </w:rPr>
        <w:t>采购人</w:t>
      </w:r>
      <w:r>
        <w:rPr>
          <w:rFonts w:hint="eastAsia" w:ascii="宋体" w:hAnsi="宋体" w:eastAsia="宋体" w:cs="宋体"/>
          <w:b/>
          <w:sz w:val="22"/>
          <w:szCs w:val="22"/>
          <w:highlight w:val="none"/>
          <w:u w:val="single"/>
        </w:rPr>
        <w:t>应支付给</w:t>
      </w:r>
      <w:r>
        <w:rPr>
          <w:rFonts w:hint="eastAsia" w:ascii="宋体" w:hAnsi="宋体" w:eastAsia="宋体" w:cs="宋体"/>
          <w:b/>
          <w:sz w:val="22"/>
          <w:szCs w:val="22"/>
          <w:highlight w:val="none"/>
          <w:u w:val="single"/>
          <w:lang w:val="en-US" w:eastAsia="zh-CN"/>
        </w:rPr>
        <w:t>供应商</w:t>
      </w:r>
      <w:r>
        <w:rPr>
          <w:rFonts w:hint="eastAsia" w:ascii="宋体" w:hAnsi="宋体" w:eastAsia="宋体" w:cs="宋体"/>
          <w:b/>
          <w:sz w:val="22"/>
          <w:szCs w:val="22"/>
          <w:highlight w:val="none"/>
          <w:u w:val="single"/>
        </w:rPr>
        <w:t>所有的价款，包括但不限于所有服务所需的人工费（包括工人工资、奖金、房补、劳保福利、社保、工伤费、教育培训费、暂住费及处理一切伤亡事故等费用）、消防远程监控维保费用、服装摊销、除四害费用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r>
        <w:rPr>
          <w:rFonts w:hint="eastAsia" w:ascii="宋体" w:hAnsi="宋体" w:eastAsia="宋体" w:cs="宋体"/>
          <w:b/>
          <w:bCs/>
          <w:sz w:val="22"/>
          <w:szCs w:val="22"/>
          <w:highlight w:val="none"/>
        </w:rPr>
        <w:t>。</w:t>
      </w:r>
    </w:p>
    <w:p w14:paraId="06856265">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4B537661">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14:paraId="4EFBF66C">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14:paraId="5722AD71">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14:paraId="1A79E141">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14:paraId="17156ECB">
      <w:pPr>
        <w:keepNext w:val="0"/>
        <w:keepLines w:val="0"/>
        <w:pageBreakBefore w:val="0"/>
        <w:widowControl w:val="0"/>
        <w:tabs>
          <w:tab w:val="left" w:pos="-180"/>
          <w:tab w:val="left" w:pos="180"/>
          <w:tab w:val="left" w:pos="360"/>
        </w:tabs>
        <w:kinsoku/>
        <w:wordWrap w:val="0"/>
        <w:overflowPunct/>
        <w:topLinePunct w:val="0"/>
        <w:autoSpaceDE/>
        <w:autoSpaceDN/>
        <w:bidi w:val="0"/>
        <w:adjustRightInd/>
        <w:snapToGrid/>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14:paraId="3CB8C347">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14:paraId="146B953F">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14:paraId="2EEEE628">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投标人须按投标人须知前附表规定交纳投标保证金，否则将</w:t>
      </w:r>
      <w:r>
        <w:rPr>
          <w:rFonts w:hint="eastAsia" w:ascii="宋体" w:hAnsi="宋体" w:eastAsia="宋体" w:cs="宋体"/>
          <w:b/>
          <w:bCs/>
          <w:sz w:val="22"/>
          <w:highlight w:val="none"/>
          <w:u w:val="single"/>
          <w:lang w:val="en-US" w:eastAsia="zh-CN"/>
        </w:rPr>
        <w:t>作无效标处理</w:t>
      </w:r>
      <w:r>
        <w:rPr>
          <w:rFonts w:hint="eastAsia" w:ascii="宋体" w:hAnsi="宋体" w:eastAsia="宋体" w:cs="宋体"/>
          <w:sz w:val="22"/>
          <w:highlight w:val="none"/>
        </w:rPr>
        <w:t>。</w:t>
      </w:r>
    </w:p>
    <w:p w14:paraId="512D7237">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13.2</w:t>
      </w:r>
      <w:r>
        <w:rPr>
          <w:rFonts w:hint="eastAsia" w:ascii="宋体" w:hAnsi="宋体" w:eastAsia="宋体" w:cs="宋体"/>
          <w:b/>
          <w:bCs/>
          <w:sz w:val="22"/>
          <w:highlight w:val="none"/>
          <w:u w:val="single"/>
        </w:rPr>
        <w:t>投标保证金金额及形式详见采购公告及投标须知前附表规定。</w:t>
      </w:r>
    </w:p>
    <w:p w14:paraId="2B8B8D36">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sz w:val="22"/>
          <w:highlight w:val="none"/>
        </w:rPr>
        <w:t>13.3 投标人的投标保证金在中标人提交履约担保并与采购人签订了合同且合同经备案后无息退还，未中标投标人的投标保证金将在确定中标人后无息退还。</w:t>
      </w:r>
    </w:p>
    <w:p w14:paraId="27378ABE">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14:paraId="326A22BD">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14:paraId="669FEE8A">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14:paraId="7D92D875">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14:paraId="5A7840B3">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14:paraId="0F60869F">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经国企采购监督管理部门审查认定投标供应商有违反《温州市市属国有企业采购管理办法（试行）》等有关法律法规的行为。</w:t>
      </w:r>
    </w:p>
    <w:p w14:paraId="2691A27A">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14:paraId="1581BB7E">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14:paraId="0D1BB258">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14:paraId="7FF17FBB">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14:paraId="18B8C42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14:paraId="60AEA87C">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14:paraId="09EF4D58">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14:paraId="70E8C8B7">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14:paraId="0B2D7893">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14:paraId="19EDB157">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14:paraId="1A3DF01D">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封皮上写明投标项目名称、采购编号，并注明“开标时启封”字样。</w:t>
      </w:r>
    </w:p>
    <w:p w14:paraId="73139E8A">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14:paraId="76EC5412">
      <w:pPr>
        <w:spacing w:before="156" w:beforeLines="50" w:after="156" w:afterLines="50"/>
        <w:jc w:val="center"/>
        <w:rPr>
          <w:rFonts w:hint="eastAsia" w:ascii="宋体" w:hAnsi="宋体" w:eastAsia="宋体" w:cs="宋体"/>
          <w:b/>
          <w:sz w:val="28"/>
          <w:szCs w:val="28"/>
          <w:highlight w:val="none"/>
        </w:rPr>
      </w:pPr>
      <w:bookmarkStart w:id="83" w:name="_Toc217460688"/>
      <w:bookmarkStart w:id="84" w:name="_Toc205877455"/>
      <w:bookmarkStart w:id="85" w:name="_Toc219538616"/>
      <w:bookmarkStart w:id="86" w:name="_Toc205005289"/>
      <w:bookmarkStart w:id="87" w:name="_Toc216667823"/>
      <w:bookmarkStart w:id="88" w:name="_Toc209251130"/>
      <w:bookmarkStart w:id="89" w:name="_Toc227057036"/>
      <w:bookmarkStart w:id="90" w:name="_Toc223933224"/>
      <w:bookmarkStart w:id="91" w:name="_Toc209332636"/>
      <w:bookmarkStart w:id="92" w:name="_Toc223717607"/>
      <w:bookmarkStart w:id="93" w:name="_Toc209261435"/>
      <w:bookmarkStart w:id="94" w:name="_Toc227056849"/>
      <w:bookmarkStart w:id="95" w:name="_Toc227489890"/>
      <w:bookmarkStart w:id="96" w:name="_Toc204491320"/>
      <w:bookmarkStart w:id="97" w:name="_Toc218041729"/>
      <w:bookmarkStart w:id="98" w:name="_Toc207609184"/>
      <w:bookmarkStart w:id="99" w:name="_Toc204578578"/>
      <w:bookmarkStart w:id="100" w:name="_Toc210879711"/>
      <w:bookmarkStart w:id="101" w:name="_Toc209250722"/>
      <w:bookmarkStart w:id="102" w:name="_Toc214365793"/>
      <w:bookmarkStart w:id="103" w:name="_Toc205703105"/>
      <w:bookmarkStart w:id="104" w:name="_Toc215415533"/>
      <w:bookmarkStart w:id="105" w:name="_Toc205877560"/>
      <w:bookmarkStart w:id="106" w:name="_Toc209261368"/>
      <w:bookmarkStart w:id="107" w:name="_Toc205004971"/>
      <w:r>
        <w:rPr>
          <w:rFonts w:hint="eastAsia" w:ascii="宋体" w:hAnsi="宋体" w:eastAsia="宋体" w:cs="宋体"/>
          <w:b/>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94A626A">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14:paraId="5759AD83">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14:paraId="0AB2CC53">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14:paraId="1F07A54A">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14:paraId="6DDE8314">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w:t>
      </w:r>
    </w:p>
    <w:p w14:paraId="3135ADCF">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14:paraId="19D1E486">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14:paraId="22C3576B">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14:paraId="097D1444">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补充、修改的内容作为投标文件的组成部分。补充、修改的内容与投标文件不一致的，以补充、修改的内容为准。投标供应商在提交投标文件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14:paraId="7A99FAB1">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14:paraId="76EF3795">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14:paraId="3012D33D">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14:paraId="029597CA">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14:paraId="6B6689F4">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14:paraId="0913C8B9">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w:t>
      </w:r>
      <w:r>
        <w:rPr>
          <w:rFonts w:hint="eastAsia" w:ascii="宋体" w:hAnsi="宋体" w:eastAsia="宋体" w:cs="宋体"/>
          <w:bCs/>
          <w:sz w:val="22"/>
          <w:highlight w:val="none"/>
          <w:u w:val="single"/>
          <w:lang w:val="en-US" w:eastAsia="zh-CN"/>
        </w:rPr>
        <w:t>时</w:t>
      </w:r>
      <w:r>
        <w:rPr>
          <w:rFonts w:hint="eastAsia" w:ascii="宋体" w:hAnsi="宋体" w:eastAsia="宋体" w:cs="宋体"/>
          <w:bCs/>
          <w:sz w:val="22"/>
          <w:highlight w:val="none"/>
          <w:u w:val="single"/>
        </w:rPr>
        <w:t>严重破损或失散的投标文件；</w:t>
      </w:r>
    </w:p>
    <w:p w14:paraId="726374D4">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14:paraId="56BFF0F4">
      <w:pPr>
        <w:spacing w:before="156" w:beforeLines="50" w:after="156" w:afterLines="50"/>
        <w:jc w:val="center"/>
        <w:rPr>
          <w:rFonts w:hint="eastAsia" w:ascii="宋体" w:hAnsi="宋体" w:eastAsia="宋体" w:cs="宋体"/>
          <w:b/>
          <w:sz w:val="28"/>
          <w:szCs w:val="28"/>
          <w:highlight w:val="none"/>
        </w:rPr>
      </w:pPr>
      <w:bookmarkStart w:id="108" w:name="_Toc215415534"/>
      <w:bookmarkStart w:id="109" w:name="_Toc227057037"/>
      <w:bookmarkStart w:id="110" w:name="_Toc214365794"/>
      <w:bookmarkStart w:id="111" w:name="_Toc205877561"/>
      <w:bookmarkStart w:id="112" w:name="_Toc217460689"/>
      <w:bookmarkStart w:id="113" w:name="_Toc205703106"/>
      <w:bookmarkStart w:id="114" w:name="_Toc227489891"/>
      <w:bookmarkStart w:id="115" w:name="_Toc204578579"/>
      <w:bookmarkStart w:id="116" w:name="_Toc218041730"/>
      <w:bookmarkStart w:id="117" w:name="_Toc209251131"/>
      <w:bookmarkStart w:id="118" w:name="_Toc210879712"/>
      <w:bookmarkStart w:id="119" w:name="_Toc209261436"/>
      <w:bookmarkStart w:id="120" w:name="_Toc207609185"/>
      <w:bookmarkStart w:id="121" w:name="_Toc219538617"/>
      <w:bookmarkStart w:id="122" w:name="_Toc227056850"/>
      <w:bookmarkStart w:id="123" w:name="_Toc204491321"/>
      <w:bookmarkStart w:id="124" w:name="_Toc205877456"/>
      <w:bookmarkStart w:id="125" w:name="_Toc205005290"/>
      <w:bookmarkStart w:id="126" w:name="_Toc223717608"/>
      <w:bookmarkStart w:id="127" w:name="_Toc209332637"/>
      <w:bookmarkStart w:id="128" w:name="_Toc209250723"/>
      <w:bookmarkStart w:id="129" w:name="_Toc216667824"/>
      <w:bookmarkStart w:id="130" w:name="_Toc223933225"/>
      <w:bookmarkStart w:id="131" w:name="_Toc205004972"/>
      <w:bookmarkStart w:id="132" w:name="_Toc209261369"/>
      <w:r>
        <w:rPr>
          <w:rFonts w:hint="eastAsia" w:ascii="宋体" w:hAnsi="宋体" w:eastAsia="宋体" w:cs="宋体"/>
          <w:b/>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F9E3AB8">
      <w:pPr>
        <w:numPr>
          <w:ilvl w:val="0"/>
          <w:numId w:val="3"/>
        </w:numPr>
        <w:tabs>
          <w:tab w:val="left" w:pos="525"/>
          <w:tab w:val="left" w:pos="900"/>
        </w:tabs>
        <w:ind w:left="525" w:hanging="525"/>
        <w:rPr>
          <w:rFonts w:hint="eastAsia" w:ascii="宋体" w:hAnsi="宋体" w:eastAsia="宋体" w:cs="宋体"/>
          <w:sz w:val="22"/>
          <w:highlight w:val="none"/>
        </w:rPr>
      </w:pPr>
      <w:bookmarkStart w:id="133" w:name="_Toc207609186"/>
      <w:bookmarkStart w:id="134" w:name="_Toc218041731"/>
      <w:bookmarkStart w:id="135" w:name="_Toc227056851"/>
      <w:bookmarkStart w:id="136" w:name="_Toc209250724"/>
      <w:bookmarkStart w:id="137" w:name="_Toc205005291"/>
      <w:bookmarkStart w:id="138" w:name="_Toc205004973"/>
      <w:bookmarkStart w:id="139" w:name="_Toc217460690"/>
      <w:bookmarkStart w:id="140" w:name="_Toc209332638"/>
      <w:bookmarkStart w:id="141" w:name="_Toc204578580"/>
      <w:bookmarkStart w:id="142" w:name="_Toc204491322"/>
      <w:bookmarkStart w:id="143" w:name="_Toc205703107"/>
      <w:bookmarkStart w:id="144" w:name="_Toc214365795"/>
      <w:bookmarkStart w:id="145" w:name="_Toc210879713"/>
      <w:bookmarkStart w:id="146" w:name="_Toc209261437"/>
      <w:bookmarkStart w:id="147" w:name="_Toc209261370"/>
      <w:bookmarkStart w:id="148" w:name="_Toc209251132"/>
      <w:bookmarkStart w:id="149" w:name="_Toc216667825"/>
      <w:bookmarkStart w:id="150" w:name="_Toc227057038"/>
      <w:bookmarkStart w:id="151" w:name="_Toc205877562"/>
      <w:bookmarkStart w:id="152" w:name="_Toc223717609"/>
      <w:bookmarkStart w:id="153" w:name="_Toc227489892"/>
      <w:bookmarkStart w:id="154" w:name="_Toc219538618"/>
      <w:bookmarkStart w:id="155" w:name="_Toc223933226"/>
      <w:bookmarkStart w:id="156" w:name="_Toc205877457"/>
      <w:bookmarkStart w:id="157" w:name="_Toc215415535"/>
      <w:r>
        <w:rPr>
          <w:rFonts w:hint="eastAsia" w:ascii="宋体" w:hAnsi="宋体" w:eastAsia="宋体" w:cs="宋体"/>
          <w:sz w:val="22"/>
          <w:highlight w:val="none"/>
        </w:rPr>
        <w:t>评标委员会</w:t>
      </w:r>
    </w:p>
    <w:p w14:paraId="12A707EE">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14:paraId="005C49D2">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14:paraId="28214548">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14:paraId="0F57B834">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14:paraId="36DA25FF">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14:paraId="7E5A2A3A">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14:paraId="59CB9ACE">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公布在投标截止时间前递交投标文件的投标供应商名称，并点名确认投标供应商是否派授权代表到场；</w:t>
      </w:r>
    </w:p>
    <w:p w14:paraId="60BDBBC8">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14:paraId="34241E27">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密封情况检查：由投标供应商或其推选的代表检查投标文件密封情况；</w:t>
      </w:r>
    </w:p>
    <w:p w14:paraId="124AB540">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14:paraId="4FF94FB6">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确认开标结果：投标供应商授权代表对开标书面记录进行当场校核及勘误，并签字确认；并同时由记录人、核对人当场签字确认。</w:t>
      </w:r>
    </w:p>
    <w:p w14:paraId="3226FA76">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14:paraId="725F2A35">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投标供应商授权代表未参加开标会议；未到场签字确认的，不影响开标，评标过程，视同认可开标结果；事后不得对采购相关人员、开标过程和开标结果提出异议。</w:t>
      </w:r>
    </w:p>
    <w:p w14:paraId="3FCE0DD1">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14:paraId="55CAE47A">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14:paraId="659165C7">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14:paraId="11A5827E">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p>
    <w:p w14:paraId="6E055B98">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▲通过资格性审查与符合性审查的技术资信标由评委进行综合评审，审查确认未通过的作无效标处理。</w:t>
      </w:r>
    </w:p>
    <w:p w14:paraId="2B645641">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14:paraId="502D0AF6">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14:paraId="197D02F9">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14:paraId="1F2A8A8A">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14:paraId="5C84BFC1">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14:paraId="46E03D63">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14:paraId="35C887BE">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14:paraId="2F909521">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投标报价超过</w:t>
      </w:r>
      <w:r>
        <w:rPr>
          <w:rFonts w:hint="eastAsia" w:ascii="宋体" w:hAnsi="宋体" w:eastAsia="宋体" w:cs="宋体"/>
          <w:bCs/>
          <w:sz w:val="22"/>
          <w:highlight w:val="none"/>
          <w:u w:val="single"/>
          <w:lang w:eastAsia="zh-CN"/>
        </w:rPr>
        <w:t>采购预算</w:t>
      </w:r>
      <w:r>
        <w:rPr>
          <w:rFonts w:hint="eastAsia" w:ascii="宋体" w:hAnsi="宋体" w:eastAsia="宋体" w:cs="宋体"/>
          <w:bCs/>
          <w:sz w:val="22"/>
          <w:highlight w:val="none"/>
          <w:u w:val="single"/>
        </w:rPr>
        <w:t>（大于</w:t>
      </w:r>
      <w:r>
        <w:rPr>
          <w:rFonts w:hint="eastAsia" w:ascii="宋体" w:hAnsi="宋体" w:eastAsia="宋体" w:cs="宋体"/>
          <w:bCs/>
          <w:sz w:val="22"/>
          <w:highlight w:val="none"/>
          <w:u w:val="single"/>
          <w:lang w:val="en-US" w:eastAsia="zh-CN"/>
        </w:rPr>
        <w:t>384</w:t>
      </w:r>
      <w:r>
        <w:rPr>
          <w:rFonts w:hint="eastAsia" w:ascii="宋体" w:hAnsi="宋体" w:eastAsia="宋体" w:cs="宋体"/>
          <w:bCs/>
          <w:sz w:val="22"/>
          <w:highlight w:val="none"/>
          <w:u w:val="single"/>
        </w:rPr>
        <w:t>万元）的；</w:t>
      </w:r>
    </w:p>
    <w:p w14:paraId="4730B7DF">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14:paraId="1EA16625">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14:paraId="05F59AE7">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14:paraId="1DAE5350">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14:paraId="26E438F7">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val="en-US" w:eastAsia="zh-CN"/>
        </w:rPr>
        <w:t>采购</w:t>
      </w:r>
      <w:r>
        <w:rPr>
          <w:rFonts w:hint="eastAsia" w:ascii="宋体" w:hAnsi="宋体" w:eastAsia="宋体" w:cs="宋体"/>
          <w:kern w:val="0"/>
          <w:sz w:val="22"/>
          <w:highlight w:val="none"/>
          <w:u w:val="single"/>
        </w:rPr>
        <w:t>内容及要求”中的主要</w:t>
      </w:r>
      <w:r>
        <w:rPr>
          <w:rFonts w:hint="eastAsia" w:ascii="宋体" w:hAnsi="宋体" w:eastAsia="宋体" w:cs="宋体"/>
          <w:kern w:val="0"/>
          <w:sz w:val="22"/>
          <w:highlight w:val="none"/>
          <w:u w:val="single"/>
          <w:lang w:val="en-US" w:eastAsia="zh-CN"/>
        </w:rPr>
        <w:t>服务要求</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14:paraId="6333E0C5">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14:paraId="48E61AC6">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14:paraId="529DD98F">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有下列情形之一的，视为投标供应商串通投标，其投标无效</w:t>
      </w:r>
      <w:r>
        <w:rPr>
          <w:rFonts w:hint="eastAsia" w:ascii="宋体" w:hAnsi="宋体" w:eastAsia="宋体" w:cs="宋体"/>
          <w:kern w:val="0"/>
          <w:sz w:val="22"/>
          <w:highlight w:val="none"/>
        </w:rPr>
        <w:t>：</w:t>
      </w:r>
    </w:p>
    <w:p w14:paraId="4D9464ED">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1)不同投标供应商的投标文件由同一单位或者个人编制；</w:t>
      </w:r>
    </w:p>
    <w:p w14:paraId="51E8634A">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2)不同投标供应商委托同一单位或者个人办理投标事宜；</w:t>
      </w:r>
    </w:p>
    <w:p w14:paraId="228BF9A9">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3)不同投标供应商的投标文件载明的项目管理成员或者联系人员为同一人；</w:t>
      </w:r>
    </w:p>
    <w:p w14:paraId="4F087D1E">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4）不同投标供应商的投标文件异常一致或者投标报价呈规律性差异；</w:t>
      </w:r>
    </w:p>
    <w:p w14:paraId="6DD6891D">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5）不同投标供应商的投标文件相互混装；</w:t>
      </w:r>
    </w:p>
    <w:p w14:paraId="7128C6B3">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6）不同投标供应商的投标保证金从同一单位或者个人的账户转出。</w:t>
      </w:r>
    </w:p>
    <w:p w14:paraId="771EA0DF">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14:paraId="004CA4C5">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14:paraId="2B8C9B4A">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14:paraId="6B7699E5">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14:paraId="49FE4988">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14:paraId="2B59488B">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14:paraId="64A0A09B">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14:paraId="45FE3C26">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14:paraId="64802567">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14:paraId="4FED801D">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14:paraId="3200DE17">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14:paraId="27392BBA">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14:paraId="7DB40712">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▲如果供应商的报价超出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，则该供应商的报价作无效标处理。本次采购如果所有供应商的报价均超出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，则本采购项目做废标处理。</w:t>
      </w:r>
    </w:p>
    <w:p w14:paraId="3641F9E1">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14:paraId="75DF010A">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14:paraId="3422C635">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14:paraId="3BA005F9">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14:paraId="0BD8A3D4">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14:paraId="1840D318">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14:paraId="1577D797">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679710CD">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14:paraId="75E0498B">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14:paraId="6C37A16C">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14:paraId="2C096212">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如本项目第一次采购因有效投标人数量不足3家作废标处理，根据《温州市市属国有企业采购管理办法（试行）的通知》相关条款规定，采购人将重新组织采购。</w:t>
      </w:r>
    </w:p>
    <w:p w14:paraId="6EFD8DE5">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14:paraId="07D73572">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14:paraId="7BB1D236">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14:paraId="4FE34350">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9C034D5">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确定中标供应商</w:t>
      </w:r>
    </w:p>
    <w:p w14:paraId="1111477F">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人自收到评标报告之日起5个工作日内，在评标报告确定的中标候选人名单中按顺序确定中标供应商。</w:t>
      </w:r>
    </w:p>
    <w:p w14:paraId="5BB9541B">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bCs/>
          <w:sz w:val="22"/>
          <w:highlight w:val="none"/>
        </w:rPr>
        <w:t>中标供应商确定之日起2个工作日内，在发布项目采购公告的网站上公告中标结果，中标公告期限为3日。</w:t>
      </w:r>
    </w:p>
    <w:p w14:paraId="37E9DB25">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投标人对评标结果如有异议，可在中标结果公告期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交通发展集团有限公司纪检监察室投诉。</w:t>
      </w:r>
    </w:p>
    <w:p w14:paraId="24C64B18">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14:paraId="205B27D7">
      <w:pPr>
        <w:numPr>
          <w:ilvl w:val="0"/>
          <w:numId w:val="20"/>
        </w:numPr>
        <w:tabs>
          <w:tab w:val="left" w:pos="540"/>
        </w:tabs>
        <w:ind w:left="450" w:leftChars="0" w:hanging="45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14:paraId="09F97100">
      <w:pPr>
        <w:numPr>
          <w:ilvl w:val="0"/>
          <w:numId w:val="20"/>
        </w:numPr>
        <w:tabs>
          <w:tab w:val="left" w:pos="540"/>
        </w:tabs>
        <w:ind w:left="450" w:leftChars="0" w:hanging="45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采购文件、中标投标供应商的投标文件及投标修改文件、评标过程中有关澄清文件及经双方签字的询标纪要（承诺）和中标通知书均作为合同附件。</w:t>
      </w:r>
    </w:p>
    <w:p w14:paraId="3DF392F6">
      <w:pPr>
        <w:numPr>
          <w:ilvl w:val="0"/>
          <w:numId w:val="20"/>
        </w:numPr>
        <w:tabs>
          <w:tab w:val="left" w:pos="540"/>
        </w:tabs>
        <w:ind w:left="450" w:leftChars="0" w:hanging="45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14:paraId="10714625">
      <w:pPr>
        <w:numPr>
          <w:ilvl w:val="0"/>
          <w:numId w:val="20"/>
        </w:numPr>
        <w:tabs>
          <w:tab w:val="left" w:pos="540"/>
        </w:tabs>
        <w:ind w:left="450" w:leftChars="0" w:hanging="450" w:firstLineChars="0"/>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中标投标供应商在规定时间内（30日历天）借故否认已经承诺的条件、拒签合同，以投标违约处理，其投标保证金不予退回，并赔偿采购人由此造成的直接经济损失；采购人重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新组织采购的，所需费用由原中标投标供应商承担。</w:t>
      </w:r>
    </w:p>
    <w:p w14:paraId="73A65948">
      <w:pPr>
        <w:numPr>
          <w:ilvl w:val="0"/>
          <w:numId w:val="20"/>
        </w:numPr>
        <w:tabs>
          <w:tab w:val="left" w:pos="540"/>
        </w:tabs>
        <w:ind w:left="450" w:leftChars="0" w:hanging="450" w:firstLineChars="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14:paraId="72E9C068">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14:paraId="6E9220CC">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14:paraId="71D6083A">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14:paraId="1F60D259">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14:paraId="0C56C2A7">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14:paraId="0F7192D1">
      <w:pPr>
        <w:numPr>
          <w:ilvl w:val="0"/>
          <w:numId w:val="22"/>
        </w:numPr>
        <w:tabs>
          <w:tab w:val="left" w:pos="540"/>
        </w:tabs>
        <w:ind w:left="450" w:leftChars="0" w:hanging="450" w:firstLineChars="0"/>
        <w:rPr>
          <w:rFonts w:hint="eastAsia" w:ascii="宋体" w:hAnsi="宋体" w:eastAsia="宋体" w:cs="宋体"/>
          <w:bCs/>
          <w:sz w:val="22"/>
          <w:szCs w:val="22"/>
          <w:highlight w:val="none"/>
        </w:rPr>
      </w:pPr>
      <w:bookmarkStart w:id="158" w:name="_Toc215415536"/>
      <w:bookmarkStart w:id="159" w:name="_Toc227056852"/>
      <w:bookmarkStart w:id="160" w:name="_Toc223717610"/>
      <w:bookmarkStart w:id="161" w:name="_Toc217460691"/>
      <w:bookmarkStart w:id="162" w:name="_Toc216667826"/>
      <w:bookmarkStart w:id="163" w:name="_Toc227057039"/>
      <w:bookmarkStart w:id="164" w:name="_Toc219538619"/>
      <w:bookmarkStart w:id="165" w:name="_Toc223933227"/>
      <w:bookmarkStart w:id="166" w:name="_Toc227489893"/>
      <w:bookmarkStart w:id="167" w:name="_Toc218041732"/>
      <w:r>
        <w:rPr>
          <w:rFonts w:hint="eastAsia" w:ascii="宋体" w:hAnsi="宋体" w:eastAsia="宋体" w:cs="宋体"/>
          <w:bCs/>
          <w:sz w:val="22"/>
          <w:szCs w:val="22"/>
          <w:highlight w:val="none"/>
        </w:rPr>
        <w:t>本</w:t>
      </w:r>
      <w:r>
        <w:rPr>
          <w:rFonts w:hint="eastAsia" w:ascii="宋体" w:hAnsi="宋体" w:eastAsia="宋体" w:cs="宋体"/>
          <w:b w:val="0"/>
          <w:bCs/>
          <w:sz w:val="22"/>
          <w:szCs w:val="22"/>
          <w:highlight w:val="none"/>
        </w:rPr>
        <w:t>项目</w:t>
      </w:r>
      <w:r>
        <w:rPr>
          <w:rFonts w:hint="eastAsia" w:ascii="宋体" w:hAnsi="宋体" w:eastAsia="宋体" w:cs="宋体"/>
          <w:bCs/>
          <w:sz w:val="22"/>
          <w:szCs w:val="22"/>
          <w:highlight w:val="none"/>
        </w:rPr>
        <w:t>的采购代理费</w:t>
      </w:r>
      <w:r>
        <w:rPr>
          <w:rFonts w:hint="eastAsia" w:ascii="宋体" w:hAnsi="宋体" w:eastAsia="宋体" w:cs="宋体"/>
          <w:bCs/>
          <w:sz w:val="22"/>
          <w:szCs w:val="22"/>
          <w:highlight w:val="none"/>
          <w:lang w:val="en-US" w:eastAsia="zh-CN"/>
        </w:rPr>
        <w:t>参照</w:t>
      </w:r>
      <w:r>
        <w:rPr>
          <w:rFonts w:hint="eastAsia" w:ascii="宋体" w:hAnsi="宋体" w:eastAsia="宋体" w:cs="宋体"/>
          <w:bCs/>
          <w:sz w:val="22"/>
          <w:szCs w:val="22"/>
          <w:highlight w:val="none"/>
        </w:rPr>
        <w:t>国家计委计价格［2002]1980号规定的服务类标准的80%收取</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由中标</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成交</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供应商在</w:t>
      </w:r>
      <w:r>
        <w:rPr>
          <w:rFonts w:hint="eastAsia" w:ascii="宋体" w:hAnsi="宋体" w:eastAsia="宋体" w:cs="宋体"/>
          <w:bCs/>
          <w:sz w:val="22"/>
          <w:szCs w:val="22"/>
          <w:highlight w:val="none"/>
        </w:rPr>
        <w:t>领取中标</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成交</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通知书之前支付给</w:t>
      </w:r>
      <w:r>
        <w:rPr>
          <w:rFonts w:hint="eastAsia" w:ascii="宋体" w:hAnsi="宋体" w:eastAsia="宋体" w:cs="宋体"/>
          <w:bCs/>
          <w:sz w:val="22"/>
          <w:szCs w:val="22"/>
          <w:highlight w:val="none"/>
          <w:lang w:val="en-US" w:eastAsia="zh-CN"/>
        </w:rPr>
        <w:t>采购</w:t>
      </w:r>
      <w:r>
        <w:rPr>
          <w:rFonts w:hint="eastAsia" w:ascii="宋体" w:hAnsi="宋体" w:eastAsia="宋体" w:cs="宋体"/>
          <w:bCs/>
          <w:sz w:val="22"/>
          <w:szCs w:val="22"/>
          <w:highlight w:val="none"/>
        </w:rPr>
        <w:t>代理机构</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计费标准</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费率</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3014"/>
      </w:tblGrid>
      <w:tr w14:paraId="3CCD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7" w:type="dxa"/>
            <w:noWrap w:val="0"/>
            <w:vAlign w:val="center"/>
          </w:tcPr>
          <w:p w14:paraId="34149880">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中标（成交）金额（万元）</w:t>
            </w:r>
          </w:p>
        </w:tc>
        <w:tc>
          <w:tcPr>
            <w:tcW w:w="3014" w:type="dxa"/>
            <w:noWrap w:val="0"/>
            <w:vAlign w:val="top"/>
          </w:tcPr>
          <w:p w14:paraId="5C22F43C">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服务类</w:t>
            </w:r>
          </w:p>
        </w:tc>
      </w:tr>
      <w:tr w14:paraId="661E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7" w:type="dxa"/>
            <w:noWrap w:val="0"/>
            <w:vAlign w:val="center"/>
          </w:tcPr>
          <w:p w14:paraId="1B377787">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100万(含)以内</w:t>
            </w:r>
          </w:p>
        </w:tc>
        <w:tc>
          <w:tcPr>
            <w:tcW w:w="3014" w:type="dxa"/>
            <w:noWrap w:val="0"/>
            <w:vAlign w:val="center"/>
          </w:tcPr>
          <w:p w14:paraId="725149D1">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14:paraId="03F8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7" w:type="dxa"/>
            <w:noWrap w:val="0"/>
            <w:vAlign w:val="center"/>
          </w:tcPr>
          <w:p w14:paraId="48579F23">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100万（不含）-500万部分</w:t>
            </w:r>
          </w:p>
        </w:tc>
        <w:tc>
          <w:tcPr>
            <w:tcW w:w="3014" w:type="dxa"/>
            <w:noWrap w:val="0"/>
            <w:vAlign w:val="center"/>
          </w:tcPr>
          <w:p w14:paraId="2480DDA4">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r>
    </w:tbl>
    <w:p w14:paraId="185937B4">
      <w:pPr>
        <w:tabs>
          <w:tab w:val="left" w:pos="2800"/>
        </w:tabs>
        <w:autoSpaceDE w:val="0"/>
        <w:autoSpaceDN w:val="0"/>
        <w:spacing w:line="240" w:lineRule="auto"/>
        <w:ind w:firstLine="440" w:firstLineChars="20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注：依据上述费率</w:t>
      </w:r>
      <w:r>
        <w:rPr>
          <w:rFonts w:hint="eastAsia" w:ascii="宋体" w:hAnsi="宋体" w:eastAsia="宋体" w:cs="宋体"/>
          <w:bCs/>
          <w:sz w:val="22"/>
          <w:szCs w:val="22"/>
          <w:highlight w:val="none"/>
          <w:lang w:val="en-US" w:eastAsia="zh-CN"/>
        </w:rPr>
        <w:t>标准</w:t>
      </w:r>
      <w:r>
        <w:rPr>
          <w:rFonts w:hint="eastAsia" w:ascii="宋体" w:hAnsi="宋体" w:eastAsia="宋体" w:cs="宋体"/>
          <w:bCs/>
          <w:sz w:val="22"/>
          <w:szCs w:val="22"/>
          <w:highlight w:val="none"/>
        </w:rPr>
        <w:t>，采取差额累进方式计取代理费</w:t>
      </w:r>
      <w:r>
        <w:rPr>
          <w:rFonts w:hint="eastAsia" w:ascii="宋体" w:hAnsi="宋体" w:eastAsia="宋体" w:cs="宋体"/>
          <w:bCs/>
          <w:sz w:val="22"/>
          <w:szCs w:val="22"/>
          <w:highlight w:val="none"/>
          <w:lang w:eastAsia="zh-CN"/>
        </w:rPr>
        <w:t>。</w:t>
      </w:r>
    </w:p>
    <w:p w14:paraId="71C55CC9">
      <w:pPr>
        <w:tabs>
          <w:tab w:val="left" w:pos="2800"/>
        </w:tabs>
        <w:autoSpaceDE w:val="0"/>
        <w:autoSpaceDN w:val="0"/>
        <w:spacing w:line="240" w:lineRule="auto"/>
        <w:ind w:firstLine="440" w:firstLineChars="20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例如：某</w:t>
      </w:r>
      <w:r>
        <w:rPr>
          <w:rFonts w:hint="eastAsia" w:ascii="宋体" w:hAnsi="宋体" w:eastAsia="宋体" w:cs="宋体"/>
          <w:bCs/>
          <w:sz w:val="22"/>
          <w:szCs w:val="22"/>
          <w:highlight w:val="none"/>
          <w:lang w:val="en-US" w:eastAsia="zh-CN"/>
        </w:rPr>
        <w:t>服务</w:t>
      </w:r>
      <w:r>
        <w:rPr>
          <w:rFonts w:hint="eastAsia" w:ascii="宋体" w:hAnsi="宋体" w:eastAsia="宋体" w:cs="宋体"/>
          <w:bCs/>
          <w:sz w:val="22"/>
          <w:szCs w:val="22"/>
          <w:highlight w:val="none"/>
        </w:rPr>
        <w:t>招标代理业务中标金额为</w:t>
      </w:r>
      <w:r>
        <w:rPr>
          <w:rFonts w:hint="eastAsia" w:ascii="宋体" w:hAnsi="宋体" w:eastAsia="宋体" w:cs="宋体"/>
          <w:bCs/>
          <w:sz w:val="22"/>
          <w:szCs w:val="22"/>
          <w:highlight w:val="none"/>
          <w:lang w:val="en-US" w:eastAsia="zh-CN"/>
        </w:rPr>
        <w:t>130</w:t>
      </w:r>
      <w:r>
        <w:rPr>
          <w:rFonts w:hint="eastAsia" w:ascii="宋体" w:hAnsi="宋体" w:eastAsia="宋体" w:cs="宋体"/>
          <w:bCs/>
          <w:sz w:val="22"/>
          <w:szCs w:val="22"/>
          <w:highlight w:val="none"/>
        </w:rPr>
        <w:t>万元，计算招标代理服务费额如下：</w:t>
      </w:r>
    </w:p>
    <w:p w14:paraId="5519ED51">
      <w:pPr>
        <w:tabs>
          <w:tab w:val="left" w:pos="2800"/>
        </w:tabs>
        <w:autoSpaceDE w:val="0"/>
        <w:autoSpaceDN w:val="0"/>
        <w:spacing w:line="240" w:lineRule="auto"/>
        <w:ind w:firstLine="440" w:firstLineChars="200"/>
        <w:jc w:val="left"/>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100万元×1.</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％＝1</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万元</w:t>
      </w:r>
    </w:p>
    <w:p w14:paraId="0F268A16">
      <w:pPr>
        <w:tabs>
          <w:tab w:val="left" w:pos="2800"/>
        </w:tabs>
        <w:autoSpaceDE w:val="0"/>
        <w:autoSpaceDN w:val="0"/>
        <w:spacing w:line="240" w:lineRule="auto"/>
        <w:ind w:firstLine="440" w:firstLineChars="200"/>
        <w:jc w:val="left"/>
        <w:rPr>
          <w:rFonts w:hint="eastAsia" w:ascii="宋体" w:hAnsi="宋体" w:eastAsia="宋体" w:cs="宋体"/>
          <w:bCs/>
          <w:sz w:val="22"/>
          <w:szCs w:val="22"/>
          <w:highlight w:val="none"/>
        </w:rPr>
      </w:pP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en-US" w:eastAsia="zh-CN"/>
        </w:rPr>
        <w:t>130</w:t>
      </w:r>
      <w:r>
        <w:rPr>
          <w:rFonts w:hint="eastAsia" w:ascii="宋体" w:hAnsi="宋体" w:eastAsia="宋体" w:cs="宋体"/>
          <w:bCs/>
          <w:sz w:val="22"/>
          <w:szCs w:val="22"/>
          <w:highlight w:val="none"/>
        </w:rPr>
        <w:t>－100）万元×0.</w:t>
      </w:r>
      <w:r>
        <w:rPr>
          <w:rFonts w:hint="eastAsia" w:ascii="宋体" w:hAnsi="宋体" w:eastAsia="宋体" w:cs="宋体"/>
          <w:bCs/>
          <w:sz w:val="22"/>
          <w:szCs w:val="22"/>
          <w:highlight w:val="none"/>
          <w:lang w:val="en-US" w:eastAsia="zh-CN"/>
        </w:rPr>
        <w:t>8</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en-US" w:eastAsia="zh-CN"/>
        </w:rPr>
        <w:t>0.24</w:t>
      </w:r>
      <w:r>
        <w:rPr>
          <w:rFonts w:hint="eastAsia" w:ascii="宋体" w:hAnsi="宋体" w:eastAsia="宋体" w:cs="宋体"/>
          <w:bCs/>
          <w:sz w:val="22"/>
          <w:szCs w:val="22"/>
          <w:highlight w:val="none"/>
        </w:rPr>
        <w:t>万元</w:t>
      </w:r>
    </w:p>
    <w:p w14:paraId="3F658FD1">
      <w:pPr>
        <w:tabs>
          <w:tab w:val="left" w:pos="2800"/>
        </w:tabs>
        <w:autoSpaceDE w:val="0"/>
        <w:autoSpaceDN w:val="0"/>
        <w:spacing w:line="240" w:lineRule="auto"/>
        <w:ind w:firstLine="440" w:firstLineChars="200"/>
        <w:jc w:val="left"/>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按标准</w:t>
      </w:r>
      <w:r>
        <w:rPr>
          <w:rFonts w:hint="eastAsia" w:ascii="宋体" w:hAnsi="宋体" w:eastAsia="宋体" w:cs="宋体"/>
          <w:bCs/>
          <w:sz w:val="22"/>
          <w:szCs w:val="22"/>
          <w:highlight w:val="none"/>
        </w:rPr>
        <w:t>合计收费＝1</w:t>
      </w:r>
      <w:r>
        <w:rPr>
          <w:rFonts w:hint="eastAsia" w:ascii="宋体" w:hAnsi="宋体" w:eastAsia="宋体" w:cs="宋体"/>
          <w:bCs/>
          <w:sz w:val="22"/>
          <w:szCs w:val="22"/>
          <w:highlight w:val="none"/>
          <w:lang w:val="en-US" w:eastAsia="zh-CN"/>
        </w:rPr>
        <w:t>.5</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en-US" w:eastAsia="zh-CN"/>
        </w:rPr>
        <w:t>0.24</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en-US" w:eastAsia="zh-CN"/>
        </w:rPr>
        <w:t>1.74</w:t>
      </w:r>
      <w:r>
        <w:rPr>
          <w:rFonts w:hint="eastAsia" w:ascii="宋体" w:hAnsi="宋体" w:eastAsia="宋体" w:cs="宋体"/>
          <w:bCs/>
          <w:sz w:val="22"/>
          <w:szCs w:val="22"/>
          <w:highlight w:val="none"/>
        </w:rPr>
        <w:t>(万元)</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lang w:val="en-US" w:eastAsia="zh-CN"/>
        </w:rPr>
        <w:t>打折后收费1.392万元</w:t>
      </w:r>
    </w:p>
    <w:p w14:paraId="0E5A40E3">
      <w:pPr>
        <w:numPr>
          <w:ilvl w:val="0"/>
          <w:numId w:val="22"/>
        </w:numPr>
        <w:tabs>
          <w:tab w:val="left" w:pos="540"/>
        </w:tabs>
        <w:ind w:left="450" w:leftChars="0" w:hanging="450" w:firstLineChars="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采购代理服务费包含在投标总价中（报价不需要单列）</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代理服务费汇入以下账号：</w:t>
      </w:r>
    </w:p>
    <w:p w14:paraId="7B4FDE54">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14:paraId="3536F981">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14:paraId="4D7D8136">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14:paraId="325C0AD4">
      <w:pPr>
        <w:tabs>
          <w:tab w:val="left" w:pos="2800"/>
        </w:tabs>
        <w:autoSpaceDE w:val="0"/>
        <w:autoSpaceDN w:val="0"/>
        <w:ind w:left="0" w:leftChars="0"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14:paraId="73A4BCBD">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sz w:val="22"/>
          <w:lang w:val="en-US" w:eastAsia="zh-CN"/>
        </w:rPr>
        <w:t>乐采云技术服务费：</w:t>
      </w:r>
    </w:p>
    <w:p w14:paraId="6BBF59BB">
      <w:pPr>
        <w:keepNext w:val="0"/>
        <w:keepLines w:val="0"/>
        <w:pageBreakBefore w:val="0"/>
        <w:widowControl w:val="0"/>
        <w:kinsoku/>
        <w:wordWrap w:val="0"/>
        <w:overflowPunct/>
        <w:topLinePunct w:val="0"/>
        <w:autoSpaceDE/>
        <w:autoSpaceDN/>
        <w:bidi w:val="0"/>
        <w:adjustRightInd/>
        <w:snapToGrid/>
        <w:ind w:left="538" w:leftChars="256"/>
        <w:textAlignment w:val="auto"/>
        <w:rPr>
          <w:rFonts w:hint="eastAsia" w:ascii="宋体" w:hAnsi="宋体" w:eastAsia="宋体" w:cs="宋体"/>
          <w:b/>
          <w:sz w:val="22"/>
          <w:lang w:val="en-US" w:eastAsia="zh-CN"/>
        </w:rPr>
      </w:pPr>
      <w:r>
        <w:rPr>
          <w:rFonts w:hint="eastAsia" w:ascii="宋体" w:hAnsi="宋体" w:eastAsia="宋体" w:cs="宋体"/>
          <w:b/>
          <w:sz w:val="22"/>
          <w:lang w:val="en-US" w:eastAsia="zh-CN"/>
        </w:rPr>
        <w:t>根据乐采云（https://www.lecaiyun.com/helpcenter/document#/document/detail?siteCode=lecaiyun&amp;manualId=2061&amp;topicId=8625）2023年9月6日发布的乐采云国企采购平台项目采购收费标准（温州市市属国企区）规定，本项目乐采云技术服务费由中标供应商于中标结果公示后支付该项目的技术服务费。各供应商投标总报价须包含该乐采云技术服务费。收费标准如下图（具体以系统实际收费为准）：</w:t>
      </w:r>
    </w:p>
    <w:p w14:paraId="51B1C493">
      <w:pPr>
        <w:pStyle w:val="12"/>
        <w:rPr>
          <w:rFonts w:hint="eastAsia"/>
        </w:rPr>
      </w:pPr>
      <w:r>
        <w:rPr>
          <w:rFonts w:hint="eastAsia" w:ascii="宋体" w:hAnsi="宋体" w:eastAsia="宋体" w:cs="宋体"/>
        </w:rPr>
        <w:drawing>
          <wp:inline distT="0" distB="0" distL="114300" distR="114300">
            <wp:extent cx="5588635" cy="2760980"/>
            <wp:effectExtent l="0" t="0" r="44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88635" cy="2760980"/>
                    </a:xfrm>
                    <a:prstGeom prst="rect">
                      <a:avLst/>
                    </a:prstGeom>
                    <a:noFill/>
                    <a:ln>
                      <a:noFill/>
                    </a:ln>
                  </pic:spPr>
                </pic:pic>
              </a:graphicData>
            </a:graphic>
          </wp:inline>
        </w:drawing>
      </w:r>
    </w:p>
    <w:p w14:paraId="1262B362">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14:paraId="0ECE2CBF">
      <w:pPr>
        <w:autoSpaceDE w:val="0"/>
        <w:autoSpaceDN w:val="0"/>
        <w:adjustRightInd w:val="0"/>
        <w:spacing w:after="120"/>
        <w:ind w:firstLine="220" w:firstLineChars="1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14:paraId="66179A60">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七、 质疑与投诉</w:t>
      </w:r>
    </w:p>
    <w:p w14:paraId="1A9E7A17">
      <w:pPr>
        <w:tabs>
          <w:tab w:val="left" w:pos="210"/>
        </w:tabs>
        <w:snapToGrid w:val="0"/>
        <w:ind w:firstLine="442" w:firstLineChars="200"/>
        <w:jc w:val="left"/>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供应商质疑</w:t>
      </w:r>
    </w:p>
    <w:p w14:paraId="52A852EA">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1.1</w:t>
      </w:r>
      <w:r>
        <w:rPr>
          <w:rFonts w:hint="eastAsia" w:ascii="宋体" w:hAnsi="宋体" w:eastAsia="宋体" w:cs="宋体"/>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12580915">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1.2</w:t>
      </w:r>
      <w:r>
        <w:rPr>
          <w:rFonts w:hint="eastAsia" w:ascii="宋体" w:hAnsi="宋体" w:eastAsia="宋体" w:cs="宋体"/>
          <w:bCs/>
          <w:color w:val="auto"/>
          <w:sz w:val="22"/>
          <w:szCs w:val="22"/>
          <w:highlight w:val="none"/>
          <w:lang w:val="zh-CN"/>
        </w:rPr>
        <w:t>供应商认为采购文件、采购过程、中标</w:t>
      </w:r>
      <w:r>
        <w:rPr>
          <w:rFonts w:hint="eastAsia" w:ascii="宋体" w:hAnsi="宋体" w:eastAsia="宋体" w:cs="宋体"/>
          <w:bCs/>
          <w:color w:val="auto"/>
          <w:sz w:val="22"/>
          <w:szCs w:val="22"/>
          <w:highlight w:val="none"/>
        </w:rPr>
        <w:t>或者成交</w:t>
      </w:r>
      <w:r>
        <w:rPr>
          <w:rFonts w:hint="eastAsia" w:ascii="宋体" w:hAnsi="宋体" w:eastAsia="宋体" w:cs="宋体"/>
          <w:bCs/>
          <w:color w:val="auto"/>
          <w:sz w:val="22"/>
          <w:szCs w:val="22"/>
          <w:highlight w:val="none"/>
          <w:lang w:val="zh-CN"/>
        </w:rPr>
        <w:t>结果使自己的权益受到损害的，可以在知道或者应知其权益受到损害之日起</w:t>
      </w:r>
      <w:r>
        <w:rPr>
          <w:rFonts w:hint="eastAsia" w:ascii="宋体" w:hAnsi="宋体" w:eastAsia="宋体" w:cs="宋体"/>
          <w:bCs/>
          <w:color w:val="auto"/>
          <w:sz w:val="22"/>
          <w:szCs w:val="22"/>
          <w:highlight w:val="none"/>
        </w:rPr>
        <w:t>规定的时间</w:t>
      </w:r>
      <w:r>
        <w:rPr>
          <w:rFonts w:hint="eastAsia" w:ascii="宋体" w:hAnsi="宋体" w:eastAsia="宋体" w:cs="宋体"/>
          <w:bCs/>
          <w:color w:val="auto"/>
          <w:sz w:val="22"/>
          <w:szCs w:val="22"/>
          <w:highlight w:val="none"/>
          <w:lang w:val="zh-CN"/>
        </w:rPr>
        <w:t>内，以书面形式向采购人或者采购代理机构提出质疑，否则，采购人或者采购代理机构不予受理：</w:t>
      </w:r>
    </w:p>
    <w:p w14:paraId="09A0C6BB">
      <w:pPr>
        <w:numPr>
          <w:ilvl w:val="0"/>
          <w:numId w:val="0"/>
        </w:numPr>
        <w:tabs>
          <w:tab w:val="left" w:pos="210"/>
          <w:tab w:val="left" w:pos="105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highlight w:val="none"/>
          <w:lang w:val="en-US" w:eastAsia="zh-CN"/>
        </w:rPr>
        <w:t>1）对采购文件提出质疑的，质疑期限为自采购公告发出之日（采购公告发布当天不算）起6日内，以书面形式向采购人和采购代理机构提出质疑。</w:t>
      </w:r>
    </w:p>
    <w:p w14:paraId="35408503">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对采购结果提出质疑的，质疑</w:t>
      </w:r>
      <w:r>
        <w:rPr>
          <w:rFonts w:hint="eastAsia" w:ascii="宋体" w:hAnsi="宋体" w:eastAsia="宋体" w:cs="宋体"/>
          <w:bCs/>
          <w:color w:val="auto"/>
          <w:sz w:val="22"/>
          <w:szCs w:val="22"/>
          <w:highlight w:val="none"/>
          <w:lang w:val="en-US" w:eastAsia="zh-CN"/>
        </w:rPr>
        <w:t>须在</w:t>
      </w:r>
      <w:r>
        <w:rPr>
          <w:rFonts w:hint="eastAsia" w:ascii="宋体" w:hAnsi="宋体" w:eastAsia="宋体" w:cs="宋体"/>
          <w:bCs/>
          <w:color w:val="auto"/>
          <w:sz w:val="22"/>
          <w:szCs w:val="22"/>
          <w:highlight w:val="none"/>
        </w:rPr>
        <w:t>采购结果公</w:t>
      </w:r>
      <w:r>
        <w:rPr>
          <w:rFonts w:hint="eastAsia" w:ascii="宋体" w:hAnsi="宋体" w:eastAsia="宋体" w:cs="宋体"/>
          <w:bCs/>
          <w:color w:val="auto"/>
          <w:sz w:val="22"/>
          <w:szCs w:val="22"/>
          <w:highlight w:val="none"/>
          <w:lang w:val="en-US" w:eastAsia="zh-CN"/>
        </w:rPr>
        <w:t>告</w:t>
      </w:r>
      <w:r>
        <w:rPr>
          <w:rFonts w:hint="eastAsia" w:ascii="宋体" w:hAnsi="宋体" w:eastAsia="宋体" w:cs="宋体"/>
          <w:bCs/>
          <w:color w:val="auto"/>
          <w:sz w:val="22"/>
          <w:szCs w:val="22"/>
          <w:highlight w:val="none"/>
        </w:rPr>
        <w:t>期</w:t>
      </w:r>
      <w:r>
        <w:rPr>
          <w:rFonts w:hint="eastAsia" w:ascii="宋体" w:hAnsi="宋体" w:eastAsia="宋体" w:cs="宋体"/>
          <w:bCs/>
          <w:color w:val="auto"/>
          <w:sz w:val="22"/>
          <w:szCs w:val="22"/>
          <w:highlight w:val="none"/>
          <w:lang w:val="zh-CN"/>
        </w:rPr>
        <w:t>内提出。</w:t>
      </w:r>
    </w:p>
    <w:p w14:paraId="2D38AEF5">
      <w:pPr>
        <w:tabs>
          <w:tab w:val="left" w:pos="210"/>
        </w:tabs>
        <w:snapToGrid w:val="0"/>
        <w:ind w:left="402"/>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1.3</w:t>
      </w:r>
      <w:r>
        <w:rPr>
          <w:rFonts w:hint="eastAsia" w:ascii="宋体" w:hAnsi="宋体" w:eastAsia="宋体" w:cs="宋体"/>
          <w:bCs/>
          <w:color w:val="auto"/>
          <w:sz w:val="22"/>
          <w:szCs w:val="22"/>
          <w:highlight w:val="none"/>
          <w:lang w:val="zh-CN"/>
        </w:rPr>
        <w:t>供应商提出质疑应当提交质疑函和必要的证明材料。质疑函应当包括下列内容：</w:t>
      </w:r>
    </w:p>
    <w:p w14:paraId="364913D0">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供应商的姓名或者名称、地址、邮编、联系人及联系电话；</w:t>
      </w:r>
    </w:p>
    <w:p w14:paraId="1E9C4A87">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zh-CN"/>
        </w:rPr>
        <w:t>质疑项目的名称、编号；</w:t>
      </w:r>
    </w:p>
    <w:p w14:paraId="772D5266">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zh-CN"/>
        </w:rPr>
        <w:t>具体、明确的质疑事项和与质疑事项相关的请求；</w:t>
      </w:r>
    </w:p>
    <w:p w14:paraId="6B1297CA">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lang w:val="zh-CN"/>
        </w:rPr>
        <w:t>事实依据；</w:t>
      </w:r>
    </w:p>
    <w:p w14:paraId="0EEFD60F">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zh-CN"/>
        </w:rPr>
        <w:t>必要的法律依据；</w:t>
      </w:r>
    </w:p>
    <w:p w14:paraId="42206672">
      <w:pPr>
        <w:numPr>
          <w:ilvl w:val="0"/>
          <w:numId w:val="0"/>
        </w:numPr>
        <w:tabs>
          <w:tab w:val="left" w:pos="210"/>
          <w:tab w:val="left" w:pos="1050"/>
        </w:tabs>
        <w:snapToGrid w:val="0"/>
        <w:ind w:left="402" w:leftChars="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zh-CN"/>
        </w:rPr>
        <w:t>提出质疑的日期。</w:t>
      </w:r>
    </w:p>
    <w:p w14:paraId="33C6656F">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1EC053A">
      <w:pPr>
        <w:tabs>
          <w:tab w:val="left" w:pos="210"/>
        </w:tabs>
        <w:wordWrap w:val="0"/>
        <w:snapToGrid w:val="0"/>
        <w:ind w:firstLine="440" w:firstLineChars="200"/>
        <w:jc w:val="left"/>
        <w:outlineLvl w:val="2"/>
        <w:rPr>
          <w:rFonts w:hint="eastAsia" w:ascii="宋体" w:hAnsi="宋体" w:eastAsia="宋体" w:cs="宋体"/>
          <w:b w:val="0"/>
          <w:bCs/>
          <w:color w:val="auto"/>
          <w:sz w:val="22"/>
          <w:szCs w:val="22"/>
          <w:highlight w:val="none"/>
          <w:u w:val="none"/>
          <w:lang w:val="zh-CN"/>
        </w:rPr>
      </w:pPr>
      <w:r>
        <w:rPr>
          <w:rFonts w:hint="eastAsia" w:ascii="宋体" w:hAnsi="宋体" w:eastAsia="宋体" w:cs="宋体"/>
          <w:b w:val="0"/>
          <w:bCs/>
          <w:color w:val="auto"/>
          <w:sz w:val="22"/>
          <w:szCs w:val="22"/>
          <w:highlight w:val="none"/>
          <w:u w:val="none"/>
          <w:lang w:val="zh-CN"/>
        </w:rPr>
        <w:t>质疑供应商的《质疑函》可参考政府采购质疑函范本的格式进行编写。下载地址如下：“https://sitecdn.zcycdn.com/site_group/prod/site_1/2018/06/12/15-22-570613413750772.docx”。供应商可以先发电子版质疑函，但质疑函的收到日期以招标代理或采购人收到纸质原件的日期为准。</w:t>
      </w:r>
    </w:p>
    <w:p w14:paraId="620BA04D">
      <w:pPr>
        <w:tabs>
          <w:tab w:val="left" w:pos="210"/>
          <w:tab w:val="left" w:pos="840"/>
        </w:tabs>
        <w:snapToGrid w:val="0"/>
        <w:ind w:firstLine="442" w:firstLineChars="200"/>
        <w:jc w:val="left"/>
        <w:outlineLvl w:val="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lang w:val="en-US" w:eastAsia="zh-CN"/>
        </w:rPr>
        <w:t>1.4</w:t>
      </w:r>
      <w:r>
        <w:rPr>
          <w:rFonts w:hint="eastAsia" w:ascii="宋体" w:hAnsi="宋体" w:eastAsia="宋体" w:cs="宋体"/>
          <w:b/>
          <w:color w:val="auto"/>
          <w:sz w:val="22"/>
          <w:szCs w:val="22"/>
          <w:highlight w:val="none"/>
          <w:u w:val="single"/>
          <w:lang w:val="zh-CN"/>
        </w:rPr>
        <w:t>对同一采购程序环节的质疑</w:t>
      </w:r>
      <w:r>
        <w:rPr>
          <w:rFonts w:hint="eastAsia" w:ascii="宋体" w:hAnsi="宋体" w:eastAsia="宋体" w:cs="宋体"/>
          <w:b/>
          <w:color w:val="auto"/>
          <w:sz w:val="22"/>
          <w:szCs w:val="22"/>
          <w:highlight w:val="none"/>
          <w:u w:val="single"/>
        </w:rPr>
        <w:t>时</w:t>
      </w:r>
      <w:r>
        <w:rPr>
          <w:rFonts w:hint="eastAsia" w:ascii="宋体" w:hAnsi="宋体" w:eastAsia="宋体" w:cs="宋体"/>
          <w:b/>
          <w:color w:val="auto"/>
          <w:sz w:val="22"/>
          <w:szCs w:val="22"/>
          <w:highlight w:val="none"/>
          <w:u w:val="single"/>
          <w:lang w:val="zh-CN"/>
        </w:rPr>
        <w:t>，供应商须在法定质疑期内一次性提出，</w:t>
      </w:r>
      <w:r>
        <w:rPr>
          <w:rFonts w:hint="eastAsia" w:ascii="宋体" w:hAnsi="宋体" w:eastAsia="宋体" w:cs="宋体"/>
          <w:b/>
          <w:color w:val="auto"/>
          <w:sz w:val="22"/>
          <w:highlight w:val="none"/>
          <w:u w:val="single"/>
          <w:lang w:val="zh-CN"/>
        </w:rPr>
        <w:t>已经提出过质疑的投标供应商在质疑期内不能提出新的质疑。</w:t>
      </w:r>
    </w:p>
    <w:p w14:paraId="3F6095F3">
      <w:pPr>
        <w:tabs>
          <w:tab w:val="left" w:pos="210"/>
          <w:tab w:val="left" w:pos="84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1.5</w:t>
      </w:r>
      <w:r>
        <w:rPr>
          <w:rFonts w:hint="eastAsia" w:ascii="宋体" w:hAnsi="宋体" w:eastAsia="宋体" w:cs="宋体"/>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5BC5C586">
      <w:pPr>
        <w:tabs>
          <w:tab w:val="left" w:pos="210"/>
          <w:tab w:val="left" w:pos="84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1.6</w:t>
      </w:r>
      <w:r>
        <w:rPr>
          <w:rFonts w:hint="eastAsia" w:ascii="宋体" w:hAnsi="宋体" w:eastAsia="宋体" w:cs="宋体"/>
          <w:bCs/>
          <w:color w:val="auto"/>
          <w:sz w:val="22"/>
          <w:szCs w:val="22"/>
          <w:highlight w:val="none"/>
          <w:lang w:val="zh-CN"/>
        </w:rPr>
        <w:t>采购人或者采购代理机构应当在收到供应商的书面质疑后七个工作日内作出答复，但答复的内容不得涉及商业秘密。</w:t>
      </w:r>
    </w:p>
    <w:p w14:paraId="08311AEA">
      <w:pPr>
        <w:tabs>
          <w:tab w:val="left" w:pos="210"/>
        </w:tabs>
        <w:snapToGrid w:val="0"/>
        <w:ind w:firstLine="442" w:firstLineChars="200"/>
        <w:jc w:val="left"/>
        <w:outlineLvl w:val="2"/>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w:t>
      </w:r>
      <w:r>
        <w:rPr>
          <w:rFonts w:hint="eastAsia" w:ascii="宋体" w:hAnsi="宋体" w:eastAsia="宋体" w:cs="宋体"/>
          <w:b/>
          <w:color w:val="auto"/>
          <w:sz w:val="22"/>
          <w:szCs w:val="22"/>
          <w:highlight w:val="none"/>
          <w:lang w:val="zh-CN"/>
        </w:rPr>
        <w:t>供应商投诉</w:t>
      </w:r>
    </w:p>
    <w:p w14:paraId="4B48C315">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2.1</w:t>
      </w:r>
      <w:r>
        <w:rPr>
          <w:rFonts w:hint="eastAsia" w:ascii="宋体" w:hAnsi="宋体" w:eastAsia="宋体" w:cs="宋体"/>
          <w:bCs/>
          <w:color w:val="auto"/>
          <w:sz w:val="22"/>
          <w:szCs w:val="22"/>
          <w:highlight w:val="none"/>
          <w:lang w:val="zh-CN"/>
        </w:rPr>
        <w:t>质疑供应商对采购人、采购代理机构的答复不满意或者采购人、采购代理机构未在规定的时间内作出答复的，可以在答复期满后</w:t>
      </w:r>
      <w:r>
        <w:rPr>
          <w:rFonts w:hint="eastAsia" w:ascii="宋体" w:hAnsi="宋体" w:eastAsia="宋体" w:cs="宋体"/>
          <w:bCs/>
          <w:color w:val="auto"/>
          <w:sz w:val="22"/>
          <w:szCs w:val="22"/>
          <w:highlight w:val="none"/>
        </w:rPr>
        <w:t>15</w:t>
      </w:r>
      <w:r>
        <w:rPr>
          <w:rFonts w:hint="eastAsia" w:ascii="宋体" w:hAnsi="宋体" w:eastAsia="宋体" w:cs="宋体"/>
          <w:bCs/>
          <w:color w:val="auto"/>
          <w:sz w:val="22"/>
          <w:szCs w:val="22"/>
          <w:highlight w:val="none"/>
          <w:lang w:val="zh-CN"/>
        </w:rPr>
        <w:t>个工作日内向采购人（集团）的内设监管职能部门投诉。</w:t>
      </w:r>
    </w:p>
    <w:p w14:paraId="3A046265">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val="zh-CN"/>
        </w:rPr>
        <w:t>供应商投诉的事项不得超出已质疑事项的范围，基于质疑答复内容提出的投诉事项除外。</w:t>
      </w:r>
    </w:p>
    <w:p w14:paraId="46FF5465">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2.3</w:t>
      </w:r>
      <w:r>
        <w:rPr>
          <w:rFonts w:hint="eastAsia" w:ascii="宋体" w:hAnsi="宋体" w:eastAsia="宋体" w:cs="宋体"/>
          <w:bCs/>
          <w:color w:val="auto"/>
          <w:sz w:val="22"/>
          <w:szCs w:val="22"/>
          <w:highlight w:val="none"/>
          <w:lang w:val="zh-CN"/>
        </w:rPr>
        <w:t>供应商投诉应当有明确的请求和必要的证明材料。</w:t>
      </w:r>
    </w:p>
    <w:p w14:paraId="52EE1E87">
      <w:pPr>
        <w:tabs>
          <w:tab w:val="left" w:pos="210"/>
        </w:tabs>
        <w:snapToGrid w:val="0"/>
        <w:ind w:firstLine="440" w:firstLineChars="200"/>
        <w:jc w:val="left"/>
        <w:outlineLvl w:val="2"/>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2.4</w:t>
      </w:r>
      <w:r>
        <w:rPr>
          <w:rFonts w:hint="eastAsia" w:ascii="宋体" w:hAnsi="宋体" w:eastAsia="宋体" w:cs="宋体"/>
          <w:bCs/>
          <w:color w:val="auto"/>
          <w:sz w:val="22"/>
          <w:szCs w:val="22"/>
          <w:highlight w:val="none"/>
          <w:lang w:val="zh-CN"/>
        </w:rPr>
        <w:t>以联合体形式参加采购活动的，其投诉应当由组成联合体的所有供应商共同提出。</w:t>
      </w:r>
    </w:p>
    <w:p w14:paraId="37AB6116">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2.5投诉供应商认为投诉回复处理结果不合法的，可以依法向采购人所在地人民法院提起诉讼。</w:t>
      </w:r>
    </w:p>
    <w:p w14:paraId="7AD0636D">
      <w:pPr>
        <w:ind w:firstLine="442" w:firstLineChars="200"/>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3.其他</w:t>
      </w:r>
    </w:p>
    <w:p w14:paraId="2A353091">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3.1</w:t>
      </w:r>
      <w:r>
        <w:rPr>
          <w:rFonts w:hint="eastAsia" w:ascii="宋体" w:hAnsi="宋体" w:eastAsia="宋体" w:cs="宋体"/>
          <w:bCs/>
          <w:color w:val="auto"/>
          <w:sz w:val="22"/>
          <w:szCs w:val="22"/>
          <w:highlight w:val="none"/>
          <w:lang w:val="zh-CN"/>
        </w:rPr>
        <w:t>质疑供应商或投诉供应商应当承担投诉事项的举证责任，质疑供应商或投诉供应商未提供相关证据、依据和其他有关材料的，视为该质疑或投诉事项不成立；被质疑供应商或被投诉供应商未按照质疑答复通知书或投诉答复通知书要求提交相关证据、依据和其他有关材料的，视同其放弃说明权利，依法承担不利后果。</w:t>
      </w:r>
    </w:p>
    <w:p w14:paraId="3D8E794E">
      <w:pPr>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3.2如有发现不实的质疑或投诉（包括但不限于未提供证据、证据与质疑或投诉内容无关联、虚假证据等），采购人有权视其为不实的质疑投诉，并有权将该供应商纳入集团黑名单，同时保留对外公布的权利。</w:t>
      </w:r>
    </w:p>
    <w:p w14:paraId="05A0E076">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68" w:name="_Toc491780524"/>
      <w:r>
        <w:rPr>
          <w:rFonts w:hint="eastAsia" w:ascii="宋体" w:hAnsi="宋体" w:eastAsia="宋体" w:cs="宋体"/>
          <w:b/>
          <w:bCs/>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14:paraId="172BF9F6">
      <w:pPr>
        <w:rPr>
          <w:rFonts w:hint="eastAsia" w:ascii="宋体" w:hAnsi="宋体" w:eastAsia="宋体" w:cs="宋体"/>
          <w:szCs w:val="21"/>
          <w:highlight w:val="none"/>
        </w:rPr>
      </w:pPr>
      <w:bookmarkStart w:id="169" w:name="_Toc227056853"/>
      <w:bookmarkStart w:id="170" w:name="_Toc219538620"/>
      <w:bookmarkStart w:id="171" w:name="_Toc216667827"/>
      <w:bookmarkStart w:id="172" w:name="_Toc227057040"/>
      <w:bookmarkStart w:id="173" w:name="_Toc217460692"/>
      <w:bookmarkStart w:id="174" w:name="_Toc218041733"/>
      <w:bookmarkStart w:id="175" w:name="_Toc223933228"/>
      <w:bookmarkStart w:id="176" w:name="_Toc223717611"/>
      <w:bookmarkStart w:id="177" w:name="_Toc215415537"/>
      <w:bookmarkStart w:id="178" w:name="_Toc227489894"/>
      <w:bookmarkStart w:id="179" w:name="_Toc227057041"/>
      <w:bookmarkStart w:id="180" w:name="_Toc227489895"/>
      <w:bookmarkStart w:id="181" w:name="_Toc223717612"/>
      <w:bookmarkStart w:id="182" w:name="_Toc216667828"/>
      <w:bookmarkStart w:id="183" w:name="_Toc219538621"/>
      <w:bookmarkStart w:id="184" w:name="_Toc215415538"/>
      <w:bookmarkStart w:id="185" w:name="_Toc218041734"/>
      <w:bookmarkStart w:id="186" w:name="_Toc217460693"/>
      <w:bookmarkStart w:id="187" w:name="_Toc223933229"/>
      <w:bookmarkStart w:id="188" w:name="_Toc227056854"/>
    </w:p>
    <w:p w14:paraId="27D895FE">
      <w:pPr>
        <w:jc w:val="center"/>
        <w:rPr>
          <w:rFonts w:hint="eastAsia" w:ascii="宋体" w:hAnsi="宋体" w:eastAsia="宋体" w:cs="宋体"/>
          <w:kern w:val="2"/>
          <w:highlight w:val="none"/>
        </w:rPr>
      </w:pPr>
      <w:r>
        <w:rPr>
          <w:rFonts w:hint="eastAsia" w:ascii="宋体" w:hAnsi="宋体" w:eastAsia="宋体" w:cs="宋体"/>
          <w:b/>
          <w:bCs/>
          <w:sz w:val="28"/>
          <w:szCs w:val="28"/>
          <w:highlight w:val="none"/>
          <w:lang w:val="en-US" w:eastAsia="zh-CN"/>
        </w:rPr>
        <w:t>陶山服务区物业项目</w:t>
      </w:r>
      <w:r>
        <w:rPr>
          <w:rFonts w:hint="eastAsia" w:ascii="宋体" w:hAnsi="宋体" w:eastAsia="宋体" w:cs="宋体"/>
          <w:b/>
          <w:bCs/>
          <w:sz w:val="28"/>
          <w:szCs w:val="28"/>
          <w:highlight w:val="none"/>
        </w:rPr>
        <w:t>合同条款</w:t>
      </w:r>
    </w:p>
    <w:p w14:paraId="685F584B">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号：</w:t>
      </w:r>
    </w:p>
    <w:p w14:paraId="21C72311">
      <w:pPr>
        <w:spacing w:line="240" w:lineRule="auto"/>
        <w:ind w:firstLine="420" w:firstLineChars="200"/>
        <w:rPr>
          <w:rFonts w:hint="eastAsia" w:ascii="宋体" w:hAnsi="宋体" w:eastAsia="宋体" w:cs="宋体"/>
          <w:color w:val="auto"/>
          <w:sz w:val="21"/>
          <w:szCs w:val="21"/>
          <w:highlight w:val="none"/>
          <w:lang w:val="zh-CN"/>
        </w:rPr>
      </w:pPr>
    </w:p>
    <w:p w14:paraId="129262D3">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委托方：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（以下简称甲方）</w:t>
      </w:r>
    </w:p>
    <w:p w14:paraId="66326B58">
      <w:pPr>
        <w:tabs>
          <w:tab w:val="left" w:pos="4800"/>
        </w:tabs>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受托方：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（以下简称乙方）</w:t>
      </w:r>
    </w:p>
    <w:p w14:paraId="2929C7C2">
      <w:pPr>
        <w:spacing w:line="240" w:lineRule="auto"/>
        <w:ind w:firstLine="420" w:firstLineChars="200"/>
        <w:rPr>
          <w:rFonts w:hint="eastAsia" w:ascii="宋体" w:hAnsi="宋体" w:eastAsia="宋体" w:cs="宋体"/>
          <w:color w:val="auto"/>
          <w:sz w:val="21"/>
          <w:szCs w:val="21"/>
          <w:highlight w:val="none"/>
        </w:rPr>
      </w:pPr>
    </w:p>
    <w:p w14:paraId="4DF721C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》等法律法规，本着平等互利的原则，经甲、乙双方友好协商，就乙方为甲方提供物业管理服务事宜达成如下协议：</w:t>
      </w:r>
    </w:p>
    <w:p w14:paraId="4C69CE6E">
      <w:pPr>
        <w:spacing w:line="240" w:lineRule="auto"/>
        <w:ind w:firstLine="422" w:firstLineChars="200"/>
        <w:jc w:val="center"/>
        <w:rPr>
          <w:rFonts w:hint="eastAsia" w:ascii="宋体" w:hAnsi="宋体" w:eastAsia="宋体" w:cs="宋体"/>
          <w:b/>
          <w:bCs/>
          <w:color w:val="auto"/>
          <w:sz w:val="21"/>
          <w:szCs w:val="21"/>
          <w:highlight w:val="none"/>
        </w:rPr>
      </w:pPr>
    </w:p>
    <w:p w14:paraId="20804727">
      <w:pPr>
        <w:spacing w:line="24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第一章  总则</w:t>
      </w:r>
    </w:p>
    <w:p w14:paraId="3506FE84">
      <w:pPr>
        <w:autoSpaceDE w:val="0"/>
        <w:autoSpaceDN w:val="0"/>
        <w:adjustRightInd w:val="0"/>
        <w:spacing w:line="24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zh-CN"/>
        </w:rPr>
        <w:t>第一条</w:t>
      </w:r>
      <w:r>
        <w:rPr>
          <w:rFonts w:hint="eastAsia" w:ascii="宋体" w:hAnsi="宋体" w:eastAsia="宋体" w:cs="宋体"/>
          <w:bCs/>
          <w:color w:val="auto"/>
          <w:sz w:val="21"/>
          <w:szCs w:val="21"/>
          <w:highlight w:val="none"/>
          <w:lang w:val="zh-CN"/>
        </w:rPr>
        <w:t>项目基本情况</w:t>
      </w:r>
    </w:p>
    <w:p w14:paraId="7848AE5A">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物业类型</w:t>
      </w:r>
      <w:r>
        <w:rPr>
          <w:rFonts w:hint="eastAsia" w:ascii="宋体" w:hAnsi="宋体" w:eastAsia="宋体" w:cs="宋体"/>
          <w:color w:val="auto"/>
          <w:sz w:val="21"/>
          <w:szCs w:val="21"/>
          <w:highlight w:val="none"/>
          <w:u w:val="single"/>
        </w:rPr>
        <w:t>：综合型（办公、商铺、餐厅、停车场、卫生间、设施设备等物业服务）</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党群服务</w:t>
      </w:r>
      <w:r>
        <w:rPr>
          <w:rFonts w:hint="eastAsia" w:ascii="宋体" w:hAnsi="宋体" w:eastAsia="宋体" w:cs="宋体"/>
          <w:color w:val="auto"/>
          <w:sz w:val="21"/>
          <w:szCs w:val="21"/>
          <w:highlight w:val="none"/>
          <w:u w:val="single"/>
        </w:rPr>
        <w:t xml:space="preserve"> </w:t>
      </w:r>
    </w:p>
    <w:p w14:paraId="12D72A47">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座落位置：</w:t>
      </w:r>
      <w:r>
        <w:rPr>
          <w:rFonts w:hint="eastAsia" w:ascii="宋体" w:hAnsi="宋体" w:eastAsia="宋体" w:cs="宋体"/>
          <w:color w:val="auto"/>
          <w:sz w:val="21"/>
          <w:szCs w:val="21"/>
          <w:highlight w:val="none"/>
          <w:u w:val="single"/>
        </w:rPr>
        <w:t xml:space="preserve">                                                                         </w:t>
      </w:r>
    </w:p>
    <w:p w14:paraId="2F8E3669">
      <w:pPr>
        <w:spacing w:line="24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占地面积</w:t>
      </w:r>
      <w:r>
        <w:rPr>
          <w:rFonts w:hint="eastAsia" w:ascii="宋体" w:hAnsi="宋体" w:eastAsia="宋体" w:cs="宋体"/>
          <w:color w:val="auto"/>
          <w:sz w:val="21"/>
          <w:szCs w:val="21"/>
          <w:highlight w:val="none"/>
          <w:u w:val="single"/>
        </w:rPr>
        <w:t xml:space="preserve">：                                                                         </w:t>
      </w:r>
    </w:p>
    <w:p w14:paraId="781325D1">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第二条  </w:t>
      </w:r>
      <w:r>
        <w:rPr>
          <w:rFonts w:hint="eastAsia" w:ascii="宋体" w:hAnsi="宋体" w:eastAsia="宋体" w:cs="宋体"/>
          <w:color w:val="auto"/>
          <w:sz w:val="21"/>
          <w:szCs w:val="21"/>
          <w:highlight w:val="none"/>
        </w:rPr>
        <w:t>乙方提供服务的受益人为本物业的甲方和物业使用人，甲、乙双方均应对履行本协议承担相应的责任。</w:t>
      </w:r>
    </w:p>
    <w:p w14:paraId="53384037">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物业管理服务期限</w:t>
      </w:r>
    </w:p>
    <w:p w14:paraId="7C1B699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合同期限为1年，从    年   月  日起至    年   月   日止。采用“1+1”模式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一年合同期满后由甲方对乙方服务质量进行考核，考核合格后，经双方同意合同承包期限可顺延1年。</w:t>
      </w:r>
    </w:p>
    <w:p w14:paraId="677389AF">
      <w:pPr>
        <w:pStyle w:val="36"/>
        <w:rPr>
          <w:rFonts w:hint="eastAsia" w:ascii="宋体" w:hAnsi="宋体" w:eastAsia="宋体" w:cs="宋体"/>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kern w:val="2"/>
          <w:sz w:val="22"/>
          <w:szCs w:val="22"/>
          <w:highlight w:val="none"/>
          <w:lang w:val="en-US" w:eastAsia="zh-CN" w:bidi="ar-SA"/>
        </w:rPr>
        <w:t>管理服务期满后乙方不再继续管理服务或乙方因任何原因提前解除合同的，考虑到服务区的连续性和影响力，甲方有权要求乙方依据本合同约定继续管理服务一段时间（最长6个月），直至新的单位进场。</w:t>
      </w:r>
    </w:p>
    <w:p w14:paraId="22A1B361">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第二章物业管理服务事项</w:t>
      </w:r>
    </w:p>
    <w:p w14:paraId="65157B0D">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第四条  </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公共卫生间、停车场和大厅（包括办公室、会议室、屋面下水沟、广场下水沟、绿化带内各种垃圾等）的清洁、清扫、除尘、公共（室内外全部）消防设施、设备的日常管理、清洁等并做好相应记录，确保正常工作。</w:t>
      </w:r>
    </w:p>
    <w:p w14:paraId="235870B8">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第五条  </w:t>
      </w:r>
      <w:r>
        <w:rPr>
          <w:rFonts w:hint="eastAsia" w:ascii="宋体" w:hAnsi="宋体" w:eastAsia="宋体" w:cs="宋体"/>
          <w:color w:val="auto"/>
          <w:sz w:val="21"/>
          <w:szCs w:val="21"/>
          <w:highlight w:val="none"/>
        </w:rPr>
        <w:t>维持公共秩序，停车广场的交通与车辆停放秩序，疏导车辆、维护秩序。维持公共卫生，重大节假日或特殊任务期间加派人员。</w:t>
      </w:r>
    </w:p>
    <w:p w14:paraId="59539030">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color w:val="auto"/>
          <w:sz w:val="21"/>
          <w:szCs w:val="21"/>
          <w:highlight w:val="none"/>
        </w:rPr>
        <w:t>全天候值守（双向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停车场内场、外场均有现场保安管理），夜间巡逻并巡更、门岗、内部通道执勤、广场车辆引导、危化品车辆登记和统计、车流量统计、各类突发事件的应急处置，及时发现停车广场公共设施和路产的人为损坏情况并上报。</w:t>
      </w:r>
    </w:p>
    <w:p w14:paraId="212FBD40">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第七条  </w:t>
      </w:r>
      <w:r>
        <w:rPr>
          <w:rFonts w:hint="eastAsia" w:ascii="宋体" w:hAnsi="宋体" w:eastAsia="宋体" w:cs="宋体"/>
          <w:color w:val="auto"/>
          <w:sz w:val="21"/>
          <w:szCs w:val="21"/>
          <w:highlight w:val="none"/>
        </w:rPr>
        <w:t>对司乘人员违反物业管理制度的行为，根据情节轻重，采取批评、规劝、警告、制止、向甲方反映、向公安、巡警报警等措施。乙方保安管理人员必须在现场处理或配合相关部门进行处理，直到各类隐患消除为止。</w:t>
      </w:r>
    </w:p>
    <w:p w14:paraId="54C78DDE">
      <w:pPr>
        <w:spacing w:line="24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 xml:space="preserve">第八条  </w:t>
      </w:r>
      <w:r>
        <w:rPr>
          <w:rFonts w:hint="eastAsia" w:ascii="宋体" w:hAnsi="宋体" w:eastAsia="宋体" w:cs="宋体"/>
          <w:b/>
          <w:color w:val="auto"/>
          <w:sz w:val="21"/>
          <w:szCs w:val="21"/>
          <w:highlight w:val="none"/>
        </w:rPr>
        <w:t>乙方派遣的物业人员符合甲方要求，具体</w:t>
      </w:r>
      <w:r>
        <w:rPr>
          <w:rFonts w:hint="eastAsia" w:ascii="宋体" w:hAnsi="宋体" w:eastAsia="宋体" w:cs="宋体"/>
          <w:b/>
          <w:color w:val="auto"/>
          <w:sz w:val="21"/>
          <w:szCs w:val="21"/>
          <w:highlight w:val="none"/>
          <w:lang w:val="en-US" w:eastAsia="zh-CN"/>
        </w:rPr>
        <w:t>岗位详见合同</w:t>
      </w:r>
      <w:r>
        <w:rPr>
          <w:rFonts w:hint="eastAsia" w:ascii="宋体" w:hAnsi="宋体" w:eastAsia="宋体" w:cs="宋体"/>
          <w:b/>
          <w:color w:val="auto"/>
          <w:sz w:val="21"/>
          <w:szCs w:val="21"/>
          <w:highlight w:val="none"/>
        </w:rPr>
        <w:t>附三管理要求</w:t>
      </w:r>
      <w:r>
        <w:rPr>
          <w:rFonts w:hint="eastAsia" w:ascii="宋体" w:hAnsi="宋体" w:eastAsia="宋体" w:cs="宋体"/>
          <w:color w:val="auto"/>
          <w:sz w:val="21"/>
          <w:szCs w:val="21"/>
          <w:highlight w:val="none"/>
          <w:lang w:eastAsia="zh-CN"/>
        </w:rPr>
        <w:t>。乙方派遣物业人员人数共计52人，其中陶山服务区物业服务人数50人，党群服务中心物业服务人数2人，</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kern w:val="2"/>
          <w:sz w:val="21"/>
          <w:szCs w:val="21"/>
          <w:highlight w:val="none"/>
          <w:lang w:val="en-US" w:eastAsia="zh-CN" w:bidi="ar"/>
        </w:rPr>
        <w:t>岗位排班须满足现场要求</w:t>
      </w:r>
      <w:r>
        <w:rPr>
          <w:rFonts w:hint="eastAsia" w:ascii="宋体" w:hAnsi="宋体" w:eastAsia="宋体" w:cs="宋体"/>
          <w:color w:val="auto"/>
          <w:sz w:val="21"/>
          <w:szCs w:val="21"/>
          <w:highlight w:val="none"/>
        </w:rPr>
        <w:t>。</w:t>
      </w:r>
    </w:p>
    <w:p w14:paraId="4B18BCCE">
      <w:pPr>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14:paraId="3BCA7116">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 xml:space="preserve">条  </w:t>
      </w:r>
      <w:r>
        <w:rPr>
          <w:rFonts w:hint="eastAsia" w:ascii="宋体" w:hAnsi="宋体" w:eastAsia="宋体" w:cs="宋体"/>
          <w:color w:val="auto"/>
          <w:sz w:val="21"/>
          <w:szCs w:val="21"/>
          <w:highlight w:val="none"/>
        </w:rPr>
        <w:t>乙方派驻人员采用24小时不间断对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进行各项服务。就餐时间及就餐地点由甲方指定。</w:t>
      </w:r>
    </w:p>
    <w:p w14:paraId="7BAC3C2E">
      <w:pPr>
        <w:spacing w:line="240" w:lineRule="auto"/>
        <w:ind w:left="210" w:leftChars="100" w:firstLine="211" w:firstLineChars="1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 xml:space="preserve">第十条  </w:t>
      </w:r>
      <w:r>
        <w:rPr>
          <w:rFonts w:hint="eastAsia" w:ascii="宋体" w:hAnsi="宋体" w:eastAsia="宋体" w:cs="宋体"/>
          <w:b/>
          <w:bCs w:val="0"/>
          <w:color w:val="auto"/>
          <w:sz w:val="21"/>
          <w:szCs w:val="21"/>
          <w:highlight w:val="none"/>
        </w:rPr>
        <w:t>物业管理服务</w:t>
      </w:r>
      <w:r>
        <w:rPr>
          <w:rFonts w:hint="eastAsia" w:ascii="宋体" w:hAnsi="宋体" w:eastAsia="宋体" w:cs="宋体"/>
          <w:b/>
          <w:bCs w:val="0"/>
          <w:color w:val="auto"/>
          <w:sz w:val="21"/>
          <w:szCs w:val="21"/>
          <w:highlight w:val="none"/>
          <w:lang w:val="en-US" w:eastAsia="zh-CN"/>
        </w:rPr>
        <w:t>补充条款，</w:t>
      </w:r>
    </w:p>
    <w:p w14:paraId="7A049BBD">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（一）其他服务内容条款：</w:t>
      </w:r>
    </w:p>
    <w:p w14:paraId="25D7204A">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1、物业提供的车辆和设备进行保养维修（扫地车、高压清洗车、巡逻车、高压冲洗车等设备）；</w:t>
      </w:r>
    </w:p>
    <w:p w14:paraId="6A3F54C4">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2、服务区公共场所进行消杀，每月至少1次；</w:t>
      </w:r>
    </w:p>
    <w:p w14:paraId="27A79E2B">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3、消控室消防远程监控服务；</w:t>
      </w:r>
    </w:p>
    <w:p w14:paraId="01DEDF7A">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4、自行或聘请专业空调公司对空调进行维修、清洗，清洗为每年2次；</w:t>
      </w:r>
    </w:p>
    <w:p w14:paraId="775A2007">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5、负责化粪池清理清运，每年2次。</w:t>
      </w:r>
    </w:p>
    <w:p w14:paraId="44733AEF">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6、负责生活水箱清洗，每年2次。</w:t>
      </w:r>
    </w:p>
    <w:p w14:paraId="6E5E59A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注：投标中已承诺的服务，如在服务期内乙方未按相关承诺实施的，甲方有权将相关服务另行委托第三方实施，相关费用按实际支付情况在结算季度款项时予以扣除。</w:t>
      </w:r>
    </w:p>
    <w:p w14:paraId="7031874C">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（二）其他服务设备条款：</w:t>
      </w:r>
    </w:p>
    <w:p w14:paraId="11B58931">
      <w:pPr>
        <w:ind w:firstLine="420" w:firstLineChars="200"/>
        <w:rPr>
          <w:rFonts w:hint="eastAsia" w:ascii="宋体" w:hAnsi="宋体" w:eastAsia="宋体" w:cs="宋体"/>
          <w:b/>
          <w:bCs w:val="0"/>
          <w:color w:val="auto"/>
          <w:sz w:val="21"/>
          <w:szCs w:val="21"/>
          <w:highlight w:val="none"/>
        </w:rPr>
      </w:pPr>
      <w:r>
        <w:rPr>
          <w:rFonts w:hint="eastAsia" w:ascii="宋体" w:hAnsi="宋体" w:eastAsia="宋体" w:cs="宋体"/>
          <w:color w:val="auto"/>
          <w:sz w:val="21"/>
          <w:szCs w:val="21"/>
          <w:highlight w:val="none"/>
          <w:lang w:val="en-US" w:eastAsia="zh-CN"/>
        </w:rPr>
        <w:t>注：投标中已承诺的提供的增值设备，如在服务期内乙方未按相关承诺提供的或合同签订后1个月内不能到位的，甲方有权另行购置或租赁，相关费用由乙方承担，并在季度款项时予以扣除。</w:t>
      </w:r>
    </w:p>
    <w:p w14:paraId="1659DA96">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第三章双方权利义务</w:t>
      </w:r>
    </w:p>
    <w:p w14:paraId="3EB61475">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 xml:space="preserve">条  </w:t>
      </w:r>
      <w:r>
        <w:rPr>
          <w:rFonts w:hint="eastAsia" w:ascii="宋体" w:hAnsi="宋体" w:eastAsia="宋体" w:cs="宋体"/>
          <w:color w:val="auto"/>
          <w:sz w:val="21"/>
          <w:szCs w:val="21"/>
          <w:highlight w:val="none"/>
        </w:rPr>
        <w:t>甲方权利义务</w:t>
      </w:r>
    </w:p>
    <w:p w14:paraId="08A94C7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1.代表和维护产权人、使用人的合法权益；</w:t>
      </w:r>
    </w:p>
    <w:p w14:paraId="0A14009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2.审定乙方拟定的物业管理制度，及乙方所聘用的人员；</w:t>
      </w:r>
    </w:p>
    <w:p w14:paraId="562CFFF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3.检查监督乙方管理工作的实施及制度的执行情况；</w:t>
      </w:r>
    </w:p>
    <w:p w14:paraId="7FEF844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4.审定乙方提出的物业管理服务年度计划；</w:t>
      </w:r>
    </w:p>
    <w:p w14:paraId="2930CA07">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6.协助乙方作好物业管理工作和宣传教育、文化活动；</w:t>
      </w:r>
    </w:p>
    <w:p w14:paraId="01D551F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7.向乙方无偿、及时提供必要的办公用房、保安、保洁工作所用的设备器材、清洁用品、用具等，同时甲方负责承担物业管理办公所实施的水电费用；</w:t>
      </w:r>
    </w:p>
    <w:p w14:paraId="71EEA0C8">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8.向乙方无偿提供必要的物料储藏室、员工作息间，其所有权归甲方所有；</w:t>
      </w:r>
    </w:p>
    <w:p w14:paraId="45D8EDD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9.及时足额向乙方支付相关服务费用。</w:t>
      </w:r>
    </w:p>
    <w:p w14:paraId="57113F6C">
      <w:pPr>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 xml:space="preserve">条  </w:t>
      </w:r>
      <w:r>
        <w:rPr>
          <w:rFonts w:hint="eastAsia" w:ascii="宋体" w:hAnsi="宋体" w:eastAsia="宋体" w:cs="宋体"/>
          <w:color w:val="auto"/>
          <w:sz w:val="21"/>
          <w:szCs w:val="21"/>
          <w:highlight w:val="none"/>
        </w:rPr>
        <w:t>乙方权利义务</w:t>
      </w:r>
    </w:p>
    <w:p w14:paraId="240ECD2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1.根据有关法律法规、本协议及协议附件的约定，制订物业管理制度；</w:t>
      </w:r>
    </w:p>
    <w:p w14:paraId="75AB126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2.对司乘人员违反法规、规章的行为进行规劝和制止，并报甲方备案；</w:t>
      </w:r>
    </w:p>
    <w:p w14:paraId="435293A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3.未经甲方书面同意，乙方不得将本物业的管理责任转让给第三方，未经甲方同意不允许乙方分包或转包甲方服务管理事宜；</w:t>
      </w:r>
    </w:p>
    <w:p w14:paraId="1C4D79E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4.在物业日常管理过程中对超越职权无法解决的事项或物业设施需要维修、保养以及为保证正常、安全运行所需要更换的设备，要及时向甲方反映，费用由甲方承担（包括消防设施、设备）；</w:t>
      </w:r>
    </w:p>
    <w:p w14:paraId="363F9ED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5.负责编制物业管理年度管理计划；</w:t>
      </w:r>
    </w:p>
    <w:p w14:paraId="5E4C7AB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6.对本物业的公用设施不得擅自占用和改变使用功能；</w:t>
      </w:r>
    </w:p>
    <w:p w14:paraId="0169DF3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7.按每月向甲方提出设备器材（清单另列附件）、清洁用品、用具等需求（领用）计划；</w:t>
      </w:r>
    </w:p>
    <w:p w14:paraId="246E205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甲方需委托其他管理服务事项时，乙方应积极配合；</w:t>
      </w:r>
    </w:p>
    <w:p w14:paraId="02641C3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9.合同终止时，乙方必须向甲方移交物业管理的全部档案资料；</w:t>
      </w:r>
    </w:p>
    <w:p w14:paraId="595E6CA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10.及时足额向甲方收取相关服务费用；</w:t>
      </w:r>
    </w:p>
    <w:p w14:paraId="3142FC6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11.乙方的物业管理人员要有符合国家规定的上岗证、健康证、保安员需持有保安员证，要严格政审，没有刑事犯罪记录，并报甲方备案。对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须配置物业项目工作对接人，项目工作对接人聘用要经甲方审定，国家法定假日须在现场值守。对物业聘用人员，必须向甲方提供身份证、暂住证复印件，并每月向甲方提供人员花名册；</w:t>
      </w:r>
    </w:p>
    <w:p w14:paraId="113E902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12.乙方工作人员因管理不当造成人员</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财产伤害或损失的，由乙方承担责任，</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负责赔偿；</w:t>
      </w:r>
    </w:p>
    <w:p w14:paraId="64BA404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13.乙方的物业管理人员要听从甲方调动指挥；</w:t>
      </w:r>
    </w:p>
    <w:p w14:paraId="52320A0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14．甲方对乙方员工的工作行为进行监督，如发现乙方员工有违反规定和制度行为，甲方将要求其整改，乙方员工态度恶劣拒不改正的，乙方必须予以辞退；</w:t>
      </w:r>
    </w:p>
    <w:p w14:paraId="1038200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负责员工招聘、录用、管理工作，保持员工稳定和到位人数，乙方做好员工岗前培训且做好台帐，并按国家规定办法办好劳动保险、人身意外险手续，确保乙方员工工资和福利及时发放到位。如因乙方用工原因生产劳务纠纷，乙方自行及时妥善处理，甲方不承担任何法律责任和经济责任，不能影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正常运行。</w:t>
      </w:r>
    </w:p>
    <w:p w14:paraId="0D11D3AE">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16.乙方提供的物业人员服务质量不得低于附件三规定的量化标准。</w:t>
      </w:r>
    </w:p>
    <w:p w14:paraId="583F7A9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17．乙方派驻</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员工就餐由甲方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统一安排，乙方员工就餐费用按甲方员工统一标准支付甲方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w:t>
      </w:r>
    </w:p>
    <w:p w14:paraId="68444ECB">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乙方需派驻专职水电工，要求人员电气证件齐全，专业操作能力满足日常和突发工作需要，可满足24小时服务要求。</w:t>
      </w:r>
    </w:p>
    <w:p w14:paraId="79CD8F3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.乙方负责甲方服务区消控室远程监控管理安装，远程消防监控符合相关消防和安全规范要求，相关费用由乙方承担。</w:t>
      </w:r>
    </w:p>
    <w:p w14:paraId="64F81DB2">
      <w:pPr>
        <w:pStyle w:val="36"/>
        <w:ind w:firstLine="420" w:firstLineChars="200"/>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20.乙方负责甲方服务区环境卫生消杀工作，聘请专业第三方消杀公司定期做好消杀工作，第三方消杀工作选聘由甲方认可，产生的相关费用由乙方承担。</w:t>
      </w:r>
    </w:p>
    <w:p w14:paraId="1FE7C97C">
      <w:pPr>
        <w:pStyle w:val="36"/>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21.负责服务区内日常产生的垃圾清运工作，并将垃圾运送至垃圾中转站内处理，产生的相关费用由乙方承担。</w:t>
      </w:r>
    </w:p>
    <w:p w14:paraId="0AC09F4F">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22.因乙方自身管理不善出现双保人员集体罢工，造成现场物业服务工作失控，服务区形象在社会上造成严重恶劣影响的，当月考核视为零分。情节严重的甲方有权单方面接解除合同。</w:t>
      </w:r>
    </w:p>
    <w:p w14:paraId="4B061335">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23.乙方进场前需先提交服务区双保人员和其他工种人员的日常考核管理办法细则，每月对优秀的人员进行定量的现金奖励，对工作表现差，并多次违规的人员进行现金扣罚。并报与服务区确认备案。</w:t>
      </w:r>
    </w:p>
    <w:p w14:paraId="27C0215D">
      <w:pPr>
        <w:widowControl/>
        <w:numPr>
          <w:ilvl w:val="0"/>
          <w:numId w:val="0"/>
        </w:numPr>
        <w:spacing w:line="240" w:lineRule="auto"/>
        <w:ind w:left="0" w:firstLine="420" w:firstLineChars="20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24.乙方至少每季度组织各技术职能部门对服务区整个物业项目的所有人员，进行业务指导，对现场设备设施进行安全检查和检测，并做出纸质整改意见报服务区留档备案。</w:t>
      </w:r>
    </w:p>
    <w:p w14:paraId="6222B904">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第四章物业管理费用</w:t>
      </w:r>
    </w:p>
    <w:p w14:paraId="3AA5AD62">
      <w:pPr>
        <w:autoSpaceDE w:val="0"/>
        <w:autoSpaceDN w:val="0"/>
        <w:adjustRightInd w:val="0"/>
        <w:spacing w:line="24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条物业管理费用及支付方式</w:t>
      </w:r>
    </w:p>
    <w:p w14:paraId="6ABEB8DD">
      <w:pPr>
        <w:spacing w:line="24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1．物业管理壹年期费用总额为</w:t>
      </w:r>
      <w:r>
        <w:rPr>
          <w:rFonts w:hint="eastAsia" w:ascii="宋体" w:hAnsi="宋体" w:eastAsia="宋体" w:cs="宋体"/>
          <w:b/>
          <w:color w:val="auto"/>
          <w:sz w:val="21"/>
          <w:szCs w:val="21"/>
          <w:highlight w:val="none"/>
        </w:rPr>
        <w:t>人民币</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，含税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 xml:space="preserve">（其中陶山服务区物业服务壹年期费用总额为人民币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“瓯江红·畅美高速”党群服务中心物业服务壹年期费用总额为人民币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lang w:eastAsia="zh-CN"/>
        </w:rPr>
        <w:t>包含奖励金</w:t>
      </w:r>
      <w:r>
        <w:rPr>
          <w:rFonts w:hint="eastAsia" w:ascii="宋体" w:hAnsi="宋体" w:eastAsia="宋体" w:cs="宋体"/>
          <w:b/>
          <w:bCs/>
          <w:lang w:val="en-US" w:eastAsia="zh-CN"/>
        </w:rPr>
        <w:t>400元/人月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rPr>
        <w:t>（根据实际岗位数量及乙方最终中标分项报价表中各岗位月工资按季度结算人工物业费；临时增加人员费用每季按实结算；</w:t>
      </w:r>
      <w:r>
        <w:rPr>
          <w:rFonts w:hint="eastAsia" w:ascii="宋体" w:hAnsi="宋体" w:eastAsia="宋体" w:cs="宋体"/>
          <w:color w:val="auto"/>
          <w:sz w:val="21"/>
          <w:szCs w:val="21"/>
          <w:highlight w:val="none"/>
          <w:lang w:val="en-US" w:eastAsia="zh-CN"/>
        </w:rPr>
        <w:t>员工奖励金由甲方人根据考核情况并结合员工表现每季按实结算，相关费用需由乙方先行垫付，足额发放至对应员工，不得扣减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w:t>
      </w:r>
    </w:p>
    <w:p w14:paraId="03C3925F">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该价格已包括在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域内提供</w:t>
      </w: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安保管理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卫生管理，</w:t>
      </w: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lang w:val="en-US" w:eastAsia="zh-CN"/>
        </w:rPr>
        <w:t>维护</w:t>
      </w:r>
      <w:r>
        <w:rPr>
          <w:rFonts w:hint="eastAsia" w:ascii="宋体" w:hAnsi="宋体" w:eastAsia="宋体" w:cs="宋体"/>
          <w:color w:val="auto"/>
          <w:sz w:val="21"/>
          <w:szCs w:val="21"/>
          <w:highlight w:val="none"/>
        </w:rPr>
        <w:t>及其他所有服务所需的人员工资（基本工资、辅助工资、工资性补贴、</w:t>
      </w:r>
      <w:r>
        <w:rPr>
          <w:rFonts w:hint="eastAsia" w:ascii="宋体" w:hAnsi="宋体" w:eastAsia="宋体" w:cs="宋体"/>
          <w:color w:val="auto"/>
          <w:sz w:val="21"/>
          <w:szCs w:val="21"/>
          <w:highlight w:val="none"/>
          <w:lang w:eastAsia="zh-CN"/>
        </w:rPr>
        <w:t>单休加班费、</w:t>
      </w:r>
      <w:r>
        <w:rPr>
          <w:rFonts w:hint="eastAsia" w:ascii="宋体" w:hAnsi="宋体" w:eastAsia="宋体" w:cs="宋体"/>
          <w:color w:val="auto"/>
          <w:sz w:val="21"/>
          <w:szCs w:val="21"/>
          <w:highlight w:val="none"/>
        </w:rPr>
        <w:t>奖金、节日加班费等），社会保障费（养老保险、基本医疗保险、工伤保险、失业保险、生育保险、住房公积金等），企业管理费（管理人员工资、办公费、差旅交通费、固定资产使用费、劳动保</w:t>
      </w:r>
      <w:r>
        <w:rPr>
          <w:rFonts w:hint="eastAsia" w:ascii="宋体" w:hAnsi="宋体" w:eastAsia="宋体" w:cs="宋体"/>
          <w:color w:val="auto"/>
          <w:sz w:val="21"/>
          <w:szCs w:val="21"/>
          <w:highlight w:val="none"/>
          <w:lang w:eastAsia="zh-CN"/>
        </w:rPr>
        <w:t>护</w:t>
      </w:r>
      <w:r>
        <w:rPr>
          <w:rFonts w:hint="eastAsia" w:ascii="宋体" w:hAnsi="宋体" w:eastAsia="宋体" w:cs="宋体"/>
          <w:color w:val="auto"/>
          <w:sz w:val="21"/>
          <w:szCs w:val="21"/>
          <w:highlight w:val="none"/>
        </w:rPr>
        <w:t>费、工会经费、职工教育经费、财产保险费等），工作相关的服装费，企业应缴纳的各种税费等全部费用。</w:t>
      </w:r>
    </w:p>
    <w:p w14:paraId="628F01D0">
      <w:pPr>
        <w:spacing w:line="240" w:lineRule="auto"/>
        <w:ind w:firstLine="420" w:firstLineChars="200"/>
        <w:rPr>
          <w:rFonts w:hint="eastAsia"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乙方</w:t>
      </w:r>
      <w:r>
        <w:rPr>
          <w:rFonts w:hint="eastAsia" w:ascii="宋体" w:hAnsi="宋体" w:eastAsia="宋体" w:cs="宋体"/>
          <w:color w:val="auto"/>
          <w:kern w:val="0"/>
          <w:sz w:val="21"/>
          <w:szCs w:val="21"/>
          <w:highlight w:val="none"/>
          <w:u w:val="single"/>
        </w:rPr>
        <w:t>在接到中标通知书后签订合同前，向</w:t>
      </w:r>
      <w:r>
        <w:rPr>
          <w:rFonts w:hint="eastAsia" w:ascii="宋体" w:hAnsi="宋体" w:eastAsia="宋体" w:cs="宋体"/>
          <w:color w:val="auto"/>
          <w:kern w:val="0"/>
          <w:sz w:val="21"/>
          <w:szCs w:val="21"/>
          <w:highlight w:val="none"/>
          <w:u w:val="single"/>
          <w:lang w:eastAsia="zh-CN"/>
        </w:rPr>
        <w:t>甲方</w:t>
      </w:r>
      <w:r>
        <w:rPr>
          <w:rFonts w:hint="eastAsia" w:ascii="宋体" w:hAnsi="宋体" w:eastAsia="宋体" w:cs="宋体"/>
          <w:color w:val="auto"/>
          <w:kern w:val="0"/>
          <w:sz w:val="21"/>
          <w:szCs w:val="21"/>
          <w:highlight w:val="none"/>
          <w:u w:val="single"/>
        </w:rPr>
        <w:t>缴纳合同价5%的履约保证金</w:t>
      </w:r>
      <w:r>
        <w:rPr>
          <w:rFonts w:hint="eastAsia" w:ascii="宋体" w:hAnsi="宋体" w:eastAsia="宋体" w:cs="宋体"/>
          <w:b/>
          <w:color w:val="auto"/>
          <w:kern w:val="0"/>
          <w:sz w:val="21"/>
          <w:szCs w:val="21"/>
          <w:highlight w:val="none"/>
          <w:u w:val="single"/>
        </w:rPr>
        <w:t>（须汇入</w:t>
      </w:r>
      <w:r>
        <w:rPr>
          <w:rFonts w:hint="eastAsia" w:ascii="宋体" w:hAnsi="宋体" w:eastAsia="宋体" w:cs="宋体"/>
          <w:b/>
          <w:color w:val="auto"/>
          <w:kern w:val="0"/>
          <w:sz w:val="21"/>
          <w:szCs w:val="21"/>
          <w:highlight w:val="none"/>
          <w:u w:val="single"/>
          <w:lang w:eastAsia="zh-CN"/>
        </w:rPr>
        <w:t>甲方</w:t>
      </w:r>
      <w:r>
        <w:rPr>
          <w:rFonts w:hint="eastAsia" w:ascii="宋体" w:hAnsi="宋体" w:eastAsia="宋体" w:cs="宋体"/>
          <w:b/>
          <w:color w:val="auto"/>
          <w:kern w:val="0"/>
          <w:sz w:val="21"/>
          <w:szCs w:val="21"/>
          <w:highlight w:val="none"/>
          <w:u w:val="single"/>
        </w:rPr>
        <w:t>指定银行账户）。</w:t>
      </w:r>
    </w:p>
    <w:p w14:paraId="3D6D336F">
      <w:pPr>
        <w:spacing w:line="24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u w:val="single"/>
        </w:rPr>
        <w:t>▲</w:t>
      </w:r>
      <w:r>
        <w:rPr>
          <w:rFonts w:hint="eastAsia" w:ascii="宋体" w:hAnsi="宋体" w:eastAsia="宋体" w:cs="宋体"/>
          <w:bCs/>
          <w:color w:val="auto"/>
          <w:sz w:val="21"/>
          <w:szCs w:val="21"/>
          <w:highlight w:val="none"/>
          <w:u w:val="single"/>
        </w:rPr>
        <w:t>如遇突发事件或甲方管理需要物业人员临时加班，加班费标准</w:t>
      </w:r>
      <w:r>
        <w:rPr>
          <w:rFonts w:hint="eastAsia" w:ascii="宋体" w:hAnsi="宋体" w:eastAsia="宋体" w:cs="宋体"/>
          <w:bCs/>
          <w:color w:val="auto"/>
          <w:sz w:val="21"/>
          <w:szCs w:val="21"/>
          <w:highlight w:val="none"/>
          <w:u w:val="single"/>
          <w:lang w:val="en-US" w:eastAsia="zh-CN"/>
        </w:rPr>
        <w:t>每人按</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0元/班</w:t>
      </w:r>
      <w:r>
        <w:rPr>
          <w:rFonts w:hint="eastAsia" w:ascii="宋体" w:hAnsi="宋体" w:eastAsia="宋体" w:cs="宋体"/>
          <w:bCs/>
          <w:color w:val="auto"/>
          <w:sz w:val="21"/>
          <w:szCs w:val="21"/>
          <w:highlight w:val="none"/>
          <w:u w:val="single"/>
          <w:lang w:val="en-US" w:eastAsia="zh-CN"/>
        </w:rPr>
        <w:t>计付</w:t>
      </w:r>
      <w:r>
        <w:rPr>
          <w:rFonts w:hint="eastAsia" w:ascii="宋体" w:hAnsi="宋体" w:eastAsia="宋体" w:cs="宋体"/>
          <w:bCs/>
          <w:color w:val="auto"/>
          <w:sz w:val="21"/>
          <w:szCs w:val="21"/>
          <w:highlight w:val="none"/>
          <w:u w:val="single"/>
        </w:rPr>
        <w:t>，临时加班费总额</w:t>
      </w:r>
      <w:r>
        <w:rPr>
          <w:rFonts w:hint="eastAsia" w:ascii="宋体" w:hAnsi="宋体" w:eastAsia="宋体" w:cs="宋体"/>
          <w:bCs/>
          <w:color w:val="auto"/>
          <w:sz w:val="21"/>
          <w:szCs w:val="21"/>
          <w:highlight w:val="none"/>
          <w:u w:val="single"/>
          <w:lang w:val="en-US" w:eastAsia="zh-CN"/>
        </w:rPr>
        <w:t>控制在8</w:t>
      </w:r>
      <w:r>
        <w:rPr>
          <w:rFonts w:hint="eastAsia" w:ascii="宋体" w:hAnsi="宋体" w:eastAsia="宋体" w:cs="宋体"/>
          <w:bCs/>
          <w:color w:val="auto"/>
          <w:sz w:val="21"/>
          <w:szCs w:val="21"/>
          <w:highlight w:val="none"/>
          <w:u w:val="single"/>
        </w:rPr>
        <w:t>万元/年</w:t>
      </w:r>
      <w:r>
        <w:rPr>
          <w:rFonts w:hint="eastAsia" w:ascii="宋体" w:hAnsi="宋体" w:eastAsia="宋体" w:cs="宋体"/>
          <w:bCs/>
          <w:color w:val="auto"/>
          <w:sz w:val="21"/>
          <w:szCs w:val="21"/>
          <w:highlight w:val="none"/>
          <w:u w:val="single"/>
          <w:lang w:val="en-US" w:eastAsia="zh-CN"/>
        </w:rPr>
        <w:t>内</w:t>
      </w:r>
      <w:r>
        <w:rPr>
          <w:rFonts w:hint="eastAsia" w:ascii="宋体" w:hAnsi="宋体" w:eastAsia="宋体" w:cs="宋体"/>
          <w:bCs/>
          <w:color w:val="auto"/>
          <w:sz w:val="21"/>
          <w:szCs w:val="21"/>
          <w:highlight w:val="none"/>
          <w:u w:val="single"/>
        </w:rPr>
        <w:t>，在承包总价中列支。</w:t>
      </w:r>
      <w:r>
        <w:rPr>
          <w:rFonts w:hint="eastAsia" w:ascii="宋体" w:hAnsi="宋体" w:eastAsia="宋体" w:cs="宋体"/>
          <w:bCs/>
          <w:color w:val="auto"/>
          <w:sz w:val="21"/>
          <w:szCs w:val="21"/>
          <w:highlight w:val="none"/>
          <w:u w:val="single"/>
          <w:lang w:val="en-US" w:eastAsia="zh-CN"/>
        </w:rPr>
        <w:t>加班申请单需在事发当月由乙方提出申请，甲方负责人确认，超出时间期限的申请，一律不予确认计量。</w:t>
      </w:r>
    </w:p>
    <w:p w14:paraId="5E3D006B">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eastAsia="宋体" w:cs="宋体"/>
          <w:bCs w:val="0"/>
          <w:color w:val="auto"/>
          <w:sz w:val="21"/>
          <w:szCs w:val="21"/>
          <w:highlight w:val="none"/>
          <w:lang w:val="en-US" w:eastAsia="zh-CN"/>
        </w:rPr>
        <w:t>员工奖励金6万元整，</w:t>
      </w:r>
      <w:r>
        <w:rPr>
          <w:rFonts w:hint="eastAsia" w:ascii="宋体" w:hAnsi="宋体" w:eastAsia="宋体" w:cs="宋体"/>
          <w:color w:val="auto"/>
          <w:sz w:val="21"/>
          <w:szCs w:val="21"/>
          <w:highlight w:val="none"/>
          <w:lang w:val="en-US" w:eastAsia="zh-CN"/>
        </w:rPr>
        <w:t>用于服务区内员工的奖励，奖励金额及奖励方式由甲方根据相关员工的日常表现确定，但乙方不得因本奖励金的发放而扣减原本乙方自身应发放给员工的相关奖励。</w:t>
      </w:r>
    </w:p>
    <w:p w14:paraId="7E109349">
      <w:pPr>
        <w:spacing w:line="240" w:lineRule="auto"/>
        <w:ind w:firstLine="420" w:firstLineChars="200"/>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5.维修单价金额在50元以下维修费用总额控制在</w:t>
      </w:r>
      <w:r>
        <w:rPr>
          <w:rFonts w:hint="eastAsia" w:ascii="宋体" w:hAnsi="宋体" w:eastAsia="宋体" w:cs="宋体"/>
          <w:strike w:val="0"/>
          <w:color w:val="auto"/>
          <w:kern w:val="0"/>
          <w:sz w:val="21"/>
          <w:szCs w:val="21"/>
          <w:highlight w:val="none"/>
          <w:lang w:val="en-US" w:eastAsia="zh-CN"/>
        </w:rPr>
        <w:t>4万元/年内，</w:t>
      </w:r>
      <w:r>
        <w:rPr>
          <w:rFonts w:hint="eastAsia" w:ascii="宋体" w:hAnsi="宋体" w:eastAsia="宋体" w:cs="宋体"/>
          <w:bCs/>
          <w:color w:val="auto"/>
          <w:sz w:val="21"/>
          <w:szCs w:val="21"/>
          <w:highlight w:val="none"/>
          <w:u w:val="none"/>
        </w:rPr>
        <w:t>在承包总价中列支。</w:t>
      </w:r>
      <w:r>
        <w:rPr>
          <w:rFonts w:hint="eastAsia" w:ascii="宋体" w:hAnsi="宋体" w:eastAsia="宋体" w:cs="宋体"/>
          <w:bCs/>
          <w:color w:val="auto"/>
          <w:sz w:val="21"/>
          <w:szCs w:val="21"/>
          <w:highlight w:val="none"/>
          <w:u w:val="none"/>
          <w:lang w:val="en-US" w:eastAsia="zh-CN"/>
        </w:rPr>
        <w:t>维修申请单需在事发时或当月由乙方提出申请，甲方负责人确认，超出时间期限的申请，一律不予确认计量。</w:t>
      </w:r>
    </w:p>
    <w:p w14:paraId="525C2DDD">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每月乙方提供人员工资、考勤、临时加班费、员工奖励金、维修费等结算资料，给甲方审核确认。人员工资、临时加班费、维修单价金额在50元以下维修费用、员工奖励金每季度按实结算，其中人员工资支付80%，剩余20%，根据每月考核情况予以支付。其他服务费在每年服务结束后，提供结算资料按实结算支付。承包人需提供增值税专用发票，先服务后结算。相关费用需由乙方先行垫付，足额发放至对应员工，不得扣减。</w:t>
      </w:r>
    </w:p>
    <w:p w14:paraId="27AD4981">
      <w:pPr>
        <w:spacing w:line="24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rPr>
        <w:t>．“瓯江红·畅美高速”党群服务中心物业服务付款方式：</w:t>
      </w:r>
      <w:r>
        <w:rPr>
          <w:rFonts w:hint="eastAsia" w:ascii="宋体" w:hAnsi="宋体" w:eastAsia="宋体" w:cs="宋体"/>
          <w:color w:val="auto"/>
          <w:kern w:val="0"/>
          <w:sz w:val="21"/>
          <w:szCs w:val="21"/>
          <w:highlight w:val="none"/>
        </w:rPr>
        <w:t>先服务后支付，半年支付一次，</w:t>
      </w:r>
      <w:r>
        <w:rPr>
          <w:rFonts w:hint="eastAsia" w:ascii="宋体" w:hAnsi="宋体" w:eastAsia="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凭正式税务增值税专用发票向</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结算费用，</w:t>
      </w:r>
      <w:r>
        <w:rPr>
          <w:rFonts w:hint="eastAsia" w:ascii="宋体" w:hAnsi="宋体" w:eastAsia="宋体" w:cs="宋体"/>
          <w:color w:val="auto"/>
          <w:kern w:val="0"/>
          <w:sz w:val="21"/>
          <w:szCs w:val="21"/>
          <w:highlight w:val="none"/>
          <w:lang w:val="en-US" w:eastAsia="zh-CN"/>
        </w:rPr>
        <w:t>甲方根据乙方投标分项报价</w:t>
      </w:r>
      <w:r>
        <w:rPr>
          <w:rFonts w:hint="eastAsia" w:ascii="宋体" w:hAnsi="宋体" w:eastAsia="宋体" w:cs="宋体"/>
          <w:color w:val="auto"/>
          <w:kern w:val="0"/>
          <w:sz w:val="21"/>
          <w:szCs w:val="21"/>
          <w:highlight w:val="none"/>
        </w:rPr>
        <w:t>按实结算。</w:t>
      </w:r>
    </w:p>
    <w:p w14:paraId="78C8F14B">
      <w:pPr>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甲方可随时根据实际情况进行核实，一经发现存在克扣员工工资及福利或者拖欠员工工资问题及福利将按照相关要求及法律规定对相关责任人严肃查处。</w:t>
      </w:r>
    </w:p>
    <w:p w14:paraId="0029243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u w:val="single"/>
        </w:rPr>
        <w:t>▲服务期结束，且所有合同义务都已履行完毕后7天内，无息退还履约保证金。</w:t>
      </w:r>
    </w:p>
    <w:p w14:paraId="35F36141">
      <w:pPr>
        <w:pStyle w:val="66"/>
        <w:spacing w:before="120" w:after="120"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第五章履约保证金</w:t>
      </w:r>
    </w:p>
    <w:p w14:paraId="26F2CC18">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rPr>
        <w:t>乙方在合同签订后向甲方支付合同价5%的履约保证金</w:t>
      </w:r>
      <w:r>
        <w:rPr>
          <w:rFonts w:hint="eastAsia" w:ascii="宋体" w:hAnsi="宋体" w:eastAsia="宋体" w:cs="宋体"/>
          <w:b/>
          <w:color w:val="auto"/>
          <w:kern w:val="0"/>
          <w:sz w:val="21"/>
          <w:szCs w:val="21"/>
          <w:highlight w:val="none"/>
          <w:u w:val="single"/>
        </w:rPr>
        <w:t>（须汇入</w:t>
      </w:r>
      <w:r>
        <w:rPr>
          <w:rFonts w:hint="eastAsia" w:ascii="宋体" w:hAnsi="宋体" w:eastAsia="宋体" w:cs="宋体"/>
          <w:b/>
          <w:color w:val="auto"/>
          <w:kern w:val="0"/>
          <w:sz w:val="21"/>
          <w:szCs w:val="21"/>
          <w:highlight w:val="none"/>
          <w:u w:val="single"/>
          <w:lang w:eastAsia="zh-CN"/>
        </w:rPr>
        <w:t>甲方</w:t>
      </w:r>
      <w:r>
        <w:rPr>
          <w:rFonts w:hint="eastAsia" w:ascii="宋体" w:hAnsi="宋体" w:eastAsia="宋体" w:cs="宋体"/>
          <w:b/>
          <w:color w:val="auto"/>
          <w:kern w:val="0"/>
          <w:sz w:val="21"/>
          <w:szCs w:val="21"/>
          <w:highlight w:val="none"/>
          <w:u w:val="single"/>
        </w:rPr>
        <w:t>指定银行账户）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对本合同履行过程中的事项，包括但不限于：服务质量、设施损坏、人身损害、违约赔偿金等进行担保。</w:t>
      </w:r>
    </w:p>
    <w:p w14:paraId="14A461B3">
      <w:pPr>
        <w:autoSpaceDE w:val="0"/>
        <w:autoSpaceDN w:val="0"/>
        <w:adjustRightIn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u w:val="single"/>
          <w:lang w:val="en-US" w:eastAsia="zh-CN"/>
        </w:rPr>
        <w:t>甲方发现乙方未按合同要求实施</w:t>
      </w:r>
      <w:r>
        <w:rPr>
          <w:rFonts w:hint="eastAsia" w:ascii="宋体" w:hAnsi="宋体" w:eastAsia="宋体" w:cs="宋体"/>
          <w:b/>
          <w:bCs/>
          <w:color w:val="auto"/>
          <w:sz w:val="21"/>
          <w:szCs w:val="21"/>
          <w:highlight w:val="none"/>
          <w:u w:val="single"/>
        </w:rPr>
        <w:t>车辆</w:t>
      </w:r>
      <w:r>
        <w:rPr>
          <w:rFonts w:hint="eastAsia" w:ascii="宋体" w:hAnsi="宋体" w:eastAsia="宋体" w:cs="宋体"/>
          <w:b/>
          <w:bCs/>
          <w:color w:val="auto"/>
          <w:sz w:val="21"/>
          <w:szCs w:val="21"/>
          <w:highlight w:val="none"/>
          <w:u w:val="single"/>
          <w:lang w:val="en-US" w:eastAsia="zh-CN"/>
        </w:rPr>
        <w:t>保养</w:t>
      </w:r>
      <w:r>
        <w:rPr>
          <w:rFonts w:hint="eastAsia" w:ascii="宋体" w:hAnsi="宋体" w:eastAsia="宋体" w:cs="宋体"/>
          <w:b/>
          <w:bCs/>
          <w:color w:val="auto"/>
          <w:sz w:val="21"/>
          <w:szCs w:val="21"/>
          <w:highlight w:val="none"/>
          <w:u w:val="single"/>
        </w:rPr>
        <w:t>维修</w:t>
      </w:r>
      <w:r>
        <w:rPr>
          <w:rFonts w:hint="eastAsia" w:ascii="宋体" w:hAnsi="宋体" w:eastAsia="宋体" w:cs="宋体"/>
          <w:b/>
          <w:bCs/>
          <w:color w:val="auto"/>
          <w:sz w:val="21"/>
          <w:szCs w:val="21"/>
          <w:highlight w:val="none"/>
          <w:u w:val="single"/>
          <w:lang w:eastAsia="zh-CN"/>
        </w:rPr>
        <w:t>、服务区公共场所进行消杀</w:t>
      </w:r>
      <w:r>
        <w:rPr>
          <w:rFonts w:hint="eastAsia" w:ascii="宋体" w:hAnsi="宋体" w:eastAsia="宋体" w:cs="宋体"/>
          <w:b/>
          <w:bCs/>
          <w:color w:val="auto"/>
          <w:sz w:val="21"/>
          <w:szCs w:val="21"/>
          <w:highlight w:val="none"/>
          <w:u w:val="single"/>
        </w:rPr>
        <w:t>、消防远程监控、</w:t>
      </w:r>
      <w:r>
        <w:rPr>
          <w:rFonts w:hint="eastAsia" w:ascii="宋体" w:hAnsi="宋体" w:eastAsia="宋体" w:cs="宋体"/>
          <w:b/>
          <w:bCs/>
          <w:color w:val="auto"/>
          <w:sz w:val="21"/>
          <w:szCs w:val="21"/>
          <w:highlight w:val="none"/>
          <w:u w:val="single"/>
          <w:lang w:val="en-US" w:eastAsia="zh-CN"/>
        </w:rPr>
        <w:t>空调维修清洗、</w:t>
      </w:r>
      <w:r>
        <w:rPr>
          <w:rFonts w:hint="eastAsia" w:ascii="宋体" w:hAnsi="宋体" w:eastAsia="宋体" w:cs="宋体"/>
          <w:b/>
          <w:bCs/>
          <w:color w:val="auto"/>
          <w:sz w:val="21"/>
          <w:szCs w:val="21"/>
          <w:highlight w:val="none"/>
          <w:u w:val="single"/>
        </w:rPr>
        <w:t>水池清洗、化粪池清运、生活垃圾清运</w:t>
      </w:r>
      <w:r>
        <w:rPr>
          <w:rFonts w:hint="eastAsia" w:ascii="宋体" w:hAnsi="宋体" w:eastAsia="宋体" w:cs="宋体"/>
          <w:b/>
          <w:bCs/>
          <w:color w:val="auto"/>
          <w:sz w:val="21"/>
          <w:szCs w:val="21"/>
          <w:highlight w:val="none"/>
          <w:u w:val="single"/>
          <w:lang w:val="en-US" w:eastAsia="zh-CN"/>
        </w:rPr>
        <w:t>等工作时，每缺一项处以履约保证金金额10%的罚款</w:t>
      </w:r>
      <w:r>
        <w:rPr>
          <w:rFonts w:hint="eastAsia" w:ascii="宋体" w:hAnsi="宋体" w:eastAsia="宋体" w:cs="宋体"/>
          <w:color w:val="auto"/>
          <w:sz w:val="21"/>
          <w:szCs w:val="21"/>
          <w:highlight w:val="none"/>
          <w:lang w:val="en-US" w:eastAsia="zh-CN"/>
        </w:rPr>
        <w:t>。</w:t>
      </w:r>
    </w:p>
    <w:p w14:paraId="5F74ACD9">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乙方的违约金额或其他应由乙方承担的金额，甲方有权直接在履约保证金中扣除。乙方应在甲方发出书面扣除通知之日起15日内，补足扣除额，以维持管理服务期间履约保证金的完整性。</w:t>
      </w:r>
    </w:p>
    <w:p w14:paraId="5F228F33">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因乙方原因导致合同提前解除的，乙方履约保证金不予退还，乙方还应承担由此造成的甲方经济损失，双方另有约定的除外。</w:t>
      </w:r>
    </w:p>
    <w:p w14:paraId="4AAAF234">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保证金不计利息。服务期限届满或终止之日起六个月后，甲方将剩余履约保证金无息返还给乙方。</w:t>
      </w:r>
    </w:p>
    <w:p w14:paraId="41590A27">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第六章合同解除</w:t>
      </w:r>
    </w:p>
    <w:p w14:paraId="37EDB9EB">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14:paraId="777A4CE9">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1.乙方未按甲方通知的时间及金额补足履约保证金，拖欠时间超过30天的。</w:t>
      </w:r>
    </w:p>
    <w:p w14:paraId="40D934D4">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2.乙方违反本协议约定，经甲方书面通知后仍未改正的。</w:t>
      </w:r>
    </w:p>
    <w:p w14:paraId="552620DF">
      <w:pPr>
        <w:autoSpaceDE w:val="0"/>
        <w:autoSpaceDN w:val="0"/>
        <w:adjustRightInd w:val="0"/>
        <w:spacing w:line="240" w:lineRule="auto"/>
        <w:ind w:left="420" w:left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3.乙方存在以下情形的：</w:t>
      </w:r>
      <w:r>
        <w:rPr>
          <w:rFonts w:hint="eastAsia" w:ascii="宋体" w:hAnsi="宋体" w:eastAsia="宋体" w:cs="宋体"/>
          <w:color w:val="auto"/>
          <w:sz w:val="21"/>
          <w:szCs w:val="21"/>
          <w:highlight w:val="none"/>
          <w:lang w:val="zh-CN"/>
        </w:rPr>
        <w:br w:type="textWrapping"/>
      </w:r>
      <w:r>
        <w:rPr>
          <w:rFonts w:hint="eastAsia" w:ascii="宋体" w:hAnsi="宋体" w:eastAsia="宋体" w:cs="宋体"/>
          <w:color w:val="auto"/>
          <w:sz w:val="21"/>
          <w:szCs w:val="21"/>
          <w:highlight w:val="none"/>
          <w:lang w:val="zh-CN"/>
        </w:rPr>
        <w:t>（1）因乙方原因被行业主管部门、集团公司、新闻媒体等通报批评或曝光，对甲方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荣誉</w:t>
      </w:r>
      <w:r>
        <w:rPr>
          <w:rFonts w:hint="eastAsia" w:ascii="宋体" w:hAnsi="宋体" w:eastAsia="宋体" w:cs="宋体"/>
          <w:color w:val="auto"/>
          <w:sz w:val="21"/>
          <w:szCs w:val="21"/>
          <w:highlight w:val="none"/>
          <w:lang w:val="zh-CN"/>
        </w:rPr>
        <w:t>带来严重影响的；</w:t>
      </w:r>
    </w:p>
    <w:p w14:paraId="216C5BDE">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（2）不符合现行行业标准；</w:t>
      </w:r>
    </w:p>
    <w:p w14:paraId="10870B96">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（3）文明服务、管理服务规范配合明显不到位的；</w:t>
      </w:r>
    </w:p>
    <w:p w14:paraId="4EC48949">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（4）乙方累计三次遭到行政机关行政处罚的。</w:t>
      </w:r>
    </w:p>
    <w:p w14:paraId="06232DE2">
      <w:pPr>
        <w:autoSpaceDE w:val="0"/>
        <w:autoSpaceDN w:val="0"/>
        <w:adjustRightInd w:val="0"/>
        <w:spacing w:line="240" w:lineRule="auto"/>
        <w:ind w:firstLine="422" w:firstLineChars="200"/>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zh-CN"/>
        </w:rPr>
        <w:t>第十</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因甲方或上级单位发展战略调整等原因需提前与乙方解除合同的，甲方应提前三个月书面告知乙方，乙方应给予支持。</w:t>
      </w:r>
    </w:p>
    <w:p w14:paraId="02ABF6BA">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第七章违约责任</w:t>
      </w:r>
    </w:p>
    <w:p w14:paraId="618788E2">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十条</w:t>
      </w:r>
      <w:r>
        <w:rPr>
          <w:rFonts w:hint="eastAsia" w:ascii="宋体" w:hAnsi="宋体" w:eastAsia="宋体" w:cs="宋体"/>
          <w:color w:val="auto"/>
          <w:sz w:val="21"/>
          <w:szCs w:val="21"/>
          <w:highlight w:val="none"/>
          <w:lang w:val="zh-CN"/>
        </w:rPr>
        <w:t>甲方违反合同约定，乙方有权要求甲方在一定期限内解决，逾期未解决并造成乙方经济损失的，甲方应给予乙方经济赔偿，并承担相应的法律责任。</w:t>
      </w:r>
    </w:p>
    <w:p w14:paraId="35CE7323">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二十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乙方违反合同的约定，未达到约定的管理目标，甲方有权要求乙方限期整改，逾期未整改的，甲方有权终止合同；造成甲方经济损失的，乙方应给予甲方经济赔偿，并承担相应的法律责任。</w:t>
      </w:r>
    </w:p>
    <w:p w14:paraId="6A485A97">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二十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乙方无正当理由提前终止合同的，应向甲方支付违约金数额为合同物业管理费总额的10%，同时甲方有权没收乙方的履约保证金；违约金不足以弥补甲方损失的，乙方还应给予足额赔偿。</w:t>
      </w:r>
    </w:p>
    <w:p w14:paraId="2C1E4D28">
      <w:pPr>
        <w:spacing w:line="24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本合同有效期内，乙方遭受行政机关行政处罚的，应每次向甲方支付违约金人民币1万元。</w:t>
      </w:r>
    </w:p>
    <w:p w14:paraId="2B716A66">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第八章合同终止</w:t>
      </w:r>
    </w:p>
    <w:p w14:paraId="623D0AB8">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管理服务期满后乙方不再继续管理服务或乙方因任何原因提前解除合同的，考虑到</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lang w:val="zh-CN"/>
        </w:rPr>
        <w:t>服务的连续性和影响力，甲方有权要求乙方依据本合同约定继续管理服务一段时间，直至新的单位进场。</w:t>
      </w:r>
    </w:p>
    <w:p w14:paraId="7EC7D410">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管理服务期满后乙方不再继续或合同提前解除的，在合同解除或终止之日起三日内，乙方应将场地建筑物、构筑物及设施（备）按合同规定要求移交甲方，乙方不能以任何理由拒绝办理移交。</w:t>
      </w:r>
    </w:p>
    <w:p w14:paraId="59A3B353">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第二十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乙方移交时应达到如下标准：</w:t>
      </w:r>
    </w:p>
    <w:p w14:paraId="060EFD4A">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1.房屋及装修清洁无损坏，如有损坏，按损坏程度赔偿。</w:t>
      </w:r>
    </w:p>
    <w:p w14:paraId="445749C0">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2.设施（备）运行正常完好，如有损坏，按原价正常折旧后赔偿。</w:t>
      </w:r>
    </w:p>
    <w:p w14:paraId="180158AD">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3.设施（备）功能和外表完好。</w:t>
      </w:r>
    </w:p>
    <w:p w14:paraId="7712FA0C">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4.为新的单位提供工作便利和配合做好进场工作。</w:t>
      </w:r>
    </w:p>
    <w:p w14:paraId="5049C0A5">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乙方移交未达到以上标准的，甲方可自行或委托第三方办理，费用由乙方承担或从乙方交纳的履约保证金中扣除。</w:t>
      </w:r>
    </w:p>
    <w:p w14:paraId="08E96E81">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乙方移交时，属于乙方的物品由乙方负责搬走，乙方逾期十日未搬走的，甲方有权自行处理，费用由乙方承担。</w:t>
      </w:r>
    </w:p>
    <w:p w14:paraId="475D20B8">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第九章通知条款</w:t>
      </w:r>
    </w:p>
    <w:p w14:paraId="63F59E7A">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涉及本合同权利义务变化的或其他必要通知，应以书面形式传递，收到方应签收。如无法向他方直接送达或收到方不予签收，可邮寄送达，邮件寄至本合同记载之地址时，即视为送达。</w:t>
      </w:r>
    </w:p>
    <w:p w14:paraId="3DE47471">
      <w:pPr>
        <w:autoSpaceDE w:val="0"/>
        <w:autoSpaceDN w:val="0"/>
        <w:adjustRightInd w:val="0"/>
        <w:spacing w:line="24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p w14:paraId="6119A464">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甲方地址：                                   乙方地址:                                     </w:t>
      </w:r>
    </w:p>
    <w:p w14:paraId="6082E067">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指定联系人:                                  指定联系人：</w:t>
      </w:r>
    </w:p>
    <w:p w14:paraId="2BF0B78E">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电话:             传真:</w:t>
      </w:r>
    </w:p>
    <w:p w14:paraId="38F4112A">
      <w:pPr>
        <w:autoSpaceDE w:val="0"/>
        <w:autoSpaceDN w:val="0"/>
        <w:adjustRightIn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                                   电子邮箱：</w:t>
      </w:r>
    </w:p>
    <w:p w14:paraId="4F7F99C7">
      <w:pPr>
        <w:autoSpaceDE w:val="0"/>
        <w:autoSpaceDN w:val="0"/>
        <w:adjustRightInd w:val="0"/>
        <w:spacing w:line="240" w:lineRule="auto"/>
        <w:jc w:val="center"/>
        <w:rPr>
          <w:rFonts w:hint="eastAsia" w:ascii="宋体" w:hAnsi="宋体" w:eastAsia="宋体" w:cs="宋体"/>
          <w:b/>
          <w:bCs/>
          <w:color w:val="auto"/>
          <w:sz w:val="21"/>
          <w:szCs w:val="21"/>
          <w:highlight w:val="none"/>
        </w:rPr>
      </w:pPr>
    </w:p>
    <w:p w14:paraId="3204AD21">
      <w:pPr>
        <w:autoSpaceDE w:val="0"/>
        <w:autoSpaceDN w:val="0"/>
        <w:adjustRightIn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第十章适用法律和争议的解决</w:t>
      </w:r>
    </w:p>
    <w:p w14:paraId="78BCFD0D">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第二十</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lang w:val="zh-CN"/>
        </w:rPr>
        <w:t>本合同适用中华人民共和国法律。</w:t>
      </w:r>
    </w:p>
    <w:p w14:paraId="2DFBA3AB">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 xml:space="preserve">十条  </w:t>
      </w:r>
      <w:r>
        <w:rPr>
          <w:rFonts w:hint="eastAsia" w:ascii="宋体" w:hAnsi="宋体" w:eastAsia="宋体" w:cs="宋体"/>
          <w:color w:val="auto"/>
          <w:sz w:val="21"/>
          <w:szCs w:val="21"/>
          <w:highlight w:val="none"/>
          <w:lang w:val="zh-CN"/>
        </w:rPr>
        <w:t>因本合同履行引起的任何争议，在不停止</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lang w:val="zh-CN"/>
        </w:rPr>
        <w:t>物业管理服务的前提下，双方应友好协商解决；协商不成，由甲方所在地人民法院裁决。</w:t>
      </w:r>
    </w:p>
    <w:p w14:paraId="7758F199">
      <w:pPr>
        <w:pStyle w:val="66"/>
        <w:spacing w:before="120" w:after="120" w:line="24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第十一章附则</w:t>
      </w:r>
    </w:p>
    <w:p w14:paraId="033C1512">
      <w:pPr>
        <w:autoSpaceDE w:val="0"/>
        <w:autoSpaceDN w:val="0"/>
        <w:adjustRightInd w:val="0"/>
        <w:spacing w:line="24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三十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合同自双方签字盖章之日起生效。</w:t>
      </w:r>
    </w:p>
    <w:p w14:paraId="1BEDD857">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本合同一式</w:t>
      </w:r>
      <w:r>
        <w:rPr>
          <w:rFonts w:hint="eastAsia" w:ascii="宋体" w:hAnsi="宋体" w:eastAsia="宋体" w:cs="宋体"/>
          <w:color w:val="auto"/>
          <w:sz w:val="21"/>
          <w:szCs w:val="21"/>
          <w:highlight w:val="none"/>
        </w:rPr>
        <w:t>伍</w:t>
      </w:r>
      <w:r>
        <w:rPr>
          <w:rFonts w:hint="eastAsia" w:ascii="宋体" w:hAnsi="宋体" w:eastAsia="宋体" w:cs="宋体"/>
          <w:color w:val="auto"/>
          <w:sz w:val="21"/>
          <w:szCs w:val="21"/>
          <w:highlight w:val="none"/>
          <w:lang w:val="zh-CN"/>
        </w:rPr>
        <w:t>份，甲、乙双方各执</w:t>
      </w:r>
      <w:r>
        <w:rPr>
          <w:rFonts w:hint="eastAsia" w:ascii="宋体" w:hAnsi="宋体" w:eastAsia="宋体" w:cs="宋体"/>
          <w:color w:val="auto"/>
          <w:sz w:val="21"/>
          <w:szCs w:val="21"/>
          <w:highlight w:val="none"/>
        </w:rPr>
        <w:t>贰</w:t>
      </w:r>
      <w:r>
        <w:rPr>
          <w:rFonts w:hint="eastAsia" w:ascii="宋体" w:hAnsi="宋体" w:eastAsia="宋体" w:cs="宋体"/>
          <w:color w:val="auto"/>
          <w:sz w:val="21"/>
          <w:szCs w:val="21"/>
          <w:highlight w:val="none"/>
          <w:lang w:val="zh-CN"/>
        </w:rPr>
        <w:t>份，</w:t>
      </w:r>
      <w:r>
        <w:rPr>
          <w:rFonts w:hint="eastAsia" w:ascii="宋体" w:hAnsi="宋体" w:eastAsia="宋体" w:cs="宋体"/>
          <w:color w:val="auto"/>
          <w:sz w:val="21"/>
          <w:szCs w:val="21"/>
          <w:highlight w:val="none"/>
        </w:rPr>
        <w:t>另一份交采购代理机构备案，</w:t>
      </w:r>
      <w:r>
        <w:rPr>
          <w:rFonts w:hint="eastAsia" w:ascii="宋体" w:hAnsi="宋体" w:eastAsia="宋体" w:cs="宋体"/>
          <w:color w:val="auto"/>
          <w:sz w:val="21"/>
          <w:szCs w:val="21"/>
          <w:highlight w:val="none"/>
          <w:lang w:val="zh-CN"/>
        </w:rPr>
        <w:t>每份具有同等法律效力。</w:t>
      </w:r>
    </w:p>
    <w:p w14:paraId="77557686">
      <w:pPr>
        <w:autoSpaceDE w:val="0"/>
        <w:autoSpaceDN w:val="0"/>
        <w:adjustRightInd w:val="0"/>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本合同未尽事宜，双方协商后另行签订补充合同。补充合同与本合同具有同等法律效力。</w:t>
      </w:r>
    </w:p>
    <w:p w14:paraId="1322BB5E">
      <w:pPr>
        <w:autoSpaceDE w:val="0"/>
        <w:autoSpaceDN w:val="0"/>
        <w:adjustRightInd w:val="0"/>
        <w:spacing w:line="24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w:t>
      </w:r>
      <w:r>
        <w:rPr>
          <w:rFonts w:hint="eastAsia" w:ascii="宋体" w:hAnsi="宋体" w:eastAsia="宋体" w:cs="宋体"/>
          <w:b/>
          <w:bCs/>
          <w:color w:val="auto"/>
          <w:sz w:val="21"/>
          <w:szCs w:val="21"/>
          <w:highlight w:val="none"/>
        </w:rPr>
        <w:t>三十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rPr>
        <w:t>条</w:t>
      </w:r>
      <w:r>
        <w:rPr>
          <w:rFonts w:hint="eastAsia" w:ascii="宋体" w:hAnsi="宋体" w:eastAsia="宋体" w:cs="宋体"/>
          <w:color w:val="auto"/>
          <w:sz w:val="21"/>
          <w:szCs w:val="21"/>
          <w:highlight w:val="none"/>
          <w:lang w:val="zh-CN"/>
        </w:rPr>
        <w:t>本合同之附件为合同的有效组成部分，与本合同具有同等法律效力。该附件必须经甲、乙双方签字认可，附件之间如有冲突，双方协商解决。</w:t>
      </w:r>
    </w:p>
    <w:p w14:paraId="00D134E6">
      <w:pPr>
        <w:autoSpaceDE w:val="0"/>
        <w:autoSpaceDN w:val="0"/>
        <w:adjustRightInd w:val="0"/>
        <w:spacing w:line="240" w:lineRule="auto"/>
        <w:ind w:firstLine="420" w:firstLineChars="200"/>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（以下无正文）</w:t>
      </w:r>
    </w:p>
    <w:p w14:paraId="4D96940D">
      <w:pPr>
        <w:rPr>
          <w:rFonts w:hint="eastAsia" w:ascii="宋体" w:hAnsi="宋体" w:eastAsia="宋体" w:cs="宋体"/>
          <w:b/>
          <w:color w:val="auto"/>
          <w:sz w:val="21"/>
          <w:szCs w:val="21"/>
          <w:highlight w:val="none"/>
          <w:lang w:val="zh-CN"/>
        </w:rPr>
      </w:pPr>
    </w:p>
    <w:p w14:paraId="1F1BF181">
      <w:pPr>
        <w:rPr>
          <w:rFonts w:hint="eastAsia" w:ascii="宋体" w:hAnsi="宋体" w:eastAsia="宋体" w:cs="宋体"/>
          <w:b/>
          <w:color w:val="auto"/>
          <w:sz w:val="21"/>
          <w:szCs w:val="21"/>
          <w:highlight w:val="none"/>
          <w:lang w:val="zh-CN"/>
        </w:rPr>
      </w:pPr>
    </w:p>
    <w:p w14:paraId="40DF1811">
      <w:pPr>
        <w:rPr>
          <w:rFonts w:hint="eastAsia" w:ascii="宋体" w:hAnsi="宋体" w:eastAsia="宋体" w:cs="宋体"/>
          <w:b/>
          <w:color w:val="auto"/>
          <w:sz w:val="21"/>
          <w:szCs w:val="21"/>
          <w:highlight w:val="none"/>
          <w:lang w:val="zh-CN"/>
        </w:rPr>
      </w:pPr>
    </w:p>
    <w:p w14:paraId="687D1902">
      <w:pPr>
        <w:rPr>
          <w:rFonts w:hint="eastAsia" w:ascii="宋体" w:hAnsi="宋体" w:eastAsia="宋体" w:cs="宋体"/>
          <w:b/>
          <w:color w:val="auto"/>
          <w:sz w:val="21"/>
          <w:szCs w:val="21"/>
          <w:highlight w:val="none"/>
          <w:lang w:val="zh-CN"/>
        </w:rPr>
      </w:pPr>
    </w:p>
    <w:p w14:paraId="2FEF685E">
      <w:pPr>
        <w:autoSpaceDE/>
        <w:autoSpaceDN/>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合同附件：</w:t>
      </w:r>
    </w:p>
    <w:p w14:paraId="794DA6B7">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业务廉政合同》</w:t>
      </w:r>
    </w:p>
    <w:p w14:paraId="047B39E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业务安全生产暨社会治安综合治理合同》</w:t>
      </w:r>
    </w:p>
    <w:p w14:paraId="3C76A4F9">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物业工作质量量化标准</w:t>
      </w:r>
    </w:p>
    <w:p w14:paraId="6D46D2B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物业管理考核办法（以甲方下发的最新版本为准）</w:t>
      </w:r>
    </w:p>
    <w:p w14:paraId="1F9CC05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物业项目月度考核评分表</w:t>
      </w:r>
    </w:p>
    <w:p w14:paraId="60E5D2BC">
      <w:pPr>
        <w:bidi w:val="0"/>
        <w:ind w:firstLine="420" w:firstLineChars="200"/>
        <w:rPr>
          <w:rFonts w:hint="default"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附件六、“瓯江红·畅美高速”党群服务中心物业服务考核评分表</w:t>
      </w:r>
    </w:p>
    <w:p w14:paraId="0EB29436">
      <w:pPr>
        <w:pStyle w:val="12"/>
        <w:rPr>
          <w:rFonts w:hint="eastAsia" w:ascii="宋体" w:hAnsi="宋体" w:eastAsia="宋体" w:cs="宋体"/>
          <w:highlight w:val="none"/>
        </w:rPr>
      </w:pPr>
    </w:p>
    <w:p w14:paraId="1D3909A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14:paraId="3E822081">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14:paraId="7BA0331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14:paraId="33B389C7">
      <w:pPr>
        <w:bidi w:val="0"/>
        <w:spacing w:line="360" w:lineRule="auto"/>
        <w:rPr>
          <w:rFonts w:hint="eastAsia" w:ascii="宋体" w:hAnsi="宋体" w:eastAsia="宋体" w:cs="宋体"/>
          <w:highlight w:val="none"/>
        </w:rPr>
      </w:pPr>
    </w:p>
    <w:p w14:paraId="5A8509D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（盖章）</w:t>
      </w:r>
    </w:p>
    <w:p w14:paraId="0099163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14:paraId="074D776E">
      <w:pPr>
        <w:widowControl/>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14:paraId="62178E1E">
      <w:pPr>
        <w:widowControl/>
        <w:spacing w:line="360" w:lineRule="auto"/>
        <w:jc w:val="left"/>
        <w:rPr>
          <w:rFonts w:hint="eastAsia" w:ascii="宋体" w:hAnsi="宋体" w:eastAsia="宋体" w:cs="宋体"/>
          <w:b w:val="0"/>
          <w:bCs w:val="0"/>
          <w:color w:val="auto"/>
          <w:sz w:val="21"/>
          <w:szCs w:val="21"/>
          <w:highlight w:val="none"/>
        </w:rPr>
      </w:pPr>
    </w:p>
    <w:p w14:paraId="3EB56220">
      <w:pPr>
        <w:widowControl/>
        <w:spacing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14:paraId="016E5344">
      <w:pPr>
        <w:widowControl/>
        <w:spacing w:line="360" w:lineRule="auto"/>
        <w:jc w:val="left"/>
        <w:rPr>
          <w:rFonts w:hint="eastAsia" w:ascii="宋体" w:hAnsi="宋体" w:eastAsia="宋体" w:cs="宋体"/>
          <w:b w:val="0"/>
          <w:bCs w:val="0"/>
          <w:color w:val="auto"/>
          <w:sz w:val="21"/>
          <w:szCs w:val="21"/>
          <w:highlight w:val="none"/>
        </w:rPr>
      </w:pPr>
    </w:p>
    <w:p w14:paraId="73D29821">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w:t>
      </w:r>
    </w:p>
    <w:p w14:paraId="25A6BEF2">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w:t>
      </w:r>
    </w:p>
    <w:p w14:paraId="1F15F72C">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bookmarkStart w:id="189" w:name="_Toc444688528"/>
      <w:r>
        <w:rPr>
          <w:rFonts w:hint="eastAsia" w:ascii="宋体" w:hAnsi="宋体" w:eastAsia="宋体" w:cs="宋体"/>
          <w:b/>
          <w:bCs w:val="0"/>
          <w:color w:val="auto"/>
          <w:sz w:val="24"/>
          <w:szCs w:val="24"/>
          <w:highlight w:val="none"/>
          <w:lang w:val="zh-CN"/>
        </w:rPr>
        <w:t>服务区业务廉政合同</w:t>
      </w:r>
      <w:bookmarkEnd w:id="189"/>
    </w:p>
    <w:p w14:paraId="3B278494">
      <w:pPr>
        <w:spacing w:line="240" w:lineRule="auto"/>
        <w:jc w:val="center"/>
        <w:rPr>
          <w:rFonts w:hint="eastAsia" w:ascii="宋体" w:hAnsi="宋体" w:eastAsia="宋体" w:cs="宋体"/>
          <w:b/>
          <w:color w:val="auto"/>
          <w:sz w:val="21"/>
          <w:szCs w:val="21"/>
          <w:highlight w:val="none"/>
        </w:rPr>
      </w:pPr>
    </w:p>
    <w:p w14:paraId="4DA84C3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根据有关廉政建设的规定，为做好管理服务活动中的党风廉政建设，保证</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严格管理、规范服务，自觉维护</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文明窗口形象以及投资效益，温州市高速公路资产经营有限公司(以下称甲方)与(以下称乙方)，特订立以下合同。</w:t>
      </w:r>
    </w:p>
    <w:p w14:paraId="7298C31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14:paraId="392F4E9D">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严格遵守党和国家有关法律法规及交通行业主管部门的有关廉政规定。</w:t>
      </w:r>
    </w:p>
    <w:p w14:paraId="227C4D3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严格执行物业管理服务项目合同，自觉按合同办事。</w:t>
      </w:r>
    </w:p>
    <w:p w14:paraId="4C99E34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14:paraId="5FE0A9D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建立健全廉政制度，开展廉政教育，建立廉政告示牌，公布举报电话，监督并认真查处违法违纪行为。</w:t>
      </w:r>
    </w:p>
    <w:p w14:paraId="14B877D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14:paraId="7E7226A0">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14:paraId="5290EE0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14:paraId="1F17DD9D">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14:paraId="42EBCAC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14:paraId="5271BBF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14:paraId="1313F011">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物业管理项目有关的工程分包、劳务等经济活动。</w:t>
      </w:r>
    </w:p>
    <w:p w14:paraId="420E8B37">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 甲方工作人员要秉公办事，不准营私舞弊，不准利用职权从事各种个人有偿中介活动和安排个人施工队伍。</w:t>
      </w:r>
    </w:p>
    <w:p w14:paraId="64EF6CF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14:paraId="1F5AFDB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14:paraId="7AE7031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14:paraId="17E8043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14:paraId="170C358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14:paraId="4DBE90C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0EC1213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14:paraId="5C9159F8">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(2)乙方及其工作人员违反本合同第1、3条，按管理权限，依据有关规定，建议给予党纪、政纪或组织处理；给甲方单位造成经济损失的应予以赔偿；情节严重的，甲方建议行业主管部门给予乙方三年内不得进入</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任何项目的处罚。</w:t>
      </w:r>
    </w:p>
    <w:p w14:paraId="66D7202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37577CB7">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14:paraId="108C375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7、本合同作为物业管理服务项目合同的附件，与该合同具有同等的法律效力，经合同双方签署立即生效。</w:t>
      </w:r>
    </w:p>
    <w:p w14:paraId="794808E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8．本合同正本一式肆份，双方各执两份，每份具有同等法律效力。</w:t>
      </w:r>
    </w:p>
    <w:p w14:paraId="24224B12">
      <w:pPr>
        <w:pStyle w:val="12"/>
        <w:spacing w:line="240" w:lineRule="auto"/>
        <w:rPr>
          <w:rFonts w:hint="eastAsia" w:ascii="宋体" w:hAnsi="宋体" w:eastAsia="宋体" w:cs="宋体"/>
          <w:b w:val="0"/>
          <w:bCs w:val="0"/>
          <w:color w:val="auto"/>
          <w:sz w:val="21"/>
          <w:szCs w:val="21"/>
          <w:highlight w:val="none"/>
        </w:rPr>
      </w:pPr>
    </w:p>
    <w:p w14:paraId="7BD9C3F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公章</w:t>
      </w:r>
      <w:r>
        <w:rPr>
          <w:rFonts w:hint="eastAsia" w:ascii="宋体" w:hAnsi="宋体" w:eastAsia="宋体" w:cs="宋体"/>
          <w:b w:val="0"/>
          <w:bCs w:val="0"/>
          <w:color w:val="auto"/>
          <w:sz w:val="21"/>
          <w:szCs w:val="21"/>
          <w:highlight w:val="none"/>
        </w:rPr>
        <w:t xml:space="preserve">）                           </w:t>
      </w:r>
    </w:p>
    <w:p w14:paraId="52606FFA">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14:paraId="796D2B65">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14:paraId="6EDCDFD2">
      <w:pPr>
        <w:pStyle w:val="12"/>
        <w:spacing w:line="360" w:lineRule="auto"/>
        <w:rPr>
          <w:rFonts w:hint="eastAsia" w:ascii="宋体" w:hAnsi="宋体" w:eastAsia="宋体" w:cs="宋体"/>
          <w:b w:val="0"/>
          <w:bCs w:val="0"/>
          <w:color w:val="auto"/>
          <w:sz w:val="21"/>
          <w:szCs w:val="21"/>
          <w:highlight w:val="none"/>
        </w:rPr>
      </w:pPr>
    </w:p>
    <w:p w14:paraId="010CC1A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乙方单位：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（盖章）      </w:t>
      </w:r>
    </w:p>
    <w:p w14:paraId="18E8FA6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w:t>
      </w:r>
    </w:p>
    <w:p w14:paraId="43603CE0">
      <w:pPr>
        <w:widowControl/>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或其授权代理人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（签字或盖章）</w:t>
      </w:r>
    </w:p>
    <w:p w14:paraId="042B12A3">
      <w:pPr>
        <w:pStyle w:val="12"/>
        <w:spacing w:line="360" w:lineRule="auto"/>
        <w:rPr>
          <w:rFonts w:hint="eastAsia" w:ascii="宋体" w:hAnsi="宋体" w:eastAsia="宋体" w:cs="宋体"/>
          <w:b/>
          <w:bCs/>
          <w:color w:val="auto"/>
          <w:sz w:val="21"/>
          <w:szCs w:val="21"/>
          <w:highlight w:val="none"/>
        </w:rPr>
      </w:pPr>
    </w:p>
    <w:p w14:paraId="4B4ED7D9">
      <w:pPr>
        <w:widowControl/>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签订日期：      年    月   日</w:t>
      </w:r>
    </w:p>
    <w:p w14:paraId="33D63AF0">
      <w:pPr>
        <w:widowControl/>
        <w:spacing w:line="240" w:lineRule="auto"/>
        <w:ind w:firstLine="5145" w:firstLineChars="2450"/>
        <w:jc w:val="left"/>
        <w:rPr>
          <w:rFonts w:hint="eastAsia" w:ascii="宋体" w:hAnsi="宋体" w:eastAsia="宋体" w:cs="宋体"/>
          <w:color w:val="auto"/>
          <w:kern w:val="0"/>
          <w:sz w:val="21"/>
          <w:szCs w:val="21"/>
          <w:highlight w:val="none"/>
        </w:rPr>
      </w:pPr>
    </w:p>
    <w:p w14:paraId="35C224A5">
      <w:pPr>
        <w:pStyle w:val="12"/>
        <w:spacing w:line="240" w:lineRule="auto"/>
        <w:rPr>
          <w:rFonts w:hint="eastAsia" w:ascii="宋体" w:hAnsi="宋体" w:eastAsia="宋体" w:cs="宋体"/>
          <w:color w:val="auto"/>
          <w:kern w:val="0"/>
          <w:sz w:val="21"/>
          <w:szCs w:val="21"/>
          <w:highlight w:val="none"/>
        </w:rPr>
      </w:pPr>
    </w:p>
    <w:p w14:paraId="3A006881">
      <w:pPr>
        <w:pStyle w:val="12"/>
        <w:spacing w:line="240" w:lineRule="auto"/>
        <w:rPr>
          <w:rFonts w:hint="eastAsia" w:ascii="宋体" w:hAnsi="宋体" w:eastAsia="宋体" w:cs="宋体"/>
          <w:color w:val="auto"/>
          <w:kern w:val="0"/>
          <w:sz w:val="21"/>
          <w:szCs w:val="21"/>
          <w:highlight w:val="none"/>
        </w:rPr>
      </w:pPr>
    </w:p>
    <w:p w14:paraId="36FA889A">
      <w:pPr>
        <w:pStyle w:val="12"/>
        <w:spacing w:line="240" w:lineRule="auto"/>
        <w:rPr>
          <w:rFonts w:hint="eastAsia" w:ascii="宋体" w:hAnsi="宋体" w:eastAsia="宋体" w:cs="宋体"/>
          <w:color w:val="auto"/>
          <w:kern w:val="0"/>
          <w:sz w:val="21"/>
          <w:szCs w:val="21"/>
          <w:highlight w:val="none"/>
        </w:rPr>
      </w:pPr>
    </w:p>
    <w:p w14:paraId="7DAE6DD0">
      <w:pPr>
        <w:widowControl/>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附件二</w:t>
      </w:r>
    </w:p>
    <w:p w14:paraId="77498671">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温州市高速公路资产经营有限公司服务区业务</w:t>
      </w:r>
    </w:p>
    <w:p w14:paraId="4BA6DCA0">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安全生产暨社会治安综合治理合同</w:t>
      </w:r>
    </w:p>
    <w:p w14:paraId="16BA9B61">
      <w:pPr>
        <w:spacing w:line="240" w:lineRule="auto"/>
        <w:jc w:val="center"/>
        <w:rPr>
          <w:rFonts w:hint="eastAsia" w:ascii="宋体" w:hAnsi="宋体" w:eastAsia="宋体" w:cs="宋体"/>
          <w:color w:val="auto"/>
          <w:sz w:val="21"/>
          <w:szCs w:val="21"/>
          <w:highlight w:val="none"/>
        </w:rPr>
      </w:pPr>
    </w:p>
    <w:p w14:paraId="741A740B">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甲方：温州市高速公路资产经营有限公司</w:t>
      </w:r>
    </w:p>
    <w:p w14:paraId="7F7E3696">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r>
        <w:rPr>
          <w:rFonts w:hint="eastAsia" w:ascii="宋体" w:hAnsi="宋体" w:eastAsia="宋体" w:cs="宋体"/>
          <w:color w:val="auto"/>
          <w:sz w:val="21"/>
          <w:szCs w:val="21"/>
          <w:highlight w:val="none"/>
          <w:shd w:val="clear" w:color="auto" w:fill="FFFFFF"/>
        </w:rPr>
        <w:t>温州市汤家桥国大广场东首5-6楼</w:t>
      </w:r>
    </w:p>
    <w:p w14:paraId="550DCE8F">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14:paraId="1CE1A7E7">
      <w:pPr>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住所地： </w:t>
      </w:r>
    </w:p>
    <w:p w14:paraId="266A8571">
      <w:pPr>
        <w:autoSpaceDE w:val="0"/>
        <w:autoSpaceDN w:val="0"/>
        <w:adjustRightIn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进一步加强</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的安全生产管理，根据《中华人民共和国安全生产法》、《中华人民共和国消防法》和《浙江省安全生产条例》等法律法规，结合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内物业管理服务单位的具体情况，甲、乙双方经协商后签订本安全生产管理协议，约定各自的安全生产管理职责并严格执行：</w:t>
      </w:r>
    </w:p>
    <w:p w14:paraId="30CAF185">
      <w:pPr>
        <w:numPr>
          <w:ilvl w:val="0"/>
          <w:numId w:val="23"/>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甲方将物业管理服务项目由乙方负责管理服务。</w:t>
      </w:r>
    </w:p>
    <w:p w14:paraId="056395C2">
      <w:pPr>
        <w:spacing w:line="24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二、甲方的安全管理职责</w:t>
      </w:r>
    </w:p>
    <w:p w14:paraId="376BCA54">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14:paraId="67440022">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1.严格遵守国家有关安全生产和社会综合治理法律法规、认真执行国家和行业标准，严格遵守合同中有关安全生产和社会综合治理的要求，履行合同约定的安全职责。</w:t>
      </w:r>
    </w:p>
    <w:p w14:paraId="4B49A586">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2.按照合同约定的安全工作内容监督检查乙方安全生产的实施，对乙方的日常安全生产、现场管理、消防安全等进行监督检查，发现安全隐患时，及时督促乙方整改。</w:t>
      </w:r>
    </w:p>
    <w:p w14:paraId="18AFF409">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3.统一协调、管理</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内协助单位的安全生产和社会综合治理工作，履行统一管理的职责。</w:t>
      </w:r>
    </w:p>
    <w:p w14:paraId="4CEB605F">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14:paraId="6DD1024A">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5.甲方提供的建筑物、设备设施符合国家有关法律法规的规定，满足管理合同中规定管理范围的消防安全及安全生产条件。</w:t>
      </w:r>
    </w:p>
    <w:p w14:paraId="42A400F2">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6.督促乙方依法设立安全生产和社会综治管理机构，配备相应安全管理人员。</w:t>
      </w:r>
    </w:p>
    <w:p w14:paraId="383B388B">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14:paraId="029DB8C0">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1.发现乙方不具备安全生产资质，甲方有权解除合同，由此造成的一切损失由乙方承担。</w:t>
      </w:r>
    </w:p>
    <w:p w14:paraId="0CFBD8B7">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2.有权及时纠正制止乙方在生产作业中违章指挥、违规操作及违反劳动保护的行为。</w:t>
      </w:r>
    </w:p>
    <w:p w14:paraId="3339E27D">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二、乙方的安全管理职责</w:t>
      </w:r>
    </w:p>
    <w:p w14:paraId="49194F59">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（一）职责</w:t>
      </w:r>
    </w:p>
    <w:p w14:paraId="166909AD">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1.乙方是管理场所辖范围内安全生产和社会综合治理的责任主体，必须依法加强安全生产和社会综治管理，建立、健全安全生产和社会综治责任制，完善安全生产条件，确保安全生产。</w:t>
      </w:r>
    </w:p>
    <w:p w14:paraId="76B3E6AA">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2.严格遵守国家有关安全生产、社会综治、消防、职业卫生、环境保护等法律法规和国家、行业标准，具备相应的安全生产资质和条件，认真执行合同中有关安全生产的要求，按合同约定履行安全职责。</w:t>
      </w:r>
    </w:p>
    <w:p w14:paraId="0F0518D2">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3.服从甲方对安全生产和社会综治工作的统一协调、检查和监督。</w:t>
      </w:r>
    </w:p>
    <w:p w14:paraId="5DFBE57B">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负责本单位从业人员的安全教育和培训，教育员工严格遵守安全管理制度和安全操作规程，做到国家规定应持证的工种持证上岗，并按规定进行年检和复审。新员工未经安全教育和培训，不得上岗。职工身体状况均必须满足国家、行业健康标准要求，严禁有职业禁忌症者及传染病者上岗。</w:t>
      </w:r>
    </w:p>
    <w:p w14:paraId="0E4DE099">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6.积极参加甲方召开的安全生产会议和安全活动，接受甲方的安全生产监督检查，按照甲方的要求做好安全生产工作。</w:t>
      </w:r>
    </w:p>
    <w:p w14:paraId="606B0A10">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14:paraId="46351349">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8.做好安全用电、用气、防汛防台、防中毒、防盗窃等工作，严禁在</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区域出现“三合一”场所，严禁私自改造建筑物结构和用电气线路，保持用电设施的完好，若发生旅客人身损害、财产损失事故的，均由乙方承担全部法律责任。</w:t>
      </w:r>
    </w:p>
    <w:p w14:paraId="0805E007">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9.按要求配备安全管理人员，全面负责管辖区域内的安全生产和社会综治管理，承担物业管理服务过程中的安全责任；加强日常管理，定期组织安全检查和开展隐患排查，及时发现、整改事故隐患或不安全因素。</w:t>
      </w:r>
      <w:r>
        <w:rPr>
          <w:rFonts w:hint="eastAsia" w:ascii="宋体" w:hAnsi="宋体" w:eastAsia="宋体" w:cs="宋体"/>
          <w:color w:val="auto"/>
          <w:sz w:val="21"/>
          <w:szCs w:val="21"/>
          <w:highlight w:val="none"/>
          <w:lang w:val="zh-CN"/>
        </w:rPr>
        <w:t>根据实际情况制订各类应急救援预案并组织演练。建立完善安全管理台账。</w:t>
      </w:r>
    </w:p>
    <w:p w14:paraId="39E1C030">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10.保证安全生产所需的必要投入，按规定配备劳动保护用品。依法为从业人员办理工伤保险。</w:t>
      </w:r>
    </w:p>
    <w:p w14:paraId="24B6B5B1">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11.对场所的装修和设备安装，须符合有关技术标准、消防安全规定和实际安全施工要求，不得改变建筑结构。使用场所的装修方案应事先征得甲方的同意，凡涉及国家规定需审查验收的，按规定办理。</w:t>
      </w:r>
    </w:p>
    <w:p w14:paraId="33997869">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12.建立和完善内部安全管理制度，</w:t>
      </w:r>
      <w:r>
        <w:rPr>
          <w:rFonts w:hint="eastAsia" w:ascii="宋体" w:hAnsi="宋体" w:eastAsia="宋体" w:cs="宋体"/>
          <w:color w:val="auto"/>
          <w:sz w:val="21"/>
          <w:szCs w:val="21"/>
          <w:highlight w:val="none"/>
          <w:lang w:val="zh-CN"/>
        </w:rPr>
        <w:t>建立各岗位安全操作规程，</w:t>
      </w:r>
      <w:r>
        <w:rPr>
          <w:rFonts w:hint="eastAsia" w:ascii="宋体" w:hAnsi="宋体" w:eastAsia="宋体" w:cs="宋体"/>
          <w:color w:val="auto"/>
          <w:sz w:val="21"/>
          <w:szCs w:val="21"/>
          <w:highlight w:val="none"/>
        </w:rPr>
        <w:t>落实各岗位安全生产责任制。负责内部防火、用电、用气等安全检查。</w:t>
      </w:r>
    </w:p>
    <w:p w14:paraId="4FADD70A">
      <w:pPr>
        <w:autoSpaceDE w:val="0"/>
        <w:autoSpaceDN w:val="0"/>
        <w:adjustRightInd w:val="0"/>
        <w:spacing w:line="24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13.发生安全事故或突发事件的，应立即向甲方及政府相关部门报告，并保护好现场，及时组织抢救，防止事态扩大。并积极配合相关部门做好事故的调查和处理。</w:t>
      </w:r>
    </w:p>
    <w:p w14:paraId="725A91A2">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14.未经甲方书面同意，不得擅自转借场所。</w:t>
      </w:r>
    </w:p>
    <w:p w14:paraId="167A1D14">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（二）权利</w:t>
      </w:r>
    </w:p>
    <w:p w14:paraId="69C679F5">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1.对甲方违章指挥、强令冒险作业的指令，有权拒绝执行。</w:t>
      </w:r>
    </w:p>
    <w:p w14:paraId="3E3F10F9">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2.有权向甲方提出安全生产和社会综治合理化建议和改进意见</w:t>
      </w:r>
    </w:p>
    <w:p w14:paraId="4F0101FE">
      <w:pPr>
        <w:autoSpaceDE w:val="0"/>
        <w:autoSpaceDN w:val="0"/>
        <w:adjustRightInd w:val="0"/>
        <w:spacing w:line="240" w:lineRule="auto"/>
        <w:ind w:firstLine="6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3.在生产活动中发生危及乙方人员生命安全的紧急情况时，作业人员有权立即停止作业或者在采取必要的应急措施后撤离危险区域。</w:t>
      </w:r>
    </w:p>
    <w:p w14:paraId="6FEE5D4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三、其他条款</w:t>
      </w:r>
    </w:p>
    <w:p w14:paraId="48F9660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（一）履约保证金条款</w:t>
      </w:r>
    </w:p>
    <w:p w14:paraId="16300E55">
      <w:pPr>
        <w:spacing w:line="240" w:lineRule="auto"/>
        <w:ind w:firstLine="525" w:firstLineChars="2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1.履约保证金还用于合同期内的安全管理。对乙方安全管理不到位、不服从甲方安全管理的，甲方有权从履约保证金内扣除，用做本场所的安全生产管理工作。</w:t>
      </w:r>
    </w:p>
    <w:p w14:paraId="39287D72">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2.乙方出现违反安全协议约定情形的，甲方有权按每次人民币1000—10000 元，从履约保证金中扣除。</w:t>
      </w:r>
    </w:p>
    <w:p w14:paraId="32D2EDDD">
      <w:pPr>
        <w:autoSpaceDE w:val="0"/>
        <w:autoSpaceDN w:val="0"/>
        <w:adjustRightInd w:val="0"/>
        <w:spacing w:line="240" w:lineRule="auto"/>
        <w:ind w:firstLine="63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3.乙方在合同期内发生责任死亡事故的，甲方有权对乙方处以人民币5～10万元/人的处罚。</w:t>
      </w:r>
    </w:p>
    <w:p w14:paraId="559B575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（二）安全生产责任风险的承担</w:t>
      </w:r>
    </w:p>
    <w:p w14:paraId="74FE6367">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1.因乙方原因造成生产安全事故、消防事故、治安案件或因违法管理等造成不良影响的，一切法律责任、经济责任和管理责任均由乙方负责。</w:t>
      </w:r>
    </w:p>
    <w:p w14:paraId="79DE262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2.在合同期间，在乙方场所发生的安全事故或造成人身财产损害的，由乙方承担经济与法律责任，与甲方无涉，给甲方造成不良社会影响的，甲方有权要求乙方进行赔偿。</w:t>
      </w:r>
    </w:p>
    <w:p w14:paraId="6847F1F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3.在合同期间，乙方及其工作人员发生伤亡事故，乙方承担经济及相关法律责任，与甲方无涉。</w:t>
      </w:r>
    </w:p>
    <w:p w14:paraId="7F697F38">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四、本合同的签订作为甲、乙双方于年月日签订的</w:t>
      </w:r>
      <w:r>
        <w:rPr>
          <w:rFonts w:hint="eastAsia" w:ascii="宋体" w:hAnsi="宋体" w:eastAsia="宋体" w:cs="宋体"/>
          <w:color w:val="auto"/>
          <w:sz w:val="21"/>
          <w:szCs w:val="21"/>
          <w:highlight w:val="none"/>
          <w:u w:val="single"/>
        </w:rPr>
        <w:t>《物业管理服务合同》</w:t>
      </w:r>
      <w:r>
        <w:rPr>
          <w:rFonts w:hint="eastAsia" w:ascii="宋体" w:hAnsi="宋体" w:eastAsia="宋体" w:cs="宋体"/>
          <w:color w:val="auto"/>
          <w:sz w:val="21"/>
          <w:szCs w:val="21"/>
          <w:highlight w:val="none"/>
        </w:rPr>
        <w:t>的附件，与主合同具有同等法律效力。</w:t>
      </w:r>
    </w:p>
    <w:p w14:paraId="074F9A24">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五、本合同经甲、乙双方签字盖章后生效。</w:t>
      </w:r>
    </w:p>
    <w:p w14:paraId="64763D03">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六、本合同一式肆份，合同双方各执两份，每份具有同等法律效力。</w:t>
      </w:r>
    </w:p>
    <w:p w14:paraId="51C26C0B">
      <w:pPr>
        <w:snapToGrid w:val="0"/>
        <w:spacing w:line="240" w:lineRule="auto"/>
        <w:ind w:firstLine="315" w:firstLineChars="15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（以下无正文）</w:t>
      </w:r>
    </w:p>
    <w:p w14:paraId="54D4219C">
      <w:pPr>
        <w:snapToGrid w:val="0"/>
        <w:spacing w:line="240" w:lineRule="auto"/>
        <w:rPr>
          <w:rFonts w:hint="eastAsia" w:ascii="宋体" w:hAnsi="宋体" w:eastAsia="宋体" w:cs="宋体"/>
          <w:color w:val="auto"/>
          <w:sz w:val="21"/>
          <w:szCs w:val="21"/>
          <w:highlight w:val="none"/>
          <w:lang w:val="en-GB"/>
        </w:rPr>
      </w:pPr>
    </w:p>
    <w:p w14:paraId="79120F3D">
      <w:pPr>
        <w:snapToGrid w:val="0"/>
        <w:spacing w:line="240" w:lineRule="auto"/>
        <w:rPr>
          <w:rFonts w:hint="eastAsia" w:ascii="宋体" w:hAnsi="宋体" w:eastAsia="宋体" w:cs="宋体"/>
          <w:color w:val="auto"/>
          <w:sz w:val="21"/>
          <w:szCs w:val="21"/>
          <w:highlight w:val="none"/>
          <w:lang w:val="en-GB"/>
        </w:rPr>
      </w:pPr>
    </w:p>
    <w:p w14:paraId="0770438C">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甲方（盖章）：</w:t>
      </w:r>
      <w:r>
        <w:rPr>
          <w:rFonts w:hint="eastAsia" w:ascii="宋体" w:hAnsi="宋体" w:eastAsia="宋体" w:cs="宋体"/>
          <w:color w:val="auto"/>
          <w:sz w:val="21"/>
          <w:szCs w:val="21"/>
          <w:highlight w:val="none"/>
        </w:rPr>
        <w:t>温州市高速公路资产经营</w:t>
      </w:r>
      <w:r>
        <w:rPr>
          <w:rFonts w:hint="eastAsia" w:ascii="宋体" w:hAnsi="宋体" w:eastAsia="宋体" w:cs="宋体"/>
          <w:color w:val="auto"/>
          <w:sz w:val="21"/>
          <w:szCs w:val="21"/>
          <w:highlight w:val="none"/>
          <w:lang w:val="en-GB"/>
        </w:rPr>
        <w:t xml:space="preserve">有限公司       乙方（盖章）： </w:t>
      </w:r>
    </w:p>
    <w:p w14:paraId="6F592F0F">
      <w:pPr>
        <w:snapToGrid w:val="0"/>
        <w:spacing w:line="240" w:lineRule="auto"/>
        <w:rPr>
          <w:rFonts w:hint="eastAsia" w:ascii="宋体" w:hAnsi="宋体" w:eastAsia="宋体" w:cs="宋体"/>
          <w:color w:val="auto"/>
          <w:sz w:val="21"/>
          <w:szCs w:val="21"/>
          <w:highlight w:val="none"/>
          <w:lang w:val="en-GB"/>
        </w:rPr>
      </w:pPr>
    </w:p>
    <w:p w14:paraId="6D24D112">
      <w:pPr>
        <w:snapToGrid w:val="0"/>
        <w:spacing w:line="240" w:lineRule="auto"/>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GB"/>
        </w:rPr>
        <w:t>负责人（或授权代表）：                             负责人（或授权代表）：</w:t>
      </w:r>
    </w:p>
    <w:p w14:paraId="62355D34">
      <w:pPr>
        <w:spacing w:line="240" w:lineRule="auto"/>
        <w:rPr>
          <w:rFonts w:hint="eastAsia" w:ascii="宋体" w:hAnsi="宋体" w:eastAsia="宋体" w:cs="宋体"/>
          <w:color w:val="auto"/>
          <w:sz w:val="21"/>
          <w:szCs w:val="21"/>
          <w:highlight w:val="none"/>
        </w:rPr>
      </w:pPr>
    </w:p>
    <w:p w14:paraId="10315F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14:paraId="345586D7">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附件三 </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物业管理质量标准</w:t>
      </w:r>
    </w:p>
    <w:p w14:paraId="706ED45E">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p>
    <w:p w14:paraId="7490AE29">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服务区物业人员派驻要求</w:t>
      </w:r>
    </w:p>
    <w:p w14:paraId="7BB02B70">
      <w:pPr>
        <w:pStyle w:val="12"/>
        <w:keepNext w:val="0"/>
        <w:keepLines w:val="0"/>
        <w:pageBreakBefore w:val="0"/>
        <w:widowControl w:val="0"/>
        <w:kinsoku/>
        <w:wordWrap/>
        <w:overflowPunct/>
        <w:topLinePunct w:val="0"/>
        <w:autoSpaceDE/>
        <w:autoSpaceDN/>
        <w:bidi w:val="0"/>
        <w:adjustRightInd/>
        <w:snapToGrid/>
        <w:spacing w:line="240" w:lineRule="exact"/>
        <w:ind w:left="0" w:leftChars="0" w:right="-11" w:firstLine="0" w:firstLineChars="0"/>
        <w:textAlignment w:val="auto"/>
        <w:rPr>
          <w:rFonts w:hint="eastAsia" w:ascii="宋体" w:hAnsi="宋体" w:eastAsia="宋体" w:cs="宋体"/>
          <w:highlight w:val="none"/>
          <w:lang w:val="zh-CN"/>
        </w:rPr>
      </w:pPr>
    </w:p>
    <w:p w14:paraId="256A0970">
      <w:pPr>
        <w:spacing w:line="240" w:lineRule="auto"/>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一、派驻</w:t>
      </w:r>
      <w:r>
        <w:rPr>
          <w:rFonts w:hint="eastAsia" w:ascii="宋体" w:hAnsi="宋体" w:eastAsia="宋体" w:cs="宋体"/>
          <w:b/>
          <w:bCs/>
          <w:color w:val="auto"/>
          <w:sz w:val="21"/>
          <w:szCs w:val="21"/>
          <w:highlight w:val="none"/>
          <w:lang w:eastAsia="zh-CN"/>
        </w:rPr>
        <w:t>服务区</w:t>
      </w:r>
      <w:r>
        <w:rPr>
          <w:rFonts w:hint="eastAsia" w:ascii="宋体" w:hAnsi="宋体" w:eastAsia="宋体" w:cs="宋体"/>
          <w:b/>
          <w:bCs/>
          <w:color w:val="auto"/>
          <w:sz w:val="21"/>
          <w:szCs w:val="21"/>
          <w:highlight w:val="none"/>
        </w:rPr>
        <w:t>相关物业人员应具备以下条件</w:t>
      </w:r>
    </w:p>
    <w:p w14:paraId="450CD18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（一）具备良好的道德品德，无违法违纪行为的不良记录；</w:t>
      </w:r>
    </w:p>
    <w:p w14:paraId="2F4FAB6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（二）热爱高速公路</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行业，具有吃苦耐劳精神；</w:t>
      </w:r>
    </w:p>
    <w:p w14:paraId="6EE8645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（三）身体健康，无传染性疾病，能适应工作岗位要求；</w:t>
      </w:r>
    </w:p>
    <w:p w14:paraId="03AA05BA">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（四）具备岗位要求的相关业务技能，取得相应技能证书。</w:t>
      </w:r>
    </w:p>
    <w:p w14:paraId="28DC02EB">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（五）与乙方依法签订了劳动合同。</w:t>
      </w:r>
    </w:p>
    <w:p w14:paraId="5AB4489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（六）具体岗位要求</w:t>
      </w:r>
    </w:p>
    <w:p w14:paraId="3F269DF2">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物业经理</w:t>
      </w:r>
      <w:r>
        <w:rPr>
          <w:rFonts w:hint="eastAsia" w:ascii="宋体" w:hAnsi="宋体" w:eastAsia="宋体" w:cs="宋体"/>
          <w:color w:val="auto"/>
          <w:sz w:val="21"/>
          <w:szCs w:val="21"/>
          <w:highlight w:val="none"/>
        </w:rPr>
        <w:t>岗位：高中以上文化程度，年龄在30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14:paraId="312BED46">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、水电工岗位：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中以上文化程度，男性，22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55岁，持有相关专业上岗证件（国家职业资格证书），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年以上相关工作经验，具备业务实施能力和良好的服务意识、注重服务细节。</w:t>
      </w:r>
    </w:p>
    <w:p w14:paraId="6659427B">
      <w:pPr>
        <w:pStyle w:val="2"/>
        <w:keepNext w:val="0"/>
        <w:keepLines w:val="0"/>
        <w:pageBreakBefore w:val="0"/>
        <w:widowControl w:val="0"/>
        <w:kinsoku/>
        <w:wordWrap/>
        <w:overflowPunct/>
        <w:topLinePunct w:val="0"/>
        <w:bidi w:val="0"/>
        <w:snapToGrid/>
        <w:spacing w:after="0" w:line="240" w:lineRule="auto"/>
        <w:ind w:firstLine="420" w:firstLineChars="20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3、咨询台人员岗位：高中以上文化程度，22-40岁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，形象良好，具备良好的沟通能力、基础电脑操作能力和良好的服务意识、注重服务细节。</w:t>
      </w:r>
    </w:p>
    <w:p w14:paraId="085432EE">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w:t>
      </w:r>
      <w:r>
        <w:rPr>
          <w:rFonts w:hint="eastAsia" w:ascii="宋体" w:hAnsi="宋体" w:eastAsia="宋体" w:cs="宋体"/>
          <w:color w:val="auto"/>
          <w:kern w:val="2"/>
          <w:sz w:val="21"/>
          <w:szCs w:val="21"/>
          <w:highlight w:val="none"/>
          <w:lang w:val="en-US" w:eastAsia="zh-CN" w:bidi="ar"/>
        </w:rPr>
        <w:t>保安队长</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初中以上文化程度，男性，20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，身高1.6</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米以上，无近视，具有较强的安保和消防知识，</w:t>
      </w:r>
      <w:r>
        <w:rPr>
          <w:rFonts w:hint="eastAsia" w:ascii="宋体" w:hAnsi="宋体" w:eastAsia="宋体" w:cs="宋体"/>
          <w:color w:val="auto"/>
          <w:sz w:val="21"/>
          <w:szCs w:val="21"/>
          <w:highlight w:val="none"/>
          <w:lang w:val="en-US" w:eastAsia="zh-CN"/>
        </w:rPr>
        <w:t>退伍军人优先考虑，具有保安员资格证，</w:t>
      </w:r>
      <w:r>
        <w:rPr>
          <w:rFonts w:hint="eastAsia" w:ascii="宋体" w:hAnsi="宋体" w:eastAsia="宋体" w:cs="宋体"/>
          <w:color w:val="auto"/>
          <w:sz w:val="21"/>
          <w:szCs w:val="21"/>
          <w:highlight w:val="none"/>
        </w:rPr>
        <w:t>一年以上安保工作经验，应变能力强、能吃苦耐劳。</w:t>
      </w:r>
    </w:p>
    <w:p w14:paraId="53718675">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5、监控（消控）员岗位：高中以上文化程度，20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55岁以下，无近视，具有较强的消防和安保知识，责任心强，应变能力强，能吃苦耐劳，消控员须持证上岗。</w:t>
      </w:r>
    </w:p>
    <w:p w14:paraId="0506C685">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w:t>
      </w:r>
      <w:r>
        <w:rPr>
          <w:rFonts w:hint="eastAsia" w:ascii="宋体" w:hAnsi="宋体" w:eastAsia="宋体" w:cs="宋体"/>
          <w:color w:val="auto"/>
          <w:kern w:val="2"/>
          <w:sz w:val="21"/>
          <w:szCs w:val="21"/>
          <w:highlight w:val="none"/>
          <w:lang w:val="en-US" w:eastAsia="zh-CN" w:bidi="ar"/>
        </w:rPr>
        <w:t>保洁主管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14:paraId="76FB23A8">
      <w:pPr>
        <w:spacing w:line="24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其中公厕保洁员必须施行“一人一厕”，按性别配置，服务区共公共卫生间数量：2个男厕所、2个女厕所。</w:t>
      </w:r>
    </w:p>
    <w:p w14:paraId="4589E362">
      <w:pPr>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服务区保安工作量化标准</w:t>
      </w:r>
    </w:p>
    <w:tbl>
      <w:tblPr>
        <w:tblStyle w:val="2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14"/>
        <w:gridCol w:w="681"/>
        <w:gridCol w:w="681"/>
        <w:gridCol w:w="681"/>
        <w:gridCol w:w="681"/>
        <w:gridCol w:w="684"/>
        <w:gridCol w:w="4306"/>
      </w:tblGrid>
      <w:tr w14:paraId="2350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vMerge w:val="restart"/>
            <w:noWrap w:val="0"/>
            <w:vAlign w:val="center"/>
          </w:tcPr>
          <w:p w14:paraId="0BF72ED0">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3408" w:type="dxa"/>
            <w:gridSpan w:val="5"/>
            <w:noWrap w:val="0"/>
            <w:vAlign w:val="center"/>
          </w:tcPr>
          <w:p w14:paraId="18CB9F59">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频次</w:t>
            </w:r>
          </w:p>
        </w:tc>
        <w:tc>
          <w:tcPr>
            <w:tcW w:w="4306" w:type="dxa"/>
            <w:vMerge w:val="restart"/>
            <w:noWrap w:val="0"/>
            <w:vAlign w:val="center"/>
          </w:tcPr>
          <w:p w14:paraId="3EBDDD0A">
            <w:pPr>
              <w:pStyle w:val="14"/>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w:t>
            </w:r>
          </w:p>
        </w:tc>
      </w:tr>
      <w:tr w14:paraId="4C3E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vMerge w:val="continue"/>
            <w:noWrap w:val="0"/>
            <w:vAlign w:val="center"/>
          </w:tcPr>
          <w:p w14:paraId="4CCB4E93">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139D6A41">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日</w:t>
            </w:r>
          </w:p>
        </w:tc>
        <w:tc>
          <w:tcPr>
            <w:tcW w:w="681" w:type="dxa"/>
            <w:noWrap w:val="0"/>
            <w:vAlign w:val="center"/>
          </w:tcPr>
          <w:p w14:paraId="506BB1D0">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周</w:t>
            </w:r>
          </w:p>
        </w:tc>
        <w:tc>
          <w:tcPr>
            <w:tcW w:w="681" w:type="dxa"/>
            <w:noWrap w:val="0"/>
            <w:vAlign w:val="center"/>
          </w:tcPr>
          <w:p w14:paraId="0FEE7593">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月</w:t>
            </w:r>
          </w:p>
        </w:tc>
        <w:tc>
          <w:tcPr>
            <w:tcW w:w="681" w:type="dxa"/>
            <w:noWrap w:val="0"/>
            <w:vAlign w:val="center"/>
          </w:tcPr>
          <w:p w14:paraId="26C42225">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季</w:t>
            </w:r>
          </w:p>
        </w:tc>
        <w:tc>
          <w:tcPr>
            <w:tcW w:w="684" w:type="dxa"/>
            <w:noWrap w:val="0"/>
            <w:vAlign w:val="center"/>
          </w:tcPr>
          <w:p w14:paraId="3986A7D8">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次/</w:t>
            </w:r>
            <w:r>
              <w:rPr>
                <w:rFonts w:hint="eastAsia" w:ascii="宋体" w:hAnsi="宋体" w:eastAsia="宋体" w:cs="宋体"/>
                <w:color w:val="auto"/>
                <w:sz w:val="18"/>
                <w:szCs w:val="18"/>
                <w:highlight w:val="none"/>
              </w:rPr>
              <w:t>年</w:t>
            </w:r>
          </w:p>
        </w:tc>
        <w:tc>
          <w:tcPr>
            <w:tcW w:w="4306" w:type="dxa"/>
            <w:vMerge w:val="continue"/>
            <w:noWrap w:val="0"/>
            <w:vAlign w:val="center"/>
          </w:tcPr>
          <w:p w14:paraId="5E056EC0">
            <w:pPr>
              <w:pStyle w:val="14"/>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p>
        </w:tc>
      </w:tr>
      <w:tr w14:paraId="6EEA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restart"/>
            <w:noWrap w:val="0"/>
            <w:vAlign w:val="center"/>
          </w:tcPr>
          <w:p w14:paraId="0E11E266">
            <w:pPr>
              <w:pStyle w:val="14"/>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公共秩序</w:t>
            </w:r>
          </w:p>
        </w:tc>
        <w:tc>
          <w:tcPr>
            <w:tcW w:w="1014" w:type="dxa"/>
            <w:noWrap w:val="0"/>
            <w:vAlign w:val="center"/>
          </w:tcPr>
          <w:p w14:paraId="4EB6E61A">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人员出入管理</w:t>
            </w:r>
          </w:p>
        </w:tc>
        <w:tc>
          <w:tcPr>
            <w:tcW w:w="681" w:type="dxa"/>
            <w:noWrap w:val="0"/>
            <w:vAlign w:val="center"/>
          </w:tcPr>
          <w:p w14:paraId="3E7AD48A">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31AFBCC6">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126A37CA">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2B22F004">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6E36963D">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14:paraId="40700E07">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1.登记有效证件不超过60秒/人·次；</w:t>
            </w:r>
          </w:p>
          <w:p w14:paraId="55EB7368">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2.掌握本岗位职责和工作规程；外来人员进入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需确认后并登记放行，可疑或重要人员特别监控，完毕后出入凭证由有接待部门的签字后方可离开；</w:t>
            </w:r>
          </w:p>
        </w:tc>
      </w:tr>
      <w:tr w14:paraId="3EE3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09301516">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3BE82A52">
            <w:pPr>
              <w:keepNext w:val="0"/>
              <w:keepLines w:val="0"/>
              <w:pageBreakBefore w:val="0"/>
              <w:kinsoku/>
              <w:wordWrap/>
              <w:topLinePunct w:val="0"/>
              <w:bidi w:val="0"/>
              <w:snapToGrid/>
              <w:spacing w:line="240" w:lineRule="exact"/>
              <w:ind w:left="-2"/>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安全巡逻</w:t>
            </w:r>
          </w:p>
        </w:tc>
        <w:tc>
          <w:tcPr>
            <w:tcW w:w="681" w:type="dxa"/>
            <w:noWrap w:val="0"/>
            <w:vAlign w:val="center"/>
          </w:tcPr>
          <w:p w14:paraId="30D8296D">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2647A4CB">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269CE1A4">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6E1DAA00">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7567A107">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14:paraId="4FE40761">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1.每月重新制定一次巡逻路线。</w:t>
            </w:r>
          </w:p>
          <w:p w14:paraId="1C5BBF70">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2.巡逻人员（不包括车场巡逻人员）按规定路线每1小时巡逻1次并签到。</w:t>
            </w:r>
          </w:p>
          <w:p w14:paraId="5107F4C1">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3.对可疑人员进行监控。</w:t>
            </w:r>
          </w:p>
          <w:p w14:paraId="27D7B0A4">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4.对重大事件的及时处理。</w:t>
            </w:r>
          </w:p>
        </w:tc>
      </w:tr>
      <w:tr w14:paraId="0D81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6ED797A2">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7AC7334F">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其它突发事件或异常情况处理</w:t>
            </w:r>
          </w:p>
        </w:tc>
        <w:tc>
          <w:tcPr>
            <w:tcW w:w="681" w:type="dxa"/>
            <w:noWrap w:val="0"/>
            <w:vAlign w:val="center"/>
          </w:tcPr>
          <w:p w14:paraId="6E42C4DE">
            <w:pPr>
              <w:pStyle w:val="14"/>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2959E191">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411F6F3B">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7BBB360D">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0F47C6E2">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14:paraId="30A899F7">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1.发现盗窃、斗殴、匪警情况的处理；</w:t>
            </w:r>
          </w:p>
          <w:p w14:paraId="4F946671">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2.对精神病人、醉汉的处理；触电事故的应急处理；突发性水浸事故处理；</w:t>
            </w:r>
          </w:p>
          <w:p w14:paraId="46D0C17B">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3.台风袭击前、吹强烈大风的预防措施；台风来临后的措施；</w:t>
            </w:r>
          </w:p>
          <w:p w14:paraId="72E78DB3">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4.爆炸的处理；失物处理；</w:t>
            </w:r>
          </w:p>
        </w:tc>
      </w:tr>
      <w:tr w14:paraId="5058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restart"/>
            <w:noWrap w:val="0"/>
            <w:vAlign w:val="center"/>
          </w:tcPr>
          <w:p w14:paraId="55E1DBA8">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安全防范</w:t>
            </w:r>
          </w:p>
        </w:tc>
        <w:tc>
          <w:tcPr>
            <w:tcW w:w="1014" w:type="dxa"/>
            <w:noWrap w:val="0"/>
            <w:vAlign w:val="center"/>
          </w:tcPr>
          <w:p w14:paraId="0C2AC592">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系统报警处理</w:t>
            </w:r>
          </w:p>
        </w:tc>
        <w:tc>
          <w:tcPr>
            <w:tcW w:w="681" w:type="dxa"/>
            <w:noWrap w:val="0"/>
            <w:vAlign w:val="center"/>
          </w:tcPr>
          <w:p w14:paraId="66BA3178">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6277619C">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3FF589BA">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4A1EF2F5">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1874FD2A">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4306" w:type="dxa"/>
            <w:noWrap w:val="0"/>
            <w:vAlign w:val="center"/>
          </w:tcPr>
          <w:p w14:paraId="7624EC01">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接到报警信号后巡逻岗保安在1至3分钟内赶到现场。</w:t>
            </w:r>
          </w:p>
        </w:tc>
      </w:tr>
      <w:tr w14:paraId="41A3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00F0B092">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7EB1DDFE">
            <w:pPr>
              <w:pStyle w:val="22"/>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室内报警处理</w:t>
            </w:r>
          </w:p>
        </w:tc>
        <w:tc>
          <w:tcPr>
            <w:tcW w:w="681" w:type="dxa"/>
            <w:noWrap w:val="0"/>
            <w:vAlign w:val="center"/>
          </w:tcPr>
          <w:p w14:paraId="6F659B96">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73D9E463">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3812ED1C">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028C1049">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7D4542CF">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137645E6">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商户或办公室内报警，巡逻岗保安在3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5分钟内到达现场</w:t>
            </w:r>
          </w:p>
        </w:tc>
      </w:tr>
      <w:tr w14:paraId="1251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094CCEFB">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63A22651">
            <w:pPr>
              <w:pStyle w:val="22"/>
              <w:keepNext w:val="0"/>
              <w:keepLines w:val="0"/>
              <w:pageBreakBefore w:val="0"/>
              <w:kinsoku/>
              <w:wordWrap/>
              <w:topLinePunct w:val="0"/>
              <w:bidi w:val="0"/>
              <w:snapToGrid/>
              <w:spacing w:beforeAutospacing="0" w:afterAutospacing="0"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标识系统</w:t>
            </w:r>
          </w:p>
        </w:tc>
        <w:tc>
          <w:tcPr>
            <w:tcW w:w="681" w:type="dxa"/>
            <w:noWrap w:val="0"/>
            <w:vAlign w:val="center"/>
          </w:tcPr>
          <w:p w14:paraId="4B3C903F">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6B6C0BF0">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6D98A5BB">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2334B570">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1F8E8FB7">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422FEC15">
            <w:pPr>
              <w:keepNext w:val="0"/>
              <w:keepLines w:val="0"/>
              <w:pageBreakBefore w:val="0"/>
              <w:kinsoku/>
              <w:wordWrap/>
              <w:topLinePunct w:val="0"/>
              <w:bidi w:val="0"/>
              <w:snapToGrid/>
              <w:spacing w:line="240" w:lineRule="exact"/>
              <w:ind w:left="210" w:hanging="180" w:hangingChars="1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设置必备的安全标识。</w:t>
            </w:r>
          </w:p>
        </w:tc>
      </w:tr>
      <w:tr w14:paraId="20A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restart"/>
            <w:noWrap w:val="0"/>
            <w:vAlign w:val="center"/>
          </w:tcPr>
          <w:p w14:paraId="4DC18A07">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消防安全</w:t>
            </w:r>
          </w:p>
        </w:tc>
        <w:tc>
          <w:tcPr>
            <w:tcW w:w="1014" w:type="dxa"/>
            <w:noWrap w:val="0"/>
            <w:vAlign w:val="center"/>
          </w:tcPr>
          <w:p w14:paraId="4DC02694">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公共部位</w:t>
            </w:r>
          </w:p>
        </w:tc>
        <w:tc>
          <w:tcPr>
            <w:tcW w:w="681" w:type="dxa"/>
            <w:noWrap w:val="0"/>
            <w:vAlign w:val="center"/>
          </w:tcPr>
          <w:p w14:paraId="11C17A73">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00D2809B">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02E15E50">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p>
        </w:tc>
        <w:tc>
          <w:tcPr>
            <w:tcW w:w="681" w:type="dxa"/>
            <w:noWrap w:val="0"/>
            <w:vAlign w:val="center"/>
          </w:tcPr>
          <w:p w14:paraId="4BD9AF67">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69210BE6">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57526659">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无占用消防通道，无堆放杂物</w:t>
            </w:r>
          </w:p>
        </w:tc>
      </w:tr>
      <w:tr w14:paraId="0A9B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265DCAF6">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3E0F8C78">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消防栓</w:t>
            </w:r>
          </w:p>
        </w:tc>
        <w:tc>
          <w:tcPr>
            <w:tcW w:w="681" w:type="dxa"/>
            <w:noWrap w:val="0"/>
            <w:vAlign w:val="center"/>
          </w:tcPr>
          <w:p w14:paraId="6AB59BBE">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2648DE61">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7E66E574">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14:paraId="2A10191D">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31E268EF">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15D58F84">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1.熟练掌握使用方法。</w:t>
            </w:r>
          </w:p>
          <w:p w14:paraId="56DDAA39">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2.无破损、无霉潮，带柜完好</w:t>
            </w:r>
          </w:p>
        </w:tc>
      </w:tr>
      <w:tr w14:paraId="7FF6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37D3998D">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56A4E20C">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w:t>
            </w:r>
          </w:p>
        </w:tc>
        <w:tc>
          <w:tcPr>
            <w:tcW w:w="681" w:type="dxa"/>
            <w:noWrap w:val="0"/>
            <w:vAlign w:val="center"/>
          </w:tcPr>
          <w:p w14:paraId="1ADB8D8B">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060D802F">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35FFB587">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14:paraId="1C380EAC">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02F24CD0">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421DE011">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消防门保持关闭。</w:t>
            </w:r>
          </w:p>
        </w:tc>
      </w:tr>
      <w:tr w14:paraId="4B53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009123F4">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122613DC">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灭火器具</w:t>
            </w:r>
          </w:p>
        </w:tc>
        <w:tc>
          <w:tcPr>
            <w:tcW w:w="681" w:type="dxa"/>
            <w:noWrap w:val="0"/>
            <w:vAlign w:val="center"/>
          </w:tcPr>
          <w:p w14:paraId="4273049E">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3116598B">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2922B0C5">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14:paraId="2C727766">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156299E4">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770AAF2A">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做好检查记录，无缺失、无过期，表面保洁，100%完好</w:t>
            </w:r>
          </w:p>
        </w:tc>
      </w:tr>
      <w:tr w14:paraId="7F5C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53361AC2">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64C81FD8">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温感、烟感、喷淋</w:t>
            </w:r>
          </w:p>
        </w:tc>
        <w:tc>
          <w:tcPr>
            <w:tcW w:w="681" w:type="dxa"/>
            <w:noWrap w:val="0"/>
            <w:vAlign w:val="center"/>
          </w:tcPr>
          <w:p w14:paraId="03405703">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31CB83ED">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4A7BBD35">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81" w:type="dxa"/>
            <w:noWrap w:val="0"/>
            <w:vAlign w:val="center"/>
          </w:tcPr>
          <w:p w14:paraId="6C3FE72E">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653221E6">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63EF32DA">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无缺失，外观完好。</w:t>
            </w:r>
          </w:p>
        </w:tc>
      </w:tr>
      <w:tr w14:paraId="59C2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43" w:type="dxa"/>
            <w:vMerge w:val="continue"/>
            <w:noWrap w:val="0"/>
            <w:vAlign w:val="center"/>
          </w:tcPr>
          <w:p w14:paraId="2EDCA8FC">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1014" w:type="dxa"/>
            <w:noWrap w:val="0"/>
            <w:vAlign w:val="center"/>
          </w:tcPr>
          <w:p w14:paraId="254C2E25">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w:t>
            </w:r>
          </w:p>
        </w:tc>
        <w:tc>
          <w:tcPr>
            <w:tcW w:w="681" w:type="dxa"/>
            <w:noWrap w:val="0"/>
            <w:vAlign w:val="center"/>
          </w:tcPr>
          <w:p w14:paraId="3B42A41C">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3F9B26E3">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04C6699A">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32B9436F">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284B51FC">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不少于1次</w:t>
            </w:r>
          </w:p>
        </w:tc>
        <w:tc>
          <w:tcPr>
            <w:tcW w:w="4306" w:type="dxa"/>
            <w:noWrap w:val="0"/>
            <w:vAlign w:val="center"/>
          </w:tcPr>
          <w:p w14:paraId="0204E048">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1.制定演习方案.</w:t>
            </w:r>
          </w:p>
          <w:p w14:paraId="2C2FFAA9">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2.按演习方案组织实施.</w:t>
            </w:r>
          </w:p>
          <w:p w14:paraId="5BC97264">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3.对演习进行效果评估.</w:t>
            </w:r>
          </w:p>
        </w:tc>
      </w:tr>
      <w:tr w14:paraId="6F26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noWrap w:val="0"/>
            <w:vAlign w:val="center"/>
          </w:tcPr>
          <w:p w14:paraId="51FD1D84">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w:t>
            </w:r>
          </w:p>
        </w:tc>
        <w:tc>
          <w:tcPr>
            <w:tcW w:w="681" w:type="dxa"/>
            <w:noWrap w:val="0"/>
            <w:vAlign w:val="center"/>
          </w:tcPr>
          <w:p w14:paraId="6138E95D">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027FCF6C">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0E8F02E9">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55BADEE5">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64374EFB">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044EF250">
            <w:pPr>
              <w:pStyle w:val="13"/>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1.对车辆实施分流，维护停放秩序。</w:t>
            </w:r>
          </w:p>
          <w:p w14:paraId="7ECB37C7">
            <w:pPr>
              <w:pStyle w:val="13"/>
              <w:keepNext w:val="0"/>
              <w:keepLines w:val="0"/>
              <w:pageBreakBefore w:val="0"/>
              <w:widowControl/>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2.对危险品车辆落实专人进行全程管理，并做好记录，发现问题及时汇报。</w:t>
            </w:r>
          </w:p>
          <w:p w14:paraId="320631A3">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3.巡逻人员按规定路线定时巡逻和签到。</w:t>
            </w:r>
          </w:p>
          <w:p w14:paraId="16E19188">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4.发现异常情况，保安在30秒至于1分钟内赶到现场。</w:t>
            </w:r>
          </w:p>
          <w:p w14:paraId="3B345D9C">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5.对可疑车辆进行重点监控。</w:t>
            </w:r>
          </w:p>
          <w:p w14:paraId="29713738">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6.对长时间逗留的车辆劝其离开。</w:t>
            </w:r>
          </w:p>
          <w:p w14:paraId="45387935">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7.通道内严禁停车，对违停车辆在5分钟内予以处理，对停车场的修理车进行制止。</w:t>
            </w:r>
          </w:p>
        </w:tc>
      </w:tr>
      <w:tr w14:paraId="28F3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noWrap w:val="0"/>
            <w:vAlign w:val="center"/>
          </w:tcPr>
          <w:p w14:paraId="7595182C">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工作环境</w:t>
            </w:r>
          </w:p>
        </w:tc>
        <w:tc>
          <w:tcPr>
            <w:tcW w:w="681" w:type="dxa"/>
            <w:noWrap w:val="0"/>
            <w:vAlign w:val="center"/>
          </w:tcPr>
          <w:p w14:paraId="278C96C1">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随时</w:t>
            </w:r>
          </w:p>
        </w:tc>
        <w:tc>
          <w:tcPr>
            <w:tcW w:w="681" w:type="dxa"/>
            <w:noWrap w:val="0"/>
            <w:vAlign w:val="center"/>
          </w:tcPr>
          <w:p w14:paraId="7AA404F4">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50CEF29B">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0BFF43DC">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4874DB57">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27CA7976">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1.岗位责任人姓名、照片、许可证等有关证件，悬挂在出入口明显位置。</w:t>
            </w:r>
          </w:p>
          <w:p w14:paraId="46BB01FA">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2.门卫岗亭，内外地面拖洗干净，玻璃窗台及其他台面，室内外墙面每月清洁。</w:t>
            </w:r>
          </w:p>
        </w:tc>
      </w:tr>
      <w:tr w14:paraId="5288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57" w:type="dxa"/>
            <w:gridSpan w:val="2"/>
            <w:noWrap w:val="0"/>
            <w:vAlign w:val="center"/>
          </w:tcPr>
          <w:p w14:paraId="3AA60319">
            <w:pPr>
              <w:keepNext w:val="0"/>
              <w:keepLines w:val="0"/>
              <w:pageBreakBefore w:val="0"/>
              <w:kinsoku/>
              <w:wordWrap/>
              <w:topLinePunct w:val="0"/>
              <w:bidi w:val="0"/>
              <w:snapToGrid/>
              <w:spacing w:line="24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资料管理</w:t>
            </w:r>
          </w:p>
        </w:tc>
        <w:tc>
          <w:tcPr>
            <w:tcW w:w="681" w:type="dxa"/>
            <w:noWrap w:val="0"/>
            <w:vAlign w:val="center"/>
          </w:tcPr>
          <w:p w14:paraId="778D473F">
            <w:pPr>
              <w:keepNext w:val="0"/>
              <w:keepLines w:val="0"/>
              <w:pageBreakBefore w:val="0"/>
              <w:kinsoku/>
              <w:wordWrap/>
              <w:topLinePunct w:val="0"/>
              <w:bidi w:val="0"/>
              <w:snapToGrid/>
              <w:spacing w:line="240" w:lineRule="exact"/>
              <w:ind w:firstLine="171" w:firstLineChars="95"/>
              <w:jc w:val="center"/>
              <w:rPr>
                <w:rFonts w:hint="eastAsia" w:ascii="宋体" w:hAnsi="宋体" w:eastAsia="宋体" w:cs="宋体"/>
                <w:color w:val="auto"/>
                <w:sz w:val="18"/>
                <w:szCs w:val="18"/>
                <w:highlight w:val="none"/>
              </w:rPr>
            </w:pPr>
          </w:p>
        </w:tc>
        <w:tc>
          <w:tcPr>
            <w:tcW w:w="681" w:type="dxa"/>
            <w:noWrap w:val="0"/>
            <w:vAlign w:val="center"/>
          </w:tcPr>
          <w:p w14:paraId="67C22C75">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4EC639E4">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1" w:type="dxa"/>
            <w:noWrap w:val="0"/>
            <w:vAlign w:val="center"/>
          </w:tcPr>
          <w:p w14:paraId="60EE2ECB">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684" w:type="dxa"/>
            <w:noWrap w:val="0"/>
            <w:vAlign w:val="center"/>
          </w:tcPr>
          <w:p w14:paraId="2085481A">
            <w:pPr>
              <w:keepNext w:val="0"/>
              <w:keepLines w:val="0"/>
              <w:pageBreakBefore w:val="0"/>
              <w:kinsoku/>
              <w:wordWrap/>
              <w:topLinePunct w:val="0"/>
              <w:bidi w:val="0"/>
              <w:snapToGrid/>
              <w:spacing w:line="240" w:lineRule="exact"/>
              <w:ind w:firstLine="420"/>
              <w:jc w:val="center"/>
              <w:rPr>
                <w:rFonts w:hint="eastAsia" w:ascii="宋体" w:hAnsi="宋体" w:eastAsia="宋体" w:cs="宋体"/>
                <w:color w:val="auto"/>
                <w:sz w:val="18"/>
                <w:szCs w:val="18"/>
                <w:highlight w:val="none"/>
              </w:rPr>
            </w:pPr>
          </w:p>
        </w:tc>
        <w:tc>
          <w:tcPr>
            <w:tcW w:w="4306" w:type="dxa"/>
            <w:noWrap w:val="0"/>
            <w:vAlign w:val="center"/>
          </w:tcPr>
          <w:p w14:paraId="32464061">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1.日常记录</w:t>
            </w:r>
          </w:p>
          <w:p w14:paraId="6F2F410A">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《保安值班记录表》、《巡逻签到表》（或电子巡逻记录）、《来人来访登记表》、《车辆出入登记表》、《培训记录表》、《危险品车辆记录》</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通道车辆登记表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巡查登记表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等</w:t>
            </w:r>
          </w:p>
          <w:p w14:paraId="1637BDF8">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2.月度记录</w:t>
            </w:r>
          </w:p>
          <w:p w14:paraId="6FCA582F">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《培训计划表》、《消防器材检查记录》</w:t>
            </w:r>
          </w:p>
          <w:p w14:paraId="6C51E0FE">
            <w:pPr>
              <w:keepNext w:val="0"/>
              <w:keepLines w:val="0"/>
              <w:pageBreakBefore w:val="0"/>
              <w:kinsoku/>
              <w:wordWrap/>
              <w:topLinePunct w:val="0"/>
              <w:bidi w:val="0"/>
              <w:snapToGrid/>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3.年度记录</w:t>
            </w:r>
          </w:p>
          <w:p w14:paraId="68271994">
            <w:pPr>
              <w:keepNext w:val="0"/>
              <w:keepLines w:val="0"/>
              <w:pageBreakBefore w:val="0"/>
              <w:kinsoku/>
              <w:wordWrap/>
              <w:topLinePunct w:val="0"/>
              <w:bidi w:val="0"/>
              <w:snapToGrid/>
              <w:spacing w:line="240" w:lineRule="exact"/>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《消防演习方案》、《紧急集合检查记录表》、灭火的相关记录（会议记录、应急行动记录）</w:t>
            </w:r>
          </w:p>
        </w:tc>
      </w:tr>
    </w:tbl>
    <w:p w14:paraId="1F2283EC">
      <w:pPr>
        <w:spacing w:line="240" w:lineRule="auto"/>
        <w:jc w:val="center"/>
        <w:rPr>
          <w:rFonts w:hint="eastAsia" w:ascii="宋体" w:hAnsi="宋体" w:eastAsia="宋体" w:cs="宋体"/>
          <w:color w:val="auto"/>
          <w:sz w:val="21"/>
          <w:szCs w:val="21"/>
          <w:highlight w:val="none"/>
        </w:rPr>
      </w:pPr>
    </w:p>
    <w:p w14:paraId="443D7208">
      <w:pP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br w:type="page"/>
      </w:r>
    </w:p>
    <w:p w14:paraId="33A6B3D7">
      <w:pPr>
        <w:autoSpaceDE w:val="0"/>
        <w:autoSpaceDN w:val="0"/>
        <w:adjustRightInd w:val="0"/>
        <w:spacing w:line="240" w:lineRule="auto"/>
        <w:jc w:val="center"/>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服务区保洁工作量化标准</w:t>
      </w:r>
    </w:p>
    <w:p w14:paraId="57D3CF08">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一、公共卫生间</w:t>
      </w:r>
    </w:p>
    <w:p w14:paraId="7F0CEF81">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14:paraId="667DB2DE">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做好台账记录。</w:t>
      </w:r>
    </w:p>
    <w:p w14:paraId="464C4DA9">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5"/>
        <w:tblW w:w="9039" w:type="dxa"/>
        <w:jc w:val="center"/>
        <w:tblLayout w:type="fixed"/>
        <w:tblCellMar>
          <w:top w:w="0" w:type="dxa"/>
          <w:left w:w="108" w:type="dxa"/>
          <w:bottom w:w="0" w:type="dxa"/>
          <w:right w:w="108" w:type="dxa"/>
        </w:tblCellMar>
      </w:tblPr>
      <w:tblGrid>
        <w:gridCol w:w="2759"/>
        <w:gridCol w:w="738"/>
        <w:gridCol w:w="738"/>
        <w:gridCol w:w="738"/>
        <w:gridCol w:w="738"/>
        <w:gridCol w:w="738"/>
        <w:gridCol w:w="740"/>
        <w:gridCol w:w="1850"/>
      </w:tblGrid>
      <w:tr w14:paraId="60C72ABD">
        <w:tblPrEx>
          <w:tblCellMar>
            <w:top w:w="0" w:type="dxa"/>
            <w:left w:w="108" w:type="dxa"/>
            <w:bottom w:w="0" w:type="dxa"/>
            <w:right w:w="108" w:type="dxa"/>
          </w:tblCellMar>
        </w:tblPrEx>
        <w:trPr>
          <w:trHeight w:val="23" w:hRule="atLeast"/>
          <w:jc w:val="center"/>
        </w:trPr>
        <w:tc>
          <w:tcPr>
            <w:tcW w:w="2759" w:type="dxa"/>
            <w:vMerge w:val="restart"/>
            <w:tcBorders>
              <w:top w:val="single" w:color="auto" w:sz="4" w:space="0"/>
              <w:left w:val="single" w:color="auto" w:sz="4" w:space="0"/>
              <w:bottom w:val="single" w:color="000000" w:sz="4" w:space="0"/>
              <w:right w:val="single" w:color="auto" w:sz="4" w:space="0"/>
            </w:tcBorders>
            <w:noWrap w:val="0"/>
            <w:vAlign w:val="center"/>
          </w:tcPr>
          <w:p w14:paraId="3491F0C6">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卫生间保洁</w:t>
            </w:r>
          </w:p>
        </w:tc>
        <w:tc>
          <w:tcPr>
            <w:tcW w:w="4430" w:type="dxa"/>
            <w:gridSpan w:val="6"/>
            <w:tcBorders>
              <w:top w:val="single" w:color="auto" w:sz="4" w:space="0"/>
              <w:left w:val="nil"/>
              <w:bottom w:val="single" w:color="auto" w:sz="4" w:space="0"/>
              <w:right w:val="single" w:color="000000" w:sz="4" w:space="0"/>
            </w:tcBorders>
            <w:noWrap w:val="0"/>
            <w:vAlign w:val="center"/>
          </w:tcPr>
          <w:p w14:paraId="0BE24CD8">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50" w:type="dxa"/>
            <w:tcBorders>
              <w:top w:val="single" w:color="auto" w:sz="4" w:space="0"/>
              <w:left w:val="nil"/>
              <w:bottom w:val="single" w:color="auto" w:sz="4" w:space="0"/>
              <w:right w:val="single" w:color="auto" w:sz="4" w:space="0"/>
            </w:tcBorders>
            <w:noWrap w:val="0"/>
            <w:vAlign w:val="center"/>
          </w:tcPr>
          <w:p w14:paraId="72338C1A">
            <w:pPr>
              <w:widowControl/>
              <w:spacing w:line="24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E73DC10">
        <w:tblPrEx>
          <w:tblCellMar>
            <w:top w:w="0" w:type="dxa"/>
            <w:left w:w="108" w:type="dxa"/>
            <w:bottom w:w="0" w:type="dxa"/>
            <w:right w:w="108" w:type="dxa"/>
          </w:tblCellMar>
        </w:tblPrEx>
        <w:trPr>
          <w:trHeight w:val="23" w:hRule="atLeast"/>
          <w:jc w:val="center"/>
        </w:trPr>
        <w:tc>
          <w:tcPr>
            <w:tcW w:w="2759" w:type="dxa"/>
            <w:vMerge w:val="continue"/>
            <w:tcBorders>
              <w:top w:val="single" w:color="auto" w:sz="4" w:space="0"/>
              <w:left w:val="single" w:color="auto" w:sz="4" w:space="0"/>
              <w:bottom w:val="single" w:color="000000" w:sz="4" w:space="0"/>
              <w:right w:val="single" w:color="auto" w:sz="4" w:space="0"/>
            </w:tcBorders>
            <w:noWrap w:val="0"/>
            <w:vAlign w:val="center"/>
          </w:tcPr>
          <w:p w14:paraId="327F0285">
            <w:pPr>
              <w:widowControl/>
              <w:spacing w:line="240" w:lineRule="auto"/>
              <w:ind w:firstLine="480"/>
              <w:jc w:val="left"/>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14:paraId="71C44C0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38" w:type="dxa"/>
            <w:tcBorders>
              <w:top w:val="nil"/>
              <w:left w:val="single" w:color="auto" w:sz="4" w:space="0"/>
              <w:bottom w:val="single" w:color="auto" w:sz="4" w:space="0"/>
              <w:right w:val="single" w:color="auto" w:sz="4" w:space="0"/>
            </w:tcBorders>
            <w:noWrap w:val="0"/>
            <w:vAlign w:val="top"/>
          </w:tcPr>
          <w:p w14:paraId="6AD12153">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38" w:type="dxa"/>
            <w:tcBorders>
              <w:top w:val="nil"/>
              <w:left w:val="nil"/>
              <w:bottom w:val="single" w:color="auto" w:sz="4" w:space="0"/>
              <w:right w:val="single" w:color="auto" w:sz="4" w:space="0"/>
            </w:tcBorders>
            <w:noWrap w:val="0"/>
            <w:vAlign w:val="top"/>
          </w:tcPr>
          <w:p w14:paraId="5D4C90D4">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38" w:type="dxa"/>
            <w:tcBorders>
              <w:top w:val="nil"/>
              <w:left w:val="nil"/>
              <w:bottom w:val="single" w:color="auto" w:sz="4" w:space="0"/>
              <w:right w:val="single" w:color="auto" w:sz="4" w:space="0"/>
            </w:tcBorders>
            <w:noWrap w:val="0"/>
            <w:vAlign w:val="top"/>
          </w:tcPr>
          <w:p w14:paraId="4FB0731A">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38" w:type="dxa"/>
            <w:tcBorders>
              <w:top w:val="nil"/>
              <w:left w:val="nil"/>
              <w:bottom w:val="single" w:color="auto" w:sz="4" w:space="0"/>
              <w:right w:val="single" w:color="auto" w:sz="4" w:space="0"/>
            </w:tcBorders>
            <w:noWrap w:val="0"/>
            <w:vAlign w:val="top"/>
          </w:tcPr>
          <w:p w14:paraId="024DAF17">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0" w:type="dxa"/>
            <w:tcBorders>
              <w:top w:val="nil"/>
              <w:left w:val="nil"/>
              <w:bottom w:val="single" w:color="auto" w:sz="4" w:space="0"/>
              <w:right w:val="single" w:color="auto" w:sz="4" w:space="0"/>
            </w:tcBorders>
            <w:noWrap w:val="0"/>
            <w:vAlign w:val="top"/>
          </w:tcPr>
          <w:p w14:paraId="12C7630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50" w:type="dxa"/>
            <w:tcBorders>
              <w:top w:val="nil"/>
              <w:left w:val="nil"/>
              <w:bottom w:val="single" w:color="auto" w:sz="4" w:space="0"/>
              <w:right w:val="single" w:color="auto" w:sz="4" w:space="0"/>
            </w:tcBorders>
            <w:noWrap w:val="0"/>
            <w:vAlign w:val="center"/>
          </w:tcPr>
          <w:p w14:paraId="2AC7E195">
            <w:pPr>
              <w:widowControl/>
              <w:spacing w:line="240" w:lineRule="auto"/>
              <w:ind w:firstLine="480"/>
              <w:jc w:val="left"/>
              <w:rPr>
                <w:rFonts w:hint="eastAsia" w:ascii="宋体" w:hAnsi="宋体" w:eastAsia="宋体" w:cs="宋体"/>
                <w:color w:val="auto"/>
                <w:kern w:val="0"/>
                <w:sz w:val="18"/>
                <w:szCs w:val="18"/>
                <w:highlight w:val="none"/>
              </w:rPr>
            </w:pPr>
          </w:p>
        </w:tc>
      </w:tr>
      <w:tr w14:paraId="3E6257CE">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32C1B307">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便器、洗水盆、不锈钢面</w:t>
            </w:r>
          </w:p>
        </w:tc>
        <w:tc>
          <w:tcPr>
            <w:tcW w:w="738" w:type="dxa"/>
            <w:tcBorders>
              <w:top w:val="single" w:color="auto" w:sz="4" w:space="0"/>
              <w:left w:val="nil"/>
              <w:bottom w:val="single" w:color="auto" w:sz="4" w:space="0"/>
              <w:right w:val="single" w:color="auto" w:sz="4" w:space="0"/>
            </w:tcBorders>
            <w:noWrap w:val="0"/>
            <w:vAlign w:val="center"/>
          </w:tcPr>
          <w:p w14:paraId="4EFB71CC">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3CB8794A">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55BA6F1A">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456DF80A">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4BC6356">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77F10B92">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7B479CBF">
            <w:pPr>
              <w:widowControl/>
              <w:spacing w:line="240" w:lineRule="auto"/>
              <w:ind w:firstLine="480"/>
              <w:rPr>
                <w:rFonts w:hint="eastAsia" w:ascii="宋体" w:hAnsi="宋体" w:eastAsia="宋体" w:cs="宋体"/>
                <w:color w:val="auto"/>
                <w:kern w:val="0"/>
                <w:sz w:val="18"/>
                <w:szCs w:val="18"/>
                <w:highlight w:val="none"/>
              </w:rPr>
            </w:pPr>
          </w:p>
        </w:tc>
      </w:tr>
      <w:tr w14:paraId="5475A061">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012C6418">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玻璃、镜面</w:t>
            </w:r>
          </w:p>
        </w:tc>
        <w:tc>
          <w:tcPr>
            <w:tcW w:w="738" w:type="dxa"/>
            <w:tcBorders>
              <w:top w:val="nil"/>
              <w:left w:val="nil"/>
              <w:bottom w:val="single" w:color="auto" w:sz="4" w:space="0"/>
              <w:right w:val="single" w:color="auto" w:sz="4" w:space="0"/>
            </w:tcBorders>
            <w:noWrap w:val="0"/>
            <w:vAlign w:val="center"/>
          </w:tcPr>
          <w:p w14:paraId="62E18061">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3101A598">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678503B0">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7A75D49D">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46EC829D">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0D25C695">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7C6A2E43">
            <w:pPr>
              <w:widowControl/>
              <w:spacing w:line="240" w:lineRule="auto"/>
              <w:ind w:firstLine="480"/>
              <w:rPr>
                <w:rFonts w:hint="eastAsia" w:ascii="宋体" w:hAnsi="宋体" w:eastAsia="宋体" w:cs="宋体"/>
                <w:color w:val="auto"/>
                <w:kern w:val="0"/>
                <w:sz w:val="18"/>
                <w:szCs w:val="18"/>
                <w:highlight w:val="none"/>
              </w:rPr>
            </w:pPr>
          </w:p>
        </w:tc>
      </w:tr>
      <w:tr w14:paraId="1CFA385A">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3B66D1AC">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瓷砖地面</w:t>
            </w:r>
          </w:p>
        </w:tc>
        <w:tc>
          <w:tcPr>
            <w:tcW w:w="738" w:type="dxa"/>
            <w:tcBorders>
              <w:top w:val="nil"/>
              <w:left w:val="nil"/>
              <w:bottom w:val="single" w:color="auto" w:sz="4" w:space="0"/>
              <w:right w:val="single" w:color="auto" w:sz="4" w:space="0"/>
            </w:tcBorders>
            <w:noWrap w:val="0"/>
            <w:vAlign w:val="center"/>
          </w:tcPr>
          <w:p w14:paraId="1DE095D5">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3D46EDAD">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137F80A">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31B0F070">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57A46D55">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00F71D00">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142F900C">
            <w:pPr>
              <w:widowControl/>
              <w:spacing w:line="240" w:lineRule="auto"/>
              <w:ind w:firstLine="480"/>
              <w:rPr>
                <w:rFonts w:hint="eastAsia" w:ascii="宋体" w:hAnsi="宋体" w:eastAsia="宋体" w:cs="宋体"/>
                <w:color w:val="auto"/>
                <w:kern w:val="0"/>
                <w:sz w:val="18"/>
                <w:szCs w:val="18"/>
                <w:highlight w:val="none"/>
              </w:rPr>
            </w:pPr>
          </w:p>
        </w:tc>
      </w:tr>
      <w:tr w14:paraId="61CE0DA9">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533D0F49">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墙面2米以下、隔断板、地面墙角、门背后</w:t>
            </w:r>
          </w:p>
        </w:tc>
        <w:tc>
          <w:tcPr>
            <w:tcW w:w="738" w:type="dxa"/>
            <w:tcBorders>
              <w:top w:val="nil"/>
              <w:left w:val="nil"/>
              <w:bottom w:val="single" w:color="auto" w:sz="4" w:space="0"/>
              <w:right w:val="single" w:color="auto" w:sz="4" w:space="0"/>
            </w:tcBorders>
            <w:noWrap w:val="0"/>
            <w:vAlign w:val="center"/>
          </w:tcPr>
          <w:p w14:paraId="2A7C9A9C">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63DAC60B">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14:paraId="79C9BBF4">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CAF2EE6">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FDDA3A1">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0F083E4F">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1C2A94AD">
            <w:pPr>
              <w:widowControl/>
              <w:spacing w:line="240" w:lineRule="auto"/>
              <w:ind w:firstLine="480"/>
              <w:rPr>
                <w:rFonts w:hint="eastAsia" w:ascii="宋体" w:hAnsi="宋体" w:eastAsia="宋体" w:cs="宋体"/>
                <w:color w:val="auto"/>
                <w:kern w:val="0"/>
                <w:sz w:val="18"/>
                <w:szCs w:val="18"/>
                <w:highlight w:val="none"/>
              </w:rPr>
            </w:pPr>
          </w:p>
        </w:tc>
      </w:tr>
      <w:tr w14:paraId="7C3EDADA">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1D1702FD">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顶棚、灯具、换气扇</w:t>
            </w:r>
          </w:p>
        </w:tc>
        <w:tc>
          <w:tcPr>
            <w:tcW w:w="738" w:type="dxa"/>
            <w:tcBorders>
              <w:top w:val="nil"/>
              <w:left w:val="nil"/>
              <w:bottom w:val="single" w:color="auto" w:sz="4" w:space="0"/>
              <w:right w:val="single" w:color="auto" w:sz="4" w:space="0"/>
            </w:tcBorders>
            <w:noWrap w:val="0"/>
            <w:vAlign w:val="center"/>
          </w:tcPr>
          <w:p w14:paraId="450848CC">
            <w:pPr>
              <w:widowControl/>
              <w:spacing w:line="240" w:lineRule="auto"/>
              <w:ind w:firstLine="149" w:firstLineChars="83"/>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733B5E0E">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6C017112">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74FE135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14:paraId="402C424A">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1E4D7E38">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46A6FB96">
            <w:pPr>
              <w:widowControl/>
              <w:spacing w:line="240" w:lineRule="auto"/>
              <w:ind w:firstLine="480"/>
              <w:rPr>
                <w:rFonts w:hint="eastAsia" w:ascii="宋体" w:hAnsi="宋体" w:eastAsia="宋体" w:cs="宋体"/>
                <w:color w:val="auto"/>
                <w:kern w:val="0"/>
                <w:sz w:val="18"/>
                <w:szCs w:val="18"/>
                <w:highlight w:val="none"/>
              </w:rPr>
            </w:pPr>
          </w:p>
        </w:tc>
      </w:tr>
      <w:tr w14:paraId="107F82CA">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nil"/>
              <w:right w:val="single" w:color="auto" w:sz="4" w:space="0"/>
            </w:tcBorders>
            <w:noWrap w:val="0"/>
            <w:vAlign w:val="center"/>
          </w:tcPr>
          <w:p w14:paraId="75321379">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卫生间台盆、面盆下</w:t>
            </w:r>
          </w:p>
        </w:tc>
        <w:tc>
          <w:tcPr>
            <w:tcW w:w="738" w:type="dxa"/>
            <w:tcBorders>
              <w:top w:val="nil"/>
              <w:left w:val="nil"/>
              <w:bottom w:val="single" w:color="auto" w:sz="4" w:space="0"/>
              <w:right w:val="single" w:color="auto" w:sz="4" w:space="0"/>
            </w:tcBorders>
            <w:noWrap w:val="0"/>
            <w:vAlign w:val="center"/>
          </w:tcPr>
          <w:p w14:paraId="549C8E10">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555ABD25">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14:paraId="13867E83">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732D3854">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306D26DA">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4246A807">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7E6E04F4">
            <w:pPr>
              <w:widowControl/>
              <w:spacing w:line="240" w:lineRule="auto"/>
              <w:ind w:firstLine="480"/>
              <w:rPr>
                <w:rFonts w:hint="eastAsia" w:ascii="宋体" w:hAnsi="宋体" w:eastAsia="宋体" w:cs="宋体"/>
                <w:color w:val="auto"/>
                <w:kern w:val="0"/>
                <w:sz w:val="18"/>
                <w:szCs w:val="18"/>
                <w:highlight w:val="none"/>
              </w:rPr>
            </w:pPr>
          </w:p>
        </w:tc>
      </w:tr>
      <w:tr w14:paraId="5B93379A">
        <w:tblPrEx>
          <w:tblCellMar>
            <w:top w:w="0" w:type="dxa"/>
            <w:left w:w="108" w:type="dxa"/>
            <w:bottom w:w="0" w:type="dxa"/>
            <w:right w:w="108" w:type="dxa"/>
          </w:tblCellMar>
        </w:tblPrEx>
        <w:trPr>
          <w:trHeight w:val="23" w:hRule="atLeast"/>
          <w:jc w:val="center"/>
        </w:trPr>
        <w:tc>
          <w:tcPr>
            <w:tcW w:w="2759" w:type="dxa"/>
            <w:tcBorders>
              <w:top w:val="single" w:color="auto" w:sz="4" w:space="0"/>
              <w:left w:val="single" w:color="auto" w:sz="4" w:space="0"/>
              <w:bottom w:val="single" w:color="auto" w:sz="4" w:space="0"/>
              <w:right w:val="single" w:color="auto" w:sz="4" w:space="0"/>
            </w:tcBorders>
            <w:noWrap w:val="0"/>
            <w:vAlign w:val="center"/>
          </w:tcPr>
          <w:p w14:paraId="6EBAE607">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防滑垫、提示牌</w:t>
            </w:r>
          </w:p>
        </w:tc>
        <w:tc>
          <w:tcPr>
            <w:tcW w:w="738" w:type="dxa"/>
            <w:tcBorders>
              <w:top w:val="nil"/>
              <w:left w:val="nil"/>
              <w:bottom w:val="single" w:color="auto" w:sz="4" w:space="0"/>
              <w:right w:val="single" w:color="auto" w:sz="4" w:space="0"/>
            </w:tcBorders>
            <w:noWrap w:val="0"/>
            <w:vAlign w:val="center"/>
          </w:tcPr>
          <w:p w14:paraId="2F7F3621">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36610ACC">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4EFBDCD">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A678E50">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489373BF">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0A519207">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3702C215">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每半月清洗1次</w:t>
            </w:r>
          </w:p>
        </w:tc>
      </w:tr>
      <w:tr w14:paraId="169C3346">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22FCC3C0">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添加卫生纸，烟灰缸、纸篓按保洁标准更换垃圾袋</w:t>
            </w:r>
          </w:p>
        </w:tc>
        <w:tc>
          <w:tcPr>
            <w:tcW w:w="738" w:type="dxa"/>
            <w:tcBorders>
              <w:top w:val="nil"/>
              <w:left w:val="nil"/>
              <w:bottom w:val="single" w:color="auto" w:sz="4" w:space="0"/>
              <w:right w:val="single" w:color="auto" w:sz="4" w:space="0"/>
            </w:tcBorders>
            <w:noWrap w:val="0"/>
            <w:vAlign w:val="center"/>
          </w:tcPr>
          <w:p w14:paraId="50BDC3D1">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7705D888">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74C8A42">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3DAFF077">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5BBE0509">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357DAA1E">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7BCA37AD">
            <w:pPr>
              <w:widowControl/>
              <w:spacing w:line="240" w:lineRule="auto"/>
              <w:ind w:firstLine="480"/>
              <w:rPr>
                <w:rFonts w:hint="eastAsia" w:ascii="宋体" w:hAnsi="宋体" w:eastAsia="宋体" w:cs="宋体"/>
                <w:color w:val="auto"/>
                <w:kern w:val="0"/>
                <w:sz w:val="18"/>
                <w:szCs w:val="18"/>
                <w:highlight w:val="none"/>
              </w:rPr>
            </w:pPr>
          </w:p>
        </w:tc>
      </w:tr>
      <w:tr w14:paraId="378977AB">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7452D4A7">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洗手液、擦手纸</w:t>
            </w:r>
          </w:p>
        </w:tc>
        <w:tc>
          <w:tcPr>
            <w:tcW w:w="738" w:type="dxa"/>
            <w:tcBorders>
              <w:top w:val="nil"/>
              <w:left w:val="nil"/>
              <w:bottom w:val="single" w:color="auto" w:sz="4" w:space="0"/>
              <w:right w:val="single" w:color="auto" w:sz="4" w:space="0"/>
            </w:tcBorders>
            <w:noWrap w:val="0"/>
            <w:vAlign w:val="center"/>
          </w:tcPr>
          <w:p w14:paraId="2D1E9A91">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3C7C7ADC">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60D0D21F">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nil"/>
              <w:right w:val="nil"/>
            </w:tcBorders>
            <w:noWrap w:val="0"/>
            <w:vAlign w:val="center"/>
          </w:tcPr>
          <w:p w14:paraId="2EBC7D92">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single" w:color="auto" w:sz="4" w:space="0"/>
              <w:bottom w:val="single" w:color="auto" w:sz="4" w:space="0"/>
              <w:right w:val="single" w:color="auto" w:sz="4" w:space="0"/>
            </w:tcBorders>
            <w:noWrap w:val="0"/>
            <w:vAlign w:val="center"/>
          </w:tcPr>
          <w:p w14:paraId="758F2C8B">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1B21C470">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12A414AD">
            <w:pPr>
              <w:widowControl/>
              <w:spacing w:line="240" w:lineRule="auto"/>
              <w:ind w:firstLine="480"/>
              <w:rPr>
                <w:rFonts w:hint="eastAsia" w:ascii="宋体" w:hAnsi="宋体" w:eastAsia="宋体" w:cs="宋体"/>
                <w:color w:val="auto"/>
                <w:kern w:val="0"/>
                <w:sz w:val="18"/>
                <w:szCs w:val="18"/>
                <w:highlight w:val="none"/>
              </w:rPr>
            </w:pPr>
          </w:p>
        </w:tc>
      </w:tr>
      <w:tr w14:paraId="4A0DA0DD">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70C3090A">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室内花木</w:t>
            </w:r>
          </w:p>
        </w:tc>
        <w:tc>
          <w:tcPr>
            <w:tcW w:w="738" w:type="dxa"/>
            <w:tcBorders>
              <w:top w:val="nil"/>
              <w:left w:val="nil"/>
              <w:bottom w:val="single" w:color="auto" w:sz="4" w:space="0"/>
              <w:right w:val="single" w:color="auto" w:sz="4" w:space="0"/>
            </w:tcBorders>
            <w:noWrap w:val="0"/>
            <w:vAlign w:val="center"/>
          </w:tcPr>
          <w:p w14:paraId="2327EE70">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40A2CFAE">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38" w:type="dxa"/>
            <w:tcBorders>
              <w:top w:val="nil"/>
              <w:left w:val="nil"/>
              <w:bottom w:val="single" w:color="auto" w:sz="4" w:space="0"/>
              <w:right w:val="single" w:color="auto" w:sz="4" w:space="0"/>
            </w:tcBorders>
            <w:noWrap w:val="0"/>
            <w:vAlign w:val="center"/>
          </w:tcPr>
          <w:p w14:paraId="3E357500">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single" w:color="auto" w:sz="4" w:space="0"/>
              <w:left w:val="nil"/>
              <w:bottom w:val="single" w:color="auto" w:sz="4" w:space="0"/>
              <w:right w:val="single" w:color="auto" w:sz="4" w:space="0"/>
            </w:tcBorders>
            <w:noWrap w:val="0"/>
            <w:vAlign w:val="center"/>
          </w:tcPr>
          <w:p w14:paraId="75092351">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136ED21A">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2D08697D">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227953B7">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92C66B8">
        <w:tblPrEx>
          <w:tblCellMar>
            <w:top w:w="0" w:type="dxa"/>
            <w:left w:w="108" w:type="dxa"/>
            <w:bottom w:w="0" w:type="dxa"/>
            <w:right w:w="108" w:type="dxa"/>
          </w:tblCellMar>
        </w:tblPrEx>
        <w:trPr>
          <w:trHeight w:val="23" w:hRule="atLeast"/>
          <w:jc w:val="center"/>
        </w:trPr>
        <w:tc>
          <w:tcPr>
            <w:tcW w:w="2759" w:type="dxa"/>
            <w:tcBorders>
              <w:top w:val="nil"/>
              <w:left w:val="single" w:color="auto" w:sz="4" w:space="0"/>
              <w:bottom w:val="single" w:color="auto" w:sz="4" w:space="0"/>
              <w:right w:val="single" w:color="auto" w:sz="4" w:space="0"/>
            </w:tcBorders>
            <w:noWrap w:val="0"/>
            <w:vAlign w:val="center"/>
          </w:tcPr>
          <w:p w14:paraId="70A77FDB">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清扫地面垃圾</w:t>
            </w:r>
          </w:p>
        </w:tc>
        <w:tc>
          <w:tcPr>
            <w:tcW w:w="738" w:type="dxa"/>
            <w:tcBorders>
              <w:top w:val="nil"/>
              <w:left w:val="nil"/>
              <w:bottom w:val="single" w:color="auto" w:sz="4" w:space="0"/>
              <w:right w:val="single" w:color="auto" w:sz="4" w:space="0"/>
            </w:tcBorders>
            <w:noWrap w:val="0"/>
            <w:vAlign w:val="center"/>
          </w:tcPr>
          <w:p w14:paraId="68A127D0">
            <w:pPr>
              <w:widowControl/>
              <w:spacing w:line="240" w:lineRule="auto"/>
              <w:ind w:firstLine="149" w:firstLineChars="83"/>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38" w:type="dxa"/>
            <w:tcBorders>
              <w:top w:val="nil"/>
              <w:left w:val="nil"/>
              <w:bottom w:val="single" w:color="auto" w:sz="4" w:space="0"/>
              <w:right w:val="single" w:color="auto" w:sz="4" w:space="0"/>
            </w:tcBorders>
            <w:noWrap w:val="0"/>
            <w:vAlign w:val="center"/>
          </w:tcPr>
          <w:p w14:paraId="47297E76">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79EC3FE2">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25C786C7">
            <w:pPr>
              <w:widowControl/>
              <w:spacing w:line="240" w:lineRule="auto"/>
              <w:ind w:firstLine="480"/>
              <w:jc w:val="center"/>
              <w:rPr>
                <w:rFonts w:hint="eastAsia" w:ascii="宋体" w:hAnsi="宋体" w:eastAsia="宋体" w:cs="宋体"/>
                <w:color w:val="auto"/>
                <w:kern w:val="0"/>
                <w:sz w:val="18"/>
                <w:szCs w:val="18"/>
                <w:highlight w:val="none"/>
              </w:rPr>
            </w:pPr>
          </w:p>
        </w:tc>
        <w:tc>
          <w:tcPr>
            <w:tcW w:w="738" w:type="dxa"/>
            <w:tcBorders>
              <w:top w:val="nil"/>
              <w:left w:val="nil"/>
              <w:bottom w:val="single" w:color="auto" w:sz="4" w:space="0"/>
              <w:right w:val="single" w:color="auto" w:sz="4" w:space="0"/>
            </w:tcBorders>
            <w:noWrap w:val="0"/>
            <w:vAlign w:val="center"/>
          </w:tcPr>
          <w:p w14:paraId="273F0B29">
            <w:pPr>
              <w:widowControl/>
              <w:spacing w:line="240" w:lineRule="auto"/>
              <w:ind w:firstLine="480"/>
              <w:jc w:val="center"/>
              <w:rPr>
                <w:rFonts w:hint="eastAsia" w:ascii="宋体" w:hAnsi="宋体" w:eastAsia="宋体" w:cs="宋体"/>
                <w:color w:val="auto"/>
                <w:kern w:val="0"/>
                <w:sz w:val="18"/>
                <w:szCs w:val="18"/>
                <w:highlight w:val="none"/>
              </w:rPr>
            </w:pPr>
          </w:p>
        </w:tc>
        <w:tc>
          <w:tcPr>
            <w:tcW w:w="740" w:type="dxa"/>
            <w:tcBorders>
              <w:top w:val="nil"/>
              <w:left w:val="nil"/>
              <w:bottom w:val="single" w:color="auto" w:sz="4" w:space="0"/>
              <w:right w:val="single" w:color="auto" w:sz="4" w:space="0"/>
            </w:tcBorders>
            <w:noWrap w:val="0"/>
            <w:vAlign w:val="center"/>
          </w:tcPr>
          <w:p w14:paraId="1FA72FA9">
            <w:pPr>
              <w:widowControl/>
              <w:spacing w:line="240" w:lineRule="auto"/>
              <w:ind w:firstLine="480"/>
              <w:jc w:val="center"/>
              <w:rPr>
                <w:rFonts w:hint="eastAsia" w:ascii="宋体" w:hAnsi="宋体" w:eastAsia="宋体" w:cs="宋体"/>
                <w:color w:val="auto"/>
                <w:kern w:val="0"/>
                <w:sz w:val="18"/>
                <w:szCs w:val="18"/>
                <w:highlight w:val="none"/>
              </w:rPr>
            </w:pPr>
          </w:p>
        </w:tc>
        <w:tc>
          <w:tcPr>
            <w:tcW w:w="1850" w:type="dxa"/>
            <w:tcBorders>
              <w:top w:val="nil"/>
              <w:left w:val="nil"/>
              <w:bottom w:val="single" w:color="auto" w:sz="4" w:space="0"/>
              <w:right w:val="single" w:color="auto" w:sz="4" w:space="0"/>
            </w:tcBorders>
            <w:noWrap w:val="0"/>
            <w:vAlign w:val="center"/>
          </w:tcPr>
          <w:p w14:paraId="76CBEDA2">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每天拖洗、去污1次</w:t>
            </w:r>
          </w:p>
        </w:tc>
      </w:tr>
    </w:tbl>
    <w:p w14:paraId="7927832A">
      <w:pPr>
        <w:spacing w:line="240" w:lineRule="auto"/>
        <w:ind w:firstLine="411" w:firstLineChars="19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二、停车场保洁</w:t>
      </w:r>
    </w:p>
    <w:p w14:paraId="27E2275D">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14:paraId="5BB401E9">
      <w:pPr>
        <w:spacing w:line="240" w:lineRule="auto"/>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每天随时清扫停车场的细小垃圾，每天随时清扫绿化带，每天随时拣绿化带内的烟头杂物等，秋冬季或落叶较多季节增加清洁次数。窨井、边沟内垃圾清理。擦拭广场告示牌、宣传广告栏。收集垃圾，换垃圾袋，清洁垃圾桶，冲洗垃圾房。</w:t>
      </w:r>
      <w:r>
        <w:rPr>
          <w:rFonts w:hint="eastAsia" w:ascii="宋体" w:hAnsi="宋体" w:eastAsia="宋体" w:cs="宋体"/>
          <w:color w:val="auto"/>
          <w:sz w:val="21"/>
          <w:szCs w:val="21"/>
          <w:highlight w:val="none"/>
          <w:lang w:val="en-US" w:eastAsia="zh-CN"/>
        </w:rPr>
        <w:t>消杀工作，做好台账记录。</w:t>
      </w:r>
    </w:p>
    <w:p w14:paraId="7DA74B29">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2、具体频率：</w:t>
      </w:r>
    </w:p>
    <w:tbl>
      <w:tblPr>
        <w:tblStyle w:val="25"/>
        <w:tblW w:w="8742" w:type="dxa"/>
        <w:jc w:val="center"/>
        <w:tblLayout w:type="fixed"/>
        <w:tblCellMar>
          <w:top w:w="0" w:type="dxa"/>
          <w:left w:w="108" w:type="dxa"/>
          <w:bottom w:w="0" w:type="dxa"/>
          <w:right w:w="108" w:type="dxa"/>
        </w:tblCellMar>
      </w:tblPr>
      <w:tblGrid>
        <w:gridCol w:w="2776"/>
        <w:gridCol w:w="742"/>
        <w:gridCol w:w="742"/>
        <w:gridCol w:w="742"/>
        <w:gridCol w:w="742"/>
        <w:gridCol w:w="742"/>
        <w:gridCol w:w="743"/>
        <w:gridCol w:w="1513"/>
      </w:tblGrid>
      <w:tr w14:paraId="074BB910">
        <w:trPr>
          <w:trHeight w:val="23" w:hRule="atLeast"/>
          <w:jc w:val="center"/>
        </w:trPr>
        <w:tc>
          <w:tcPr>
            <w:tcW w:w="2776" w:type="dxa"/>
            <w:vMerge w:val="restart"/>
            <w:tcBorders>
              <w:top w:val="single" w:color="auto" w:sz="4" w:space="0"/>
              <w:left w:val="single" w:color="auto" w:sz="4" w:space="0"/>
              <w:bottom w:val="single" w:color="000000" w:sz="4" w:space="0"/>
              <w:right w:val="single" w:color="auto" w:sz="4" w:space="0"/>
            </w:tcBorders>
            <w:noWrap w:val="0"/>
            <w:vAlign w:val="center"/>
          </w:tcPr>
          <w:p w14:paraId="6CE5F771">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广场保洁</w:t>
            </w:r>
          </w:p>
        </w:tc>
        <w:tc>
          <w:tcPr>
            <w:tcW w:w="4453" w:type="dxa"/>
            <w:gridSpan w:val="6"/>
            <w:tcBorders>
              <w:top w:val="single" w:color="auto" w:sz="4" w:space="0"/>
              <w:left w:val="nil"/>
              <w:bottom w:val="single" w:color="auto" w:sz="4" w:space="0"/>
              <w:right w:val="single" w:color="000000" w:sz="4" w:space="0"/>
            </w:tcBorders>
            <w:noWrap w:val="0"/>
            <w:vAlign w:val="center"/>
          </w:tcPr>
          <w:p w14:paraId="2B7DB8C1">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513" w:type="dxa"/>
            <w:tcBorders>
              <w:top w:val="single" w:color="auto" w:sz="4" w:space="0"/>
              <w:left w:val="nil"/>
              <w:bottom w:val="single" w:color="auto" w:sz="4" w:space="0"/>
              <w:right w:val="single" w:color="auto" w:sz="4" w:space="0"/>
            </w:tcBorders>
            <w:noWrap w:val="0"/>
            <w:vAlign w:val="center"/>
          </w:tcPr>
          <w:p w14:paraId="0A7436CB">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B55754E">
        <w:tblPrEx>
          <w:tblCellMar>
            <w:top w:w="0" w:type="dxa"/>
            <w:left w:w="108" w:type="dxa"/>
            <w:bottom w:w="0" w:type="dxa"/>
            <w:right w:w="108" w:type="dxa"/>
          </w:tblCellMar>
        </w:tblPrEx>
        <w:trPr>
          <w:trHeight w:val="23" w:hRule="atLeast"/>
          <w:jc w:val="center"/>
        </w:trPr>
        <w:tc>
          <w:tcPr>
            <w:tcW w:w="2776" w:type="dxa"/>
            <w:vMerge w:val="continue"/>
            <w:tcBorders>
              <w:top w:val="single" w:color="auto" w:sz="4" w:space="0"/>
              <w:left w:val="single" w:color="auto" w:sz="4" w:space="0"/>
              <w:bottom w:val="single" w:color="000000" w:sz="4" w:space="0"/>
              <w:right w:val="single" w:color="auto" w:sz="4" w:space="0"/>
            </w:tcBorders>
            <w:noWrap w:val="0"/>
            <w:vAlign w:val="center"/>
          </w:tcPr>
          <w:p w14:paraId="000A9E9D">
            <w:pPr>
              <w:widowControl/>
              <w:spacing w:line="240" w:lineRule="auto"/>
              <w:ind w:firstLine="480"/>
              <w:jc w:val="left"/>
              <w:rPr>
                <w:rFonts w:hint="eastAsia" w:ascii="宋体" w:hAnsi="宋体" w:eastAsia="宋体" w:cs="宋体"/>
                <w:color w:val="auto"/>
                <w:kern w:val="0"/>
                <w:sz w:val="18"/>
                <w:szCs w:val="18"/>
                <w:highlight w:val="none"/>
              </w:rPr>
            </w:pPr>
          </w:p>
        </w:tc>
        <w:tc>
          <w:tcPr>
            <w:tcW w:w="742" w:type="dxa"/>
            <w:tcBorders>
              <w:top w:val="nil"/>
              <w:left w:val="nil"/>
              <w:bottom w:val="nil"/>
              <w:right w:val="nil"/>
            </w:tcBorders>
            <w:noWrap w:val="0"/>
            <w:vAlign w:val="center"/>
          </w:tcPr>
          <w:p w14:paraId="7895102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随时</w:t>
            </w:r>
          </w:p>
        </w:tc>
        <w:tc>
          <w:tcPr>
            <w:tcW w:w="742" w:type="dxa"/>
            <w:tcBorders>
              <w:top w:val="nil"/>
              <w:left w:val="single" w:color="auto" w:sz="4" w:space="0"/>
              <w:bottom w:val="single" w:color="auto" w:sz="4" w:space="0"/>
              <w:right w:val="single" w:color="auto" w:sz="4" w:space="0"/>
            </w:tcBorders>
            <w:noWrap w:val="0"/>
            <w:vAlign w:val="center"/>
          </w:tcPr>
          <w:p w14:paraId="3E9AA1BA">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742" w:type="dxa"/>
            <w:tcBorders>
              <w:top w:val="nil"/>
              <w:left w:val="nil"/>
              <w:bottom w:val="single" w:color="auto" w:sz="4" w:space="0"/>
              <w:right w:val="single" w:color="auto" w:sz="4" w:space="0"/>
            </w:tcBorders>
            <w:noWrap w:val="0"/>
            <w:vAlign w:val="center"/>
          </w:tcPr>
          <w:p w14:paraId="7B6B40C1">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742" w:type="dxa"/>
            <w:tcBorders>
              <w:top w:val="nil"/>
              <w:left w:val="nil"/>
              <w:bottom w:val="single" w:color="auto" w:sz="4" w:space="0"/>
              <w:right w:val="single" w:color="auto" w:sz="4" w:space="0"/>
            </w:tcBorders>
            <w:noWrap w:val="0"/>
            <w:vAlign w:val="center"/>
          </w:tcPr>
          <w:p w14:paraId="37DBBF5C">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742" w:type="dxa"/>
            <w:tcBorders>
              <w:top w:val="nil"/>
              <w:left w:val="nil"/>
              <w:bottom w:val="single" w:color="auto" w:sz="4" w:space="0"/>
              <w:right w:val="single" w:color="auto" w:sz="4" w:space="0"/>
            </w:tcBorders>
            <w:noWrap w:val="0"/>
            <w:vAlign w:val="center"/>
          </w:tcPr>
          <w:p w14:paraId="4B6C09A2">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743" w:type="dxa"/>
            <w:tcBorders>
              <w:top w:val="nil"/>
              <w:left w:val="nil"/>
              <w:bottom w:val="single" w:color="auto" w:sz="4" w:space="0"/>
              <w:right w:val="single" w:color="auto" w:sz="4" w:space="0"/>
            </w:tcBorders>
            <w:noWrap w:val="0"/>
            <w:vAlign w:val="center"/>
          </w:tcPr>
          <w:p w14:paraId="253C10F6">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513" w:type="dxa"/>
            <w:tcBorders>
              <w:top w:val="nil"/>
              <w:left w:val="nil"/>
              <w:bottom w:val="single" w:color="auto" w:sz="4" w:space="0"/>
              <w:right w:val="single" w:color="auto" w:sz="4" w:space="0"/>
            </w:tcBorders>
            <w:noWrap w:val="0"/>
            <w:vAlign w:val="center"/>
          </w:tcPr>
          <w:p w14:paraId="16D37BC9">
            <w:pPr>
              <w:widowControl/>
              <w:spacing w:line="240" w:lineRule="auto"/>
              <w:ind w:firstLine="149" w:firstLineChars="83"/>
              <w:jc w:val="center"/>
              <w:rPr>
                <w:rFonts w:hint="eastAsia" w:ascii="宋体" w:hAnsi="宋体" w:eastAsia="宋体" w:cs="宋体"/>
                <w:color w:val="auto"/>
                <w:kern w:val="0"/>
                <w:sz w:val="18"/>
                <w:szCs w:val="18"/>
                <w:highlight w:val="none"/>
              </w:rPr>
            </w:pPr>
          </w:p>
        </w:tc>
      </w:tr>
      <w:tr w14:paraId="64CA7C39">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50B994F2">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边沟</w:t>
            </w:r>
          </w:p>
        </w:tc>
        <w:tc>
          <w:tcPr>
            <w:tcW w:w="742" w:type="dxa"/>
            <w:tcBorders>
              <w:top w:val="single" w:color="auto" w:sz="4" w:space="0"/>
              <w:left w:val="nil"/>
              <w:bottom w:val="single" w:color="auto" w:sz="4" w:space="0"/>
              <w:right w:val="single" w:color="auto" w:sz="4" w:space="0"/>
            </w:tcBorders>
            <w:noWrap w:val="0"/>
            <w:vAlign w:val="center"/>
          </w:tcPr>
          <w:p w14:paraId="77A96BD4">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087C908">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14:paraId="51BC8960">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765E778A">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05ACE515">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21F4A7A0">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6805111E">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59F46454">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77D0FD1B">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绿化带</w:t>
            </w:r>
          </w:p>
        </w:tc>
        <w:tc>
          <w:tcPr>
            <w:tcW w:w="742" w:type="dxa"/>
            <w:tcBorders>
              <w:top w:val="nil"/>
              <w:left w:val="nil"/>
              <w:bottom w:val="single" w:color="auto" w:sz="4" w:space="0"/>
              <w:right w:val="single" w:color="auto" w:sz="4" w:space="0"/>
            </w:tcBorders>
            <w:noWrap w:val="0"/>
            <w:vAlign w:val="center"/>
          </w:tcPr>
          <w:p w14:paraId="52BFED5A">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3919562B">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14:paraId="51CB57EF">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6E3C33CA">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7208293">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1CE93381">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745CA4FA">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32E4749A">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695F65FE">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进出口匝道</w:t>
            </w:r>
          </w:p>
        </w:tc>
        <w:tc>
          <w:tcPr>
            <w:tcW w:w="742" w:type="dxa"/>
            <w:tcBorders>
              <w:top w:val="nil"/>
              <w:left w:val="nil"/>
              <w:bottom w:val="single" w:color="auto" w:sz="4" w:space="0"/>
              <w:right w:val="single" w:color="auto" w:sz="4" w:space="0"/>
            </w:tcBorders>
            <w:noWrap w:val="0"/>
            <w:vAlign w:val="center"/>
          </w:tcPr>
          <w:p w14:paraId="34C421C8">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7CC2C116">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14:paraId="07866A4A">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7E5AB9C0">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61882278">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5012B727">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3252ED85">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35D8C564">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0181686E">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清理廊檐边杂草</w:t>
            </w:r>
          </w:p>
        </w:tc>
        <w:tc>
          <w:tcPr>
            <w:tcW w:w="742" w:type="dxa"/>
            <w:tcBorders>
              <w:top w:val="nil"/>
              <w:left w:val="nil"/>
              <w:bottom w:val="single" w:color="auto" w:sz="4" w:space="0"/>
              <w:right w:val="single" w:color="auto" w:sz="4" w:space="0"/>
            </w:tcBorders>
            <w:noWrap w:val="0"/>
            <w:vAlign w:val="center"/>
          </w:tcPr>
          <w:p w14:paraId="640BD384">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14:paraId="6AB935F2">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AC9BB25">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4FB2F84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14:paraId="13D8BE86">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36CB5FF5">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7F41237D">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0825F47A">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3863F3F7">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垃圾的收集</w:t>
            </w:r>
          </w:p>
        </w:tc>
        <w:tc>
          <w:tcPr>
            <w:tcW w:w="742" w:type="dxa"/>
            <w:tcBorders>
              <w:top w:val="nil"/>
              <w:left w:val="nil"/>
              <w:bottom w:val="single" w:color="auto" w:sz="4" w:space="0"/>
              <w:right w:val="single" w:color="auto" w:sz="4" w:space="0"/>
            </w:tcBorders>
            <w:noWrap w:val="0"/>
            <w:vAlign w:val="center"/>
          </w:tcPr>
          <w:p w14:paraId="39910978">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14:paraId="622B3A7E">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14:paraId="483BDCE0">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14:paraId="7FBB2185">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454CE2AA">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570F53A9">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1A119A3A">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0C50C57">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6C31CEC2">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垃圾桶的清洗</w:t>
            </w:r>
          </w:p>
        </w:tc>
        <w:tc>
          <w:tcPr>
            <w:tcW w:w="742" w:type="dxa"/>
            <w:tcBorders>
              <w:top w:val="nil"/>
              <w:left w:val="nil"/>
              <w:bottom w:val="single" w:color="auto" w:sz="4" w:space="0"/>
              <w:right w:val="single" w:color="auto" w:sz="4" w:space="0"/>
            </w:tcBorders>
            <w:noWrap w:val="0"/>
            <w:vAlign w:val="center"/>
          </w:tcPr>
          <w:p w14:paraId="4F97E277">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4966D704">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14:paraId="7D728283">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0869430">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B559395">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1C938952">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15994297">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288EDEC1">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1C484785">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垃圾房（中转站）的冲洗</w:t>
            </w:r>
          </w:p>
        </w:tc>
        <w:tc>
          <w:tcPr>
            <w:tcW w:w="742" w:type="dxa"/>
            <w:tcBorders>
              <w:top w:val="nil"/>
              <w:left w:val="nil"/>
              <w:bottom w:val="single" w:color="auto" w:sz="4" w:space="0"/>
              <w:right w:val="single" w:color="auto" w:sz="4" w:space="0"/>
            </w:tcBorders>
            <w:noWrap w:val="0"/>
            <w:vAlign w:val="center"/>
          </w:tcPr>
          <w:p w14:paraId="09AB5F60">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18F5D66D">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14:paraId="369C6E92">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6F68A5D0">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4EC71C6E">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7ECCBDF2">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6DDFC344">
            <w:pPr>
              <w:widowControl/>
              <w:spacing w:line="240" w:lineRule="auto"/>
              <w:jc w:val="left"/>
              <w:rPr>
                <w:rFonts w:hint="eastAsia" w:ascii="宋体" w:hAnsi="宋体" w:eastAsia="宋体" w:cs="宋体"/>
                <w:color w:val="auto"/>
                <w:kern w:val="0"/>
                <w:sz w:val="18"/>
                <w:szCs w:val="18"/>
                <w:highlight w:val="none"/>
              </w:rPr>
            </w:pPr>
          </w:p>
        </w:tc>
      </w:tr>
      <w:tr w14:paraId="3C50F8DA">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7F4BDB4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外场地面（含台阶、花台等）</w:t>
            </w:r>
          </w:p>
        </w:tc>
        <w:tc>
          <w:tcPr>
            <w:tcW w:w="742" w:type="dxa"/>
            <w:tcBorders>
              <w:top w:val="nil"/>
              <w:left w:val="nil"/>
              <w:bottom w:val="single" w:color="auto" w:sz="4" w:space="0"/>
              <w:right w:val="single" w:color="auto" w:sz="4" w:space="0"/>
            </w:tcBorders>
            <w:noWrap w:val="0"/>
            <w:vAlign w:val="center"/>
          </w:tcPr>
          <w:p w14:paraId="0F83CC51">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14:paraId="128156C1">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C17CE7B">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08D37EFF">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71C6752B">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0EDC5F5E">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60ACE75A">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06CC58A7">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2FBD6AE3">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路沿石</w:t>
            </w:r>
          </w:p>
        </w:tc>
        <w:tc>
          <w:tcPr>
            <w:tcW w:w="742" w:type="dxa"/>
            <w:tcBorders>
              <w:top w:val="nil"/>
              <w:left w:val="nil"/>
              <w:bottom w:val="single" w:color="auto" w:sz="4" w:space="0"/>
              <w:right w:val="single" w:color="auto" w:sz="4" w:space="0"/>
            </w:tcBorders>
            <w:noWrap w:val="0"/>
            <w:vAlign w:val="center"/>
          </w:tcPr>
          <w:p w14:paraId="42D0429A">
            <w:pPr>
              <w:widowControl/>
              <w:spacing w:line="240" w:lineRule="auto"/>
              <w:ind w:firstLine="149" w:firstLineChars="83"/>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742" w:type="dxa"/>
            <w:tcBorders>
              <w:top w:val="nil"/>
              <w:left w:val="nil"/>
              <w:bottom w:val="single" w:color="auto" w:sz="4" w:space="0"/>
              <w:right w:val="single" w:color="auto" w:sz="4" w:space="0"/>
            </w:tcBorders>
            <w:noWrap w:val="0"/>
            <w:vAlign w:val="center"/>
          </w:tcPr>
          <w:p w14:paraId="707FE15E">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47F0E656">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66F1F28D">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14:paraId="72D4D908">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79FBECBE">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49E413EB">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2EED330B">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06130E34">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告示牌</w:t>
            </w:r>
          </w:p>
        </w:tc>
        <w:tc>
          <w:tcPr>
            <w:tcW w:w="742" w:type="dxa"/>
            <w:tcBorders>
              <w:top w:val="nil"/>
              <w:left w:val="nil"/>
              <w:bottom w:val="single" w:color="auto" w:sz="4" w:space="0"/>
              <w:right w:val="single" w:color="auto" w:sz="4" w:space="0"/>
            </w:tcBorders>
            <w:noWrap w:val="0"/>
            <w:vAlign w:val="center"/>
          </w:tcPr>
          <w:p w14:paraId="7B6A5D4C">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048BBE1C">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48FA85A5">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2EA4B79A">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14:paraId="32626FA9">
            <w:pPr>
              <w:widowControl/>
              <w:spacing w:line="240" w:lineRule="auto"/>
              <w:jc w:val="center"/>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10C8F380">
            <w:pPr>
              <w:widowControl/>
              <w:spacing w:line="240" w:lineRule="auto"/>
              <w:jc w:val="center"/>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2A3A24A2">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4737CEAC">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3B5BA656">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水马警示桩</w:t>
            </w:r>
          </w:p>
        </w:tc>
        <w:tc>
          <w:tcPr>
            <w:tcW w:w="742" w:type="dxa"/>
            <w:tcBorders>
              <w:top w:val="nil"/>
              <w:left w:val="nil"/>
              <w:bottom w:val="single" w:color="auto" w:sz="4" w:space="0"/>
              <w:right w:val="single" w:color="auto" w:sz="4" w:space="0"/>
            </w:tcBorders>
            <w:noWrap w:val="0"/>
            <w:vAlign w:val="center"/>
          </w:tcPr>
          <w:p w14:paraId="48F6773A">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6D2F0557">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1F4C0B08">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14:paraId="4BBE12DE">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14:paraId="4FEBDFD2">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1BDD5F85">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172BB3CC">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31A3DB03">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2BD63596">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消防设施</w:t>
            </w:r>
          </w:p>
        </w:tc>
        <w:tc>
          <w:tcPr>
            <w:tcW w:w="742" w:type="dxa"/>
            <w:tcBorders>
              <w:top w:val="nil"/>
              <w:left w:val="nil"/>
              <w:bottom w:val="single" w:color="auto" w:sz="4" w:space="0"/>
              <w:right w:val="single" w:color="auto" w:sz="4" w:space="0"/>
            </w:tcBorders>
            <w:noWrap w:val="0"/>
            <w:vAlign w:val="center"/>
          </w:tcPr>
          <w:p w14:paraId="4A0210DF">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368EE85D">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7DD7FA44">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14:paraId="3D8F283D">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nil"/>
              <w:left w:val="nil"/>
              <w:bottom w:val="single" w:color="auto" w:sz="4" w:space="0"/>
              <w:right w:val="single" w:color="auto" w:sz="4" w:space="0"/>
            </w:tcBorders>
            <w:noWrap w:val="0"/>
            <w:vAlign w:val="center"/>
          </w:tcPr>
          <w:p w14:paraId="6012E8BB">
            <w:pPr>
              <w:widowControl/>
              <w:spacing w:line="240" w:lineRule="auto"/>
              <w:rPr>
                <w:rFonts w:hint="eastAsia" w:ascii="宋体" w:hAnsi="宋体" w:eastAsia="宋体" w:cs="宋体"/>
                <w:color w:val="auto"/>
                <w:kern w:val="0"/>
                <w:sz w:val="18"/>
                <w:szCs w:val="18"/>
                <w:highlight w:val="none"/>
              </w:rPr>
            </w:pPr>
          </w:p>
        </w:tc>
        <w:tc>
          <w:tcPr>
            <w:tcW w:w="743" w:type="dxa"/>
            <w:tcBorders>
              <w:top w:val="nil"/>
              <w:left w:val="nil"/>
              <w:bottom w:val="single" w:color="auto" w:sz="4" w:space="0"/>
              <w:right w:val="single" w:color="auto" w:sz="4" w:space="0"/>
            </w:tcBorders>
            <w:noWrap w:val="0"/>
            <w:vAlign w:val="center"/>
          </w:tcPr>
          <w:p w14:paraId="2A950BE5">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5E01714B">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60B4EA1F">
        <w:tblPrEx>
          <w:tblCellMar>
            <w:top w:w="0" w:type="dxa"/>
            <w:left w:w="108" w:type="dxa"/>
            <w:bottom w:w="0" w:type="dxa"/>
            <w:right w:w="108" w:type="dxa"/>
          </w:tblCellMar>
        </w:tblPrEx>
        <w:trPr>
          <w:trHeight w:val="23" w:hRule="atLeast"/>
          <w:jc w:val="center"/>
        </w:trPr>
        <w:tc>
          <w:tcPr>
            <w:tcW w:w="2776" w:type="dxa"/>
            <w:tcBorders>
              <w:top w:val="single" w:color="auto" w:sz="4" w:space="0"/>
              <w:left w:val="single" w:color="auto" w:sz="4" w:space="0"/>
              <w:bottom w:val="single" w:color="auto" w:sz="4" w:space="0"/>
              <w:right w:val="single" w:color="auto" w:sz="4" w:space="0"/>
            </w:tcBorders>
            <w:noWrap w:val="0"/>
            <w:vAlign w:val="center"/>
          </w:tcPr>
          <w:p w14:paraId="0641C107">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地面小垃圾的排扫</w:t>
            </w:r>
          </w:p>
        </w:tc>
        <w:tc>
          <w:tcPr>
            <w:tcW w:w="742" w:type="dxa"/>
            <w:tcBorders>
              <w:top w:val="single" w:color="auto" w:sz="4" w:space="0"/>
              <w:left w:val="nil"/>
              <w:bottom w:val="single" w:color="auto" w:sz="4" w:space="0"/>
              <w:right w:val="single" w:color="auto" w:sz="4" w:space="0"/>
            </w:tcBorders>
            <w:noWrap w:val="0"/>
            <w:vAlign w:val="center"/>
          </w:tcPr>
          <w:p w14:paraId="2536ECE2">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14:paraId="05437A51">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nil"/>
              <w:bottom w:val="single" w:color="auto" w:sz="4" w:space="0"/>
              <w:right w:val="single" w:color="auto" w:sz="4" w:space="0"/>
            </w:tcBorders>
            <w:noWrap w:val="0"/>
            <w:vAlign w:val="center"/>
          </w:tcPr>
          <w:p w14:paraId="5CE76462">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nil"/>
              <w:bottom w:val="single" w:color="auto" w:sz="4" w:space="0"/>
              <w:right w:val="single" w:color="auto" w:sz="4" w:space="0"/>
            </w:tcBorders>
            <w:noWrap w:val="0"/>
            <w:vAlign w:val="center"/>
          </w:tcPr>
          <w:p w14:paraId="34B1BEC1">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single" w:color="auto" w:sz="4" w:space="0"/>
              <w:left w:val="nil"/>
              <w:bottom w:val="single" w:color="auto" w:sz="4" w:space="0"/>
              <w:right w:val="single" w:color="auto" w:sz="4" w:space="0"/>
            </w:tcBorders>
            <w:noWrap w:val="0"/>
            <w:vAlign w:val="center"/>
          </w:tcPr>
          <w:p w14:paraId="5C5858DE">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nil"/>
              <w:bottom w:val="single" w:color="auto" w:sz="4" w:space="0"/>
              <w:right w:val="single" w:color="auto" w:sz="4" w:space="0"/>
            </w:tcBorders>
            <w:noWrap w:val="0"/>
            <w:vAlign w:val="center"/>
          </w:tcPr>
          <w:p w14:paraId="3E4D1B76">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nil"/>
              <w:bottom w:val="single" w:color="auto" w:sz="4" w:space="0"/>
              <w:right w:val="single" w:color="auto" w:sz="4" w:space="0"/>
            </w:tcBorders>
            <w:noWrap w:val="0"/>
            <w:vAlign w:val="center"/>
          </w:tcPr>
          <w:p w14:paraId="7E7D1C91">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1B83BE07">
        <w:tblPrEx>
          <w:tblCellMar>
            <w:top w:w="0" w:type="dxa"/>
            <w:left w:w="108" w:type="dxa"/>
            <w:bottom w:w="0" w:type="dxa"/>
            <w:right w:w="108" w:type="dxa"/>
          </w:tblCellMar>
        </w:tblPrEx>
        <w:trPr>
          <w:trHeight w:val="23" w:hRule="atLeast"/>
          <w:jc w:val="center"/>
        </w:trPr>
        <w:tc>
          <w:tcPr>
            <w:tcW w:w="2776" w:type="dxa"/>
            <w:tcBorders>
              <w:top w:val="nil"/>
              <w:left w:val="single" w:color="auto" w:sz="4" w:space="0"/>
              <w:bottom w:val="single" w:color="auto" w:sz="4" w:space="0"/>
              <w:right w:val="single" w:color="auto" w:sz="4" w:space="0"/>
            </w:tcBorders>
            <w:noWrap w:val="0"/>
            <w:vAlign w:val="center"/>
          </w:tcPr>
          <w:p w14:paraId="039C127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台账记录</w:t>
            </w:r>
          </w:p>
        </w:tc>
        <w:tc>
          <w:tcPr>
            <w:tcW w:w="742" w:type="dxa"/>
            <w:tcBorders>
              <w:top w:val="nil"/>
              <w:left w:val="nil"/>
              <w:bottom w:val="single" w:color="auto" w:sz="4" w:space="0"/>
              <w:right w:val="single" w:color="auto" w:sz="4" w:space="0"/>
            </w:tcBorders>
            <w:noWrap w:val="0"/>
            <w:vAlign w:val="center"/>
          </w:tcPr>
          <w:p w14:paraId="19E8CEB6">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55EB7B7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nil"/>
              <w:left w:val="nil"/>
              <w:bottom w:val="single" w:color="auto" w:sz="4" w:space="0"/>
              <w:right w:val="single" w:color="auto" w:sz="4" w:space="0"/>
            </w:tcBorders>
            <w:noWrap w:val="0"/>
            <w:vAlign w:val="center"/>
          </w:tcPr>
          <w:p w14:paraId="1AB7D5E1">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nil"/>
              <w:left w:val="nil"/>
              <w:bottom w:val="single" w:color="auto" w:sz="4" w:space="0"/>
              <w:right w:val="single" w:color="auto" w:sz="4" w:space="0"/>
            </w:tcBorders>
            <w:noWrap w:val="0"/>
            <w:vAlign w:val="center"/>
          </w:tcPr>
          <w:p w14:paraId="0A2125C4">
            <w:pPr>
              <w:widowControl/>
              <w:spacing w:line="240" w:lineRule="auto"/>
              <w:jc w:val="center"/>
              <w:rPr>
                <w:rFonts w:hint="eastAsia" w:ascii="宋体" w:hAnsi="宋体" w:eastAsia="宋体" w:cs="宋体"/>
                <w:color w:val="auto"/>
                <w:kern w:val="0"/>
                <w:sz w:val="18"/>
                <w:szCs w:val="18"/>
                <w:highlight w:val="none"/>
              </w:rPr>
            </w:pPr>
          </w:p>
        </w:tc>
        <w:tc>
          <w:tcPr>
            <w:tcW w:w="742" w:type="dxa"/>
            <w:tcBorders>
              <w:top w:val="nil"/>
              <w:left w:val="nil"/>
              <w:bottom w:val="single" w:color="auto" w:sz="4" w:space="0"/>
              <w:right w:val="single" w:color="auto" w:sz="4" w:space="0"/>
            </w:tcBorders>
            <w:noWrap w:val="0"/>
            <w:vAlign w:val="center"/>
          </w:tcPr>
          <w:p w14:paraId="280681DD">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nil"/>
              <w:left w:val="nil"/>
              <w:bottom w:val="single" w:color="auto" w:sz="4" w:space="0"/>
              <w:right w:val="single" w:color="auto" w:sz="4" w:space="0"/>
            </w:tcBorders>
            <w:noWrap w:val="0"/>
            <w:vAlign w:val="center"/>
          </w:tcPr>
          <w:p w14:paraId="1F79120B">
            <w:pPr>
              <w:widowControl/>
              <w:spacing w:line="240" w:lineRule="auto"/>
              <w:rPr>
                <w:rFonts w:hint="eastAsia" w:ascii="宋体" w:hAnsi="宋体" w:eastAsia="宋体" w:cs="宋体"/>
                <w:color w:val="auto"/>
                <w:kern w:val="0"/>
                <w:sz w:val="18"/>
                <w:szCs w:val="18"/>
                <w:highlight w:val="none"/>
              </w:rPr>
            </w:pPr>
          </w:p>
        </w:tc>
        <w:tc>
          <w:tcPr>
            <w:tcW w:w="1513" w:type="dxa"/>
            <w:tcBorders>
              <w:top w:val="nil"/>
              <w:left w:val="nil"/>
              <w:bottom w:val="single" w:color="auto" w:sz="4" w:space="0"/>
              <w:right w:val="single" w:color="auto" w:sz="4" w:space="0"/>
            </w:tcBorders>
            <w:noWrap w:val="0"/>
            <w:vAlign w:val="center"/>
          </w:tcPr>
          <w:p w14:paraId="44DE44A3">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7403A923">
        <w:tblPrEx>
          <w:tblCellMar>
            <w:top w:w="0" w:type="dxa"/>
            <w:left w:w="108" w:type="dxa"/>
            <w:bottom w:w="0" w:type="dxa"/>
            <w:right w:w="108" w:type="dxa"/>
          </w:tblCellMar>
        </w:tblPrEx>
        <w:trPr>
          <w:trHeight w:val="23" w:hRule="atLeast"/>
          <w:jc w:val="center"/>
        </w:trPr>
        <w:tc>
          <w:tcPr>
            <w:tcW w:w="2776" w:type="dxa"/>
            <w:tcBorders>
              <w:top w:val="single" w:color="auto" w:sz="4" w:space="0"/>
              <w:left w:val="single" w:color="auto" w:sz="4" w:space="0"/>
              <w:bottom w:val="single" w:color="auto" w:sz="4" w:space="0"/>
              <w:right w:val="single" w:color="auto" w:sz="4" w:space="0"/>
            </w:tcBorders>
            <w:noWrap w:val="0"/>
            <w:vAlign w:val="center"/>
          </w:tcPr>
          <w:p w14:paraId="63BBF6A0">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标示宣传牌、雕塑</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432C0171">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1B0B6AEA">
            <w:pPr>
              <w:widowControl/>
              <w:spacing w:line="240" w:lineRule="auto"/>
              <w:ind w:firstLine="48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045893C6">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49E8246">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3B60C6D">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454BFF3D">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47BD1A58">
            <w:pPr>
              <w:widowControl/>
              <w:spacing w:line="240" w:lineRule="auto"/>
              <w:ind w:firstLine="149" w:firstLineChars="83"/>
              <w:jc w:val="left"/>
              <w:rPr>
                <w:rFonts w:hint="eastAsia" w:ascii="宋体" w:hAnsi="宋体" w:eastAsia="宋体" w:cs="宋体"/>
                <w:color w:val="auto"/>
                <w:kern w:val="0"/>
                <w:sz w:val="18"/>
                <w:szCs w:val="18"/>
                <w:highlight w:val="none"/>
              </w:rPr>
            </w:pPr>
          </w:p>
        </w:tc>
      </w:tr>
      <w:tr w14:paraId="0BCEABC4">
        <w:tblPrEx>
          <w:tblCellMar>
            <w:top w:w="0" w:type="dxa"/>
            <w:left w:w="108" w:type="dxa"/>
            <w:bottom w:w="0" w:type="dxa"/>
            <w:right w:w="108" w:type="dxa"/>
          </w:tblCellMar>
        </w:tblPrEx>
        <w:trPr>
          <w:trHeight w:val="23" w:hRule="atLeast"/>
          <w:jc w:val="center"/>
        </w:trPr>
        <w:tc>
          <w:tcPr>
            <w:tcW w:w="2776" w:type="dxa"/>
            <w:tcBorders>
              <w:top w:val="single" w:color="auto" w:sz="4" w:space="0"/>
              <w:left w:val="single" w:color="auto" w:sz="4" w:space="0"/>
              <w:bottom w:val="single" w:color="auto" w:sz="4" w:space="0"/>
              <w:right w:val="single" w:color="auto" w:sz="4" w:space="0"/>
            </w:tcBorders>
            <w:noWrap w:val="0"/>
            <w:vAlign w:val="center"/>
          </w:tcPr>
          <w:p w14:paraId="35D3305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步行广场</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689A8CBB">
            <w:pPr>
              <w:widowControl/>
              <w:spacing w:line="240" w:lineRule="auto"/>
              <w:ind w:firstLine="149" w:firstLineChars="83"/>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53DE5B37">
            <w:pPr>
              <w:widowControl/>
              <w:spacing w:line="240" w:lineRule="auto"/>
              <w:ind w:firstLine="480"/>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280AFB8">
            <w:pPr>
              <w:widowControl/>
              <w:spacing w:line="240" w:lineRule="auto"/>
              <w:rPr>
                <w:rFonts w:hint="eastAsia" w:ascii="宋体" w:hAnsi="宋体" w:eastAsia="宋体" w:cs="宋体"/>
                <w:color w:val="auto"/>
                <w:kern w:val="0"/>
                <w:sz w:val="18"/>
                <w:szCs w:val="18"/>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DBEA640">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7798BC0B">
            <w:pPr>
              <w:widowControl/>
              <w:spacing w:line="240" w:lineRule="auto"/>
              <w:rPr>
                <w:rFonts w:hint="eastAsia" w:ascii="宋体" w:hAnsi="宋体" w:eastAsia="宋体" w:cs="宋体"/>
                <w:color w:val="auto"/>
                <w:kern w:val="0"/>
                <w:sz w:val="18"/>
                <w:szCs w:val="18"/>
                <w:highlight w:val="none"/>
              </w:rPr>
            </w:pPr>
          </w:p>
        </w:tc>
        <w:tc>
          <w:tcPr>
            <w:tcW w:w="743" w:type="dxa"/>
            <w:tcBorders>
              <w:top w:val="single" w:color="auto" w:sz="4" w:space="0"/>
              <w:left w:val="single" w:color="auto" w:sz="4" w:space="0"/>
              <w:bottom w:val="single" w:color="auto" w:sz="4" w:space="0"/>
              <w:right w:val="single" w:color="auto" w:sz="4" w:space="0"/>
            </w:tcBorders>
            <w:noWrap w:val="0"/>
            <w:vAlign w:val="center"/>
          </w:tcPr>
          <w:p w14:paraId="2C81140A">
            <w:pPr>
              <w:widowControl/>
              <w:spacing w:line="240" w:lineRule="auto"/>
              <w:rPr>
                <w:rFonts w:hint="eastAsia" w:ascii="宋体" w:hAnsi="宋体" w:eastAsia="宋体" w:cs="宋体"/>
                <w:color w:val="auto"/>
                <w:kern w:val="0"/>
                <w:sz w:val="18"/>
                <w:szCs w:val="18"/>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D2BD3D8">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使用洗地机清洗</w:t>
            </w:r>
          </w:p>
        </w:tc>
      </w:tr>
    </w:tbl>
    <w:p w14:paraId="0D59C2F9">
      <w:pPr>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三、大厅保洁：包括办公室、会议室等</w:t>
      </w:r>
    </w:p>
    <w:p w14:paraId="1BD78EFF">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1、工作内容：</w:t>
      </w:r>
    </w:p>
    <w:p w14:paraId="7B239AA6">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做好台账记录。办公区域：清扫拖地，收集垃圾，更换垃圾袋，湿擦房门及清洁玻璃，家具及固定设备除尘，湿擦，去除蜘蛛网。会议室：门、窗台、窗框，扶手。墙面、地脚线、护墙板。桌椅擦拭。室内绿化、告示牌、指示牌保洁。</w:t>
      </w:r>
    </w:p>
    <w:p w14:paraId="002BE4A7">
      <w:pPr>
        <w:spacing w:line="24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2、工作频率：</w:t>
      </w:r>
    </w:p>
    <w:tbl>
      <w:tblPr>
        <w:tblStyle w:val="25"/>
        <w:tblW w:w="8981" w:type="dxa"/>
        <w:jc w:val="center"/>
        <w:tblLayout w:type="fixed"/>
        <w:tblCellMar>
          <w:top w:w="0" w:type="dxa"/>
          <w:left w:w="108" w:type="dxa"/>
          <w:bottom w:w="0" w:type="dxa"/>
          <w:right w:w="108" w:type="dxa"/>
        </w:tblCellMar>
      </w:tblPr>
      <w:tblGrid>
        <w:gridCol w:w="2180"/>
        <w:gridCol w:w="818"/>
        <w:gridCol w:w="818"/>
        <w:gridCol w:w="818"/>
        <w:gridCol w:w="818"/>
        <w:gridCol w:w="818"/>
        <w:gridCol w:w="822"/>
        <w:gridCol w:w="1889"/>
      </w:tblGrid>
      <w:tr w14:paraId="56CB9B9E">
        <w:tblPrEx>
          <w:tblCellMar>
            <w:top w:w="0" w:type="dxa"/>
            <w:left w:w="108" w:type="dxa"/>
            <w:bottom w:w="0" w:type="dxa"/>
            <w:right w:w="108" w:type="dxa"/>
          </w:tblCellMar>
        </w:tblPrEx>
        <w:trPr>
          <w:trHeight w:val="23" w:hRule="atLeast"/>
          <w:jc w:val="center"/>
        </w:trPr>
        <w:tc>
          <w:tcPr>
            <w:tcW w:w="2180" w:type="dxa"/>
            <w:vMerge w:val="restart"/>
            <w:tcBorders>
              <w:top w:val="single" w:color="auto" w:sz="4" w:space="0"/>
              <w:left w:val="single" w:color="auto" w:sz="4" w:space="0"/>
              <w:bottom w:val="single" w:color="000000" w:sz="4" w:space="0"/>
              <w:right w:val="single" w:color="auto" w:sz="4" w:space="0"/>
            </w:tcBorders>
            <w:noWrap w:val="0"/>
            <w:vAlign w:val="center"/>
          </w:tcPr>
          <w:p w14:paraId="63A13771">
            <w:pPr>
              <w:widowControl/>
              <w:spacing w:line="240" w:lineRule="auto"/>
              <w:rPr>
                <w:rFonts w:hint="eastAsia" w:ascii="宋体" w:hAnsi="宋体" w:eastAsia="宋体" w:cs="宋体"/>
                <w:color w:val="auto"/>
                <w:kern w:val="0"/>
                <w:sz w:val="18"/>
                <w:szCs w:val="18"/>
                <w:highlight w:val="none"/>
              </w:rPr>
            </w:pPr>
          </w:p>
        </w:tc>
        <w:tc>
          <w:tcPr>
            <w:tcW w:w="4912" w:type="dxa"/>
            <w:gridSpan w:val="6"/>
            <w:tcBorders>
              <w:top w:val="single" w:color="auto" w:sz="4" w:space="0"/>
              <w:left w:val="nil"/>
              <w:bottom w:val="single" w:color="auto" w:sz="4" w:space="0"/>
              <w:right w:val="single" w:color="000000" w:sz="4" w:space="0"/>
            </w:tcBorders>
            <w:noWrap w:val="0"/>
            <w:vAlign w:val="center"/>
          </w:tcPr>
          <w:p w14:paraId="25A39809">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频次</w:t>
            </w:r>
          </w:p>
        </w:tc>
        <w:tc>
          <w:tcPr>
            <w:tcW w:w="1889" w:type="dxa"/>
            <w:tcBorders>
              <w:top w:val="single" w:color="auto" w:sz="4" w:space="0"/>
              <w:left w:val="nil"/>
              <w:bottom w:val="single" w:color="auto" w:sz="4" w:space="0"/>
              <w:right w:val="single" w:color="auto" w:sz="4" w:space="0"/>
            </w:tcBorders>
            <w:noWrap w:val="0"/>
            <w:vAlign w:val="center"/>
          </w:tcPr>
          <w:p w14:paraId="59D5BDE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AFA681B">
        <w:tblPrEx>
          <w:tblCellMar>
            <w:top w:w="0" w:type="dxa"/>
            <w:left w:w="108" w:type="dxa"/>
            <w:bottom w:w="0" w:type="dxa"/>
            <w:right w:w="108" w:type="dxa"/>
          </w:tblCellMar>
        </w:tblPrEx>
        <w:trPr>
          <w:trHeight w:val="23" w:hRule="atLeast"/>
          <w:jc w:val="center"/>
        </w:trPr>
        <w:tc>
          <w:tcPr>
            <w:tcW w:w="2180" w:type="dxa"/>
            <w:vMerge w:val="continue"/>
            <w:tcBorders>
              <w:top w:val="single" w:color="auto" w:sz="4" w:space="0"/>
              <w:left w:val="single" w:color="auto" w:sz="4" w:space="0"/>
              <w:bottom w:val="single" w:color="000000" w:sz="4" w:space="0"/>
              <w:right w:val="single" w:color="auto" w:sz="4" w:space="0"/>
            </w:tcBorders>
            <w:noWrap w:val="0"/>
            <w:vAlign w:val="center"/>
          </w:tcPr>
          <w:p w14:paraId="337DD8E1">
            <w:pPr>
              <w:widowControl/>
              <w:spacing w:line="240" w:lineRule="auto"/>
              <w:ind w:firstLine="480"/>
              <w:jc w:val="left"/>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14:paraId="404C6E4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循环</w:t>
            </w:r>
          </w:p>
        </w:tc>
        <w:tc>
          <w:tcPr>
            <w:tcW w:w="818" w:type="dxa"/>
            <w:tcBorders>
              <w:top w:val="nil"/>
              <w:left w:val="single" w:color="auto" w:sz="4" w:space="0"/>
              <w:bottom w:val="single" w:color="auto" w:sz="4" w:space="0"/>
              <w:right w:val="single" w:color="auto" w:sz="4" w:space="0"/>
            </w:tcBorders>
            <w:noWrap w:val="0"/>
            <w:vAlign w:val="center"/>
          </w:tcPr>
          <w:p w14:paraId="43B1A92D">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w:t>
            </w:r>
          </w:p>
        </w:tc>
        <w:tc>
          <w:tcPr>
            <w:tcW w:w="818" w:type="dxa"/>
            <w:tcBorders>
              <w:top w:val="nil"/>
              <w:left w:val="nil"/>
              <w:bottom w:val="single" w:color="auto" w:sz="4" w:space="0"/>
              <w:right w:val="single" w:color="auto" w:sz="4" w:space="0"/>
            </w:tcBorders>
            <w:noWrap w:val="0"/>
            <w:vAlign w:val="center"/>
          </w:tcPr>
          <w:p w14:paraId="52123E05">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w:t>
            </w:r>
          </w:p>
        </w:tc>
        <w:tc>
          <w:tcPr>
            <w:tcW w:w="818" w:type="dxa"/>
            <w:tcBorders>
              <w:top w:val="nil"/>
              <w:left w:val="nil"/>
              <w:bottom w:val="single" w:color="auto" w:sz="4" w:space="0"/>
              <w:right w:val="single" w:color="auto" w:sz="4" w:space="0"/>
            </w:tcBorders>
            <w:noWrap w:val="0"/>
            <w:vAlign w:val="center"/>
          </w:tcPr>
          <w:p w14:paraId="66524125">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月</w:t>
            </w:r>
          </w:p>
        </w:tc>
        <w:tc>
          <w:tcPr>
            <w:tcW w:w="818" w:type="dxa"/>
            <w:tcBorders>
              <w:top w:val="nil"/>
              <w:left w:val="nil"/>
              <w:bottom w:val="single" w:color="auto" w:sz="4" w:space="0"/>
              <w:right w:val="single" w:color="auto" w:sz="4" w:space="0"/>
            </w:tcBorders>
            <w:noWrap w:val="0"/>
            <w:vAlign w:val="center"/>
          </w:tcPr>
          <w:p w14:paraId="789BF395">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季</w:t>
            </w:r>
          </w:p>
        </w:tc>
        <w:tc>
          <w:tcPr>
            <w:tcW w:w="822" w:type="dxa"/>
            <w:tcBorders>
              <w:top w:val="nil"/>
              <w:left w:val="nil"/>
              <w:bottom w:val="single" w:color="auto" w:sz="4" w:space="0"/>
              <w:right w:val="single" w:color="auto" w:sz="4" w:space="0"/>
            </w:tcBorders>
            <w:noWrap w:val="0"/>
            <w:vAlign w:val="center"/>
          </w:tcPr>
          <w:p w14:paraId="2A09987C">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w:t>
            </w:r>
          </w:p>
        </w:tc>
        <w:tc>
          <w:tcPr>
            <w:tcW w:w="1889" w:type="dxa"/>
            <w:tcBorders>
              <w:top w:val="nil"/>
              <w:left w:val="nil"/>
              <w:bottom w:val="single" w:color="auto" w:sz="4" w:space="0"/>
              <w:right w:val="single" w:color="auto" w:sz="4" w:space="0"/>
            </w:tcBorders>
            <w:noWrap w:val="0"/>
            <w:vAlign w:val="center"/>
          </w:tcPr>
          <w:p w14:paraId="5EF4D0A7">
            <w:pPr>
              <w:widowControl/>
              <w:spacing w:line="240" w:lineRule="auto"/>
              <w:ind w:firstLine="48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252902D">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5EB7ADDB">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大厅（商场）、办公室、会议室</w:t>
            </w:r>
          </w:p>
        </w:tc>
        <w:tc>
          <w:tcPr>
            <w:tcW w:w="818" w:type="dxa"/>
            <w:tcBorders>
              <w:top w:val="single" w:color="auto" w:sz="4" w:space="0"/>
              <w:left w:val="nil"/>
              <w:bottom w:val="single" w:color="auto" w:sz="4" w:space="0"/>
              <w:right w:val="single" w:color="auto" w:sz="4" w:space="0"/>
            </w:tcBorders>
            <w:noWrap w:val="0"/>
            <w:vAlign w:val="center"/>
          </w:tcPr>
          <w:p w14:paraId="085535C3">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2A4F2D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05E2C34D">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4AC2CA11">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387FAD74">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09B17E62">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732D9248">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9BC825D">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38EC85A3">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电话机</w:t>
            </w:r>
          </w:p>
        </w:tc>
        <w:tc>
          <w:tcPr>
            <w:tcW w:w="818" w:type="dxa"/>
            <w:tcBorders>
              <w:top w:val="single" w:color="auto" w:sz="4" w:space="0"/>
              <w:left w:val="nil"/>
              <w:bottom w:val="single" w:color="auto" w:sz="4" w:space="0"/>
              <w:right w:val="single" w:color="auto" w:sz="4" w:space="0"/>
            </w:tcBorders>
            <w:noWrap w:val="0"/>
            <w:vAlign w:val="center"/>
          </w:tcPr>
          <w:p w14:paraId="4BC33C1F">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14:paraId="64056302">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7D328CF1">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2EF1ADC6">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536AFC10">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69027C72">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122C9FEE">
            <w:pPr>
              <w:widowControl/>
              <w:spacing w:line="240" w:lineRule="auto"/>
              <w:ind w:firstLine="480"/>
              <w:jc w:val="center"/>
              <w:rPr>
                <w:rFonts w:hint="eastAsia" w:ascii="宋体" w:hAnsi="宋体" w:eastAsia="宋体" w:cs="宋体"/>
                <w:color w:val="auto"/>
                <w:kern w:val="0"/>
                <w:sz w:val="18"/>
                <w:szCs w:val="18"/>
                <w:highlight w:val="none"/>
              </w:rPr>
            </w:pPr>
          </w:p>
        </w:tc>
      </w:tr>
      <w:tr w14:paraId="17D80824">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54565640">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开水房</w:t>
            </w:r>
          </w:p>
        </w:tc>
        <w:tc>
          <w:tcPr>
            <w:tcW w:w="818" w:type="dxa"/>
            <w:tcBorders>
              <w:top w:val="nil"/>
              <w:left w:val="nil"/>
              <w:bottom w:val="single" w:color="auto" w:sz="4" w:space="0"/>
              <w:right w:val="single" w:color="auto" w:sz="4" w:space="0"/>
            </w:tcBorders>
            <w:noWrap w:val="0"/>
            <w:vAlign w:val="center"/>
          </w:tcPr>
          <w:p w14:paraId="490A332C">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14:paraId="3D6A2920">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04FB6106">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4C775F46">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59A56A52">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34E430D6">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0EC19781">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14:paraId="20A1A12B">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4D1E0937">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空调外机</w:t>
            </w:r>
          </w:p>
        </w:tc>
        <w:tc>
          <w:tcPr>
            <w:tcW w:w="818" w:type="dxa"/>
            <w:tcBorders>
              <w:top w:val="nil"/>
              <w:left w:val="nil"/>
              <w:bottom w:val="single" w:color="auto" w:sz="4" w:space="0"/>
              <w:right w:val="single" w:color="auto" w:sz="4" w:space="0"/>
            </w:tcBorders>
            <w:noWrap w:val="0"/>
            <w:vAlign w:val="center"/>
          </w:tcPr>
          <w:p w14:paraId="6A1962E2">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7CE9AA5B">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4C5E81E1">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DA6EF0F">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4456515C">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10D5A538">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213959F5">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397EC69">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0F59276D">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大理石花岗石墙面柱面（2米以下）</w:t>
            </w:r>
          </w:p>
        </w:tc>
        <w:tc>
          <w:tcPr>
            <w:tcW w:w="818" w:type="dxa"/>
            <w:tcBorders>
              <w:top w:val="nil"/>
              <w:left w:val="nil"/>
              <w:bottom w:val="single" w:color="auto" w:sz="4" w:space="0"/>
              <w:right w:val="single" w:color="auto" w:sz="4" w:space="0"/>
            </w:tcBorders>
            <w:noWrap w:val="0"/>
            <w:vAlign w:val="center"/>
          </w:tcPr>
          <w:p w14:paraId="037BF4DA">
            <w:pPr>
              <w:widowControl/>
              <w:spacing w:line="240" w:lineRule="auto"/>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715EA6A">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45FD2D6A">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062934D8">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454EC009">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78FEFE61">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385AAB67">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424B4EA">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789535D7">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玻璃墙面金属框架</w:t>
            </w:r>
          </w:p>
        </w:tc>
        <w:tc>
          <w:tcPr>
            <w:tcW w:w="818" w:type="dxa"/>
            <w:tcBorders>
              <w:top w:val="nil"/>
              <w:left w:val="nil"/>
              <w:bottom w:val="single" w:color="auto" w:sz="4" w:space="0"/>
              <w:right w:val="single" w:color="auto" w:sz="4" w:space="0"/>
            </w:tcBorders>
            <w:noWrap w:val="0"/>
            <w:vAlign w:val="center"/>
          </w:tcPr>
          <w:p w14:paraId="10172CC4">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18BAE27">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69698BAC">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nil"/>
              <w:right w:val="nil"/>
            </w:tcBorders>
            <w:noWrap w:val="0"/>
            <w:vAlign w:val="center"/>
          </w:tcPr>
          <w:p w14:paraId="3DB1D7FC">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single" w:color="auto" w:sz="4" w:space="0"/>
              <w:bottom w:val="single" w:color="auto" w:sz="4" w:space="0"/>
              <w:right w:val="single" w:color="auto" w:sz="4" w:space="0"/>
            </w:tcBorders>
            <w:noWrap w:val="0"/>
            <w:vAlign w:val="center"/>
          </w:tcPr>
          <w:p w14:paraId="1F287B52">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0D168F33">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3FFBF2A1">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70E9FC">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4DCD84EB">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不锈钢面</w:t>
            </w:r>
          </w:p>
        </w:tc>
        <w:tc>
          <w:tcPr>
            <w:tcW w:w="818" w:type="dxa"/>
            <w:tcBorders>
              <w:top w:val="nil"/>
              <w:left w:val="nil"/>
              <w:bottom w:val="single" w:color="auto" w:sz="4" w:space="0"/>
              <w:right w:val="single" w:color="auto" w:sz="4" w:space="0"/>
            </w:tcBorders>
            <w:noWrap w:val="0"/>
            <w:vAlign w:val="center"/>
          </w:tcPr>
          <w:p w14:paraId="23D1DBBD">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14:paraId="472BF932">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6D53DFC">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single" w:color="auto" w:sz="4" w:space="0"/>
              <w:left w:val="nil"/>
              <w:bottom w:val="single" w:color="auto" w:sz="4" w:space="0"/>
              <w:right w:val="single" w:color="auto" w:sz="4" w:space="0"/>
            </w:tcBorders>
            <w:noWrap w:val="0"/>
            <w:vAlign w:val="center"/>
          </w:tcPr>
          <w:p w14:paraId="2F5169B5">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36A1AD5B">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2B818699">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7596AB82">
            <w:pPr>
              <w:widowControl/>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周保养1次</w:t>
            </w:r>
          </w:p>
        </w:tc>
      </w:tr>
      <w:tr w14:paraId="25426C97">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37EF97EF">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地面清洗抛光</w:t>
            </w:r>
          </w:p>
        </w:tc>
        <w:tc>
          <w:tcPr>
            <w:tcW w:w="818" w:type="dxa"/>
            <w:tcBorders>
              <w:top w:val="nil"/>
              <w:left w:val="nil"/>
              <w:bottom w:val="single" w:color="auto" w:sz="4" w:space="0"/>
              <w:right w:val="single" w:color="auto" w:sz="4" w:space="0"/>
            </w:tcBorders>
            <w:noWrap w:val="0"/>
            <w:vAlign w:val="center"/>
          </w:tcPr>
          <w:p w14:paraId="718C3CE3">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33B38AEB">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0F2BAE63">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7847E3BE">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14:paraId="1D7FAD42">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192B7941">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59C44BED">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04E03B7">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15381B88">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地毯</w:t>
            </w:r>
          </w:p>
        </w:tc>
        <w:tc>
          <w:tcPr>
            <w:tcW w:w="818" w:type="dxa"/>
            <w:tcBorders>
              <w:top w:val="nil"/>
              <w:left w:val="nil"/>
              <w:bottom w:val="single" w:color="auto" w:sz="4" w:space="0"/>
              <w:right w:val="single" w:color="auto" w:sz="4" w:space="0"/>
            </w:tcBorders>
            <w:noWrap w:val="0"/>
            <w:vAlign w:val="center"/>
          </w:tcPr>
          <w:p w14:paraId="4AAF64E8">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14:paraId="3EBE7BF1">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36F9FBF">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0C0FEA98">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18" w:type="dxa"/>
            <w:tcBorders>
              <w:top w:val="nil"/>
              <w:left w:val="nil"/>
              <w:bottom w:val="single" w:color="auto" w:sz="4" w:space="0"/>
              <w:right w:val="single" w:color="auto" w:sz="4" w:space="0"/>
            </w:tcBorders>
            <w:noWrap w:val="0"/>
            <w:vAlign w:val="center"/>
          </w:tcPr>
          <w:p w14:paraId="2CB72390">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320E5468">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6ED7F10F">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351ADC9">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1E093481">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通风口灯具饰物</w:t>
            </w:r>
          </w:p>
        </w:tc>
        <w:tc>
          <w:tcPr>
            <w:tcW w:w="818" w:type="dxa"/>
            <w:tcBorders>
              <w:top w:val="nil"/>
              <w:left w:val="nil"/>
              <w:bottom w:val="single" w:color="auto" w:sz="4" w:space="0"/>
              <w:right w:val="single" w:color="auto" w:sz="4" w:space="0"/>
            </w:tcBorders>
            <w:noWrap w:val="0"/>
            <w:vAlign w:val="center"/>
          </w:tcPr>
          <w:p w14:paraId="7950FEE9">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7B5A185A">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78C2B33">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0A7B0369">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73FB7C20">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6AEFE86C">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5BFE10D4">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0481A15">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17DD08C8">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绿化、指示牌等</w:t>
            </w:r>
          </w:p>
        </w:tc>
        <w:tc>
          <w:tcPr>
            <w:tcW w:w="818" w:type="dxa"/>
            <w:tcBorders>
              <w:top w:val="nil"/>
              <w:left w:val="nil"/>
              <w:bottom w:val="single" w:color="auto" w:sz="4" w:space="0"/>
              <w:right w:val="single" w:color="auto" w:sz="4" w:space="0"/>
            </w:tcBorders>
            <w:noWrap w:val="0"/>
            <w:vAlign w:val="center"/>
          </w:tcPr>
          <w:p w14:paraId="406B188E">
            <w:pPr>
              <w:widowControl/>
              <w:spacing w:line="240" w:lineRule="auto"/>
              <w:ind w:firstLine="149" w:firstLineChars="83"/>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05D92388">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02275D07">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39A79408">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68846663">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337A13A6">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24AD808B">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F24FFE1">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65D0BC8D">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垃圾收集、清扫地面</w:t>
            </w:r>
          </w:p>
        </w:tc>
        <w:tc>
          <w:tcPr>
            <w:tcW w:w="818" w:type="dxa"/>
            <w:tcBorders>
              <w:top w:val="nil"/>
              <w:left w:val="nil"/>
              <w:bottom w:val="single" w:color="auto" w:sz="4" w:space="0"/>
              <w:right w:val="single" w:color="auto" w:sz="4" w:space="0"/>
            </w:tcBorders>
            <w:noWrap w:val="0"/>
            <w:vAlign w:val="center"/>
          </w:tcPr>
          <w:p w14:paraId="16A994CB">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18" w:type="dxa"/>
            <w:tcBorders>
              <w:top w:val="nil"/>
              <w:left w:val="nil"/>
              <w:bottom w:val="single" w:color="auto" w:sz="4" w:space="0"/>
              <w:right w:val="single" w:color="auto" w:sz="4" w:space="0"/>
            </w:tcBorders>
            <w:noWrap w:val="0"/>
            <w:vAlign w:val="center"/>
          </w:tcPr>
          <w:p w14:paraId="4B1FBDEF">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438AD9FD">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4A38E831">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13A93613">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0CE67743">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6B77CD21">
            <w:pPr>
              <w:widowControl/>
              <w:spacing w:line="240" w:lineRule="auto"/>
              <w:ind w:firstLine="480"/>
              <w:jc w:val="center"/>
              <w:rPr>
                <w:rFonts w:hint="eastAsia" w:ascii="宋体" w:hAnsi="宋体" w:eastAsia="宋体" w:cs="宋体"/>
                <w:color w:val="auto"/>
                <w:kern w:val="0"/>
                <w:sz w:val="18"/>
                <w:szCs w:val="18"/>
                <w:highlight w:val="none"/>
              </w:rPr>
            </w:pPr>
          </w:p>
        </w:tc>
      </w:tr>
      <w:tr w14:paraId="45E23ED7">
        <w:tblPrEx>
          <w:tblCellMar>
            <w:top w:w="0" w:type="dxa"/>
            <w:left w:w="108" w:type="dxa"/>
            <w:bottom w:w="0" w:type="dxa"/>
            <w:right w:w="108" w:type="dxa"/>
          </w:tblCellMar>
        </w:tblPrEx>
        <w:trPr>
          <w:trHeight w:val="23" w:hRule="atLeast"/>
          <w:jc w:val="center"/>
        </w:trPr>
        <w:tc>
          <w:tcPr>
            <w:tcW w:w="2180" w:type="dxa"/>
            <w:tcBorders>
              <w:top w:val="nil"/>
              <w:left w:val="single" w:color="auto" w:sz="4" w:space="0"/>
              <w:bottom w:val="single" w:color="auto" w:sz="4" w:space="0"/>
              <w:right w:val="single" w:color="auto" w:sz="4" w:space="0"/>
            </w:tcBorders>
            <w:noWrap w:val="0"/>
            <w:vAlign w:val="center"/>
          </w:tcPr>
          <w:p w14:paraId="287E1C23">
            <w:pPr>
              <w:widowControl/>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立柱、墙面、踢脚线、护墙板</w:t>
            </w:r>
          </w:p>
        </w:tc>
        <w:tc>
          <w:tcPr>
            <w:tcW w:w="818" w:type="dxa"/>
            <w:tcBorders>
              <w:top w:val="nil"/>
              <w:left w:val="nil"/>
              <w:bottom w:val="single" w:color="auto" w:sz="4" w:space="0"/>
              <w:right w:val="single" w:color="auto" w:sz="4" w:space="0"/>
            </w:tcBorders>
            <w:noWrap w:val="0"/>
            <w:vAlign w:val="center"/>
          </w:tcPr>
          <w:p w14:paraId="237BE45A">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74D26E63">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6B55C5D8">
            <w:pPr>
              <w:widowControl/>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18" w:type="dxa"/>
            <w:tcBorders>
              <w:top w:val="nil"/>
              <w:left w:val="nil"/>
              <w:bottom w:val="single" w:color="auto" w:sz="4" w:space="0"/>
              <w:right w:val="single" w:color="auto" w:sz="4" w:space="0"/>
            </w:tcBorders>
            <w:noWrap w:val="0"/>
            <w:vAlign w:val="center"/>
          </w:tcPr>
          <w:p w14:paraId="06F8F1DE">
            <w:pPr>
              <w:widowControl/>
              <w:spacing w:line="240" w:lineRule="auto"/>
              <w:ind w:firstLine="480"/>
              <w:jc w:val="center"/>
              <w:rPr>
                <w:rFonts w:hint="eastAsia" w:ascii="宋体" w:hAnsi="宋体" w:eastAsia="宋体" w:cs="宋体"/>
                <w:color w:val="auto"/>
                <w:kern w:val="0"/>
                <w:sz w:val="18"/>
                <w:szCs w:val="18"/>
                <w:highlight w:val="none"/>
              </w:rPr>
            </w:pPr>
          </w:p>
        </w:tc>
        <w:tc>
          <w:tcPr>
            <w:tcW w:w="818" w:type="dxa"/>
            <w:tcBorders>
              <w:top w:val="nil"/>
              <w:left w:val="nil"/>
              <w:bottom w:val="single" w:color="auto" w:sz="4" w:space="0"/>
              <w:right w:val="single" w:color="auto" w:sz="4" w:space="0"/>
            </w:tcBorders>
            <w:noWrap w:val="0"/>
            <w:vAlign w:val="center"/>
          </w:tcPr>
          <w:p w14:paraId="31F39F93">
            <w:pPr>
              <w:widowControl/>
              <w:spacing w:line="240" w:lineRule="auto"/>
              <w:ind w:firstLine="480"/>
              <w:jc w:val="center"/>
              <w:rPr>
                <w:rFonts w:hint="eastAsia" w:ascii="宋体" w:hAnsi="宋体" w:eastAsia="宋体" w:cs="宋体"/>
                <w:color w:val="auto"/>
                <w:kern w:val="0"/>
                <w:sz w:val="18"/>
                <w:szCs w:val="18"/>
                <w:highlight w:val="none"/>
              </w:rPr>
            </w:pPr>
          </w:p>
        </w:tc>
        <w:tc>
          <w:tcPr>
            <w:tcW w:w="822" w:type="dxa"/>
            <w:tcBorders>
              <w:top w:val="nil"/>
              <w:left w:val="nil"/>
              <w:bottom w:val="single" w:color="auto" w:sz="4" w:space="0"/>
              <w:right w:val="single" w:color="auto" w:sz="4" w:space="0"/>
            </w:tcBorders>
            <w:noWrap w:val="0"/>
            <w:vAlign w:val="center"/>
          </w:tcPr>
          <w:p w14:paraId="18C87BBD">
            <w:pPr>
              <w:widowControl/>
              <w:spacing w:line="240" w:lineRule="auto"/>
              <w:ind w:firstLine="480"/>
              <w:jc w:val="center"/>
              <w:rPr>
                <w:rFonts w:hint="eastAsia" w:ascii="宋体" w:hAnsi="宋体" w:eastAsia="宋体" w:cs="宋体"/>
                <w:color w:val="auto"/>
                <w:kern w:val="0"/>
                <w:sz w:val="18"/>
                <w:szCs w:val="18"/>
                <w:highlight w:val="none"/>
              </w:rPr>
            </w:pPr>
          </w:p>
        </w:tc>
        <w:tc>
          <w:tcPr>
            <w:tcW w:w="1889" w:type="dxa"/>
            <w:tcBorders>
              <w:top w:val="nil"/>
              <w:left w:val="nil"/>
              <w:bottom w:val="single" w:color="auto" w:sz="4" w:space="0"/>
              <w:right w:val="single" w:color="auto" w:sz="4" w:space="0"/>
            </w:tcBorders>
            <w:noWrap w:val="0"/>
            <w:vAlign w:val="center"/>
          </w:tcPr>
          <w:p w14:paraId="0F44A12D">
            <w:pPr>
              <w:widowControl/>
              <w:spacing w:line="240" w:lineRule="auto"/>
              <w:ind w:firstLine="48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5C5DF7F8">
      <w:pPr>
        <w:bidi w:val="0"/>
        <w:jc w:val="center"/>
        <w:rPr>
          <w:rFonts w:hint="eastAsia" w:ascii="宋体" w:hAnsi="宋体" w:eastAsia="宋体" w:cs="宋体"/>
          <w:b/>
          <w:bCs/>
          <w:highlight w:val="none"/>
          <w:lang w:val="zh-CN"/>
        </w:rPr>
      </w:pPr>
      <w:r>
        <w:rPr>
          <w:rFonts w:hint="eastAsia" w:ascii="宋体" w:hAnsi="宋体" w:eastAsia="宋体" w:cs="宋体"/>
          <w:b/>
          <w:bCs/>
          <w:highlight w:val="none"/>
          <w:lang w:val="zh-CN"/>
        </w:rPr>
        <w:t>服务区设施设备维护量化标准</w:t>
      </w:r>
    </w:p>
    <w:p w14:paraId="4E91D949">
      <w:pPr>
        <w:bidi w:val="0"/>
        <w:jc w:val="center"/>
        <w:rPr>
          <w:rFonts w:hint="eastAsia" w:ascii="宋体" w:hAnsi="宋体" w:eastAsia="宋体" w:cs="宋体"/>
          <w:b/>
          <w:bCs/>
          <w:color w:val="auto"/>
          <w:szCs w:val="21"/>
          <w:highlight w:val="none"/>
        </w:rPr>
      </w:pPr>
      <w:r>
        <w:rPr>
          <w:rFonts w:hint="eastAsia" w:ascii="宋体" w:hAnsi="宋体" w:eastAsia="宋体" w:cs="宋体"/>
          <w:b/>
          <w:bCs/>
          <w:highlight w:val="none"/>
        </w:rPr>
        <w:t>照明设施定期维护要</w:t>
      </w:r>
      <w:r>
        <w:rPr>
          <w:rFonts w:hint="eastAsia" w:ascii="宋体" w:hAnsi="宋体" w:eastAsia="宋体" w:cs="宋体"/>
          <w:b/>
          <w:bCs/>
          <w:color w:val="auto"/>
          <w:szCs w:val="21"/>
          <w:highlight w:val="none"/>
        </w:rPr>
        <w:t>求</w:t>
      </w:r>
    </w:p>
    <w:tbl>
      <w:tblPr>
        <w:tblStyle w:val="25"/>
        <w:tblW w:w="85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939"/>
        <w:gridCol w:w="1939"/>
        <w:gridCol w:w="1152"/>
        <w:gridCol w:w="2900"/>
      </w:tblGrid>
      <w:tr w14:paraId="1584A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tcBorders>
              <w:top w:val="single" w:color="auto" w:sz="8" w:space="0"/>
              <w:bottom w:val="single" w:color="auto" w:sz="8" w:space="0"/>
            </w:tcBorders>
            <w:noWrap w:val="0"/>
            <w:vAlign w:val="center"/>
          </w:tcPr>
          <w:p w14:paraId="013399C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878" w:type="dxa"/>
            <w:gridSpan w:val="2"/>
            <w:tcBorders>
              <w:top w:val="single" w:color="auto" w:sz="8" w:space="0"/>
              <w:bottom w:val="single" w:color="auto" w:sz="8" w:space="0"/>
            </w:tcBorders>
            <w:noWrap w:val="0"/>
            <w:vAlign w:val="center"/>
          </w:tcPr>
          <w:p w14:paraId="7F6B359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1152" w:type="dxa"/>
            <w:tcBorders>
              <w:top w:val="single" w:color="auto" w:sz="8" w:space="0"/>
              <w:bottom w:val="single" w:color="auto" w:sz="8" w:space="0"/>
            </w:tcBorders>
            <w:noWrap w:val="0"/>
            <w:vAlign w:val="center"/>
          </w:tcPr>
          <w:p w14:paraId="421ED1B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2900" w:type="dxa"/>
            <w:tcBorders>
              <w:top w:val="single" w:color="auto" w:sz="8" w:space="0"/>
              <w:bottom w:val="single" w:color="auto" w:sz="8" w:space="0"/>
            </w:tcBorders>
            <w:noWrap w:val="0"/>
            <w:vAlign w:val="center"/>
          </w:tcPr>
          <w:p w14:paraId="3D524F7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具体操作内容</w:t>
            </w:r>
          </w:p>
        </w:tc>
      </w:tr>
      <w:tr w14:paraId="52FC3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tcBorders>
              <w:top w:val="single" w:color="auto" w:sz="8" w:space="0"/>
            </w:tcBorders>
            <w:noWrap w:val="0"/>
            <w:vAlign w:val="center"/>
          </w:tcPr>
          <w:p w14:paraId="4723523B">
            <w:pPr>
              <w:pStyle w:val="68"/>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939" w:type="dxa"/>
            <w:vMerge w:val="restart"/>
            <w:tcBorders>
              <w:top w:val="single" w:color="auto" w:sz="8" w:space="0"/>
            </w:tcBorders>
            <w:noWrap w:val="0"/>
            <w:vAlign w:val="center"/>
          </w:tcPr>
          <w:p w14:paraId="27CC485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灯具与光源</w:t>
            </w:r>
          </w:p>
          <w:p w14:paraId="45A12E0E">
            <w:pPr>
              <w:pStyle w:val="68"/>
              <w:spacing w:line="240" w:lineRule="auto"/>
              <w:ind w:firstLine="0" w:firstLineChars="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应急照明设施</w:t>
            </w:r>
          </w:p>
        </w:tc>
        <w:tc>
          <w:tcPr>
            <w:tcW w:w="1939" w:type="dxa"/>
            <w:tcBorders>
              <w:top w:val="single" w:color="auto" w:sz="8" w:space="0"/>
            </w:tcBorders>
            <w:noWrap w:val="0"/>
            <w:vAlign w:val="center"/>
          </w:tcPr>
          <w:p w14:paraId="29A1BCE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tcBorders>
              <w:top w:val="single" w:color="auto" w:sz="8" w:space="0"/>
            </w:tcBorders>
            <w:noWrap w:val="0"/>
            <w:vAlign w:val="center"/>
          </w:tcPr>
          <w:p w14:paraId="044BDC6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tcBorders>
              <w:top w:val="single" w:color="auto" w:sz="8" w:space="0"/>
            </w:tcBorders>
            <w:noWrap w:val="0"/>
            <w:vAlign w:val="center"/>
          </w:tcPr>
          <w:p w14:paraId="6B3A1D5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观察、发现损坏立即更换</w:t>
            </w:r>
          </w:p>
        </w:tc>
      </w:tr>
      <w:tr w14:paraId="1497F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4074E377">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30339EB6">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14:paraId="5FBBC18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14:paraId="686D2AA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14:paraId="7D85107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14:paraId="38924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14:paraId="3E8B8D75">
            <w:pPr>
              <w:pStyle w:val="68"/>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939" w:type="dxa"/>
            <w:vMerge w:val="restart"/>
            <w:noWrap w:val="0"/>
            <w:vAlign w:val="center"/>
          </w:tcPr>
          <w:p w14:paraId="0209C64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高杆灯</w:t>
            </w:r>
          </w:p>
        </w:tc>
        <w:tc>
          <w:tcPr>
            <w:tcW w:w="1939" w:type="dxa"/>
            <w:noWrap w:val="0"/>
            <w:vAlign w:val="center"/>
          </w:tcPr>
          <w:p w14:paraId="589ACC7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14:paraId="419186C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2900" w:type="dxa"/>
            <w:noWrap w:val="0"/>
            <w:vAlign w:val="center"/>
          </w:tcPr>
          <w:p w14:paraId="55DF9A0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14:paraId="0F78C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7FD69F9A">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21AE6C81">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14:paraId="177F73E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灯架防腐</w:t>
            </w:r>
          </w:p>
        </w:tc>
        <w:tc>
          <w:tcPr>
            <w:tcW w:w="1152" w:type="dxa"/>
            <w:noWrap w:val="0"/>
            <w:vAlign w:val="center"/>
          </w:tcPr>
          <w:p w14:paraId="35743B6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3月</w:t>
            </w:r>
          </w:p>
        </w:tc>
        <w:tc>
          <w:tcPr>
            <w:tcW w:w="2900" w:type="dxa"/>
            <w:noWrap w:val="0"/>
            <w:vAlign w:val="center"/>
          </w:tcPr>
          <w:p w14:paraId="2B564BA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损坏时更换</w:t>
            </w:r>
          </w:p>
        </w:tc>
      </w:tr>
      <w:tr w14:paraId="7DE7D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55D0A22A">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58EC156E">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14:paraId="09215FC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noWrap w:val="0"/>
            <w:vAlign w:val="center"/>
          </w:tcPr>
          <w:p w14:paraId="082AAD2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1年</w:t>
            </w:r>
          </w:p>
        </w:tc>
        <w:tc>
          <w:tcPr>
            <w:tcW w:w="2900" w:type="dxa"/>
            <w:noWrap w:val="0"/>
            <w:vAlign w:val="center"/>
          </w:tcPr>
          <w:p w14:paraId="73BB7FE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保洁与维修</w:t>
            </w:r>
          </w:p>
        </w:tc>
      </w:tr>
      <w:tr w14:paraId="20D58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2EE8363B">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6A6CA762">
            <w:pPr>
              <w:spacing w:line="240" w:lineRule="auto"/>
              <w:jc w:val="center"/>
              <w:rPr>
                <w:rFonts w:hint="eastAsia" w:ascii="宋体" w:hAnsi="宋体" w:eastAsia="宋体" w:cs="宋体"/>
                <w:color w:val="auto"/>
                <w:sz w:val="18"/>
                <w:szCs w:val="18"/>
                <w:highlight w:val="none"/>
              </w:rPr>
            </w:pPr>
          </w:p>
        </w:tc>
        <w:tc>
          <w:tcPr>
            <w:tcW w:w="1939" w:type="dxa"/>
            <w:noWrap w:val="0"/>
            <w:vAlign w:val="center"/>
          </w:tcPr>
          <w:p w14:paraId="19E6E9C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升降器检修</w:t>
            </w:r>
          </w:p>
        </w:tc>
        <w:tc>
          <w:tcPr>
            <w:tcW w:w="1152" w:type="dxa"/>
            <w:noWrap w:val="0"/>
            <w:vAlign w:val="center"/>
          </w:tcPr>
          <w:p w14:paraId="61F2D0A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noWrap w:val="0"/>
            <w:vAlign w:val="center"/>
          </w:tcPr>
          <w:p w14:paraId="3CB30ED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检查与维修</w:t>
            </w:r>
          </w:p>
        </w:tc>
      </w:tr>
      <w:tr w14:paraId="69ED8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restart"/>
            <w:noWrap w:val="0"/>
            <w:vAlign w:val="center"/>
          </w:tcPr>
          <w:p w14:paraId="7C539244">
            <w:pPr>
              <w:pStyle w:val="68"/>
              <w:spacing w:line="240" w:lineRule="auto"/>
              <w:ind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939" w:type="dxa"/>
            <w:vMerge w:val="restart"/>
            <w:noWrap w:val="0"/>
            <w:vAlign w:val="center"/>
          </w:tcPr>
          <w:p w14:paraId="3CFFC01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照明配电箱</w:t>
            </w:r>
          </w:p>
        </w:tc>
        <w:tc>
          <w:tcPr>
            <w:tcW w:w="1939" w:type="dxa"/>
            <w:noWrap w:val="0"/>
            <w:vAlign w:val="center"/>
          </w:tcPr>
          <w:p w14:paraId="674D720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巡视检查</w:t>
            </w:r>
          </w:p>
        </w:tc>
        <w:tc>
          <w:tcPr>
            <w:tcW w:w="1152" w:type="dxa"/>
            <w:noWrap w:val="0"/>
            <w:vAlign w:val="center"/>
          </w:tcPr>
          <w:p w14:paraId="0FBDBFD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每月</w:t>
            </w:r>
          </w:p>
        </w:tc>
        <w:tc>
          <w:tcPr>
            <w:tcW w:w="2900" w:type="dxa"/>
            <w:noWrap w:val="0"/>
            <w:vAlign w:val="center"/>
          </w:tcPr>
          <w:p w14:paraId="026D558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观察、更换</w:t>
            </w:r>
          </w:p>
        </w:tc>
      </w:tr>
      <w:tr w14:paraId="4BCEA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noWrap w:val="0"/>
            <w:vAlign w:val="center"/>
          </w:tcPr>
          <w:p w14:paraId="77CE6E61">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noWrap w:val="0"/>
            <w:vAlign w:val="center"/>
          </w:tcPr>
          <w:p w14:paraId="04FFD70B">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bottom w:val="single" w:color="auto" w:sz="4" w:space="0"/>
            </w:tcBorders>
            <w:noWrap w:val="0"/>
            <w:vAlign w:val="center"/>
          </w:tcPr>
          <w:p w14:paraId="3BF3F47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清扫与检修</w:t>
            </w:r>
          </w:p>
        </w:tc>
        <w:tc>
          <w:tcPr>
            <w:tcW w:w="1152" w:type="dxa"/>
            <w:tcBorders>
              <w:bottom w:val="single" w:color="auto" w:sz="4" w:space="0"/>
            </w:tcBorders>
            <w:noWrap w:val="0"/>
            <w:vAlign w:val="center"/>
          </w:tcPr>
          <w:p w14:paraId="4DF500F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bottom w:val="single" w:color="auto" w:sz="4" w:space="0"/>
            </w:tcBorders>
            <w:noWrap w:val="0"/>
            <w:vAlign w:val="center"/>
          </w:tcPr>
          <w:p w14:paraId="1E542AB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更换、紧固、涂漆</w:t>
            </w:r>
          </w:p>
        </w:tc>
      </w:tr>
      <w:tr w14:paraId="3F5C5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vMerge w:val="continue"/>
            <w:tcBorders>
              <w:bottom w:val="single" w:color="auto" w:sz="8" w:space="0"/>
            </w:tcBorders>
            <w:noWrap w:val="0"/>
            <w:vAlign w:val="center"/>
          </w:tcPr>
          <w:p w14:paraId="79F7E034">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vMerge w:val="continue"/>
            <w:tcBorders>
              <w:bottom w:val="single" w:color="auto" w:sz="8" w:space="0"/>
            </w:tcBorders>
            <w:noWrap w:val="0"/>
            <w:vAlign w:val="center"/>
          </w:tcPr>
          <w:p w14:paraId="04A363B3">
            <w:pPr>
              <w:pStyle w:val="68"/>
              <w:spacing w:line="240" w:lineRule="auto"/>
              <w:ind w:firstLine="0" w:firstLineChars="0"/>
              <w:jc w:val="center"/>
              <w:rPr>
                <w:rFonts w:hint="eastAsia" w:ascii="宋体" w:hAnsi="宋体" w:eastAsia="宋体" w:cs="宋体"/>
                <w:color w:val="auto"/>
                <w:sz w:val="18"/>
                <w:szCs w:val="18"/>
                <w:highlight w:val="none"/>
              </w:rPr>
            </w:pPr>
          </w:p>
        </w:tc>
        <w:tc>
          <w:tcPr>
            <w:tcW w:w="1939" w:type="dxa"/>
            <w:tcBorders>
              <w:top w:val="single" w:color="auto" w:sz="4" w:space="0"/>
              <w:bottom w:val="single" w:color="auto" w:sz="8" w:space="0"/>
            </w:tcBorders>
            <w:noWrap w:val="0"/>
            <w:vAlign w:val="center"/>
          </w:tcPr>
          <w:p w14:paraId="66D601F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检测光控和时控</w:t>
            </w:r>
          </w:p>
        </w:tc>
        <w:tc>
          <w:tcPr>
            <w:tcW w:w="1152" w:type="dxa"/>
            <w:tcBorders>
              <w:top w:val="single" w:color="auto" w:sz="4" w:space="0"/>
              <w:bottom w:val="single" w:color="auto" w:sz="8" w:space="0"/>
            </w:tcBorders>
            <w:noWrap w:val="0"/>
            <w:vAlign w:val="center"/>
          </w:tcPr>
          <w:p w14:paraId="51E041B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2900" w:type="dxa"/>
            <w:tcBorders>
              <w:top w:val="single" w:color="auto" w:sz="4" w:space="0"/>
              <w:bottom w:val="single" w:color="auto" w:sz="8" w:space="0"/>
            </w:tcBorders>
            <w:noWrap w:val="0"/>
            <w:vAlign w:val="center"/>
          </w:tcPr>
          <w:p w14:paraId="6FCC9D2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损坏后及时更换</w:t>
            </w:r>
          </w:p>
        </w:tc>
      </w:tr>
    </w:tbl>
    <w:p w14:paraId="4C705C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035113D">
      <w:pPr>
        <w:pStyle w:val="67"/>
        <w:tabs>
          <w:tab w:val="clear" w:pos="360"/>
        </w:tabs>
        <w:spacing w:before="120" w:after="120" w:line="24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高、低压配电柜定期维护要求</w:t>
      </w:r>
    </w:p>
    <w:tbl>
      <w:tblPr>
        <w:tblStyle w:val="25"/>
        <w:tblW w:w="8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186"/>
        <w:gridCol w:w="958"/>
        <w:gridCol w:w="4710"/>
      </w:tblGrid>
      <w:tr w14:paraId="093FD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bottom w:val="single" w:color="auto" w:sz="8" w:space="0"/>
            </w:tcBorders>
            <w:noWrap w:val="0"/>
            <w:vAlign w:val="center"/>
          </w:tcPr>
          <w:p w14:paraId="4D7C8B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186" w:type="dxa"/>
            <w:tcBorders>
              <w:top w:val="single" w:color="auto" w:sz="8" w:space="0"/>
              <w:bottom w:val="single" w:color="auto" w:sz="8" w:space="0"/>
            </w:tcBorders>
            <w:noWrap w:val="0"/>
            <w:vAlign w:val="center"/>
          </w:tcPr>
          <w:p w14:paraId="43A0DB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958" w:type="dxa"/>
            <w:tcBorders>
              <w:top w:val="single" w:color="auto" w:sz="8" w:space="0"/>
              <w:bottom w:val="single" w:color="auto" w:sz="8" w:space="0"/>
            </w:tcBorders>
            <w:noWrap w:val="0"/>
            <w:vAlign w:val="center"/>
          </w:tcPr>
          <w:p w14:paraId="5C6C36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710" w:type="dxa"/>
            <w:tcBorders>
              <w:top w:val="single" w:color="auto" w:sz="8" w:space="0"/>
              <w:bottom w:val="single" w:color="auto" w:sz="8" w:space="0"/>
            </w:tcBorders>
            <w:noWrap w:val="0"/>
            <w:vAlign w:val="center"/>
          </w:tcPr>
          <w:p w14:paraId="1667F3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14:paraId="6C7B5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8" w:space="0"/>
            </w:tcBorders>
            <w:noWrap w:val="0"/>
            <w:vAlign w:val="center"/>
          </w:tcPr>
          <w:p w14:paraId="0787A5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186" w:type="dxa"/>
            <w:tcBorders>
              <w:top w:val="single" w:color="auto" w:sz="8" w:space="0"/>
            </w:tcBorders>
            <w:noWrap w:val="0"/>
            <w:vAlign w:val="center"/>
          </w:tcPr>
          <w:p w14:paraId="2D419A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w:t>
            </w:r>
          </w:p>
        </w:tc>
        <w:tc>
          <w:tcPr>
            <w:tcW w:w="958" w:type="dxa"/>
            <w:tcBorders>
              <w:top w:val="single" w:color="auto" w:sz="8" w:space="0"/>
            </w:tcBorders>
            <w:noWrap w:val="0"/>
            <w:vAlign w:val="center"/>
          </w:tcPr>
          <w:p w14:paraId="5CC5CF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tcBorders>
              <w:top w:val="single" w:color="auto" w:sz="8" w:space="0"/>
            </w:tcBorders>
            <w:noWrap w:val="0"/>
            <w:vAlign w:val="center"/>
          </w:tcPr>
          <w:p w14:paraId="503044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清洁</w:t>
            </w:r>
          </w:p>
        </w:tc>
      </w:tr>
      <w:tr w14:paraId="3223B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14:paraId="5E8204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186" w:type="dxa"/>
            <w:noWrap w:val="0"/>
            <w:vAlign w:val="center"/>
          </w:tcPr>
          <w:p w14:paraId="0E5066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电器仪表</w:t>
            </w:r>
          </w:p>
        </w:tc>
        <w:tc>
          <w:tcPr>
            <w:tcW w:w="958" w:type="dxa"/>
            <w:noWrap w:val="0"/>
            <w:vAlign w:val="center"/>
          </w:tcPr>
          <w:p w14:paraId="70EDF7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14:paraId="235B92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外表清洁，显示正常、固定可靠</w:t>
            </w:r>
          </w:p>
        </w:tc>
      </w:tr>
      <w:tr w14:paraId="5F925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14:paraId="6E0501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186" w:type="dxa"/>
            <w:noWrap w:val="0"/>
            <w:vAlign w:val="center"/>
          </w:tcPr>
          <w:p w14:paraId="5EB857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继电器、交流接触器、断路器、闸刀开关</w:t>
            </w:r>
          </w:p>
        </w:tc>
        <w:tc>
          <w:tcPr>
            <w:tcW w:w="958" w:type="dxa"/>
            <w:noWrap w:val="0"/>
            <w:vAlign w:val="center"/>
          </w:tcPr>
          <w:p w14:paraId="01F50D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14:paraId="4EFBAC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外表清洁，触点完好，无过热现象，无噪音</w:t>
            </w:r>
          </w:p>
        </w:tc>
      </w:tr>
      <w:tr w14:paraId="4D667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14:paraId="3DB6C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186" w:type="dxa"/>
            <w:noWrap w:val="0"/>
            <w:vAlign w:val="center"/>
          </w:tcPr>
          <w:p w14:paraId="3FD8BA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958" w:type="dxa"/>
            <w:noWrap w:val="0"/>
            <w:vAlign w:val="center"/>
          </w:tcPr>
          <w:p w14:paraId="207D3B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14:paraId="7D5CCD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14:paraId="226FD9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14:paraId="400674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186" w:type="dxa"/>
            <w:noWrap w:val="0"/>
            <w:vAlign w:val="center"/>
          </w:tcPr>
          <w:p w14:paraId="53ACD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指示灯、按钮转换开关</w:t>
            </w:r>
          </w:p>
        </w:tc>
        <w:tc>
          <w:tcPr>
            <w:tcW w:w="958" w:type="dxa"/>
            <w:noWrap w:val="0"/>
            <w:vAlign w:val="center"/>
          </w:tcPr>
          <w:p w14:paraId="1D3592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14:paraId="66BD0A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外表清洁，标志清晰，牢固可靠，转动灵活</w:t>
            </w:r>
          </w:p>
        </w:tc>
      </w:tr>
      <w:tr w14:paraId="6F05C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noWrap w:val="0"/>
            <w:vAlign w:val="center"/>
          </w:tcPr>
          <w:p w14:paraId="7D6DD5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186" w:type="dxa"/>
            <w:noWrap w:val="0"/>
            <w:vAlign w:val="center"/>
          </w:tcPr>
          <w:p w14:paraId="2D6C28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电容无功补偿</w:t>
            </w:r>
          </w:p>
        </w:tc>
        <w:tc>
          <w:tcPr>
            <w:tcW w:w="958" w:type="dxa"/>
            <w:noWrap w:val="0"/>
            <w:vAlign w:val="center"/>
          </w:tcPr>
          <w:p w14:paraId="68ACDE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710" w:type="dxa"/>
            <w:noWrap w:val="0"/>
            <w:vAlign w:val="center"/>
          </w:tcPr>
          <w:p w14:paraId="463339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电容接触器良好，电容补偿三相平衡，电容器无发热膨胀，也不冰冷，接头不发热变色</w:t>
            </w:r>
          </w:p>
        </w:tc>
      </w:tr>
      <w:tr w14:paraId="364E0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bottom w:val="single" w:color="auto" w:sz="4" w:space="0"/>
            </w:tcBorders>
            <w:noWrap w:val="0"/>
            <w:vAlign w:val="center"/>
          </w:tcPr>
          <w:p w14:paraId="305F08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2186" w:type="dxa"/>
            <w:tcBorders>
              <w:bottom w:val="single" w:color="auto" w:sz="4" w:space="0"/>
            </w:tcBorders>
            <w:noWrap w:val="0"/>
            <w:vAlign w:val="center"/>
          </w:tcPr>
          <w:p w14:paraId="2413C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母线排</w:t>
            </w:r>
          </w:p>
        </w:tc>
        <w:tc>
          <w:tcPr>
            <w:tcW w:w="958" w:type="dxa"/>
            <w:tcBorders>
              <w:bottom w:val="single" w:color="auto" w:sz="4" w:space="0"/>
            </w:tcBorders>
            <w:noWrap w:val="0"/>
            <w:vAlign w:val="center"/>
          </w:tcPr>
          <w:p w14:paraId="1EABFA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bottom w:val="single" w:color="auto" w:sz="4" w:space="0"/>
            </w:tcBorders>
            <w:noWrap w:val="0"/>
            <w:vAlign w:val="center"/>
          </w:tcPr>
          <w:p w14:paraId="145424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压接良好，色标清晰，绝缘良好</w:t>
            </w:r>
          </w:p>
        </w:tc>
      </w:tr>
      <w:tr w14:paraId="6E3F8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4" w:type="dxa"/>
            <w:tcBorders>
              <w:top w:val="single" w:color="auto" w:sz="4" w:space="0"/>
              <w:bottom w:val="single" w:color="auto" w:sz="8" w:space="0"/>
            </w:tcBorders>
            <w:noWrap w:val="0"/>
            <w:vAlign w:val="center"/>
          </w:tcPr>
          <w:p w14:paraId="79CB5B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186" w:type="dxa"/>
            <w:tcBorders>
              <w:top w:val="single" w:color="auto" w:sz="4" w:space="0"/>
              <w:bottom w:val="single" w:color="auto" w:sz="8" w:space="0"/>
            </w:tcBorders>
            <w:noWrap w:val="0"/>
            <w:vAlign w:val="center"/>
          </w:tcPr>
          <w:p w14:paraId="58EEDF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配电屏对地测试</w:t>
            </w:r>
          </w:p>
        </w:tc>
        <w:tc>
          <w:tcPr>
            <w:tcW w:w="958" w:type="dxa"/>
            <w:tcBorders>
              <w:top w:val="single" w:color="auto" w:sz="4" w:space="0"/>
              <w:bottom w:val="single" w:color="auto" w:sz="8" w:space="0"/>
            </w:tcBorders>
            <w:noWrap w:val="0"/>
            <w:vAlign w:val="center"/>
          </w:tcPr>
          <w:p w14:paraId="608F73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710" w:type="dxa"/>
            <w:tcBorders>
              <w:top w:val="single" w:color="auto" w:sz="4" w:space="0"/>
              <w:bottom w:val="single" w:color="auto" w:sz="8" w:space="0"/>
            </w:tcBorders>
            <w:noWrap w:val="0"/>
            <w:vAlign w:val="center"/>
          </w:tcPr>
          <w:p w14:paraId="46DBC9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接地良好</w:t>
            </w:r>
          </w:p>
        </w:tc>
      </w:tr>
    </w:tbl>
    <w:p w14:paraId="38AFBD4A">
      <w:pPr>
        <w:pStyle w:val="67"/>
        <w:tabs>
          <w:tab w:val="clear" w:pos="360"/>
        </w:tabs>
        <w:spacing w:before="120" w:after="120" w:line="24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发电机组定期维护要求</w:t>
      </w:r>
    </w:p>
    <w:tbl>
      <w:tblPr>
        <w:tblStyle w:val="25"/>
        <w:tblW w:w="87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89"/>
        <w:gridCol w:w="1140"/>
        <w:gridCol w:w="4604"/>
      </w:tblGrid>
      <w:tr w14:paraId="7EBA0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bottom w:val="single" w:color="auto" w:sz="8" w:space="0"/>
            </w:tcBorders>
            <w:noWrap w:val="0"/>
            <w:vAlign w:val="center"/>
          </w:tcPr>
          <w:p w14:paraId="380265A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9" w:type="dxa"/>
            <w:tcBorders>
              <w:top w:val="single" w:color="auto" w:sz="8" w:space="0"/>
              <w:bottom w:val="single" w:color="auto" w:sz="8" w:space="0"/>
            </w:tcBorders>
            <w:noWrap w:val="0"/>
            <w:vAlign w:val="center"/>
          </w:tcPr>
          <w:p w14:paraId="58A99CA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40" w:type="dxa"/>
            <w:tcBorders>
              <w:top w:val="single" w:color="auto" w:sz="8" w:space="0"/>
              <w:bottom w:val="single" w:color="auto" w:sz="8" w:space="0"/>
            </w:tcBorders>
            <w:noWrap w:val="0"/>
            <w:vAlign w:val="center"/>
          </w:tcPr>
          <w:p w14:paraId="3822332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604" w:type="dxa"/>
            <w:tcBorders>
              <w:top w:val="single" w:color="auto" w:sz="8" w:space="0"/>
              <w:bottom w:val="single" w:color="auto" w:sz="8" w:space="0"/>
            </w:tcBorders>
            <w:noWrap w:val="0"/>
            <w:vAlign w:val="center"/>
          </w:tcPr>
          <w:p w14:paraId="4843C8D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39E35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op w:val="single" w:color="auto" w:sz="8" w:space="0"/>
            </w:tcBorders>
            <w:noWrap w:val="0"/>
            <w:vAlign w:val="center"/>
          </w:tcPr>
          <w:p w14:paraId="0DB901D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9" w:type="dxa"/>
            <w:tcBorders>
              <w:top w:val="single" w:color="auto" w:sz="8" w:space="0"/>
            </w:tcBorders>
            <w:noWrap w:val="0"/>
            <w:vAlign w:val="center"/>
          </w:tcPr>
          <w:p w14:paraId="7D2A9D2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常规保养</w:t>
            </w:r>
          </w:p>
        </w:tc>
        <w:tc>
          <w:tcPr>
            <w:tcW w:w="1140" w:type="dxa"/>
            <w:tcBorders>
              <w:top w:val="single" w:color="auto" w:sz="8" w:space="0"/>
            </w:tcBorders>
            <w:noWrap w:val="0"/>
            <w:vAlign w:val="center"/>
          </w:tcPr>
          <w:p w14:paraId="50E0172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w:t>
            </w:r>
          </w:p>
        </w:tc>
        <w:tc>
          <w:tcPr>
            <w:tcW w:w="4604" w:type="dxa"/>
            <w:tcBorders>
              <w:top w:val="single" w:color="auto" w:sz="8" w:space="0"/>
            </w:tcBorders>
            <w:noWrap w:val="0"/>
            <w:vAlign w:val="center"/>
          </w:tcPr>
          <w:p w14:paraId="725F691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日常检查，每月开机二次，每次1小时</w:t>
            </w:r>
          </w:p>
        </w:tc>
      </w:tr>
      <w:tr w14:paraId="54C41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192F334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9" w:type="dxa"/>
            <w:noWrap w:val="0"/>
            <w:vAlign w:val="center"/>
          </w:tcPr>
          <w:p w14:paraId="168AC97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日常维护</w:t>
            </w:r>
          </w:p>
        </w:tc>
        <w:tc>
          <w:tcPr>
            <w:tcW w:w="1140" w:type="dxa"/>
            <w:noWrap w:val="0"/>
            <w:vAlign w:val="center"/>
          </w:tcPr>
          <w:p w14:paraId="2617CEC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w:t>
            </w:r>
          </w:p>
        </w:tc>
        <w:tc>
          <w:tcPr>
            <w:tcW w:w="4604" w:type="dxa"/>
            <w:noWrap w:val="0"/>
            <w:vAlign w:val="center"/>
          </w:tcPr>
          <w:p w14:paraId="1445EF9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按设备需要进行发动实验</w:t>
            </w:r>
          </w:p>
        </w:tc>
      </w:tr>
      <w:tr w14:paraId="29029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2707CAA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089" w:type="dxa"/>
            <w:noWrap w:val="0"/>
            <w:vAlign w:val="center"/>
          </w:tcPr>
          <w:p w14:paraId="3E49717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一级技术保养</w:t>
            </w:r>
          </w:p>
        </w:tc>
        <w:tc>
          <w:tcPr>
            <w:tcW w:w="1140" w:type="dxa"/>
            <w:noWrap w:val="0"/>
            <w:vAlign w:val="center"/>
          </w:tcPr>
          <w:p w14:paraId="7165F8D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604" w:type="dxa"/>
            <w:noWrap w:val="0"/>
            <w:vAlign w:val="center"/>
          </w:tcPr>
          <w:p w14:paraId="73E9660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一个月检测一次</w:t>
            </w:r>
          </w:p>
        </w:tc>
      </w:tr>
      <w:tr w14:paraId="4E307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793B9FD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9" w:type="dxa"/>
            <w:noWrap w:val="0"/>
            <w:vAlign w:val="center"/>
          </w:tcPr>
          <w:p w14:paraId="35541B3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二级技术保养</w:t>
            </w:r>
          </w:p>
        </w:tc>
        <w:tc>
          <w:tcPr>
            <w:tcW w:w="1140" w:type="dxa"/>
            <w:noWrap w:val="0"/>
            <w:vAlign w:val="center"/>
          </w:tcPr>
          <w:p w14:paraId="56F46CE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w:t>
            </w:r>
          </w:p>
        </w:tc>
        <w:tc>
          <w:tcPr>
            <w:tcW w:w="4604" w:type="dxa"/>
            <w:noWrap w:val="0"/>
            <w:vAlign w:val="center"/>
          </w:tcPr>
          <w:p w14:paraId="5ABA59D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半年检测一次</w:t>
            </w:r>
          </w:p>
        </w:tc>
      </w:tr>
      <w:tr w14:paraId="5E1BB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3A01682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9" w:type="dxa"/>
            <w:noWrap w:val="0"/>
            <w:vAlign w:val="center"/>
          </w:tcPr>
          <w:p w14:paraId="00900B3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三级技术保养</w:t>
            </w:r>
          </w:p>
        </w:tc>
        <w:tc>
          <w:tcPr>
            <w:tcW w:w="1140" w:type="dxa"/>
            <w:noWrap w:val="0"/>
            <w:vAlign w:val="center"/>
          </w:tcPr>
          <w:p w14:paraId="1A402FF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4604" w:type="dxa"/>
            <w:noWrap w:val="0"/>
            <w:vAlign w:val="center"/>
          </w:tcPr>
          <w:p w14:paraId="4DB3471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一年检测一次</w:t>
            </w:r>
          </w:p>
        </w:tc>
      </w:tr>
    </w:tbl>
    <w:p w14:paraId="1E87C854">
      <w:pPr>
        <w:pStyle w:val="67"/>
        <w:tabs>
          <w:tab w:val="clear" w:pos="360"/>
        </w:tabs>
        <w:spacing w:before="120" w:after="120" w:line="240" w:lineRule="auto"/>
        <w:ind w:left="0"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消防设施定期维护要求</w:t>
      </w:r>
    </w:p>
    <w:tbl>
      <w:tblPr>
        <w:tblStyle w:val="25"/>
        <w:tblW w:w="86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081"/>
        <w:gridCol w:w="1137"/>
        <w:gridCol w:w="4527"/>
      </w:tblGrid>
      <w:tr w14:paraId="11F34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bottom w:val="single" w:color="auto" w:sz="8" w:space="0"/>
            </w:tcBorders>
            <w:noWrap w:val="0"/>
            <w:vAlign w:val="center"/>
          </w:tcPr>
          <w:p w14:paraId="3414E41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081" w:type="dxa"/>
            <w:tcBorders>
              <w:top w:val="single" w:color="auto" w:sz="8" w:space="0"/>
              <w:bottom w:val="single" w:color="auto" w:sz="8" w:space="0"/>
            </w:tcBorders>
            <w:noWrap w:val="0"/>
            <w:vAlign w:val="center"/>
          </w:tcPr>
          <w:p w14:paraId="0639E22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检查保养项目</w:t>
            </w:r>
          </w:p>
        </w:tc>
        <w:tc>
          <w:tcPr>
            <w:tcW w:w="1137" w:type="dxa"/>
            <w:tcBorders>
              <w:top w:val="single" w:color="auto" w:sz="8" w:space="0"/>
              <w:bottom w:val="single" w:color="auto" w:sz="8" w:space="0"/>
            </w:tcBorders>
            <w:noWrap w:val="0"/>
            <w:vAlign w:val="center"/>
          </w:tcPr>
          <w:p w14:paraId="3572624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周期</w:t>
            </w:r>
          </w:p>
        </w:tc>
        <w:tc>
          <w:tcPr>
            <w:tcW w:w="4527" w:type="dxa"/>
            <w:tcBorders>
              <w:top w:val="single" w:color="auto" w:sz="8" w:space="0"/>
              <w:bottom w:val="single" w:color="auto" w:sz="8" w:space="0"/>
            </w:tcBorders>
            <w:noWrap w:val="0"/>
            <w:vAlign w:val="center"/>
          </w:tcPr>
          <w:p w14:paraId="6CA17A3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具体保养内容</w:t>
            </w:r>
          </w:p>
        </w:tc>
      </w:tr>
      <w:tr w14:paraId="15532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8" w:space="0"/>
            </w:tcBorders>
            <w:noWrap w:val="0"/>
            <w:vAlign w:val="center"/>
          </w:tcPr>
          <w:p w14:paraId="64CA67A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081" w:type="dxa"/>
            <w:tcBorders>
              <w:top w:val="single" w:color="auto" w:sz="8" w:space="0"/>
            </w:tcBorders>
            <w:noWrap w:val="0"/>
            <w:vAlign w:val="center"/>
          </w:tcPr>
          <w:p w14:paraId="6CFDA180">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水泵</w:t>
            </w:r>
          </w:p>
        </w:tc>
        <w:tc>
          <w:tcPr>
            <w:tcW w:w="1137" w:type="dxa"/>
            <w:tcBorders>
              <w:top w:val="single" w:color="auto" w:sz="8" w:space="0"/>
            </w:tcBorders>
            <w:noWrap w:val="0"/>
            <w:vAlign w:val="center"/>
          </w:tcPr>
          <w:p w14:paraId="324597F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tcBorders>
              <w:top w:val="single" w:color="auto" w:sz="8" w:space="0"/>
            </w:tcBorders>
            <w:noWrap w:val="0"/>
            <w:vAlign w:val="center"/>
          </w:tcPr>
          <w:p w14:paraId="18A59F01">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动力正常</w:t>
            </w:r>
          </w:p>
        </w:tc>
      </w:tr>
      <w:tr w14:paraId="63BFE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14:paraId="54A2366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081" w:type="dxa"/>
            <w:noWrap w:val="0"/>
            <w:vAlign w:val="center"/>
          </w:tcPr>
          <w:p w14:paraId="5DD9257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压力</w:t>
            </w:r>
            <w:r>
              <w:rPr>
                <w:rFonts w:hint="eastAsia" w:ascii="宋体" w:hAnsi="宋体" w:eastAsia="宋体" w:cs="宋体"/>
                <w:color w:val="auto"/>
                <w:sz w:val="18"/>
                <w:szCs w:val="18"/>
                <w:highlight w:val="none"/>
              </w:rPr>
              <w:t>仪表</w:t>
            </w:r>
          </w:p>
        </w:tc>
        <w:tc>
          <w:tcPr>
            <w:tcW w:w="1137" w:type="dxa"/>
            <w:noWrap w:val="0"/>
            <w:vAlign w:val="center"/>
          </w:tcPr>
          <w:p w14:paraId="7FE7C6B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14:paraId="375DBB0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显示正常，压力在正常范围内。</w:t>
            </w:r>
          </w:p>
        </w:tc>
      </w:tr>
      <w:tr w14:paraId="1728A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14:paraId="177B210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081" w:type="dxa"/>
            <w:noWrap w:val="0"/>
            <w:vAlign w:val="center"/>
          </w:tcPr>
          <w:p w14:paraId="0BDEB64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控制回路</w:t>
            </w:r>
          </w:p>
        </w:tc>
        <w:tc>
          <w:tcPr>
            <w:tcW w:w="1137" w:type="dxa"/>
            <w:noWrap w:val="0"/>
            <w:vAlign w:val="center"/>
          </w:tcPr>
          <w:p w14:paraId="633EB78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14:paraId="1AB6253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压接良好、标号清晰，绝缘无变色老化</w:t>
            </w:r>
          </w:p>
        </w:tc>
      </w:tr>
      <w:tr w14:paraId="0094D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14:paraId="7083B81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2081" w:type="dxa"/>
            <w:noWrap w:val="0"/>
            <w:vAlign w:val="center"/>
          </w:tcPr>
          <w:p w14:paraId="107F6B7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指示灯</w:t>
            </w:r>
          </w:p>
        </w:tc>
        <w:tc>
          <w:tcPr>
            <w:tcW w:w="1137" w:type="dxa"/>
            <w:noWrap w:val="0"/>
            <w:vAlign w:val="center"/>
          </w:tcPr>
          <w:p w14:paraId="5369CF6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4527" w:type="dxa"/>
            <w:noWrap w:val="0"/>
            <w:vAlign w:val="center"/>
          </w:tcPr>
          <w:p w14:paraId="4F1AA7BB">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无红色故障灯</w:t>
            </w:r>
          </w:p>
        </w:tc>
      </w:tr>
      <w:tr w14:paraId="770ED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noWrap w:val="0"/>
            <w:vAlign w:val="center"/>
          </w:tcPr>
          <w:p w14:paraId="472F3D9D">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081" w:type="dxa"/>
            <w:noWrap w:val="0"/>
            <w:vAlign w:val="center"/>
          </w:tcPr>
          <w:p w14:paraId="09010077">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水箱</w:t>
            </w:r>
          </w:p>
        </w:tc>
        <w:tc>
          <w:tcPr>
            <w:tcW w:w="1137" w:type="dxa"/>
            <w:noWrap w:val="0"/>
            <w:vAlign w:val="center"/>
          </w:tcPr>
          <w:p w14:paraId="1F56B3BF">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月</w:t>
            </w:r>
          </w:p>
        </w:tc>
        <w:tc>
          <w:tcPr>
            <w:tcW w:w="4527" w:type="dxa"/>
            <w:noWrap w:val="0"/>
            <w:vAlign w:val="center"/>
          </w:tcPr>
          <w:p w14:paraId="3EEFA7B4">
            <w:pPr>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水位正常</w:t>
            </w:r>
          </w:p>
        </w:tc>
      </w:tr>
      <w:bookmarkEnd w:id="169"/>
      <w:bookmarkEnd w:id="170"/>
      <w:bookmarkEnd w:id="171"/>
      <w:bookmarkEnd w:id="172"/>
      <w:bookmarkEnd w:id="173"/>
      <w:bookmarkEnd w:id="174"/>
      <w:bookmarkEnd w:id="175"/>
      <w:bookmarkEnd w:id="176"/>
      <w:bookmarkEnd w:id="177"/>
      <w:bookmarkEnd w:id="178"/>
    </w:tbl>
    <w:p w14:paraId="5A5BF1A4">
      <w:pPr>
        <w:pStyle w:val="2"/>
        <w:ind w:firstLine="440"/>
        <w:jc w:val="center"/>
        <w:rPr>
          <w:rFonts w:hint="eastAsia" w:ascii="宋体" w:hAnsi="宋体" w:eastAsia="宋体" w:cs="宋体"/>
          <w:sz w:val="44"/>
          <w:szCs w:val="44"/>
          <w:highlight w:val="none"/>
        </w:rPr>
      </w:pPr>
      <w:bookmarkStart w:id="190" w:name="_Toc491780525"/>
    </w:p>
    <w:p w14:paraId="37708EAA">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00357AB5">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附件四</w:t>
      </w:r>
    </w:p>
    <w:p w14:paraId="236A195E">
      <w:pPr>
        <w:autoSpaceDE w:val="0"/>
        <w:autoSpaceDN w:val="0"/>
        <w:adjustRightInd w:val="0"/>
        <w:spacing w:line="24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考核管理办法</w:t>
      </w:r>
    </w:p>
    <w:p w14:paraId="5CD28691">
      <w:pPr>
        <w:rPr>
          <w:rFonts w:hint="eastAsia" w:ascii="宋体" w:hAnsi="宋体" w:eastAsia="宋体" w:cs="宋体"/>
          <w:highlight w:val="none"/>
          <w:lang w:val="en-US" w:eastAsia="zh-CN"/>
        </w:rPr>
      </w:pPr>
    </w:p>
    <w:p w14:paraId="3F424392">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一、以《高速公路</w:t>
      </w:r>
      <w:r>
        <w:rPr>
          <w:rFonts w:hint="eastAsia" w:ascii="宋体" w:hAnsi="宋体" w:eastAsia="宋体" w:cs="宋体"/>
          <w:color w:val="auto"/>
          <w:kern w:val="0"/>
          <w:sz w:val="21"/>
          <w:szCs w:val="21"/>
          <w:highlight w:val="none"/>
          <w:lang w:eastAsia="zh-CN"/>
        </w:rPr>
        <w:t>停车区</w:t>
      </w:r>
      <w:r>
        <w:rPr>
          <w:rFonts w:hint="eastAsia" w:ascii="宋体" w:hAnsi="宋体" w:eastAsia="宋体" w:cs="宋体"/>
          <w:color w:val="auto"/>
          <w:kern w:val="0"/>
          <w:sz w:val="21"/>
          <w:szCs w:val="21"/>
          <w:highlight w:val="none"/>
        </w:rPr>
        <w:t>物业考核细则保安考核细则》和《浙江省高速公路</w:t>
      </w:r>
      <w:r>
        <w:rPr>
          <w:rFonts w:hint="eastAsia" w:ascii="宋体" w:hAnsi="宋体" w:eastAsia="宋体" w:cs="宋体"/>
          <w:color w:val="auto"/>
          <w:kern w:val="0"/>
          <w:sz w:val="21"/>
          <w:szCs w:val="21"/>
          <w:highlight w:val="none"/>
          <w:lang w:eastAsia="zh-CN"/>
        </w:rPr>
        <w:t>停车区</w:t>
      </w:r>
      <w:r>
        <w:rPr>
          <w:rFonts w:hint="eastAsia" w:ascii="宋体" w:hAnsi="宋体" w:eastAsia="宋体" w:cs="宋体"/>
          <w:color w:val="auto"/>
          <w:kern w:val="0"/>
          <w:sz w:val="21"/>
          <w:szCs w:val="21"/>
          <w:highlight w:val="none"/>
        </w:rPr>
        <w:t>质量评定考核细则》进行考核，评分采取150分满分制，由甲方</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组织对物业项进行月度考核。</w:t>
      </w:r>
    </w:p>
    <w:p w14:paraId="17C66803">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二、考核方式：通过</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日常考核和</w:t>
      </w:r>
      <w:r>
        <w:rPr>
          <w:rFonts w:hint="eastAsia" w:ascii="宋体" w:hAnsi="宋体" w:eastAsia="宋体" w:cs="宋体"/>
          <w:color w:val="auto"/>
          <w:kern w:val="0"/>
          <w:sz w:val="21"/>
          <w:szCs w:val="21"/>
          <w:highlight w:val="none"/>
          <w:lang w:val="en-US" w:eastAsia="zh-CN"/>
        </w:rPr>
        <w:t>季</w:t>
      </w:r>
      <w:r>
        <w:rPr>
          <w:rFonts w:hint="eastAsia" w:ascii="宋体" w:hAnsi="宋体" w:eastAsia="宋体" w:cs="宋体"/>
          <w:color w:val="auto"/>
          <w:kern w:val="0"/>
          <w:sz w:val="21"/>
          <w:szCs w:val="21"/>
          <w:highlight w:val="none"/>
        </w:rPr>
        <w:t>度考核相结合，通过日常检查，对物业管理存在问题以《稽查处罚单》告知物业项目部，</w:t>
      </w:r>
      <w:r>
        <w:rPr>
          <w:rFonts w:hint="eastAsia" w:ascii="宋体" w:hAnsi="宋体" w:eastAsia="宋体" w:cs="宋体"/>
          <w:color w:val="auto"/>
          <w:kern w:val="0"/>
          <w:sz w:val="21"/>
          <w:szCs w:val="21"/>
          <w:highlight w:val="none"/>
          <w:lang w:val="en-US" w:eastAsia="zh-CN"/>
        </w:rPr>
        <w:t>每季度</w:t>
      </w:r>
      <w:r>
        <w:rPr>
          <w:rFonts w:hint="eastAsia" w:ascii="宋体" w:hAnsi="宋体" w:eastAsia="宋体" w:cs="宋体"/>
          <w:color w:val="auto"/>
          <w:kern w:val="0"/>
          <w:sz w:val="21"/>
          <w:szCs w:val="21"/>
          <w:highlight w:val="none"/>
        </w:rPr>
        <w:t>底累积扣分数总计（单项考核可以累积扣分，扣完为止），得出该月度考核分数。</w:t>
      </w:r>
    </w:p>
    <w:p w14:paraId="59AD291E">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三、考核周期：以本</w:t>
      </w:r>
      <w:r>
        <w:rPr>
          <w:rFonts w:hint="eastAsia" w:ascii="宋体" w:hAnsi="宋体" w:eastAsia="宋体" w:cs="宋体"/>
          <w:color w:val="auto"/>
          <w:kern w:val="0"/>
          <w:sz w:val="21"/>
          <w:szCs w:val="21"/>
          <w:highlight w:val="none"/>
          <w:lang w:val="en-US" w:eastAsia="zh-CN"/>
        </w:rPr>
        <w:t>季度</w:t>
      </w:r>
      <w:r>
        <w:rPr>
          <w:rFonts w:hint="eastAsia" w:ascii="宋体" w:hAnsi="宋体" w:eastAsia="宋体" w:cs="宋体"/>
          <w:color w:val="auto"/>
          <w:kern w:val="0"/>
          <w:sz w:val="21"/>
          <w:szCs w:val="21"/>
          <w:highlight w:val="none"/>
        </w:rPr>
        <w:t>自然天数为周期限。</w:t>
      </w:r>
    </w:p>
    <w:p w14:paraId="4A5DA1B6">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四、考核小组：组长：</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主任；副组长：分管物业</w:t>
      </w:r>
      <w:r>
        <w:rPr>
          <w:rFonts w:hint="eastAsia" w:ascii="宋体" w:hAnsi="宋体" w:eastAsia="宋体" w:cs="宋体"/>
          <w:color w:val="auto"/>
          <w:kern w:val="0"/>
          <w:sz w:val="21"/>
          <w:szCs w:val="21"/>
          <w:highlight w:val="none"/>
          <w:lang w:val="en-US" w:eastAsia="zh-CN"/>
        </w:rPr>
        <w:t>管理人员</w:t>
      </w:r>
      <w:r>
        <w:rPr>
          <w:rFonts w:hint="eastAsia" w:ascii="宋体" w:hAnsi="宋体" w:eastAsia="宋体" w:cs="宋体"/>
          <w:color w:val="auto"/>
          <w:kern w:val="0"/>
          <w:sz w:val="21"/>
          <w:szCs w:val="21"/>
          <w:highlight w:val="none"/>
        </w:rPr>
        <w:t>；成员：</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管理人员；</w:t>
      </w:r>
    </w:p>
    <w:p w14:paraId="2E9E0333">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五、物业服务公司对评分有异议的，可向</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主管部门申请复核，经复核改变评分结果的，应予变更或消除。</w:t>
      </w:r>
    </w:p>
    <w:p w14:paraId="04B30A80">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六、评分考核表作为服务合同信用档案的组成部分，检查考核小组有责任向物业服务部门阐明不符合要求项的原因并提出整改建议和意见。 </w:t>
      </w:r>
    </w:p>
    <w:p w14:paraId="2DB2DBFC">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七、奖罚措施</w:t>
      </w:r>
    </w:p>
    <w:p w14:paraId="7E682DA5">
      <w:pPr>
        <w:autoSpaceDE w:val="0"/>
        <w:autoSpaceDN w:val="0"/>
        <w:adjustRightInd w:val="0"/>
        <w:snapToGrid w:val="0"/>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物业项目</w:t>
      </w:r>
      <w:r>
        <w:rPr>
          <w:rFonts w:hint="eastAsia" w:ascii="宋体" w:hAnsi="宋体" w:eastAsia="宋体" w:cs="宋体"/>
          <w:color w:val="auto"/>
          <w:kern w:val="0"/>
          <w:sz w:val="21"/>
          <w:szCs w:val="21"/>
          <w:highlight w:val="none"/>
          <w:lang w:val="en-US" w:eastAsia="zh-CN"/>
        </w:rPr>
        <w:t>季</w:t>
      </w:r>
      <w:r>
        <w:rPr>
          <w:rFonts w:hint="eastAsia" w:ascii="宋体" w:hAnsi="宋体" w:eastAsia="宋体" w:cs="宋体"/>
          <w:color w:val="auto"/>
          <w:kern w:val="0"/>
          <w:sz w:val="21"/>
          <w:szCs w:val="21"/>
          <w:highlight w:val="none"/>
        </w:rPr>
        <w:t>度考核作为物业合同约定考核的重要依据，现场管理人员统计汇总</w:t>
      </w:r>
      <w:r>
        <w:rPr>
          <w:rFonts w:hint="eastAsia" w:ascii="宋体" w:hAnsi="宋体" w:eastAsia="宋体" w:cs="宋体"/>
          <w:color w:val="auto"/>
          <w:kern w:val="0"/>
          <w:sz w:val="21"/>
          <w:szCs w:val="21"/>
          <w:highlight w:val="none"/>
          <w:lang w:eastAsia="zh-CN"/>
        </w:rPr>
        <w:t>服务区</w:t>
      </w:r>
      <w:r>
        <w:rPr>
          <w:rFonts w:hint="eastAsia" w:ascii="宋体" w:hAnsi="宋体" w:eastAsia="宋体" w:cs="宋体"/>
          <w:color w:val="auto"/>
          <w:kern w:val="0"/>
          <w:sz w:val="21"/>
          <w:szCs w:val="21"/>
          <w:highlight w:val="none"/>
        </w:rPr>
        <w:t>考核情况当</w:t>
      </w:r>
      <w:r>
        <w:rPr>
          <w:rFonts w:hint="eastAsia" w:ascii="宋体" w:hAnsi="宋体" w:eastAsia="宋体" w:cs="宋体"/>
          <w:color w:val="auto"/>
          <w:kern w:val="0"/>
          <w:sz w:val="21"/>
          <w:szCs w:val="21"/>
          <w:highlight w:val="none"/>
          <w:lang w:val="en-US" w:eastAsia="zh-CN"/>
        </w:rPr>
        <w:t>季</w:t>
      </w:r>
      <w:r>
        <w:rPr>
          <w:rFonts w:hint="eastAsia" w:ascii="宋体" w:hAnsi="宋体" w:eastAsia="宋体" w:cs="宋体"/>
          <w:color w:val="auto"/>
          <w:kern w:val="0"/>
          <w:sz w:val="21"/>
          <w:szCs w:val="21"/>
          <w:highlight w:val="none"/>
        </w:rPr>
        <w:t>物业考核总分。</w:t>
      </w:r>
    </w:p>
    <w:p w14:paraId="2E15ABAD">
      <w:pPr>
        <w:numPr>
          <w:ilvl w:val="0"/>
          <w:numId w:val="24"/>
        </w:num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定义</w:t>
      </w:r>
    </w:p>
    <w:p w14:paraId="32298B25">
      <w:pPr>
        <w:numPr>
          <w:ilvl w:val="-1"/>
          <w:numId w:val="0"/>
        </w:numPr>
        <w:autoSpaceDE w:val="0"/>
        <w:autoSpaceDN w:val="0"/>
        <w:adjustRightInd w:val="0"/>
        <w:snapToGrid w:val="0"/>
        <w:spacing w:line="240" w:lineRule="auto"/>
        <w:ind w:left="0" w:firstLine="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1、考核奖：</w:t>
      </w:r>
    </w:p>
    <w:p w14:paraId="70380BCC">
      <w:pPr>
        <w:numPr>
          <w:ilvl w:val="0"/>
          <w:numId w:val="25"/>
        </w:numPr>
        <w:autoSpaceDE w:val="0"/>
        <w:autoSpaceDN w:val="0"/>
        <w:adjustRightInd w:val="0"/>
        <w:snapToGrid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物业人员工资总额</w:t>
      </w:r>
      <w:r>
        <w:rPr>
          <w:rFonts w:hint="eastAsia" w:ascii="宋体" w:hAnsi="宋体" w:eastAsia="宋体" w:cs="宋体"/>
          <w:b/>
          <w:bCs/>
          <w:color w:val="auto"/>
          <w:kern w:val="0"/>
          <w:sz w:val="21"/>
          <w:szCs w:val="21"/>
          <w:highlight w:val="none"/>
        </w:rPr>
        <w:t>的</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0%作为考核奖。</w:t>
      </w:r>
    </w:p>
    <w:p w14:paraId="679AD630">
      <w:pPr>
        <w:numPr>
          <w:ilvl w:val="0"/>
          <w:numId w:val="25"/>
        </w:numPr>
        <w:autoSpaceDE w:val="0"/>
        <w:autoSpaceDN w:val="0"/>
        <w:adjustRightInd w:val="0"/>
        <w:snapToGrid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单项考核分数可累计扣分，以单项总分数扣完为止。</w:t>
      </w:r>
    </w:p>
    <w:p w14:paraId="7ECD5470">
      <w:pPr>
        <w:autoSpaceDE w:val="0"/>
        <w:autoSpaceDN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2、考核标准</w:t>
      </w:r>
    </w:p>
    <w:p w14:paraId="2C0FA592">
      <w:pPr>
        <w:autoSpaceDE w:val="0"/>
        <w:autoSpaceDN w:val="0"/>
        <w:adjustRightInd w:val="0"/>
        <w:snapToGrid w:val="0"/>
        <w:spacing w:line="24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按</w:t>
      </w:r>
      <w:r>
        <w:rPr>
          <w:rFonts w:hint="eastAsia" w:ascii="宋体" w:hAnsi="宋体" w:eastAsia="宋体" w:cs="宋体"/>
          <w:color w:val="auto"/>
          <w:kern w:val="0"/>
          <w:sz w:val="21"/>
          <w:szCs w:val="21"/>
          <w:highlight w:val="none"/>
        </w:rPr>
        <w:t>若考核分发放物业考核奖</w:t>
      </w:r>
    </w:p>
    <w:p w14:paraId="794FF0EB">
      <w:pPr>
        <w:autoSpaceDE w:val="0"/>
        <w:autoSpaceDN w:val="0"/>
        <w:adjustRightInd w:val="0"/>
        <w:snapToGrid w:val="0"/>
        <w:spacing w:line="240" w:lineRule="auto"/>
        <w:ind w:firstLine="630"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2）连续</w:t>
      </w:r>
      <w:r>
        <w:rPr>
          <w:rFonts w:hint="eastAsia" w:ascii="宋体" w:hAnsi="宋体" w:eastAsia="宋体" w:cs="宋体"/>
          <w:color w:val="auto"/>
          <w:kern w:val="0"/>
          <w:sz w:val="21"/>
          <w:szCs w:val="21"/>
          <w:highlight w:val="none"/>
          <w:lang w:val="en-US" w:eastAsia="zh-CN"/>
        </w:rPr>
        <w:t>两个季度</w:t>
      </w:r>
      <w:r>
        <w:rPr>
          <w:rFonts w:hint="eastAsia" w:ascii="宋体" w:hAnsi="宋体" w:eastAsia="宋体" w:cs="宋体"/>
          <w:color w:val="auto"/>
          <w:kern w:val="0"/>
          <w:sz w:val="21"/>
          <w:szCs w:val="21"/>
          <w:highlight w:val="none"/>
        </w:rPr>
        <w:t>份若考核分105分以下（不含105分），</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有权单方面解除合同。</w:t>
      </w:r>
    </w:p>
    <w:p w14:paraId="0B05EA40">
      <w:pPr>
        <w:autoSpaceDE w:val="0"/>
        <w:autoSpaceDN w:val="0"/>
        <w:adjustRightInd w:val="0"/>
        <w:snapToGrid w:val="0"/>
        <w:spacing w:line="24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3、考核奖标准</w:t>
      </w:r>
    </w:p>
    <w:p w14:paraId="785BA53D">
      <w:pPr>
        <w:spacing w:line="240" w:lineRule="auto"/>
        <w:ind w:left="28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考核奖标准表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4296"/>
      </w:tblGrid>
      <w:tr w14:paraId="2158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284" w:type="dxa"/>
            <w:noWrap w:val="0"/>
            <w:vAlign w:val="center"/>
          </w:tcPr>
          <w:p w14:paraId="0ED57DCA">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考核分数</w:t>
            </w:r>
          </w:p>
        </w:tc>
        <w:tc>
          <w:tcPr>
            <w:tcW w:w="4296" w:type="dxa"/>
            <w:noWrap w:val="0"/>
            <w:vAlign w:val="center"/>
          </w:tcPr>
          <w:p w14:paraId="389413DE">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w:t>
            </w:r>
          </w:p>
        </w:tc>
      </w:tr>
      <w:tr w14:paraId="07EE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530EC759">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150-135分</w:t>
            </w:r>
          </w:p>
        </w:tc>
        <w:tc>
          <w:tcPr>
            <w:tcW w:w="4296" w:type="dxa"/>
            <w:noWrap w:val="0"/>
            <w:vAlign w:val="center"/>
          </w:tcPr>
          <w:p w14:paraId="6AA32A03">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全额</w:t>
            </w:r>
          </w:p>
        </w:tc>
      </w:tr>
      <w:tr w14:paraId="0DB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38279B56">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135-120分（包括120分）</w:t>
            </w:r>
          </w:p>
        </w:tc>
        <w:tc>
          <w:tcPr>
            <w:tcW w:w="4296" w:type="dxa"/>
            <w:noWrap w:val="0"/>
            <w:vAlign w:val="center"/>
          </w:tcPr>
          <w:p w14:paraId="20BF3973">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考核奖全额*（90%）</w:t>
            </w:r>
          </w:p>
        </w:tc>
      </w:tr>
      <w:tr w14:paraId="00DF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115240B2">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120-105分（包括105分）</w:t>
            </w:r>
          </w:p>
        </w:tc>
        <w:tc>
          <w:tcPr>
            <w:tcW w:w="4296" w:type="dxa"/>
            <w:noWrap w:val="0"/>
            <w:vAlign w:val="center"/>
          </w:tcPr>
          <w:p w14:paraId="449B79AC">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考核奖全额*（70%）</w:t>
            </w:r>
          </w:p>
        </w:tc>
      </w:tr>
      <w:tr w14:paraId="697E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76712F92">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105-90分（包括90分）</w:t>
            </w:r>
          </w:p>
        </w:tc>
        <w:tc>
          <w:tcPr>
            <w:tcW w:w="4296" w:type="dxa"/>
            <w:noWrap w:val="0"/>
            <w:vAlign w:val="center"/>
          </w:tcPr>
          <w:p w14:paraId="59FBA820">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考核奖全额*（50%）</w:t>
            </w:r>
          </w:p>
        </w:tc>
      </w:tr>
      <w:tr w14:paraId="4EA7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2B9868D7">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90-75分（包括75分</w:t>
            </w:r>
          </w:p>
        </w:tc>
        <w:tc>
          <w:tcPr>
            <w:tcW w:w="4296" w:type="dxa"/>
            <w:noWrap w:val="0"/>
            <w:vAlign w:val="center"/>
          </w:tcPr>
          <w:p w14:paraId="095EB95A">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考核奖全额*（30%）</w:t>
            </w:r>
          </w:p>
        </w:tc>
      </w:tr>
      <w:tr w14:paraId="1340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4" w:type="dxa"/>
            <w:noWrap w:val="0"/>
            <w:vAlign w:val="center"/>
          </w:tcPr>
          <w:p w14:paraId="23D1E048">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75分以下</w:t>
            </w:r>
          </w:p>
        </w:tc>
        <w:tc>
          <w:tcPr>
            <w:tcW w:w="4296" w:type="dxa"/>
            <w:noWrap w:val="0"/>
            <w:vAlign w:val="center"/>
          </w:tcPr>
          <w:p w14:paraId="6E9E8A7F">
            <w:pPr>
              <w:autoSpaceDE w:val="0"/>
              <w:autoSpaceDN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r>
    </w:tbl>
    <w:p w14:paraId="39683456">
      <w:pPr>
        <w:pStyle w:val="12"/>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附：物业项目部季度考核评分表</w:t>
      </w:r>
    </w:p>
    <w:p w14:paraId="4771B5FF">
      <w:pPr>
        <w:rPr>
          <w:rFonts w:hint="eastAsia" w:ascii="宋体" w:hAnsi="宋体" w:eastAsia="宋体" w:cs="宋体"/>
          <w:b/>
          <w:bCs/>
          <w:color w:val="auto"/>
          <w:sz w:val="36"/>
          <w:szCs w:val="36"/>
          <w:highlight w:val="none"/>
        </w:rPr>
      </w:pPr>
    </w:p>
    <w:p w14:paraId="4C061A32">
      <w:pPr>
        <w:rPr>
          <w:rFonts w:hint="eastAsia" w:ascii="宋体" w:hAnsi="宋体" w:eastAsia="宋体" w:cs="宋体"/>
          <w:highlight w:val="none"/>
        </w:rPr>
        <w:sectPr>
          <w:footerReference r:id="rId3" w:type="default"/>
          <w:pgSz w:w="11906" w:h="16838"/>
          <w:pgMar w:top="1417" w:right="1417" w:bottom="1361" w:left="1417" w:header="851" w:footer="992" w:gutter="0"/>
          <w:pgNumType w:fmt="decimal" w:start="1"/>
          <w:cols w:space="720" w:num="1"/>
          <w:docGrid w:type="lines" w:linePitch="312" w:charSpace="0"/>
        </w:sectPr>
      </w:pPr>
    </w:p>
    <w:p w14:paraId="662916CD">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color w:val="auto"/>
          <w:sz w:val="21"/>
          <w:szCs w:val="21"/>
          <w:highlight w:val="none"/>
          <w:lang w:val="en-US" w:eastAsia="zh-CN"/>
        </w:rPr>
        <w:t>附件五</w:t>
      </w:r>
    </w:p>
    <w:p w14:paraId="20E09792">
      <w:pPr>
        <w:autoSpaceDE w:val="0"/>
        <w:autoSpaceDN w:val="0"/>
        <w:adjustRightInd w:val="0"/>
        <w:spacing w:line="24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物业季度考核评分表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76"/>
        <w:gridCol w:w="5103"/>
        <w:gridCol w:w="3685"/>
        <w:gridCol w:w="2471"/>
        <w:gridCol w:w="948"/>
      </w:tblGrid>
      <w:tr w14:paraId="53BF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14:paraId="3DB57190">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bookmarkStart w:id="191" w:name="_Hlk14013497"/>
            <w:r>
              <w:rPr>
                <w:rFonts w:hint="eastAsia" w:ascii="宋体" w:hAnsi="宋体" w:eastAsia="宋体" w:cs="宋体"/>
                <w:b/>
                <w:color w:val="auto"/>
                <w:sz w:val="18"/>
                <w:szCs w:val="18"/>
                <w:highlight w:val="none"/>
              </w:rPr>
              <w:t>项目</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538C311B">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考核标准</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0F0727E2">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考核办法</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1D4BD8E3">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扣分事项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03E10F3">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得分</w:t>
            </w:r>
          </w:p>
        </w:tc>
      </w:tr>
      <w:tr w14:paraId="417B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restart"/>
            <w:tcBorders>
              <w:top w:val="single" w:color="auto" w:sz="4" w:space="0"/>
              <w:left w:val="single" w:color="auto" w:sz="4" w:space="0"/>
              <w:right w:val="single" w:color="auto" w:sz="4" w:space="0"/>
            </w:tcBorders>
            <w:noWrap w:val="0"/>
            <w:vAlign w:val="center"/>
          </w:tcPr>
          <w:p w14:paraId="25BC888F">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总</w:t>
            </w:r>
          </w:p>
          <w:p w14:paraId="3053159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体</w:t>
            </w:r>
          </w:p>
          <w:p w14:paraId="1582DD1B">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要</w:t>
            </w:r>
          </w:p>
          <w:p w14:paraId="33492B0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求</w:t>
            </w:r>
          </w:p>
          <w:p w14:paraId="2DD519F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（50分）</w:t>
            </w: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14:paraId="4811269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管</w:t>
            </w:r>
          </w:p>
          <w:p w14:paraId="0D6B451E">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理</w:t>
            </w:r>
          </w:p>
          <w:p w14:paraId="6DAC6B98">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体</w:t>
            </w:r>
          </w:p>
          <w:p w14:paraId="2993C62F">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系</w:t>
            </w:r>
          </w:p>
          <w:p w14:paraId="711F242E">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500FCD52">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1、建立健全物业项目部管理体系；</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4DADC502">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未建立扣2分；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D1DC17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6239DC4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0899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3510AFE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67D67E1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6709D31">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2、物业项目部人员岗位职责明确，责任到位；</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1555BA6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未形成岗位责任扣2分，责任落实不到位扣2-5分；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3B46F3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DEC224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5A98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4CA174B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3114672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196E96F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3、物业公司对项目部每</w:t>
            </w:r>
            <w:r>
              <w:rPr>
                <w:rFonts w:hint="eastAsia" w:ascii="宋体" w:hAnsi="宋体" w:eastAsia="宋体" w:cs="宋体"/>
                <w:color w:val="auto"/>
                <w:sz w:val="18"/>
                <w:szCs w:val="18"/>
                <w:highlight w:val="none"/>
                <w:lang w:eastAsia="zh-CN"/>
              </w:rPr>
              <w:t>季</w:t>
            </w:r>
            <w:r>
              <w:rPr>
                <w:rFonts w:hint="eastAsia" w:ascii="宋体" w:hAnsi="宋体" w:eastAsia="宋体" w:cs="宋体"/>
                <w:color w:val="auto"/>
                <w:sz w:val="18"/>
                <w:szCs w:val="18"/>
                <w:highlight w:val="none"/>
              </w:rPr>
              <w:t>检查不少于</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次；</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7681237">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检查少一次扣2分；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1B2455D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2672C7A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A2B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3BD09E8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6E6DA78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EC9F223">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4、项目管理层以身作则，对队员的工作开展经常性认真检查和指导，有效组织物业人员遵守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的有关规定；</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0B6882BE">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未能落实</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管理需求，扣5分；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0EB0ADD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56D894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CAB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08C10CC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7CFDE1B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88" w:type="dxa"/>
            <w:gridSpan w:val="2"/>
            <w:tcBorders>
              <w:top w:val="single" w:color="auto" w:sz="4" w:space="0"/>
              <w:left w:val="single" w:color="auto" w:sz="4" w:space="0"/>
              <w:bottom w:val="single" w:color="auto" w:sz="4" w:space="0"/>
              <w:right w:val="single" w:color="auto" w:sz="4" w:space="0"/>
            </w:tcBorders>
            <w:noWrap w:val="0"/>
            <w:vAlign w:val="center"/>
          </w:tcPr>
          <w:p w14:paraId="5E81C88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管理体系</w:t>
            </w:r>
            <w:r>
              <w:rPr>
                <w:rFonts w:hint="eastAsia" w:ascii="宋体" w:hAnsi="宋体" w:eastAsia="宋体" w:cs="宋体"/>
                <w:color w:val="auto"/>
                <w:sz w:val="18"/>
                <w:szCs w:val="18"/>
                <w:highlight w:val="none"/>
              </w:rPr>
              <w:t>考核扣分扣完为止。</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1274C23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5E6B2C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52CD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05D8ABD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14:paraId="3C360D73">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规</w:t>
            </w:r>
          </w:p>
          <w:p w14:paraId="66D5B8FF">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章</w:t>
            </w:r>
          </w:p>
          <w:p w14:paraId="3C33D38D">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制</w:t>
            </w:r>
          </w:p>
          <w:p w14:paraId="5C3BBDE3">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度</w:t>
            </w:r>
          </w:p>
          <w:p w14:paraId="5BCCE0D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1F76D14D">
            <w:pPr>
              <w:spacing w:line="240" w:lineRule="auto"/>
              <w:jc w:val="left"/>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1、健全内部各项规章制度及应急预案</w:t>
            </w:r>
            <w:r>
              <w:rPr>
                <w:rFonts w:hint="eastAsia" w:ascii="宋体" w:hAnsi="宋体" w:eastAsia="宋体" w:cs="宋体"/>
                <w:bCs/>
                <w:color w:val="auto"/>
                <w:sz w:val="18"/>
                <w:szCs w:val="18"/>
                <w:highlight w:val="none"/>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2B5C9527">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未建立扣5分，不健全扣2扣</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76127A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3CE05A8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10EA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108C9D6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11FF964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814CFAE">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2、熟悉业主单位各项管理制度及应急预案，并有效组织实施；</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4AF8554">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不熟悉扣1分，不能有效组织实施扣2分；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3E673C8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2659B67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097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2317237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54695BD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8E80A35">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3、建立内部岗位绩效考核办法，报业主单位备案；</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22FED87">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未建立绩效考核办法扣2分，未落实考核奖罚办法执行扣5分；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070D7C4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F67E0A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248B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4706E12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6C0F019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88" w:type="dxa"/>
            <w:gridSpan w:val="2"/>
            <w:tcBorders>
              <w:top w:val="single" w:color="auto" w:sz="4" w:space="0"/>
              <w:left w:val="single" w:color="auto" w:sz="4" w:space="0"/>
              <w:bottom w:val="single" w:color="auto" w:sz="4" w:space="0"/>
              <w:right w:val="single" w:color="auto" w:sz="4" w:space="0"/>
            </w:tcBorders>
            <w:noWrap w:val="0"/>
            <w:vAlign w:val="center"/>
          </w:tcPr>
          <w:p w14:paraId="2172D9B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规章制度</w:t>
            </w:r>
            <w:r>
              <w:rPr>
                <w:rFonts w:hint="eastAsia" w:ascii="宋体" w:hAnsi="宋体" w:eastAsia="宋体" w:cs="宋体"/>
                <w:color w:val="auto"/>
                <w:sz w:val="18"/>
                <w:szCs w:val="18"/>
                <w:highlight w:val="none"/>
              </w:rPr>
              <w:t>考核扣分扣完为止。</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64FC12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8F116C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08A9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32694C8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14:paraId="49016D8E">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人</w:t>
            </w:r>
          </w:p>
          <w:p w14:paraId="42E15956">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员</w:t>
            </w:r>
          </w:p>
          <w:p w14:paraId="608EEADA">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配</w:t>
            </w:r>
          </w:p>
          <w:p w14:paraId="0C941BEA">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备</w:t>
            </w:r>
          </w:p>
          <w:p w14:paraId="11940D5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0B0EE07">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1、人员编制符合要求；</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4D3D77CE">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达不到要求，缺少1人扣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连续两个月未整改，该季度考核分扣10分，连续3个月未整改，该季度考核做0分处理。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35EA1B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83B98C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5C01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760FBD6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372A88D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5AA22C7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2、人员招聘符合业主要求；</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24E9F4B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不符合要求的每人扣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986400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346C80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11D1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0D98AC5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7BF2E42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89160B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3、人员上岗证配备达到100%，队伍保持稳定；</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593A8A7">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未</w:t>
            </w:r>
            <w:r>
              <w:rPr>
                <w:rFonts w:hint="eastAsia" w:ascii="宋体" w:hAnsi="宋体" w:eastAsia="宋体" w:cs="宋体"/>
                <w:color w:val="auto"/>
                <w:sz w:val="18"/>
                <w:szCs w:val="18"/>
                <w:highlight w:val="none"/>
                <w:lang w:val="en-US" w:eastAsia="zh-CN"/>
              </w:rPr>
              <w:t>持</w:t>
            </w:r>
            <w:r>
              <w:rPr>
                <w:rFonts w:hint="eastAsia" w:ascii="宋体" w:hAnsi="宋体" w:eastAsia="宋体" w:cs="宋体"/>
                <w:color w:val="auto"/>
                <w:sz w:val="18"/>
                <w:szCs w:val="18"/>
                <w:highlight w:val="none"/>
              </w:rPr>
              <w:t>证上岗证的发现一次扣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分/每人；影响</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工作正常运转扣5分</w:t>
            </w:r>
            <w:r>
              <w:rPr>
                <w:rFonts w:hint="eastAsia" w:ascii="宋体" w:hAnsi="宋体" w:eastAsia="宋体" w:cs="宋体"/>
                <w:color w:val="auto"/>
                <w:sz w:val="18"/>
                <w:szCs w:val="18"/>
                <w:highlight w:val="none"/>
                <w:lang w:eastAsia="zh-CN"/>
              </w:rPr>
              <w:t>；</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1B0BD9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0BD3EA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7F50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1" w:type="dxa"/>
            <w:vMerge w:val="continue"/>
            <w:tcBorders>
              <w:left w:val="single" w:color="auto" w:sz="4" w:space="0"/>
              <w:right w:val="single" w:color="auto" w:sz="4" w:space="0"/>
            </w:tcBorders>
            <w:noWrap w:val="0"/>
            <w:vAlign w:val="top"/>
          </w:tcPr>
          <w:p w14:paraId="16CD0D6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4682B8E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7D4B49C3">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4、人员无犯罪证明、上岗证等信息要到甲方备案，人员花名册每月更新上报甲方备案</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40C9646">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未建立人员信息管理台帐和未</w:t>
            </w:r>
            <w:r>
              <w:rPr>
                <w:rFonts w:hint="eastAsia" w:ascii="宋体" w:hAnsi="宋体" w:eastAsia="宋体" w:cs="宋体"/>
                <w:color w:val="auto"/>
                <w:sz w:val="18"/>
                <w:szCs w:val="18"/>
                <w:highlight w:val="none"/>
                <w:lang w:val="en-US" w:eastAsia="zh-CN"/>
              </w:rPr>
              <w:t>向</w:t>
            </w:r>
            <w:r>
              <w:rPr>
                <w:rFonts w:hint="eastAsia" w:ascii="宋体" w:hAnsi="宋体" w:eastAsia="宋体" w:cs="宋体"/>
                <w:color w:val="auto"/>
                <w:sz w:val="18"/>
                <w:szCs w:val="18"/>
                <w:highlight w:val="none"/>
              </w:rPr>
              <w:t>甲方备案的扣2分；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0780EC6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118E399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4C07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38CE059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top"/>
          </w:tcPr>
          <w:p w14:paraId="193CA6E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88" w:type="dxa"/>
            <w:gridSpan w:val="2"/>
            <w:tcBorders>
              <w:top w:val="single" w:color="auto" w:sz="4" w:space="0"/>
              <w:left w:val="single" w:color="auto" w:sz="4" w:space="0"/>
              <w:bottom w:val="single" w:color="auto" w:sz="4" w:space="0"/>
              <w:right w:val="single" w:color="auto" w:sz="4" w:space="0"/>
            </w:tcBorders>
            <w:noWrap w:val="0"/>
            <w:vAlign w:val="center"/>
          </w:tcPr>
          <w:p w14:paraId="00FF0FA5">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人员配备</w:t>
            </w:r>
            <w:r>
              <w:rPr>
                <w:rFonts w:hint="eastAsia" w:ascii="宋体" w:hAnsi="宋体" w:eastAsia="宋体" w:cs="宋体"/>
                <w:color w:val="auto"/>
                <w:sz w:val="18"/>
                <w:szCs w:val="18"/>
                <w:highlight w:val="none"/>
              </w:rPr>
              <w:t>考核扣分扣完为止。</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1524744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6BDE1C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34B1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54FB512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right w:val="single" w:color="auto" w:sz="4" w:space="0"/>
            </w:tcBorders>
            <w:noWrap w:val="0"/>
            <w:vAlign w:val="center"/>
          </w:tcPr>
          <w:p w14:paraId="4E84044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教</w:t>
            </w:r>
          </w:p>
          <w:p w14:paraId="45C0F70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育</w:t>
            </w:r>
          </w:p>
          <w:p w14:paraId="1810552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培</w:t>
            </w:r>
          </w:p>
          <w:p w14:paraId="29879D2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训</w:t>
            </w:r>
          </w:p>
          <w:p w14:paraId="4EB4D982">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2496EF9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1、制订内部教育培训计划，并按规定执行。</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5ECABE9">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无培训计划扣2分，未按计划组织培训1次扣1分；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3ED2B48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677F410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167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08B30A0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25591BA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7C1B56D4">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2、组织员工开展安全培训，形成岗前安全教育培训台帐；</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17F489E0">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未能做到扣2分；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4370D98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FA029F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0E98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49CE849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4A9DB6A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12A9AD48">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3、积极组织员工参加</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组织各项教育培训活动；</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3107E79">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未能有效组织参加扣2分；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45B99F5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66522C8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24C4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79D5544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1ECDF5D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1D7A0B72">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4、物业项目部每年组织开展员工技能培训活动不少于4次，并形成台帐记录；</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1E977A0D">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未能有效组织实施一次扣2分；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192E0B1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A57131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FF6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5216F04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bottom w:val="single" w:color="auto" w:sz="4" w:space="0"/>
              <w:right w:val="single" w:color="auto" w:sz="4" w:space="0"/>
            </w:tcBorders>
            <w:noWrap w:val="0"/>
            <w:vAlign w:val="top"/>
          </w:tcPr>
          <w:p w14:paraId="16813B4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top"/>
          </w:tcPr>
          <w:p w14:paraId="00C411A6">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教育培训</w:t>
            </w:r>
            <w:r>
              <w:rPr>
                <w:rFonts w:hint="eastAsia" w:ascii="宋体" w:hAnsi="宋体" w:eastAsia="宋体" w:cs="宋体"/>
                <w:color w:val="auto"/>
                <w:sz w:val="18"/>
                <w:szCs w:val="18"/>
                <w:highlight w:val="none"/>
              </w:rPr>
              <w:t>考核扣分扣完为止。</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5D2F6DAB">
            <w:pPr>
              <w:spacing w:line="240" w:lineRule="auto"/>
              <w:jc w:val="left"/>
              <w:rPr>
                <w:rFonts w:hint="eastAsia" w:ascii="宋体" w:hAnsi="宋体" w:eastAsia="宋体" w:cs="宋体"/>
                <w:color w:val="auto"/>
                <w:sz w:val="18"/>
                <w:szCs w:val="18"/>
                <w:highlight w:val="none"/>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58F4310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0DD04A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651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3DE3D50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restart"/>
            <w:tcBorders>
              <w:top w:val="single" w:color="auto" w:sz="4" w:space="0"/>
              <w:left w:val="single" w:color="auto" w:sz="4" w:space="0"/>
              <w:right w:val="single" w:color="auto" w:sz="4" w:space="0"/>
            </w:tcBorders>
            <w:noWrap w:val="0"/>
            <w:vAlign w:val="top"/>
          </w:tcPr>
          <w:p w14:paraId="3A41401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w:t>
            </w:r>
          </w:p>
          <w:p w14:paraId="2AD1977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w:t>
            </w:r>
          </w:p>
          <w:p w14:paraId="2386299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w:t>
            </w:r>
          </w:p>
          <w:p w14:paraId="0127DBE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w:t>
            </w:r>
          </w:p>
          <w:p w14:paraId="6EB5AE1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（10分）</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B7C20A1">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1、制定保安巡逻制度，按规定组织开展日常巡视和安全检查。</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5999955">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未制定巡逻制度扣2分，日常巡查或检查不到位扣</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分/次。</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0D257EF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35C5231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41C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1732206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75EDD0D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7EA96C6C">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2、定期开展安全检查工作，发现安全隐患，进行记录登记和上报，及落实整改及防范措施；</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E36A035">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未及时发现安全隐患扣</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分/次，安全隐患整改落实不到位扣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分/次。</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069B60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2324BE5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3B6D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362E50D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7BA2ECA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598B37FB">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3、现场安全措施落实到位，无“三违”现象。</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46B24E94">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违反一次扣5分/次。</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63D387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DC29BB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4C92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73545D0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25B2652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2AAF8FC">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4、物业公司组织技术力量每季对</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设施设备定期开展检查与指导，并形成书面报告</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236B370">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未能做到一次扣5分。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57ACAB5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4CD6F3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788F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7D6A383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4CAF664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D44DF0B">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5、应急突发事件处置及时，响应迅速有效，措施到位。</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52CD546">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处置不及时或处置方法不当，发现一次扣5分。</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2145478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FBAC96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6719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right w:val="single" w:color="auto" w:sz="4" w:space="0"/>
            </w:tcBorders>
            <w:noWrap w:val="0"/>
            <w:vAlign w:val="top"/>
          </w:tcPr>
          <w:p w14:paraId="5184FC5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right w:val="single" w:color="auto" w:sz="4" w:space="0"/>
            </w:tcBorders>
            <w:noWrap w:val="0"/>
            <w:vAlign w:val="top"/>
          </w:tcPr>
          <w:p w14:paraId="24E9907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E70B01B">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6、不得出现责任性安全生产事故，因物业管理不当造成安全生产事故。</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5E30D728">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当月考核0分处理，并按合同约定，承担相应经济责任。</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4FB7841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37CD0F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tr w14:paraId="2FFD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tcBorders>
              <w:left w:val="single" w:color="auto" w:sz="4" w:space="0"/>
              <w:bottom w:val="single" w:color="auto" w:sz="4" w:space="0"/>
              <w:right w:val="single" w:color="auto" w:sz="4" w:space="0"/>
            </w:tcBorders>
            <w:noWrap w:val="0"/>
            <w:vAlign w:val="top"/>
          </w:tcPr>
          <w:p w14:paraId="6D38764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876" w:type="dxa"/>
            <w:vMerge w:val="continue"/>
            <w:tcBorders>
              <w:left w:val="single" w:color="auto" w:sz="4" w:space="0"/>
              <w:bottom w:val="single" w:color="auto" w:sz="4" w:space="0"/>
              <w:right w:val="single" w:color="auto" w:sz="4" w:space="0"/>
            </w:tcBorders>
            <w:noWrap w:val="0"/>
            <w:vAlign w:val="top"/>
          </w:tcPr>
          <w:p w14:paraId="378F682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5103" w:type="dxa"/>
            <w:tcBorders>
              <w:top w:val="single" w:color="auto" w:sz="4" w:space="0"/>
              <w:left w:val="single" w:color="auto" w:sz="4" w:space="0"/>
              <w:bottom w:val="single" w:color="auto" w:sz="4" w:space="0"/>
              <w:right w:val="single" w:color="auto" w:sz="4" w:space="0"/>
            </w:tcBorders>
            <w:noWrap w:val="0"/>
            <w:vAlign w:val="center"/>
          </w:tcPr>
          <w:p w14:paraId="58C5C510">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lang w:val="en-US" w:eastAsia="zh-CN"/>
              </w:rPr>
              <w:t>安全生产</w:t>
            </w:r>
            <w:r>
              <w:rPr>
                <w:rFonts w:hint="eastAsia" w:ascii="宋体" w:hAnsi="宋体" w:eastAsia="宋体" w:cs="宋体"/>
                <w:color w:val="auto"/>
                <w:sz w:val="18"/>
                <w:szCs w:val="18"/>
                <w:highlight w:val="none"/>
              </w:rPr>
              <w:t>考核扣分扣完为止。</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10763815">
            <w:pPr>
              <w:spacing w:line="240" w:lineRule="auto"/>
              <w:jc w:val="left"/>
              <w:rPr>
                <w:rFonts w:hint="eastAsia" w:ascii="宋体" w:hAnsi="宋体" w:eastAsia="宋体" w:cs="宋体"/>
                <w:color w:val="auto"/>
                <w:kern w:val="2"/>
                <w:sz w:val="18"/>
                <w:szCs w:val="18"/>
                <w:highlight w:val="none"/>
                <w:lang w:val="en-US" w:eastAsia="zh-CN" w:bidi="ar-SA"/>
              </w:rPr>
            </w:pPr>
          </w:p>
        </w:tc>
        <w:tc>
          <w:tcPr>
            <w:tcW w:w="2471" w:type="dxa"/>
            <w:tcBorders>
              <w:top w:val="single" w:color="auto" w:sz="4" w:space="0"/>
              <w:left w:val="single" w:color="auto" w:sz="4" w:space="0"/>
              <w:bottom w:val="single" w:color="auto" w:sz="4" w:space="0"/>
              <w:right w:val="single" w:color="auto" w:sz="4" w:space="0"/>
            </w:tcBorders>
            <w:noWrap w:val="0"/>
            <w:vAlign w:val="top"/>
          </w:tcPr>
          <w:p w14:paraId="01776CF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76F374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highlight w:val="none"/>
              </w:rPr>
            </w:pPr>
          </w:p>
        </w:tc>
      </w:tr>
      <w:bookmarkEnd w:id="191"/>
    </w:tbl>
    <w:p w14:paraId="5B5CC5AC">
      <w:pPr>
        <w:tabs>
          <w:tab w:val="left" w:pos="540"/>
          <w:tab w:val="left" w:pos="720"/>
        </w:tabs>
        <w:adjustRightInd w:val="0"/>
        <w:snapToGrid w:val="0"/>
        <w:spacing w:line="240" w:lineRule="auto"/>
        <w:ind w:left="410" w:hanging="307" w:hangingChars="170"/>
        <w:jc w:val="both"/>
        <w:rPr>
          <w:rFonts w:hint="default" w:ascii="宋体" w:hAnsi="宋体" w:eastAsia="宋体" w:cs="宋体"/>
          <w:b/>
          <w:color w:val="auto"/>
          <w:sz w:val="18"/>
          <w:szCs w:val="18"/>
          <w:highlight w:val="none"/>
          <w:lang w:val="en-US" w:eastAsia="zh-CN"/>
        </w:rPr>
      </w:pPr>
    </w:p>
    <w:tbl>
      <w:tblPr>
        <w:tblStyle w:val="25"/>
        <w:tblpPr w:leftFromText="180" w:rightFromText="180" w:vertAnchor="text" w:horzAnchor="page" w:tblpXSpec="center" w:tblpY="1"/>
        <w:tblOverlap w:val="never"/>
        <w:tblW w:w="13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88"/>
        <w:gridCol w:w="5340"/>
        <w:gridCol w:w="3420"/>
        <w:gridCol w:w="2472"/>
        <w:gridCol w:w="948"/>
      </w:tblGrid>
      <w:tr w14:paraId="7CA1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02" w:type="dxa"/>
            <w:gridSpan w:val="2"/>
            <w:tcBorders>
              <w:top w:val="single" w:color="auto" w:sz="4" w:space="0"/>
              <w:left w:val="single" w:color="auto" w:sz="4" w:space="0"/>
              <w:bottom w:val="single" w:color="auto" w:sz="4" w:space="0"/>
              <w:right w:val="single" w:color="auto" w:sz="4" w:space="0"/>
            </w:tcBorders>
            <w:noWrap w:val="0"/>
            <w:vAlign w:val="center"/>
          </w:tcPr>
          <w:p w14:paraId="775E12EA">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项目</w:t>
            </w:r>
          </w:p>
        </w:tc>
        <w:tc>
          <w:tcPr>
            <w:tcW w:w="5340" w:type="dxa"/>
            <w:tcBorders>
              <w:top w:val="single" w:color="auto" w:sz="4" w:space="0"/>
              <w:left w:val="single" w:color="auto" w:sz="4" w:space="0"/>
              <w:bottom w:val="single" w:color="auto" w:sz="4" w:space="0"/>
              <w:right w:val="single" w:color="auto" w:sz="4" w:space="0"/>
            </w:tcBorders>
            <w:noWrap w:val="0"/>
            <w:vAlign w:val="center"/>
          </w:tcPr>
          <w:p w14:paraId="5D68B862">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考核标准</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074549D">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考核办法</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F5D5A1E">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扣分事项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A3C9D9E">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得分</w:t>
            </w:r>
          </w:p>
        </w:tc>
      </w:tr>
      <w:tr w14:paraId="60FF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restart"/>
            <w:tcBorders>
              <w:top w:val="single" w:color="auto" w:sz="4" w:space="0"/>
              <w:left w:val="single" w:color="auto" w:sz="4" w:space="0"/>
              <w:right w:val="single" w:color="auto" w:sz="4" w:space="0"/>
            </w:tcBorders>
            <w:noWrap w:val="0"/>
            <w:vAlign w:val="center"/>
          </w:tcPr>
          <w:p w14:paraId="779EEED6">
            <w:pPr>
              <w:spacing w:line="240" w:lineRule="auto"/>
              <w:jc w:val="center"/>
              <w:rPr>
                <w:rFonts w:hint="eastAsia" w:ascii="宋体" w:hAnsi="宋体" w:eastAsia="宋体" w:cs="宋体"/>
                <w:color w:val="auto"/>
                <w:sz w:val="18"/>
                <w:szCs w:val="18"/>
                <w:highlight w:val="none"/>
              </w:rPr>
            </w:pPr>
          </w:p>
          <w:p w14:paraId="763015D2">
            <w:pPr>
              <w:spacing w:line="240" w:lineRule="auto"/>
              <w:jc w:val="center"/>
              <w:rPr>
                <w:rFonts w:hint="eastAsia" w:ascii="宋体" w:hAnsi="宋体" w:eastAsia="宋体" w:cs="宋体"/>
                <w:color w:val="auto"/>
                <w:sz w:val="18"/>
                <w:szCs w:val="18"/>
                <w:highlight w:val="none"/>
              </w:rPr>
            </w:pPr>
          </w:p>
          <w:p w14:paraId="68D24A00">
            <w:pPr>
              <w:spacing w:line="240" w:lineRule="auto"/>
              <w:jc w:val="center"/>
              <w:rPr>
                <w:rFonts w:hint="eastAsia" w:ascii="宋体" w:hAnsi="宋体" w:eastAsia="宋体" w:cs="宋体"/>
                <w:color w:val="auto"/>
                <w:sz w:val="18"/>
                <w:szCs w:val="18"/>
                <w:highlight w:val="none"/>
              </w:rPr>
            </w:pPr>
          </w:p>
          <w:p w14:paraId="10BB077E">
            <w:pPr>
              <w:spacing w:line="240" w:lineRule="auto"/>
              <w:jc w:val="center"/>
              <w:rPr>
                <w:rFonts w:hint="eastAsia" w:ascii="宋体" w:hAnsi="宋体" w:eastAsia="宋体" w:cs="宋体"/>
                <w:color w:val="auto"/>
                <w:sz w:val="18"/>
                <w:szCs w:val="18"/>
                <w:highlight w:val="none"/>
              </w:rPr>
            </w:pPr>
          </w:p>
          <w:p w14:paraId="4E6892F0">
            <w:pPr>
              <w:spacing w:line="240" w:lineRule="auto"/>
              <w:jc w:val="center"/>
              <w:rPr>
                <w:rFonts w:hint="eastAsia" w:ascii="宋体" w:hAnsi="宋体" w:eastAsia="宋体" w:cs="宋体"/>
                <w:color w:val="auto"/>
                <w:sz w:val="18"/>
                <w:szCs w:val="18"/>
                <w:highlight w:val="none"/>
              </w:rPr>
            </w:pPr>
          </w:p>
          <w:p w14:paraId="4F7E103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w:t>
            </w:r>
          </w:p>
          <w:p w14:paraId="26466FD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量</w:t>
            </w:r>
          </w:p>
          <w:p w14:paraId="4F69A00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w:t>
            </w:r>
          </w:p>
          <w:p w14:paraId="31ABD8A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w:t>
            </w:r>
          </w:p>
          <w:p w14:paraId="01B09B4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5分）</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40F1103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p w14:paraId="46EBA9B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大</w:t>
            </w:r>
          </w:p>
          <w:p w14:paraId="3FF5D70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禁</w:t>
            </w:r>
          </w:p>
          <w:p w14:paraId="54C7717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令</w:t>
            </w:r>
          </w:p>
          <w:p w14:paraId="79C4EE1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340" w:type="dxa"/>
            <w:tcBorders>
              <w:top w:val="single" w:color="auto" w:sz="4" w:space="0"/>
              <w:left w:val="single" w:color="auto" w:sz="4" w:space="0"/>
              <w:bottom w:val="single" w:color="auto" w:sz="4" w:space="0"/>
              <w:right w:val="single" w:color="auto" w:sz="4" w:space="0"/>
            </w:tcBorders>
            <w:noWrap w:val="0"/>
            <w:vAlign w:val="center"/>
          </w:tcPr>
          <w:p w14:paraId="55AF953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1、严禁员工将</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物品占为自有。</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08F1AF8F">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违者辞退处理，项目部月度考核扣10分，罚款500元/次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1F464AE4">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E3FABE1">
            <w:pPr>
              <w:spacing w:line="240" w:lineRule="auto"/>
              <w:jc w:val="left"/>
              <w:rPr>
                <w:rFonts w:hint="eastAsia" w:ascii="宋体" w:hAnsi="宋体" w:eastAsia="宋体" w:cs="宋体"/>
                <w:color w:val="auto"/>
                <w:sz w:val="18"/>
                <w:szCs w:val="18"/>
                <w:highlight w:val="none"/>
              </w:rPr>
            </w:pPr>
          </w:p>
        </w:tc>
      </w:tr>
      <w:tr w14:paraId="7BA3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30D29A76">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7F98EF36">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2E0381C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2、严禁员工利用公共区域私卖物品，谋取私利。</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41319D4B">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450EE61C">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1D782A14">
            <w:pPr>
              <w:spacing w:line="240" w:lineRule="auto"/>
              <w:jc w:val="left"/>
              <w:rPr>
                <w:rFonts w:hint="eastAsia" w:ascii="宋体" w:hAnsi="宋体" w:eastAsia="宋体" w:cs="宋体"/>
                <w:color w:val="auto"/>
                <w:sz w:val="18"/>
                <w:szCs w:val="18"/>
                <w:highlight w:val="none"/>
              </w:rPr>
            </w:pPr>
          </w:p>
        </w:tc>
      </w:tr>
      <w:tr w14:paraId="37AA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1422EB8B">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630DAE27">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6127924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3、严禁员工向</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商家“吃、拿、卡、要”。</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72CAE40E">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29DF7807">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EE41378">
            <w:pPr>
              <w:spacing w:line="240" w:lineRule="auto"/>
              <w:jc w:val="left"/>
              <w:rPr>
                <w:rFonts w:hint="eastAsia" w:ascii="宋体" w:hAnsi="宋体" w:eastAsia="宋体" w:cs="宋体"/>
                <w:color w:val="auto"/>
                <w:sz w:val="18"/>
                <w:szCs w:val="18"/>
                <w:highlight w:val="none"/>
              </w:rPr>
            </w:pPr>
          </w:p>
        </w:tc>
      </w:tr>
      <w:tr w14:paraId="7C4F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651A5AB7">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70815A7F">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6519B35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4、严禁员工与司乘人员吵闹、殴打。</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64FEB745">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061AE347">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CE88C37">
            <w:pPr>
              <w:spacing w:line="240" w:lineRule="auto"/>
              <w:jc w:val="left"/>
              <w:rPr>
                <w:rFonts w:hint="eastAsia" w:ascii="宋体" w:hAnsi="宋体" w:eastAsia="宋体" w:cs="宋体"/>
                <w:color w:val="auto"/>
                <w:sz w:val="18"/>
                <w:szCs w:val="18"/>
                <w:highlight w:val="none"/>
              </w:rPr>
            </w:pPr>
          </w:p>
        </w:tc>
      </w:tr>
      <w:tr w14:paraId="165B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5BDFC0F6">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745ECC87">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38EED0D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5、严禁聚众赌博、班中饮酒、员工之间打架等</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2315D833">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08C7C591">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3423B4ED">
            <w:pPr>
              <w:spacing w:line="240" w:lineRule="auto"/>
              <w:jc w:val="left"/>
              <w:rPr>
                <w:rFonts w:hint="eastAsia" w:ascii="宋体" w:hAnsi="宋体" w:eastAsia="宋体" w:cs="宋体"/>
                <w:color w:val="auto"/>
                <w:sz w:val="18"/>
                <w:szCs w:val="18"/>
                <w:highlight w:val="none"/>
              </w:rPr>
            </w:pPr>
          </w:p>
        </w:tc>
      </w:tr>
      <w:tr w14:paraId="327B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3779589A">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292F8BFD">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388AC59C">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6、严禁利用工作之便偷盗、侵吞公共财物或串通外来人员进行违法行为。</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62CF6791">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779CD163">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6106168F">
            <w:pPr>
              <w:spacing w:line="240" w:lineRule="auto"/>
              <w:jc w:val="left"/>
              <w:rPr>
                <w:rFonts w:hint="eastAsia" w:ascii="宋体" w:hAnsi="宋体" w:eastAsia="宋体" w:cs="宋体"/>
                <w:color w:val="auto"/>
                <w:sz w:val="18"/>
                <w:szCs w:val="18"/>
                <w:highlight w:val="none"/>
              </w:rPr>
            </w:pPr>
          </w:p>
        </w:tc>
      </w:tr>
      <w:tr w14:paraId="2D16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07E64976">
            <w:pPr>
              <w:spacing w:line="240" w:lineRule="auto"/>
              <w:jc w:val="left"/>
              <w:rPr>
                <w:rFonts w:hint="eastAsia" w:ascii="宋体" w:hAnsi="宋体" w:eastAsia="宋体" w:cs="宋体"/>
                <w:color w:val="auto"/>
                <w:sz w:val="18"/>
                <w:szCs w:val="18"/>
                <w:highlight w:val="none"/>
              </w:rPr>
            </w:pP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23179C9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劳</w:t>
            </w:r>
          </w:p>
          <w:p w14:paraId="45D1B8C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动</w:t>
            </w:r>
          </w:p>
          <w:p w14:paraId="476E9C8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纪</w:t>
            </w:r>
          </w:p>
          <w:p w14:paraId="2173C72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律</w:t>
            </w:r>
          </w:p>
          <w:p w14:paraId="01DE302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c>
          <w:tcPr>
            <w:tcW w:w="5340" w:type="dxa"/>
            <w:tcBorders>
              <w:top w:val="single" w:color="auto" w:sz="4" w:space="0"/>
              <w:left w:val="single" w:color="auto" w:sz="4" w:space="0"/>
              <w:bottom w:val="single" w:color="auto" w:sz="4" w:space="0"/>
              <w:right w:val="single" w:color="auto" w:sz="4" w:space="0"/>
            </w:tcBorders>
            <w:noWrap w:val="0"/>
            <w:vAlign w:val="center"/>
          </w:tcPr>
          <w:p w14:paraId="7F50EBED">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1、准时上下岗，保证内外现场不断人，交接班必须在现场地交接。</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2DB7B58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val="en-US" w:eastAsia="zh-CN"/>
              </w:rPr>
              <w:t>扣完为止。</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557A0DF4">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4D1EF10">
            <w:pPr>
              <w:spacing w:line="240" w:lineRule="auto"/>
              <w:jc w:val="left"/>
              <w:rPr>
                <w:rFonts w:hint="eastAsia" w:ascii="宋体" w:hAnsi="宋体" w:eastAsia="宋体" w:cs="宋体"/>
                <w:color w:val="auto"/>
                <w:sz w:val="18"/>
                <w:szCs w:val="18"/>
                <w:highlight w:val="none"/>
              </w:rPr>
            </w:pPr>
          </w:p>
        </w:tc>
      </w:tr>
      <w:tr w14:paraId="3757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597BB2D5">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3B5CC194">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66EDB68D">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2、上岗期间不能发生脱岗、睡岗、聚众闲聊、玩游戏等行为。</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0F7F758F">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6BE1E74C">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0ADDD0B">
            <w:pPr>
              <w:spacing w:line="240" w:lineRule="auto"/>
              <w:jc w:val="left"/>
              <w:rPr>
                <w:rFonts w:hint="eastAsia" w:ascii="宋体" w:hAnsi="宋体" w:eastAsia="宋体" w:cs="宋体"/>
                <w:color w:val="auto"/>
                <w:sz w:val="18"/>
                <w:szCs w:val="18"/>
                <w:highlight w:val="none"/>
              </w:rPr>
            </w:pPr>
          </w:p>
        </w:tc>
      </w:tr>
      <w:tr w14:paraId="23C8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56B0E602">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14:paraId="0B354093">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6159C011">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3、按上报的排班表上岗，不发生岗位缺岗。因特殊原因不能按编上岗，应向</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说明，并征得同意。</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03D4D84F">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20BD522E">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3128CAC4">
            <w:pPr>
              <w:spacing w:line="240" w:lineRule="auto"/>
              <w:jc w:val="left"/>
              <w:rPr>
                <w:rFonts w:hint="eastAsia" w:ascii="宋体" w:hAnsi="宋体" w:eastAsia="宋体" w:cs="宋体"/>
                <w:color w:val="auto"/>
                <w:sz w:val="18"/>
                <w:szCs w:val="18"/>
                <w:highlight w:val="none"/>
              </w:rPr>
            </w:pPr>
          </w:p>
        </w:tc>
      </w:tr>
      <w:tr w14:paraId="601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1DBD817D">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56ACC5B4">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53E4D6B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4、上岗期间需配合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稽查人员稽查。</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59ADC533">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52FE5339">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E86A501">
            <w:pPr>
              <w:spacing w:line="240" w:lineRule="auto"/>
              <w:jc w:val="left"/>
              <w:rPr>
                <w:rFonts w:hint="eastAsia" w:ascii="宋体" w:hAnsi="宋体" w:eastAsia="宋体" w:cs="宋体"/>
                <w:color w:val="auto"/>
                <w:sz w:val="18"/>
                <w:szCs w:val="18"/>
                <w:highlight w:val="none"/>
              </w:rPr>
            </w:pPr>
          </w:p>
        </w:tc>
      </w:tr>
      <w:tr w14:paraId="45FC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6C7A8C3E">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5DD612BA">
            <w:pPr>
              <w:spacing w:line="240" w:lineRule="auto"/>
              <w:jc w:val="center"/>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1FCDC2D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5、上岗期间不串岗，当班保安就餐前须落实好替岗人员，轮换就餐，交接班必须在现场交接。</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207A0897">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209CAA41">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94E06F7">
            <w:pPr>
              <w:spacing w:line="240" w:lineRule="auto"/>
              <w:jc w:val="left"/>
              <w:rPr>
                <w:rFonts w:hint="eastAsia" w:ascii="宋体" w:hAnsi="宋体" w:eastAsia="宋体" w:cs="宋体"/>
                <w:color w:val="auto"/>
                <w:sz w:val="18"/>
                <w:szCs w:val="18"/>
                <w:highlight w:val="none"/>
              </w:rPr>
            </w:pPr>
          </w:p>
        </w:tc>
      </w:tr>
      <w:tr w14:paraId="7FC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14" w:type="dxa"/>
            <w:vMerge w:val="continue"/>
            <w:tcBorders>
              <w:left w:val="single" w:color="auto" w:sz="4" w:space="0"/>
              <w:right w:val="single" w:color="auto" w:sz="4" w:space="0"/>
            </w:tcBorders>
            <w:noWrap w:val="0"/>
            <w:vAlign w:val="top"/>
          </w:tcPr>
          <w:p w14:paraId="384306AA">
            <w:pPr>
              <w:spacing w:line="240" w:lineRule="auto"/>
              <w:jc w:val="left"/>
              <w:rPr>
                <w:rFonts w:hint="eastAsia" w:ascii="宋体" w:hAnsi="宋体" w:eastAsia="宋体" w:cs="宋体"/>
                <w:color w:val="auto"/>
                <w:sz w:val="18"/>
                <w:szCs w:val="18"/>
                <w:highlight w:val="none"/>
              </w:rPr>
            </w:pP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14:paraId="2738C18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w:t>
            </w:r>
          </w:p>
          <w:p w14:paraId="2788C82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为</w:t>
            </w:r>
          </w:p>
          <w:p w14:paraId="7F82CDB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w:t>
            </w:r>
          </w:p>
          <w:p w14:paraId="145F724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范</w:t>
            </w:r>
          </w:p>
          <w:p w14:paraId="6419E656">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w:t>
            </w:r>
          </w:p>
        </w:tc>
        <w:tc>
          <w:tcPr>
            <w:tcW w:w="5340" w:type="dxa"/>
            <w:tcBorders>
              <w:top w:val="single" w:color="auto" w:sz="4" w:space="0"/>
              <w:left w:val="single" w:color="auto" w:sz="4" w:space="0"/>
              <w:bottom w:val="single" w:color="auto" w:sz="4" w:space="0"/>
              <w:right w:val="single" w:color="auto" w:sz="4" w:space="0"/>
            </w:tcBorders>
            <w:noWrap w:val="0"/>
            <w:vAlign w:val="center"/>
          </w:tcPr>
          <w:p w14:paraId="0F3BA60D">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1、正确的使用礼貌用语。</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14FE841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6F7DC52D">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4E5B14C">
            <w:pPr>
              <w:spacing w:line="240" w:lineRule="auto"/>
              <w:jc w:val="left"/>
              <w:rPr>
                <w:rFonts w:hint="eastAsia" w:ascii="宋体" w:hAnsi="宋体" w:eastAsia="宋体" w:cs="宋体"/>
                <w:color w:val="auto"/>
                <w:sz w:val="18"/>
                <w:szCs w:val="18"/>
                <w:highlight w:val="none"/>
              </w:rPr>
            </w:pPr>
          </w:p>
        </w:tc>
      </w:tr>
      <w:tr w14:paraId="034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1D496CF7">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1E10DF08">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1D33F18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2、发生司乘人员求助时，应热情服务、积极帮助，不能借故推脱。</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08479303">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27056C2C">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2F9740B1">
            <w:pPr>
              <w:spacing w:line="240" w:lineRule="auto"/>
              <w:jc w:val="left"/>
              <w:rPr>
                <w:rFonts w:hint="eastAsia" w:ascii="宋体" w:hAnsi="宋体" w:eastAsia="宋体" w:cs="宋体"/>
                <w:color w:val="auto"/>
                <w:sz w:val="18"/>
                <w:szCs w:val="18"/>
                <w:highlight w:val="none"/>
              </w:rPr>
            </w:pPr>
          </w:p>
        </w:tc>
      </w:tr>
      <w:tr w14:paraId="4DFB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36407CCA">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79BBC1D3">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06442473">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3、掌握</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所在周边环境、道路交通、服务场所、旅游景点情况，能为司乘人员提供咨询服务。</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05632E98">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7407B298">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8A84A54">
            <w:pPr>
              <w:spacing w:line="240" w:lineRule="auto"/>
              <w:jc w:val="left"/>
              <w:rPr>
                <w:rFonts w:hint="eastAsia" w:ascii="宋体" w:hAnsi="宋体" w:eastAsia="宋体" w:cs="宋体"/>
                <w:color w:val="auto"/>
                <w:sz w:val="18"/>
                <w:szCs w:val="18"/>
                <w:highlight w:val="none"/>
              </w:rPr>
            </w:pPr>
          </w:p>
        </w:tc>
      </w:tr>
      <w:tr w14:paraId="3E7E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2CDBE43C">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256E01DA">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45EC4E6D">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4、仪表、仪容端正、大方；男员工不留长发，不蓄胡须；女员工不浓妆艳抹。</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39A5F493">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4E7FF0DC">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0C2EA54">
            <w:pPr>
              <w:spacing w:line="240" w:lineRule="auto"/>
              <w:jc w:val="left"/>
              <w:rPr>
                <w:rFonts w:hint="eastAsia" w:ascii="宋体" w:hAnsi="宋体" w:eastAsia="宋体" w:cs="宋体"/>
                <w:color w:val="auto"/>
                <w:sz w:val="18"/>
                <w:szCs w:val="18"/>
                <w:highlight w:val="none"/>
              </w:rPr>
            </w:pPr>
          </w:p>
        </w:tc>
      </w:tr>
      <w:tr w14:paraId="5B62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206EB0F2">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6BC5B90D">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326771EE">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5、佩证（工号牌）上岗，证（工号牌）不被遮挡。</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1E70C7A2">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12DCD89F">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16F1374C">
            <w:pPr>
              <w:spacing w:line="240" w:lineRule="auto"/>
              <w:jc w:val="left"/>
              <w:rPr>
                <w:rFonts w:hint="eastAsia" w:ascii="宋体" w:hAnsi="宋体" w:eastAsia="宋体" w:cs="宋体"/>
                <w:color w:val="auto"/>
                <w:sz w:val="18"/>
                <w:szCs w:val="18"/>
                <w:highlight w:val="none"/>
              </w:rPr>
            </w:pPr>
          </w:p>
        </w:tc>
      </w:tr>
      <w:tr w14:paraId="50D8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15BFE0AD">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47CBD365">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7D72E122">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6、上岗时应按规定着工装；夜间、外场必须加着安全标志服。</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563DA52B">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2A225ECC">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14003489">
            <w:pPr>
              <w:spacing w:line="240" w:lineRule="auto"/>
              <w:jc w:val="left"/>
              <w:rPr>
                <w:rFonts w:hint="eastAsia" w:ascii="宋体" w:hAnsi="宋体" w:eastAsia="宋体" w:cs="宋体"/>
                <w:color w:val="auto"/>
                <w:sz w:val="18"/>
                <w:szCs w:val="18"/>
                <w:highlight w:val="none"/>
              </w:rPr>
            </w:pPr>
          </w:p>
        </w:tc>
      </w:tr>
      <w:tr w14:paraId="06C4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0791105B">
            <w:pPr>
              <w:spacing w:line="240" w:lineRule="auto"/>
              <w:jc w:val="left"/>
              <w:rPr>
                <w:rFonts w:hint="eastAsia" w:ascii="宋体" w:hAnsi="宋体" w:eastAsia="宋体" w:cs="宋体"/>
                <w:color w:val="auto"/>
                <w:sz w:val="18"/>
                <w:szCs w:val="18"/>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top"/>
          </w:tcPr>
          <w:p w14:paraId="1C800703">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6A0733BE">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7、熟悉工作岗位职责，保质保量完成交办的各项工作</w:t>
            </w: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673025BC">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6FACD8B6">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D9FA889">
            <w:pPr>
              <w:spacing w:line="240" w:lineRule="auto"/>
              <w:jc w:val="left"/>
              <w:rPr>
                <w:rFonts w:hint="eastAsia" w:ascii="宋体" w:hAnsi="宋体" w:eastAsia="宋体" w:cs="宋体"/>
                <w:color w:val="auto"/>
                <w:sz w:val="18"/>
                <w:szCs w:val="18"/>
                <w:highlight w:val="none"/>
              </w:rPr>
            </w:pPr>
          </w:p>
        </w:tc>
      </w:tr>
      <w:tr w14:paraId="29C3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310A4D02">
            <w:pPr>
              <w:spacing w:line="240" w:lineRule="auto"/>
              <w:jc w:val="left"/>
              <w:rPr>
                <w:rFonts w:hint="eastAsia" w:ascii="宋体" w:hAnsi="宋体" w:eastAsia="宋体" w:cs="宋体"/>
                <w:color w:val="auto"/>
                <w:sz w:val="18"/>
                <w:szCs w:val="18"/>
                <w:highlight w:val="none"/>
              </w:rPr>
            </w:pPr>
          </w:p>
        </w:tc>
        <w:tc>
          <w:tcPr>
            <w:tcW w:w="888" w:type="dxa"/>
            <w:vMerge w:val="restart"/>
            <w:tcBorders>
              <w:top w:val="single" w:color="auto" w:sz="4" w:space="0"/>
              <w:left w:val="single" w:color="auto" w:sz="4" w:space="0"/>
              <w:right w:val="single" w:color="auto" w:sz="4" w:space="0"/>
            </w:tcBorders>
            <w:noWrap w:val="0"/>
            <w:vAlign w:val="center"/>
          </w:tcPr>
          <w:p w14:paraId="3047679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w:t>
            </w:r>
          </w:p>
          <w:p w14:paraId="3917633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帐</w:t>
            </w:r>
          </w:p>
          <w:p w14:paraId="4B6D7C4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w:t>
            </w:r>
          </w:p>
          <w:p w14:paraId="0F23D2B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理</w:t>
            </w:r>
          </w:p>
          <w:p w14:paraId="6E3F5E29">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（5分）</w:t>
            </w:r>
          </w:p>
        </w:tc>
        <w:tc>
          <w:tcPr>
            <w:tcW w:w="5340" w:type="dxa"/>
            <w:tcBorders>
              <w:top w:val="single" w:color="auto" w:sz="4" w:space="0"/>
              <w:left w:val="single" w:color="auto" w:sz="4" w:space="0"/>
              <w:bottom w:val="single" w:color="auto" w:sz="4" w:space="0"/>
              <w:right w:val="single" w:color="auto" w:sz="4" w:space="0"/>
            </w:tcBorders>
            <w:noWrap w:val="0"/>
            <w:vAlign w:val="center"/>
          </w:tcPr>
          <w:p w14:paraId="449017D9">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1、及时按要求填写规定台帐；</w:t>
            </w:r>
          </w:p>
        </w:tc>
        <w:tc>
          <w:tcPr>
            <w:tcW w:w="3420" w:type="dxa"/>
            <w:vMerge w:val="restart"/>
            <w:tcBorders>
              <w:top w:val="single" w:color="auto" w:sz="4" w:space="0"/>
              <w:left w:val="single" w:color="auto" w:sz="4" w:space="0"/>
              <w:right w:val="single" w:color="auto" w:sz="4" w:space="0"/>
            </w:tcBorders>
            <w:noWrap w:val="0"/>
            <w:vAlign w:val="center"/>
          </w:tcPr>
          <w:p w14:paraId="038DA3A0">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违反一条每次扣1分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593DEA52">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4547B664">
            <w:pPr>
              <w:spacing w:line="240" w:lineRule="auto"/>
              <w:jc w:val="left"/>
              <w:rPr>
                <w:rFonts w:hint="eastAsia" w:ascii="宋体" w:hAnsi="宋体" w:eastAsia="宋体" w:cs="宋体"/>
                <w:color w:val="auto"/>
                <w:sz w:val="18"/>
                <w:szCs w:val="18"/>
                <w:highlight w:val="none"/>
              </w:rPr>
            </w:pPr>
          </w:p>
        </w:tc>
      </w:tr>
      <w:tr w14:paraId="7CD1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26420D39">
            <w:pPr>
              <w:spacing w:line="240" w:lineRule="auto"/>
              <w:jc w:val="left"/>
              <w:rPr>
                <w:rFonts w:hint="eastAsia" w:ascii="宋体" w:hAnsi="宋体" w:eastAsia="宋体" w:cs="宋体"/>
                <w:color w:val="auto"/>
                <w:sz w:val="18"/>
                <w:szCs w:val="18"/>
                <w:highlight w:val="none"/>
              </w:rPr>
            </w:pPr>
          </w:p>
        </w:tc>
        <w:tc>
          <w:tcPr>
            <w:tcW w:w="888" w:type="dxa"/>
            <w:vMerge w:val="continue"/>
            <w:tcBorders>
              <w:left w:val="single" w:color="auto" w:sz="4" w:space="0"/>
              <w:right w:val="single" w:color="auto" w:sz="4" w:space="0"/>
            </w:tcBorders>
            <w:noWrap w:val="0"/>
            <w:vAlign w:val="top"/>
          </w:tcPr>
          <w:p w14:paraId="1C3EAFBD">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749C8BC0">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2、台帐内容须填写规范；</w:t>
            </w:r>
          </w:p>
        </w:tc>
        <w:tc>
          <w:tcPr>
            <w:tcW w:w="3420" w:type="dxa"/>
            <w:vMerge w:val="continue"/>
            <w:tcBorders>
              <w:left w:val="single" w:color="auto" w:sz="4" w:space="0"/>
              <w:right w:val="single" w:color="auto" w:sz="4" w:space="0"/>
            </w:tcBorders>
            <w:noWrap w:val="0"/>
            <w:vAlign w:val="center"/>
          </w:tcPr>
          <w:p w14:paraId="72212DE1">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0C5EA965">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401FCBE">
            <w:pPr>
              <w:spacing w:line="240" w:lineRule="auto"/>
              <w:jc w:val="left"/>
              <w:rPr>
                <w:rFonts w:hint="eastAsia" w:ascii="宋体" w:hAnsi="宋体" w:eastAsia="宋体" w:cs="宋体"/>
                <w:color w:val="auto"/>
                <w:sz w:val="18"/>
                <w:szCs w:val="18"/>
                <w:highlight w:val="none"/>
              </w:rPr>
            </w:pPr>
          </w:p>
        </w:tc>
      </w:tr>
      <w:tr w14:paraId="687C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4" w:type="dxa"/>
            <w:vMerge w:val="continue"/>
            <w:tcBorders>
              <w:left w:val="single" w:color="auto" w:sz="4" w:space="0"/>
              <w:right w:val="single" w:color="auto" w:sz="4" w:space="0"/>
            </w:tcBorders>
            <w:noWrap w:val="0"/>
            <w:vAlign w:val="top"/>
          </w:tcPr>
          <w:p w14:paraId="52B487F5">
            <w:pPr>
              <w:spacing w:line="240" w:lineRule="auto"/>
              <w:jc w:val="left"/>
              <w:rPr>
                <w:rFonts w:hint="eastAsia" w:ascii="宋体" w:hAnsi="宋体" w:eastAsia="宋体" w:cs="宋体"/>
                <w:color w:val="auto"/>
                <w:sz w:val="18"/>
                <w:szCs w:val="18"/>
                <w:highlight w:val="none"/>
              </w:rPr>
            </w:pPr>
          </w:p>
        </w:tc>
        <w:tc>
          <w:tcPr>
            <w:tcW w:w="888" w:type="dxa"/>
            <w:vMerge w:val="continue"/>
            <w:tcBorders>
              <w:left w:val="single" w:color="auto" w:sz="4" w:space="0"/>
              <w:bottom w:val="single" w:color="auto" w:sz="4" w:space="0"/>
              <w:right w:val="single" w:color="auto" w:sz="4" w:space="0"/>
            </w:tcBorders>
            <w:noWrap w:val="0"/>
            <w:vAlign w:val="top"/>
          </w:tcPr>
          <w:p w14:paraId="5D8286D1">
            <w:pPr>
              <w:spacing w:line="240" w:lineRule="auto"/>
              <w:jc w:val="left"/>
              <w:rPr>
                <w:rFonts w:hint="eastAsia" w:ascii="宋体" w:hAnsi="宋体" w:eastAsia="宋体" w:cs="宋体"/>
                <w:color w:val="auto"/>
                <w:sz w:val="18"/>
                <w:szCs w:val="18"/>
                <w:highlight w:val="none"/>
              </w:rPr>
            </w:pPr>
          </w:p>
        </w:tc>
        <w:tc>
          <w:tcPr>
            <w:tcW w:w="5340" w:type="dxa"/>
            <w:tcBorders>
              <w:top w:val="single" w:color="auto" w:sz="4" w:space="0"/>
              <w:left w:val="single" w:color="auto" w:sz="4" w:space="0"/>
              <w:bottom w:val="single" w:color="auto" w:sz="4" w:space="0"/>
              <w:right w:val="single" w:color="auto" w:sz="4" w:space="0"/>
            </w:tcBorders>
            <w:noWrap w:val="0"/>
            <w:vAlign w:val="center"/>
          </w:tcPr>
          <w:p w14:paraId="5A73E3A5">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3、按</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要求及时上报台帐。</w:t>
            </w:r>
          </w:p>
        </w:tc>
        <w:tc>
          <w:tcPr>
            <w:tcW w:w="3420" w:type="dxa"/>
            <w:vMerge w:val="continue"/>
            <w:tcBorders>
              <w:left w:val="single" w:color="auto" w:sz="4" w:space="0"/>
              <w:bottom w:val="single" w:color="auto" w:sz="4" w:space="0"/>
              <w:right w:val="single" w:color="auto" w:sz="4" w:space="0"/>
            </w:tcBorders>
            <w:noWrap w:val="0"/>
            <w:vAlign w:val="center"/>
          </w:tcPr>
          <w:p w14:paraId="6ED509DE">
            <w:pPr>
              <w:spacing w:line="240" w:lineRule="auto"/>
              <w:jc w:val="left"/>
              <w:rPr>
                <w:rFonts w:hint="eastAsia" w:ascii="宋体" w:hAnsi="宋体" w:eastAsia="宋体" w:cs="宋体"/>
                <w:color w:val="auto"/>
                <w:sz w:val="18"/>
                <w:szCs w:val="18"/>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top"/>
          </w:tcPr>
          <w:p w14:paraId="27223CC0">
            <w:pPr>
              <w:spacing w:line="240" w:lineRule="auto"/>
              <w:jc w:val="left"/>
              <w:rPr>
                <w:rFonts w:hint="eastAsia" w:ascii="宋体" w:hAnsi="宋体" w:eastAsia="宋体" w:cs="宋体"/>
                <w:color w:val="auto"/>
                <w:sz w:val="18"/>
                <w:szCs w:val="18"/>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FB6667E">
            <w:pPr>
              <w:spacing w:line="240" w:lineRule="auto"/>
              <w:jc w:val="left"/>
              <w:rPr>
                <w:rFonts w:hint="eastAsia" w:ascii="宋体" w:hAnsi="宋体" w:eastAsia="宋体" w:cs="宋体"/>
                <w:color w:val="auto"/>
                <w:sz w:val="18"/>
                <w:szCs w:val="18"/>
                <w:highlight w:val="none"/>
              </w:rPr>
            </w:pPr>
          </w:p>
        </w:tc>
      </w:tr>
    </w:tbl>
    <w:p w14:paraId="2E9B5BBE">
      <w:pPr>
        <w:spacing w:line="240" w:lineRule="auto"/>
        <w:jc w:val="left"/>
        <w:rPr>
          <w:rFonts w:hint="eastAsia" w:ascii="宋体" w:hAnsi="宋体" w:eastAsia="宋体" w:cs="宋体"/>
          <w:color w:val="auto"/>
          <w:sz w:val="18"/>
          <w:szCs w:val="18"/>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5"/>
        <w:gridCol w:w="2"/>
        <w:gridCol w:w="5023"/>
        <w:gridCol w:w="3727"/>
        <w:gridCol w:w="5"/>
        <w:gridCol w:w="2349"/>
        <w:gridCol w:w="3"/>
        <w:gridCol w:w="987"/>
        <w:gridCol w:w="6"/>
      </w:tblGrid>
      <w:tr w14:paraId="44AC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1875" w:type="dxa"/>
            <w:gridSpan w:val="2"/>
            <w:tcBorders>
              <w:top w:val="single" w:color="auto" w:sz="4" w:space="0"/>
              <w:left w:val="single" w:color="auto" w:sz="4" w:space="0"/>
              <w:bottom w:val="single" w:color="auto" w:sz="4" w:space="0"/>
              <w:right w:val="single" w:color="auto" w:sz="4" w:space="0"/>
            </w:tcBorders>
            <w:noWrap w:val="0"/>
            <w:vAlign w:val="center"/>
          </w:tcPr>
          <w:p w14:paraId="11961E2B">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项目</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3208E83F">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考核标准</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14:paraId="511AEAFF">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考核办法</w:t>
            </w:r>
          </w:p>
        </w:tc>
        <w:tc>
          <w:tcPr>
            <w:tcW w:w="2349" w:type="dxa"/>
            <w:tcBorders>
              <w:top w:val="single" w:color="auto" w:sz="4" w:space="0"/>
              <w:left w:val="single" w:color="auto" w:sz="4" w:space="0"/>
              <w:bottom w:val="single" w:color="auto" w:sz="4" w:space="0"/>
              <w:right w:val="single" w:color="auto" w:sz="4" w:space="0"/>
            </w:tcBorders>
            <w:noWrap w:val="0"/>
            <w:vAlign w:val="center"/>
          </w:tcPr>
          <w:p w14:paraId="7D889B40">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扣分事项</w:t>
            </w: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14:paraId="7F4B1B13">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得分</w:t>
            </w:r>
          </w:p>
        </w:tc>
      </w:tr>
      <w:tr w14:paraId="1EDF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restart"/>
            <w:tcBorders>
              <w:top w:val="single" w:color="auto" w:sz="4" w:space="0"/>
              <w:left w:val="single" w:color="auto" w:sz="4" w:space="0"/>
              <w:right w:val="single" w:color="auto" w:sz="4" w:space="0"/>
            </w:tcBorders>
            <w:noWrap w:val="0"/>
            <w:vAlign w:val="center"/>
          </w:tcPr>
          <w:p w14:paraId="4460112C">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岗位细则</w:t>
            </w:r>
          </w:p>
          <w:p w14:paraId="3A3BB9C8">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5分</w:t>
            </w:r>
            <w:r>
              <w:rPr>
                <w:rFonts w:hint="eastAsia" w:ascii="宋体" w:hAnsi="宋体" w:eastAsia="宋体" w:cs="宋体"/>
                <w:color w:val="auto"/>
                <w:sz w:val="18"/>
                <w:szCs w:val="18"/>
                <w:highlight w:val="none"/>
                <w:lang w:eastAsia="zh-CN"/>
              </w:rPr>
              <w:t>）</w:t>
            </w:r>
          </w:p>
        </w:tc>
        <w:tc>
          <w:tcPr>
            <w:tcW w:w="917" w:type="dxa"/>
            <w:gridSpan w:val="2"/>
            <w:vMerge w:val="restart"/>
            <w:tcBorders>
              <w:top w:val="single" w:color="auto" w:sz="4" w:space="0"/>
              <w:left w:val="single" w:color="auto" w:sz="4" w:space="0"/>
              <w:right w:val="single" w:color="auto" w:sz="4" w:space="0"/>
            </w:tcBorders>
            <w:noWrap w:val="0"/>
            <w:vAlign w:val="center"/>
          </w:tcPr>
          <w:p w14:paraId="36720E9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保安（消控）考核细则</w:t>
            </w:r>
          </w:p>
          <w:p w14:paraId="0FC4AB9F">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分）</w:t>
            </w:r>
          </w:p>
        </w:tc>
        <w:tc>
          <w:tcPr>
            <w:tcW w:w="5023" w:type="dxa"/>
            <w:tcBorders>
              <w:top w:val="single" w:color="auto" w:sz="4" w:space="0"/>
              <w:left w:val="single" w:color="auto" w:sz="4" w:space="0"/>
              <w:bottom w:val="single" w:color="auto" w:sz="4" w:space="0"/>
              <w:right w:val="single" w:color="auto" w:sz="4" w:space="0"/>
            </w:tcBorders>
            <w:noWrap w:val="0"/>
            <w:vAlign w:val="center"/>
          </w:tcPr>
          <w:p w14:paraId="013A5B39">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1、发现有法规明文禁止的行为，及时给予劝阻并督促改正，对现场突发事件必须及时报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w:t>
            </w:r>
          </w:p>
        </w:tc>
        <w:tc>
          <w:tcPr>
            <w:tcW w:w="3732" w:type="dxa"/>
            <w:gridSpan w:val="2"/>
            <w:vMerge w:val="restart"/>
            <w:tcBorders>
              <w:top w:val="single" w:color="auto" w:sz="4" w:space="0"/>
              <w:left w:val="single" w:color="auto" w:sz="4" w:space="0"/>
              <w:right w:val="single" w:color="auto" w:sz="4" w:space="0"/>
            </w:tcBorders>
            <w:noWrap w:val="0"/>
            <w:vAlign w:val="center"/>
          </w:tcPr>
          <w:p w14:paraId="768351F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349" w:type="dxa"/>
            <w:tcBorders>
              <w:top w:val="single" w:color="auto" w:sz="4" w:space="0"/>
              <w:left w:val="single" w:color="auto" w:sz="4" w:space="0"/>
              <w:bottom w:val="single" w:color="auto" w:sz="4" w:space="0"/>
              <w:right w:val="single" w:color="auto" w:sz="4" w:space="0"/>
            </w:tcBorders>
            <w:noWrap w:val="0"/>
            <w:vAlign w:val="top"/>
          </w:tcPr>
          <w:p w14:paraId="0B305F47">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2C8511F7">
            <w:pPr>
              <w:spacing w:line="240" w:lineRule="auto"/>
              <w:jc w:val="left"/>
              <w:rPr>
                <w:rFonts w:hint="eastAsia" w:ascii="宋体" w:hAnsi="宋体" w:eastAsia="宋体" w:cs="宋体"/>
                <w:color w:val="auto"/>
                <w:sz w:val="18"/>
                <w:szCs w:val="18"/>
                <w:highlight w:val="none"/>
              </w:rPr>
            </w:pPr>
          </w:p>
        </w:tc>
      </w:tr>
      <w:tr w14:paraId="5EB9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77514270">
            <w:pPr>
              <w:spacing w:line="240" w:lineRule="auto"/>
              <w:jc w:val="left"/>
              <w:rPr>
                <w:rFonts w:hint="eastAsia" w:ascii="宋体" w:hAnsi="宋体" w:eastAsia="宋体" w:cs="宋体"/>
                <w:color w:val="auto"/>
                <w:sz w:val="18"/>
                <w:szCs w:val="18"/>
                <w:highlight w:val="none"/>
              </w:rPr>
            </w:pPr>
          </w:p>
        </w:tc>
        <w:tc>
          <w:tcPr>
            <w:tcW w:w="917" w:type="dxa"/>
            <w:gridSpan w:val="2"/>
            <w:vMerge w:val="continue"/>
            <w:tcBorders>
              <w:left w:val="single" w:color="auto" w:sz="4" w:space="0"/>
              <w:right w:val="single" w:color="auto" w:sz="4" w:space="0"/>
            </w:tcBorders>
            <w:noWrap w:val="0"/>
            <w:vAlign w:val="top"/>
          </w:tcPr>
          <w:p w14:paraId="4F2DE775">
            <w:pPr>
              <w:spacing w:line="240" w:lineRule="auto"/>
              <w:jc w:val="left"/>
              <w:rPr>
                <w:rFonts w:hint="eastAsia" w:ascii="宋体" w:hAnsi="宋体" w:eastAsia="宋体" w:cs="宋体"/>
                <w:color w:val="auto"/>
                <w:sz w:val="18"/>
                <w:szCs w:val="18"/>
                <w:highlight w:val="none"/>
              </w:rPr>
            </w:pPr>
          </w:p>
        </w:tc>
        <w:tc>
          <w:tcPr>
            <w:tcW w:w="5023" w:type="dxa"/>
            <w:tcBorders>
              <w:top w:val="single" w:color="auto" w:sz="4" w:space="0"/>
              <w:left w:val="single" w:color="auto" w:sz="4" w:space="0"/>
              <w:bottom w:val="single" w:color="auto" w:sz="4" w:space="0"/>
              <w:right w:val="single" w:color="auto" w:sz="4" w:space="0"/>
            </w:tcBorders>
            <w:noWrap w:val="0"/>
            <w:vAlign w:val="center"/>
          </w:tcPr>
          <w:p w14:paraId="13CA9F3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2、严格遵守各项操作规程或</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规章制度，积极配合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工作。</w:t>
            </w:r>
          </w:p>
        </w:tc>
        <w:tc>
          <w:tcPr>
            <w:tcW w:w="3732" w:type="dxa"/>
            <w:gridSpan w:val="2"/>
            <w:vMerge w:val="continue"/>
            <w:tcBorders>
              <w:left w:val="single" w:color="auto" w:sz="4" w:space="0"/>
              <w:right w:val="single" w:color="auto" w:sz="4" w:space="0"/>
            </w:tcBorders>
            <w:noWrap w:val="0"/>
            <w:vAlign w:val="center"/>
          </w:tcPr>
          <w:p w14:paraId="59789848">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1C98A40E">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59AFB351">
            <w:pPr>
              <w:spacing w:line="240" w:lineRule="auto"/>
              <w:jc w:val="left"/>
              <w:rPr>
                <w:rFonts w:hint="eastAsia" w:ascii="宋体" w:hAnsi="宋体" w:eastAsia="宋体" w:cs="宋体"/>
                <w:color w:val="auto"/>
                <w:sz w:val="18"/>
                <w:szCs w:val="18"/>
                <w:highlight w:val="none"/>
              </w:rPr>
            </w:pPr>
          </w:p>
        </w:tc>
      </w:tr>
      <w:tr w14:paraId="075A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5D67D380">
            <w:pPr>
              <w:spacing w:line="240" w:lineRule="auto"/>
              <w:jc w:val="left"/>
              <w:rPr>
                <w:rFonts w:hint="eastAsia" w:ascii="宋体" w:hAnsi="宋体" w:eastAsia="宋体" w:cs="宋体"/>
                <w:color w:val="auto"/>
                <w:sz w:val="18"/>
                <w:szCs w:val="18"/>
                <w:highlight w:val="none"/>
              </w:rPr>
            </w:pPr>
          </w:p>
        </w:tc>
        <w:tc>
          <w:tcPr>
            <w:tcW w:w="917" w:type="dxa"/>
            <w:gridSpan w:val="2"/>
            <w:vMerge w:val="continue"/>
            <w:tcBorders>
              <w:left w:val="single" w:color="auto" w:sz="4" w:space="0"/>
              <w:right w:val="single" w:color="auto" w:sz="4" w:space="0"/>
            </w:tcBorders>
            <w:noWrap w:val="0"/>
            <w:vAlign w:val="top"/>
          </w:tcPr>
          <w:p w14:paraId="43A2BA79">
            <w:pPr>
              <w:spacing w:line="240" w:lineRule="auto"/>
              <w:jc w:val="left"/>
              <w:rPr>
                <w:rFonts w:hint="eastAsia" w:ascii="宋体" w:hAnsi="宋体" w:eastAsia="宋体" w:cs="宋体"/>
                <w:color w:val="auto"/>
                <w:sz w:val="18"/>
                <w:szCs w:val="18"/>
                <w:highlight w:val="none"/>
              </w:rPr>
            </w:pPr>
          </w:p>
        </w:tc>
        <w:tc>
          <w:tcPr>
            <w:tcW w:w="5023" w:type="dxa"/>
            <w:tcBorders>
              <w:top w:val="single" w:color="auto" w:sz="4" w:space="0"/>
              <w:left w:val="single" w:color="auto" w:sz="4" w:space="0"/>
              <w:bottom w:val="single" w:color="auto" w:sz="4" w:space="0"/>
              <w:right w:val="single" w:color="auto" w:sz="4" w:space="0"/>
            </w:tcBorders>
            <w:noWrap w:val="0"/>
            <w:vAlign w:val="center"/>
          </w:tcPr>
          <w:p w14:paraId="49B2B25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3、按照门卫制度规定对车辆、人员、物品进出进行登记,严把进口关。</w:t>
            </w:r>
          </w:p>
        </w:tc>
        <w:tc>
          <w:tcPr>
            <w:tcW w:w="3732" w:type="dxa"/>
            <w:gridSpan w:val="2"/>
            <w:vMerge w:val="continue"/>
            <w:tcBorders>
              <w:left w:val="single" w:color="auto" w:sz="4" w:space="0"/>
              <w:right w:val="single" w:color="auto" w:sz="4" w:space="0"/>
            </w:tcBorders>
            <w:noWrap w:val="0"/>
            <w:vAlign w:val="center"/>
          </w:tcPr>
          <w:p w14:paraId="4CF8EEA3">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4EFF139E">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1E540866">
            <w:pPr>
              <w:spacing w:line="240" w:lineRule="auto"/>
              <w:jc w:val="left"/>
              <w:rPr>
                <w:rFonts w:hint="eastAsia" w:ascii="宋体" w:hAnsi="宋体" w:eastAsia="宋体" w:cs="宋体"/>
                <w:color w:val="auto"/>
                <w:sz w:val="18"/>
                <w:szCs w:val="18"/>
                <w:highlight w:val="none"/>
              </w:rPr>
            </w:pPr>
          </w:p>
        </w:tc>
      </w:tr>
      <w:tr w14:paraId="4A03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2448C747">
            <w:pPr>
              <w:spacing w:line="240" w:lineRule="auto"/>
              <w:jc w:val="left"/>
              <w:rPr>
                <w:rFonts w:hint="eastAsia" w:ascii="宋体" w:hAnsi="宋体" w:eastAsia="宋体" w:cs="宋体"/>
                <w:color w:val="auto"/>
                <w:sz w:val="18"/>
                <w:szCs w:val="18"/>
                <w:highlight w:val="none"/>
              </w:rPr>
            </w:pPr>
          </w:p>
        </w:tc>
        <w:tc>
          <w:tcPr>
            <w:tcW w:w="917" w:type="dxa"/>
            <w:gridSpan w:val="2"/>
            <w:vMerge w:val="continue"/>
            <w:tcBorders>
              <w:left w:val="single" w:color="auto" w:sz="4" w:space="0"/>
              <w:right w:val="single" w:color="auto" w:sz="4" w:space="0"/>
            </w:tcBorders>
            <w:noWrap w:val="0"/>
            <w:vAlign w:val="top"/>
          </w:tcPr>
          <w:p w14:paraId="2B75EA56">
            <w:pPr>
              <w:spacing w:line="240" w:lineRule="auto"/>
              <w:jc w:val="left"/>
              <w:rPr>
                <w:rFonts w:hint="eastAsia" w:ascii="宋体" w:hAnsi="宋体" w:eastAsia="宋体" w:cs="宋体"/>
                <w:color w:val="auto"/>
                <w:sz w:val="18"/>
                <w:szCs w:val="18"/>
                <w:highlight w:val="none"/>
              </w:rPr>
            </w:pPr>
          </w:p>
        </w:tc>
        <w:tc>
          <w:tcPr>
            <w:tcW w:w="5023" w:type="dxa"/>
            <w:tcBorders>
              <w:top w:val="single" w:color="auto" w:sz="4" w:space="0"/>
              <w:left w:val="single" w:color="auto" w:sz="4" w:space="0"/>
              <w:bottom w:val="single" w:color="auto" w:sz="4" w:space="0"/>
              <w:right w:val="single" w:color="auto" w:sz="4" w:space="0"/>
            </w:tcBorders>
            <w:noWrap w:val="0"/>
            <w:vAlign w:val="center"/>
          </w:tcPr>
          <w:p w14:paraId="1FF14D0E">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4、保证绿色通道及停车场畅通，对各类有危及人身安全及行车安全的位置及时放置明显标识和具体的防范措施。</w:t>
            </w:r>
          </w:p>
        </w:tc>
        <w:tc>
          <w:tcPr>
            <w:tcW w:w="3732" w:type="dxa"/>
            <w:gridSpan w:val="2"/>
            <w:vMerge w:val="continue"/>
            <w:tcBorders>
              <w:left w:val="single" w:color="auto" w:sz="4" w:space="0"/>
              <w:right w:val="single" w:color="auto" w:sz="4" w:space="0"/>
            </w:tcBorders>
            <w:noWrap w:val="0"/>
            <w:vAlign w:val="center"/>
          </w:tcPr>
          <w:p w14:paraId="26058C45">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00288C85">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68AA8B9A">
            <w:pPr>
              <w:spacing w:line="240" w:lineRule="auto"/>
              <w:jc w:val="left"/>
              <w:rPr>
                <w:rFonts w:hint="eastAsia" w:ascii="宋体" w:hAnsi="宋体" w:eastAsia="宋体" w:cs="宋体"/>
                <w:color w:val="auto"/>
                <w:sz w:val="18"/>
                <w:szCs w:val="18"/>
                <w:highlight w:val="none"/>
              </w:rPr>
            </w:pPr>
          </w:p>
        </w:tc>
      </w:tr>
      <w:tr w14:paraId="4A56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center"/>
          </w:tcPr>
          <w:p w14:paraId="4FF3C3B7">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center"/>
          </w:tcPr>
          <w:p w14:paraId="603C6AF1">
            <w:pPr>
              <w:spacing w:line="240" w:lineRule="auto"/>
              <w:jc w:val="both"/>
              <w:rPr>
                <w:rFonts w:hint="eastAsia" w:ascii="宋体" w:hAnsi="宋体" w:eastAsia="宋体" w:cs="宋体"/>
                <w:color w:val="auto"/>
                <w:sz w:val="18"/>
                <w:szCs w:val="18"/>
                <w:highlight w:val="none"/>
                <w:lang w:val="en-US" w:eastAsia="zh-CN"/>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24F8A5D9">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5、保安交接班时必须列队交接。</w:t>
            </w:r>
          </w:p>
        </w:tc>
        <w:tc>
          <w:tcPr>
            <w:tcW w:w="3732" w:type="dxa"/>
            <w:gridSpan w:val="2"/>
            <w:vMerge w:val="continue"/>
            <w:tcBorders>
              <w:left w:val="single" w:color="auto" w:sz="4" w:space="0"/>
              <w:right w:val="single" w:color="auto" w:sz="4" w:space="0"/>
            </w:tcBorders>
            <w:noWrap w:val="0"/>
            <w:vAlign w:val="center"/>
          </w:tcPr>
          <w:p w14:paraId="6FA2FD5E">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11AE5D5F">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58A00E00">
            <w:pPr>
              <w:spacing w:line="240" w:lineRule="auto"/>
              <w:jc w:val="left"/>
              <w:rPr>
                <w:rFonts w:hint="eastAsia" w:ascii="宋体" w:hAnsi="宋体" w:eastAsia="宋体" w:cs="宋体"/>
                <w:color w:val="auto"/>
                <w:sz w:val="18"/>
                <w:szCs w:val="18"/>
                <w:highlight w:val="none"/>
              </w:rPr>
            </w:pPr>
          </w:p>
        </w:tc>
      </w:tr>
      <w:tr w14:paraId="5106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5058F856">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33369D1E">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44AA765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6、主动配合交警、公安人员做好警卫、封道及事故、案件现场保护工作。</w:t>
            </w:r>
          </w:p>
        </w:tc>
        <w:tc>
          <w:tcPr>
            <w:tcW w:w="3732" w:type="dxa"/>
            <w:gridSpan w:val="2"/>
            <w:vMerge w:val="continue"/>
            <w:tcBorders>
              <w:left w:val="single" w:color="auto" w:sz="4" w:space="0"/>
              <w:right w:val="single" w:color="auto" w:sz="4" w:space="0"/>
            </w:tcBorders>
            <w:noWrap w:val="0"/>
            <w:vAlign w:val="center"/>
          </w:tcPr>
          <w:p w14:paraId="1CAD3AAD">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0D57D0F7">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4E4CF9A9">
            <w:pPr>
              <w:spacing w:line="240" w:lineRule="auto"/>
              <w:jc w:val="left"/>
              <w:rPr>
                <w:rFonts w:hint="eastAsia" w:ascii="宋体" w:hAnsi="宋体" w:eastAsia="宋体" w:cs="宋体"/>
                <w:color w:val="auto"/>
                <w:sz w:val="18"/>
                <w:szCs w:val="18"/>
                <w:highlight w:val="none"/>
              </w:rPr>
            </w:pPr>
          </w:p>
        </w:tc>
      </w:tr>
      <w:tr w14:paraId="369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4539E1AA">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7BCD510B">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049064D2">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7、及时配合处理治安、消防事件。</w:t>
            </w:r>
          </w:p>
        </w:tc>
        <w:tc>
          <w:tcPr>
            <w:tcW w:w="3732" w:type="dxa"/>
            <w:gridSpan w:val="2"/>
            <w:vMerge w:val="continue"/>
            <w:tcBorders>
              <w:left w:val="single" w:color="auto" w:sz="4" w:space="0"/>
              <w:right w:val="single" w:color="auto" w:sz="4" w:space="0"/>
            </w:tcBorders>
            <w:noWrap w:val="0"/>
            <w:vAlign w:val="center"/>
          </w:tcPr>
          <w:p w14:paraId="62DBBC98">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1C0482C4">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2CF7769D">
            <w:pPr>
              <w:spacing w:line="240" w:lineRule="auto"/>
              <w:jc w:val="left"/>
              <w:rPr>
                <w:rFonts w:hint="eastAsia" w:ascii="宋体" w:hAnsi="宋体" w:eastAsia="宋体" w:cs="宋体"/>
                <w:color w:val="auto"/>
                <w:sz w:val="18"/>
                <w:szCs w:val="18"/>
                <w:highlight w:val="none"/>
              </w:rPr>
            </w:pPr>
          </w:p>
        </w:tc>
      </w:tr>
      <w:tr w14:paraId="788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0098F637">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center"/>
          </w:tcPr>
          <w:p w14:paraId="286B05D1">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44916E7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8、主动引导车辆按区停放；危化品车辆引导到专用停车位停放，做好登记。</w:t>
            </w:r>
          </w:p>
        </w:tc>
        <w:tc>
          <w:tcPr>
            <w:tcW w:w="3732" w:type="dxa"/>
            <w:gridSpan w:val="2"/>
            <w:vMerge w:val="continue"/>
            <w:tcBorders>
              <w:left w:val="single" w:color="auto" w:sz="4" w:space="0"/>
              <w:right w:val="single" w:color="auto" w:sz="4" w:space="0"/>
            </w:tcBorders>
            <w:noWrap w:val="0"/>
            <w:vAlign w:val="center"/>
          </w:tcPr>
          <w:p w14:paraId="65352A54">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7C99ED1B">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77DCEF8F">
            <w:pPr>
              <w:spacing w:line="240" w:lineRule="auto"/>
              <w:jc w:val="left"/>
              <w:rPr>
                <w:rFonts w:hint="eastAsia" w:ascii="宋体" w:hAnsi="宋体" w:eastAsia="宋体" w:cs="宋体"/>
                <w:color w:val="auto"/>
                <w:sz w:val="18"/>
                <w:szCs w:val="18"/>
                <w:highlight w:val="none"/>
              </w:rPr>
            </w:pPr>
          </w:p>
        </w:tc>
      </w:tr>
      <w:tr w14:paraId="1508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08C432BD">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2D867238">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74B6D65C">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9、每天定时定位对各营业场所、停车场、消防重点部位、安全设施进行流动巡逻，夜间巡查每2小时不少于1次；</w:t>
            </w:r>
          </w:p>
        </w:tc>
        <w:tc>
          <w:tcPr>
            <w:tcW w:w="3732" w:type="dxa"/>
            <w:gridSpan w:val="2"/>
            <w:vMerge w:val="continue"/>
            <w:tcBorders>
              <w:left w:val="single" w:color="auto" w:sz="4" w:space="0"/>
              <w:bottom w:val="single" w:color="auto" w:sz="4" w:space="0"/>
              <w:right w:val="single" w:color="auto" w:sz="4" w:space="0"/>
            </w:tcBorders>
            <w:noWrap w:val="0"/>
            <w:vAlign w:val="center"/>
          </w:tcPr>
          <w:p w14:paraId="11D6BE97">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7308491F">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50C38486">
            <w:pPr>
              <w:spacing w:line="240" w:lineRule="auto"/>
              <w:jc w:val="left"/>
              <w:rPr>
                <w:rFonts w:hint="eastAsia" w:ascii="宋体" w:hAnsi="宋体" w:eastAsia="宋体" w:cs="宋体"/>
                <w:color w:val="auto"/>
                <w:sz w:val="18"/>
                <w:szCs w:val="18"/>
                <w:highlight w:val="none"/>
              </w:rPr>
            </w:pPr>
          </w:p>
        </w:tc>
      </w:tr>
      <w:tr w14:paraId="388A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6914E753">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7CAB86D">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05C8C816">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10、保护</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财产，当日发现</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财产损失先立即报</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值班人员再进行相应赔偿。</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14:paraId="2037137D">
            <w:pPr>
              <w:spacing w:line="240" w:lineRule="auto"/>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财产损失未及时发现，</w:t>
            </w:r>
            <w:r>
              <w:rPr>
                <w:rFonts w:hint="eastAsia" w:ascii="宋体" w:hAnsi="宋体" w:eastAsia="宋体" w:cs="宋体"/>
                <w:strike/>
                <w:dstrike w:val="0"/>
                <w:color w:val="auto"/>
                <w:sz w:val="18"/>
                <w:szCs w:val="18"/>
                <w:highlight w:val="none"/>
              </w:rPr>
              <w:t>按实赔偿</w:t>
            </w:r>
            <w:r>
              <w:rPr>
                <w:rFonts w:hint="eastAsia" w:ascii="宋体" w:hAnsi="宋体" w:eastAsia="宋体" w:cs="宋体"/>
                <w:strike/>
                <w:dstrike w:val="0"/>
                <w:color w:val="auto"/>
                <w:sz w:val="18"/>
                <w:szCs w:val="18"/>
                <w:highlight w:val="none"/>
                <w:lang w:eastAsia="zh-CN"/>
              </w:rPr>
              <w:t>，</w:t>
            </w:r>
            <w:r>
              <w:rPr>
                <w:rFonts w:hint="eastAsia" w:ascii="宋体" w:hAnsi="宋体" w:eastAsia="宋体" w:cs="宋体"/>
                <w:color w:val="auto"/>
                <w:sz w:val="18"/>
                <w:szCs w:val="18"/>
                <w:highlight w:val="none"/>
                <w:lang w:val="en-US" w:eastAsia="zh-CN"/>
              </w:rPr>
              <w:t>视情况扣2--5分</w:t>
            </w:r>
            <w:r>
              <w:rPr>
                <w:rFonts w:hint="eastAsia" w:ascii="宋体" w:hAnsi="宋体" w:eastAsia="宋体" w:cs="宋体"/>
                <w:color w:val="auto"/>
                <w:sz w:val="18"/>
                <w:szCs w:val="18"/>
                <w:highlight w:val="none"/>
              </w:rPr>
              <w:t>。</w:t>
            </w:r>
          </w:p>
          <w:p w14:paraId="6B2BD049">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及时发现并获得赔偿的，奖励2-5分</w:t>
            </w:r>
          </w:p>
        </w:tc>
        <w:tc>
          <w:tcPr>
            <w:tcW w:w="2349" w:type="dxa"/>
            <w:tcBorders>
              <w:top w:val="single" w:color="auto" w:sz="4" w:space="0"/>
              <w:left w:val="single" w:color="auto" w:sz="4" w:space="0"/>
              <w:bottom w:val="single" w:color="auto" w:sz="4" w:space="0"/>
              <w:right w:val="single" w:color="auto" w:sz="4" w:space="0"/>
            </w:tcBorders>
            <w:noWrap w:val="0"/>
            <w:vAlign w:val="top"/>
          </w:tcPr>
          <w:p w14:paraId="68367E47">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2D3AD1C5">
            <w:pPr>
              <w:spacing w:line="240" w:lineRule="auto"/>
              <w:jc w:val="left"/>
              <w:rPr>
                <w:rFonts w:hint="eastAsia" w:ascii="宋体" w:hAnsi="宋体" w:eastAsia="宋体" w:cs="宋体"/>
                <w:color w:val="auto"/>
                <w:sz w:val="18"/>
                <w:szCs w:val="18"/>
                <w:highlight w:val="none"/>
              </w:rPr>
            </w:pPr>
          </w:p>
        </w:tc>
      </w:tr>
      <w:tr w14:paraId="1DB8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78EF2D47">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F92D3B5">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2E30578E">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11、工作中因违章操作造成设备损坏。</w:t>
            </w:r>
          </w:p>
        </w:tc>
        <w:tc>
          <w:tcPr>
            <w:tcW w:w="3732" w:type="dxa"/>
            <w:gridSpan w:val="2"/>
            <w:tcBorders>
              <w:top w:val="single" w:color="auto" w:sz="4" w:space="0"/>
              <w:left w:val="single" w:color="auto" w:sz="4" w:space="0"/>
              <w:bottom w:val="single" w:color="auto" w:sz="4" w:space="0"/>
              <w:right w:val="single" w:color="auto" w:sz="4" w:space="0"/>
            </w:tcBorders>
            <w:noWrap w:val="0"/>
            <w:vAlign w:val="center"/>
          </w:tcPr>
          <w:p w14:paraId="4D297431">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按实赔偿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并视情况扣2--5分</w:t>
            </w:r>
            <w:r>
              <w:rPr>
                <w:rFonts w:hint="eastAsia" w:ascii="宋体" w:hAnsi="宋体" w:eastAsia="宋体" w:cs="宋体"/>
                <w:color w:val="auto"/>
                <w:sz w:val="18"/>
                <w:szCs w:val="18"/>
                <w:highlight w:val="none"/>
              </w:rPr>
              <w:t>。</w:t>
            </w:r>
          </w:p>
        </w:tc>
        <w:tc>
          <w:tcPr>
            <w:tcW w:w="2349" w:type="dxa"/>
            <w:tcBorders>
              <w:top w:val="single" w:color="auto" w:sz="4" w:space="0"/>
              <w:left w:val="single" w:color="auto" w:sz="4" w:space="0"/>
              <w:bottom w:val="single" w:color="auto" w:sz="4" w:space="0"/>
              <w:right w:val="single" w:color="auto" w:sz="4" w:space="0"/>
            </w:tcBorders>
            <w:noWrap w:val="0"/>
            <w:vAlign w:val="top"/>
          </w:tcPr>
          <w:p w14:paraId="36C376D6">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4A9ECDAD">
            <w:pPr>
              <w:spacing w:line="240" w:lineRule="auto"/>
              <w:jc w:val="left"/>
              <w:rPr>
                <w:rFonts w:hint="eastAsia" w:ascii="宋体" w:hAnsi="宋体" w:eastAsia="宋体" w:cs="宋体"/>
                <w:color w:val="auto"/>
                <w:sz w:val="18"/>
                <w:szCs w:val="18"/>
                <w:highlight w:val="none"/>
              </w:rPr>
            </w:pPr>
          </w:p>
        </w:tc>
      </w:tr>
      <w:tr w14:paraId="097F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59F3840B">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51C2B6D">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5B82813F">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12、发现安全隐患及时采取有效措施进行处理，处理不了立即上报值班领导。</w:t>
            </w:r>
          </w:p>
        </w:tc>
        <w:tc>
          <w:tcPr>
            <w:tcW w:w="373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5E4E68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349" w:type="dxa"/>
            <w:tcBorders>
              <w:top w:val="single" w:color="auto" w:sz="4" w:space="0"/>
              <w:left w:val="single" w:color="auto" w:sz="4" w:space="0"/>
              <w:bottom w:val="single" w:color="auto" w:sz="4" w:space="0"/>
              <w:right w:val="single" w:color="auto" w:sz="4" w:space="0"/>
            </w:tcBorders>
            <w:noWrap w:val="0"/>
            <w:vAlign w:val="top"/>
          </w:tcPr>
          <w:p w14:paraId="3B5AA8B1">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25B0217B">
            <w:pPr>
              <w:spacing w:line="240" w:lineRule="auto"/>
              <w:jc w:val="left"/>
              <w:rPr>
                <w:rFonts w:hint="eastAsia" w:ascii="宋体" w:hAnsi="宋体" w:eastAsia="宋体" w:cs="宋体"/>
                <w:color w:val="auto"/>
                <w:sz w:val="18"/>
                <w:szCs w:val="18"/>
                <w:highlight w:val="none"/>
              </w:rPr>
            </w:pPr>
          </w:p>
        </w:tc>
      </w:tr>
      <w:tr w14:paraId="3FB7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06DC44AB">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549C73C9">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5AF7EB69">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13、按消防安全部门的规定管理、使用消防设施、器材，完好率达到100% 。</w:t>
            </w:r>
          </w:p>
        </w:tc>
        <w:tc>
          <w:tcPr>
            <w:tcW w:w="37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9BF2B4">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1BF869E2">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0F832520">
            <w:pPr>
              <w:spacing w:line="240" w:lineRule="auto"/>
              <w:jc w:val="left"/>
              <w:rPr>
                <w:rFonts w:hint="eastAsia" w:ascii="宋体" w:hAnsi="宋体" w:eastAsia="宋体" w:cs="宋体"/>
                <w:color w:val="auto"/>
                <w:sz w:val="18"/>
                <w:szCs w:val="18"/>
                <w:highlight w:val="none"/>
              </w:rPr>
            </w:pPr>
          </w:p>
        </w:tc>
      </w:tr>
      <w:tr w14:paraId="64C1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3" w:hRule="atLeast"/>
          <w:jc w:val="center"/>
        </w:trPr>
        <w:tc>
          <w:tcPr>
            <w:tcW w:w="960" w:type="dxa"/>
            <w:vMerge w:val="continue"/>
            <w:tcBorders>
              <w:left w:val="single" w:color="auto" w:sz="4" w:space="0"/>
              <w:right w:val="single" w:color="auto" w:sz="4" w:space="0"/>
            </w:tcBorders>
            <w:noWrap w:val="0"/>
            <w:vAlign w:val="top"/>
          </w:tcPr>
          <w:p w14:paraId="416F3910">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noWrap w:val="0"/>
            <w:vAlign w:val="top"/>
          </w:tcPr>
          <w:p w14:paraId="1869325B">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54B481E4">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14、因工作失职发生车辆或车内物品被盗等治安案件。</w:t>
            </w:r>
          </w:p>
        </w:tc>
        <w:tc>
          <w:tcPr>
            <w:tcW w:w="37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328E53">
            <w:pPr>
              <w:spacing w:line="240" w:lineRule="auto"/>
              <w:jc w:val="left"/>
              <w:rPr>
                <w:rFonts w:hint="eastAsia" w:ascii="宋体" w:hAnsi="宋体" w:eastAsia="宋体" w:cs="宋体"/>
                <w:color w:val="auto"/>
                <w:sz w:val="18"/>
                <w:szCs w:val="18"/>
                <w:highlight w:val="none"/>
              </w:rPr>
            </w:pPr>
          </w:p>
        </w:tc>
        <w:tc>
          <w:tcPr>
            <w:tcW w:w="2349" w:type="dxa"/>
            <w:tcBorders>
              <w:top w:val="single" w:color="auto" w:sz="4" w:space="0"/>
              <w:left w:val="single" w:color="auto" w:sz="4" w:space="0"/>
              <w:bottom w:val="single" w:color="auto" w:sz="4" w:space="0"/>
              <w:right w:val="single" w:color="auto" w:sz="4" w:space="0"/>
            </w:tcBorders>
            <w:noWrap w:val="0"/>
            <w:vAlign w:val="top"/>
          </w:tcPr>
          <w:p w14:paraId="46EAE02D">
            <w:pPr>
              <w:spacing w:line="240" w:lineRule="auto"/>
              <w:jc w:val="left"/>
              <w:rPr>
                <w:rFonts w:hint="eastAsia" w:ascii="宋体" w:hAnsi="宋体" w:eastAsia="宋体" w:cs="宋体"/>
                <w:color w:val="auto"/>
                <w:sz w:val="18"/>
                <w:szCs w:val="18"/>
                <w:highlight w:val="none"/>
              </w:rPr>
            </w:pP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14:paraId="6A6A347F">
            <w:pPr>
              <w:spacing w:line="240" w:lineRule="auto"/>
              <w:jc w:val="left"/>
              <w:rPr>
                <w:rFonts w:hint="eastAsia" w:ascii="宋体" w:hAnsi="宋体" w:eastAsia="宋体" w:cs="宋体"/>
                <w:color w:val="auto"/>
                <w:sz w:val="18"/>
                <w:szCs w:val="18"/>
                <w:highlight w:val="none"/>
              </w:rPr>
            </w:pPr>
          </w:p>
        </w:tc>
      </w:tr>
      <w:tr w14:paraId="014F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center"/>
          </w:tcPr>
          <w:p w14:paraId="6E92FFDF">
            <w:pPr>
              <w:spacing w:line="240" w:lineRule="auto"/>
              <w:jc w:val="center"/>
              <w:rPr>
                <w:rFonts w:hint="eastAsia" w:ascii="宋体" w:hAnsi="宋体" w:eastAsia="宋体" w:cs="宋体"/>
                <w:color w:val="auto"/>
                <w:sz w:val="18"/>
                <w:szCs w:val="18"/>
                <w:highlight w:val="none"/>
              </w:rPr>
            </w:pPr>
          </w:p>
        </w:tc>
        <w:tc>
          <w:tcPr>
            <w:tcW w:w="915" w:type="dxa"/>
            <w:vMerge w:val="restart"/>
            <w:tcBorders>
              <w:top w:val="single" w:color="auto" w:sz="4" w:space="0"/>
              <w:left w:val="single" w:color="auto" w:sz="4" w:space="0"/>
              <w:right w:val="single" w:color="auto" w:sz="4" w:space="0"/>
            </w:tcBorders>
            <w:noWrap w:val="0"/>
            <w:vAlign w:val="center"/>
          </w:tcPr>
          <w:p w14:paraId="460562A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保洁</w:t>
            </w:r>
          </w:p>
          <w:p w14:paraId="4672C1D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w:t>
            </w:r>
          </w:p>
          <w:p w14:paraId="5F0EE52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w:t>
            </w:r>
          </w:p>
          <w:p w14:paraId="4E3FEF6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细则</w:t>
            </w:r>
          </w:p>
          <w:p w14:paraId="1C85F21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25</w:t>
            </w:r>
            <w:r>
              <w:rPr>
                <w:rFonts w:hint="eastAsia" w:ascii="宋体" w:hAnsi="宋体" w:eastAsia="宋体" w:cs="宋体"/>
                <w:color w:val="auto"/>
                <w:sz w:val="18"/>
                <w:szCs w:val="18"/>
                <w:highlight w:val="none"/>
              </w:rPr>
              <w:t>分）</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09EA63E0">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1、发现有法规明文禁止的行为，</w:t>
            </w:r>
            <w:r>
              <w:rPr>
                <w:rFonts w:hint="eastAsia" w:ascii="宋体" w:hAnsi="宋体" w:eastAsia="宋体" w:cs="宋体"/>
                <w:color w:val="auto"/>
                <w:sz w:val="18"/>
                <w:szCs w:val="18"/>
                <w:highlight w:val="none"/>
                <w:lang w:val="en-US" w:eastAsia="zh-CN"/>
              </w:rPr>
              <w:t>应</w:t>
            </w:r>
            <w:r>
              <w:rPr>
                <w:rFonts w:hint="eastAsia" w:ascii="宋体" w:hAnsi="宋体" w:eastAsia="宋体" w:cs="宋体"/>
                <w:color w:val="auto"/>
                <w:sz w:val="18"/>
                <w:szCs w:val="18"/>
                <w:highlight w:val="none"/>
              </w:rPr>
              <w:t>及时给予劝阻并督促改正，报有关</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主管部门。</w:t>
            </w:r>
          </w:p>
        </w:tc>
        <w:tc>
          <w:tcPr>
            <w:tcW w:w="3727" w:type="dxa"/>
            <w:vMerge w:val="restart"/>
            <w:tcBorders>
              <w:top w:val="single" w:color="auto" w:sz="4" w:space="0"/>
              <w:left w:val="single" w:color="auto" w:sz="4" w:space="0"/>
              <w:right w:val="single" w:color="auto" w:sz="4" w:space="0"/>
            </w:tcBorders>
            <w:noWrap w:val="0"/>
            <w:vAlign w:val="center"/>
          </w:tcPr>
          <w:p w14:paraId="7EA58FAF">
            <w:pPr>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363C71DB">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4D4569FA">
            <w:pPr>
              <w:spacing w:line="240" w:lineRule="auto"/>
              <w:jc w:val="left"/>
              <w:rPr>
                <w:rFonts w:hint="eastAsia" w:ascii="宋体" w:hAnsi="宋体" w:eastAsia="宋体" w:cs="宋体"/>
                <w:color w:val="auto"/>
                <w:sz w:val="18"/>
                <w:szCs w:val="18"/>
                <w:highlight w:val="none"/>
              </w:rPr>
            </w:pPr>
          </w:p>
        </w:tc>
      </w:tr>
      <w:tr w14:paraId="263C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73E729C2">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ACDCB75">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43FE0F2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2、严格遵守各项操作规程或</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规章制度，积极配合</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开展工作。</w:t>
            </w:r>
          </w:p>
        </w:tc>
        <w:tc>
          <w:tcPr>
            <w:tcW w:w="3727" w:type="dxa"/>
            <w:vMerge w:val="continue"/>
            <w:tcBorders>
              <w:left w:val="single" w:color="auto" w:sz="4" w:space="0"/>
              <w:right w:val="single" w:color="auto" w:sz="4" w:space="0"/>
            </w:tcBorders>
            <w:noWrap w:val="0"/>
            <w:vAlign w:val="center"/>
          </w:tcPr>
          <w:p w14:paraId="71823E43">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0F4494AA">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3DF760E1">
            <w:pPr>
              <w:spacing w:line="240" w:lineRule="auto"/>
              <w:jc w:val="left"/>
              <w:rPr>
                <w:rFonts w:hint="eastAsia" w:ascii="宋体" w:hAnsi="宋体" w:eastAsia="宋体" w:cs="宋体"/>
                <w:color w:val="auto"/>
                <w:sz w:val="18"/>
                <w:szCs w:val="18"/>
                <w:highlight w:val="none"/>
              </w:rPr>
            </w:pPr>
          </w:p>
        </w:tc>
      </w:tr>
      <w:tr w14:paraId="7CB4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357F0774">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A7499BA">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02EB20E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3、每日对公厕按时段进行多次清洗自检，并作好记录；公厕夜班每隔二小时冲洗一次，办公楼卫生清理每日不少于二次，公共场所的走廊、过道、楼梯随脏随清扫。</w:t>
            </w:r>
          </w:p>
        </w:tc>
        <w:tc>
          <w:tcPr>
            <w:tcW w:w="3727" w:type="dxa"/>
            <w:vMerge w:val="continue"/>
            <w:tcBorders>
              <w:left w:val="single" w:color="auto" w:sz="4" w:space="0"/>
              <w:right w:val="single" w:color="auto" w:sz="4" w:space="0"/>
            </w:tcBorders>
            <w:noWrap w:val="0"/>
            <w:vAlign w:val="center"/>
          </w:tcPr>
          <w:p w14:paraId="4C7DAB9A">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6E6FD30B">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013BFF4B">
            <w:pPr>
              <w:spacing w:line="240" w:lineRule="auto"/>
              <w:jc w:val="left"/>
              <w:rPr>
                <w:rFonts w:hint="eastAsia" w:ascii="宋体" w:hAnsi="宋体" w:eastAsia="宋体" w:cs="宋体"/>
                <w:color w:val="auto"/>
                <w:sz w:val="18"/>
                <w:szCs w:val="18"/>
                <w:highlight w:val="none"/>
              </w:rPr>
            </w:pPr>
          </w:p>
        </w:tc>
      </w:tr>
      <w:tr w14:paraId="7FDA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1CABC23F">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center"/>
          </w:tcPr>
          <w:p w14:paraId="75D65492">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2AB9D214">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4、垃圾桶（果皮箱）表面清洁无污渍，垃圾及时清运。纸篓（桶内）垃圾不得超过篓深（桶深）2/3。</w:t>
            </w:r>
          </w:p>
        </w:tc>
        <w:tc>
          <w:tcPr>
            <w:tcW w:w="3727" w:type="dxa"/>
            <w:vMerge w:val="continue"/>
            <w:tcBorders>
              <w:left w:val="single" w:color="auto" w:sz="4" w:space="0"/>
              <w:right w:val="single" w:color="auto" w:sz="4" w:space="0"/>
            </w:tcBorders>
            <w:noWrap w:val="0"/>
            <w:vAlign w:val="center"/>
          </w:tcPr>
          <w:p w14:paraId="77B6B6E7">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1049A8B2">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31DC5231">
            <w:pPr>
              <w:spacing w:line="240" w:lineRule="auto"/>
              <w:jc w:val="left"/>
              <w:rPr>
                <w:rFonts w:hint="eastAsia" w:ascii="宋体" w:hAnsi="宋体" w:eastAsia="宋体" w:cs="宋体"/>
                <w:color w:val="auto"/>
                <w:sz w:val="18"/>
                <w:szCs w:val="18"/>
                <w:highlight w:val="none"/>
              </w:rPr>
            </w:pPr>
          </w:p>
        </w:tc>
      </w:tr>
      <w:tr w14:paraId="6156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0C6EB0C9">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5971B257">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4641242D">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5、边沟、下水道、垃圾房、垃圾桶的消毒杀菌、防虫处理每周不少于一次，并记录完整。</w:t>
            </w:r>
          </w:p>
        </w:tc>
        <w:tc>
          <w:tcPr>
            <w:tcW w:w="3727" w:type="dxa"/>
            <w:vMerge w:val="continue"/>
            <w:tcBorders>
              <w:left w:val="single" w:color="auto" w:sz="4" w:space="0"/>
              <w:right w:val="single" w:color="auto" w:sz="4" w:space="0"/>
            </w:tcBorders>
            <w:noWrap w:val="0"/>
            <w:vAlign w:val="center"/>
          </w:tcPr>
          <w:p w14:paraId="03A08EF3">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28B85202">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08B8E5C2">
            <w:pPr>
              <w:spacing w:line="240" w:lineRule="auto"/>
              <w:jc w:val="left"/>
              <w:rPr>
                <w:rFonts w:hint="eastAsia" w:ascii="宋体" w:hAnsi="宋体" w:eastAsia="宋体" w:cs="宋体"/>
                <w:color w:val="auto"/>
                <w:sz w:val="18"/>
                <w:szCs w:val="18"/>
                <w:highlight w:val="none"/>
              </w:rPr>
            </w:pPr>
          </w:p>
        </w:tc>
      </w:tr>
      <w:tr w14:paraId="366E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027A69F7">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BDAF80B">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03D8E892">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6、草坪、绿化带内无杂物、包装袋、饮料瓶等影响环境卫生和</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形象的废弃物。</w:t>
            </w:r>
          </w:p>
        </w:tc>
        <w:tc>
          <w:tcPr>
            <w:tcW w:w="3727" w:type="dxa"/>
            <w:vMerge w:val="continue"/>
            <w:tcBorders>
              <w:left w:val="single" w:color="auto" w:sz="4" w:space="0"/>
              <w:right w:val="single" w:color="auto" w:sz="4" w:space="0"/>
            </w:tcBorders>
            <w:noWrap w:val="0"/>
            <w:vAlign w:val="center"/>
          </w:tcPr>
          <w:p w14:paraId="676BBB3B">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00719F46">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0DE2C465">
            <w:pPr>
              <w:spacing w:line="240" w:lineRule="auto"/>
              <w:jc w:val="left"/>
              <w:rPr>
                <w:rFonts w:hint="eastAsia" w:ascii="宋体" w:hAnsi="宋体" w:eastAsia="宋体" w:cs="宋体"/>
                <w:color w:val="auto"/>
                <w:sz w:val="18"/>
                <w:szCs w:val="18"/>
                <w:highlight w:val="none"/>
              </w:rPr>
            </w:pPr>
          </w:p>
        </w:tc>
      </w:tr>
      <w:tr w14:paraId="7720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76DF0207">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01DC1824">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360AF8B7">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7、保洁工具及时清洗干净摆放到指定位置。</w:t>
            </w:r>
          </w:p>
        </w:tc>
        <w:tc>
          <w:tcPr>
            <w:tcW w:w="3727" w:type="dxa"/>
            <w:vMerge w:val="continue"/>
            <w:tcBorders>
              <w:left w:val="single" w:color="auto" w:sz="4" w:space="0"/>
              <w:right w:val="single" w:color="auto" w:sz="4" w:space="0"/>
            </w:tcBorders>
            <w:noWrap w:val="0"/>
            <w:vAlign w:val="center"/>
          </w:tcPr>
          <w:p w14:paraId="5E481004">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367FF014">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62AB2364">
            <w:pPr>
              <w:spacing w:line="240" w:lineRule="auto"/>
              <w:jc w:val="left"/>
              <w:rPr>
                <w:rFonts w:hint="eastAsia" w:ascii="宋体" w:hAnsi="宋体" w:eastAsia="宋体" w:cs="宋体"/>
                <w:color w:val="auto"/>
                <w:sz w:val="18"/>
                <w:szCs w:val="18"/>
                <w:highlight w:val="none"/>
              </w:rPr>
            </w:pPr>
          </w:p>
        </w:tc>
      </w:tr>
      <w:tr w14:paraId="2AE8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4094D244">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4479195D">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2A51CB6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8、低值易耗品无明显浪费现象。</w:t>
            </w:r>
          </w:p>
        </w:tc>
        <w:tc>
          <w:tcPr>
            <w:tcW w:w="3727" w:type="dxa"/>
            <w:vMerge w:val="continue"/>
            <w:tcBorders>
              <w:left w:val="single" w:color="auto" w:sz="4" w:space="0"/>
              <w:right w:val="single" w:color="auto" w:sz="4" w:space="0"/>
            </w:tcBorders>
            <w:noWrap w:val="0"/>
            <w:vAlign w:val="center"/>
          </w:tcPr>
          <w:p w14:paraId="65867C5E">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61509D8E">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1043CBF8">
            <w:pPr>
              <w:spacing w:line="240" w:lineRule="auto"/>
              <w:jc w:val="left"/>
              <w:rPr>
                <w:rFonts w:hint="eastAsia" w:ascii="宋体" w:hAnsi="宋体" w:eastAsia="宋体" w:cs="宋体"/>
                <w:color w:val="auto"/>
                <w:sz w:val="18"/>
                <w:szCs w:val="18"/>
                <w:highlight w:val="none"/>
              </w:rPr>
            </w:pPr>
          </w:p>
        </w:tc>
      </w:tr>
      <w:tr w14:paraId="142D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50AA57E0">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7BE86C70">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3EA2D84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9、公厕和卫生间地面无积水、无污物；便池、小便斗、小便槽保持干净无污迹、无臭味。</w:t>
            </w:r>
          </w:p>
        </w:tc>
        <w:tc>
          <w:tcPr>
            <w:tcW w:w="3727" w:type="dxa"/>
            <w:vMerge w:val="continue"/>
            <w:tcBorders>
              <w:left w:val="single" w:color="auto" w:sz="4" w:space="0"/>
              <w:right w:val="single" w:color="auto" w:sz="4" w:space="0"/>
            </w:tcBorders>
            <w:noWrap w:val="0"/>
            <w:vAlign w:val="center"/>
          </w:tcPr>
          <w:p w14:paraId="75734060">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73C7899F">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7E845C9E">
            <w:pPr>
              <w:spacing w:line="240" w:lineRule="auto"/>
              <w:jc w:val="left"/>
              <w:rPr>
                <w:rFonts w:hint="eastAsia" w:ascii="宋体" w:hAnsi="宋体" w:eastAsia="宋体" w:cs="宋体"/>
                <w:color w:val="auto"/>
                <w:sz w:val="18"/>
                <w:szCs w:val="18"/>
                <w:highlight w:val="none"/>
              </w:rPr>
            </w:pPr>
          </w:p>
        </w:tc>
      </w:tr>
      <w:tr w14:paraId="0421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960" w:type="dxa"/>
            <w:vMerge w:val="continue"/>
            <w:tcBorders>
              <w:left w:val="single" w:color="auto" w:sz="4" w:space="0"/>
              <w:right w:val="single" w:color="auto" w:sz="4" w:space="0"/>
            </w:tcBorders>
            <w:noWrap w:val="0"/>
            <w:vAlign w:val="top"/>
          </w:tcPr>
          <w:p w14:paraId="3BD3147E">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noWrap w:val="0"/>
            <w:vAlign w:val="top"/>
          </w:tcPr>
          <w:p w14:paraId="0C7521A1">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7012F148">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10、公厕和卫生间保持空气流通，无蜘蛛网，墙面、顶棚、玻璃无灰尘、水垢，镜面保持无污迹。</w:t>
            </w:r>
          </w:p>
        </w:tc>
        <w:tc>
          <w:tcPr>
            <w:tcW w:w="3727" w:type="dxa"/>
            <w:vMerge w:val="continue"/>
            <w:tcBorders>
              <w:left w:val="single" w:color="auto" w:sz="4" w:space="0"/>
              <w:bottom w:val="single" w:color="auto" w:sz="4" w:space="0"/>
              <w:right w:val="single" w:color="auto" w:sz="4" w:space="0"/>
            </w:tcBorders>
            <w:noWrap w:val="0"/>
            <w:vAlign w:val="center"/>
          </w:tcPr>
          <w:p w14:paraId="4E94C521">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166624F7">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004A82D6">
            <w:pPr>
              <w:spacing w:line="240" w:lineRule="auto"/>
              <w:jc w:val="left"/>
              <w:rPr>
                <w:rFonts w:hint="eastAsia" w:ascii="宋体" w:hAnsi="宋体" w:eastAsia="宋体" w:cs="宋体"/>
                <w:color w:val="auto"/>
                <w:sz w:val="18"/>
                <w:szCs w:val="18"/>
                <w:highlight w:val="none"/>
              </w:rPr>
            </w:pPr>
          </w:p>
        </w:tc>
      </w:tr>
      <w:tr w14:paraId="6559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6E6ACF5D">
            <w:pPr>
              <w:spacing w:line="240" w:lineRule="auto"/>
              <w:jc w:val="left"/>
              <w:rPr>
                <w:rFonts w:hint="eastAsia" w:ascii="宋体" w:hAnsi="宋体" w:eastAsia="宋体" w:cs="宋体"/>
                <w:color w:val="auto"/>
                <w:sz w:val="18"/>
                <w:szCs w:val="18"/>
                <w:highlight w:val="none"/>
              </w:rPr>
            </w:pPr>
          </w:p>
        </w:tc>
        <w:tc>
          <w:tcPr>
            <w:tcW w:w="915" w:type="dxa"/>
            <w:vMerge w:val="restart"/>
            <w:tcBorders>
              <w:top w:val="single" w:color="auto" w:sz="4" w:space="0"/>
              <w:left w:val="single" w:color="auto" w:sz="4" w:space="0"/>
              <w:right w:val="single" w:color="auto" w:sz="4" w:space="0"/>
            </w:tcBorders>
            <w:noWrap w:val="0"/>
            <w:vAlign w:val="center"/>
          </w:tcPr>
          <w:p w14:paraId="0A5E8A8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水电工</w:t>
            </w:r>
          </w:p>
          <w:p w14:paraId="50FF66F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w:t>
            </w:r>
          </w:p>
          <w:p w14:paraId="0D80B59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w:t>
            </w:r>
          </w:p>
          <w:p w14:paraId="6B2E678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细则</w:t>
            </w:r>
          </w:p>
          <w:p w14:paraId="5CB9322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（5分)</w:t>
            </w: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7906AC52">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、保持电工间、配电房、发电机房、水泵房、污水处理设备的卫生清洁。</w:t>
            </w:r>
          </w:p>
        </w:tc>
        <w:tc>
          <w:tcPr>
            <w:tcW w:w="3727" w:type="dxa"/>
            <w:vMerge w:val="restart"/>
            <w:tcBorders>
              <w:top w:val="single" w:color="auto" w:sz="4" w:space="0"/>
              <w:left w:val="single" w:color="auto" w:sz="4" w:space="0"/>
              <w:right w:val="single" w:color="auto" w:sz="4" w:space="0"/>
            </w:tcBorders>
            <w:noWrap w:val="0"/>
            <w:vAlign w:val="center"/>
          </w:tcPr>
          <w:p w14:paraId="38C2BE7A">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违反一条每次扣2分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扣完为止</w:t>
            </w:r>
            <w:r>
              <w:rPr>
                <w:rFonts w:hint="eastAsia" w:ascii="宋体" w:hAnsi="宋体" w:eastAsia="宋体" w:cs="宋体"/>
                <w:color w:val="auto"/>
                <w:sz w:val="18"/>
                <w:szCs w:val="18"/>
                <w:highlight w:val="none"/>
              </w:rPr>
              <w:t>。</w:t>
            </w: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2B376209">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7A2CCC8B">
            <w:pPr>
              <w:spacing w:line="240" w:lineRule="auto"/>
              <w:jc w:val="left"/>
              <w:rPr>
                <w:rFonts w:hint="eastAsia" w:ascii="宋体" w:hAnsi="宋体" w:eastAsia="宋体" w:cs="宋体"/>
                <w:color w:val="auto"/>
                <w:sz w:val="18"/>
                <w:szCs w:val="18"/>
                <w:highlight w:val="none"/>
              </w:rPr>
            </w:pPr>
          </w:p>
        </w:tc>
      </w:tr>
      <w:tr w14:paraId="0E82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381146F0">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794749C5">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4BDD14BC">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、根据季节变化适时调整广场高杆灯的开、关时间。</w:t>
            </w:r>
          </w:p>
        </w:tc>
        <w:tc>
          <w:tcPr>
            <w:tcW w:w="3727" w:type="dxa"/>
            <w:vMerge w:val="continue"/>
            <w:tcBorders>
              <w:left w:val="single" w:color="auto" w:sz="4" w:space="0"/>
              <w:right w:val="single" w:color="auto" w:sz="4" w:space="0"/>
            </w:tcBorders>
            <w:noWrap w:val="0"/>
            <w:vAlign w:val="center"/>
          </w:tcPr>
          <w:p w14:paraId="17F82D73">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00D6C49E">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00CC8255">
            <w:pPr>
              <w:spacing w:line="240" w:lineRule="auto"/>
              <w:jc w:val="left"/>
              <w:rPr>
                <w:rFonts w:hint="eastAsia" w:ascii="宋体" w:hAnsi="宋体" w:eastAsia="宋体" w:cs="宋体"/>
                <w:color w:val="auto"/>
                <w:sz w:val="18"/>
                <w:szCs w:val="18"/>
                <w:highlight w:val="none"/>
              </w:rPr>
            </w:pPr>
          </w:p>
        </w:tc>
      </w:tr>
      <w:tr w14:paraId="1A0F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628078E3">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616D3CD0">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3B826D64">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、每日进行水电总表的抄报和做好水电工日志。</w:t>
            </w:r>
          </w:p>
        </w:tc>
        <w:tc>
          <w:tcPr>
            <w:tcW w:w="3727" w:type="dxa"/>
            <w:vMerge w:val="continue"/>
            <w:tcBorders>
              <w:left w:val="single" w:color="auto" w:sz="4" w:space="0"/>
              <w:right w:val="single" w:color="auto" w:sz="4" w:space="0"/>
            </w:tcBorders>
            <w:noWrap w:val="0"/>
            <w:vAlign w:val="center"/>
          </w:tcPr>
          <w:p w14:paraId="0FB1F10A">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2FF1194F">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06C3A2CC">
            <w:pPr>
              <w:spacing w:line="240" w:lineRule="auto"/>
              <w:jc w:val="left"/>
              <w:rPr>
                <w:rFonts w:hint="eastAsia" w:ascii="宋体" w:hAnsi="宋体" w:eastAsia="宋体" w:cs="宋体"/>
                <w:color w:val="auto"/>
                <w:sz w:val="18"/>
                <w:szCs w:val="18"/>
                <w:highlight w:val="none"/>
              </w:rPr>
            </w:pPr>
          </w:p>
        </w:tc>
      </w:tr>
      <w:tr w14:paraId="1468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0E964EE1">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right w:val="single" w:color="auto" w:sz="4" w:space="0"/>
            </w:tcBorders>
            <w:noWrap w:val="0"/>
            <w:vAlign w:val="top"/>
          </w:tcPr>
          <w:p w14:paraId="150B8343">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4F17A68A">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、熟悉各设施设备性能，保证运行正常。</w:t>
            </w:r>
            <w:r>
              <w:rPr>
                <w:rFonts w:hint="eastAsia" w:ascii="宋体" w:hAnsi="宋体" w:eastAsia="宋体" w:cs="宋体"/>
                <w:color w:val="auto"/>
                <w:sz w:val="18"/>
                <w:szCs w:val="18"/>
                <w:highlight w:val="none"/>
                <w:lang w:val="en-US" w:eastAsia="zh-CN"/>
              </w:rPr>
              <w:t>如有设施设备故障、损坏等情况，乙方应及时发现并维修。</w:t>
            </w:r>
          </w:p>
        </w:tc>
        <w:tc>
          <w:tcPr>
            <w:tcW w:w="3727" w:type="dxa"/>
            <w:vMerge w:val="continue"/>
            <w:tcBorders>
              <w:left w:val="single" w:color="auto" w:sz="4" w:space="0"/>
              <w:right w:val="single" w:color="auto" w:sz="4" w:space="0"/>
            </w:tcBorders>
            <w:noWrap w:val="0"/>
            <w:vAlign w:val="center"/>
          </w:tcPr>
          <w:p w14:paraId="57BDC969">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5BC48D72">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619D6A1C">
            <w:pPr>
              <w:spacing w:line="240" w:lineRule="auto"/>
              <w:jc w:val="left"/>
              <w:rPr>
                <w:rFonts w:hint="eastAsia" w:ascii="宋体" w:hAnsi="宋体" w:eastAsia="宋体" w:cs="宋体"/>
                <w:color w:val="auto"/>
                <w:sz w:val="18"/>
                <w:szCs w:val="18"/>
                <w:highlight w:val="none"/>
              </w:rPr>
            </w:pPr>
          </w:p>
        </w:tc>
      </w:tr>
      <w:tr w14:paraId="05AC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0" w:type="dxa"/>
            <w:vMerge w:val="continue"/>
            <w:tcBorders>
              <w:left w:val="single" w:color="auto" w:sz="4" w:space="0"/>
              <w:right w:val="single" w:color="auto" w:sz="4" w:space="0"/>
            </w:tcBorders>
            <w:noWrap w:val="0"/>
            <w:vAlign w:val="top"/>
          </w:tcPr>
          <w:p w14:paraId="227758A2">
            <w:pPr>
              <w:spacing w:line="240" w:lineRule="auto"/>
              <w:jc w:val="left"/>
              <w:rPr>
                <w:rFonts w:hint="eastAsia" w:ascii="宋体" w:hAnsi="宋体" w:eastAsia="宋体" w:cs="宋体"/>
                <w:color w:val="auto"/>
                <w:sz w:val="18"/>
                <w:szCs w:val="18"/>
                <w:highlight w:val="none"/>
              </w:rPr>
            </w:pPr>
          </w:p>
        </w:tc>
        <w:tc>
          <w:tcPr>
            <w:tcW w:w="915" w:type="dxa"/>
            <w:vMerge w:val="continue"/>
            <w:tcBorders>
              <w:left w:val="single" w:color="auto" w:sz="4" w:space="0"/>
              <w:bottom w:val="single" w:color="auto" w:sz="4" w:space="0"/>
              <w:right w:val="single" w:color="auto" w:sz="4" w:space="0"/>
            </w:tcBorders>
            <w:noWrap w:val="0"/>
            <w:vAlign w:val="top"/>
          </w:tcPr>
          <w:p w14:paraId="7F92E66C">
            <w:pPr>
              <w:spacing w:line="240" w:lineRule="auto"/>
              <w:jc w:val="left"/>
              <w:rPr>
                <w:rFonts w:hint="eastAsia" w:ascii="宋体" w:hAnsi="宋体" w:eastAsia="宋体" w:cs="宋体"/>
                <w:color w:val="auto"/>
                <w:sz w:val="18"/>
                <w:szCs w:val="18"/>
                <w:highlight w:val="none"/>
              </w:rPr>
            </w:pPr>
          </w:p>
        </w:tc>
        <w:tc>
          <w:tcPr>
            <w:tcW w:w="5025" w:type="dxa"/>
            <w:gridSpan w:val="2"/>
            <w:tcBorders>
              <w:top w:val="single" w:color="auto" w:sz="4" w:space="0"/>
              <w:left w:val="single" w:color="auto" w:sz="4" w:space="0"/>
              <w:bottom w:val="single" w:color="auto" w:sz="4" w:space="0"/>
              <w:right w:val="single" w:color="auto" w:sz="4" w:space="0"/>
            </w:tcBorders>
            <w:noWrap w:val="0"/>
            <w:vAlign w:val="center"/>
          </w:tcPr>
          <w:p w14:paraId="3C1EF72A">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、及时按要求填写规定台帐，有填写人和审核人，内容须填写规范。</w:t>
            </w:r>
          </w:p>
        </w:tc>
        <w:tc>
          <w:tcPr>
            <w:tcW w:w="3727" w:type="dxa"/>
            <w:vMerge w:val="continue"/>
            <w:tcBorders>
              <w:left w:val="single" w:color="auto" w:sz="4" w:space="0"/>
              <w:bottom w:val="single" w:color="auto" w:sz="4" w:space="0"/>
              <w:right w:val="single" w:color="auto" w:sz="4" w:space="0"/>
            </w:tcBorders>
            <w:noWrap w:val="0"/>
            <w:vAlign w:val="center"/>
          </w:tcPr>
          <w:p w14:paraId="7ABAB1EC">
            <w:pPr>
              <w:spacing w:line="240" w:lineRule="auto"/>
              <w:jc w:val="left"/>
              <w:rPr>
                <w:rFonts w:hint="eastAsia" w:ascii="宋体" w:hAnsi="宋体" w:eastAsia="宋体" w:cs="宋体"/>
                <w:color w:val="auto"/>
                <w:sz w:val="18"/>
                <w:szCs w:val="18"/>
                <w:highlight w:val="none"/>
              </w:rPr>
            </w:pPr>
          </w:p>
        </w:tc>
        <w:tc>
          <w:tcPr>
            <w:tcW w:w="2357" w:type="dxa"/>
            <w:gridSpan w:val="3"/>
            <w:tcBorders>
              <w:top w:val="single" w:color="auto" w:sz="4" w:space="0"/>
              <w:left w:val="single" w:color="auto" w:sz="4" w:space="0"/>
              <w:bottom w:val="single" w:color="auto" w:sz="4" w:space="0"/>
              <w:right w:val="single" w:color="auto" w:sz="4" w:space="0"/>
            </w:tcBorders>
            <w:noWrap w:val="0"/>
            <w:vAlign w:val="top"/>
          </w:tcPr>
          <w:p w14:paraId="478953FE">
            <w:pPr>
              <w:spacing w:line="240" w:lineRule="auto"/>
              <w:jc w:val="left"/>
              <w:rPr>
                <w:rFonts w:hint="eastAsia" w:ascii="宋体" w:hAnsi="宋体" w:eastAsia="宋体" w:cs="宋体"/>
                <w:color w:val="auto"/>
                <w:sz w:val="18"/>
                <w:szCs w:val="18"/>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top"/>
          </w:tcPr>
          <w:p w14:paraId="7C2AE233">
            <w:pPr>
              <w:spacing w:line="240" w:lineRule="auto"/>
              <w:jc w:val="left"/>
              <w:rPr>
                <w:rFonts w:hint="eastAsia" w:ascii="宋体" w:hAnsi="宋体" w:eastAsia="宋体" w:cs="宋体"/>
                <w:color w:val="auto"/>
                <w:sz w:val="18"/>
                <w:szCs w:val="18"/>
                <w:highlight w:val="none"/>
              </w:rPr>
            </w:pPr>
          </w:p>
        </w:tc>
      </w:tr>
    </w:tbl>
    <w:tbl>
      <w:tblPr>
        <w:tblStyle w:val="25"/>
        <w:tblpPr w:leftFromText="180" w:rightFromText="180" w:vertAnchor="text" w:horzAnchor="page" w:tblpXSpec="center" w:tblpY="23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16"/>
        <w:gridCol w:w="5112"/>
        <w:gridCol w:w="3748"/>
        <w:gridCol w:w="2374"/>
        <w:gridCol w:w="993"/>
      </w:tblGrid>
      <w:tr w14:paraId="483B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14:paraId="1577A43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w:t>
            </w:r>
          </w:p>
          <w:p w14:paraId="3B39FB3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他</w:t>
            </w:r>
          </w:p>
          <w:p w14:paraId="14138E4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w:t>
            </w:r>
          </w:p>
          <w:p w14:paraId="13CDD96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核</w:t>
            </w:r>
          </w:p>
        </w:tc>
        <w:tc>
          <w:tcPr>
            <w:tcW w:w="816" w:type="dxa"/>
            <w:vMerge w:val="restart"/>
            <w:tcBorders>
              <w:top w:val="single" w:color="auto" w:sz="4" w:space="0"/>
              <w:left w:val="single" w:color="auto" w:sz="4" w:space="0"/>
              <w:bottom w:val="single" w:color="auto" w:sz="4" w:space="0"/>
              <w:right w:val="single" w:color="auto" w:sz="4" w:space="0"/>
            </w:tcBorders>
            <w:noWrap w:val="0"/>
            <w:vAlign w:val="top"/>
          </w:tcPr>
          <w:p w14:paraId="2CCE90A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w:t>
            </w:r>
          </w:p>
          <w:p w14:paraId="2CDC183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他</w:t>
            </w:r>
          </w:p>
          <w:p w14:paraId="4B3EAA0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w:t>
            </w:r>
          </w:p>
          <w:p w14:paraId="01F2329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罚</w:t>
            </w:r>
          </w:p>
        </w:tc>
        <w:tc>
          <w:tcPr>
            <w:tcW w:w="5112" w:type="dxa"/>
            <w:tcBorders>
              <w:top w:val="single" w:color="auto" w:sz="4" w:space="0"/>
              <w:left w:val="single" w:color="auto" w:sz="4" w:space="0"/>
              <w:bottom w:val="single" w:color="auto" w:sz="4" w:space="0"/>
              <w:right w:val="single" w:color="auto" w:sz="4" w:space="0"/>
            </w:tcBorders>
            <w:noWrap w:val="0"/>
            <w:vAlign w:val="center"/>
          </w:tcPr>
          <w:p w14:paraId="2A52B90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由于工作不当被新闻媒体曝光。</w:t>
            </w:r>
          </w:p>
        </w:tc>
        <w:tc>
          <w:tcPr>
            <w:tcW w:w="3748" w:type="dxa"/>
            <w:vMerge w:val="restart"/>
            <w:tcBorders>
              <w:top w:val="single" w:color="auto" w:sz="4" w:space="0"/>
              <w:left w:val="single" w:color="auto" w:sz="4" w:space="0"/>
              <w:bottom w:val="single" w:color="auto" w:sz="4" w:space="0"/>
              <w:right w:val="single" w:color="auto" w:sz="4" w:space="0"/>
            </w:tcBorders>
            <w:noWrap w:val="0"/>
            <w:vAlign w:val="center"/>
          </w:tcPr>
          <w:p w14:paraId="06508692">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视情况给予当月考核0分处理或酌情给予2000-10000罚款</w:t>
            </w:r>
          </w:p>
        </w:tc>
        <w:tc>
          <w:tcPr>
            <w:tcW w:w="2374" w:type="dxa"/>
            <w:tcBorders>
              <w:top w:val="single" w:color="auto" w:sz="4" w:space="0"/>
              <w:left w:val="single" w:color="auto" w:sz="4" w:space="0"/>
              <w:bottom w:val="single" w:color="auto" w:sz="4" w:space="0"/>
              <w:right w:val="single" w:color="auto" w:sz="4" w:space="0"/>
            </w:tcBorders>
            <w:noWrap w:val="0"/>
            <w:vAlign w:val="top"/>
          </w:tcPr>
          <w:p w14:paraId="7DF8E70E">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CFDD121">
            <w:pPr>
              <w:spacing w:line="240" w:lineRule="auto"/>
              <w:jc w:val="left"/>
              <w:rPr>
                <w:rFonts w:hint="eastAsia" w:ascii="宋体" w:hAnsi="宋体" w:eastAsia="宋体" w:cs="宋体"/>
                <w:color w:val="auto"/>
                <w:sz w:val="18"/>
                <w:szCs w:val="18"/>
                <w:highlight w:val="none"/>
              </w:rPr>
            </w:pPr>
          </w:p>
        </w:tc>
      </w:tr>
      <w:tr w14:paraId="0529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4B48F70A">
            <w:pPr>
              <w:spacing w:line="240" w:lineRule="auto"/>
              <w:jc w:val="center"/>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14:paraId="43225230">
            <w:pPr>
              <w:spacing w:line="240" w:lineRule="auto"/>
              <w:jc w:val="center"/>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14:paraId="3F100E3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发生有责投诉事件</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14:paraId="477C6133">
            <w:pPr>
              <w:spacing w:line="240" w:lineRule="auto"/>
              <w:jc w:val="left"/>
              <w:rPr>
                <w:rFonts w:hint="eastAsia" w:ascii="宋体" w:hAnsi="宋体" w:eastAsia="宋体" w:cs="宋体"/>
                <w:color w:val="auto"/>
                <w:sz w:val="18"/>
                <w:szCs w:val="18"/>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14:paraId="0938E88E">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3F39DEF">
            <w:pPr>
              <w:spacing w:line="240" w:lineRule="auto"/>
              <w:jc w:val="left"/>
              <w:rPr>
                <w:rFonts w:hint="eastAsia" w:ascii="宋体" w:hAnsi="宋体" w:eastAsia="宋体" w:cs="宋体"/>
                <w:color w:val="auto"/>
                <w:sz w:val="18"/>
                <w:szCs w:val="18"/>
                <w:highlight w:val="none"/>
              </w:rPr>
            </w:pPr>
          </w:p>
        </w:tc>
      </w:tr>
      <w:tr w14:paraId="75AB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6D0F78B9">
            <w:pPr>
              <w:spacing w:line="240" w:lineRule="auto"/>
              <w:jc w:val="center"/>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14:paraId="6EFC2381">
            <w:pPr>
              <w:spacing w:line="240" w:lineRule="auto"/>
              <w:jc w:val="center"/>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14:paraId="7523A453">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因管理不当被行业主管理部门或集团公司通报批评。</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14:paraId="26D43480">
            <w:pPr>
              <w:spacing w:line="240" w:lineRule="auto"/>
              <w:jc w:val="left"/>
              <w:rPr>
                <w:rFonts w:hint="eastAsia" w:ascii="宋体" w:hAnsi="宋体" w:eastAsia="宋体" w:cs="宋体"/>
                <w:color w:val="auto"/>
                <w:sz w:val="18"/>
                <w:szCs w:val="18"/>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14:paraId="4F61B60F">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CD35438">
            <w:pPr>
              <w:spacing w:line="240" w:lineRule="auto"/>
              <w:jc w:val="left"/>
              <w:rPr>
                <w:rFonts w:hint="eastAsia" w:ascii="宋体" w:hAnsi="宋体" w:eastAsia="宋体" w:cs="宋体"/>
                <w:color w:val="auto"/>
                <w:sz w:val="18"/>
                <w:szCs w:val="18"/>
                <w:highlight w:val="none"/>
              </w:rPr>
            </w:pPr>
          </w:p>
        </w:tc>
      </w:tr>
      <w:tr w14:paraId="53B0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0A9EE909">
            <w:pPr>
              <w:spacing w:line="240" w:lineRule="auto"/>
              <w:jc w:val="center"/>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14:paraId="64A4A3F6">
            <w:pPr>
              <w:spacing w:line="240" w:lineRule="auto"/>
              <w:jc w:val="center"/>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14:paraId="5A0488D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w:t>
            </w:r>
            <w:r>
              <w:rPr>
                <w:rFonts w:hint="eastAsia" w:ascii="宋体" w:hAnsi="宋体" w:eastAsia="宋体" w:cs="宋体"/>
                <w:color w:val="auto"/>
                <w:sz w:val="18"/>
                <w:szCs w:val="18"/>
                <w:highlight w:val="none"/>
                <w:lang w:eastAsia="zh-CN"/>
              </w:rPr>
              <w:t>服务区</w:t>
            </w:r>
            <w:r>
              <w:rPr>
                <w:rFonts w:hint="eastAsia" w:ascii="宋体" w:hAnsi="宋体" w:eastAsia="宋体" w:cs="宋体"/>
                <w:color w:val="auto"/>
                <w:sz w:val="18"/>
                <w:szCs w:val="18"/>
                <w:highlight w:val="none"/>
              </w:rPr>
              <w:t>交办的其他临时性工作完成较差。</w:t>
            </w:r>
          </w:p>
        </w:tc>
        <w:tc>
          <w:tcPr>
            <w:tcW w:w="3748" w:type="dxa"/>
            <w:vMerge w:val="continue"/>
            <w:tcBorders>
              <w:top w:val="single" w:color="auto" w:sz="4" w:space="0"/>
              <w:left w:val="single" w:color="auto" w:sz="4" w:space="0"/>
              <w:bottom w:val="single" w:color="auto" w:sz="4" w:space="0"/>
              <w:right w:val="single" w:color="auto" w:sz="4" w:space="0"/>
            </w:tcBorders>
            <w:noWrap w:val="0"/>
            <w:vAlign w:val="center"/>
          </w:tcPr>
          <w:p w14:paraId="7F74E6A3">
            <w:pPr>
              <w:spacing w:line="240" w:lineRule="auto"/>
              <w:jc w:val="left"/>
              <w:rPr>
                <w:rFonts w:hint="eastAsia" w:ascii="宋体" w:hAnsi="宋体" w:eastAsia="宋体" w:cs="宋体"/>
                <w:color w:val="auto"/>
                <w:sz w:val="18"/>
                <w:szCs w:val="18"/>
                <w:highlight w:val="none"/>
              </w:rPr>
            </w:pPr>
          </w:p>
        </w:tc>
        <w:tc>
          <w:tcPr>
            <w:tcW w:w="2374" w:type="dxa"/>
            <w:tcBorders>
              <w:top w:val="single" w:color="auto" w:sz="4" w:space="0"/>
              <w:left w:val="single" w:color="auto" w:sz="4" w:space="0"/>
              <w:bottom w:val="single" w:color="auto" w:sz="4" w:space="0"/>
              <w:right w:val="single" w:color="auto" w:sz="4" w:space="0"/>
            </w:tcBorders>
            <w:noWrap w:val="0"/>
            <w:vAlign w:val="top"/>
          </w:tcPr>
          <w:p w14:paraId="36919A05">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25869B3">
            <w:pPr>
              <w:spacing w:line="240" w:lineRule="auto"/>
              <w:jc w:val="left"/>
              <w:rPr>
                <w:rFonts w:hint="eastAsia" w:ascii="宋体" w:hAnsi="宋体" w:eastAsia="宋体" w:cs="宋体"/>
                <w:color w:val="auto"/>
                <w:sz w:val="18"/>
                <w:szCs w:val="18"/>
                <w:highlight w:val="none"/>
              </w:rPr>
            </w:pPr>
          </w:p>
        </w:tc>
      </w:tr>
      <w:tr w14:paraId="6F25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49F4D558">
            <w:pPr>
              <w:spacing w:line="240" w:lineRule="auto"/>
              <w:jc w:val="center"/>
              <w:rPr>
                <w:rFonts w:hint="eastAsia" w:ascii="宋体" w:hAnsi="宋体" w:eastAsia="宋体" w:cs="宋体"/>
                <w:color w:val="auto"/>
                <w:sz w:val="18"/>
                <w:szCs w:val="18"/>
                <w:highlight w:val="none"/>
              </w:rPr>
            </w:pPr>
          </w:p>
        </w:tc>
        <w:tc>
          <w:tcPr>
            <w:tcW w:w="816" w:type="dxa"/>
            <w:vMerge w:val="restart"/>
            <w:tcBorders>
              <w:top w:val="single" w:color="auto" w:sz="4" w:space="0"/>
              <w:left w:val="single" w:color="auto" w:sz="4" w:space="0"/>
              <w:bottom w:val="single" w:color="auto" w:sz="4" w:space="0"/>
              <w:right w:val="single" w:color="auto" w:sz="4" w:space="0"/>
            </w:tcBorders>
            <w:noWrap w:val="0"/>
            <w:vAlign w:val="top"/>
          </w:tcPr>
          <w:p w14:paraId="271F4CF2">
            <w:pPr>
              <w:spacing w:line="240" w:lineRule="auto"/>
              <w:jc w:val="center"/>
              <w:rPr>
                <w:rFonts w:hint="eastAsia" w:ascii="宋体" w:hAnsi="宋体" w:eastAsia="宋体" w:cs="宋体"/>
                <w:color w:val="auto"/>
                <w:sz w:val="18"/>
                <w:szCs w:val="18"/>
                <w:highlight w:val="none"/>
              </w:rPr>
            </w:pPr>
          </w:p>
          <w:p w14:paraId="4276DC3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w:t>
            </w:r>
          </w:p>
          <w:p w14:paraId="6765032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w:t>
            </w:r>
          </w:p>
          <w:p w14:paraId="2E5EA63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w:t>
            </w:r>
          </w:p>
        </w:tc>
        <w:tc>
          <w:tcPr>
            <w:tcW w:w="5112" w:type="dxa"/>
            <w:tcBorders>
              <w:top w:val="single" w:color="auto" w:sz="4" w:space="0"/>
              <w:left w:val="single" w:color="auto" w:sz="4" w:space="0"/>
              <w:bottom w:val="single" w:color="auto" w:sz="4" w:space="0"/>
              <w:right w:val="single" w:color="auto" w:sz="4" w:space="0"/>
            </w:tcBorders>
            <w:noWrap w:val="0"/>
            <w:vAlign w:val="center"/>
          </w:tcPr>
          <w:p w14:paraId="60728E1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见义勇为、拾金不昧、好人好事被司乘人员或上级部门表扬和新闻媒体报道的。</w:t>
            </w:r>
          </w:p>
        </w:tc>
        <w:tc>
          <w:tcPr>
            <w:tcW w:w="3748" w:type="dxa"/>
            <w:tcBorders>
              <w:top w:val="single" w:color="auto" w:sz="4" w:space="0"/>
              <w:left w:val="single" w:color="auto" w:sz="4" w:space="0"/>
              <w:bottom w:val="single" w:color="auto" w:sz="4" w:space="0"/>
              <w:right w:val="single" w:color="auto" w:sz="4" w:space="0"/>
            </w:tcBorders>
            <w:noWrap w:val="0"/>
            <w:vAlign w:val="center"/>
          </w:tcPr>
          <w:p w14:paraId="71148EC5">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视情况给予2-20分加分</w:t>
            </w:r>
          </w:p>
        </w:tc>
        <w:tc>
          <w:tcPr>
            <w:tcW w:w="2374" w:type="dxa"/>
            <w:tcBorders>
              <w:top w:val="single" w:color="auto" w:sz="4" w:space="0"/>
              <w:left w:val="single" w:color="auto" w:sz="4" w:space="0"/>
              <w:bottom w:val="single" w:color="auto" w:sz="4" w:space="0"/>
              <w:right w:val="single" w:color="auto" w:sz="4" w:space="0"/>
            </w:tcBorders>
            <w:noWrap w:val="0"/>
            <w:vAlign w:val="top"/>
          </w:tcPr>
          <w:p w14:paraId="2B642EE3">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EF3E6BC">
            <w:pPr>
              <w:spacing w:line="240" w:lineRule="auto"/>
              <w:jc w:val="left"/>
              <w:rPr>
                <w:rFonts w:hint="eastAsia" w:ascii="宋体" w:hAnsi="宋体" w:eastAsia="宋体" w:cs="宋体"/>
                <w:color w:val="auto"/>
                <w:sz w:val="18"/>
                <w:szCs w:val="18"/>
                <w:highlight w:val="none"/>
              </w:rPr>
            </w:pPr>
          </w:p>
        </w:tc>
      </w:tr>
      <w:tr w14:paraId="67C5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232CA9A1">
            <w:pPr>
              <w:spacing w:line="240" w:lineRule="auto"/>
              <w:jc w:val="left"/>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14:paraId="4D08E888">
            <w:pPr>
              <w:spacing w:line="240" w:lineRule="auto"/>
              <w:jc w:val="left"/>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14:paraId="327AC20A">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因管理优秀被上级部门表彰</w:t>
            </w:r>
          </w:p>
        </w:tc>
        <w:tc>
          <w:tcPr>
            <w:tcW w:w="3748" w:type="dxa"/>
            <w:tcBorders>
              <w:top w:val="single" w:color="auto" w:sz="4" w:space="0"/>
              <w:left w:val="single" w:color="auto" w:sz="4" w:space="0"/>
              <w:bottom w:val="single" w:color="auto" w:sz="4" w:space="0"/>
              <w:right w:val="single" w:color="auto" w:sz="4" w:space="0"/>
            </w:tcBorders>
            <w:noWrap w:val="0"/>
            <w:vAlign w:val="center"/>
          </w:tcPr>
          <w:p w14:paraId="232642D8">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加2-15分</w:t>
            </w:r>
          </w:p>
        </w:tc>
        <w:tc>
          <w:tcPr>
            <w:tcW w:w="2374" w:type="dxa"/>
            <w:tcBorders>
              <w:top w:val="single" w:color="auto" w:sz="4" w:space="0"/>
              <w:left w:val="single" w:color="auto" w:sz="4" w:space="0"/>
              <w:bottom w:val="single" w:color="auto" w:sz="4" w:space="0"/>
              <w:right w:val="single" w:color="auto" w:sz="4" w:space="0"/>
            </w:tcBorders>
            <w:noWrap w:val="0"/>
            <w:vAlign w:val="top"/>
          </w:tcPr>
          <w:p w14:paraId="4F5B2EE6">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85BA272">
            <w:pPr>
              <w:spacing w:line="240" w:lineRule="auto"/>
              <w:jc w:val="left"/>
              <w:rPr>
                <w:rFonts w:hint="eastAsia" w:ascii="宋体" w:hAnsi="宋体" w:eastAsia="宋体" w:cs="宋体"/>
                <w:color w:val="auto"/>
                <w:sz w:val="18"/>
                <w:szCs w:val="18"/>
                <w:highlight w:val="none"/>
              </w:rPr>
            </w:pPr>
          </w:p>
        </w:tc>
      </w:tr>
      <w:tr w14:paraId="14EC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 w:type="dxa"/>
            <w:vMerge w:val="continue"/>
            <w:tcBorders>
              <w:top w:val="single" w:color="auto" w:sz="4" w:space="0"/>
              <w:left w:val="single" w:color="auto" w:sz="4" w:space="0"/>
              <w:bottom w:val="single" w:color="auto" w:sz="4" w:space="0"/>
              <w:right w:val="single" w:color="auto" w:sz="4" w:space="0"/>
            </w:tcBorders>
            <w:noWrap w:val="0"/>
            <w:vAlign w:val="top"/>
          </w:tcPr>
          <w:p w14:paraId="1F40392C">
            <w:pPr>
              <w:spacing w:line="240" w:lineRule="auto"/>
              <w:jc w:val="left"/>
              <w:rPr>
                <w:rFonts w:hint="eastAsia" w:ascii="宋体" w:hAnsi="宋体" w:eastAsia="宋体" w:cs="宋体"/>
                <w:color w:val="auto"/>
                <w:sz w:val="18"/>
                <w:szCs w:val="18"/>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top"/>
          </w:tcPr>
          <w:p w14:paraId="49744F0B">
            <w:pPr>
              <w:spacing w:line="240" w:lineRule="auto"/>
              <w:jc w:val="left"/>
              <w:rPr>
                <w:rFonts w:hint="eastAsia" w:ascii="宋体" w:hAnsi="宋体" w:eastAsia="宋体" w:cs="宋体"/>
                <w:color w:val="auto"/>
                <w:sz w:val="18"/>
                <w:szCs w:val="18"/>
                <w:highlight w:val="none"/>
              </w:rPr>
            </w:pPr>
          </w:p>
        </w:tc>
        <w:tc>
          <w:tcPr>
            <w:tcW w:w="5112" w:type="dxa"/>
            <w:tcBorders>
              <w:top w:val="single" w:color="auto" w:sz="4" w:space="0"/>
              <w:left w:val="single" w:color="auto" w:sz="4" w:space="0"/>
              <w:bottom w:val="single" w:color="auto" w:sz="4" w:space="0"/>
              <w:right w:val="single" w:color="auto" w:sz="4" w:space="0"/>
            </w:tcBorders>
            <w:noWrap w:val="0"/>
            <w:vAlign w:val="center"/>
          </w:tcPr>
          <w:p w14:paraId="1E28D8D7">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物业项目被评为市级以上优秀称号</w:t>
            </w:r>
          </w:p>
        </w:tc>
        <w:tc>
          <w:tcPr>
            <w:tcW w:w="3748" w:type="dxa"/>
            <w:tcBorders>
              <w:top w:val="single" w:color="auto" w:sz="4" w:space="0"/>
              <w:left w:val="single" w:color="auto" w:sz="4" w:space="0"/>
              <w:bottom w:val="single" w:color="auto" w:sz="4" w:space="0"/>
              <w:right w:val="single" w:color="auto" w:sz="4" w:space="0"/>
            </w:tcBorders>
            <w:noWrap w:val="0"/>
            <w:vAlign w:val="center"/>
          </w:tcPr>
          <w:p w14:paraId="7650F6BB">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加20分</w:t>
            </w:r>
          </w:p>
        </w:tc>
        <w:tc>
          <w:tcPr>
            <w:tcW w:w="2374" w:type="dxa"/>
            <w:tcBorders>
              <w:top w:val="single" w:color="auto" w:sz="4" w:space="0"/>
              <w:left w:val="single" w:color="auto" w:sz="4" w:space="0"/>
              <w:bottom w:val="single" w:color="auto" w:sz="4" w:space="0"/>
              <w:right w:val="single" w:color="auto" w:sz="4" w:space="0"/>
            </w:tcBorders>
            <w:noWrap w:val="0"/>
            <w:vAlign w:val="top"/>
          </w:tcPr>
          <w:p w14:paraId="3EB2AEA9">
            <w:pPr>
              <w:spacing w:line="240" w:lineRule="auto"/>
              <w:jc w:val="left"/>
              <w:rPr>
                <w:rFonts w:hint="eastAsia" w:ascii="宋体" w:hAnsi="宋体" w:eastAsia="宋体" w:cs="宋体"/>
                <w:color w:val="auto"/>
                <w:sz w:val="18"/>
                <w:szCs w:val="1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3A659F3">
            <w:pPr>
              <w:spacing w:line="240" w:lineRule="auto"/>
              <w:jc w:val="left"/>
              <w:rPr>
                <w:rFonts w:hint="eastAsia" w:ascii="宋体" w:hAnsi="宋体" w:eastAsia="宋体" w:cs="宋体"/>
                <w:color w:val="auto"/>
                <w:sz w:val="18"/>
                <w:szCs w:val="18"/>
                <w:highlight w:val="none"/>
              </w:rPr>
            </w:pPr>
          </w:p>
        </w:tc>
      </w:tr>
    </w:tbl>
    <w:p w14:paraId="407B53D2">
      <w:pPr>
        <w:pStyle w:val="12"/>
        <w:rPr>
          <w:rFonts w:hint="eastAsia" w:ascii="宋体" w:hAnsi="宋体" w:eastAsia="宋体" w:cs="宋体"/>
          <w:highlight w:val="none"/>
        </w:rPr>
      </w:pPr>
    </w:p>
    <w:p w14:paraId="2F45771F">
      <w:pPr>
        <w:rPr>
          <w:rFonts w:hint="eastAsia" w:ascii="宋体" w:hAnsi="宋体" w:eastAsia="宋体" w:cs="宋体"/>
          <w:highlight w:val="none"/>
        </w:rPr>
        <w:sectPr>
          <w:headerReference r:id="rId4" w:type="default"/>
          <w:footerReference r:id="rId5" w:type="default"/>
          <w:pgSz w:w="16838" w:h="11906" w:orient="landscape"/>
          <w:pgMar w:top="1474" w:right="1474" w:bottom="1474" w:left="1417" w:header="737" w:footer="737" w:gutter="0"/>
          <w:cols w:space="720" w:num="1"/>
          <w:docGrid w:linePitch="312" w:charSpace="0"/>
        </w:sectPr>
      </w:pPr>
      <w:r>
        <w:rPr>
          <w:rFonts w:hint="eastAsia" w:ascii="宋体" w:hAnsi="宋体" w:eastAsia="宋体" w:cs="宋体"/>
          <w:highlight w:val="none"/>
        </w:rPr>
        <w:br w:type="page"/>
      </w:r>
    </w:p>
    <w:p w14:paraId="74CCCEFF">
      <w:pPr>
        <w:pStyle w:val="12"/>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附件六</w:t>
      </w:r>
    </w:p>
    <w:p w14:paraId="0C6730DE">
      <w:pPr>
        <w:bidi w:val="0"/>
        <w:jc w:val="center"/>
        <w:rPr>
          <w:rFonts w:hint="eastAsia" w:ascii="宋体" w:hAnsi="宋体" w:eastAsia="宋体" w:cs="宋体"/>
          <w:sz w:val="28"/>
          <w:szCs w:val="28"/>
        </w:rPr>
      </w:pPr>
      <w:r>
        <w:rPr>
          <w:rFonts w:hint="eastAsia" w:ascii="宋体" w:hAnsi="宋体" w:eastAsia="宋体" w:cs="宋体"/>
          <w:sz w:val="28"/>
          <w:szCs w:val="28"/>
          <w:lang w:eastAsia="zh-CN"/>
        </w:rPr>
        <w:t>“瓯江红·畅美高速”党群服务中心物业服务</w:t>
      </w:r>
      <w:r>
        <w:rPr>
          <w:rFonts w:hint="eastAsia" w:ascii="宋体" w:hAnsi="宋体" w:eastAsia="宋体" w:cs="宋体"/>
          <w:sz w:val="28"/>
          <w:szCs w:val="28"/>
        </w:rPr>
        <w:t>考核评分表</w:t>
      </w:r>
    </w:p>
    <w:tbl>
      <w:tblPr>
        <w:tblStyle w:val="25"/>
        <w:tblW w:w="14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04"/>
        <w:gridCol w:w="6239"/>
        <w:gridCol w:w="4407"/>
        <w:gridCol w:w="1232"/>
        <w:gridCol w:w="1025"/>
      </w:tblGrid>
      <w:tr w14:paraId="37AE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4" w:type="dxa"/>
            <w:gridSpan w:val="2"/>
            <w:tcBorders>
              <w:top w:val="single" w:color="auto" w:sz="4" w:space="0"/>
              <w:left w:val="single" w:color="auto" w:sz="4" w:space="0"/>
              <w:bottom w:val="single" w:color="auto" w:sz="4" w:space="0"/>
              <w:right w:val="single" w:color="auto" w:sz="4" w:space="0"/>
            </w:tcBorders>
            <w:noWrap w:val="0"/>
            <w:vAlign w:val="center"/>
          </w:tcPr>
          <w:p w14:paraId="41EFF564">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项目</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7AE754B8">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考核标准</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6282A739">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考核办法</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267971E8">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扣分事项</w:t>
            </w:r>
          </w:p>
        </w:tc>
        <w:tc>
          <w:tcPr>
            <w:tcW w:w="1025" w:type="dxa"/>
            <w:tcBorders>
              <w:top w:val="single" w:color="auto" w:sz="4" w:space="0"/>
              <w:left w:val="single" w:color="auto" w:sz="4" w:space="0"/>
              <w:bottom w:val="single" w:color="auto" w:sz="4" w:space="0"/>
              <w:right w:val="single" w:color="auto" w:sz="4" w:space="0"/>
            </w:tcBorders>
            <w:noWrap w:val="0"/>
            <w:vAlign w:val="top"/>
          </w:tcPr>
          <w:p w14:paraId="2C497E8C">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得分</w:t>
            </w:r>
          </w:p>
        </w:tc>
      </w:tr>
      <w:tr w14:paraId="2F56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right w:val="single" w:color="auto" w:sz="4" w:space="0"/>
            </w:tcBorders>
            <w:noWrap w:val="0"/>
            <w:vAlign w:val="center"/>
          </w:tcPr>
          <w:p w14:paraId="236E8E22">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总</w:t>
            </w:r>
          </w:p>
          <w:p w14:paraId="55B5E822">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体</w:t>
            </w:r>
          </w:p>
          <w:p w14:paraId="264EA960">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要</w:t>
            </w:r>
          </w:p>
          <w:p w14:paraId="4B56C151">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求</w:t>
            </w:r>
          </w:p>
          <w:p w14:paraId="6C381E8E">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（50分）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3C5BBA7F">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规</w:t>
            </w:r>
          </w:p>
          <w:p w14:paraId="54D0474A">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章</w:t>
            </w:r>
          </w:p>
          <w:p w14:paraId="70943B68">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制</w:t>
            </w:r>
          </w:p>
          <w:p w14:paraId="281C8DE2">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度</w:t>
            </w:r>
          </w:p>
          <w:p w14:paraId="6A8758E4">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21DED215">
            <w:pPr>
              <w:spacing w:line="240" w:lineRule="auto"/>
              <w:jc w:val="left"/>
              <w:rPr>
                <w:rFonts w:hint="eastAsia" w:ascii="宋体" w:hAnsi="宋体" w:eastAsia="宋体" w:cs="宋体"/>
                <w:bCs/>
                <w:color w:val="auto"/>
                <w:sz w:val="18"/>
                <w:szCs w:val="18"/>
              </w:rPr>
            </w:pPr>
            <w:r>
              <w:rPr>
                <w:rFonts w:hint="eastAsia" w:ascii="宋体" w:hAnsi="宋体" w:eastAsia="宋体" w:cs="宋体"/>
                <w:color w:val="auto"/>
                <w:sz w:val="18"/>
                <w:szCs w:val="18"/>
              </w:rPr>
              <w:t>1、健全内部各项规章制度及应急预案</w:t>
            </w:r>
            <w:r>
              <w:rPr>
                <w:rFonts w:hint="eastAsia" w:ascii="宋体" w:hAnsi="宋体" w:eastAsia="宋体" w:cs="宋体"/>
                <w:bCs/>
                <w:color w:val="auto"/>
                <w:sz w:val="18"/>
                <w:szCs w:val="18"/>
              </w:rPr>
              <w:t>；</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ED73D0D">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未建立扣5分，不健全扣2扣</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5B46736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0D2AF9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4829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2BA7CE2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7261AC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1EAAAE78">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2、熟悉</w:t>
            </w:r>
            <w:r>
              <w:rPr>
                <w:rFonts w:hint="eastAsia" w:ascii="宋体" w:hAnsi="宋体" w:eastAsia="宋体" w:cs="宋体"/>
                <w:color w:val="auto"/>
                <w:sz w:val="18"/>
                <w:szCs w:val="18"/>
                <w:lang w:val="en-US" w:eastAsia="zh-CN"/>
              </w:rPr>
              <w:t>党群服务中心和服务区</w:t>
            </w:r>
            <w:r>
              <w:rPr>
                <w:rFonts w:hint="eastAsia" w:ascii="宋体" w:hAnsi="宋体" w:eastAsia="宋体" w:cs="宋体"/>
                <w:color w:val="auto"/>
                <w:sz w:val="18"/>
                <w:szCs w:val="18"/>
              </w:rPr>
              <w:t>各项管理制度及应急预案，并有效组织实施；</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A58BABF">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不熟悉扣1分，不能有效组织实施扣2分；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5269B72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3B66FB9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3799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0500495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370F5F2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49F5592A">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3、建立内部岗位绩效考核办法；</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FECAE39">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未建立绩效考核办法扣2分，未落实考核奖罚办法执行扣5分；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694C155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C73EC6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7F4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7FE729A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7565B7A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人</w:t>
            </w:r>
          </w:p>
          <w:p w14:paraId="36167241">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员</w:t>
            </w:r>
          </w:p>
          <w:p w14:paraId="79682F1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配</w:t>
            </w:r>
          </w:p>
          <w:p w14:paraId="19D90FE6">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备</w:t>
            </w:r>
          </w:p>
          <w:p w14:paraId="763BDC0C">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7766BB5D">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1、人员编制符合要求；</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2063BA0">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highlight w:val="none"/>
              </w:rPr>
              <w:t>达不到要求，缺少1人扣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val="en-US" w:eastAsia="zh-CN"/>
              </w:rPr>
              <w:t>连续15天未整改，考核分扣10分，连续30天未整改，考核做0分处理。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4390149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90A199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6A0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3722565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C57C69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406C7A18">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2、人员招聘符合业主要求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队伍保持稳定；影响</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sz w:val="18"/>
                <w:szCs w:val="18"/>
              </w:rPr>
              <w:t>正常运转扣5分，</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13CA35EF">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不符合要求的每人扣</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485890D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48DE54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4EE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2C1A37E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7AB18BE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76FC30E6">
            <w:p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、人员无犯罪证明，人员花名册每月更新</w:t>
            </w:r>
            <w:r>
              <w:rPr>
                <w:rFonts w:hint="eastAsia" w:ascii="宋体" w:hAnsi="宋体" w:eastAsia="宋体" w:cs="宋体"/>
                <w:color w:val="auto"/>
                <w:sz w:val="18"/>
                <w:szCs w:val="18"/>
                <w:lang w:val="en-US" w:eastAsia="zh-CN"/>
              </w:rPr>
              <w:t>.</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53F4C05D">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未建立人员信息管理台帐的扣2分；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7CC8BC8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9523C0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39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14:paraId="44D0BD5A">
            <w:pPr>
              <w:spacing w:line="240" w:lineRule="auto"/>
              <w:jc w:val="center"/>
              <w:rPr>
                <w:rFonts w:hint="eastAsia" w:ascii="宋体" w:hAnsi="宋体" w:eastAsia="宋体" w:cs="宋体"/>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7A39E3D7">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教</w:t>
            </w:r>
          </w:p>
          <w:p w14:paraId="7A0537F3">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育</w:t>
            </w:r>
          </w:p>
          <w:p w14:paraId="754B5A28">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培</w:t>
            </w:r>
          </w:p>
          <w:p w14:paraId="466FDB73">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训</w:t>
            </w:r>
          </w:p>
          <w:p w14:paraId="1C4498B0">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8FC5EB8">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1、制订内部教育培训计划，并按规定执行。</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5C33A7D">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无培训计划扣2分，未按计划组织培训1次扣1分；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40DE7D3E">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38847AA">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14:paraId="438A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14:paraId="0568F6BD">
            <w:pPr>
              <w:tabs>
                <w:tab w:val="left" w:pos="540"/>
                <w:tab w:val="left" w:pos="720"/>
              </w:tabs>
              <w:adjustRightInd w:val="0"/>
              <w:snapToGrid w:val="0"/>
              <w:spacing w:line="240" w:lineRule="auto"/>
              <w:ind w:left="410" w:hanging="307" w:hangingChars="170"/>
              <w:rPr>
                <w:rFonts w:hint="eastAsia" w:ascii="宋体" w:hAnsi="宋体" w:eastAsia="宋体" w:cs="宋体"/>
                <w:b/>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5EB44CEE">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top"/>
          </w:tcPr>
          <w:p w14:paraId="064D20AD">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2、组织员工开展安全培训，形成岗前安全教育培训台帐；</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461DCA81">
            <w:pPr>
              <w:spacing w:line="240" w:lineRule="auto"/>
              <w:ind w:left="357" w:hanging="306" w:hangingChars="170"/>
              <w:jc w:val="left"/>
              <w:rPr>
                <w:rFonts w:hint="eastAsia" w:ascii="宋体" w:hAnsi="宋体" w:eastAsia="宋体" w:cs="宋体"/>
                <w:color w:val="auto"/>
                <w:sz w:val="18"/>
                <w:szCs w:val="18"/>
              </w:rPr>
            </w:pPr>
            <w:r>
              <w:rPr>
                <w:rFonts w:hint="eastAsia" w:ascii="宋体" w:hAnsi="宋体" w:eastAsia="宋体" w:cs="宋体"/>
                <w:color w:val="auto"/>
                <w:sz w:val="18"/>
                <w:szCs w:val="18"/>
              </w:rPr>
              <w:t>未能做到扣2分；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5A77D03B">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7787F5E">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14:paraId="072B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14:paraId="58270B5A">
            <w:pPr>
              <w:tabs>
                <w:tab w:val="left" w:pos="540"/>
                <w:tab w:val="left" w:pos="720"/>
              </w:tabs>
              <w:adjustRightInd w:val="0"/>
              <w:snapToGrid w:val="0"/>
              <w:spacing w:line="240" w:lineRule="auto"/>
              <w:ind w:left="410" w:hanging="307" w:hangingChars="170"/>
              <w:rPr>
                <w:rFonts w:hint="eastAsia" w:ascii="宋体" w:hAnsi="宋体" w:eastAsia="宋体" w:cs="宋体"/>
                <w:b/>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7F288266">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top"/>
          </w:tcPr>
          <w:p w14:paraId="66F9A6C9">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3、积极组织员工参加</w:t>
            </w:r>
            <w:r>
              <w:rPr>
                <w:rFonts w:hint="eastAsia" w:ascii="宋体" w:hAnsi="宋体" w:eastAsia="宋体" w:cs="宋体"/>
                <w:color w:val="auto"/>
                <w:sz w:val="18"/>
                <w:szCs w:val="18"/>
                <w:lang w:eastAsia="zh-CN"/>
              </w:rPr>
              <w:t>服务区</w:t>
            </w:r>
            <w:r>
              <w:rPr>
                <w:rFonts w:hint="eastAsia" w:ascii="宋体" w:hAnsi="宋体" w:eastAsia="宋体" w:cs="宋体"/>
                <w:color w:val="auto"/>
                <w:sz w:val="18"/>
                <w:szCs w:val="18"/>
              </w:rPr>
              <w:t>组织各项教育培训活动；</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48E562BF">
            <w:pPr>
              <w:spacing w:line="240" w:lineRule="auto"/>
              <w:ind w:left="357" w:hanging="306" w:hangingChars="170"/>
              <w:jc w:val="left"/>
              <w:rPr>
                <w:rFonts w:hint="eastAsia" w:ascii="宋体" w:hAnsi="宋体" w:eastAsia="宋体" w:cs="宋体"/>
                <w:color w:val="auto"/>
                <w:sz w:val="18"/>
                <w:szCs w:val="18"/>
              </w:rPr>
            </w:pPr>
            <w:r>
              <w:rPr>
                <w:rFonts w:hint="eastAsia" w:ascii="宋体" w:hAnsi="宋体" w:eastAsia="宋体" w:cs="宋体"/>
                <w:color w:val="auto"/>
                <w:sz w:val="18"/>
                <w:szCs w:val="18"/>
              </w:rPr>
              <w:t>未能有效组织参加扣2分；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5D4F3593">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3D0C735">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14:paraId="15CC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14:paraId="62BC1C47">
            <w:pPr>
              <w:tabs>
                <w:tab w:val="left" w:pos="540"/>
                <w:tab w:val="left" w:pos="720"/>
              </w:tabs>
              <w:adjustRightInd w:val="0"/>
              <w:snapToGrid w:val="0"/>
              <w:spacing w:line="240" w:lineRule="auto"/>
              <w:ind w:left="410" w:hanging="307" w:hangingChars="170"/>
              <w:rPr>
                <w:rFonts w:hint="eastAsia" w:ascii="宋体" w:hAnsi="宋体" w:eastAsia="宋体" w:cs="宋体"/>
                <w:b/>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5D06C89D">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top"/>
          </w:tcPr>
          <w:p w14:paraId="04C97239">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4、每年组织开展员工技能培训活动不少于4次；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0D5F0B2C">
            <w:pPr>
              <w:spacing w:line="240" w:lineRule="auto"/>
              <w:ind w:left="357" w:hanging="306" w:hangingChars="170"/>
              <w:jc w:val="left"/>
              <w:rPr>
                <w:rFonts w:hint="eastAsia" w:ascii="宋体" w:hAnsi="宋体" w:eastAsia="宋体" w:cs="宋体"/>
                <w:color w:val="auto"/>
                <w:sz w:val="18"/>
                <w:szCs w:val="18"/>
              </w:rPr>
            </w:pPr>
            <w:r>
              <w:rPr>
                <w:rFonts w:hint="eastAsia" w:ascii="宋体" w:hAnsi="宋体" w:eastAsia="宋体" w:cs="宋体"/>
                <w:color w:val="auto"/>
                <w:sz w:val="18"/>
                <w:szCs w:val="18"/>
              </w:rPr>
              <w:t>未能有效组织实施一次扣2分；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37280401">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CE375CB">
            <w:pPr>
              <w:tabs>
                <w:tab w:val="left" w:pos="540"/>
                <w:tab w:val="left" w:pos="720"/>
              </w:tabs>
              <w:adjustRightInd w:val="0"/>
              <w:snapToGrid w:val="0"/>
              <w:spacing w:line="240" w:lineRule="auto"/>
              <w:ind w:left="410" w:hanging="307" w:hangingChars="170"/>
              <w:jc w:val="center"/>
              <w:rPr>
                <w:rFonts w:hint="eastAsia" w:ascii="宋体" w:hAnsi="宋体" w:eastAsia="宋体" w:cs="宋体"/>
                <w:b/>
                <w:color w:val="auto"/>
                <w:sz w:val="18"/>
                <w:szCs w:val="18"/>
              </w:rPr>
            </w:pPr>
          </w:p>
        </w:tc>
      </w:tr>
      <w:tr w14:paraId="0F93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center"/>
          </w:tcPr>
          <w:p w14:paraId="774DB12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41E2C9F3">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安</w:t>
            </w:r>
          </w:p>
          <w:p w14:paraId="26BD3C90">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全</w:t>
            </w:r>
          </w:p>
          <w:p w14:paraId="31894954">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生</w:t>
            </w:r>
          </w:p>
          <w:p w14:paraId="2E3D6FEF">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产</w:t>
            </w:r>
          </w:p>
          <w:p w14:paraId="07902C60">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w:t>
            </w:r>
          </w:p>
          <w:p w14:paraId="622E5B42">
            <w:pPr>
              <w:spacing w:line="240" w:lineRule="auto"/>
              <w:jc w:val="left"/>
              <w:rPr>
                <w:rFonts w:hint="eastAsia" w:ascii="宋体" w:hAnsi="宋体" w:eastAsia="宋体" w:cs="宋体"/>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345D54C">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、应急突发事件处置及时，响应迅速有效，措施到位。</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64842C11">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处置不及时或处置方法不当，发现一次扣5分。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3FF4373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62E5D9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4070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6CE1C87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DEB638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2E9917EE">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2、定期开展安全检查工作，发现安全隐患，进行记录登记和上报，及落实整改及防范措施；</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2AE2EBD2">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未及时发现安全隐患扣5分/次，安全隐患整改落实不到位扣3分/次。</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6542582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D0284B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7732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right w:val="single" w:color="auto" w:sz="4" w:space="0"/>
            </w:tcBorders>
            <w:noWrap w:val="0"/>
            <w:vAlign w:val="top"/>
          </w:tcPr>
          <w:p w14:paraId="030200C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75FB2FF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18E5FB9E">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3、现场安全措施落实到位，无“三违”现象。</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AB82DF5">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违反一次扣5分/次。</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0D53808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55B8A9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718C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left w:val="single" w:color="auto" w:sz="4" w:space="0"/>
              <w:bottom w:val="single" w:color="auto" w:sz="4" w:space="0"/>
              <w:right w:val="single" w:color="auto" w:sz="4" w:space="0"/>
            </w:tcBorders>
            <w:noWrap w:val="0"/>
            <w:vAlign w:val="top"/>
          </w:tcPr>
          <w:p w14:paraId="0439EA0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3C69F98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0ABBAD4">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、不得出现责任性安全生产事故，因</w:t>
            </w:r>
            <w:r>
              <w:rPr>
                <w:rFonts w:hint="eastAsia" w:ascii="宋体" w:hAnsi="宋体" w:eastAsia="宋体" w:cs="宋体"/>
                <w:color w:val="auto"/>
                <w:sz w:val="18"/>
                <w:szCs w:val="18"/>
                <w:lang w:val="en-US" w:eastAsia="zh-CN"/>
              </w:rPr>
              <w:t>现场</w:t>
            </w:r>
            <w:r>
              <w:rPr>
                <w:rFonts w:hint="eastAsia" w:ascii="宋体" w:hAnsi="宋体" w:eastAsia="宋体" w:cs="宋体"/>
                <w:color w:val="auto"/>
                <w:sz w:val="18"/>
                <w:szCs w:val="18"/>
              </w:rPr>
              <w:t>管理不当造成安全生产事故。</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1B114B52">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当月考核0分处理，并按合同约定，承担相应经济责任。</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5697FA5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EADE9D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C3C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29FF36DE">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质</w:t>
            </w:r>
          </w:p>
          <w:p w14:paraId="103F8B7C">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量</w:t>
            </w:r>
          </w:p>
          <w:p w14:paraId="7A077AA7">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管</w:t>
            </w:r>
          </w:p>
          <w:p w14:paraId="19655E0D">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理</w:t>
            </w:r>
          </w:p>
          <w:p w14:paraId="14C02B5D">
            <w:pPr>
              <w:spacing w:line="240" w:lineRule="auto"/>
              <w:jc w:val="center"/>
              <w:rPr>
                <w:rFonts w:hint="eastAsia" w:ascii="宋体" w:hAnsi="宋体" w:eastAsia="宋体" w:cs="宋体"/>
                <w:bCs/>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w:t>
            </w:r>
            <w:r>
              <w:rPr>
                <w:rFonts w:hint="eastAsia" w:ascii="宋体" w:hAnsi="宋体" w:eastAsia="宋体" w:cs="宋体"/>
                <w:color w:val="auto"/>
                <w:sz w:val="18"/>
                <w:szCs w:val="18"/>
              </w:rPr>
              <w:t>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71539CB5">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六</w:t>
            </w:r>
          </w:p>
          <w:p w14:paraId="7A9B3AED">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大</w:t>
            </w:r>
          </w:p>
          <w:p w14:paraId="39D369AE">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禁</w:t>
            </w:r>
          </w:p>
          <w:p w14:paraId="5906190E">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令</w:t>
            </w:r>
          </w:p>
          <w:p w14:paraId="18E65B68">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（10分）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30F90DB4">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1、严禁员工将</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物品占为自有。</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14:paraId="25B8A1B1">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违者辞退处理，考核扣10分。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3665E7B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3E26E9B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50A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434AD10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2417ECB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D9B1EA7">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2、严禁员工利用</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私卖物品，谋取私利。</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10024A1F">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897C36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4C451F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6D32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67F8D23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3690837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11395F69">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3、严禁员工向</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lang w:val="en-US" w:eastAsia="zh-CN"/>
              </w:rPr>
              <w:t>供应商</w:t>
            </w:r>
            <w:r>
              <w:rPr>
                <w:rFonts w:hint="eastAsia" w:ascii="宋体" w:hAnsi="宋体" w:eastAsia="宋体" w:cs="宋体"/>
                <w:color w:val="auto"/>
                <w:kern w:val="0"/>
                <w:sz w:val="18"/>
                <w:szCs w:val="18"/>
              </w:rPr>
              <w:t>“吃、拿、卡、要”。</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4A5232A2">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770295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1A92C47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6E5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63DED0D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59F486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34340256">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4、严禁员工与司乘人员吵闹、殴打。</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58A02BD1">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15F583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61BBDB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BF4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756F706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8661D77">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286D01D">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5、严禁聚众赌博、班中饮酒、员工之间打架等</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1EE2FAB8">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D8A855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3B824D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6A4D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3160B7E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4F0A7CA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4039CC3D">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6、严禁利用工作之便偷盗、侵吞公共财物或串通外来人员进行违法行为。</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3A275695">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27F45A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96B2F3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4F11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24238C3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6F44AA26">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劳动纪律</w:t>
            </w:r>
          </w:p>
          <w:p w14:paraId="042B4882">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3150479B">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1、准时上下岗，保证内外现场不断人</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每日保证有人员在岗</w:t>
            </w:r>
            <w:r>
              <w:rPr>
                <w:rFonts w:hint="eastAsia" w:ascii="宋体" w:hAnsi="宋体" w:eastAsia="宋体" w:cs="宋体"/>
                <w:color w:val="auto"/>
                <w:kern w:val="0"/>
                <w:sz w:val="18"/>
                <w:szCs w:val="18"/>
              </w:rPr>
              <w:t>。</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14:paraId="2E12A36F">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违反一条每次扣2分，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0601988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5DD61D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E79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68A65DD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16E54184">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399D7D64">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2、上岗期间不能发生脱岗、睡岗、聚众闲聊、玩游戏等行为。</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3CEFF5C1">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7D159F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3813934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B90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262134E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center"/>
          </w:tcPr>
          <w:p w14:paraId="115C1508">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7A065B6D">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3、按上报的排班表上岗，不发生岗位缺岗。</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3FC0A3FD">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558287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3324B7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541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3608A43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012F195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0B750ED5">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4、上岗期间需配合</w:t>
            </w:r>
            <w:r>
              <w:rPr>
                <w:rFonts w:hint="eastAsia" w:ascii="宋体" w:hAnsi="宋体" w:eastAsia="宋体" w:cs="宋体"/>
                <w:color w:val="auto"/>
                <w:kern w:val="0"/>
                <w:sz w:val="18"/>
                <w:szCs w:val="18"/>
                <w:lang w:eastAsia="zh-CN"/>
              </w:rPr>
              <w:t>服务区</w:t>
            </w:r>
            <w:r>
              <w:rPr>
                <w:rFonts w:hint="eastAsia" w:ascii="宋体" w:hAnsi="宋体" w:eastAsia="宋体" w:cs="宋体"/>
                <w:color w:val="auto"/>
                <w:kern w:val="0"/>
                <w:sz w:val="18"/>
                <w:szCs w:val="18"/>
              </w:rPr>
              <w:t>稽查人员稽查。</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39438F9A">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21280D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2CCFF8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5509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594F6F2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top"/>
          </w:tcPr>
          <w:p w14:paraId="3EE8589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p w14:paraId="6ACECD00">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行为规范</w:t>
            </w:r>
          </w:p>
          <w:p w14:paraId="6DB69F3B">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18088A33">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1、正确的使用礼貌用语。</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14:paraId="61E7EBE3">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违反一条每次扣2分，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6AF7806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8E0FF5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49B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2C5A635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6615585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168B7C2">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2、发生司乘人员求助时，应热情服务、积极帮助，不能借故推脱。</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1BEB7329">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865B2C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AAF6B2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6D6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43E8293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27B8AF1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3362A2D">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具备讲解能力，</w:t>
            </w:r>
            <w:r>
              <w:rPr>
                <w:rFonts w:hint="eastAsia" w:ascii="宋体" w:hAnsi="宋体" w:eastAsia="宋体" w:cs="宋体"/>
                <w:color w:val="auto"/>
                <w:kern w:val="0"/>
                <w:sz w:val="18"/>
                <w:szCs w:val="18"/>
              </w:rPr>
              <w:t>掌握</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所在周边环境、道路交通、服务场所、旅游景点情况，能为司乘人员提供咨询服务。</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04E63E4B">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95C090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046EB2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6CA6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1493FBAD">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质</w:t>
            </w:r>
          </w:p>
          <w:p w14:paraId="0B693608">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量</w:t>
            </w:r>
          </w:p>
          <w:p w14:paraId="7CD18899">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管</w:t>
            </w:r>
          </w:p>
          <w:p w14:paraId="13990819">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理</w:t>
            </w:r>
          </w:p>
          <w:p w14:paraId="23EA2653">
            <w:pPr>
              <w:spacing w:line="240" w:lineRule="auto"/>
              <w:jc w:val="center"/>
              <w:rPr>
                <w:rFonts w:hint="eastAsia" w:ascii="宋体" w:hAnsi="宋体" w:eastAsia="宋体" w:cs="宋体"/>
                <w:bCs/>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50</w:t>
            </w:r>
            <w:r>
              <w:rPr>
                <w:rFonts w:hint="eastAsia" w:ascii="宋体" w:hAnsi="宋体" w:eastAsia="宋体" w:cs="宋体"/>
                <w:color w:val="auto"/>
                <w:sz w:val="18"/>
                <w:szCs w:val="18"/>
              </w:rPr>
              <w:t>分）</w:t>
            </w: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42B2B350">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行为规范</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011CDF93">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4、仪表、仪容端正、大方；男员工不留长发，不蓄胡须；女员工不浓妆艳抹。</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14:paraId="44843F73">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违反一条每次扣2分。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33AAB3C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1AE3157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D27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7812995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1831555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096B78AA">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5、佩证（工号牌）上岗，证（工号牌）不被遮挡。</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389917B1">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A30925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F9F9419">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536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0601C81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7A5B4C1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C4B931B">
            <w:pPr>
              <w:widowControl/>
              <w:spacing w:line="240" w:lineRule="auto"/>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6、上岗时应按规定着工装</w:t>
            </w:r>
            <w:r>
              <w:rPr>
                <w:rFonts w:hint="eastAsia" w:ascii="宋体" w:hAnsi="宋体" w:eastAsia="宋体" w:cs="宋体"/>
                <w:color w:val="auto"/>
                <w:kern w:val="0"/>
                <w:sz w:val="18"/>
                <w:szCs w:val="18"/>
                <w:lang w:eastAsia="zh-CN"/>
              </w:rPr>
              <w:t>。</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05321A05">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38EE10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402748D">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3E63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719E2CD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273E52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4E032B93">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7、熟悉工作岗位职责，保质保量完成交办的各项工作</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18EAAF69">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8DB405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6BBD67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040E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58C6230F">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center"/>
          </w:tcPr>
          <w:p w14:paraId="65F43EE7">
            <w:pPr>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sz w:val="18"/>
                <w:szCs w:val="18"/>
              </w:rPr>
              <w:t>台</w:t>
            </w:r>
            <w:r>
              <w:rPr>
                <w:rFonts w:hint="eastAsia" w:ascii="宋体" w:hAnsi="宋体" w:eastAsia="宋体" w:cs="宋体"/>
                <w:color w:val="auto"/>
                <w:kern w:val="0"/>
                <w:sz w:val="18"/>
                <w:szCs w:val="18"/>
              </w:rPr>
              <w:t>帐管理</w:t>
            </w:r>
          </w:p>
          <w:p w14:paraId="7E3EE4B2">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w:t>
            </w:r>
            <w:r>
              <w:rPr>
                <w:rFonts w:hint="eastAsia" w:ascii="宋体" w:hAnsi="宋体" w:eastAsia="宋体" w:cs="宋体"/>
                <w:color w:val="auto"/>
                <w:kern w:val="0"/>
                <w:sz w:val="18"/>
                <w:szCs w:val="18"/>
              </w:rPr>
              <w:t>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76F2E54D">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1、及时按要求填写规定台帐；</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14:paraId="2632B7B2">
            <w:pPr>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违反一条每次扣1分。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4F31D48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59EBFD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F09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1573F6F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3A3BC81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7D328C10">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2、台帐内容须填写规范；</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7D3F1C5F">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68D065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9A2DF7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87C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5F0707E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369CD0A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10DBF011">
            <w:pPr>
              <w:widowControl/>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3、按</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要求及时上报台帐。</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22883E08">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042A79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60597E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699A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42A1E11E">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其</w:t>
            </w:r>
          </w:p>
          <w:p w14:paraId="58DC464C">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他</w:t>
            </w:r>
          </w:p>
          <w:p w14:paraId="430AE8A0">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考</w:t>
            </w:r>
          </w:p>
          <w:p w14:paraId="0B0610C5">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核</w:t>
            </w:r>
          </w:p>
        </w:tc>
        <w:tc>
          <w:tcPr>
            <w:tcW w:w="1104" w:type="dxa"/>
            <w:vMerge w:val="restart"/>
            <w:tcBorders>
              <w:top w:val="single" w:color="auto" w:sz="4" w:space="0"/>
              <w:left w:val="single" w:color="auto" w:sz="4" w:space="0"/>
              <w:bottom w:val="single" w:color="auto" w:sz="4" w:space="0"/>
              <w:right w:val="single" w:color="auto" w:sz="4" w:space="0"/>
            </w:tcBorders>
            <w:noWrap w:val="0"/>
            <w:vAlign w:val="top"/>
          </w:tcPr>
          <w:p w14:paraId="41EF01AB">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其</w:t>
            </w:r>
          </w:p>
          <w:p w14:paraId="088E6600">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他</w:t>
            </w:r>
          </w:p>
          <w:p w14:paraId="69A78C41">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处</w:t>
            </w:r>
          </w:p>
          <w:p w14:paraId="4BC89F81">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罚</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1B698778">
            <w:pPr>
              <w:widowControl/>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由于工作不当被新闻媒体曝光。</w:t>
            </w:r>
          </w:p>
        </w:tc>
        <w:tc>
          <w:tcPr>
            <w:tcW w:w="4407" w:type="dxa"/>
            <w:vMerge w:val="restart"/>
            <w:tcBorders>
              <w:top w:val="single" w:color="auto" w:sz="4" w:space="0"/>
              <w:left w:val="single" w:color="auto" w:sz="4" w:space="0"/>
              <w:bottom w:val="single" w:color="auto" w:sz="4" w:space="0"/>
              <w:right w:val="single" w:color="auto" w:sz="4" w:space="0"/>
            </w:tcBorders>
            <w:noWrap w:val="0"/>
            <w:vAlign w:val="center"/>
          </w:tcPr>
          <w:p w14:paraId="729EE896">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视情况给予考核0分处理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00875F7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420FF7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0F2E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67BF67C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50D4248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0C01E536">
            <w:pPr>
              <w:widowControl/>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发生有责投诉事件</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33E7B9A1">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520D1A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B3DC1B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22CE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1FCC55F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0B089D7D">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AB528EA">
            <w:pPr>
              <w:widowControl/>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因管理不当被行业主管理部门或集团公司通报批评。</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4BF9B389">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83D399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4A452A2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016A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3F34458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31615F96">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6DCB8C27">
            <w:pPr>
              <w:spacing w:line="240" w:lineRule="auto"/>
              <w:rPr>
                <w:rFonts w:hint="eastAsia" w:ascii="宋体" w:hAnsi="宋体" w:eastAsia="宋体" w:cs="宋体"/>
                <w:color w:val="auto"/>
                <w:sz w:val="18"/>
                <w:szCs w:val="18"/>
              </w:rPr>
            </w:pPr>
            <w:r>
              <w:rPr>
                <w:rFonts w:hint="eastAsia" w:ascii="宋体" w:hAnsi="宋体" w:eastAsia="宋体" w:cs="宋体"/>
                <w:color w:val="auto"/>
                <w:kern w:val="0"/>
                <w:sz w:val="18"/>
                <w:szCs w:val="18"/>
              </w:rPr>
              <w:t>对</w:t>
            </w:r>
            <w:r>
              <w:rPr>
                <w:rFonts w:hint="eastAsia" w:ascii="宋体" w:hAnsi="宋体" w:eastAsia="宋体" w:cs="宋体"/>
                <w:color w:val="auto"/>
                <w:sz w:val="18"/>
                <w:szCs w:val="18"/>
                <w:lang w:val="en-US" w:eastAsia="zh-CN"/>
              </w:rPr>
              <w:t>党群服务中心</w:t>
            </w:r>
            <w:r>
              <w:rPr>
                <w:rFonts w:hint="eastAsia" w:ascii="宋体" w:hAnsi="宋体" w:eastAsia="宋体" w:cs="宋体"/>
                <w:color w:val="auto"/>
                <w:kern w:val="0"/>
                <w:sz w:val="18"/>
                <w:szCs w:val="18"/>
              </w:rPr>
              <w:t>交办的其他临时性工作完成较差。</w:t>
            </w:r>
          </w:p>
        </w:tc>
        <w:tc>
          <w:tcPr>
            <w:tcW w:w="4407" w:type="dxa"/>
            <w:vMerge w:val="continue"/>
            <w:tcBorders>
              <w:top w:val="single" w:color="auto" w:sz="4" w:space="0"/>
              <w:left w:val="single" w:color="auto" w:sz="4" w:space="0"/>
              <w:bottom w:val="single" w:color="auto" w:sz="4" w:space="0"/>
              <w:right w:val="single" w:color="auto" w:sz="4" w:space="0"/>
            </w:tcBorders>
            <w:noWrap w:val="0"/>
            <w:vAlign w:val="center"/>
          </w:tcPr>
          <w:p w14:paraId="659C47D9">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AF18D60">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861116A">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659C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074D7243">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restart"/>
            <w:tcBorders>
              <w:top w:val="single" w:color="auto" w:sz="4" w:space="0"/>
              <w:left w:val="single" w:color="auto" w:sz="4" w:space="0"/>
              <w:bottom w:val="single" w:color="auto" w:sz="4" w:space="0"/>
              <w:right w:val="single" w:color="auto" w:sz="4" w:space="0"/>
            </w:tcBorders>
            <w:noWrap w:val="0"/>
            <w:vAlign w:val="top"/>
          </w:tcPr>
          <w:p w14:paraId="363EB227">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加</w:t>
            </w:r>
          </w:p>
          <w:p w14:paraId="11DC0463">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分</w:t>
            </w:r>
          </w:p>
          <w:p w14:paraId="075292D4">
            <w:pPr>
              <w:tabs>
                <w:tab w:val="left" w:pos="540"/>
                <w:tab w:val="left" w:pos="720"/>
              </w:tabs>
              <w:adjustRightInd w:val="0"/>
              <w:snapToGrid w:val="0"/>
              <w:spacing w:line="240" w:lineRule="auto"/>
              <w:ind w:left="357" w:hanging="306" w:hangingChars="17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项</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2DD063FB">
            <w:pPr>
              <w:spacing w:line="240"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见义勇为、拾金不昧、好人好事被司乘人员或上级部门表扬和新闻媒体报道的。</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6D55159">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视情况给予2-20分加分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2B79C7B1">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D8297F2">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1D37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7C245A9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7CFC090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6097D866">
            <w:pPr>
              <w:spacing w:line="240"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因</w:t>
            </w:r>
            <w:r>
              <w:rPr>
                <w:rFonts w:hint="eastAsia" w:ascii="宋体" w:hAnsi="宋体" w:eastAsia="宋体" w:cs="宋体"/>
                <w:color w:val="auto"/>
                <w:kern w:val="0"/>
                <w:sz w:val="18"/>
                <w:szCs w:val="18"/>
                <w:lang w:val="en-US" w:eastAsia="zh-CN"/>
              </w:rPr>
              <w:t>表现</w:t>
            </w:r>
            <w:r>
              <w:rPr>
                <w:rFonts w:hint="eastAsia" w:ascii="宋体" w:hAnsi="宋体" w:eastAsia="宋体" w:cs="宋体"/>
                <w:color w:val="auto"/>
                <w:kern w:val="0"/>
                <w:sz w:val="18"/>
                <w:szCs w:val="18"/>
              </w:rPr>
              <w:t>优秀被上级部门表彰</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255FBAE2">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加2-15分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2C2BF1A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21FEE3B">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6D14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top"/>
          </w:tcPr>
          <w:p w14:paraId="31B394C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104" w:type="dxa"/>
            <w:vMerge w:val="continue"/>
            <w:tcBorders>
              <w:top w:val="single" w:color="auto" w:sz="4" w:space="0"/>
              <w:left w:val="single" w:color="auto" w:sz="4" w:space="0"/>
              <w:bottom w:val="single" w:color="auto" w:sz="4" w:space="0"/>
              <w:right w:val="single" w:color="auto" w:sz="4" w:space="0"/>
            </w:tcBorders>
            <w:noWrap w:val="0"/>
            <w:vAlign w:val="top"/>
          </w:tcPr>
          <w:p w14:paraId="4CA8D034">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6239" w:type="dxa"/>
            <w:tcBorders>
              <w:top w:val="single" w:color="auto" w:sz="4" w:space="0"/>
              <w:left w:val="single" w:color="auto" w:sz="4" w:space="0"/>
              <w:bottom w:val="single" w:color="auto" w:sz="4" w:space="0"/>
              <w:right w:val="single" w:color="auto" w:sz="4" w:space="0"/>
            </w:tcBorders>
            <w:noWrap w:val="0"/>
            <w:vAlign w:val="center"/>
          </w:tcPr>
          <w:p w14:paraId="32BC9939">
            <w:pPr>
              <w:spacing w:line="240"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该</w:t>
            </w:r>
            <w:r>
              <w:rPr>
                <w:rFonts w:hint="eastAsia" w:ascii="宋体" w:hAnsi="宋体" w:eastAsia="宋体" w:cs="宋体"/>
                <w:color w:val="auto"/>
                <w:kern w:val="0"/>
                <w:sz w:val="18"/>
                <w:szCs w:val="18"/>
              </w:rPr>
              <w:t>项目被评为市级以上优秀称号</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02A3E03">
            <w:p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加20分</w:t>
            </w:r>
          </w:p>
        </w:tc>
        <w:tc>
          <w:tcPr>
            <w:tcW w:w="1232" w:type="dxa"/>
            <w:tcBorders>
              <w:top w:val="single" w:color="auto" w:sz="4" w:space="0"/>
              <w:left w:val="single" w:color="auto" w:sz="4" w:space="0"/>
              <w:bottom w:val="single" w:color="auto" w:sz="4" w:space="0"/>
              <w:right w:val="single" w:color="auto" w:sz="4" w:space="0"/>
            </w:tcBorders>
            <w:noWrap w:val="0"/>
            <w:vAlign w:val="top"/>
          </w:tcPr>
          <w:p w14:paraId="6FDEF8E5">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3716BD6">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r w14:paraId="5453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CE23113">
            <w:pPr>
              <w:tabs>
                <w:tab w:val="left" w:pos="540"/>
                <w:tab w:val="left" w:pos="720"/>
              </w:tabs>
              <w:adjustRightInd w:val="0"/>
              <w:snapToGrid w:val="0"/>
              <w:spacing w:line="240" w:lineRule="auto"/>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综合得分</w:t>
            </w:r>
          </w:p>
        </w:tc>
        <w:tc>
          <w:tcPr>
            <w:tcW w:w="1104" w:type="dxa"/>
            <w:tcBorders>
              <w:top w:val="single" w:color="auto" w:sz="4" w:space="0"/>
              <w:left w:val="single" w:color="auto" w:sz="4" w:space="0"/>
              <w:bottom w:val="single" w:color="auto" w:sz="4" w:space="0"/>
              <w:right w:val="single" w:color="auto" w:sz="4" w:space="0"/>
            </w:tcBorders>
            <w:noWrap w:val="0"/>
            <w:vAlign w:val="top"/>
          </w:tcPr>
          <w:p w14:paraId="7C5DC21C">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100分</w:t>
            </w:r>
          </w:p>
        </w:tc>
        <w:tc>
          <w:tcPr>
            <w:tcW w:w="6239" w:type="dxa"/>
            <w:tcBorders>
              <w:top w:val="single" w:color="auto" w:sz="4" w:space="0"/>
              <w:left w:val="single" w:color="auto" w:sz="4" w:space="0"/>
              <w:bottom w:val="single" w:color="auto" w:sz="4" w:space="0"/>
              <w:right w:val="single" w:color="auto" w:sz="4" w:space="0"/>
            </w:tcBorders>
            <w:noWrap w:val="0"/>
            <w:vAlign w:val="center"/>
          </w:tcPr>
          <w:p w14:paraId="5F765862">
            <w:pPr>
              <w:spacing w:line="240" w:lineRule="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考核分数在80分及以上，为考核合格。</w:t>
            </w:r>
          </w:p>
        </w:tc>
        <w:tc>
          <w:tcPr>
            <w:tcW w:w="4407" w:type="dxa"/>
            <w:tcBorders>
              <w:top w:val="single" w:color="auto" w:sz="4" w:space="0"/>
              <w:left w:val="single" w:color="auto" w:sz="4" w:space="0"/>
              <w:bottom w:val="single" w:color="auto" w:sz="4" w:space="0"/>
              <w:right w:val="single" w:color="auto" w:sz="4" w:space="0"/>
            </w:tcBorders>
            <w:noWrap w:val="0"/>
            <w:vAlign w:val="center"/>
          </w:tcPr>
          <w:p w14:paraId="3EF5CB17">
            <w:pPr>
              <w:spacing w:line="240" w:lineRule="auto"/>
              <w:jc w:val="left"/>
              <w:rPr>
                <w:rFonts w:hint="eastAsia" w:ascii="宋体" w:hAnsi="宋体" w:eastAsia="宋体" w:cs="宋体"/>
                <w:color w:val="auto"/>
                <w:sz w:val="18"/>
                <w:szCs w:val="18"/>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70ED92E">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D537588">
            <w:pPr>
              <w:tabs>
                <w:tab w:val="left" w:pos="540"/>
                <w:tab w:val="left" w:pos="720"/>
              </w:tabs>
              <w:adjustRightInd w:val="0"/>
              <w:snapToGrid w:val="0"/>
              <w:spacing w:line="240" w:lineRule="auto"/>
              <w:ind w:left="357" w:hanging="306" w:hangingChars="170"/>
              <w:rPr>
                <w:rFonts w:hint="eastAsia" w:ascii="宋体" w:hAnsi="宋体" w:eastAsia="宋体" w:cs="宋体"/>
                <w:bCs/>
                <w:color w:val="auto"/>
                <w:sz w:val="18"/>
                <w:szCs w:val="18"/>
              </w:rPr>
            </w:pPr>
          </w:p>
        </w:tc>
      </w:tr>
    </w:tbl>
    <w:p w14:paraId="7F3CE29E">
      <w:pPr>
        <w:pStyle w:val="12"/>
        <w:rPr>
          <w:rFonts w:hint="eastAsia" w:ascii="宋体" w:hAnsi="宋体" w:eastAsia="宋体" w:cs="宋体"/>
          <w:color w:val="auto"/>
          <w:sz w:val="21"/>
          <w:szCs w:val="21"/>
          <w:highlight w:val="none"/>
          <w:lang w:val="en-US" w:eastAsia="zh-CN"/>
        </w:rPr>
      </w:pPr>
    </w:p>
    <w:p w14:paraId="4E2BF1BF">
      <w:pPr>
        <w:rPr>
          <w:rFonts w:hint="eastAsia" w:ascii="宋体" w:hAnsi="宋体" w:eastAsia="宋体" w:cs="宋体"/>
          <w:highlight w:val="none"/>
        </w:rPr>
        <w:sectPr>
          <w:pgSz w:w="16838" w:h="11906" w:orient="landscape"/>
          <w:pgMar w:top="1474" w:right="1474" w:bottom="1474" w:left="1417" w:header="737" w:footer="737" w:gutter="0"/>
          <w:cols w:space="0" w:num="1"/>
          <w:rtlGutter w:val="0"/>
          <w:docGrid w:linePitch="312" w:charSpace="0"/>
        </w:sectPr>
      </w:pPr>
    </w:p>
    <w:p w14:paraId="12A93603">
      <w:pPr>
        <w:pStyle w:val="2"/>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44"/>
          <w:szCs w:val="44"/>
          <w:highlight w:val="none"/>
        </w:rPr>
        <w:t xml:space="preserve"> 投标文件的编制格式</w:t>
      </w:r>
      <w:bookmarkEnd w:id="190"/>
    </w:p>
    <w:p w14:paraId="15B6F5C6">
      <w:pPr>
        <w:spacing w:before="120" w:beforeLines="50" w:after="120" w:afterLines="50"/>
        <w:rPr>
          <w:rFonts w:hint="eastAsia" w:ascii="宋体" w:hAnsi="宋体" w:eastAsia="宋体" w:cs="宋体"/>
          <w:sz w:val="22"/>
          <w:highlight w:val="none"/>
        </w:rPr>
      </w:pPr>
    </w:p>
    <w:p w14:paraId="77994BD2">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14:paraId="6813C9EA">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585439D7">
      <w:pPr>
        <w:jc w:val="right"/>
        <w:rPr>
          <w:rFonts w:hint="eastAsia" w:ascii="宋体" w:hAnsi="宋体" w:eastAsia="宋体" w:cs="宋体"/>
          <w:szCs w:val="24"/>
          <w:highlight w:val="none"/>
        </w:rPr>
      </w:pPr>
    </w:p>
    <w:p w14:paraId="4A5D6DAC">
      <w:pPr>
        <w:rPr>
          <w:rFonts w:hint="eastAsia" w:ascii="宋体" w:hAnsi="宋体" w:eastAsia="宋体" w:cs="宋体"/>
          <w:szCs w:val="24"/>
          <w:highlight w:val="none"/>
        </w:rPr>
      </w:pPr>
    </w:p>
    <w:p w14:paraId="7B291B8B">
      <w:pPr>
        <w:ind w:left="480" w:hanging="480" w:hangingChars="200"/>
        <w:rPr>
          <w:rFonts w:hint="eastAsia" w:ascii="宋体" w:hAnsi="宋体" w:eastAsia="宋体" w:cs="宋体"/>
          <w:sz w:val="24"/>
          <w:szCs w:val="24"/>
          <w:highlight w:val="none"/>
        </w:rPr>
      </w:pPr>
    </w:p>
    <w:p w14:paraId="32E0AD1A">
      <w:pPr>
        <w:rPr>
          <w:rFonts w:hint="eastAsia" w:ascii="宋体" w:hAnsi="宋体" w:eastAsia="宋体" w:cs="宋体"/>
          <w:szCs w:val="24"/>
          <w:highlight w:val="none"/>
        </w:rPr>
      </w:pPr>
    </w:p>
    <w:p w14:paraId="7ACD294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14:paraId="006E6175">
      <w:pPr>
        <w:rPr>
          <w:rFonts w:hint="eastAsia" w:ascii="宋体" w:hAnsi="宋体" w:eastAsia="宋体" w:cs="宋体"/>
          <w:sz w:val="28"/>
          <w:szCs w:val="28"/>
          <w:highlight w:val="none"/>
        </w:rPr>
      </w:pPr>
    </w:p>
    <w:p w14:paraId="481C9008">
      <w:pPr>
        <w:rPr>
          <w:rFonts w:hint="eastAsia" w:ascii="宋体" w:hAnsi="宋体" w:eastAsia="宋体" w:cs="宋体"/>
          <w:sz w:val="28"/>
          <w:szCs w:val="28"/>
          <w:highlight w:val="none"/>
        </w:rPr>
      </w:pPr>
    </w:p>
    <w:p w14:paraId="056D5CD0">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4AFBC3E5">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1434CABA">
      <w:pPr>
        <w:rPr>
          <w:rFonts w:hint="eastAsia" w:ascii="宋体" w:hAnsi="宋体" w:eastAsia="宋体" w:cs="宋体"/>
          <w:sz w:val="28"/>
          <w:szCs w:val="28"/>
          <w:highlight w:val="none"/>
        </w:rPr>
      </w:pPr>
    </w:p>
    <w:p w14:paraId="798DAB31">
      <w:pPr>
        <w:rPr>
          <w:rFonts w:hint="eastAsia" w:ascii="宋体" w:hAnsi="宋体" w:eastAsia="宋体" w:cs="宋体"/>
          <w:sz w:val="28"/>
          <w:szCs w:val="28"/>
          <w:highlight w:val="none"/>
        </w:rPr>
      </w:pPr>
    </w:p>
    <w:p w14:paraId="6DA24033">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14:paraId="7EBABEBB">
      <w:pPr>
        <w:spacing w:line="480" w:lineRule="auto"/>
        <w:jc w:val="center"/>
        <w:rPr>
          <w:rFonts w:hint="eastAsia" w:ascii="宋体" w:hAnsi="宋体" w:eastAsia="宋体" w:cs="宋体"/>
          <w:sz w:val="44"/>
          <w:szCs w:val="44"/>
          <w:highlight w:val="none"/>
        </w:rPr>
      </w:pPr>
    </w:p>
    <w:p w14:paraId="2991DD6C">
      <w:pPr>
        <w:spacing w:line="360" w:lineRule="auto"/>
        <w:rPr>
          <w:rFonts w:hint="eastAsia" w:ascii="宋体" w:hAnsi="宋体" w:eastAsia="宋体" w:cs="宋体"/>
          <w:szCs w:val="21"/>
          <w:highlight w:val="none"/>
        </w:rPr>
      </w:pPr>
    </w:p>
    <w:p w14:paraId="4827D4C8">
      <w:pPr>
        <w:spacing w:line="360" w:lineRule="auto"/>
        <w:rPr>
          <w:rFonts w:hint="eastAsia" w:ascii="宋体" w:hAnsi="宋体" w:eastAsia="宋体" w:cs="宋体"/>
          <w:szCs w:val="21"/>
          <w:highlight w:val="none"/>
        </w:rPr>
      </w:pPr>
    </w:p>
    <w:p w14:paraId="4585B350">
      <w:pPr>
        <w:autoSpaceDE w:val="0"/>
        <w:autoSpaceDN w:val="0"/>
        <w:adjustRightInd w:val="0"/>
        <w:spacing w:after="120"/>
        <w:ind w:firstLine="210" w:firstLineChars="100"/>
        <w:jc w:val="left"/>
        <w:rPr>
          <w:rFonts w:hint="eastAsia" w:ascii="宋体" w:hAnsi="宋体" w:eastAsia="宋体" w:cs="宋体"/>
          <w:szCs w:val="24"/>
          <w:highlight w:val="none"/>
        </w:rPr>
      </w:pPr>
    </w:p>
    <w:p w14:paraId="5895BB9D">
      <w:pPr>
        <w:spacing w:line="360" w:lineRule="auto"/>
        <w:rPr>
          <w:rFonts w:hint="eastAsia" w:ascii="宋体" w:hAnsi="宋体" w:eastAsia="宋体" w:cs="宋体"/>
          <w:szCs w:val="21"/>
          <w:highlight w:val="none"/>
        </w:rPr>
      </w:pPr>
    </w:p>
    <w:p w14:paraId="441EDEC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14:paraId="694499DF">
      <w:pPr>
        <w:rPr>
          <w:rFonts w:hint="eastAsia" w:ascii="宋体" w:hAnsi="宋体" w:eastAsia="宋体" w:cs="宋体"/>
          <w:sz w:val="28"/>
          <w:szCs w:val="28"/>
          <w:highlight w:val="none"/>
          <w:u w:val="single"/>
        </w:rPr>
      </w:pPr>
    </w:p>
    <w:p w14:paraId="48CBED0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36119A24">
      <w:pPr>
        <w:rPr>
          <w:rFonts w:hint="eastAsia" w:ascii="宋体" w:hAnsi="宋体" w:eastAsia="宋体" w:cs="宋体"/>
          <w:sz w:val="28"/>
          <w:szCs w:val="28"/>
          <w:highlight w:val="none"/>
        </w:rPr>
      </w:pPr>
    </w:p>
    <w:p w14:paraId="3B9312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F109E54">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14:paraId="6FB51052">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14:paraId="302B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56C4674">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14:paraId="68C2C192">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14:paraId="00F55C90">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14:paraId="359B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A00F687">
            <w:pPr>
              <w:jc w:val="center"/>
              <w:rPr>
                <w:rFonts w:hint="eastAsia" w:ascii="宋体" w:hAnsi="宋体" w:eastAsia="宋体" w:cs="宋体"/>
                <w:b/>
                <w:sz w:val="18"/>
                <w:szCs w:val="18"/>
                <w:highlight w:val="none"/>
              </w:rPr>
            </w:pPr>
          </w:p>
        </w:tc>
        <w:tc>
          <w:tcPr>
            <w:tcW w:w="7122" w:type="dxa"/>
            <w:vAlign w:val="center"/>
          </w:tcPr>
          <w:p w14:paraId="5BA147F7">
            <w:pPr>
              <w:rPr>
                <w:rFonts w:hint="eastAsia" w:ascii="宋体" w:hAnsi="宋体" w:eastAsia="宋体" w:cs="宋体"/>
                <w:b/>
                <w:sz w:val="18"/>
                <w:szCs w:val="18"/>
                <w:highlight w:val="none"/>
              </w:rPr>
            </w:pPr>
            <w:r>
              <w:rPr>
                <w:rFonts w:hint="eastAsia" w:ascii="宋体" w:hAnsi="宋体" w:eastAsia="宋体" w:cs="宋体"/>
                <w:sz w:val="18"/>
                <w:szCs w:val="18"/>
                <w:highlight w:val="none"/>
              </w:rPr>
              <w:t>针对评分细则，编制目录索引，注明评标细则项目所在投标文件页码，格式自拟</w:t>
            </w:r>
          </w:p>
        </w:tc>
        <w:tc>
          <w:tcPr>
            <w:tcW w:w="1105" w:type="dxa"/>
            <w:vAlign w:val="center"/>
          </w:tcPr>
          <w:p w14:paraId="641DDE2E">
            <w:pPr>
              <w:jc w:val="center"/>
              <w:rPr>
                <w:rFonts w:hint="eastAsia" w:ascii="宋体" w:hAnsi="宋体" w:eastAsia="宋体" w:cs="宋体"/>
                <w:b/>
                <w:sz w:val="18"/>
                <w:szCs w:val="18"/>
                <w:highlight w:val="none"/>
              </w:rPr>
            </w:pPr>
          </w:p>
        </w:tc>
      </w:tr>
      <w:tr w14:paraId="0ACF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E77D5B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26993DD0">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14:paraId="541D838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14:paraId="540A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70E78FA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648E29AD">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14:paraId="06BE6DF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14:paraId="49A7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BCB1E0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645F9B7A">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14:paraId="0ABDCB9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14:paraId="5E3B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25CCDA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14:paraId="7F29B6E8">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14:paraId="2A85C53F">
            <w:pPr>
              <w:jc w:val="center"/>
              <w:rPr>
                <w:rFonts w:hint="eastAsia" w:ascii="宋体" w:hAnsi="宋体" w:eastAsia="宋体" w:cs="宋体"/>
                <w:sz w:val="18"/>
                <w:szCs w:val="18"/>
                <w:highlight w:val="none"/>
              </w:rPr>
            </w:pPr>
          </w:p>
        </w:tc>
      </w:tr>
      <w:tr w14:paraId="3E93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3F35B62">
            <w:pPr>
              <w:jc w:val="center"/>
              <w:rPr>
                <w:rFonts w:hint="eastAsia" w:ascii="宋体" w:hAnsi="宋体" w:eastAsia="宋体" w:cs="宋体"/>
                <w:sz w:val="18"/>
                <w:szCs w:val="18"/>
                <w:highlight w:val="none"/>
              </w:rPr>
            </w:pPr>
          </w:p>
        </w:tc>
        <w:tc>
          <w:tcPr>
            <w:tcW w:w="7122" w:type="dxa"/>
            <w:vAlign w:val="center"/>
          </w:tcPr>
          <w:p w14:paraId="7A1736BB">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14:paraId="3251615B">
            <w:pPr>
              <w:jc w:val="center"/>
              <w:rPr>
                <w:rFonts w:hint="eastAsia" w:ascii="宋体" w:hAnsi="宋体" w:eastAsia="宋体" w:cs="宋体"/>
                <w:sz w:val="18"/>
                <w:szCs w:val="18"/>
                <w:highlight w:val="none"/>
              </w:rPr>
            </w:pPr>
          </w:p>
        </w:tc>
      </w:tr>
      <w:tr w14:paraId="1492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5176E6C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14:paraId="5C09BD83">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14:paraId="7A282E73">
            <w:pPr>
              <w:jc w:val="center"/>
              <w:rPr>
                <w:rFonts w:hint="eastAsia" w:ascii="宋体" w:hAnsi="宋体" w:eastAsia="宋体" w:cs="宋体"/>
                <w:sz w:val="18"/>
                <w:szCs w:val="18"/>
                <w:highlight w:val="none"/>
              </w:rPr>
            </w:pPr>
          </w:p>
        </w:tc>
      </w:tr>
      <w:tr w14:paraId="6687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CC20E1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14:paraId="4296B5AB">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rPr>
              <w:t>投标声明书</w:t>
            </w:r>
          </w:p>
        </w:tc>
        <w:tc>
          <w:tcPr>
            <w:tcW w:w="1105" w:type="dxa"/>
            <w:vAlign w:val="center"/>
          </w:tcPr>
          <w:p w14:paraId="61712E46">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14:paraId="6DB8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FABA08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14:paraId="7B3A7B65">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参加国企采购活动前三年内，在经营活动中没有重大违法记录。请在投标声明书中如实填写（新成立不满三年的组织机构自成立之日起算）</w:t>
            </w:r>
          </w:p>
        </w:tc>
        <w:tc>
          <w:tcPr>
            <w:tcW w:w="1105" w:type="dxa"/>
            <w:vAlign w:val="center"/>
          </w:tcPr>
          <w:p w14:paraId="0B459E7B">
            <w:pPr>
              <w:jc w:val="center"/>
              <w:rPr>
                <w:rFonts w:hint="eastAsia" w:ascii="宋体" w:hAnsi="宋体" w:eastAsia="宋体" w:cs="宋体"/>
                <w:sz w:val="18"/>
                <w:szCs w:val="18"/>
                <w:highlight w:val="none"/>
              </w:rPr>
            </w:pPr>
          </w:p>
        </w:tc>
      </w:tr>
      <w:tr w14:paraId="1D8A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EB7C73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14:paraId="5A3D6479">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14:paraId="7CF201D4">
            <w:pPr>
              <w:jc w:val="center"/>
              <w:rPr>
                <w:rFonts w:hint="eastAsia" w:ascii="宋体" w:hAnsi="宋体" w:eastAsia="宋体" w:cs="宋体"/>
                <w:sz w:val="18"/>
                <w:szCs w:val="18"/>
                <w:highlight w:val="none"/>
              </w:rPr>
            </w:pPr>
          </w:p>
        </w:tc>
      </w:tr>
      <w:tr w14:paraId="49E5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D59D6D5">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14:paraId="3B78B430">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供应商简介</w:t>
            </w:r>
          </w:p>
        </w:tc>
        <w:tc>
          <w:tcPr>
            <w:tcW w:w="1105" w:type="dxa"/>
            <w:vAlign w:val="center"/>
          </w:tcPr>
          <w:p w14:paraId="3BC50594">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14:paraId="4731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02BB650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14:paraId="37EC7A69">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14:paraId="65AFBEAF">
            <w:pPr>
              <w:jc w:val="center"/>
              <w:rPr>
                <w:rFonts w:hint="eastAsia" w:ascii="宋体" w:hAnsi="宋体" w:eastAsia="宋体" w:cs="宋体"/>
                <w:sz w:val="18"/>
                <w:szCs w:val="18"/>
                <w:highlight w:val="none"/>
              </w:rPr>
            </w:pPr>
          </w:p>
        </w:tc>
      </w:tr>
      <w:tr w14:paraId="60CF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4747130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14:paraId="62156E8B">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投标人获得国家、省、部级荣誉证书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14:paraId="68EC720F">
            <w:pPr>
              <w:jc w:val="center"/>
              <w:rPr>
                <w:rFonts w:hint="eastAsia" w:ascii="宋体" w:hAnsi="宋体" w:eastAsia="宋体" w:cs="宋体"/>
                <w:sz w:val="18"/>
                <w:szCs w:val="18"/>
                <w:highlight w:val="none"/>
              </w:rPr>
            </w:pPr>
          </w:p>
        </w:tc>
      </w:tr>
      <w:tr w14:paraId="29AB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1ED6C9C">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14:paraId="42CC3596">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rPr>
              <w:t>投标供应商认为需要提供的其他资格证明文件（如有，复印件加盖公章）</w:t>
            </w:r>
          </w:p>
        </w:tc>
        <w:tc>
          <w:tcPr>
            <w:tcW w:w="1105" w:type="dxa"/>
            <w:vAlign w:val="center"/>
          </w:tcPr>
          <w:p w14:paraId="6A8E4FD3">
            <w:pPr>
              <w:jc w:val="center"/>
              <w:rPr>
                <w:rFonts w:hint="eastAsia" w:ascii="宋体" w:hAnsi="宋体" w:eastAsia="宋体" w:cs="宋体"/>
                <w:sz w:val="18"/>
                <w:szCs w:val="18"/>
                <w:highlight w:val="none"/>
              </w:rPr>
            </w:pPr>
          </w:p>
        </w:tc>
      </w:tr>
      <w:tr w14:paraId="7D09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66C6FC0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14:paraId="0B3F2E22">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拟投入设备、工具、耗材一览表</w:t>
            </w:r>
          </w:p>
        </w:tc>
        <w:tc>
          <w:tcPr>
            <w:tcW w:w="1105" w:type="dxa"/>
            <w:vAlign w:val="center"/>
          </w:tcPr>
          <w:p w14:paraId="7AB2D9EB">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14:paraId="1FEA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1DB187E">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14:paraId="4045FD25">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p>
        </w:tc>
        <w:tc>
          <w:tcPr>
            <w:tcW w:w="1105" w:type="dxa"/>
            <w:vAlign w:val="center"/>
          </w:tcPr>
          <w:p w14:paraId="0DC9C1B6">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14:paraId="2542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C0B7191">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14:paraId="55B33D06">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p>
        </w:tc>
        <w:tc>
          <w:tcPr>
            <w:tcW w:w="1105" w:type="dxa"/>
            <w:vAlign w:val="center"/>
          </w:tcPr>
          <w:p w14:paraId="1E397C2A">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14:paraId="6922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3F4D2C3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14:paraId="55FCBA8C">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2021年1月1日以来</w:t>
            </w:r>
            <w:r>
              <w:rPr>
                <w:rFonts w:hint="eastAsia" w:ascii="宋体" w:hAnsi="宋体" w:eastAsia="宋体" w:cs="宋体"/>
                <w:sz w:val="18"/>
                <w:szCs w:val="18"/>
                <w:highlight w:val="none"/>
              </w:rPr>
              <w:t>同类项目业绩一览表</w:t>
            </w:r>
          </w:p>
        </w:tc>
        <w:tc>
          <w:tcPr>
            <w:tcW w:w="1105" w:type="dxa"/>
            <w:vAlign w:val="center"/>
          </w:tcPr>
          <w:p w14:paraId="62D1CFD3">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14:paraId="3DA7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22D72D19">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shd w:val="clear" w:color="auto" w:fill="auto"/>
            <w:vAlign w:val="center"/>
          </w:tcPr>
          <w:p w14:paraId="3B7D05DD">
            <w:pP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服务人员人均月工资承诺函</w:t>
            </w:r>
          </w:p>
        </w:tc>
        <w:tc>
          <w:tcPr>
            <w:tcW w:w="1105" w:type="dxa"/>
            <w:vAlign w:val="center"/>
          </w:tcPr>
          <w:p w14:paraId="6AE77D2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14:paraId="4D37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14:paraId="1054A76F">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11</w:t>
            </w:r>
          </w:p>
        </w:tc>
        <w:tc>
          <w:tcPr>
            <w:tcW w:w="7122" w:type="dxa"/>
            <w:shd w:val="clear" w:color="auto" w:fill="auto"/>
            <w:vAlign w:val="center"/>
          </w:tcPr>
          <w:p w14:paraId="4D7D4033">
            <w:pP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投标供应商需要说明的其他文件和说明</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rPr>
              <w:t>根据采购文件中的采购内容及要求以及技术资信评分项目逐项编制</w:t>
            </w:r>
            <w:r>
              <w:rPr>
                <w:rFonts w:hint="eastAsia" w:ascii="宋体" w:hAnsi="宋体" w:eastAsia="宋体" w:cs="宋体"/>
                <w:sz w:val="18"/>
                <w:szCs w:val="18"/>
                <w:highlight w:val="none"/>
                <w:lang w:eastAsia="zh-CN"/>
              </w:rPr>
              <w:t>）</w:t>
            </w:r>
          </w:p>
        </w:tc>
        <w:tc>
          <w:tcPr>
            <w:tcW w:w="1105" w:type="dxa"/>
            <w:vAlign w:val="center"/>
          </w:tcPr>
          <w:p w14:paraId="081C8DF6">
            <w:pPr>
              <w:jc w:val="center"/>
              <w:rPr>
                <w:rFonts w:hint="eastAsia" w:ascii="宋体" w:hAnsi="宋体" w:eastAsia="宋体" w:cs="宋体"/>
                <w:sz w:val="18"/>
                <w:szCs w:val="18"/>
                <w:highlight w:val="none"/>
                <w:lang w:val="en-US" w:eastAsia="zh-CN"/>
              </w:rPr>
            </w:pPr>
          </w:p>
        </w:tc>
      </w:tr>
    </w:tbl>
    <w:p w14:paraId="23D815FA">
      <w:pPr>
        <w:pStyle w:val="12"/>
        <w:rPr>
          <w:rFonts w:hint="eastAsia" w:ascii="宋体" w:hAnsi="宋体" w:eastAsia="宋体" w:cs="宋体"/>
          <w:snapToGrid w:val="0"/>
          <w:sz w:val="32"/>
          <w:szCs w:val="20"/>
          <w:highlight w:val="none"/>
        </w:rPr>
      </w:pPr>
    </w:p>
    <w:p w14:paraId="5B6EFE07">
      <w:pPr>
        <w:pStyle w:val="12"/>
        <w:rPr>
          <w:rFonts w:hint="eastAsia" w:ascii="宋体" w:hAnsi="宋体" w:eastAsia="宋体" w:cs="宋体"/>
          <w:snapToGrid w:val="0"/>
          <w:sz w:val="32"/>
          <w:szCs w:val="20"/>
          <w:highlight w:val="none"/>
        </w:rPr>
      </w:pPr>
    </w:p>
    <w:p w14:paraId="653F1628">
      <w:pPr>
        <w:jc w:val="left"/>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14:paraId="5C8355B9">
      <w:pPr>
        <w:pStyle w:val="2"/>
        <w:ind w:firstLine="210"/>
        <w:rPr>
          <w:rFonts w:hint="eastAsia" w:ascii="宋体" w:hAnsi="宋体" w:eastAsia="宋体" w:cs="宋体"/>
          <w:highlight w:val="none"/>
        </w:rPr>
      </w:pPr>
    </w:p>
    <w:p w14:paraId="7FC559F4">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14:paraId="6006A649">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14:paraId="732A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14:paraId="08A630B3">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14:paraId="6C70DCB3">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14:paraId="0E57A064">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14:paraId="52FB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278ADB22">
            <w:pPr>
              <w:spacing w:line="420" w:lineRule="exact"/>
              <w:jc w:val="center"/>
              <w:rPr>
                <w:rFonts w:hint="eastAsia" w:ascii="宋体" w:hAnsi="宋体" w:eastAsia="宋体" w:cs="宋体"/>
                <w:sz w:val="18"/>
                <w:szCs w:val="18"/>
                <w:highlight w:val="none"/>
              </w:rPr>
            </w:pPr>
          </w:p>
        </w:tc>
        <w:tc>
          <w:tcPr>
            <w:tcW w:w="5144" w:type="dxa"/>
            <w:vAlign w:val="center"/>
          </w:tcPr>
          <w:p w14:paraId="66BB420E">
            <w:pPr>
              <w:spacing w:line="420" w:lineRule="exact"/>
              <w:jc w:val="center"/>
              <w:rPr>
                <w:rFonts w:hint="eastAsia" w:ascii="宋体" w:hAnsi="宋体" w:eastAsia="宋体" w:cs="宋体"/>
                <w:sz w:val="18"/>
                <w:szCs w:val="18"/>
                <w:highlight w:val="none"/>
              </w:rPr>
            </w:pPr>
          </w:p>
        </w:tc>
        <w:tc>
          <w:tcPr>
            <w:tcW w:w="2690" w:type="dxa"/>
            <w:vAlign w:val="center"/>
          </w:tcPr>
          <w:p w14:paraId="1011765D">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2751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6A0D7631">
            <w:pPr>
              <w:spacing w:line="420" w:lineRule="exact"/>
              <w:jc w:val="center"/>
              <w:rPr>
                <w:rFonts w:hint="eastAsia" w:ascii="宋体" w:hAnsi="宋体" w:eastAsia="宋体" w:cs="宋体"/>
                <w:sz w:val="18"/>
                <w:szCs w:val="18"/>
                <w:highlight w:val="none"/>
              </w:rPr>
            </w:pPr>
          </w:p>
        </w:tc>
        <w:tc>
          <w:tcPr>
            <w:tcW w:w="5144" w:type="dxa"/>
            <w:vAlign w:val="center"/>
          </w:tcPr>
          <w:p w14:paraId="2593F359">
            <w:pPr>
              <w:spacing w:line="420" w:lineRule="exact"/>
              <w:jc w:val="center"/>
              <w:rPr>
                <w:rFonts w:hint="eastAsia" w:ascii="宋体" w:hAnsi="宋体" w:eastAsia="宋体" w:cs="宋体"/>
                <w:sz w:val="18"/>
                <w:szCs w:val="18"/>
                <w:highlight w:val="none"/>
              </w:rPr>
            </w:pPr>
          </w:p>
        </w:tc>
        <w:tc>
          <w:tcPr>
            <w:tcW w:w="2690" w:type="dxa"/>
            <w:vAlign w:val="center"/>
          </w:tcPr>
          <w:p w14:paraId="7C67F99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4A28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5CB40671">
            <w:pPr>
              <w:spacing w:line="420" w:lineRule="exact"/>
              <w:jc w:val="center"/>
              <w:rPr>
                <w:rFonts w:hint="eastAsia" w:ascii="宋体" w:hAnsi="宋体" w:eastAsia="宋体" w:cs="宋体"/>
                <w:sz w:val="18"/>
                <w:szCs w:val="18"/>
                <w:highlight w:val="none"/>
              </w:rPr>
            </w:pPr>
          </w:p>
        </w:tc>
        <w:tc>
          <w:tcPr>
            <w:tcW w:w="5144" w:type="dxa"/>
            <w:vAlign w:val="center"/>
          </w:tcPr>
          <w:p w14:paraId="59AF1F86">
            <w:pPr>
              <w:spacing w:line="420" w:lineRule="exact"/>
              <w:jc w:val="center"/>
              <w:rPr>
                <w:rFonts w:hint="eastAsia" w:ascii="宋体" w:hAnsi="宋体" w:eastAsia="宋体" w:cs="宋体"/>
                <w:sz w:val="18"/>
                <w:szCs w:val="18"/>
                <w:highlight w:val="none"/>
              </w:rPr>
            </w:pPr>
          </w:p>
        </w:tc>
        <w:tc>
          <w:tcPr>
            <w:tcW w:w="2690" w:type="dxa"/>
            <w:vAlign w:val="center"/>
          </w:tcPr>
          <w:p w14:paraId="029B170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0150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E79D0C4">
            <w:pPr>
              <w:spacing w:line="420" w:lineRule="exact"/>
              <w:jc w:val="center"/>
              <w:rPr>
                <w:rFonts w:hint="eastAsia" w:ascii="宋体" w:hAnsi="宋体" w:eastAsia="宋体" w:cs="宋体"/>
                <w:sz w:val="18"/>
                <w:szCs w:val="18"/>
                <w:highlight w:val="none"/>
              </w:rPr>
            </w:pPr>
          </w:p>
        </w:tc>
        <w:tc>
          <w:tcPr>
            <w:tcW w:w="5144" w:type="dxa"/>
            <w:vAlign w:val="center"/>
          </w:tcPr>
          <w:p w14:paraId="5C427937">
            <w:pPr>
              <w:spacing w:line="420" w:lineRule="exact"/>
              <w:jc w:val="center"/>
              <w:rPr>
                <w:rFonts w:hint="eastAsia" w:ascii="宋体" w:hAnsi="宋体" w:eastAsia="宋体" w:cs="宋体"/>
                <w:sz w:val="18"/>
                <w:szCs w:val="18"/>
                <w:highlight w:val="none"/>
              </w:rPr>
            </w:pPr>
          </w:p>
        </w:tc>
        <w:tc>
          <w:tcPr>
            <w:tcW w:w="2690" w:type="dxa"/>
            <w:vAlign w:val="center"/>
          </w:tcPr>
          <w:p w14:paraId="52E1ED6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65F3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78FDB86A">
            <w:pPr>
              <w:spacing w:line="420" w:lineRule="exact"/>
              <w:jc w:val="center"/>
              <w:rPr>
                <w:rFonts w:hint="eastAsia" w:ascii="宋体" w:hAnsi="宋体" w:eastAsia="宋体" w:cs="宋体"/>
                <w:sz w:val="18"/>
                <w:szCs w:val="18"/>
                <w:highlight w:val="none"/>
              </w:rPr>
            </w:pPr>
          </w:p>
        </w:tc>
        <w:tc>
          <w:tcPr>
            <w:tcW w:w="5144" w:type="dxa"/>
            <w:vAlign w:val="center"/>
          </w:tcPr>
          <w:p w14:paraId="0D7D7FC4">
            <w:pPr>
              <w:spacing w:line="420" w:lineRule="exact"/>
              <w:jc w:val="center"/>
              <w:rPr>
                <w:rFonts w:hint="eastAsia" w:ascii="宋体" w:hAnsi="宋体" w:eastAsia="宋体" w:cs="宋体"/>
                <w:sz w:val="18"/>
                <w:szCs w:val="18"/>
                <w:highlight w:val="none"/>
              </w:rPr>
            </w:pPr>
          </w:p>
        </w:tc>
        <w:tc>
          <w:tcPr>
            <w:tcW w:w="2690" w:type="dxa"/>
            <w:vAlign w:val="center"/>
          </w:tcPr>
          <w:p w14:paraId="2F1E929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3C78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1F2B088D">
            <w:pPr>
              <w:spacing w:line="420" w:lineRule="exact"/>
              <w:jc w:val="center"/>
              <w:rPr>
                <w:rFonts w:hint="eastAsia" w:ascii="宋体" w:hAnsi="宋体" w:eastAsia="宋体" w:cs="宋体"/>
                <w:sz w:val="18"/>
                <w:szCs w:val="18"/>
                <w:highlight w:val="none"/>
              </w:rPr>
            </w:pPr>
          </w:p>
        </w:tc>
        <w:tc>
          <w:tcPr>
            <w:tcW w:w="5144" w:type="dxa"/>
            <w:vAlign w:val="center"/>
          </w:tcPr>
          <w:p w14:paraId="0F32059F">
            <w:pPr>
              <w:spacing w:line="420" w:lineRule="exact"/>
              <w:jc w:val="center"/>
              <w:rPr>
                <w:rFonts w:hint="eastAsia" w:ascii="宋体" w:hAnsi="宋体" w:eastAsia="宋体" w:cs="宋体"/>
                <w:sz w:val="18"/>
                <w:szCs w:val="18"/>
                <w:highlight w:val="none"/>
              </w:rPr>
            </w:pPr>
          </w:p>
        </w:tc>
        <w:tc>
          <w:tcPr>
            <w:tcW w:w="2690" w:type="dxa"/>
            <w:vAlign w:val="center"/>
          </w:tcPr>
          <w:p w14:paraId="2BC6C85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14:paraId="4B7C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14:paraId="418D6274">
            <w:pPr>
              <w:spacing w:line="420" w:lineRule="exact"/>
              <w:jc w:val="center"/>
              <w:rPr>
                <w:rFonts w:hint="eastAsia" w:ascii="宋体" w:hAnsi="宋体" w:eastAsia="宋体" w:cs="宋体"/>
                <w:sz w:val="18"/>
                <w:szCs w:val="18"/>
                <w:highlight w:val="none"/>
              </w:rPr>
            </w:pPr>
          </w:p>
        </w:tc>
        <w:tc>
          <w:tcPr>
            <w:tcW w:w="5144" w:type="dxa"/>
            <w:vAlign w:val="center"/>
          </w:tcPr>
          <w:p w14:paraId="075FEAE8">
            <w:pPr>
              <w:spacing w:line="420" w:lineRule="exact"/>
              <w:jc w:val="center"/>
              <w:rPr>
                <w:rFonts w:hint="eastAsia" w:ascii="宋体" w:hAnsi="宋体" w:eastAsia="宋体" w:cs="宋体"/>
                <w:sz w:val="18"/>
                <w:szCs w:val="18"/>
                <w:highlight w:val="none"/>
              </w:rPr>
            </w:pPr>
          </w:p>
        </w:tc>
        <w:tc>
          <w:tcPr>
            <w:tcW w:w="2690" w:type="dxa"/>
            <w:vAlign w:val="center"/>
          </w:tcPr>
          <w:p w14:paraId="66BC652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14:paraId="6DB893A3">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14:paraId="07123B7D">
      <w:pPr>
        <w:pStyle w:val="55"/>
        <w:numPr>
          <w:ilvl w:val="0"/>
          <w:numId w:val="26"/>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建议此表放在技术资信标封面后第一页，方便评委打分。</w:t>
      </w:r>
    </w:p>
    <w:p w14:paraId="42816142">
      <w:pPr>
        <w:pStyle w:val="55"/>
        <w:numPr>
          <w:ilvl w:val="0"/>
          <w:numId w:val="26"/>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14:paraId="0BCAB7CE">
      <w:pPr>
        <w:pStyle w:val="2"/>
        <w:ind w:firstLine="210"/>
        <w:rPr>
          <w:rFonts w:hint="eastAsia" w:ascii="宋体" w:hAnsi="宋体" w:eastAsia="宋体" w:cs="宋体"/>
          <w:highlight w:val="none"/>
        </w:rPr>
      </w:pPr>
    </w:p>
    <w:p w14:paraId="3DA80DDD">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14:paraId="45015CF1">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14:paraId="4EEB2080">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14:paraId="4979D3F1">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项目（采购编号：</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（投标供应商名称）作为投标供应商正式授权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14:paraId="537CF4E7">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14:paraId="40A88442">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（—）按“投标供应商须知”要求编制的投标文件技术标【正本一份，副本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14:paraId="012DCE4A">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（二）按“投标供应商须知”要求编制的投标文件商务（报价）标【正本一份，副本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14:paraId="427436C5">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14:paraId="5AC2E119">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14:paraId="653CD2F3">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14:paraId="537E4B54">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投标保证金将被贵方没收；</w:t>
      </w:r>
    </w:p>
    <w:p w14:paraId="10C57AF0">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14:paraId="2191A3F8">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14:paraId="45ECB7EA">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14:paraId="60C28296">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14:paraId="1CF2F36F">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14:paraId="39B35079">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14:paraId="2F687006">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14:paraId="5732D567">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14:paraId="52FD8517">
      <w:pPr>
        <w:spacing w:line="360" w:lineRule="auto"/>
        <w:rPr>
          <w:rFonts w:hint="eastAsia" w:ascii="宋体" w:hAnsi="宋体" w:eastAsia="宋体" w:cs="宋体"/>
          <w:bCs/>
          <w:sz w:val="22"/>
          <w:highlight w:val="none"/>
        </w:rPr>
      </w:pPr>
    </w:p>
    <w:p w14:paraId="571EC1FA">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14:paraId="01E2F85D">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14:paraId="781AD1E3">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14:paraId="75FDD479">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14:paraId="010866FF">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51314B88">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14:paraId="655B3364">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14:paraId="05087544">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采购编号：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3CF98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14:paraId="29F36579">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357B3303">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1835184E">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14:paraId="4A8A5E12">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14:paraId="5432C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14:paraId="7104E7DC">
            <w:pPr>
              <w:jc w:val="center"/>
              <w:rPr>
                <w:rFonts w:hint="eastAsia" w:ascii="宋体" w:hAnsi="宋体" w:eastAsia="宋体" w:cs="宋体"/>
                <w:sz w:val="22"/>
                <w:highlight w:val="none"/>
              </w:rPr>
            </w:pPr>
          </w:p>
        </w:tc>
        <w:tc>
          <w:tcPr>
            <w:tcW w:w="1115" w:type="dxa"/>
            <w:vAlign w:val="center"/>
          </w:tcPr>
          <w:p w14:paraId="35943614">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358BAA4D">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14:paraId="3F2B5426">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14:paraId="679AEF30">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14:paraId="483D8AD7">
            <w:pPr>
              <w:autoSpaceDE w:val="0"/>
              <w:autoSpaceDN w:val="0"/>
              <w:adjustRightInd w:val="0"/>
              <w:jc w:val="center"/>
              <w:rPr>
                <w:rFonts w:hint="eastAsia" w:ascii="宋体" w:hAnsi="宋体" w:eastAsia="宋体" w:cs="宋体"/>
                <w:sz w:val="22"/>
                <w:highlight w:val="none"/>
              </w:rPr>
            </w:pPr>
          </w:p>
        </w:tc>
      </w:tr>
      <w:tr w14:paraId="08FCE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57964B4A">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14:paraId="125CAB4A">
            <w:pPr>
              <w:jc w:val="center"/>
              <w:rPr>
                <w:rFonts w:hint="eastAsia" w:ascii="宋体" w:hAnsi="宋体" w:eastAsia="宋体" w:cs="宋体"/>
                <w:sz w:val="22"/>
                <w:highlight w:val="none"/>
              </w:rPr>
            </w:pPr>
          </w:p>
        </w:tc>
        <w:tc>
          <w:tcPr>
            <w:tcW w:w="2634" w:type="dxa"/>
            <w:vAlign w:val="center"/>
          </w:tcPr>
          <w:p w14:paraId="6942A36B">
            <w:pPr>
              <w:jc w:val="center"/>
              <w:rPr>
                <w:rFonts w:hint="eastAsia" w:ascii="宋体" w:hAnsi="宋体" w:eastAsia="宋体" w:cs="宋体"/>
                <w:sz w:val="22"/>
                <w:highlight w:val="none"/>
              </w:rPr>
            </w:pPr>
          </w:p>
        </w:tc>
        <w:tc>
          <w:tcPr>
            <w:tcW w:w="1210" w:type="dxa"/>
            <w:gridSpan w:val="2"/>
            <w:vAlign w:val="center"/>
          </w:tcPr>
          <w:p w14:paraId="53D115D5">
            <w:pPr>
              <w:jc w:val="center"/>
              <w:rPr>
                <w:rFonts w:hint="eastAsia" w:ascii="宋体" w:hAnsi="宋体" w:eastAsia="宋体" w:cs="宋体"/>
                <w:sz w:val="22"/>
                <w:highlight w:val="none"/>
              </w:rPr>
            </w:pPr>
          </w:p>
        </w:tc>
        <w:tc>
          <w:tcPr>
            <w:tcW w:w="2323" w:type="dxa"/>
            <w:vAlign w:val="center"/>
          </w:tcPr>
          <w:p w14:paraId="17906876">
            <w:pPr>
              <w:jc w:val="center"/>
              <w:rPr>
                <w:rFonts w:hint="eastAsia" w:ascii="宋体" w:hAnsi="宋体" w:eastAsia="宋体" w:cs="宋体"/>
                <w:sz w:val="22"/>
                <w:highlight w:val="none"/>
              </w:rPr>
            </w:pPr>
          </w:p>
        </w:tc>
        <w:tc>
          <w:tcPr>
            <w:tcW w:w="1147" w:type="dxa"/>
            <w:vAlign w:val="center"/>
          </w:tcPr>
          <w:p w14:paraId="1CAA9A5C">
            <w:pPr>
              <w:jc w:val="center"/>
              <w:rPr>
                <w:rFonts w:hint="eastAsia" w:ascii="宋体" w:hAnsi="宋体" w:eastAsia="宋体" w:cs="宋体"/>
                <w:sz w:val="22"/>
                <w:highlight w:val="none"/>
              </w:rPr>
            </w:pPr>
          </w:p>
        </w:tc>
      </w:tr>
      <w:tr w14:paraId="0A184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B546044">
            <w:pPr>
              <w:jc w:val="center"/>
              <w:rPr>
                <w:rFonts w:hint="eastAsia" w:ascii="宋体" w:hAnsi="宋体" w:eastAsia="宋体" w:cs="宋体"/>
                <w:sz w:val="22"/>
                <w:highlight w:val="none"/>
              </w:rPr>
            </w:pPr>
          </w:p>
        </w:tc>
        <w:tc>
          <w:tcPr>
            <w:tcW w:w="1115" w:type="dxa"/>
            <w:vAlign w:val="center"/>
          </w:tcPr>
          <w:p w14:paraId="29EE91E2">
            <w:pPr>
              <w:jc w:val="center"/>
              <w:rPr>
                <w:rFonts w:hint="eastAsia" w:ascii="宋体" w:hAnsi="宋体" w:eastAsia="宋体" w:cs="宋体"/>
                <w:sz w:val="22"/>
                <w:highlight w:val="none"/>
              </w:rPr>
            </w:pPr>
          </w:p>
        </w:tc>
        <w:tc>
          <w:tcPr>
            <w:tcW w:w="2634" w:type="dxa"/>
            <w:vAlign w:val="center"/>
          </w:tcPr>
          <w:p w14:paraId="49287C20">
            <w:pPr>
              <w:jc w:val="center"/>
              <w:rPr>
                <w:rFonts w:hint="eastAsia" w:ascii="宋体" w:hAnsi="宋体" w:eastAsia="宋体" w:cs="宋体"/>
                <w:sz w:val="22"/>
                <w:highlight w:val="none"/>
              </w:rPr>
            </w:pPr>
          </w:p>
        </w:tc>
        <w:tc>
          <w:tcPr>
            <w:tcW w:w="1210" w:type="dxa"/>
            <w:gridSpan w:val="2"/>
            <w:vAlign w:val="center"/>
          </w:tcPr>
          <w:p w14:paraId="74B9D1ED">
            <w:pPr>
              <w:jc w:val="center"/>
              <w:rPr>
                <w:rFonts w:hint="eastAsia" w:ascii="宋体" w:hAnsi="宋体" w:eastAsia="宋体" w:cs="宋体"/>
                <w:sz w:val="22"/>
                <w:highlight w:val="none"/>
              </w:rPr>
            </w:pPr>
          </w:p>
        </w:tc>
        <w:tc>
          <w:tcPr>
            <w:tcW w:w="2323" w:type="dxa"/>
            <w:vAlign w:val="center"/>
          </w:tcPr>
          <w:p w14:paraId="1A2FF0B9">
            <w:pPr>
              <w:jc w:val="center"/>
              <w:rPr>
                <w:rFonts w:hint="eastAsia" w:ascii="宋体" w:hAnsi="宋体" w:eastAsia="宋体" w:cs="宋体"/>
                <w:sz w:val="22"/>
                <w:highlight w:val="none"/>
              </w:rPr>
            </w:pPr>
          </w:p>
        </w:tc>
        <w:tc>
          <w:tcPr>
            <w:tcW w:w="1147" w:type="dxa"/>
            <w:vAlign w:val="center"/>
          </w:tcPr>
          <w:p w14:paraId="6DA7F289">
            <w:pPr>
              <w:jc w:val="center"/>
              <w:rPr>
                <w:rFonts w:hint="eastAsia" w:ascii="宋体" w:hAnsi="宋体" w:eastAsia="宋体" w:cs="宋体"/>
                <w:sz w:val="22"/>
                <w:highlight w:val="none"/>
              </w:rPr>
            </w:pPr>
          </w:p>
        </w:tc>
      </w:tr>
      <w:tr w14:paraId="19975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706BEFC">
            <w:pPr>
              <w:jc w:val="center"/>
              <w:rPr>
                <w:rFonts w:hint="eastAsia" w:ascii="宋体" w:hAnsi="宋体" w:eastAsia="宋体" w:cs="宋体"/>
                <w:sz w:val="22"/>
                <w:highlight w:val="none"/>
              </w:rPr>
            </w:pPr>
          </w:p>
        </w:tc>
        <w:tc>
          <w:tcPr>
            <w:tcW w:w="1115" w:type="dxa"/>
            <w:vAlign w:val="center"/>
          </w:tcPr>
          <w:p w14:paraId="318E4177">
            <w:pPr>
              <w:jc w:val="center"/>
              <w:rPr>
                <w:rFonts w:hint="eastAsia" w:ascii="宋体" w:hAnsi="宋体" w:eastAsia="宋体" w:cs="宋体"/>
                <w:sz w:val="22"/>
                <w:highlight w:val="none"/>
              </w:rPr>
            </w:pPr>
          </w:p>
        </w:tc>
        <w:tc>
          <w:tcPr>
            <w:tcW w:w="2634" w:type="dxa"/>
            <w:vAlign w:val="center"/>
          </w:tcPr>
          <w:p w14:paraId="70DE4A17">
            <w:pPr>
              <w:jc w:val="center"/>
              <w:rPr>
                <w:rFonts w:hint="eastAsia" w:ascii="宋体" w:hAnsi="宋体" w:eastAsia="宋体" w:cs="宋体"/>
                <w:sz w:val="22"/>
                <w:highlight w:val="none"/>
              </w:rPr>
            </w:pPr>
          </w:p>
        </w:tc>
        <w:tc>
          <w:tcPr>
            <w:tcW w:w="1210" w:type="dxa"/>
            <w:gridSpan w:val="2"/>
            <w:vAlign w:val="center"/>
          </w:tcPr>
          <w:p w14:paraId="215AA669">
            <w:pPr>
              <w:jc w:val="center"/>
              <w:rPr>
                <w:rFonts w:hint="eastAsia" w:ascii="宋体" w:hAnsi="宋体" w:eastAsia="宋体" w:cs="宋体"/>
                <w:sz w:val="22"/>
                <w:highlight w:val="none"/>
              </w:rPr>
            </w:pPr>
          </w:p>
        </w:tc>
        <w:tc>
          <w:tcPr>
            <w:tcW w:w="2323" w:type="dxa"/>
            <w:vAlign w:val="center"/>
          </w:tcPr>
          <w:p w14:paraId="6ADC70DC">
            <w:pPr>
              <w:jc w:val="center"/>
              <w:rPr>
                <w:rFonts w:hint="eastAsia" w:ascii="宋体" w:hAnsi="宋体" w:eastAsia="宋体" w:cs="宋体"/>
                <w:sz w:val="22"/>
                <w:highlight w:val="none"/>
              </w:rPr>
            </w:pPr>
          </w:p>
        </w:tc>
        <w:tc>
          <w:tcPr>
            <w:tcW w:w="1147" w:type="dxa"/>
            <w:vAlign w:val="center"/>
          </w:tcPr>
          <w:p w14:paraId="421E1081">
            <w:pPr>
              <w:jc w:val="center"/>
              <w:rPr>
                <w:rFonts w:hint="eastAsia" w:ascii="宋体" w:hAnsi="宋体" w:eastAsia="宋体" w:cs="宋体"/>
                <w:sz w:val="22"/>
                <w:highlight w:val="none"/>
              </w:rPr>
            </w:pPr>
          </w:p>
        </w:tc>
      </w:tr>
      <w:tr w14:paraId="7D9B6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6C159316">
            <w:pPr>
              <w:jc w:val="center"/>
              <w:rPr>
                <w:rFonts w:hint="eastAsia" w:ascii="宋体" w:hAnsi="宋体" w:eastAsia="宋体" w:cs="宋体"/>
                <w:sz w:val="22"/>
                <w:highlight w:val="none"/>
              </w:rPr>
            </w:pPr>
          </w:p>
        </w:tc>
        <w:tc>
          <w:tcPr>
            <w:tcW w:w="1115" w:type="dxa"/>
            <w:vAlign w:val="center"/>
          </w:tcPr>
          <w:p w14:paraId="1605B2EF">
            <w:pPr>
              <w:jc w:val="center"/>
              <w:rPr>
                <w:rFonts w:hint="eastAsia" w:ascii="宋体" w:hAnsi="宋体" w:eastAsia="宋体" w:cs="宋体"/>
                <w:sz w:val="22"/>
                <w:highlight w:val="none"/>
              </w:rPr>
            </w:pPr>
          </w:p>
        </w:tc>
        <w:tc>
          <w:tcPr>
            <w:tcW w:w="2634" w:type="dxa"/>
            <w:vAlign w:val="center"/>
          </w:tcPr>
          <w:p w14:paraId="186F6D9B">
            <w:pPr>
              <w:jc w:val="center"/>
              <w:rPr>
                <w:rFonts w:hint="eastAsia" w:ascii="宋体" w:hAnsi="宋体" w:eastAsia="宋体" w:cs="宋体"/>
                <w:sz w:val="22"/>
                <w:highlight w:val="none"/>
              </w:rPr>
            </w:pPr>
          </w:p>
        </w:tc>
        <w:tc>
          <w:tcPr>
            <w:tcW w:w="1210" w:type="dxa"/>
            <w:gridSpan w:val="2"/>
            <w:vAlign w:val="center"/>
          </w:tcPr>
          <w:p w14:paraId="186399D1">
            <w:pPr>
              <w:jc w:val="center"/>
              <w:rPr>
                <w:rFonts w:hint="eastAsia" w:ascii="宋体" w:hAnsi="宋体" w:eastAsia="宋体" w:cs="宋体"/>
                <w:sz w:val="22"/>
                <w:highlight w:val="none"/>
              </w:rPr>
            </w:pPr>
          </w:p>
        </w:tc>
        <w:tc>
          <w:tcPr>
            <w:tcW w:w="2323" w:type="dxa"/>
            <w:vAlign w:val="center"/>
          </w:tcPr>
          <w:p w14:paraId="09F41882">
            <w:pPr>
              <w:jc w:val="center"/>
              <w:rPr>
                <w:rFonts w:hint="eastAsia" w:ascii="宋体" w:hAnsi="宋体" w:eastAsia="宋体" w:cs="宋体"/>
                <w:sz w:val="22"/>
                <w:highlight w:val="none"/>
              </w:rPr>
            </w:pPr>
          </w:p>
        </w:tc>
        <w:tc>
          <w:tcPr>
            <w:tcW w:w="1147" w:type="dxa"/>
            <w:vAlign w:val="center"/>
          </w:tcPr>
          <w:p w14:paraId="464F1C77">
            <w:pPr>
              <w:jc w:val="center"/>
              <w:rPr>
                <w:rFonts w:hint="eastAsia" w:ascii="宋体" w:hAnsi="宋体" w:eastAsia="宋体" w:cs="宋体"/>
                <w:sz w:val="22"/>
                <w:highlight w:val="none"/>
              </w:rPr>
            </w:pPr>
          </w:p>
        </w:tc>
      </w:tr>
      <w:tr w14:paraId="3EDEB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1509E11B">
            <w:pPr>
              <w:jc w:val="center"/>
              <w:rPr>
                <w:rFonts w:hint="eastAsia" w:ascii="宋体" w:hAnsi="宋体" w:eastAsia="宋体" w:cs="宋体"/>
                <w:sz w:val="22"/>
                <w:highlight w:val="none"/>
              </w:rPr>
            </w:pPr>
          </w:p>
        </w:tc>
        <w:tc>
          <w:tcPr>
            <w:tcW w:w="1115" w:type="dxa"/>
            <w:vAlign w:val="center"/>
          </w:tcPr>
          <w:p w14:paraId="6942E4FF">
            <w:pPr>
              <w:jc w:val="center"/>
              <w:rPr>
                <w:rFonts w:hint="eastAsia" w:ascii="宋体" w:hAnsi="宋体" w:eastAsia="宋体" w:cs="宋体"/>
                <w:sz w:val="22"/>
                <w:highlight w:val="none"/>
              </w:rPr>
            </w:pPr>
          </w:p>
        </w:tc>
        <w:tc>
          <w:tcPr>
            <w:tcW w:w="2634" w:type="dxa"/>
            <w:vAlign w:val="center"/>
          </w:tcPr>
          <w:p w14:paraId="6EF60D17">
            <w:pPr>
              <w:jc w:val="center"/>
              <w:rPr>
                <w:rFonts w:hint="eastAsia" w:ascii="宋体" w:hAnsi="宋体" w:eastAsia="宋体" w:cs="宋体"/>
                <w:sz w:val="22"/>
                <w:highlight w:val="none"/>
              </w:rPr>
            </w:pPr>
          </w:p>
        </w:tc>
        <w:tc>
          <w:tcPr>
            <w:tcW w:w="1210" w:type="dxa"/>
            <w:gridSpan w:val="2"/>
            <w:vAlign w:val="center"/>
          </w:tcPr>
          <w:p w14:paraId="4791EB19">
            <w:pPr>
              <w:jc w:val="center"/>
              <w:rPr>
                <w:rFonts w:hint="eastAsia" w:ascii="宋体" w:hAnsi="宋体" w:eastAsia="宋体" w:cs="宋体"/>
                <w:sz w:val="22"/>
                <w:highlight w:val="none"/>
              </w:rPr>
            </w:pPr>
          </w:p>
        </w:tc>
        <w:tc>
          <w:tcPr>
            <w:tcW w:w="2323" w:type="dxa"/>
            <w:vAlign w:val="center"/>
          </w:tcPr>
          <w:p w14:paraId="17646EB5">
            <w:pPr>
              <w:jc w:val="center"/>
              <w:rPr>
                <w:rFonts w:hint="eastAsia" w:ascii="宋体" w:hAnsi="宋体" w:eastAsia="宋体" w:cs="宋体"/>
                <w:sz w:val="22"/>
                <w:highlight w:val="none"/>
              </w:rPr>
            </w:pPr>
          </w:p>
        </w:tc>
        <w:tc>
          <w:tcPr>
            <w:tcW w:w="1147" w:type="dxa"/>
            <w:vAlign w:val="center"/>
          </w:tcPr>
          <w:p w14:paraId="5AD48982">
            <w:pPr>
              <w:jc w:val="center"/>
              <w:rPr>
                <w:rFonts w:hint="eastAsia" w:ascii="宋体" w:hAnsi="宋体" w:eastAsia="宋体" w:cs="宋体"/>
                <w:sz w:val="22"/>
                <w:highlight w:val="none"/>
              </w:rPr>
            </w:pPr>
          </w:p>
        </w:tc>
      </w:tr>
      <w:tr w14:paraId="413B1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A3F27FD">
            <w:pPr>
              <w:jc w:val="center"/>
              <w:rPr>
                <w:rFonts w:hint="eastAsia" w:ascii="宋体" w:hAnsi="宋体" w:eastAsia="宋体" w:cs="宋体"/>
                <w:sz w:val="22"/>
                <w:highlight w:val="none"/>
              </w:rPr>
            </w:pPr>
          </w:p>
        </w:tc>
        <w:tc>
          <w:tcPr>
            <w:tcW w:w="1115" w:type="dxa"/>
            <w:vAlign w:val="center"/>
          </w:tcPr>
          <w:p w14:paraId="00821CC1">
            <w:pPr>
              <w:jc w:val="center"/>
              <w:rPr>
                <w:rFonts w:hint="eastAsia" w:ascii="宋体" w:hAnsi="宋体" w:eastAsia="宋体" w:cs="宋体"/>
                <w:sz w:val="22"/>
                <w:highlight w:val="none"/>
              </w:rPr>
            </w:pPr>
          </w:p>
        </w:tc>
        <w:tc>
          <w:tcPr>
            <w:tcW w:w="2634" w:type="dxa"/>
            <w:vAlign w:val="center"/>
          </w:tcPr>
          <w:p w14:paraId="143FEB39">
            <w:pPr>
              <w:jc w:val="center"/>
              <w:rPr>
                <w:rFonts w:hint="eastAsia" w:ascii="宋体" w:hAnsi="宋体" w:eastAsia="宋体" w:cs="宋体"/>
                <w:sz w:val="22"/>
                <w:highlight w:val="none"/>
              </w:rPr>
            </w:pPr>
          </w:p>
        </w:tc>
        <w:tc>
          <w:tcPr>
            <w:tcW w:w="1210" w:type="dxa"/>
            <w:gridSpan w:val="2"/>
            <w:vAlign w:val="center"/>
          </w:tcPr>
          <w:p w14:paraId="5D7DCE04">
            <w:pPr>
              <w:jc w:val="center"/>
              <w:rPr>
                <w:rFonts w:hint="eastAsia" w:ascii="宋体" w:hAnsi="宋体" w:eastAsia="宋体" w:cs="宋体"/>
                <w:sz w:val="22"/>
                <w:highlight w:val="none"/>
              </w:rPr>
            </w:pPr>
          </w:p>
        </w:tc>
        <w:tc>
          <w:tcPr>
            <w:tcW w:w="2323" w:type="dxa"/>
            <w:vAlign w:val="center"/>
          </w:tcPr>
          <w:p w14:paraId="694E5520">
            <w:pPr>
              <w:jc w:val="center"/>
              <w:rPr>
                <w:rFonts w:hint="eastAsia" w:ascii="宋体" w:hAnsi="宋体" w:eastAsia="宋体" w:cs="宋体"/>
                <w:sz w:val="22"/>
                <w:highlight w:val="none"/>
              </w:rPr>
            </w:pPr>
          </w:p>
        </w:tc>
        <w:tc>
          <w:tcPr>
            <w:tcW w:w="1147" w:type="dxa"/>
            <w:vAlign w:val="center"/>
          </w:tcPr>
          <w:p w14:paraId="3E3CFB5C">
            <w:pPr>
              <w:jc w:val="center"/>
              <w:rPr>
                <w:rFonts w:hint="eastAsia" w:ascii="宋体" w:hAnsi="宋体" w:eastAsia="宋体" w:cs="宋体"/>
                <w:sz w:val="22"/>
                <w:highlight w:val="none"/>
              </w:rPr>
            </w:pPr>
          </w:p>
        </w:tc>
      </w:tr>
      <w:tr w14:paraId="64488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25CA463E">
            <w:pPr>
              <w:jc w:val="center"/>
              <w:rPr>
                <w:rFonts w:hint="eastAsia" w:ascii="宋体" w:hAnsi="宋体" w:eastAsia="宋体" w:cs="宋体"/>
                <w:sz w:val="22"/>
                <w:highlight w:val="none"/>
              </w:rPr>
            </w:pPr>
          </w:p>
        </w:tc>
        <w:tc>
          <w:tcPr>
            <w:tcW w:w="1115" w:type="dxa"/>
            <w:vAlign w:val="center"/>
          </w:tcPr>
          <w:p w14:paraId="70408FC3">
            <w:pPr>
              <w:jc w:val="center"/>
              <w:rPr>
                <w:rFonts w:hint="eastAsia" w:ascii="宋体" w:hAnsi="宋体" w:eastAsia="宋体" w:cs="宋体"/>
                <w:sz w:val="22"/>
                <w:highlight w:val="none"/>
              </w:rPr>
            </w:pPr>
          </w:p>
        </w:tc>
        <w:tc>
          <w:tcPr>
            <w:tcW w:w="2634" w:type="dxa"/>
            <w:vAlign w:val="center"/>
          </w:tcPr>
          <w:p w14:paraId="1A0E46C4">
            <w:pPr>
              <w:jc w:val="center"/>
              <w:rPr>
                <w:rFonts w:hint="eastAsia" w:ascii="宋体" w:hAnsi="宋体" w:eastAsia="宋体" w:cs="宋体"/>
                <w:sz w:val="22"/>
                <w:highlight w:val="none"/>
              </w:rPr>
            </w:pPr>
          </w:p>
        </w:tc>
        <w:tc>
          <w:tcPr>
            <w:tcW w:w="1210" w:type="dxa"/>
            <w:gridSpan w:val="2"/>
            <w:vAlign w:val="center"/>
          </w:tcPr>
          <w:p w14:paraId="2F3F3D3D">
            <w:pPr>
              <w:jc w:val="center"/>
              <w:rPr>
                <w:rFonts w:hint="eastAsia" w:ascii="宋体" w:hAnsi="宋体" w:eastAsia="宋体" w:cs="宋体"/>
                <w:sz w:val="22"/>
                <w:highlight w:val="none"/>
              </w:rPr>
            </w:pPr>
          </w:p>
        </w:tc>
        <w:tc>
          <w:tcPr>
            <w:tcW w:w="2323" w:type="dxa"/>
            <w:vAlign w:val="center"/>
          </w:tcPr>
          <w:p w14:paraId="2F1A9944">
            <w:pPr>
              <w:jc w:val="center"/>
              <w:rPr>
                <w:rFonts w:hint="eastAsia" w:ascii="宋体" w:hAnsi="宋体" w:eastAsia="宋体" w:cs="宋体"/>
                <w:sz w:val="22"/>
                <w:highlight w:val="none"/>
              </w:rPr>
            </w:pPr>
          </w:p>
        </w:tc>
        <w:tc>
          <w:tcPr>
            <w:tcW w:w="1147" w:type="dxa"/>
            <w:vAlign w:val="center"/>
          </w:tcPr>
          <w:p w14:paraId="6F2FC989">
            <w:pPr>
              <w:jc w:val="center"/>
              <w:rPr>
                <w:rFonts w:hint="eastAsia" w:ascii="宋体" w:hAnsi="宋体" w:eastAsia="宋体" w:cs="宋体"/>
                <w:sz w:val="22"/>
                <w:highlight w:val="none"/>
              </w:rPr>
            </w:pPr>
          </w:p>
        </w:tc>
      </w:tr>
      <w:tr w14:paraId="1BC0D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14:paraId="62CB6BCD">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14:paraId="6EACF45F">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14:paraId="73DD6597">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14:paraId="5A0F7511">
            <w:pPr>
              <w:jc w:val="center"/>
              <w:rPr>
                <w:rFonts w:hint="eastAsia" w:ascii="宋体" w:hAnsi="宋体" w:eastAsia="宋体" w:cs="宋体"/>
                <w:sz w:val="22"/>
                <w:highlight w:val="none"/>
              </w:rPr>
            </w:pPr>
          </w:p>
        </w:tc>
      </w:tr>
      <w:tr w14:paraId="4F981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14:paraId="722012C6">
            <w:pPr>
              <w:jc w:val="center"/>
              <w:rPr>
                <w:rFonts w:hint="eastAsia" w:ascii="宋体" w:hAnsi="宋体" w:eastAsia="宋体" w:cs="宋体"/>
                <w:sz w:val="22"/>
                <w:highlight w:val="none"/>
              </w:rPr>
            </w:pPr>
          </w:p>
        </w:tc>
        <w:tc>
          <w:tcPr>
            <w:tcW w:w="1115" w:type="dxa"/>
            <w:vAlign w:val="center"/>
          </w:tcPr>
          <w:p w14:paraId="2DC93476">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14:paraId="4050F895">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14:paraId="31A1BC9F">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14:paraId="5AA246FD">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14:paraId="02141035">
            <w:pPr>
              <w:autoSpaceDE w:val="0"/>
              <w:autoSpaceDN w:val="0"/>
              <w:adjustRightInd w:val="0"/>
              <w:jc w:val="center"/>
              <w:rPr>
                <w:rFonts w:hint="eastAsia" w:ascii="宋体" w:hAnsi="宋体" w:eastAsia="宋体" w:cs="宋体"/>
                <w:sz w:val="22"/>
                <w:highlight w:val="none"/>
              </w:rPr>
            </w:pPr>
          </w:p>
        </w:tc>
      </w:tr>
      <w:tr w14:paraId="000F8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14:paraId="5B0CC987">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14:paraId="5736633B">
            <w:pPr>
              <w:jc w:val="center"/>
              <w:rPr>
                <w:rFonts w:hint="eastAsia" w:ascii="宋体" w:hAnsi="宋体" w:eastAsia="宋体" w:cs="宋体"/>
                <w:sz w:val="22"/>
                <w:highlight w:val="none"/>
              </w:rPr>
            </w:pPr>
          </w:p>
        </w:tc>
        <w:tc>
          <w:tcPr>
            <w:tcW w:w="2634" w:type="dxa"/>
            <w:vAlign w:val="center"/>
          </w:tcPr>
          <w:p w14:paraId="17307346">
            <w:pPr>
              <w:jc w:val="center"/>
              <w:rPr>
                <w:rFonts w:hint="eastAsia" w:ascii="宋体" w:hAnsi="宋体" w:eastAsia="宋体" w:cs="宋体"/>
                <w:sz w:val="22"/>
                <w:highlight w:val="none"/>
              </w:rPr>
            </w:pPr>
          </w:p>
        </w:tc>
        <w:tc>
          <w:tcPr>
            <w:tcW w:w="1196" w:type="dxa"/>
            <w:vAlign w:val="center"/>
          </w:tcPr>
          <w:p w14:paraId="3F579E0D">
            <w:pPr>
              <w:jc w:val="center"/>
              <w:rPr>
                <w:rFonts w:hint="eastAsia" w:ascii="宋体" w:hAnsi="宋体" w:eastAsia="宋体" w:cs="宋体"/>
                <w:sz w:val="22"/>
                <w:highlight w:val="none"/>
              </w:rPr>
            </w:pPr>
          </w:p>
        </w:tc>
        <w:tc>
          <w:tcPr>
            <w:tcW w:w="2337" w:type="dxa"/>
            <w:gridSpan w:val="2"/>
            <w:vAlign w:val="center"/>
          </w:tcPr>
          <w:p w14:paraId="3F6772B4">
            <w:pPr>
              <w:jc w:val="center"/>
              <w:rPr>
                <w:rFonts w:hint="eastAsia" w:ascii="宋体" w:hAnsi="宋体" w:eastAsia="宋体" w:cs="宋体"/>
                <w:sz w:val="22"/>
                <w:highlight w:val="none"/>
              </w:rPr>
            </w:pPr>
          </w:p>
        </w:tc>
        <w:tc>
          <w:tcPr>
            <w:tcW w:w="1147" w:type="dxa"/>
            <w:vAlign w:val="center"/>
          </w:tcPr>
          <w:p w14:paraId="503DF0DD">
            <w:pPr>
              <w:jc w:val="center"/>
              <w:rPr>
                <w:rFonts w:hint="eastAsia" w:ascii="宋体" w:hAnsi="宋体" w:eastAsia="宋体" w:cs="宋体"/>
                <w:sz w:val="22"/>
                <w:highlight w:val="none"/>
              </w:rPr>
            </w:pPr>
          </w:p>
        </w:tc>
      </w:tr>
      <w:tr w14:paraId="72D2A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2F9C9A3F">
            <w:pPr>
              <w:jc w:val="center"/>
              <w:rPr>
                <w:rFonts w:hint="eastAsia" w:ascii="宋体" w:hAnsi="宋体" w:eastAsia="宋体" w:cs="宋体"/>
                <w:sz w:val="22"/>
                <w:highlight w:val="none"/>
              </w:rPr>
            </w:pPr>
          </w:p>
        </w:tc>
        <w:tc>
          <w:tcPr>
            <w:tcW w:w="1115" w:type="dxa"/>
            <w:vAlign w:val="center"/>
          </w:tcPr>
          <w:p w14:paraId="6BC53237">
            <w:pPr>
              <w:jc w:val="center"/>
              <w:rPr>
                <w:rFonts w:hint="eastAsia" w:ascii="宋体" w:hAnsi="宋体" w:eastAsia="宋体" w:cs="宋体"/>
                <w:sz w:val="22"/>
                <w:highlight w:val="none"/>
              </w:rPr>
            </w:pPr>
          </w:p>
        </w:tc>
        <w:tc>
          <w:tcPr>
            <w:tcW w:w="2634" w:type="dxa"/>
            <w:vAlign w:val="center"/>
          </w:tcPr>
          <w:p w14:paraId="7FDAAFF4">
            <w:pPr>
              <w:jc w:val="center"/>
              <w:rPr>
                <w:rFonts w:hint="eastAsia" w:ascii="宋体" w:hAnsi="宋体" w:eastAsia="宋体" w:cs="宋体"/>
                <w:sz w:val="22"/>
                <w:highlight w:val="none"/>
              </w:rPr>
            </w:pPr>
          </w:p>
        </w:tc>
        <w:tc>
          <w:tcPr>
            <w:tcW w:w="1196" w:type="dxa"/>
            <w:vAlign w:val="center"/>
          </w:tcPr>
          <w:p w14:paraId="41F31A4B">
            <w:pPr>
              <w:jc w:val="center"/>
              <w:rPr>
                <w:rFonts w:hint="eastAsia" w:ascii="宋体" w:hAnsi="宋体" w:eastAsia="宋体" w:cs="宋体"/>
                <w:sz w:val="22"/>
                <w:highlight w:val="none"/>
              </w:rPr>
            </w:pPr>
          </w:p>
        </w:tc>
        <w:tc>
          <w:tcPr>
            <w:tcW w:w="2337" w:type="dxa"/>
            <w:gridSpan w:val="2"/>
            <w:vAlign w:val="center"/>
          </w:tcPr>
          <w:p w14:paraId="51AA1C07">
            <w:pPr>
              <w:jc w:val="center"/>
              <w:rPr>
                <w:rFonts w:hint="eastAsia" w:ascii="宋体" w:hAnsi="宋体" w:eastAsia="宋体" w:cs="宋体"/>
                <w:sz w:val="22"/>
                <w:highlight w:val="none"/>
              </w:rPr>
            </w:pPr>
          </w:p>
        </w:tc>
        <w:tc>
          <w:tcPr>
            <w:tcW w:w="1147" w:type="dxa"/>
            <w:vAlign w:val="center"/>
          </w:tcPr>
          <w:p w14:paraId="7317347C">
            <w:pPr>
              <w:jc w:val="center"/>
              <w:rPr>
                <w:rFonts w:hint="eastAsia" w:ascii="宋体" w:hAnsi="宋体" w:eastAsia="宋体" w:cs="宋体"/>
                <w:sz w:val="22"/>
                <w:highlight w:val="none"/>
              </w:rPr>
            </w:pPr>
          </w:p>
        </w:tc>
      </w:tr>
      <w:tr w14:paraId="77900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0B0AFA6">
            <w:pPr>
              <w:jc w:val="center"/>
              <w:rPr>
                <w:rFonts w:hint="eastAsia" w:ascii="宋体" w:hAnsi="宋体" w:eastAsia="宋体" w:cs="宋体"/>
                <w:sz w:val="22"/>
                <w:highlight w:val="none"/>
              </w:rPr>
            </w:pPr>
          </w:p>
        </w:tc>
        <w:tc>
          <w:tcPr>
            <w:tcW w:w="1115" w:type="dxa"/>
            <w:vAlign w:val="center"/>
          </w:tcPr>
          <w:p w14:paraId="76C13890">
            <w:pPr>
              <w:jc w:val="center"/>
              <w:rPr>
                <w:rFonts w:hint="eastAsia" w:ascii="宋体" w:hAnsi="宋体" w:eastAsia="宋体" w:cs="宋体"/>
                <w:sz w:val="22"/>
                <w:highlight w:val="none"/>
              </w:rPr>
            </w:pPr>
          </w:p>
        </w:tc>
        <w:tc>
          <w:tcPr>
            <w:tcW w:w="2634" w:type="dxa"/>
            <w:vAlign w:val="center"/>
          </w:tcPr>
          <w:p w14:paraId="174B6762">
            <w:pPr>
              <w:jc w:val="center"/>
              <w:rPr>
                <w:rFonts w:hint="eastAsia" w:ascii="宋体" w:hAnsi="宋体" w:eastAsia="宋体" w:cs="宋体"/>
                <w:sz w:val="22"/>
                <w:highlight w:val="none"/>
              </w:rPr>
            </w:pPr>
          </w:p>
        </w:tc>
        <w:tc>
          <w:tcPr>
            <w:tcW w:w="1196" w:type="dxa"/>
            <w:vAlign w:val="center"/>
          </w:tcPr>
          <w:p w14:paraId="74D35090">
            <w:pPr>
              <w:jc w:val="center"/>
              <w:rPr>
                <w:rFonts w:hint="eastAsia" w:ascii="宋体" w:hAnsi="宋体" w:eastAsia="宋体" w:cs="宋体"/>
                <w:sz w:val="22"/>
                <w:highlight w:val="none"/>
              </w:rPr>
            </w:pPr>
          </w:p>
        </w:tc>
        <w:tc>
          <w:tcPr>
            <w:tcW w:w="2337" w:type="dxa"/>
            <w:gridSpan w:val="2"/>
            <w:vAlign w:val="center"/>
          </w:tcPr>
          <w:p w14:paraId="53C4021E">
            <w:pPr>
              <w:jc w:val="center"/>
              <w:rPr>
                <w:rFonts w:hint="eastAsia" w:ascii="宋体" w:hAnsi="宋体" w:eastAsia="宋体" w:cs="宋体"/>
                <w:sz w:val="22"/>
                <w:highlight w:val="none"/>
              </w:rPr>
            </w:pPr>
          </w:p>
        </w:tc>
        <w:tc>
          <w:tcPr>
            <w:tcW w:w="1147" w:type="dxa"/>
            <w:vAlign w:val="center"/>
          </w:tcPr>
          <w:p w14:paraId="3DABFFA9">
            <w:pPr>
              <w:jc w:val="center"/>
              <w:rPr>
                <w:rFonts w:hint="eastAsia" w:ascii="宋体" w:hAnsi="宋体" w:eastAsia="宋体" w:cs="宋体"/>
                <w:sz w:val="22"/>
                <w:highlight w:val="none"/>
              </w:rPr>
            </w:pPr>
          </w:p>
        </w:tc>
      </w:tr>
      <w:tr w14:paraId="259CD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03CCE8E2">
            <w:pPr>
              <w:jc w:val="center"/>
              <w:rPr>
                <w:rFonts w:hint="eastAsia" w:ascii="宋体" w:hAnsi="宋体" w:eastAsia="宋体" w:cs="宋体"/>
                <w:sz w:val="22"/>
                <w:highlight w:val="none"/>
              </w:rPr>
            </w:pPr>
          </w:p>
        </w:tc>
        <w:tc>
          <w:tcPr>
            <w:tcW w:w="1115" w:type="dxa"/>
            <w:vAlign w:val="center"/>
          </w:tcPr>
          <w:p w14:paraId="0573EF97">
            <w:pPr>
              <w:jc w:val="center"/>
              <w:rPr>
                <w:rFonts w:hint="eastAsia" w:ascii="宋体" w:hAnsi="宋体" w:eastAsia="宋体" w:cs="宋体"/>
                <w:sz w:val="22"/>
                <w:highlight w:val="none"/>
              </w:rPr>
            </w:pPr>
          </w:p>
        </w:tc>
        <w:tc>
          <w:tcPr>
            <w:tcW w:w="2634" w:type="dxa"/>
            <w:vAlign w:val="center"/>
          </w:tcPr>
          <w:p w14:paraId="5C071414">
            <w:pPr>
              <w:jc w:val="center"/>
              <w:rPr>
                <w:rFonts w:hint="eastAsia" w:ascii="宋体" w:hAnsi="宋体" w:eastAsia="宋体" w:cs="宋体"/>
                <w:sz w:val="22"/>
                <w:highlight w:val="none"/>
              </w:rPr>
            </w:pPr>
          </w:p>
        </w:tc>
        <w:tc>
          <w:tcPr>
            <w:tcW w:w="1196" w:type="dxa"/>
            <w:vAlign w:val="center"/>
          </w:tcPr>
          <w:p w14:paraId="3B4478C1">
            <w:pPr>
              <w:jc w:val="center"/>
              <w:rPr>
                <w:rFonts w:hint="eastAsia" w:ascii="宋体" w:hAnsi="宋体" w:eastAsia="宋体" w:cs="宋体"/>
                <w:sz w:val="22"/>
                <w:highlight w:val="none"/>
              </w:rPr>
            </w:pPr>
          </w:p>
        </w:tc>
        <w:tc>
          <w:tcPr>
            <w:tcW w:w="2337" w:type="dxa"/>
            <w:gridSpan w:val="2"/>
            <w:vAlign w:val="center"/>
          </w:tcPr>
          <w:p w14:paraId="3E6B2983">
            <w:pPr>
              <w:jc w:val="center"/>
              <w:rPr>
                <w:rFonts w:hint="eastAsia" w:ascii="宋体" w:hAnsi="宋体" w:eastAsia="宋体" w:cs="宋体"/>
                <w:sz w:val="22"/>
                <w:highlight w:val="none"/>
              </w:rPr>
            </w:pPr>
          </w:p>
        </w:tc>
        <w:tc>
          <w:tcPr>
            <w:tcW w:w="1147" w:type="dxa"/>
            <w:vAlign w:val="center"/>
          </w:tcPr>
          <w:p w14:paraId="079A5BF8">
            <w:pPr>
              <w:jc w:val="center"/>
              <w:rPr>
                <w:rFonts w:hint="eastAsia" w:ascii="宋体" w:hAnsi="宋体" w:eastAsia="宋体" w:cs="宋体"/>
                <w:sz w:val="22"/>
                <w:highlight w:val="none"/>
              </w:rPr>
            </w:pPr>
          </w:p>
        </w:tc>
      </w:tr>
      <w:tr w14:paraId="3C16F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44C275B2">
            <w:pPr>
              <w:jc w:val="center"/>
              <w:rPr>
                <w:rFonts w:hint="eastAsia" w:ascii="宋体" w:hAnsi="宋体" w:eastAsia="宋体" w:cs="宋体"/>
                <w:sz w:val="22"/>
                <w:highlight w:val="none"/>
              </w:rPr>
            </w:pPr>
          </w:p>
        </w:tc>
        <w:tc>
          <w:tcPr>
            <w:tcW w:w="1115" w:type="dxa"/>
            <w:vAlign w:val="center"/>
          </w:tcPr>
          <w:p w14:paraId="302889A2">
            <w:pPr>
              <w:jc w:val="center"/>
              <w:rPr>
                <w:rFonts w:hint="eastAsia" w:ascii="宋体" w:hAnsi="宋体" w:eastAsia="宋体" w:cs="宋体"/>
                <w:sz w:val="22"/>
                <w:highlight w:val="none"/>
              </w:rPr>
            </w:pPr>
          </w:p>
        </w:tc>
        <w:tc>
          <w:tcPr>
            <w:tcW w:w="2634" w:type="dxa"/>
            <w:vAlign w:val="center"/>
          </w:tcPr>
          <w:p w14:paraId="66763C3C">
            <w:pPr>
              <w:jc w:val="center"/>
              <w:rPr>
                <w:rFonts w:hint="eastAsia" w:ascii="宋体" w:hAnsi="宋体" w:eastAsia="宋体" w:cs="宋体"/>
                <w:sz w:val="22"/>
                <w:highlight w:val="none"/>
              </w:rPr>
            </w:pPr>
          </w:p>
        </w:tc>
        <w:tc>
          <w:tcPr>
            <w:tcW w:w="1196" w:type="dxa"/>
            <w:vAlign w:val="center"/>
          </w:tcPr>
          <w:p w14:paraId="1EA993C2">
            <w:pPr>
              <w:jc w:val="center"/>
              <w:rPr>
                <w:rFonts w:hint="eastAsia" w:ascii="宋体" w:hAnsi="宋体" w:eastAsia="宋体" w:cs="宋体"/>
                <w:sz w:val="22"/>
                <w:highlight w:val="none"/>
              </w:rPr>
            </w:pPr>
          </w:p>
        </w:tc>
        <w:tc>
          <w:tcPr>
            <w:tcW w:w="2337" w:type="dxa"/>
            <w:gridSpan w:val="2"/>
            <w:vAlign w:val="center"/>
          </w:tcPr>
          <w:p w14:paraId="6603FBC0">
            <w:pPr>
              <w:jc w:val="center"/>
              <w:rPr>
                <w:rFonts w:hint="eastAsia" w:ascii="宋体" w:hAnsi="宋体" w:eastAsia="宋体" w:cs="宋体"/>
                <w:sz w:val="22"/>
                <w:highlight w:val="none"/>
              </w:rPr>
            </w:pPr>
          </w:p>
        </w:tc>
        <w:tc>
          <w:tcPr>
            <w:tcW w:w="1147" w:type="dxa"/>
            <w:vAlign w:val="center"/>
          </w:tcPr>
          <w:p w14:paraId="1B5529E4">
            <w:pPr>
              <w:jc w:val="center"/>
              <w:rPr>
                <w:rFonts w:hint="eastAsia" w:ascii="宋体" w:hAnsi="宋体" w:eastAsia="宋体" w:cs="宋体"/>
                <w:sz w:val="22"/>
                <w:highlight w:val="none"/>
              </w:rPr>
            </w:pPr>
          </w:p>
        </w:tc>
      </w:tr>
      <w:tr w14:paraId="5FC91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14:paraId="5BE4B91D">
            <w:pPr>
              <w:jc w:val="center"/>
              <w:rPr>
                <w:rFonts w:hint="eastAsia" w:ascii="宋体" w:hAnsi="宋体" w:eastAsia="宋体" w:cs="宋体"/>
                <w:sz w:val="22"/>
                <w:highlight w:val="none"/>
              </w:rPr>
            </w:pPr>
          </w:p>
        </w:tc>
        <w:tc>
          <w:tcPr>
            <w:tcW w:w="1115" w:type="dxa"/>
            <w:vAlign w:val="center"/>
          </w:tcPr>
          <w:p w14:paraId="21BCF0EB">
            <w:pPr>
              <w:jc w:val="center"/>
              <w:rPr>
                <w:rFonts w:hint="eastAsia" w:ascii="宋体" w:hAnsi="宋体" w:eastAsia="宋体" w:cs="宋体"/>
                <w:sz w:val="22"/>
                <w:highlight w:val="none"/>
              </w:rPr>
            </w:pPr>
          </w:p>
        </w:tc>
        <w:tc>
          <w:tcPr>
            <w:tcW w:w="2634" w:type="dxa"/>
            <w:vAlign w:val="center"/>
          </w:tcPr>
          <w:p w14:paraId="0E2CBD35">
            <w:pPr>
              <w:jc w:val="center"/>
              <w:rPr>
                <w:rFonts w:hint="eastAsia" w:ascii="宋体" w:hAnsi="宋体" w:eastAsia="宋体" w:cs="宋体"/>
                <w:sz w:val="22"/>
                <w:highlight w:val="none"/>
              </w:rPr>
            </w:pPr>
          </w:p>
        </w:tc>
        <w:tc>
          <w:tcPr>
            <w:tcW w:w="1196" w:type="dxa"/>
            <w:vAlign w:val="center"/>
          </w:tcPr>
          <w:p w14:paraId="1EB5E33F">
            <w:pPr>
              <w:jc w:val="center"/>
              <w:rPr>
                <w:rFonts w:hint="eastAsia" w:ascii="宋体" w:hAnsi="宋体" w:eastAsia="宋体" w:cs="宋体"/>
                <w:sz w:val="22"/>
                <w:highlight w:val="none"/>
              </w:rPr>
            </w:pPr>
          </w:p>
        </w:tc>
        <w:tc>
          <w:tcPr>
            <w:tcW w:w="2337" w:type="dxa"/>
            <w:gridSpan w:val="2"/>
            <w:vAlign w:val="center"/>
          </w:tcPr>
          <w:p w14:paraId="5AC3388C">
            <w:pPr>
              <w:jc w:val="center"/>
              <w:rPr>
                <w:rFonts w:hint="eastAsia" w:ascii="宋体" w:hAnsi="宋体" w:eastAsia="宋体" w:cs="宋体"/>
                <w:sz w:val="22"/>
                <w:highlight w:val="none"/>
              </w:rPr>
            </w:pPr>
          </w:p>
        </w:tc>
        <w:tc>
          <w:tcPr>
            <w:tcW w:w="1147" w:type="dxa"/>
            <w:vAlign w:val="center"/>
          </w:tcPr>
          <w:p w14:paraId="21FBFF76">
            <w:pPr>
              <w:jc w:val="center"/>
              <w:rPr>
                <w:rFonts w:hint="eastAsia" w:ascii="宋体" w:hAnsi="宋体" w:eastAsia="宋体" w:cs="宋体"/>
                <w:sz w:val="22"/>
                <w:highlight w:val="none"/>
              </w:rPr>
            </w:pPr>
          </w:p>
        </w:tc>
      </w:tr>
      <w:tr w14:paraId="03FC8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14:paraId="0C7FE59A">
            <w:pPr>
              <w:jc w:val="center"/>
              <w:rPr>
                <w:rFonts w:hint="eastAsia" w:ascii="宋体" w:hAnsi="宋体" w:eastAsia="宋体" w:cs="宋体"/>
                <w:sz w:val="22"/>
                <w:highlight w:val="none"/>
              </w:rPr>
            </w:pPr>
          </w:p>
        </w:tc>
        <w:tc>
          <w:tcPr>
            <w:tcW w:w="1115" w:type="dxa"/>
            <w:vAlign w:val="center"/>
          </w:tcPr>
          <w:p w14:paraId="61A6413A">
            <w:pPr>
              <w:jc w:val="center"/>
              <w:rPr>
                <w:rFonts w:hint="eastAsia" w:ascii="宋体" w:hAnsi="宋体" w:eastAsia="宋体" w:cs="宋体"/>
                <w:sz w:val="22"/>
                <w:highlight w:val="none"/>
              </w:rPr>
            </w:pPr>
          </w:p>
        </w:tc>
        <w:tc>
          <w:tcPr>
            <w:tcW w:w="2634" w:type="dxa"/>
            <w:vAlign w:val="center"/>
          </w:tcPr>
          <w:p w14:paraId="596C2F13">
            <w:pPr>
              <w:jc w:val="center"/>
              <w:rPr>
                <w:rFonts w:hint="eastAsia" w:ascii="宋体" w:hAnsi="宋体" w:eastAsia="宋体" w:cs="宋体"/>
                <w:sz w:val="22"/>
                <w:highlight w:val="none"/>
              </w:rPr>
            </w:pPr>
          </w:p>
        </w:tc>
        <w:tc>
          <w:tcPr>
            <w:tcW w:w="1196" w:type="dxa"/>
            <w:vAlign w:val="center"/>
          </w:tcPr>
          <w:p w14:paraId="1627622B">
            <w:pPr>
              <w:jc w:val="center"/>
              <w:rPr>
                <w:rFonts w:hint="eastAsia" w:ascii="宋体" w:hAnsi="宋体" w:eastAsia="宋体" w:cs="宋体"/>
                <w:sz w:val="22"/>
                <w:highlight w:val="none"/>
              </w:rPr>
            </w:pPr>
          </w:p>
        </w:tc>
        <w:tc>
          <w:tcPr>
            <w:tcW w:w="2337" w:type="dxa"/>
            <w:gridSpan w:val="2"/>
            <w:vAlign w:val="center"/>
          </w:tcPr>
          <w:p w14:paraId="5EC4AED8">
            <w:pPr>
              <w:jc w:val="center"/>
              <w:rPr>
                <w:rFonts w:hint="eastAsia" w:ascii="宋体" w:hAnsi="宋体" w:eastAsia="宋体" w:cs="宋体"/>
                <w:sz w:val="22"/>
                <w:highlight w:val="none"/>
              </w:rPr>
            </w:pPr>
          </w:p>
        </w:tc>
        <w:tc>
          <w:tcPr>
            <w:tcW w:w="1147" w:type="dxa"/>
            <w:vAlign w:val="center"/>
          </w:tcPr>
          <w:p w14:paraId="37E52223">
            <w:pPr>
              <w:jc w:val="center"/>
              <w:rPr>
                <w:rFonts w:hint="eastAsia" w:ascii="宋体" w:hAnsi="宋体" w:eastAsia="宋体" w:cs="宋体"/>
                <w:sz w:val="22"/>
                <w:highlight w:val="none"/>
              </w:rPr>
            </w:pPr>
          </w:p>
        </w:tc>
      </w:tr>
    </w:tbl>
    <w:p w14:paraId="0A5834AF">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14:paraId="54EB62E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14:paraId="35D347D1">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3、▲不提供“技术规格、商务条款偏离表”的投标文件将被视为未实质性响应采购文件。</w:t>
      </w:r>
    </w:p>
    <w:p w14:paraId="19EC6B51">
      <w:pPr>
        <w:spacing w:line="380" w:lineRule="exact"/>
        <w:ind w:firstLine="4417" w:firstLineChars="2000"/>
        <w:rPr>
          <w:rFonts w:hint="eastAsia" w:ascii="宋体" w:hAnsi="宋体" w:eastAsia="宋体" w:cs="宋体"/>
          <w:b/>
          <w:sz w:val="22"/>
          <w:highlight w:val="none"/>
        </w:rPr>
      </w:pPr>
    </w:p>
    <w:p w14:paraId="1054D851">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021A36BA">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753CE54F">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5995C6F2">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14:paraId="0812A5C6">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14:paraId="622E52D0">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14:paraId="56EFFB3C">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14:paraId="0B2003AC">
      <w:pPr>
        <w:spacing w:line="420" w:lineRule="exact"/>
        <w:rPr>
          <w:rFonts w:hint="eastAsia" w:ascii="宋体" w:hAnsi="宋体" w:eastAsia="宋体" w:cs="宋体"/>
          <w:sz w:val="22"/>
          <w:highlight w:val="none"/>
          <w:lang w:eastAsia="zh-CN"/>
        </w:rPr>
      </w:pPr>
    </w:p>
    <w:p w14:paraId="36ADA89C">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14:paraId="19110DBC">
      <w:pPr>
        <w:spacing w:line="460" w:lineRule="exact"/>
        <w:rPr>
          <w:rFonts w:hint="eastAsia" w:ascii="宋体" w:hAnsi="宋体" w:eastAsia="宋体" w:cs="宋体"/>
          <w:sz w:val="22"/>
          <w:highlight w:val="none"/>
        </w:rPr>
      </w:pPr>
    </w:p>
    <w:p w14:paraId="7C94DC90">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14:paraId="21C8D5E4">
      <w:pPr>
        <w:spacing w:line="460" w:lineRule="exact"/>
        <w:ind w:firstLine="2955"/>
        <w:rPr>
          <w:rFonts w:hint="eastAsia" w:ascii="宋体" w:hAnsi="宋体" w:eastAsia="宋体" w:cs="宋体"/>
          <w:sz w:val="22"/>
          <w:highlight w:val="none"/>
        </w:rPr>
      </w:pPr>
    </w:p>
    <w:p w14:paraId="6E719DEF">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14:paraId="180B22EA">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14:paraId="7A05FFDC">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14:paraId="46364755">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14:paraId="1E59D7CF">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14:paraId="2A266C66">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14:paraId="02D60CF2">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14:paraId="0AADF087">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14:paraId="064E73EE">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14:paraId="5FDD01A1">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14:paraId="4B99268E">
      <w:pPr>
        <w:spacing w:line="460" w:lineRule="exact"/>
        <w:rPr>
          <w:rFonts w:hint="eastAsia" w:ascii="宋体" w:hAnsi="宋体" w:eastAsia="宋体" w:cs="宋体"/>
          <w:bCs/>
          <w:sz w:val="22"/>
          <w:highlight w:val="none"/>
        </w:rPr>
      </w:pPr>
    </w:p>
    <w:tbl>
      <w:tblPr>
        <w:tblStyle w:val="25"/>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0C96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14:paraId="003F1BA9">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14:paraId="19C9D128">
            <w:pPr>
              <w:spacing w:line="380" w:lineRule="exact"/>
              <w:jc w:val="center"/>
              <w:rPr>
                <w:rFonts w:hint="eastAsia" w:ascii="宋体" w:hAnsi="宋体" w:eastAsia="宋体" w:cs="宋体"/>
                <w:bCs/>
                <w:sz w:val="28"/>
                <w:szCs w:val="24"/>
                <w:highlight w:val="none"/>
              </w:rPr>
            </w:pPr>
          </w:p>
        </w:tc>
      </w:tr>
    </w:tbl>
    <w:p w14:paraId="097270D5">
      <w:pPr>
        <w:spacing w:line="400" w:lineRule="exact"/>
        <w:ind w:firstLine="140" w:firstLineChars="64"/>
        <w:rPr>
          <w:rFonts w:hint="eastAsia" w:ascii="宋体" w:hAnsi="宋体" w:eastAsia="宋体" w:cs="宋体"/>
          <w:sz w:val="22"/>
          <w:szCs w:val="24"/>
          <w:highlight w:val="none"/>
        </w:rPr>
      </w:pPr>
    </w:p>
    <w:p w14:paraId="584B4FB7">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14:paraId="275657DD">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14:paraId="6F6C5AA7">
      <w:pPr>
        <w:widowControl/>
        <w:spacing w:line="360" w:lineRule="auto"/>
        <w:rPr>
          <w:rFonts w:hint="eastAsia" w:ascii="宋体" w:hAnsi="宋体" w:eastAsia="宋体" w:cs="宋体"/>
          <w:sz w:val="24"/>
          <w:szCs w:val="24"/>
          <w:highlight w:val="none"/>
          <w:u w:val="single"/>
        </w:rPr>
      </w:pPr>
    </w:p>
    <w:p w14:paraId="23377977">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温州市高速公路资产经营有限公司</w:t>
      </w:r>
      <w:r>
        <w:rPr>
          <w:rFonts w:hint="eastAsia" w:ascii="宋体" w:hAnsi="宋体" w:eastAsia="宋体" w:cs="宋体"/>
          <w:sz w:val="22"/>
          <w:highlight w:val="none"/>
        </w:rPr>
        <w:t>：</w:t>
      </w:r>
    </w:p>
    <w:p w14:paraId="1AFCA61F">
      <w:pPr>
        <w:widowControl/>
        <w:spacing w:line="360" w:lineRule="auto"/>
        <w:ind w:left="420" w:firstLine="473"/>
        <w:jc w:val="left"/>
        <w:rPr>
          <w:rFonts w:hint="eastAsia" w:ascii="宋体" w:hAnsi="宋体" w:eastAsia="宋体" w:cs="宋体"/>
          <w:kern w:val="0"/>
          <w:sz w:val="24"/>
          <w:szCs w:val="24"/>
          <w:highlight w:val="none"/>
        </w:rPr>
      </w:pPr>
    </w:p>
    <w:p w14:paraId="397F8409">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14:paraId="1016AC11">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05AB2792">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14:paraId="46080904">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。为你单位组织的采购编号为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14:paraId="5CD18500">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14:paraId="7619DE81">
      <w:pPr>
        <w:widowControl/>
        <w:spacing w:line="360" w:lineRule="auto"/>
        <w:ind w:left="-540" w:firstLine="540"/>
        <w:jc w:val="center"/>
        <w:rPr>
          <w:rFonts w:hint="eastAsia" w:ascii="宋体" w:hAnsi="宋体" w:eastAsia="宋体" w:cs="宋体"/>
          <w:b/>
          <w:bCs/>
          <w:kern w:val="0"/>
          <w:sz w:val="24"/>
          <w:szCs w:val="24"/>
          <w:highlight w:val="none"/>
        </w:rPr>
      </w:pPr>
    </w:p>
    <w:p w14:paraId="260B1934">
      <w:pPr>
        <w:widowControl/>
        <w:spacing w:line="360" w:lineRule="auto"/>
        <w:ind w:left="-540" w:firstLine="540"/>
        <w:jc w:val="center"/>
        <w:rPr>
          <w:rFonts w:hint="eastAsia" w:ascii="宋体" w:hAnsi="宋体" w:eastAsia="宋体" w:cs="宋体"/>
          <w:b/>
          <w:bCs/>
          <w:kern w:val="0"/>
          <w:sz w:val="24"/>
          <w:szCs w:val="24"/>
          <w:highlight w:val="none"/>
        </w:rPr>
      </w:pPr>
    </w:p>
    <w:p w14:paraId="3CCAC262">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14:paraId="7351F137">
      <w:pPr>
        <w:widowControl/>
        <w:spacing w:line="480" w:lineRule="auto"/>
        <w:ind w:left="420" w:firstLine="473"/>
        <w:jc w:val="left"/>
        <w:rPr>
          <w:rFonts w:hint="eastAsia" w:ascii="宋体" w:hAnsi="宋体" w:eastAsia="宋体" w:cs="宋体"/>
          <w:kern w:val="0"/>
          <w:sz w:val="24"/>
          <w:szCs w:val="24"/>
          <w:highlight w:val="none"/>
        </w:rPr>
      </w:pPr>
    </w:p>
    <w:p w14:paraId="11F84714">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3C7C6BE5">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14:paraId="7E4BC1D6">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14:paraId="64101430">
      <w:pPr>
        <w:widowControl/>
        <w:rPr>
          <w:rFonts w:hint="eastAsia" w:ascii="宋体" w:hAnsi="宋体" w:eastAsia="宋体" w:cs="宋体"/>
          <w:kern w:val="0"/>
          <w:szCs w:val="21"/>
          <w:highlight w:val="none"/>
        </w:rPr>
      </w:pPr>
    </w:p>
    <w:p w14:paraId="4C0E7690">
      <w:pPr>
        <w:widowControl/>
        <w:rPr>
          <w:rFonts w:hint="eastAsia" w:ascii="宋体" w:hAnsi="宋体" w:eastAsia="宋体" w:cs="宋体"/>
          <w:kern w:val="0"/>
          <w:szCs w:val="21"/>
          <w:highlight w:val="none"/>
        </w:rPr>
      </w:pPr>
    </w:p>
    <w:p w14:paraId="3F0242F0">
      <w:pPr>
        <w:widowControl/>
        <w:spacing w:line="480" w:lineRule="atLeast"/>
        <w:jc w:val="center"/>
        <w:rPr>
          <w:rFonts w:hint="eastAsia" w:ascii="宋体" w:hAnsi="宋体" w:eastAsia="宋体" w:cs="宋体"/>
          <w:b/>
          <w:bCs/>
          <w:kern w:val="0"/>
          <w:sz w:val="24"/>
          <w:szCs w:val="24"/>
          <w:highlight w:val="none"/>
        </w:rPr>
      </w:pPr>
    </w:p>
    <w:p w14:paraId="738BCEB3">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14:paraId="185E518F">
      <w:pPr>
        <w:spacing w:line="460" w:lineRule="exact"/>
        <w:jc w:val="center"/>
        <w:rPr>
          <w:rFonts w:hint="eastAsia" w:ascii="宋体" w:hAnsi="宋体" w:eastAsia="宋体" w:cs="宋体"/>
          <w:b/>
          <w:bCs/>
          <w:kern w:val="0"/>
          <w:sz w:val="24"/>
          <w:szCs w:val="24"/>
          <w:highlight w:val="none"/>
        </w:rPr>
      </w:pPr>
    </w:p>
    <w:p w14:paraId="1B8785F0">
      <w:pPr>
        <w:spacing w:line="460" w:lineRule="exact"/>
        <w:jc w:val="center"/>
        <w:rPr>
          <w:rFonts w:hint="eastAsia" w:ascii="宋体" w:hAnsi="宋体" w:eastAsia="宋体" w:cs="宋体"/>
          <w:b/>
          <w:bCs/>
          <w:kern w:val="0"/>
          <w:sz w:val="24"/>
          <w:szCs w:val="24"/>
          <w:highlight w:val="none"/>
        </w:rPr>
      </w:pPr>
    </w:p>
    <w:p w14:paraId="4A4D5368">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（2）投标供应商企业法人有效营业执照（或法人登记证书）复印件加盖单位公章</w:t>
      </w:r>
    </w:p>
    <w:p w14:paraId="79233C53">
      <w:pPr>
        <w:rPr>
          <w:rFonts w:hint="eastAsia" w:ascii="宋体" w:hAnsi="宋体" w:eastAsia="宋体" w:cs="宋体"/>
          <w:b/>
          <w:bCs/>
          <w:sz w:val="24"/>
          <w:szCs w:val="24"/>
          <w:highlight w:val="none"/>
        </w:rPr>
      </w:pPr>
    </w:p>
    <w:p w14:paraId="1C7A422C">
      <w:pPr>
        <w:snapToGrid w:val="0"/>
        <w:spacing w:before="50" w:after="120" w:afterLines="50"/>
        <w:jc w:val="left"/>
        <w:rPr>
          <w:rFonts w:hint="eastAsia" w:ascii="宋体" w:hAnsi="宋体" w:eastAsia="宋体" w:cs="宋体"/>
          <w:b/>
          <w:sz w:val="24"/>
          <w:szCs w:val="24"/>
          <w:highlight w:val="none"/>
        </w:rPr>
      </w:pPr>
    </w:p>
    <w:p w14:paraId="05FCCE6F">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14:paraId="531DAA26">
      <w:pPr>
        <w:snapToGrid w:val="0"/>
        <w:spacing w:before="120" w:beforeLines="50" w:after="50"/>
        <w:jc w:val="center"/>
        <w:rPr>
          <w:rFonts w:hint="eastAsia" w:ascii="宋体" w:hAnsi="宋体" w:eastAsia="宋体" w:cs="宋体"/>
          <w:b/>
          <w:sz w:val="30"/>
          <w:szCs w:val="24"/>
          <w:highlight w:val="none"/>
        </w:rPr>
      </w:pPr>
    </w:p>
    <w:p w14:paraId="4EABD62A">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14:paraId="5702C94D">
      <w:pPr>
        <w:snapToGrid w:val="0"/>
        <w:spacing w:before="120" w:beforeLines="50" w:after="50"/>
        <w:rPr>
          <w:rFonts w:hint="eastAsia" w:ascii="宋体" w:hAnsi="宋体" w:eastAsia="宋体" w:cs="宋体"/>
          <w:sz w:val="22"/>
          <w:highlight w:val="none"/>
        </w:rPr>
      </w:pPr>
    </w:p>
    <w:p w14:paraId="77953D67">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致：温州市高速公路资产经营有限公司：</w:t>
      </w:r>
    </w:p>
    <w:p w14:paraId="7E866F1C">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31EB4F8D">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14:paraId="0BB8480A">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14:paraId="60AE8E97">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14:paraId="124CE693">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14:paraId="7213462F">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14:paraId="70CCF5B2">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14:paraId="7B32A3D0">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7F56E390">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6D70D539">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14:paraId="3252FFC9">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14:paraId="060B5BEB">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2A998301">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14:paraId="441C5421">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14:paraId="2B5E84EF">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14:paraId="2D493D0D">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14:paraId="4BCC4F37">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10.我方承诺具有履行合同所必需的所必需的场地、设备</w:t>
      </w:r>
      <w:r>
        <w:rPr>
          <w:rFonts w:hint="eastAsia" w:ascii="宋体" w:hAnsi="宋体" w:eastAsia="宋体" w:cs="宋体"/>
          <w:sz w:val="22"/>
          <w:highlight w:val="none"/>
          <w:lang w:eastAsia="zh-CN"/>
        </w:rPr>
        <w:t>、</w:t>
      </w:r>
      <w:r>
        <w:rPr>
          <w:rFonts w:hint="eastAsia" w:ascii="宋体" w:hAnsi="宋体" w:eastAsia="宋体" w:cs="宋体"/>
          <w:sz w:val="22"/>
          <w:highlight w:val="none"/>
        </w:rPr>
        <w:t>专业技术</w:t>
      </w:r>
      <w:r>
        <w:rPr>
          <w:rFonts w:hint="eastAsia" w:ascii="宋体" w:hAnsi="宋体" w:eastAsia="宋体" w:cs="宋体"/>
          <w:sz w:val="22"/>
          <w:highlight w:val="none"/>
          <w:lang w:val="en-US" w:eastAsia="zh-CN"/>
        </w:rPr>
        <w:t>和</w:t>
      </w:r>
      <w:r>
        <w:rPr>
          <w:rFonts w:hint="eastAsia" w:ascii="宋体" w:hAnsi="宋体" w:eastAsia="宋体" w:cs="宋体"/>
          <w:sz w:val="22"/>
          <w:highlight w:val="none"/>
        </w:rPr>
        <w:t>售后保障等能力。如有虚假，采购人可取消我方任何资格（投标/中标/签订合同），我方对此无任何异议。</w:t>
      </w:r>
    </w:p>
    <w:p w14:paraId="22366C9C">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14:paraId="6B1D2322">
      <w:pPr>
        <w:snapToGrid w:val="0"/>
        <w:spacing w:before="120" w:beforeLines="50"/>
        <w:ind w:firstLine="200"/>
        <w:rPr>
          <w:rFonts w:hint="eastAsia" w:ascii="宋体" w:hAnsi="宋体" w:eastAsia="宋体" w:cs="宋体"/>
          <w:sz w:val="18"/>
          <w:szCs w:val="18"/>
          <w:highlight w:val="none"/>
        </w:rPr>
      </w:pPr>
    </w:p>
    <w:p w14:paraId="163BF65D">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14:paraId="36A9BF94">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14:paraId="36F1D120">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14:paraId="4BC81B0A">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05DBB3C4">
      <w:pPr>
        <w:pStyle w:val="24"/>
        <w:ind w:left="0" w:firstLine="0" w:firstLineChars="0"/>
        <w:rPr>
          <w:rFonts w:hint="eastAsia" w:ascii="宋体" w:hAnsi="宋体" w:eastAsia="宋体" w:cs="宋体"/>
          <w:sz w:val="22"/>
          <w:highlight w:val="none"/>
        </w:rPr>
      </w:pPr>
      <w:r>
        <w:rPr>
          <w:rFonts w:hint="eastAsia" w:ascii="宋体" w:hAnsi="宋体" w:eastAsia="宋体" w:cs="宋体"/>
          <w:sz w:val="22"/>
          <w:highlight w:val="none"/>
        </w:rPr>
        <w:t>附件五</w:t>
      </w:r>
    </w:p>
    <w:p w14:paraId="53C11113">
      <w:pPr>
        <w:pStyle w:val="2"/>
        <w:ind w:firstLine="0" w:firstLineChars="0"/>
        <w:rPr>
          <w:rFonts w:hint="eastAsia" w:ascii="宋体" w:hAnsi="宋体" w:eastAsia="宋体" w:cs="宋体"/>
          <w:b/>
          <w:bCs/>
          <w:sz w:val="28"/>
          <w:szCs w:val="28"/>
          <w:highlight w:val="none"/>
        </w:rPr>
      </w:pPr>
    </w:p>
    <w:p w14:paraId="2A76BAB0">
      <w:pPr>
        <w:spacing w:line="400" w:lineRule="exact"/>
        <w:jc w:val="center"/>
        <w:rPr>
          <w:rFonts w:hint="eastAsia" w:ascii="宋体" w:hAnsi="宋体" w:eastAsia="宋体" w:cs="宋体"/>
          <w:b/>
          <w:color w:val="auto"/>
          <w:sz w:val="24"/>
          <w:highlight w:val="none"/>
          <w:lang w:val="en-US" w:eastAsia="zh-CN"/>
        </w:rPr>
      </w:pPr>
      <w:bookmarkStart w:id="192" w:name="_Toc480556784"/>
      <w:r>
        <w:rPr>
          <w:rFonts w:hint="eastAsia" w:ascii="宋体" w:hAnsi="宋体" w:eastAsia="宋体" w:cs="宋体"/>
          <w:b/>
          <w:color w:val="auto"/>
          <w:sz w:val="24"/>
          <w:highlight w:val="none"/>
          <w:lang w:val="en-US" w:eastAsia="zh-CN"/>
        </w:rPr>
        <w:t>供应商简介</w:t>
      </w:r>
    </w:p>
    <w:p w14:paraId="1FD846FF">
      <w:pPr>
        <w:pStyle w:val="3"/>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14:paraId="654FE926">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14:paraId="19506C8A">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14:paraId="2BC26EFC">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14:paraId="6F71D2DF">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14:paraId="262292F2">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14:paraId="068BCFE9">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C4830D1">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14:paraId="29BE092C">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14:paraId="6997316E">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14:paraId="34B79BD8">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14:paraId="2A17E75D">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14:paraId="5908503E">
      <w:pPr>
        <w:spacing w:line="400" w:lineRule="exact"/>
        <w:rPr>
          <w:rFonts w:hint="eastAsia" w:ascii="宋体" w:hAnsi="宋体" w:eastAsia="宋体" w:cs="宋体"/>
          <w:color w:val="auto"/>
          <w:sz w:val="22"/>
          <w:highlight w:val="none"/>
        </w:rPr>
      </w:pPr>
    </w:p>
    <w:p w14:paraId="197E9000">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14:paraId="0452FC64">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14:paraId="0159DB7F">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14:paraId="353E77EC">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14:paraId="2581FB7C">
      <w:pPr>
        <w:spacing w:line="360" w:lineRule="exact"/>
        <w:ind w:left="663" w:hanging="663" w:hangingChars="300"/>
        <w:jc w:val="left"/>
        <w:rPr>
          <w:rFonts w:hint="eastAsia" w:ascii="宋体" w:hAnsi="宋体" w:eastAsia="宋体" w:cs="宋体"/>
          <w:b/>
          <w:color w:val="auto"/>
          <w:sz w:val="22"/>
          <w:highlight w:val="none"/>
        </w:rPr>
      </w:pPr>
    </w:p>
    <w:p w14:paraId="45DF43CD">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14:paraId="3A821226">
      <w:pPr>
        <w:spacing w:line="400" w:lineRule="exact"/>
        <w:rPr>
          <w:rFonts w:hint="eastAsia" w:ascii="宋体" w:hAnsi="宋体" w:eastAsia="宋体" w:cs="宋体"/>
          <w:color w:val="auto"/>
          <w:sz w:val="22"/>
          <w:highlight w:val="none"/>
        </w:rPr>
      </w:pPr>
    </w:p>
    <w:p w14:paraId="5AD28FE4">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14:paraId="1888DCC9">
      <w:pPr>
        <w:spacing w:line="400" w:lineRule="exact"/>
        <w:rPr>
          <w:rFonts w:hint="eastAsia" w:ascii="宋体" w:hAnsi="宋体" w:eastAsia="宋体" w:cs="宋体"/>
          <w:color w:val="auto"/>
          <w:sz w:val="22"/>
          <w:highlight w:val="none"/>
        </w:rPr>
      </w:pPr>
    </w:p>
    <w:bookmarkEnd w:id="192"/>
    <w:p w14:paraId="1651A7F8">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314F30B3">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1160F099">
      <w:pPr>
        <w:spacing w:line="360" w:lineRule="auto"/>
        <w:rPr>
          <w:rFonts w:hint="eastAsia" w:ascii="宋体" w:hAnsi="宋体" w:eastAsia="宋体" w:cs="宋体"/>
          <w:sz w:val="22"/>
          <w:highlight w:val="none"/>
          <w:lang w:val="en-US" w:eastAsia="zh-CN"/>
        </w:rPr>
      </w:pPr>
      <w:r>
        <w:rPr>
          <w:rFonts w:hint="eastAsia" w:ascii="宋体" w:hAnsi="宋体" w:eastAsia="宋体" w:cs="宋体"/>
          <w:sz w:val="22"/>
          <w:highlight w:val="none"/>
        </w:rPr>
        <w:t>日  期：</w:t>
      </w:r>
      <w:r>
        <w:rPr>
          <w:rFonts w:hint="eastAsia" w:ascii="宋体" w:hAnsi="宋体" w:eastAsia="宋体" w:cs="宋体"/>
          <w:sz w:val="22"/>
          <w:highlight w:val="none"/>
          <w:lang w:val="en-US" w:eastAsia="zh-CN"/>
        </w:rPr>
        <w:t xml:space="preserve"> </w:t>
      </w:r>
    </w:p>
    <w:p w14:paraId="2244DBFA">
      <w:pPr>
        <w:rPr>
          <w:rFonts w:hint="eastAsia" w:ascii="宋体" w:hAnsi="宋体" w:eastAsia="宋体" w:cs="宋体"/>
          <w:sz w:val="22"/>
          <w:highlight w:val="none"/>
        </w:rPr>
      </w:pPr>
      <w:r>
        <w:rPr>
          <w:rFonts w:hint="eastAsia" w:ascii="宋体" w:hAnsi="宋体" w:eastAsia="宋体" w:cs="宋体"/>
          <w:sz w:val="22"/>
          <w:highlight w:val="none"/>
        </w:rPr>
        <w:br w:type="page"/>
      </w:r>
    </w:p>
    <w:p w14:paraId="4BE1DC38">
      <w:pPr>
        <w:pStyle w:val="5"/>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14:paraId="23DB1F6D">
      <w:pPr>
        <w:spacing w:before="120" w:beforeLines="50" w:after="120" w:afterLines="50"/>
        <w:ind w:right="-10"/>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拟投入设备、工具、耗材一览表</w:t>
      </w:r>
    </w:p>
    <w:p w14:paraId="06432A39">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231"/>
        <w:gridCol w:w="1214"/>
        <w:gridCol w:w="1500"/>
        <w:gridCol w:w="1170"/>
        <w:gridCol w:w="755"/>
      </w:tblGrid>
      <w:tr w14:paraId="4E757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809" w:type="dxa"/>
            <w:noWrap w:val="0"/>
            <w:vAlign w:val="center"/>
          </w:tcPr>
          <w:p w14:paraId="2E088564">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装备、工具、名称</w:t>
            </w:r>
          </w:p>
        </w:tc>
        <w:tc>
          <w:tcPr>
            <w:tcW w:w="1134" w:type="dxa"/>
            <w:noWrap w:val="0"/>
            <w:vAlign w:val="center"/>
          </w:tcPr>
          <w:p w14:paraId="46EA46BB">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规格型号</w:t>
            </w:r>
          </w:p>
        </w:tc>
        <w:tc>
          <w:tcPr>
            <w:tcW w:w="1231" w:type="dxa"/>
            <w:noWrap w:val="0"/>
            <w:vAlign w:val="center"/>
          </w:tcPr>
          <w:p w14:paraId="78877437">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tc>
        <w:tc>
          <w:tcPr>
            <w:tcW w:w="1214" w:type="dxa"/>
            <w:noWrap w:val="0"/>
            <w:vAlign w:val="center"/>
          </w:tcPr>
          <w:p w14:paraId="7B0FBDB9">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产地</w:t>
            </w:r>
          </w:p>
        </w:tc>
        <w:tc>
          <w:tcPr>
            <w:tcW w:w="1500" w:type="dxa"/>
            <w:noWrap w:val="0"/>
            <w:vAlign w:val="center"/>
          </w:tcPr>
          <w:p w14:paraId="305F178E">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1170" w:type="dxa"/>
            <w:noWrap w:val="0"/>
            <w:vAlign w:val="center"/>
          </w:tcPr>
          <w:p w14:paraId="53E89E25">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包装形式</w:t>
            </w:r>
          </w:p>
        </w:tc>
        <w:tc>
          <w:tcPr>
            <w:tcW w:w="755" w:type="dxa"/>
            <w:noWrap w:val="0"/>
            <w:vAlign w:val="center"/>
          </w:tcPr>
          <w:p w14:paraId="4AA8D3EF">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14:paraId="25DC0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677BEBD0">
            <w:pPr>
              <w:ind w:firstLine="592"/>
              <w:jc w:val="center"/>
              <w:rPr>
                <w:rFonts w:hint="eastAsia" w:ascii="宋体" w:hAnsi="宋体" w:eastAsia="宋体" w:cs="宋体"/>
                <w:color w:val="auto"/>
                <w:sz w:val="18"/>
                <w:szCs w:val="18"/>
                <w:highlight w:val="none"/>
              </w:rPr>
            </w:pPr>
          </w:p>
        </w:tc>
        <w:tc>
          <w:tcPr>
            <w:tcW w:w="1134" w:type="dxa"/>
            <w:noWrap w:val="0"/>
            <w:vAlign w:val="center"/>
          </w:tcPr>
          <w:p w14:paraId="3F6283E9">
            <w:pPr>
              <w:ind w:firstLine="592"/>
              <w:jc w:val="center"/>
              <w:rPr>
                <w:rFonts w:hint="eastAsia" w:ascii="宋体" w:hAnsi="宋体" w:eastAsia="宋体" w:cs="宋体"/>
                <w:color w:val="auto"/>
                <w:sz w:val="18"/>
                <w:szCs w:val="18"/>
                <w:highlight w:val="none"/>
              </w:rPr>
            </w:pPr>
          </w:p>
        </w:tc>
        <w:tc>
          <w:tcPr>
            <w:tcW w:w="1231" w:type="dxa"/>
            <w:noWrap w:val="0"/>
            <w:vAlign w:val="center"/>
          </w:tcPr>
          <w:p w14:paraId="50AEC6C1">
            <w:pPr>
              <w:ind w:firstLine="592"/>
              <w:jc w:val="center"/>
              <w:rPr>
                <w:rFonts w:hint="eastAsia" w:ascii="宋体" w:hAnsi="宋体" w:eastAsia="宋体" w:cs="宋体"/>
                <w:color w:val="auto"/>
                <w:sz w:val="18"/>
                <w:szCs w:val="18"/>
                <w:highlight w:val="none"/>
              </w:rPr>
            </w:pPr>
          </w:p>
        </w:tc>
        <w:tc>
          <w:tcPr>
            <w:tcW w:w="1214" w:type="dxa"/>
            <w:noWrap w:val="0"/>
            <w:vAlign w:val="center"/>
          </w:tcPr>
          <w:p w14:paraId="5EF906DF">
            <w:pPr>
              <w:ind w:firstLine="592"/>
              <w:jc w:val="center"/>
              <w:rPr>
                <w:rFonts w:hint="eastAsia" w:ascii="宋体" w:hAnsi="宋体" w:eastAsia="宋体" w:cs="宋体"/>
                <w:color w:val="auto"/>
                <w:sz w:val="18"/>
                <w:szCs w:val="18"/>
                <w:highlight w:val="none"/>
              </w:rPr>
            </w:pPr>
          </w:p>
        </w:tc>
        <w:tc>
          <w:tcPr>
            <w:tcW w:w="1500" w:type="dxa"/>
            <w:noWrap w:val="0"/>
            <w:vAlign w:val="center"/>
          </w:tcPr>
          <w:p w14:paraId="37AB5C81">
            <w:pPr>
              <w:ind w:firstLine="592"/>
              <w:jc w:val="center"/>
              <w:rPr>
                <w:rFonts w:hint="eastAsia" w:ascii="宋体" w:hAnsi="宋体" w:eastAsia="宋体" w:cs="宋体"/>
                <w:color w:val="auto"/>
                <w:sz w:val="18"/>
                <w:szCs w:val="18"/>
                <w:highlight w:val="none"/>
              </w:rPr>
            </w:pPr>
          </w:p>
        </w:tc>
        <w:tc>
          <w:tcPr>
            <w:tcW w:w="1170" w:type="dxa"/>
            <w:noWrap w:val="0"/>
            <w:vAlign w:val="center"/>
          </w:tcPr>
          <w:p w14:paraId="4A031A19">
            <w:pPr>
              <w:ind w:firstLine="592"/>
              <w:jc w:val="center"/>
              <w:rPr>
                <w:rFonts w:hint="eastAsia" w:ascii="宋体" w:hAnsi="宋体" w:eastAsia="宋体" w:cs="宋体"/>
                <w:color w:val="auto"/>
                <w:sz w:val="18"/>
                <w:szCs w:val="18"/>
                <w:highlight w:val="none"/>
              </w:rPr>
            </w:pPr>
          </w:p>
        </w:tc>
        <w:tc>
          <w:tcPr>
            <w:tcW w:w="755" w:type="dxa"/>
            <w:noWrap w:val="0"/>
            <w:vAlign w:val="center"/>
          </w:tcPr>
          <w:p w14:paraId="11D194A5">
            <w:pPr>
              <w:ind w:firstLine="592"/>
              <w:jc w:val="center"/>
              <w:rPr>
                <w:rFonts w:hint="eastAsia" w:ascii="宋体" w:hAnsi="宋体" w:eastAsia="宋体" w:cs="宋体"/>
                <w:color w:val="auto"/>
                <w:sz w:val="18"/>
                <w:szCs w:val="18"/>
                <w:highlight w:val="none"/>
              </w:rPr>
            </w:pPr>
          </w:p>
        </w:tc>
      </w:tr>
      <w:tr w14:paraId="65AD06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3C0EAD78">
            <w:pPr>
              <w:ind w:firstLine="592"/>
              <w:jc w:val="center"/>
              <w:rPr>
                <w:rFonts w:hint="eastAsia" w:ascii="宋体" w:hAnsi="宋体" w:eastAsia="宋体" w:cs="宋体"/>
                <w:color w:val="auto"/>
                <w:sz w:val="18"/>
                <w:szCs w:val="18"/>
                <w:highlight w:val="none"/>
              </w:rPr>
            </w:pPr>
          </w:p>
        </w:tc>
        <w:tc>
          <w:tcPr>
            <w:tcW w:w="1134" w:type="dxa"/>
            <w:noWrap w:val="0"/>
            <w:vAlign w:val="center"/>
          </w:tcPr>
          <w:p w14:paraId="7624E4BE">
            <w:pPr>
              <w:ind w:firstLine="592"/>
              <w:jc w:val="center"/>
              <w:rPr>
                <w:rFonts w:hint="eastAsia" w:ascii="宋体" w:hAnsi="宋体" w:eastAsia="宋体" w:cs="宋体"/>
                <w:color w:val="auto"/>
                <w:sz w:val="18"/>
                <w:szCs w:val="18"/>
                <w:highlight w:val="none"/>
              </w:rPr>
            </w:pPr>
          </w:p>
        </w:tc>
        <w:tc>
          <w:tcPr>
            <w:tcW w:w="1231" w:type="dxa"/>
            <w:noWrap w:val="0"/>
            <w:vAlign w:val="center"/>
          </w:tcPr>
          <w:p w14:paraId="0CD68A02">
            <w:pPr>
              <w:ind w:firstLine="592"/>
              <w:jc w:val="center"/>
              <w:rPr>
                <w:rFonts w:hint="eastAsia" w:ascii="宋体" w:hAnsi="宋体" w:eastAsia="宋体" w:cs="宋体"/>
                <w:color w:val="auto"/>
                <w:sz w:val="18"/>
                <w:szCs w:val="18"/>
                <w:highlight w:val="none"/>
              </w:rPr>
            </w:pPr>
          </w:p>
        </w:tc>
        <w:tc>
          <w:tcPr>
            <w:tcW w:w="1214" w:type="dxa"/>
            <w:noWrap w:val="0"/>
            <w:vAlign w:val="center"/>
          </w:tcPr>
          <w:p w14:paraId="7A03FC4C">
            <w:pPr>
              <w:ind w:firstLine="592"/>
              <w:jc w:val="center"/>
              <w:rPr>
                <w:rFonts w:hint="eastAsia" w:ascii="宋体" w:hAnsi="宋体" w:eastAsia="宋体" w:cs="宋体"/>
                <w:color w:val="auto"/>
                <w:sz w:val="18"/>
                <w:szCs w:val="18"/>
                <w:highlight w:val="none"/>
              </w:rPr>
            </w:pPr>
          </w:p>
        </w:tc>
        <w:tc>
          <w:tcPr>
            <w:tcW w:w="1500" w:type="dxa"/>
            <w:noWrap w:val="0"/>
            <w:vAlign w:val="center"/>
          </w:tcPr>
          <w:p w14:paraId="75A850B6">
            <w:pPr>
              <w:ind w:firstLine="592"/>
              <w:jc w:val="center"/>
              <w:rPr>
                <w:rFonts w:hint="eastAsia" w:ascii="宋体" w:hAnsi="宋体" w:eastAsia="宋体" w:cs="宋体"/>
                <w:color w:val="auto"/>
                <w:sz w:val="18"/>
                <w:szCs w:val="18"/>
                <w:highlight w:val="none"/>
              </w:rPr>
            </w:pPr>
          </w:p>
        </w:tc>
        <w:tc>
          <w:tcPr>
            <w:tcW w:w="1170" w:type="dxa"/>
            <w:noWrap w:val="0"/>
            <w:vAlign w:val="center"/>
          </w:tcPr>
          <w:p w14:paraId="20D2DE8A">
            <w:pPr>
              <w:ind w:firstLine="592"/>
              <w:jc w:val="center"/>
              <w:rPr>
                <w:rFonts w:hint="eastAsia" w:ascii="宋体" w:hAnsi="宋体" w:eastAsia="宋体" w:cs="宋体"/>
                <w:color w:val="auto"/>
                <w:sz w:val="18"/>
                <w:szCs w:val="18"/>
                <w:highlight w:val="none"/>
              </w:rPr>
            </w:pPr>
          </w:p>
        </w:tc>
        <w:tc>
          <w:tcPr>
            <w:tcW w:w="755" w:type="dxa"/>
            <w:noWrap w:val="0"/>
            <w:vAlign w:val="center"/>
          </w:tcPr>
          <w:p w14:paraId="716AD1EA">
            <w:pPr>
              <w:ind w:firstLine="592"/>
              <w:jc w:val="center"/>
              <w:rPr>
                <w:rFonts w:hint="eastAsia" w:ascii="宋体" w:hAnsi="宋体" w:eastAsia="宋体" w:cs="宋体"/>
                <w:color w:val="auto"/>
                <w:sz w:val="18"/>
                <w:szCs w:val="18"/>
                <w:highlight w:val="none"/>
              </w:rPr>
            </w:pPr>
          </w:p>
        </w:tc>
      </w:tr>
      <w:tr w14:paraId="366F8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06579AAC">
            <w:pPr>
              <w:ind w:firstLine="592"/>
              <w:jc w:val="center"/>
              <w:rPr>
                <w:rFonts w:hint="eastAsia" w:ascii="宋体" w:hAnsi="宋体" w:eastAsia="宋体" w:cs="宋体"/>
                <w:color w:val="auto"/>
                <w:sz w:val="18"/>
                <w:szCs w:val="18"/>
                <w:highlight w:val="none"/>
              </w:rPr>
            </w:pPr>
          </w:p>
        </w:tc>
        <w:tc>
          <w:tcPr>
            <w:tcW w:w="1134" w:type="dxa"/>
            <w:noWrap w:val="0"/>
            <w:vAlign w:val="center"/>
          </w:tcPr>
          <w:p w14:paraId="4218331C">
            <w:pPr>
              <w:ind w:firstLine="592"/>
              <w:jc w:val="center"/>
              <w:rPr>
                <w:rFonts w:hint="eastAsia" w:ascii="宋体" w:hAnsi="宋体" w:eastAsia="宋体" w:cs="宋体"/>
                <w:color w:val="auto"/>
                <w:sz w:val="18"/>
                <w:szCs w:val="18"/>
                <w:highlight w:val="none"/>
              </w:rPr>
            </w:pPr>
          </w:p>
        </w:tc>
        <w:tc>
          <w:tcPr>
            <w:tcW w:w="1231" w:type="dxa"/>
            <w:noWrap w:val="0"/>
            <w:vAlign w:val="center"/>
          </w:tcPr>
          <w:p w14:paraId="1376A51B">
            <w:pPr>
              <w:ind w:firstLine="592"/>
              <w:jc w:val="center"/>
              <w:rPr>
                <w:rFonts w:hint="eastAsia" w:ascii="宋体" w:hAnsi="宋体" w:eastAsia="宋体" w:cs="宋体"/>
                <w:color w:val="auto"/>
                <w:sz w:val="18"/>
                <w:szCs w:val="18"/>
                <w:highlight w:val="none"/>
              </w:rPr>
            </w:pPr>
          </w:p>
        </w:tc>
        <w:tc>
          <w:tcPr>
            <w:tcW w:w="1214" w:type="dxa"/>
            <w:noWrap w:val="0"/>
            <w:vAlign w:val="center"/>
          </w:tcPr>
          <w:p w14:paraId="0840E878">
            <w:pPr>
              <w:ind w:firstLine="592"/>
              <w:jc w:val="center"/>
              <w:rPr>
                <w:rFonts w:hint="eastAsia" w:ascii="宋体" w:hAnsi="宋体" w:eastAsia="宋体" w:cs="宋体"/>
                <w:color w:val="auto"/>
                <w:sz w:val="18"/>
                <w:szCs w:val="18"/>
                <w:highlight w:val="none"/>
              </w:rPr>
            </w:pPr>
          </w:p>
        </w:tc>
        <w:tc>
          <w:tcPr>
            <w:tcW w:w="1500" w:type="dxa"/>
            <w:noWrap w:val="0"/>
            <w:vAlign w:val="center"/>
          </w:tcPr>
          <w:p w14:paraId="72B34B51">
            <w:pPr>
              <w:ind w:firstLine="592"/>
              <w:jc w:val="center"/>
              <w:rPr>
                <w:rFonts w:hint="eastAsia" w:ascii="宋体" w:hAnsi="宋体" w:eastAsia="宋体" w:cs="宋体"/>
                <w:color w:val="auto"/>
                <w:sz w:val="18"/>
                <w:szCs w:val="18"/>
                <w:highlight w:val="none"/>
              </w:rPr>
            </w:pPr>
          </w:p>
        </w:tc>
        <w:tc>
          <w:tcPr>
            <w:tcW w:w="1170" w:type="dxa"/>
            <w:noWrap w:val="0"/>
            <w:vAlign w:val="center"/>
          </w:tcPr>
          <w:p w14:paraId="10AEFA22">
            <w:pPr>
              <w:ind w:firstLine="592"/>
              <w:jc w:val="center"/>
              <w:rPr>
                <w:rFonts w:hint="eastAsia" w:ascii="宋体" w:hAnsi="宋体" w:eastAsia="宋体" w:cs="宋体"/>
                <w:color w:val="auto"/>
                <w:sz w:val="18"/>
                <w:szCs w:val="18"/>
                <w:highlight w:val="none"/>
              </w:rPr>
            </w:pPr>
          </w:p>
        </w:tc>
        <w:tc>
          <w:tcPr>
            <w:tcW w:w="755" w:type="dxa"/>
            <w:noWrap w:val="0"/>
            <w:vAlign w:val="center"/>
          </w:tcPr>
          <w:p w14:paraId="495246AD">
            <w:pPr>
              <w:ind w:firstLine="592"/>
              <w:jc w:val="center"/>
              <w:rPr>
                <w:rFonts w:hint="eastAsia" w:ascii="宋体" w:hAnsi="宋体" w:eastAsia="宋体" w:cs="宋体"/>
                <w:color w:val="auto"/>
                <w:sz w:val="18"/>
                <w:szCs w:val="18"/>
                <w:highlight w:val="none"/>
              </w:rPr>
            </w:pPr>
          </w:p>
        </w:tc>
      </w:tr>
      <w:tr w14:paraId="42096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724377AE">
            <w:pPr>
              <w:ind w:firstLine="592"/>
              <w:jc w:val="center"/>
              <w:rPr>
                <w:rFonts w:hint="eastAsia" w:ascii="宋体" w:hAnsi="宋体" w:eastAsia="宋体" w:cs="宋体"/>
                <w:color w:val="auto"/>
                <w:sz w:val="18"/>
                <w:szCs w:val="18"/>
                <w:highlight w:val="none"/>
              </w:rPr>
            </w:pPr>
          </w:p>
        </w:tc>
        <w:tc>
          <w:tcPr>
            <w:tcW w:w="1134" w:type="dxa"/>
            <w:noWrap w:val="0"/>
            <w:vAlign w:val="center"/>
          </w:tcPr>
          <w:p w14:paraId="0ADB6553">
            <w:pPr>
              <w:ind w:firstLine="592"/>
              <w:jc w:val="center"/>
              <w:rPr>
                <w:rFonts w:hint="eastAsia" w:ascii="宋体" w:hAnsi="宋体" w:eastAsia="宋体" w:cs="宋体"/>
                <w:color w:val="auto"/>
                <w:sz w:val="18"/>
                <w:szCs w:val="18"/>
                <w:highlight w:val="none"/>
              </w:rPr>
            </w:pPr>
          </w:p>
        </w:tc>
        <w:tc>
          <w:tcPr>
            <w:tcW w:w="1231" w:type="dxa"/>
            <w:noWrap w:val="0"/>
            <w:vAlign w:val="center"/>
          </w:tcPr>
          <w:p w14:paraId="029E1E9F">
            <w:pPr>
              <w:ind w:firstLine="592"/>
              <w:jc w:val="center"/>
              <w:rPr>
                <w:rFonts w:hint="eastAsia" w:ascii="宋体" w:hAnsi="宋体" w:eastAsia="宋体" w:cs="宋体"/>
                <w:color w:val="auto"/>
                <w:sz w:val="18"/>
                <w:szCs w:val="18"/>
                <w:highlight w:val="none"/>
              </w:rPr>
            </w:pPr>
          </w:p>
        </w:tc>
        <w:tc>
          <w:tcPr>
            <w:tcW w:w="1214" w:type="dxa"/>
            <w:noWrap w:val="0"/>
            <w:vAlign w:val="center"/>
          </w:tcPr>
          <w:p w14:paraId="00FA6D9D">
            <w:pPr>
              <w:ind w:firstLine="592"/>
              <w:jc w:val="center"/>
              <w:rPr>
                <w:rFonts w:hint="eastAsia" w:ascii="宋体" w:hAnsi="宋体" w:eastAsia="宋体" w:cs="宋体"/>
                <w:color w:val="auto"/>
                <w:sz w:val="18"/>
                <w:szCs w:val="18"/>
                <w:highlight w:val="none"/>
              </w:rPr>
            </w:pPr>
          </w:p>
        </w:tc>
        <w:tc>
          <w:tcPr>
            <w:tcW w:w="1500" w:type="dxa"/>
            <w:noWrap w:val="0"/>
            <w:vAlign w:val="center"/>
          </w:tcPr>
          <w:p w14:paraId="3AA9A257">
            <w:pPr>
              <w:ind w:firstLine="592"/>
              <w:jc w:val="center"/>
              <w:rPr>
                <w:rFonts w:hint="eastAsia" w:ascii="宋体" w:hAnsi="宋体" w:eastAsia="宋体" w:cs="宋体"/>
                <w:color w:val="auto"/>
                <w:sz w:val="18"/>
                <w:szCs w:val="18"/>
                <w:highlight w:val="none"/>
              </w:rPr>
            </w:pPr>
          </w:p>
        </w:tc>
        <w:tc>
          <w:tcPr>
            <w:tcW w:w="1170" w:type="dxa"/>
            <w:noWrap w:val="0"/>
            <w:vAlign w:val="center"/>
          </w:tcPr>
          <w:p w14:paraId="498EB8CF">
            <w:pPr>
              <w:ind w:firstLine="592"/>
              <w:jc w:val="center"/>
              <w:rPr>
                <w:rFonts w:hint="eastAsia" w:ascii="宋体" w:hAnsi="宋体" w:eastAsia="宋体" w:cs="宋体"/>
                <w:color w:val="auto"/>
                <w:sz w:val="18"/>
                <w:szCs w:val="18"/>
                <w:highlight w:val="none"/>
              </w:rPr>
            </w:pPr>
          </w:p>
        </w:tc>
        <w:tc>
          <w:tcPr>
            <w:tcW w:w="755" w:type="dxa"/>
            <w:noWrap w:val="0"/>
            <w:vAlign w:val="center"/>
          </w:tcPr>
          <w:p w14:paraId="15E9DB71">
            <w:pPr>
              <w:ind w:firstLine="592"/>
              <w:jc w:val="center"/>
              <w:rPr>
                <w:rFonts w:hint="eastAsia" w:ascii="宋体" w:hAnsi="宋体" w:eastAsia="宋体" w:cs="宋体"/>
                <w:color w:val="auto"/>
                <w:sz w:val="18"/>
                <w:szCs w:val="18"/>
                <w:highlight w:val="none"/>
              </w:rPr>
            </w:pPr>
          </w:p>
        </w:tc>
      </w:tr>
      <w:tr w14:paraId="3DC07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0459D999">
            <w:pPr>
              <w:ind w:firstLine="592"/>
              <w:jc w:val="center"/>
              <w:rPr>
                <w:rFonts w:hint="eastAsia" w:ascii="宋体" w:hAnsi="宋体" w:eastAsia="宋体" w:cs="宋体"/>
                <w:color w:val="auto"/>
                <w:sz w:val="18"/>
                <w:szCs w:val="18"/>
                <w:highlight w:val="none"/>
              </w:rPr>
            </w:pPr>
          </w:p>
        </w:tc>
        <w:tc>
          <w:tcPr>
            <w:tcW w:w="1134" w:type="dxa"/>
            <w:noWrap w:val="0"/>
            <w:vAlign w:val="center"/>
          </w:tcPr>
          <w:p w14:paraId="1832C716">
            <w:pPr>
              <w:ind w:firstLine="592"/>
              <w:jc w:val="center"/>
              <w:rPr>
                <w:rFonts w:hint="eastAsia" w:ascii="宋体" w:hAnsi="宋体" w:eastAsia="宋体" w:cs="宋体"/>
                <w:color w:val="auto"/>
                <w:sz w:val="18"/>
                <w:szCs w:val="18"/>
                <w:highlight w:val="none"/>
              </w:rPr>
            </w:pPr>
          </w:p>
        </w:tc>
        <w:tc>
          <w:tcPr>
            <w:tcW w:w="1231" w:type="dxa"/>
            <w:noWrap w:val="0"/>
            <w:vAlign w:val="center"/>
          </w:tcPr>
          <w:p w14:paraId="3CDF07FB">
            <w:pPr>
              <w:ind w:firstLine="592"/>
              <w:jc w:val="center"/>
              <w:rPr>
                <w:rFonts w:hint="eastAsia" w:ascii="宋体" w:hAnsi="宋体" w:eastAsia="宋体" w:cs="宋体"/>
                <w:color w:val="auto"/>
                <w:sz w:val="18"/>
                <w:szCs w:val="18"/>
                <w:highlight w:val="none"/>
              </w:rPr>
            </w:pPr>
          </w:p>
        </w:tc>
        <w:tc>
          <w:tcPr>
            <w:tcW w:w="1214" w:type="dxa"/>
            <w:noWrap w:val="0"/>
            <w:vAlign w:val="center"/>
          </w:tcPr>
          <w:p w14:paraId="3C02C1B5">
            <w:pPr>
              <w:ind w:firstLine="592"/>
              <w:jc w:val="center"/>
              <w:rPr>
                <w:rFonts w:hint="eastAsia" w:ascii="宋体" w:hAnsi="宋体" w:eastAsia="宋体" w:cs="宋体"/>
                <w:color w:val="auto"/>
                <w:sz w:val="18"/>
                <w:szCs w:val="18"/>
                <w:highlight w:val="none"/>
              </w:rPr>
            </w:pPr>
          </w:p>
        </w:tc>
        <w:tc>
          <w:tcPr>
            <w:tcW w:w="1500" w:type="dxa"/>
            <w:noWrap w:val="0"/>
            <w:vAlign w:val="center"/>
          </w:tcPr>
          <w:p w14:paraId="4CE4991F">
            <w:pPr>
              <w:ind w:firstLine="592"/>
              <w:jc w:val="center"/>
              <w:rPr>
                <w:rFonts w:hint="eastAsia" w:ascii="宋体" w:hAnsi="宋体" w:eastAsia="宋体" w:cs="宋体"/>
                <w:color w:val="auto"/>
                <w:sz w:val="18"/>
                <w:szCs w:val="18"/>
                <w:highlight w:val="none"/>
              </w:rPr>
            </w:pPr>
          </w:p>
        </w:tc>
        <w:tc>
          <w:tcPr>
            <w:tcW w:w="1170" w:type="dxa"/>
            <w:noWrap w:val="0"/>
            <w:vAlign w:val="center"/>
          </w:tcPr>
          <w:p w14:paraId="45DA0A6F">
            <w:pPr>
              <w:ind w:firstLine="592"/>
              <w:jc w:val="center"/>
              <w:rPr>
                <w:rFonts w:hint="eastAsia" w:ascii="宋体" w:hAnsi="宋体" w:eastAsia="宋体" w:cs="宋体"/>
                <w:color w:val="auto"/>
                <w:sz w:val="18"/>
                <w:szCs w:val="18"/>
                <w:highlight w:val="none"/>
              </w:rPr>
            </w:pPr>
          </w:p>
        </w:tc>
        <w:tc>
          <w:tcPr>
            <w:tcW w:w="755" w:type="dxa"/>
            <w:noWrap w:val="0"/>
            <w:vAlign w:val="center"/>
          </w:tcPr>
          <w:p w14:paraId="69AA1C5B">
            <w:pPr>
              <w:ind w:firstLine="592"/>
              <w:jc w:val="center"/>
              <w:rPr>
                <w:rFonts w:hint="eastAsia" w:ascii="宋体" w:hAnsi="宋体" w:eastAsia="宋体" w:cs="宋体"/>
                <w:color w:val="auto"/>
                <w:sz w:val="18"/>
                <w:szCs w:val="18"/>
                <w:highlight w:val="none"/>
              </w:rPr>
            </w:pPr>
          </w:p>
        </w:tc>
      </w:tr>
      <w:tr w14:paraId="0E6AD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0AF84147">
            <w:pPr>
              <w:ind w:firstLine="592"/>
              <w:jc w:val="center"/>
              <w:rPr>
                <w:rFonts w:hint="eastAsia" w:ascii="宋体" w:hAnsi="宋体" w:eastAsia="宋体" w:cs="宋体"/>
                <w:color w:val="auto"/>
                <w:sz w:val="18"/>
                <w:szCs w:val="18"/>
                <w:highlight w:val="none"/>
              </w:rPr>
            </w:pPr>
          </w:p>
        </w:tc>
        <w:tc>
          <w:tcPr>
            <w:tcW w:w="1134" w:type="dxa"/>
            <w:noWrap w:val="0"/>
            <w:vAlign w:val="center"/>
          </w:tcPr>
          <w:p w14:paraId="7B65A044">
            <w:pPr>
              <w:ind w:firstLine="592"/>
              <w:jc w:val="center"/>
              <w:rPr>
                <w:rFonts w:hint="eastAsia" w:ascii="宋体" w:hAnsi="宋体" w:eastAsia="宋体" w:cs="宋体"/>
                <w:color w:val="auto"/>
                <w:sz w:val="18"/>
                <w:szCs w:val="18"/>
                <w:highlight w:val="none"/>
              </w:rPr>
            </w:pPr>
          </w:p>
        </w:tc>
        <w:tc>
          <w:tcPr>
            <w:tcW w:w="1231" w:type="dxa"/>
            <w:noWrap w:val="0"/>
            <w:vAlign w:val="center"/>
          </w:tcPr>
          <w:p w14:paraId="1AD88758">
            <w:pPr>
              <w:ind w:firstLine="592"/>
              <w:jc w:val="center"/>
              <w:rPr>
                <w:rFonts w:hint="eastAsia" w:ascii="宋体" w:hAnsi="宋体" w:eastAsia="宋体" w:cs="宋体"/>
                <w:color w:val="auto"/>
                <w:sz w:val="18"/>
                <w:szCs w:val="18"/>
                <w:highlight w:val="none"/>
              </w:rPr>
            </w:pPr>
          </w:p>
        </w:tc>
        <w:tc>
          <w:tcPr>
            <w:tcW w:w="1214" w:type="dxa"/>
            <w:noWrap w:val="0"/>
            <w:vAlign w:val="center"/>
          </w:tcPr>
          <w:p w14:paraId="40C2FE8E">
            <w:pPr>
              <w:ind w:firstLine="592"/>
              <w:jc w:val="center"/>
              <w:rPr>
                <w:rFonts w:hint="eastAsia" w:ascii="宋体" w:hAnsi="宋体" w:eastAsia="宋体" w:cs="宋体"/>
                <w:color w:val="auto"/>
                <w:sz w:val="18"/>
                <w:szCs w:val="18"/>
                <w:highlight w:val="none"/>
              </w:rPr>
            </w:pPr>
          </w:p>
        </w:tc>
        <w:tc>
          <w:tcPr>
            <w:tcW w:w="1500" w:type="dxa"/>
            <w:noWrap w:val="0"/>
            <w:vAlign w:val="center"/>
          </w:tcPr>
          <w:p w14:paraId="5207F9AF">
            <w:pPr>
              <w:ind w:firstLine="592"/>
              <w:jc w:val="center"/>
              <w:rPr>
                <w:rFonts w:hint="eastAsia" w:ascii="宋体" w:hAnsi="宋体" w:eastAsia="宋体" w:cs="宋体"/>
                <w:color w:val="auto"/>
                <w:sz w:val="18"/>
                <w:szCs w:val="18"/>
                <w:highlight w:val="none"/>
              </w:rPr>
            </w:pPr>
          </w:p>
        </w:tc>
        <w:tc>
          <w:tcPr>
            <w:tcW w:w="1170" w:type="dxa"/>
            <w:noWrap w:val="0"/>
            <w:vAlign w:val="center"/>
          </w:tcPr>
          <w:p w14:paraId="2548AC60">
            <w:pPr>
              <w:ind w:firstLine="592"/>
              <w:jc w:val="center"/>
              <w:rPr>
                <w:rFonts w:hint="eastAsia" w:ascii="宋体" w:hAnsi="宋体" w:eastAsia="宋体" w:cs="宋体"/>
                <w:color w:val="auto"/>
                <w:sz w:val="18"/>
                <w:szCs w:val="18"/>
                <w:highlight w:val="none"/>
              </w:rPr>
            </w:pPr>
          </w:p>
        </w:tc>
        <w:tc>
          <w:tcPr>
            <w:tcW w:w="755" w:type="dxa"/>
            <w:noWrap w:val="0"/>
            <w:vAlign w:val="center"/>
          </w:tcPr>
          <w:p w14:paraId="204EB6E1">
            <w:pPr>
              <w:ind w:firstLine="592"/>
              <w:jc w:val="center"/>
              <w:rPr>
                <w:rFonts w:hint="eastAsia" w:ascii="宋体" w:hAnsi="宋体" w:eastAsia="宋体" w:cs="宋体"/>
                <w:color w:val="auto"/>
                <w:sz w:val="18"/>
                <w:szCs w:val="18"/>
                <w:highlight w:val="none"/>
              </w:rPr>
            </w:pPr>
          </w:p>
        </w:tc>
      </w:tr>
      <w:tr w14:paraId="4CAED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1B155152">
            <w:pPr>
              <w:ind w:firstLine="592"/>
              <w:jc w:val="center"/>
              <w:rPr>
                <w:rFonts w:hint="eastAsia" w:ascii="宋体" w:hAnsi="宋体" w:eastAsia="宋体" w:cs="宋体"/>
                <w:color w:val="auto"/>
                <w:sz w:val="18"/>
                <w:szCs w:val="18"/>
                <w:highlight w:val="none"/>
              </w:rPr>
            </w:pPr>
          </w:p>
        </w:tc>
        <w:tc>
          <w:tcPr>
            <w:tcW w:w="1134" w:type="dxa"/>
            <w:noWrap w:val="0"/>
            <w:vAlign w:val="center"/>
          </w:tcPr>
          <w:p w14:paraId="2593288F">
            <w:pPr>
              <w:ind w:firstLine="592"/>
              <w:jc w:val="center"/>
              <w:rPr>
                <w:rFonts w:hint="eastAsia" w:ascii="宋体" w:hAnsi="宋体" w:eastAsia="宋体" w:cs="宋体"/>
                <w:color w:val="auto"/>
                <w:sz w:val="18"/>
                <w:szCs w:val="18"/>
                <w:highlight w:val="none"/>
              </w:rPr>
            </w:pPr>
          </w:p>
        </w:tc>
        <w:tc>
          <w:tcPr>
            <w:tcW w:w="1231" w:type="dxa"/>
            <w:noWrap w:val="0"/>
            <w:vAlign w:val="center"/>
          </w:tcPr>
          <w:p w14:paraId="501DA1F3">
            <w:pPr>
              <w:ind w:firstLine="592"/>
              <w:jc w:val="center"/>
              <w:rPr>
                <w:rFonts w:hint="eastAsia" w:ascii="宋体" w:hAnsi="宋体" w:eastAsia="宋体" w:cs="宋体"/>
                <w:color w:val="auto"/>
                <w:sz w:val="18"/>
                <w:szCs w:val="18"/>
                <w:highlight w:val="none"/>
              </w:rPr>
            </w:pPr>
          </w:p>
        </w:tc>
        <w:tc>
          <w:tcPr>
            <w:tcW w:w="1214" w:type="dxa"/>
            <w:noWrap w:val="0"/>
            <w:vAlign w:val="center"/>
          </w:tcPr>
          <w:p w14:paraId="7636AC2C">
            <w:pPr>
              <w:ind w:firstLine="592"/>
              <w:jc w:val="center"/>
              <w:rPr>
                <w:rFonts w:hint="eastAsia" w:ascii="宋体" w:hAnsi="宋体" w:eastAsia="宋体" w:cs="宋体"/>
                <w:color w:val="auto"/>
                <w:sz w:val="18"/>
                <w:szCs w:val="18"/>
                <w:highlight w:val="none"/>
              </w:rPr>
            </w:pPr>
          </w:p>
        </w:tc>
        <w:tc>
          <w:tcPr>
            <w:tcW w:w="1500" w:type="dxa"/>
            <w:noWrap w:val="0"/>
            <w:vAlign w:val="center"/>
          </w:tcPr>
          <w:p w14:paraId="54CEE6A2">
            <w:pPr>
              <w:ind w:firstLine="592"/>
              <w:jc w:val="center"/>
              <w:rPr>
                <w:rFonts w:hint="eastAsia" w:ascii="宋体" w:hAnsi="宋体" w:eastAsia="宋体" w:cs="宋体"/>
                <w:color w:val="auto"/>
                <w:sz w:val="18"/>
                <w:szCs w:val="18"/>
                <w:highlight w:val="none"/>
              </w:rPr>
            </w:pPr>
          </w:p>
        </w:tc>
        <w:tc>
          <w:tcPr>
            <w:tcW w:w="1170" w:type="dxa"/>
            <w:noWrap w:val="0"/>
            <w:vAlign w:val="center"/>
          </w:tcPr>
          <w:p w14:paraId="23E92C96">
            <w:pPr>
              <w:ind w:firstLine="592"/>
              <w:jc w:val="center"/>
              <w:rPr>
                <w:rFonts w:hint="eastAsia" w:ascii="宋体" w:hAnsi="宋体" w:eastAsia="宋体" w:cs="宋体"/>
                <w:color w:val="auto"/>
                <w:sz w:val="18"/>
                <w:szCs w:val="18"/>
                <w:highlight w:val="none"/>
              </w:rPr>
            </w:pPr>
          </w:p>
        </w:tc>
        <w:tc>
          <w:tcPr>
            <w:tcW w:w="755" w:type="dxa"/>
            <w:noWrap w:val="0"/>
            <w:vAlign w:val="center"/>
          </w:tcPr>
          <w:p w14:paraId="70C65AA6">
            <w:pPr>
              <w:ind w:firstLine="592"/>
              <w:jc w:val="center"/>
              <w:rPr>
                <w:rFonts w:hint="eastAsia" w:ascii="宋体" w:hAnsi="宋体" w:eastAsia="宋体" w:cs="宋体"/>
                <w:color w:val="auto"/>
                <w:sz w:val="18"/>
                <w:szCs w:val="18"/>
                <w:highlight w:val="none"/>
              </w:rPr>
            </w:pPr>
          </w:p>
        </w:tc>
      </w:tr>
      <w:tr w14:paraId="58404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4294F94E">
            <w:pPr>
              <w:ind w:firstLine="592"/>
              <w:jc w:val="center"/>
              <w:rPr>
                <w:rFonts w:hint="eastAsia" w:ascii="宋体" w:hAnsi="宋体" w:eastAsia="宋体" w:cs="宋体"/>
                <w:color w:val="auto"/>
                <w:sz w:val="18"/>
                <w:szCs w:val="18"/>
                <w:highlight w:val="none"/>
              </w:rPr>
            </w:pPr>
          </w:p>
        </w:tc>
        <w:tc>
          <w:tcPr>
            <w:tcW w:w="1134" w:type="dxa"/>
            <w:noWrap w:val="0"/>
            <w:vAlign w:val="center"/>
          </w:tcPr>
          <w:p w14:paraId="0F0373D2">
            <w:pPr>
              <w:ind w:firstLine="592"/>
              <w:jc w:val="center"/>
              <w:rPr>
                <w:rFonts w:hint="eastAsia" w:ascii="宋体" w:hAnsi="宋体" w:eastAsia="宋体" w:cs="宋体"/>
                <w:color w:val="auto"/>
                <w:sz w:val="18"/>
                <w:szCs w:val="18"/>
                <w:highlight w:val="none"/>
              </w:rPr>
            </w:pPr>
          </w:p>
        </w:tc>
        <w:tc>
          <w:tcPr>
            <w:tcW w:w="1231" w:type="dxa"/>
            <w:noWrap w:val="0"/>
            <w:vAlign w:val="center"/>
          </w:tcPr>
          <w:p w14:paraId="01732BE5">
            <w:pPr>
              <w:ind w:firstLine="592"/>
              <w:jc w:val="center"/>
              <w:rPr>
                <w:rFonts w:hint="eastAsia" w:ascii="宋体" w:hAnsi="宋体" w:eastAsia="宋体" w:cs="宋体"/>
                <w:color w:val="auto"/>
                <w:sz w:val="18"/>
                <w:szCs w:val="18"/>
                <w:highlight w:val="none"/>
              </w:rPr>
            </w:pPr>
          </w:p>
        </w:tc>
        <w:tc>
          <w:tcPr>
            <w:tcW w:w="1214" w:type="dxa"/>
            <w:noWrap w:val="0"/>
            <w:vAlign w:val="center"/>
          </w:tcPr>
          <w:p w14:paraId="7C3271A2">
            <w:pPr>
              <w:ind w:firstLine="592"/>
              <w:jc w:val="center"/>
              <w:rPr>
                <w:rFonts w:hint="eastAsia" w:ascii="宋体" w:hAnsi="宋体" w:eastAsia="宋体" w:cs="宋体"/>
                <w:color w:val="auto"/>
                <w:sz w:val="18"/>
                <w:szCs w:val="18"/>
                <w:highlight w:val="none"/>
              </w:rPr>
            </w:pPr>
          </w:p>
        </w:tc>
        <w:tc>
          <w:tcPr>
            <w:tcW w:w="1500" w:type="dxa"/>
            <w:noWrap w:val="0"/>
            <w:vAlign w:val="center"/>
          </w:tcPr>
          <w:p w14:paraId="7A96ED5F">
            <w:pPr>
              <w:ind w:firstLine="592"/>
              <w:jc w:val="center"/>
              <w:rPr>
                <w:rFonts w:hint="eastAsia" w:ascii="宋体" w:hAnsi="宋体" w:eastAsia="宋体" w:cs="宋体"/>
                <w:color w:val="auto"/>
                <w:sz w:val="18"/>
                <w:szCs w:val="18"/>
                <w:highlight w:val="none"/>
              </w:rPr>
            </w:pPr>
          </w:p>
        </w:tc>
        <w:tc>
          <w:tcPr>
            <w:tcW w:w="1170" w:type="dxa"/>
            <w:noWrap w:val="0"/>
            <w:vAlign w:val="center"/>
          </w:tcPr>
          <w:p w14:paraId="55D4D18E">
            <w:pPr>
              <w:ind w:firstLine="592"/>
              <w:jc w:val="center"/>
              <w:rPr>
                <w:rFonts w:hint="eastAsia" w:ascii="宋体" w:hAnsi="宋体" w:eastAsia="宋体" w:cs="宋体"/>
                <w:color w:val="auto"/>
                <w:sz w:val="18"/>
                <w:szCs w:val="18"/>
                <w:highlight w:val="none"/>
              </w:rPr>
            </w:pPr>
          </w:p>
        </w:tc>
        <w:tc>
          <w:tcPr>
            <w:tcW w:w="755" w:type="dxa"/>
            <w:noWrap w:val="0"/>
            <w:vAlign w:val="center"/>
          </w:tcPr>
          <w:p w14:paraId="66D05FEA">
            <w:pPr>
              <w:ind w:firstLine="592"/>
              <w:jc w:val="center"/>
              <w:rPr>
                <w:rFonts w:hint="eastAsia" w:ascii="宋体" w:hAnsi="宋体" w:eastAsia="宋体" w:cs="宋体"/>
                <w:color w:val="auto"/>
                <w:sz w:val="18"/>
                <w:szCs w:val="18"/>
                <w:highlight w:val="none"/>
              </w:rPr>
            </w:pPr>
          </w:p>
        </w:tc>
      </w:tr>
      <w:tr w14:paraId="0E597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53D22910">
            <w:pPr>
              <w:ind w:firstLine="592"/>
              <w:jc w:val="center"/>
              <w:rPr>
                <w:rFonts w:hint="eastAsia" w:ascii="宋体" w:hAnsi="宋体" w:eastAsia="宋体" w:cs="宋体"/>
                <w:color w:val="auto"/>
                <w:sz w:val="18"/>
                <w:szCs w:val="18"/>
                <w:highlight w:val="none"/>
              </w:rPr>
            </w:pPr>
          </w:p>
        </w:tc>
        <w:tc>
          <w:tcPr>
            <w:tcW w:w="1134" w:type="dxa"/>
            <w:noWrap w:val="0"/>
            <w:vAlign w:val="center"/>
          </w:tcPr>
          <w:p w14:paraId="314D40B2">
            <w:pPr>
              <w:ind w:firstLine="592"/>
              <w:jc w:val="center"/>
              <w:rPr>
                <w:rFonts w:hint="eastAsia" w:ascii="宋体" w:hAnsi="宋体" w:eastAsia="宋体" w:cs="宋体"/>
                <w:color w:val="auto"/>
                <w:sz w:val="18"/>
                <w:szCs w:val="18"/>
                <w:highlight w:val="none"/>
              </w:rPr>
            </w:pPr>
          </w:p>
        </w:tc>
        <w:tc>
          <w:tcPr>
            <w:tcW w:w="1231" w:type="dxa"/>
            <w:noWrap w:val="0"/>
            <w:vAlign w:val="center"/>
          </w:tcPr>
          <w:p w14:paraId="237F70CB">
            <w:pPr>
              <w:ind w:firstLine="592"/>
              <w:jc w:val="center"/>
              <w:rPr>
                <w:rFonts w:hint="eastAsia" w:ascii="宋体" w:hAnsi="宋体" w:eastAsia="宋体" w:cs="宋体"/>
                <w:color w:val="auto"/>
                <w:sz w:val="18"/>
                <w:szCs w:val="18"/>
                <w:highlight w:val="none"/>
              </w:rPr>
            </w:pPr>
          </w:p>
        </w:tc>
        <w:tc>
          <w:tcPr>
            <w:tcW w:w="1214" w:type="dxa"/>
            <w:noWrap w:val="0"/>
            <w:vAlign w:val="center"/>
          </w:tcPr>
          <w:p w14:paraId="7448673D">
            <w:pPr>
              <w:ind w:firstLine="592"/>
              <w:jc w:val="center"/>
              <w:rPr>
                <w:rFonts w:hint="eastAsia" w:ascii="宋体" w:hAnsi="宋体" w:eastAsia="宋体" w:cs="宋体"/>
                <w:color w:val="auto"/>
                <w:sz w:val="18"/>
                <w:szCs w:val="18"/>
                <w:highlight w:val="none"/>
              </w:rPr>
            </w:pPr>
          </w:p>
        </w:tc>
        <w:tc>
          <w:tcPr>
            <w:tcW w:w="1500" w:type="dxa"/>
            <w:noWrap w:val="0"/>
            <w:vAlign w:val="center"/>
          </w:tcPr>
          <w:p w14:paraId="4A3F3EAF">
            <w:pPr>
              <w:ind w:firstLine="592"/>
              <w:jc w:val="center"/>
              <w:rPr>
                <w:rFonts w:hint="eastAsia" w:ascii="宋体" w:hAnsi="宋体" w:eastAsia="宋体" w:cs="宋体"/>
                <w:color w:val="auto"/>
                <w:sz w:val="18"/>
                <w:szCs w:val="18"/>
                <w:highlight w:val="none"/>
              </w:rPr>
            </w:pPr>
          </w:p>
        </w:tc>
        <w:tc>
          <w:tcPr>
            <w:tcW w:w="1170" w:type="dxa"/>
            <w:noWrap w:val="0"/>
            <w:vAlign w:val="center"/>
          </w:tcPr>
          <w:p w14:paraId="5FD3C11E">
            <w:pPr>
              <w:ind w:firstLine="592"/>
              <w:jc w:val="center"/>
              <w:rPr>
                <w:rFonts w:hint="eastAsia" w:ascii="宋体" w:hAnsi="宋体" w:eastAsia="宋体" w:cs="宋体"/>
                <w:color w:val="auto"/>
                <w:sz w:val="18"/>
                <w:szCs w:val="18"/>
                <w:highlight w:val="none"/>
              </w:rPr>
            </w:pPr>
          </w:p>
        </w:tc>
        <w:tc>
          <w:tcPr>
            <w:tcW w:w="755" w:type="dxa"/>
            <w:noWrap w:val="0"/>
            <w:vAlign w:val="center"/>
          </w:tcPr>
          <w:p w14:paraId="237A795F">
            <w:pPr>
              <w:ind w:firstLine="592"/>
              <w:jc w:val="center"/>
              <w:rPr>
                <w:rFonts w:hint="eastAsia" w:ascii="宋体" w:hAnsi="宋体" w:eastAsia="宋体" w:cs="宋体"/>
                <w:color w:val="auto"/>
                <w:sz w:val="18"/>
                <w:szCs w:val="18"/>
                <w:highlight w:val="none"/>
              </w:rPr>
            </w:pPr>
          </w:p>
        </w:tc>
      </w:tr>
      <w:tr w14:paraId="2A418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03CFA76D">
            <w:pPr>
              <w:ind w:firstLine="592"/>
              <w:jc w:val="center"/>
              <w:rPr>
                <w:rFonts w:hint="eastAsia" w:ascii="宋体" w:hAnsi="宋体" w:eastAsia="宋体" w:cs="宋体"/>
                <w:color w:val="auto"/>
                <w:sz w:val="18"/>
                <w:szCs w:val="18"/>
                <w:highlight w:val="none"/>
              </w:rPr>
            </w:pPr>
          </w:p>
        </w:tc>
        <w:tc>
          <w:tcPr>
            <w:tcW w:w="1134" w:type="dxa"/>
            <w:noWrap w:val="0"/>
            <w:vAlign w:val="center"/>
          </w:tcPr>
          <w:p w14:paraId="22496218">
            <w:pPr>
              <w:ind w:firstLine="592"/>
              <w:jc w:val="center"/>
              <w:rPr>
                <w:rFonts w:hint="eastAsia" w:ascii="宋体" w:hAnsi="宋体" w:eastAsia="宋体" w:cs="宋体"/>
                <w:color w:val="auto"/>
                <w:sz w:val="18"/>
                <w:szCs w:val="18"/>
                <w:highlight w:val="none"/>
              </w:rPr>
            </w:pPr>
          </w:p>
        </w:tc>
        <w:tc>
          <w:tcPr>
            <w:tcW w:w="1231" w:type="dxa"/>
            <w:noWrap w:val="0"/>
            <w:vAlign w:val="center"/>
          </w:tcPr>
          <w:p w14:paraId="15502FC4">
            <w:pPr>
              <w:ind w:firstLine="592"/>
              <w:jc w:val="center"/>
              <w:rPr>
                <w:rFonts w:hint="eastAsia" w:ascii="宋体" w:hAnsi="宋体" w:eastAsia="宋体" w:cs="宋体"/>
                <w:color w:val="auto"/>
                <w:sz w:val="18"/>
                <w:szCs w:val="18"/>
                <w:highlight w:val="none"/>
              </w:rPr>
            </w:pPr>
          </w:p>
        </w:tc>
        <w:tc>
          <w:tcPr>
            <w:tcW w:w="1214" w:type="dxa"/>
            <w:noWrap w:val="0"/>
            <w:vAlign w:val="center"/>
          </w:tcPr>
          <w:p w14:paraId="01604765">
            <w:pPr>
              <w:ind w:firstLine="592"/>
              <w:jc w:val="center"/>
              <w:rPr>
                <w:rFonts w:hint="eastAsia" w:ascii="宋体" w:hAnsi="宋体" w:eastAsia="宋体" w:cs="宋体"/>
                <w:color w:val="auto"/>
                <w:sz w:val="18"/>
                <w:szCs w:val="18"/>
                <w:highlight w:val="none"/>
              </w:rPr>
            </w:pPr>
          </w:p>
        </w:tc>
        <w:tc>
          <w:tcPr>
            <w:tcW w:w="1500" w:type="dxa"/>
            <w:noWrap w:val="0"/>
            <w:vAlign w:val="center"/>
          </w:tcPr>
          <w:p w14:paraId="6724BF16">
            <w:pPr>
              <w:ind w:firstLine="592"/>
              <w:jc w:val="center"/>
              <w:rPr>
                <w:rFonts w:hint="eastAsia" w:ascii="宋体" w:hAnsi="宋体" w:eastAsia="宋体" w:cs="宋体"/>
                <w:color w:val="auto"/>
                <w:sz w:val="18"/>
                <w:szCs w:val="18"/>
                <w:highlight w:val="none"/>
              </w:rPr>
            </w:pPr>
          </w:p>
        </w:tc>
        <w:tc>
          <w:tcPr>
            <w:tcW w:w="1170" w:type="dxa"/>
            <w:noWrap w:val="0"/>
            <w:vAlign w:val="center"/>
          </w:tcPr>
          <w:p w14:paraId="4C54CA25">
            <w:pPr>
              <w:ind w:firstLine="592"/>
              <w:jc w:val="center"/>
              <w:rPr>
                <w:rFonts w:hint="eastAsia" w:ascii="宋体" w:hAnsi="宋体" w:eastAsia="宋体" w:cs="宋体"/>
                <w:color w:val="auto"/>
                <w:sz w:val="18"/>
                <w:szCs w:val="18"/>
                <w:highlight w:val="none"/>
              </w:rPr>
            </w:pPr>
          </w:p>
        </w:tc>
        <w:tc>
          <w:tcPr>
            <w:tcW w:w="755" w:type="dxa"/>
            <w:noWrap w:val="0"/>
            <w:vAlign w:val="center"/>
          </w:tcPr>
          <w:p w14:paraId="66975799">
            <w:pPr>
              <w:ind w:firstLine="592"/>
              <w:jc w:val="center"/>
              <w:rPr>
                <w:rFonts w:hint="eastAsia" w:ascii="宋体" w:hAnsi="宋体" w:eastAsia="宋体" w:cs="宋体"/>
                <w:color w:val="auto"/>
                <w:sz w:val="18"/>
                <w:szCs w:val="18"/>
                <w:highlight w:val="none"/>
              </w:rPr>
            </w:pPr>
          </w:p>
        </w:tc>
      </w:tr>
      <w:tr w14:paraId="25A8F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75C7CE6E">
            <w:pPr>
              <w:ind w:firstLine="592"/>
              <w:jc w:val="center"/>
              <w:rPr>
                <w:rFonts w:hint="eastAsia" w:ascii="宋体" w:hAnsi="宋体" w:eastAsia="宋体" w:cs="宋体"/>
                <w:color w:val="auto"/>
                <w:sz w:val="18"/>
                <w:szCs w:val="18"/>
                <w:highlight w:val="none"/>
              </w:rPr>
            </w:pPr>
          </w:p>
        </w:tc>
        <w:tc>
          <w:tcPr>
            <w:tcW w:w="1134" w:type="dxa"/>
            <w:noWrap w:val="0"/>
            <w:vAlign w:val="center"/>
          </w:tcPr>
          <w:p w14:paraId="69881522">
            <w:pPr>
              <w:ind w:firstLine="592"/>
              <w:jc w:val="center"/>
              <w:rPr>
                <w:rFonts w:hint="eastAsia" w:ascii="宋体" w:hAnsi="宋体" w:eastAsia="宋体" w:cs="宋体"/>
                <w:color w:val="auto"/>
                <w:sz w:val="18"/>
                <w:szCs w:val="18"/>
                <w:highlight w:val="none"/>
              </w:rPr>
            </w:pPr>
          </w:p>
        </w:tc>
        <w:tc>
          <w:tcPr>
            <w:tcW w:w="1231" w:type="dxa"/>
            <w:noWrap w:val="0"/>
            <w:vAlign w:val="center"/>
          </w:tcPr>
          <w:p w14:paraId="5DA8E148">
            <w:pPr>
              <w:ind w:firstLine="592"/>
              <w:jc w:val="center"/>
              <w:rPr>
                <w:rFonts w:hint="eastAsia" w:ascii="宋体" w:hAnsi="宋体" w:eastAsia="宋体" w:cs="宋体"/>
                <w:color w:val="auto"/>
                <w:sz w:val="18"/>
                <w:szCs w:val="18"/>
                <w:highlight w:val="none"/>
              </w:rPr>
            </w:pPr>
          </w:p>
        </w:tc>
        <w:tc>
          <w:tcPr>
            <w:tcW w:w="1214" w:type="dxa"/>
            <w:noWrap w:val="0"/>
            <w:vAlign w:val="center"/>
          </w:tcPr>
          <w:p w14:paraId="574903C6">
            <w:pPr>
              <w:ind w:firstLine="592"/>
              <w:jc w:val="center"/>
              <w:rPr>
                <w:rFonts w:hint="eastAsia" w:ascii="宋体" w:hAnsi="宋体" w:eastAsia="宋体" w:cs="宋体"/>
                <w:color w:val="auto"/>
                <w:sz w:val="18"/>
                <w:szCs w:val="18"/>
                <w:highlight w:val="none"/>
              </w:rPr>
            </w:pPr>
          </w:p>
        </w:tc>
        <w:tc>
          <w:tcPr>
            <w:tcW w:w="1500" w:type="dxa"/>
            <w:noWrap w:val="0"/>
            <w:vAlign w:val="center"/>
          </w:tcPr>
          <w:p w14:paraId="4854B29D">
            <w:pPr>
              <w:ind w:firstLine="592"/>
              <w:jc w:val="center"/>
              <w:rPr>
                <w:rFonts w:hint="eastAsia" w:ascii="宋体" w:hAnsi="宋体" w:eastAsia="宋体" w:cs="宋体"/>
                <w:color w:val="auto"/>
                <w:sz w:val="18"/>
                <w:szCs w:val="18"/>
                <w:highlight w:val="none"/>
              </w:rPr>
            </w:pPr>
          </w:p>
        </w:tc>
        <w:tc>
          <w:tcPr>
            <w:tcW w:w="1170" w:type="dxa"/>
            <w:noWrap w:val="0"/>
            <w:vAlign w:val="center"/>
          </w:tcPr>
          <w:p w14:paraId="2B6108A2">
            <w:pPr>
              <w:ind w:firstLine="592"/>
              <w:jc w:val="center"/>
              <w:rPr>
                <w:rFonts w:hint="eastAsia" w:ascii="宋体" w:hAnsi="宋体" w:eastAsia="宋体" w:cs="宋体"/>
                <w:color w:val="auto"/>
                <w:sz w:val="18"/>
                <w:szCs w:val="18"/>
                <w:highlight w:val="none"/>
              </w:rPr>
            </w:pPr>
          </w:p>
        </w:tc>
        <w:tc>
          <w:tcPr>
            <w:tcW w:w="755" w:type="dxa"/>
            <w:noWrap w:val="0"/>
            <w:vAlign w:val="center"/>
          </w:tcPr>
          <w:p w14:paraId="547987DC">
            <w:pPr>
              <w:ind w:firstLine="592"/>
              <w:jc w:val="center"/>
              <w:rPr>
                <w:rFonts w:hint="eastAsia" w:ascii="宋体" w:hAnsi="宋体" w:eastAsia="宋体" w:cs="宋体"/>
                <w:color w:val="auto"/>
                <w:sz w:val="18"/>
                <w:szCs w:val="18"/>
                <w:highlight w:val="none"/>
              </w:rPr>
            </w:pPr>
          </w:p>
        </w:tc>
      </w:tr>
      <w:tr w14:paraId="67A1A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0" w:hRule="atLeast"/>
          <w:jc w:val="center"/>
        </w:trPr>
        <w:tc>
          <w:tcPr>
            <w:tcW w:w="1809" w:type="dxa"/>
            <w:noWrap w:val="0"/>
            <w:vAlign w:val="center"/>
          </w:tcPr>
          <w:p w14:paraId="478DB632">
            <w:pPr>
              <w:ind w:firstLine="592"/>
              <w:jc w:val="center"/>
              <w:rPr>
                <w:rFonts w:hint="eastAsia" w:ascii="宋体" w:hAnsi="宋体" w:eastAsia="宋体" w:cs="宋体"/>
                <w:color w:val="auto"/>
                <w:sz w:val="18"/>
                <w:szCs w:val="18"/>
                <w:highlight w:val="none"/>
              </w:rPr>
            </w:pPr>
          </w:p>
        </w:tc>
        <w:tc>
          <w:tcPr>
            <w:tcW w:w="1134" w:type="dxa"/>
            <w:noWrap w:val="0"/>
            <w:vAlign w:val="center"/>
          </w:tcPr>
          <w:p w14:paraId="59CECA68">
            <w:pPr>
              <w:ind w:firstLine="592"/>
              <w:jc w:val="center"/>
              <w:rPr>
                <w:rFonts w:hint="eastAsia" w:ascii="宋体" w:hAnsi="宋体" w:eastAsia="宋体" w:cs="宋体"/>
                <w:color w:val="auto"/>
                <w:sz w:val="18"/>
                <w:szCs w:val="18"/>
                <w:highlight w:val="none"/>
              </w:rPr>
            </w:pPr>
          </w:p>
        </w:tc>
        <w:tc>
          <w:tcPr>
            <w:tcW w:w="1231" w:type="dxa"/>
            <w:noWrap w:val="0"/>
            <w:vAlign w:val="center"/>
          </w:tcPr>
          <w:p w14:paraId="49E17CAE">
            <w:pPr>
              <w:ind w:firstLine="592"/>
              <w:jc w:val="center"/>
              <w:rPr>
                <w:rFonts w:hint="eastAsia" w:ascii="宋体" w:hAnsi="宋体" w:eastAsia="宋体" w:cs="宋体"/>
                <w:color w:val="auto"/>
                <w:sz w:val="18"/>
                <w:szCs w:val="18"/>
                <w:highlight w:val="none"/>
              </w:rPr>
            </w:pPr>
          </w:p>
        </w:tc>
        <w:tc>
          <w:tcPr>
            <w:tcW w:w="1214" w:type="dxa"/>
            <w:noWrap w:val="0"/>
            <w:vAlign w:val="center"/>
          </w:tcPr>
          <w:p w14:paraId="5F117EF8">
            <w:pPr>
              <w:ind w:firstLine="592"/>
              <w:jc w:val="center"/>
              <w:rPr>
                <w:rFonts w:hint="eastAsia" w:ascii="宋体" w:hAnsi="宋体" w:eastAsia="宋体" w:cs="宋体"/>
                <w:color w:val="auto"/>
                <w:sz w:val="18"/>
                <w:szCs w:val="18"/>
                <w:highlight w:val="none"/>
              </w:rPr>
            </w:pPr>
          </w:p>
        </w:tc>
        <w:tc>
          <w:tcPr>
            <w:tcW w:w="1500" w:type="dxa"/>
            <w:noWrap w:val="0"/>
            <w:vAlign w:val="center"/>
          </w:tcPr>
          <w:p w14:paraId="4C636935">
            <w:pPr>
              <w:ind w:firstLine="592"/>
              <w:jc w:val="center"/>
              <w:rPr>
                <w:rFonts w:hint="eastAsia" w:ascii="宋体" w:hAnsi="宋体" w:eastAsia="宋体" w:cs="宋体"/>
                <w:color w:val="auto"/>
                <w:sz w:val="18"/>
                <w:szCs w:val="18"/>
                <w:highlight w:val="none"/>
              </w:rPr>
            </w:pPr>
          </w:p>
        </w:tc>
        <w:tc>
          <w:tcPr>
            <w:tcW w:w="1170" w:type="dxa"/>
            <w:noWrap w:val="0"/>
            <w:vAlign w:val="center"/>
          </w:tcPr>
          <w:p w14:paraId="73AD2BAB">
            <w:pPr>
              <w:ind w:firstLine="592"/>
              <w:jc w:val="center"/>
              <w:rPr>
                <w:rFonts w:hint="eastAsia" w:ascii="宋体" w:hAnsi="宋体" w:eastAsia="宋体" w:cs="宋体"/>
                <w:color w:val="auto"/>
                <w:sz w:val="18"/>
                <w:szCs w:val="18"/>
                <w:highlight w:val="none"/>
              </w:rPr>
            </w:pPr>
          </w:p>
        </w:tc>
        <w:tc>
          <w:tcPr>
            <w:tcW w:w="755" w:type="dxa"/>
            <w:noWrap w:val="0"/>
            <w:vAlign w:val="center"/>
          </w:tcPr>
          <w:p w14:paraId="75F34311">
            <w:pPr>
              <w:ind w:firstLine="592"/>
              <w:jc w:val="center"/>
              <w:rPr>
                <w:rFonts w:hint="eastAsia" w:ascii="宋体" w:hAnsi="宋体" w:eastAsia="宋体" w:cs="宋体"/>
                <w:color w:val="auto"/>
                <w:sz w:val="18"/>
                <w:szCs w:val="18"/>
                <w:highlight w:val="none"/>
              </w:rPr>
            </w:pPr>
          </w:p>
        </w:tc>
      </w:tr>
      <w:tr w14:paraId="3E4F5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9" w:type="dxa"/>
            <w:noWrap w:val="0"/>
            <w:vAlign w:val="center"/>
          </w:tcPr>
          <w:p w14:paraId="25FC35E4">
            <w:pPr>
              <w:ind w:firstLine="592"/>
              <w:jc w:val="center"/>
              <w:rPr>
                <w:rFonts w:hint="eastAsia" w:ascii="宋体" w:hAnsi="宋体" w:eastAsia="宋体" w:cs="宋体"/>
                <w:color w:val="auto"/>
                <w:sz w:val="18"/>
                <w:szCs w:val="18"/>
                <w:highlight w:val="none"/>
              </w:rPr>
            </w:pPr>
          </w:p>
        </w:tc>
        <w:tc>
          <w:tcPr>
            <w:tcW w:w="1134" w:type="dxa"/>
            <w:noWrap w:val="0"/>
            <w:vAlign w:val="center"/>
          </w:tcPr>
          <w:p w14:paraId="7C01B68D">
            <w:pPr>
              <w:ind w:firstLine="592"/>
              <w:jc w:val="center"/>
              <w:rPr>
                <w:rFonts w:hint="eastAsia" w:ascii="宋体" w:hAnsi="宋体" w:eastAsia="宋体" w:cs="宋体"/>
                <w:color w:val="auto"/>
                <w:sz w:val="18"/>
                <w:szCs w:val="18"/>
                <w:highlight w:val="none"/>
              </w:rPr>
            </w:pPr>
          </w:p>
        </w:tc>
        <w:tc>
          <w:tcPr>
            <w:tcW w:w="1231" w:type="dxa"/>
            <w:noWrap w:val="0"/>
            <w:vAlign w:val="center"/>
          </w:tcPr>
          <w:p w14:paraId="43F61DCC">
            <w:pPr>
              <w:ind w:firstLine="592"/>
              <w:jc w:val="center"/>
              <w:rPr>
                <w:rFonts w:hint="eastAsia" w:ascii="宋体" w:hAnsi="宋体" w:eastAsia="宋体" w:cs="宋体"/>
                <w:color w:val="auto"/>
                <w:sz w:val="18"/>
                <w:szCs w:val="18"/>
                <w:highlight w:val="none"/>
              </w:rPr>
            </w:pPr>
          </w:p>
        </w:tc>
        <w:tc>
          <w:tcPr>
            <w:tcW w:w="1214" w:type="dxa"/>
            <w:noWrap w:val="0"/>
            <w:vAlign w:val="center"/>
          </w:tcPr>
          <w:p w14:paraId="0688F198">
            <w:pPr>
              <w:ind w:firstLine="592"/>
              <w:jc w:val="center"/>
              <w:rPr>
                <w:rFonts w:hint="eastAsia" w:ascii="宋体" w:hAnsi="宋体" w:eastAsia="宋体" w:cs="宋体"/>
                <w:color w:val="auto"/>
                <w:sz w:val="18"/>
                <w:szCs w:val="18"/>
                <w:highlight w:val="none"/>
              </w:rPr>
            </w:pPr>
          </w:p>
        </w:tc>
        <w:tc>
          <w:tcPr>
            <w:tcW w:w="1500" w:type="dxa"/>
            <w:noWrap w:val="0"/>
            <w:vAlign w:val="center"/>
          </w:tcPr>
          <w:p w14:paraId="7F3FAD53">
            <w:pPr>
              <w:ind w:firstLine="592"/>
              <w:jc w:val="center"/>
              <w:rPr>
                <w:rFonts w:hint="eastAsia" w:ascii="宋体" w:hAnsi="宋体" w:eastAsia="宋体" w:cs="宋体"/>
                <w:color w:val="auto"/>
                <w:sz w:val="18"/>
                <w:szCs w:val="18"/>
                <w:highlight w:val="none"/>
              </w:rPr>
            </w:pPr>
          </w:p>
        </w:tc>
        <w:tc>
          <w:tcPr>
            <w:tcW w:w="1170" w:type="dxa"/>
            <w:noWrap w:val="0"/>
            <w:vAlign w:val="center"/>
          </w:tcPr>
          <w:p w14:paraId="6699BD70">
            <w:pPr>
              <w:ind w:firstLine="592"/>
              <w:jc w:val="center"/>
              <w:rPr>
                <w:rFonts w:hint="eastAsia" w:ascii="宋体" w:hAnsi="宋体" w:eastAsia="宋体" w:cs="宋体"/>
                <w:color w:val="auto"/>
                <w:sz w:val="18"/>
                <w:szCs w:val="18"/>
                <w:highlight w:val="none"/>
              </w:rPr>
            </w:pPr>
          </w:p>
        </w:tc>
        <w:tc>
          <w:tcPr>
            <w:tcW w:w="755" w:type="dxa"/>
            <w:noWrap w:val="0"/>
            <w:vAlign w:val="center"/>
          </w:tcPr>
          <w:p w14:paraId="1FE6EF89">
            <w:pPr>
              <w:ind w:firstLine="592"/>
              <w:jc w:val="center"/>
              <w:rPr>
                <w:rFonts w:hint="eastAsia" w:ascii="宋体" w:hAnsi="宋体" w:eastAsia="宋体" w:cs="宋体"/>
                <w:color w:val="auto"/>
                <w:sz w:val="18"/>
                <w:szCs w:val="18"/>
                <w:highlight w:val="none"/>
              </w:rPr>
            </w:pPr>
          </w:p>
        </w:tc>
      </w:tr>
    </w:tbl>
    <w:p w14:paraId="284841AD">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14:paraId="7895F7FE">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本表中所列装备价格不计入投标总价，但装备的损耗及耗材等需包含在投标总价中。</w:t>
      </w:r>
    </w:p>
    <w:p w14:paraId="5E8E89CE">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14:paraId="2411CFEB">
      <w:pPr>
        <w:rPr>
          <w:rFonts w:hint="eastAsia" w:ascii="宋体" w:hAnsi="宋体" w:eastAsia="宋体" w:cs="宋体"/>
          <w:b/>
          <w:color w:val="auto"/>
          <w:sz w:val="22"/>
          <w:szCs w:val="22"/>
          <w:highlight w:val="none"/>
        </w:rPr>
      </w:pPr>
    </w:p>
    <w:p w14:paraId="3AC1CAD5">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4D57146A">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1B34C198">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14:paraId="72CFE588">
      <w:pPr>
        <w:spacing w:line="400" w:lineRule="exact"/>
        <w:rPr>
          <w:rFonts w:hint="eastAsia" w:ascii="宋体" w:hAnsi="宋体" w:eastAsia="宋体" w:cs="宋体"/>
          <w:color w:val="auto"/>
          <w:sz w:val="22"/>
          <w:szCs w:val="22"/>
          <w:highlight w:val="none"/>
        </w:rPr>
      </w:pPr>
    </w:p>
    <w:p w14:paraId="60D3609F">
      <w:pPr>
        <w:ind w:right="-10"/>
        <w:rPr>
          <w:rFonts w:hint="eastAsia" w:ascii="宋体" w:hAnsi="宋体" w:eastAsia="宋体" w:cs="宋体"/>
          <w:b/>
          <w:bCs/>
          <w:snapToGrid w:val="0"/>
          <w:color w:val="auto"/>
          <w:kern w:val="0"/>
          <w:sz w:val="28"/>
          <w:highlight w:val="none"/>
        </w:rPr>
      </w:pPr>
      <w:bookmarkStart w:id="193" w:name="_Toc336413112"/>
      <w:r>
        <w:rPr>
          <w:rFonts w:hint="eastAsia" w:ascii="宋体" w:hAnsi="宋体" w:eastAsia="宋体" w:cs="宋体"/>
          <w:color w:val="auto"/>
          <w:sz w:val="22"/>
          <w:szCs w:val="22"/>
          <w:highlight w:val="none"/>
        </w:rPr>
        <w:br w:type="page"/>
      </w:r>
      <w:bookmarkEnd w:id="193"/>
      <w:r>
        <w:rPr>
          <w:rFonts w:hint="eastAsia" w:ascii="宋体" w:hAnsi="宋体" w:eastAsia="宋体" w:cs="宋体"/>
          <w:b/>
          <w:snapToGrid w:val="0"/>
          <w:color w:val="auto"/>
          <w:kern w:val="0"/>
          <w:sz w:val="22"/>
          <w:szCs w:val="22"/>
          <w:highlight w:val="none"/>
        </w:rPr>
        <w:t>附件七</w:t>
      </w:r>
    </w:p>
    <w:p w14:paraId="5DA71516">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p>
    <w:p w14:paraId="4A9474B8">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14:paraId="24A76330">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451"/>
        <w:gridCol w:w="4873"/>
      </w:tblGrid>
      <w:tr w14:paraId="32D6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14:paraId="0680181B">
            <w:pPr>
              <w:pStyle w:val="69"/>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14:paraId="4712366B">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14:paraId="60CFB95B">
            <w:pPr>
              <w:pStyle w:val="69"/>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14:paraId="34F2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7CA3931">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4554BA9">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14:paraId="3A063F2A">
            <w:pPr>
              <w:pStyle w:val="70"/>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14:paraId="0BD93E77">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14:paraId="7E75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A7D3275">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2329DAC6">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203DBE5D">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4B24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41E03B3A">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53782A1C">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4BAE688A">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4497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AC96C5E">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276CBA61">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23B42323">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6D1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3B108240">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ACF257F">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16FD9462">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6329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4787CDC6">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76E69D7">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2A44AB20">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2BA9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14:paraId="0FBFAE71">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2ADFC95D">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14:paraId="140CE229">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14:paraId="7BA2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14:paraId="4BD57146">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14:paraId="1BDA6BA1">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14:paraId="357348A6">
      <w:pPr>
        <w:pStyle w:val="9"/>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注：本表后应附人员身份证、在本单位社保证明等复印件</w:t>
      </w:r>
      <w:r>
        <w:rPr>
          <w:rFonts w:hint="eastAsia" w:ascii="宋体" w:hAnsi="宋体" w:eastAsia="宋体" w:cs="宋体"/>
          <w:snapToGrid w:val="0"/>
          <w:color w:val="auto"/>
          <w:sz w:val="22"/>
          <w:szCs w:val="22"/>
          <w:highlight w:val="none"/>
        </w:rPr>
        <w:t>。</w:t>
      </w:r>
    </w:p>
    <w:p w14:paraId="0EBBF183">
      <w:pPr>
        <w:pStyle w:val="13"/>
        <w:spacing w:line="400" w:lineRule="atLeast"/>
        <w:ind w:left="660" w:hanging="660" w:hangingChars="300"/>
        <w:rPr>
          <w:rFonts w:hint="eastAsia" w:ascii="宋体" w:hAnsi="宋体" w:eastAsia="宋体" w:cs="宋体"/>
          <w:snapToGrid w:val="0"/>
          <w:color w:val="auto"/>
          <w:sz w:val="22"/>
          <w:szCs w:val="22"/>
          <w:highlight w:val="none"/>
        </w:rPr>
      </w:pPr>
    </w:p>
    <w:p w14:paraId="0DD95995">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143418A0">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370F8886">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highlight w:val="none"/>
        </w:rPr>
        <w:t>日  期：</w:t>
      </w:r>
    </w:p>
    <w:p w14:paraId="3A9FCBF6">
      <w:pPr>
        <w:spacing w:line="380" w:lineRule="exact"/>
        <w:ind w:firstLine="4400" w:firstLineChars="2000"/>
        <w:rPr>
          <w:rFonts w:hint="eastAsia" w:ascii="宋体" w:hAnsi="宋体" w:eastAsia="宋体" w:cs="宋体"/>
          <w:snapToGrid w:val="0"/>
          <w:color w:val="auto"/>
          <w:kern w:val="0"/>
          <w:sz w:val="22"/>
          <w:szCs w:val="22"/>
          <w:highlight w:val="none"/>
        </w:rPr>
      </w:pPr>
    </w:p>
    <w:p w14:paraId="10AE6AD5">
      <w:pPr>
        <w:spacing w:line="380" w:lineRule="exact"/>
        <w:ind w:firstLine="4400" w:firstLineChars="2000"/>
        <w:rPr>
          <w:rFonts w:hint="eastAsia" w:ascii="宋体" w:hAnsi="宋体" w:eastAsia="宋体" w:cs="宋体"/>
          <w:snapToGrid w:val="0"/>
          <w:color w:val="auto"/>
          <w:kern w:val="0"/>
          <w:sz w:val="22"/>
          <w:szCs w:val="22"/>
          <w:highlight w:val="none"/>
        </w:rPr>
      </w:pPr>
    </w:p>
    <w:p w14:paraId="43F37D80">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14:paraId="2C1FA2A9">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14:paraId="15B1BFEE">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p>
    <w:p w14:paraId="21AD26F9">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821"/>
        <w:gridCol w:w="1186"/>
        <w:gridCol w:w="2001"/>
      </w:tblGrid>
      <w:tr w14:paraId="19BD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14:paraId="3A38A412">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14:paraId="7B90854F">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14:paraId="045A8225">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14:paraId="72E7D469">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14:paraId="079C3496">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14:paraId="208A9801">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14:paraId="5D86DADD">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14:paraId="0CE67295">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821" w:type="dxa"/>
            <w:tcBorders>
              <w:top w:val="single" w:color="auto" w:sz="12" w:space="0"/>
              <w:bottom w:val="single" w:color="auto" w:sz="12" w:space="0"/>
            </w:tcBorders>
            <w:noWrap w:val="0"/>
            <w:vAlign w:val="center"/>
          </w:tcPr>
          <w:p w14:paraId="4EBBA298">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承诺</w:t>
            </w:r>
          </w:p>
          <w:p w14:paraId="2C6217AE">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到位率</w:t>
            </w:r>
          </w:p>
        </w:tc>
        <w:tc>
          <w:tcPr>
            <w:tcW w:w="1186" w:type="dxa"/>
            <w:tcBorders>
              <w:top w:val="single" w:color="auto" w:sz="12" w:space="0"/>
              <w:bottom w:val="single" w:color="auto" w:sz="12" w:space="0"/>
            </w:tcBorders>
            <w:noWrap w:val="0"/>
            <w:vAlign w:val="center"/>
          </w:tcPr>
          <w:p w14:paraId="08ACE391">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到现场服务起止时间</w:t>
            </w:r>
          </w:p>
        </w:tc>
        <w:tc>
          <w:tcPr>
            <w:tcW w:w="2001" w:type="dxa"/>
            <w:tcBorders>
              <w:top w:val="single" w:color="auto" w:sz="12" w:space="0"/>
              <w:bottom w:val="single" w:color="auto" w:sz="12" w:space="0"/>
              <w:right w:val="single" w:color="auto" w:sz="12" w:space="0"/>
            </w:tcBorders>
            <w:noWrap w:val="0"/>
            <w:vAlign w:val="center"/>
          </w:tcPr>
          <w:p w14:paraId="2A67FC1C">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类似服务的经历、业绩、是否有上岗证等介绍（或另附简历）</w:t>
            </w:r>
          </w:p>
        </w:tc>
      </w:tr>
      <w:tr w14:paraId="0932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14:paraId="1FB5691D">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14:paraId="2C3E5788">
            <w:pPr>
              <w:pStyle w:val="59"/>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14:paraId="41801F41">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14:paraId="36A08ED5">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14:paraId="3067A8F7">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14:paraId="39F621DA">
            <w:pPr>
              <w:rPr>
                <w:rFonts w:hint="eastAsia" w:ascii="宋体" w:hAnsi="宋体" w:eastAsia="宋体" w:cs="宋体"/>
                <w:color w:val="auto"/>
                <w:kern w:val="0"/>
                <w:sz w:val="18"/>
                <w:szCs w:val="18"/>
                <w:highlight w:val="none"/>
              </w:rPr>
            </w:pPr>
          </w:p>
        </w:tc>
        <w:tc>
          <w:tcPr>
            <w:tcW w:w="821" w:type="dxa"/>
            <w:tcBorders>
              <w:top w:val="single" w:color="auto" w:sz="12" w:space="0"/>
              <w:right w:val="single" w:color="auto" w:sz="4" w:space="0"/>
            </w:tcBorders>
            <w:noWrap w:val="0"/>
            <w:vAlign w:val="center"/>
          </w:tcPr>
          <w:p w14:paraId="7EB20889">
            <w:pPr>
              <w:rPr>
                <w:rFonts w:hint="eastAsia" w:ascii="宋体" w:hAnsi="宋体" w:eastAsia="宋体" w:cs="宋体"/>
                <w:color w:val="auto"/>
                <w:kern w:val="0"/>
                <w:sz w:val="18"/>
                <w:szCs w:val="18"/>
                <w:highlight w:val="none"/>
              </w:rPr>
            </w:pPr>
          </w:p>
        </w:tc>
        <w:tc>
          <w:tcPr>
            <w:tcW w:w="1186" w:type="dxa"/>
            <w:tcBorders>
              <w:top w:val="single" w:color="auto" w:sz="12" w:space="0"/>
              <w:left w:val="single" w:color="auto" w:sz="4" w:space="0"/>
              <w:right w:val="single" w:color="auto" w:sz="4" w:space="0"/>
            </w:tcBorders>
            <w:noWrap w:val="0"/>
            <w:vAlign w:val="center"/>
          </w:tcPr>
          <w:p w14:paraId="17D273E5">
            <w:pPr>
              <w:rPr>
                <w:rFonts w:hint="eastAsia" w:ascii="宋体" w:hAnsi="宋体" w:eastAsia="宋体" w:cs="宋体"/>
                <w:color w:val="auto"/>
                <w:kern w:val="0"/>
                <w:sz w:val="18"/>
                <w:szCs w:val="18"/>
                <w:highlight w:val="none"/>
              </w:rPr>
            </w:pPr>
          </w:p>
        </w:tc>
        <w:tc>
          <w:tcPr>
            <w:tcW w:w="2001" w:type="dxa"/>
            <w:tcBorders>
              <w:top w:val="single" w:color="auto" w:sz="12" w:space="0"/>
              <w:left w:val="single" w:color="auto" w:sz="4" w:space="0"/>
              <w:right w:val="single" w:color="auto" w:sz="12" w:space="0"/>
            </w:tcBorders>
            <w:noWrap w:val="0"/>
            <w:vAlign w:val="center"/>
          </w:tcPr>
          <w:p w14:paraId="69B0836E">
            <w:pPr>
              <w:rPr>
                <w:rFonts w:hint="eastAsia" w:ascii="宋体" w:hAnsi="宋体" w:eastAsia="宋体" w:cs="宋体"/>
                <w:color w:val="auto"/>
                <w:kern w:val="0"/>
                <w:sz w:val="18"/>
                <w:szCs w:val="18"/>
                <w:highlight w:val="none"/>
              </w:rPr>
            </w:pPr>
          </w:p>
        </w:tc>
      </w:tr>
      <w:tr w14:paraId="42B7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3F708059">
            <w:pPr>
              <w:rPr>
                <w:rFonts w:hint="eastAsia" w:ascii="宋体" w:hAnsi="宋体" w:eastAsia="宋体" w:cs="宋体"/>
                <w:color w:val="auto"/>
                <w:kern w:val="0"/>
                <w:sz w:val="18"/>
                <w:szCs w:val="18"/>
                <w:highlight w:val="none"/>
              </w:rPr>
            </w:pPr>
          </w:p>
        </w:tc>
        <w:tc>
          <w:tcPr>
            <w:tcW w:w="948" w:type="dxa"/>
            <w:noWrap w:val="0"/>
            <w:vAlign w:val="center"/>
          </w:tcPr>
          <w:p w14:paraId="4A662625">
            <w:pPr>
              <w:rPr>
                <w:rFonts w:hint="eastAsia" w:ascii="宋体" w:hAnsi="宋体" w:eastAsia="宋体" w:cs="宋体"/>
                <w:color w:val="auto"/>
                <w:kern w:val="0"/>
                <w:sz w:val="18"/>
                <w:szCs w:val="18"/>
                <w:highlight w:val="none"/>
              </w:rPr>
            </w:pPr>
          </w:p>
        </w:tc>
        <w:tc>
          <w:tcPr>
            <w:tcW w:w="720" w:type="dxa"/>
            <w:noWrap w:val="0"/>
            <w:vAlign w:val="center"/>
          </w:tcPr>
          <w:p w14:paraId="483E819E">
            <w:pPr>
              <w:rPr>
                <w:rFonts w:hint="eastAsia" w:ascii="宋体" w:hAnsi="宋体" w:eastAsia="宋体" w:cs="宋体"/>
                <w:color w:val="auto"/>
                <w:kern w:val="0"/>
                <w:sz w:val="18"/>
                <w:szCs w:val="18"/>
                <w:highlight w:val="none"/>
              </w:rPr>
            </w:pPr>
          </w:p>
        </w:tc>
        <w:tc>
          <w:tcPr>
            <w:tcW w:w="720" w:type="dxa"/>
            <w:noWrap w:val="0"/>
            <w:vAlign w:val="center"/>
          </w:tcPr>
          <w:p w14:paraId="44A62E05">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001994E2">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2F28D605">
            <w:pPr>
              <w:rPr>
                <w:rFonts w:hint="eastAsia" w:ascii="宋体" w:hAnsi="宋体" w:eastAsia="宋体" w:cs="宋体"/>
                <w:color w:val="auto"/>
                <w:kern w:val="0"/>
                <w:sz w:val="18"/>
                <w:szCs w:val="18"/>
                <w:highlight w:val="none"/>
              </w:rPr>
            </w:pPr>
          </w:p>
        </w:tc>
        <w:tc>
          <w:tcPr>
            <w:tcW w:w="821" w:type="dxa"/>
            <w:noWrap w:val="0"/>
            <w:vAlign w:val="center"/>
          </w:tcPr>
          <w:p w14:paraId="51058F01">
            <w:pPr>
              <w:rPr>
                <w:rFonts w:hint="eastAsia" w:ascii="宋体" w:hAnsi="宋体" w:eastAsia="宋体" w:cs="宋体"/>
                <w:color w:val="auto"/>
                <w:kern w:val="0"/>
                <w:sz w:val="18"/>
                <w:szCs w:val="18"/>
                <w:highlight w:val="none"/>
              </w:rPr>
            </w:pPr>
          </w:p>
        </w:tc>
        <w:tc>
          <w:tcPr>
            <w:tcW w:w="1186" w:type="dxa"/>
            <w:noWrap w:val="0"/>
            <w:vAlign w:val="center"/>
          </w:tcPr>
          <w:p w14:paraId="0364B7C9">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1C00602B">
            <w:pPr>
              <w:pStyle w:val="14"/>
              <w:ind w:left="5250"/>
              <w:rPr>
                <w:rFonts w:hint="eastAsia" w:ascii="宋体" w:hAnsi="宋体" w:eastAsia="宋体" w:cs="宋体"/>
                <w:color w:val="auto"/>
                <w:kern w:val="0"/>
                <w:sz w:val="18"/>
                <w:szCs w:val="18"/>
                <w:highlight w:val="none"/>
              </w:rPr>
            </w:pPr>
          </w:p>
        </w:tc>
      </w:tr>
      <w:tr w14:paraId="24D9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04DFE5D">
            <w:pPr>
              <w:rPr>
                <w:rFonts w:hint="eastAsia" w:ascii="宋体" w:hAnsi="宋体" w:eastAsia="宋体" w:cs="宋体"/>
                <w:color w:val="auto"/>
                <w:kern w:val="0"/>
                <w:sz w:val="18"/>
                <w:szCs w:val="18"/>
                <w:highlight w:val="none"/>
              </w:rPr>
            </w:pPr>
          </w:p>
        </w:tc>
        <w:tc>
          <w:tcPr>
            <w:tcW w:w="948" w:type="dxa"/>
            <w:noWrap w:val="0"/>
            <w:vAlign w:val="center"/>
          </w:tcPr>
          <w:p w14:paraId="05FD2534">
            <w:pPr>
              <w:rPr>
                <w:rFonts w:hint="eastAsia" w:ascii="宋体" w:hAnsi="宋体" w:eastAsia="宋体" w:cs="宋体"/>
                <w:color w:val="auto"/>
                <w:kern w:val="0"/>
                <w:sz w:val="18"/>
                <w:szCs w:val="18"/>
                <w:highlight w:val="none"/>
              </w:rPr>
            </w:pPr>
          </w:p>
        </w:tc>
        <w:tc>
          <w:tcPr>
            <w:tcW w:w="720" w:type="dxa"/>
            <w:noWrap w:val="0"/>
            <w:vAlign w:val="center"/>
          </w:tcPr>
          <w:p w14:paraId="2CC4714C">
            <w:pPr>
              <w:rPr>
                <w:rFonts w:hint="eastAsia" w:ascii="宋体" w:hAnsi="宋体" w:eastAsia="宋体" w:cs="宋体"/>
                <w:color w:val="auto"/>
                <w:kern w:val="0"/>
                <w:sz w:val="18"/>
                <w:szCs w:val="18"/>
                <w:highlight w:val="none"/>
              </w:rPr>
            </w:pPr>
          </w:p>
        </w:tc>
        <w:tc>
          <w:tcPr>
            <w:tcW w:w="720" w:type="dxa"/>
            <w:noWrap w:val="0"/>
            <w:vAlign w:val="center"/>
          </w:tcPr>
          <w:p w14:paraId="617BD9E5">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32DAC74A">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63539092">
            <w:pPr>
              <w:rPr>
                <w:rFonts w:hint="eastAsia" w:ascii="宋体" w:hAnsi="宋体" w:eastAsia="宋体" w:cs="宋体"/>
                <w:color w:val="auto"/>
                <w:kern w:val="0"/>
                <w:sz w:val="18"/>
                <w:szCs w:val="18"/>
                <w:highlight w:val="none"/>
              </w:rPr>
            </w:pPr>
          </w:p>
        </w:tc>
        <w:tc>
          <w:tcPr>
            <w:tcW w:w="821" w:type="dxa"/>
            <w:noWrap w:val="0"/>
            <w:vAlign w:val="center"/>
          </w:tcPr>
          <w:p w14:paraId="7DA10B19">
            <w:pPr>
              <w:rPr>
                <w:rFonts w:hint="eastAsia" w:ascii="宋体" w:hAnsi="宋体" w:eastAsia="宋体" w:cs="宋体"/>
                <w:color w:val="auto"/>
                <w:kern w:val="0"/>
                <w:sz w:val="18"/>
                <w:szCs w:val="18"/>
                <w:highlight w:val="none"/>
              </w:rPr>
            </w:pPr>
          </w:p>
        </w:tc>
        <w:tc>
          <w:tcPr>
            <w:tcW w:w="1186" w:type="dxa"/>
            <w:noWrap w:val="0"/>
            <w:vAlign w:val="center"/>
          </w:tcPr>
          <w:p w14:paraId="6182C09D">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529045FD">
            <w:pPr>
              <w:rPr>
                <w:rFonts w:hint="eastAsia" w:ascii="宋体" w:hAnsi="宋体" w:eastAsia="宋体" w:cs="宋体"/>
                <w:color w:val="auto"/>
                <w:kern w:val="0"/>
                <w:sz w:val="18"/>
                <w:szCs w:val="18"/>
                <w:highlight w:val="none"/>
              </w:rPr>
            </w:pPr>
          </w:p>
        </w:tc>
      </w:tr>
      <w:tr w14:paraId="160E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6E793A3D">
            <w:pPr>
              <w:rPr>
                <w:rFonts w:hint="eastAsia" w:ascii="宋体" w:hAnsi="宋体" w:eastAsia="宋体" w:cs="宋体"/>
                <w:color w:val="auto"/>
                <w:kern w:val="0"/>
                <w:sz w:val="18"/>
                <w:szCs w:val="18"/>
                <w:highlight w:val="none"/>
              </w:rPr>
            </w:pPr>
          </w:p>
        </w:tc>
        <w:tc>
          <w:tcPr>
            <w:tcW w:w="948" w:type="dxa"/>
            <w:noWrap w:val="0"/>
            <w:vAlign w:val="center"/>
          </w:tcPr>
          <w:p w14:paraId="595C8825">
            <w:pPr>
              <w:rPr>
                <w:rFonts w:hint="eastAsia" w:ascii="宋体" w:hAnsi="宋体" w:eastAsia="宋体" w:cs="宋体"/>
                <w:color w:val="auto"/>
                <w:kern w:val="0"/>
                <w:sz w:val="18"/>
                <w:szCs w:val="18"/>
                <w:highlight w:val="none"/>
              </w:rPr>
            </w:pPr>
          </w:p>
        </w:tc>
        <w:tc>
          <w:tcPr>
            <w:tcW w:w="720" w:type="dxa"/>
            <w:noWrap w:val="0"/>
            <w:vAlign w:val="center"/>
          </w:tcPr>
          <w:p w14:paraId="722DB917">
            <w:pPr>
              <w:rPr>
                <w:rFonts w:hint="eastAsia" w:ascii="宋体" w:hAnsi="宋体" w:eastAsia="宋体" w:cs="宋体"/>
                <w:color w:val="auto"/>
                <w:kern w:val="0"/>
                <w:sz w:val="18"/>
                <w:szCs w:val="18"/>
                <w:highlight w:val="none"/>
              </w:rPr>
            </w:pPr>
          </w:p>
        </w:tc>
        <w:tc>
          <w:tcPr>
            <w:tcW w:w="720" w:type="dxa"/>
            <w:noWrap w:val="0"/>
            <w:vAlign w:val="center"/>
          </w:tcPr>
          <w:p w14:paraId="50052405">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3EB679AC">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0F46AD2C">
            <w:pPr>
              <w:rPr>
                <w:rFonts w:hint="eastAsia" w:ascii="宋体" w:hAnsi="宋体" w:eastAsia="宋体" w:cs="宋体"/>
                <w:color w:val="auto"/>
                <w:kern w:val="0"/>
                <w:sz w:val="18"/>
                <w:szCs w:val="18"/>
                <w:highlight w:val="none"/>
              </w:rPr>
            </w:pPr>
          </w:p>
        </w:tc>
        <w:tc>
          <w:tcPr>
            <w:tcW w:w="821" w:type="dxa"/>
            <w:noWrap w:val="0"/>
            <w:vAlign w:val="center"/>
          </w:tcPr>
          <w:p w14:paraId="2D44AA4D">
            <w:pPr>
              <w:rPr>
                <w:rFonts w:hint="eastAsia" w:ascii="宋体" w:hAnsi="宋体" w:eastAsia="宋体" w:cs="宋体"/>
                <w:color w:val="auto"/>
                <w:kern w:val="0"/>
                <w:sz w:val="18"/>
                <w:szCs w:val="18"/>
                <w:highlight w:val="none"/>
              </w:rPr>
            </w:pPr>
          </w:p>
        </w:tc>
        <w:tc>
          <w:tcPr>
            <w:tcW w:w="1186" w:type="dxa"/>
            <w:noWrap w:val="0"/>
            <w:vAlign w:val="center"/>
          </w:tcPr>
          <w:p w14:paraId="64513B06">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332BAF53">
            <w:pPr>
              <w:rPr>
                <w:rFonts w:hint="eastAsia" w:ascii="宋体" w:hAnsi="宋体" w:eastAsia="宋体" w:cs="宋体"/>
                <w:color w:val="auto"/>
                <w:kern w:val="0"/>
                <w:sz w:val="18"/>
                <w:szCs w:val="18"/>
                <w:highlight w:val="none"/>
              </w:rPr>
            </w:pPr>
          </w:p>
        </w:tc>
      </w:tr>
      <w:tr w14:paraId="69AA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3C35C061">
            <w:pPr>
              <w:rPr>
                <w:rFonts w:hint="eastAsia" w:ascii="宋体" w:hAnsi="宋体" w:eastAsia="宋体" w:cs="宋体"/>
                <w:color w:val="auto"/>
                <w:kern w:val="0"/>
                <w:sz w:val="18"/>
                <w:szCs w:val="18"/>
                <w:highlight w:val="none"/>
              </w:rPr>
            </w:pPr>
          </w:p>
        </w:tc>
        <w:tc>
          <w:tcPr>
            <w:tcW w:w="948" w:type="dxa"/>
            <w:noWrap w:val="0"/>
            <w:vAlign w:val="center"/>
          </w:tcPr>
          <w:p w14:paraId="6D04E772">
            <w:pPr>
              <w:rPr>
                <w:rFonts w:hint="eastAsia" w:ascii="宋体" w:hAnsi="宋体" w:eastAsia="宋体" w:cs="宋体"/>
                <w:color w:val="auto"/>
                <w:kern w:val="0"/>
                <w:sz w:val="18"/>
                <w:szCs w:val="18"/>
                <w:highlight w:val="none"/>
              </w:rPr>
            </w:pPr>
          </w:p>
        </w:tc>
        <w:tc>
          <w:tcPr>
            <w:tcW w:w="720" w:type="dxa"/>
            <w:noWrap w:val="0"/>
            <w:vAlign w:val="center"/>
          </w:tcPr>
          <w:p w14:paraId="4E3D93BB">
            <w:pPr>
              <w:rPr>
                <w:rFonts w:hint="eastAsia" w:ascii="宋体" w:hAnsi="宋体" w:eastAsia="宋体" w:cs="宋体"/>
                <w:color w:val="auto"/>
                <w:kern w:val="0"/>
                <w:sz w:val="18"/>
                <w:szCs w:val="18"/>
                <w:highlight w:val="none"/>
              </w:rPr>
            </w:pPr>
          </w:p>
        </w:tc>
        <w:tc>
          <w:tcPr>
            <w:tcW w:w="720" w:type="dxa"/>
            <w:noWrap w:val="0"/>
            <w:vAlign w:val="center"/>
          </w:tcPr>
          <w:p w14:paraId="39E1BD57">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54ECF8EC">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486A366F">
            <w:pPr>
              <w:rPr>
                <w:rFonts w:hint="eastAsia" w:ascii="宋体" w:hAnsi="宋体" w:eastAsia="宋体" w:cs="宋体"/>
                <w:color w:val="auto"/>
                <w:kern w:val="0"/>
                <w:sz w:val="18"/>
                <w:szCs w:val="18"/>
                <w:highlight w:val="none"/>
              </w:rPr>
            </w:pPr>
          </w:p>
        </w:tc>
        <w:tc>
          <w:tcPr>
            <w:tcW w:w="821" w:type="dxa"/>
            <w:noWrap w:val="0"/>
            <w:vAlign w:val="center"/>
          </w:tcPr>
          <w:p w14:paraId="4321A626">
            <w:pPr>
              <w:rPr>
                <w:rFonts w:hint="eastAsia" w:ascii="宋体" w:hAnsi="宋体" w:eastAsia="宋体" w:cs="宋体"/>
                <w:color w:val="auto"/>
                <w:kern w:val="0"/>
                <w:sz w:val="18"/>
                <w:szCs w:val="18"/>
                <w:highlight w:val="none"/>
              </w:rPr>
            </w:pPr>
          </w:p>
        </w:tc>
        <w:tc>
          <w:tcPr>
            <w:tcW w:w="1186" w:type="dxa"/>
            <w:noWrap w:val="0"/>
            <w:vAlign w:val="center"/>
          </w:tcPr>
          <w:p w14:paraId="66DCE5EF">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1B2E74B7">
            <w:pPr>
              <w:rPr>
                <w:rFonts w:hint="eastAsia" w:ascii="宋体" w:hAnsi="宋体" w:eastAsia="宋体" w:cs="宋体"/>
                <w:color w:val="auto"/>
                <w:kern w:val="0"/>
                <w:sz w:val="18"/>
                <w:szCs w:val="18"/>
                <w:highlight w:val="none"/>
              </w:rPr>
            </w:pPr>
          </w:p>
        </w:tc>
      </w:tr>
      <w:tr w14:paraId="1A5C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1DF4760D">
            <w:pPr>
              <w:rPr>
                <w:rFonts w:hint="eastAsia" w:ascii="宋体" w:hAnsi="宋体" w:eastAsia="宋体" w:cs="宋体"/>
                <w:color w:val="auto"/>
                <w:kern w:val="0"/>
                <w:sz w:val="18"/>
                <w:szCs w:val="18"/>
                <w:highlight w:val="none"/>
              </w:rPr>
            </w:pPr>
          </w:p>
        </w:tc>
        <w:tc>
          <w:tcPr>
            <w:tcW w:w="948" w:type="dxa"/>
            <w:noWrap w:val="0"/>
            <w:vAlign w:val="center"/>
          </w:tcPr>
          <w:p w14:paraId="5A832440">
            <w:pPr>
              <w:rPr>
                <w:rFonts w:hint="eastAsia" w:ascii="宋体" w:hAnsi="宋体" w:eastAsia="宋体" w:cs="宋体"/>
                <w:color w:val="auto"/>
                <w:kern w:val="0"/>
                <w:sz w:val="18"/>
                <w:szCs w:val="18"/>
                <w:highlight w:val="none"/>
              </w:rPr>
            </w:pPr>
          </w:p>
        </w:tc>
        <w:tc>
          <w:tcPr>
            <w:tcW w:w="720" w:type="dxa"/>
            <w:noWrap w:val="0"/>
            <w:vAlign w:val="center"/>
          </w:tcPr>
          <w:p w14:paraId="1BFC2EFF">
            <w:pPr>
              <w:rPr>
                <w:rFonts w:hint="eastAsia" w:ascii="宋体" w:hAnsi="宋体" w:eastAsia="宋体" w:cs="宋体"/>
                <w:color w:val="auto"/>
                <w:kern w:val="0"/>
                <w:sz w:val="18"/>
                <w:szCs w:val="18"/>
                <w:highlight w:val="none"/>
              </w:rPr>
            </w:pPr>
          </w:p>
        </w:tc>
        <w:tc>
          <w:tcPr>
            <w:tcW w:w="720" w:type="dxa"/>
            <w:noWrap w:val="0"/>
            <w:vAlign w:val="center"/>
          </w:tcPr>
          <w:p w14:paraId="59BD7D88">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14:paraId="25BAF5A9">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14:paraId="4DA1EB9C">
            <w:pPr>
              <w:rPr>
                <w:rFonts w:hint="eastAsia" w:ascii="宋体" w:hAnsi="宋体" w:eastAsia="宋体" w:cs="宋体"/>
                <w:color w:val="auto"/>
                <w:kern w:val="0"/>
                <w:sz w:val="18"/>
                <w:szCs w:val="18"/>
                <w:highlight w:val="none"/>
              </w:rPr>
            </w:pPr>
          </w:p>
        </w:tc>
        <w:tc>
          <w:tcPr>
            <w:tcW w:w="821" w:type="dxa"/>
            <w:noWrap w:val="0"/>
            <w:vAlign w:val="center"/>
          </w:tcPr>
          <w:p w14:paraId="448E50A1">
            <w:pPr>
              <w:rPr>
                <w:rFonts w:hint="eastAsia" w:ascii="宋体" w:hAnsi="宋体" w:eastAsia="宋体" w:cs="宋体"/>
                <w:color w:val="auto"/>
                <w:kern w:val="0"/>
                <w:sz w:val="18"/>
                <w:szCs w:val="18"/>
                <w:highlight w:val="none"/>
              </w:rPr>
            </w:pPr>
          </w:p>
        </w:tc>
        <w:tc>
          <w:tcPr>
            <w:tcW w:w="1186" w:type="dxa"/>
            <w:noWrap w:val="0"/>
            <w:vAlign w:val="center"/>
          </w:tcPr>
          <w:p w14:paraId="2783D085">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0A690534">
            <w:pPr>
              <w:rPr>
                <w:rFonts w:hint="eastAsia" w:ascii="宋体" w:hAnsi="宋体" w:eastAsia="宋体" w:cs="宋体"/>
                <w:color w:val="auto"/>
                <w:kern w:val="0"/>
                <w:sz w:val="18"/>
                <w:szCs w:val="18"/>
                <w:highlight w:val="none"/>
              </w:rPr>
            </w:pPr>
          </w:p>
        </w:tc>
      </w:tr>
      <w:tr w14:paraId="4FC7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1F9C0F33">
            <w:pPr>
              <w:rPr>
                <w:rFonts w:hint="eastAsia" w:ascii="宋体" w:hAnsi="宋体" w:eastAsia="宋体" w:cs="宋体"/>
                <w:color w:val="auto"/>
                <w:kern w:val="0"/>
                <w:sz w:val="18"/>
                <w:szCs w:val="18"/>
                <w:highlight w:val="none"/>
              </w:rPr>
            </w:pPr>
          </w:p>
        </w:tc>
        <w:tc>
          <w:tcPr>
            <w:tcW w:w="948" w:type="dxa"/>
            <w:noWrap w:val="0"/>
            <w:vAlign w:val="center"/>
          </w:tcPr>
          <w:p w14:paraId="1D18CDDB">
            <w:pPr>
              <w:rPr>
                <w:rFonts w:hint="eastAsia" w:ascii="宋体" w:hAnsi="宋体" w:eastAsia="宋体" w:cs="宋体"/>
                <w:color w:val="auto"/>
                <w:kern w:val="0"/>
                <w:sz w:val="18"/>
                <w:szCs w:val="18"/>
                <w:highlight w:val="none"/>
              </w:rPr>
            </w:pPr>
          </w:p>
        </w:tc>
        <w:tc>
          <w:tcPr>
            <w:tcW w:w="720" w:type="dxa"/>
            <w:noWrap w:val="0"/>
            <w:vAlign w:val="center"/>
          </w:tcPr>
          <w:p w14:paraId="3556D23F">
            <w:pPr>
              <w:rPr>
                <w:rFonts w:hint="eastAsia" w:ascii="宋体" w:hAnsi="宋体" w:eastAsia="宋体" w:cs="宋体"/>
                <w:color w:val="auto"/>
                <w:kern w:val="0"/>
                <w:sz w:val="18"/>
                <w:szCs w:val="18"/>
                <w:highlight w:val="none"/>
              </w:rPr>
            </w:pPr>
          </w:p>
        </w:tc>
        <w:tc>
          <w:tcPr>
            <w:tcW w:w="720" w:type="dxa"/>
            <w:noWrap w:val="0"/>
            <w:vAlign w:val="center"/>
          </w:tcPr>
          <w:p w14:paraId="5739112F">
            <w:pPr>
              <w:rPr>
                <w:rFonts w:hint="eastAsia" w:ascii="宋体" w:hAnsi="宋体" w:eastAsia="宋体" w:cs="宋体"/>
                <w:color w:val="auto"/>
                <w:kern w:val="0"/>
                <w:sz w:val="18"/>
                <w:szCs w:val="18"/>
                <w:highlight w:val="none"/>
              </w:rPr>
            </w:pPr>
          </w:p>
        </w:tc>
        <w:tc>
          <w:tcPr>
            <w:tcW w:w="780" w:type="dxa"/>
            <w:noWrap w:val="0"/>
            <w:vAlign w:val="center"/>
          </w:tcPr>
          <w:p w14:paraId="4B963791">
            <w:pPr>
              <w:rPr>
                <w:rFonts w:hint="eastAsia" w:ascii="宋体" w:hAnsi="宋体" w:eastAsia="宋体" w:cs="宋体"/>
                <w:color w:val="auto"/>
                <w:kern w:val="0"/>
                <w:sz w:val="18"/>
                <w:szCs w:val="18"/>
                <w:highlight w:val="none"/>
              </w:rPr>
            </w:pPr>
          </w:p>
        </w:tc>
        <w:tc>
          <w:tcPr>
            <w:tcW w:w="900" w:type="dxa"/>
            <w:noWrap w:val="0"/>
            <w:vAlign w:val="center"/>
          </w:tcPr>
          <w:p w14:paraId="11A986ED">
            <w:pPr>
              <w:rPr>
                <w:rFonts w:hint="eastAsia" w:ascii="宋体" w:hAnsi="宋体" w:eastAsia="宋体" w:cs="宋体"/>
                <w:color w:val="auto"/>
                <w:kern w:val="0"/>
                <w:sz w:val="18"/>
                <w:szCs w:val="18"/>
                <w:highlight w:val="none"/>
              </w:rPr>
            </w:pPr>
          </w:p>
        </w:tc>
        <w:tc>
          <w:tcPr>
            <w:tcW w:w="821" w:type="dxa"/>
            <w:noWrap w:val="0"/>
            <w:vAlign w:val="center"/>
          </w:tcPr>
          <w:p w14:paraId="1EE8E15C">
            <w:pPr>
              <w:rPr>
                <w:rFonts w:hint="eastAsia" w:ascii="宋体" w:hAnsi="宋体" w:eastAsia="宋体" w:cs="宋体"/>
                <w:color w:val="auto"/>
                <w:kern w:val="0"/>
                <w:sz w:val="18"/>
                <w:szCs w:val="18"/>
                <w:highlight w:val="none"/>
              </w:rPr>
            </w:pPr>
          </w:p>
        </w:tc>
        <w:tc>
          <w:tcPr>
            <w:tcW w:w="1186" w:type="dxa"/>
            <w:noWrap w:val="0"/>
            <w:vAlign w:val="center"/>
          </w:tcPr>
          <w:p w14:paraId="3E25FD87">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0F47A5B5">
            <w:pPr>
              <w:rPr>
                <w:rFonts w:hint="eastAsia" w:ascii="宋体" w:hAnsi="宋体" w:eastAsia="宋体" w:cs="宋体"/>
                <w:color w:val="auto"/>
                <w:kern w:val="0"/>
                <w:sz w:val="18"/>
                <w:szCs w:val="18"/>
                <w:highlight w:val="none"/>
              </w:rPr>
            </w:pPr>
          </w:p>
        </w:tc>
      </w:tr>
      <w:tr w14:paraId="7B31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69DC5C79">
            <w:pPr>
              <w:rPr>
                <w:rFonts w:hint="eastAsia" w:ascii="宋体" w:hAnsi="宋体" w:eastAsia="宋体" w:cs="宋体"/>
                <w:color w:val="auto"/>
                <w:kern w:val="0"/>
                <w:sz w:val="18"/>
                <w:szCs w:val="18"/>
                <w:highlight w:val="none"/>
              </w:rPr>
            </w:pPr>
          </w:p>
        </w:tc>
        <w:tc>
          <w:tcPr>
            <w:tcW w:w="948" w:type="dxa"/>
            <w:noWrap w:val="0"/>
            <w:vAlign w:val="center"/>
          </w:tcPr>
          <w:p w14:paraId="0F789527">
            <w:pPr>
              <w:rPr>
                <w:rFonts w:hint="eastAsia" w:ascii="宋体" w:hAnsi="宋体" w:eastAsia="宋体" w:cs="宋体"/>
                <w:color w:val="auto"/>
                <w:kern w:val="0"/>
                <w:sz w:val="18"/>
                <w:szCs w:val="18"/>
                <w:highlight w:val="none"/>
              </w:rPr>
            </w:pPr>
          </w:p>
        </w:tc>
        <w:tc>
          <w:tcPr>
            <w:tcW w:w="720" w:type="dxa"/>
            <w:noWrap w:val="0"/>
            <w:vAlign w:val="center"/>
          </w:tcPr>
          <w:p w14:paraId="443867B9">
            <w:pPr>
              <w:rPr>
                <w:rFonts w:hint="eastAsia" w:ascii="宋体" w:hAnsi="宋体" w:eastAsia="宋体" w:cs="宋体"/>
                <w:color w:val="auto"/>
                <w:kern w:val="0"/>
                <w:sz w:val="18"/>
                <w:szCs w:val="18"/>
                <w:highlight w:val="none"/>
              </w:rPr>
            </w:pPr>
          </w:p>
        </w:tc>
        <w:tc>
          <w:tcPr>
            <w:tcW w:w="720" w:type="dxa"/>
            <w:noWrap w:val="0"/>
            <w:vAlign w:val="center"/>
          </w:tcPr>
          <w:p w14:paraId="21B081F6">
            <w:pPr>
              <w:rPr>
                <w:rFonts w:hint="eastAsia" w:ascii="宋体" w:hAnsi="宋体" w:eastAsia="宋体" w:cs="宋体"/>
                <w:color w:val="auto"/>
                <w:kern w:val="0"/>
                <w:sz w:val="18"/>
                <w:szCs w:val="18"/>
                <w:highlight w:val="none"/>
              </w:rPr>
            </w:pPr>
          </w:p>
        </w:tc>
        <w:tc>
          <w:tcPr>
            <w:tcW w:w="780" w:type="dxa"/>
            <w:noWrap w:val="0"/>
            <w:vAlign w:val="center"/>
          </w:tcPr>
          <w:p w14:paraId="64935853">
            <w:pPr>
              <w:rPr>
                <w:rFonts w:hint="eastAsia" w:ascii="宋体" w:hAnsi="宋体" w:eastAsia="宋体" w:cs="宋体"/>
                <w:color w:val="auto"/>
                <w:kern w:val="0"/>
                <w:sz w:val="18"/>
                <w:szCs w:val="18"/>
                <w:highlight w:val="none"/>
              </w:rPr>
            </w:pPr>
          </w:p>
        </w:tc>
        <w:tc>
          <w:tcPr>
            <w:tcW w:w="900" w:type="dxa"/>
            <w:noWrap w:val="0"/>
            <w:vAlign w:val="center"/>
          </w:tcPr>
          <w:p w14:paraId="69C088D2">
            <w:pPr>
              <w:rPr>
                <w:rFonts w:hint="eastAsia" w:ascii="宋体" w:hAnsi="宋体" w:eastAsia="宋体" w:cs="宋体"/>
                <w:color w:val="auto"/>
                <w:kern w:val="0"/>
                <w:sz w:val="18"/>
                <w:szCs w:val="18"/>
                <w:highlight w:val="none"/>
              </w:rPr>
            </w:pPr>
          </w:p>
        </w:tc>
        <w:tc>
          <w:tcPr>
            <w:tcW w:w="821" w:type="dxa"/>
            <w:noWrap w:val="0"/>
            <w:vAlign w:val="center"/>
          </w:tcPr>
          <w:p w14:paraId="10C834AD">
            <w:pPr>
              <w:rPr>
                <w:rFonts w:hint="eastAsia" w:ascii="宋体" w:hAnsi="宋体" w:eastAsia="宋体" w:cs="宋体"/>
                <w:color w:val="auto"/>
                <w:kern w:val="0"/>
                <w:sz w:val="18"/>
                <w:szCs w:val="18"/>
                <w:highlight w:val="none"/>
              </w:rPr>
            </w:pPr>
          </w:p>
        </w:tc>
        <w:tc>
          <w:tcPr>
            <w:tcW w:w="1186" w:type="dxa"/>
            <w:noWrap w:val="0"/>
            <w:vAlign w:val="center"/>
          </w:tcPr>
          <w:p w14:paraId="123F92E7">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634C364F">
            <w:pPr>
              <w:rPr>
                <w:rFonts w:hint="eastAsia" w:ascii="宋体" w:hAnsi="宋体" w:eastAsia="宋体" w:cs="宋体"/>
                <w:color w:val="auto"/>
                <w:kern w:val="0"/>
                <w:sz w:val="18"/>
                <w:szCs w:val="18"/>
                <w:highlight w:val="none"/>
              </w:rPr>
            </w:pPr>
          </w:p>
        </w:tc>
      </w:tr>
      <w:tr w14:paraId="351F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3A4C2F44">
            <w:pPr>
              <w:rPr>
                <w:rFonts w:hint="eastAsia" w:ascii="宋体" w:hAnsi="宋体" w:eastAsia="宋体" w:cs="宋体"/>
                <w:color w:val="auto"/>
                <w:kern w:val="0"/>
                <w:sz w:val="18"/>
                <w:szCs w:val="18"/>
                <w:highlight w:val="none"/>
              </w:rPr>
            </w:pPr>
          </w:p>
        </w:tc>
        <w:tc>
          <w:tcPr>
            <w:tcW w:w="948" w:type="dxa"/>
            <w:noWrap w:val="0"/>
            <w:vAlign w:val="center"/>
          </w:tcPr>
          <w:p w14:paraId="4481D8F9">
            <w:pPr>
              <w:rPr>
                <w:rFonts w:hint="eastAsia" w:ascii="宋体" w:hAnsi="宋体" w:eastAsia="宋体" w:cs="宋体"/>
                <w:color w:val="auto"/>
                <w:kern w:val="0"/>
                <w:sz w:val="18"/>
                <w:szCs w:val="18"/>
                <w:highlight w:val="none"/>
              </w:rPr>
            </w:pPr>
          </w:p>
        </w:tc>
        <w:tc>
          <w:tcPr>
            <w:tcW w:w="720" w:type="dxa"/>
            <w:noWrap w:val="0"/>
            <w:vAlign w:val="center"/>
          </w:tcPr>
          <w:p w14:paraId="486E586A">
            <w:pPr>
              <w:rPr>
                <w:rFonts w:hint="eastAsia" w:ascii="宋体" w:hAnsi="宋体" w:eastAsia="宋体" w:cs="宋体"/>
                <w:color w:val="auto"/>
                <w:kern w:val="0"/>
                <w:sz w:val="18"/>
                <w:szCs w:val="18"/>
                <w:highlight w:val="none"/>
              </w:rPr>
            </w:pPr>
          </w:p>
        </w:tc>
        <w:tc>
          <w:tcPr>
            <w:tcW w:w="720" w:type="dxa"/>
            <w:noWrap w:val="0"/>
            <w:vAlign w:val="center"/>
          </w:tcPr>
          <w:p w14:paraId="56627C6F">
            <w:pPr>
              <w:rPr>
                <w:rFonts w:hint="eastAsia" w:ascii="宋体" w:hAnsi="宋体" w:eastAsia="宋体" w:cs="宋体"/>
                <w:color w:val="auto"/>
                <w:kern w:val="0"/>
                <w:sz w:val="18"/>
                <w:szCs w:val="18"/>
                <w:highlight w:val="none"/>
              </w:rPr>
            </w:pPr>
          </w:p>
        </w:tc>
        <w:tc>
          <w:tcPr>
            <w:tcW w:w="780" w:type="dxa"/>
            <w:noWrap w:val="0"/>
            <w:vAlign w:val="center"/>
          </w:tcPr>
          <w:p w14:paraId="3E4EB5E9">
            <w:pPr>
              <w:rPr>
                <w:rFonts w:hint="eastAsia" w:ascii="宋体" w:hAnsi="宋体" w:eastAsia="宋体" w:cs="宋体"/>
                <w:color w:val="auto"/>
                <w:kern w:val="0"/>
                <w:sz w:val="18"/>
                <w:szCs w:val="18"/>
                <w:highlight w:val="none"/>
              </w:rPr>
            </w:pPr>
          </w:p>
        </w:tc>
        <w:tc>
          <w:tcPr>
            <w:tcW w:w="900" w:type="dxa"/>
            <w:noWrap w:val="0"/>
            <w:vAlign w:val="center"/>
          </w:tcPr>
          <w:p w14:paraId="33D545E3">
            <w:pPr>
              <w:rPr>
                <w:rFonts w:hint="eastAsia" w:ascii="宋体" w:hAnsi="宋体" w:eastAsia="宋体" w:cs="宋体"/>
                <w:color w:val="auto"/>
                <w:kern w:val="0"/>
                <w:sz w:val="18"/>
                <w:szCs w:val="18"/>
                <w:highlight w:val="none"/>
              </w:rPr>
            </w:pPr>
          </w:p>
        </w:tc>
        <w:tc>
          <w:tcPr>
            <w:tcW w:w="821" w:type="dxa"/>
            <w:noWrap w:val="0"/>
            <w:vAlign w:val="center"/>
          </w:tcPr>
          <w:p w14:paraId="3886AB56">
            <w:pPr>
              <w:rPr>
                <w:rFonts w:hint="eastAsia" w:ascii="宋体" w:hAnsi="宋体" w:eastAsia="宋体" w:cs="宋体"/>
                <w:color w:val="auto"/>
                <w:kern w:val="0"/>
                <w:sz w:val="18"/>
                <w:szCs w:val="18"/>
                <w:highlight w:val="none"/>
              </w:rPr>
            </w:pPr>
          </w:p>
        </w:tc>
        <w:tc>
          <w:tcPr>
            <w:tcW w:w="1186" w:type="dxa"/>
            <w:noWrap w:val="0"/>
            <w:vAlign w:val="center"/>
          </w:tcPr>
          <w:p w14:paraId="27A53638">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323C1426">
            <w:pPr>
              <w:rPr>
                <w:rFonts w:hint="eastAsia" w:ascii="宋体" w:hAnsi="宋体" w:eastAsia="宋体" w:cs="宋体"/>
                <w:color w:val="auto"/>
                <w:kern w:val="0"/>
                <w:sz w:val="18"/>
                <w:szCs w:val="18"/>
                <w:highlight w:val="none"/>
              </w:rPr>
            </w:pPr>
          </w:p>
        </w:tc>
      </w:tr>
      <w:tr w14:paraId="3FE6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2F510BA3">
            <w:pPr>
              <w:rPr>
                <w:rFonts w:hint="eastAsia" w:ascii="宋体" w:hAnsi="宋体" w:eastAsia="宋体" w:cs="宋体"/>
                <w:color w:val="auto"/>
                <w:kern w:val="0"/>
                <w:sz w:val="18"/>
                <w:szCs w:val="18"/>
                <w:highlight w:val="none"/>
              </w:rPr>
            </w:pPr>
          </w:p>
        </w:tc>
        <w:tc>
          <w:tcPr>
            <w:tcW w:w="948" w:type="dxa"/>
            <w:noWrap w:val="0"/>
            <w:vAlign w:val="center"/>
          </w:tcPr>
          <w:p w14:paraId="1C957719">
            <w:pPr>
              <w:rPr>
                <w:rFonts w:hint="eastAsia" w:ascii="宋体" w:hAnsi="宋体" w:eastAsia="宋体" w:cs="宋体"/>
                <w:color w:val="auto"/>
                <w:kern w:val="0"/>
                <w:sz w:val="18"/>
                <w:szCs w:val="18"/>
                <w:highlight w:val="none"/>
              </w:rPr>
            </w:pPr>
          </w:p>
        </w:tc>
        <w:tc>
          <w:tcPr>
            <w:tcW w:w="720" w:type="dxa"/>
            <w:noWrap w:val="0"/>
            <w:vAlign w:val="center"/>
          </w:tcPr>
          <w:p w14:paraId="12DB45CE">
            <w:pPr>
              <w:rPr>
                <w:rFonts w:hint="eastAsia" w:ascii="宋体" w:hAnsi="宋体" w:eastAsia="宋体" w:cs="宋体"/>
                <w:color w:val="auto"/>
                <w:kern w:val="0"/>
                <w:sz w:val="18"/>
                <w:szCs w:val="18"/>
                <w:highlight w:val="none"/>
              </w:rPr>
            </w:pPr>
          </w:p>
        </w:tc>
        <w:tc>
          <w:tcPr>
            <w:tcW w:w="720" w:type="dxa"/>
            <w:noWrap w:val="0"/>
            <w:vAlign w:val="center"/>
          </w:tcPr>
          <w:p w14:paraId="6DACE407">
            <w:pPr>
              <w:rPr>
                <w:rFonts w:hint="eastAsia" w:ascii="宋体" w:hAnsi="宋体" w:eastAsia="宋体" w:cs="宋体"/>
                <w:color w:val="auto"/>
                <w:kern w:val="0"/>
                <w:sz w:val="18"/>
                <w:szCs w:val="18"/>
                <w:highlight w:val="none"/>
              </w:rPr>
            </w:pPr>
          </w:p>
        </w:tc>
        <w:tc>
          <w:tcPr>
            <w:tcW w:w="780" w:type="dxa"/>
            <w:noWrap w:val="0"/>
            <w:vAlign w:val="center"/>
          </w:tcPr>
          <w:p w14:paraId="51A6B4CC">
            <w:pPr>
              <w:rPr>
                <w:rFonts w:hint="eastAsia" w:ascii="宋体" w:hAnsi="宋体" w:eastAsia="宋体" w:cs="宋体"/>
                <w:color w:val="auto"/>
                <w:kern w:val="0"/>
                <w:sz w:val="18"/>
                <w:szCs w:val="18"/>
                <w:highlight w:val="none"/>
              </w:rPr>
            </w:pPr>
          </w:p>
        </w:tc>
        <w:tc>
          <w:tcPr>
            <w:tcW w:w="900" w:type="dxa"/>
            <w:noWrap w:val="0"/>
            <w:vAlign w:val="center"/>
          </w:tcPr>
          <w:p w14:paraId="5E526A9D">
            <w:pPr>
              <w:rPr>
                <w:rFonts w:hint="eastAsia" w:ascii="宋体" w:hAnsi="宋体" w:eastAsia="宋体" w:cs="宋体"/>
                <w:color w:val="auto"/>
                <w:kern w:val="0"/>
                <w:sz w:val="18"/>
                <w:szCs w:val="18"/>
                <w:highlight w:val="none"/>
              </w:rPr>
            </w:pPr>
          </w:p>
        </w:tc>
        <w:tc>
          <w:tcPr>
            <w:tcW w:w="821" w:type="dxa"/>
            <w:noWrap w:val="0"/>
            <w:vAlign w:val="center"/>
          </w:tcPr>
          <w:p w14:paraId="4DC6EF6E">
            <w:pPr>
              <w:rPr>
                <w:rFonts w:hint="eastAsia" w:ascii="宋体" w:hAnsi="宋体" w:eastAsia="宋体" w:cs="宋体"/>
                <w:color w:val="auto"/>
                <w:kern w:val="0"/>
                <w:sz w:val="18"/>
                <w:szCs w:val="18"/>
                <w:highlight w:val="none"/>
              </w:rPr>
            </w:pPr>
          </w:p>
        </w:tc>
        <w:tc>
          <w:tcPr>
            <w:tcW w:w="1186" w:type="dxa"/>
            <w:noWrap w:val="0"/>
            <w:vAlign w:val="center"/>
          </w:tcPr>
          <w:p w14:paraId="32AA1D33">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6FC7795C">
            <w:pPr>
              <w:rPr>
                <w:rFonts w:hint="eastAsia" w:ascii="宋体" w:hAnsi="宋体" w:eastAsia="宋体" w:cs="宋体"/>
                <w:color w:val="auto"/>
                <w:kern w:val="0"/>
                <w:sz w:val="18"/>
                <w:szCs w:val="18"/>
                <w:highlight w:val="none"/>
              </w:rPr>
            </w:pPr>
          </w:p>
        </w:tc>
      </w:tr>
      <w:tr w14:paraId="2984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7B7B8E36">
            <w:pPr>
              <w:rPr>
                <w:rFonts w:hint="eastAsia" w:ascii="宋体" w:hAnsi="宋体" w:eastAsia="宋体" w:cs="宋体"/>
                <w:color w:val="auto"/>
                <w:kern w:val="0"/>
                <w:sz w:val="18"/>
                <w:szCs w:val="18"/>
                <w:highlight w:val="none"/>
              </w:rPr>
            </w:pPr>
          </w:p>
        </w:tc>
        <w:tc>
          <w:tcPr>
            <w:tcW w:w="948" w:type="dxa"/>
            <w:noWrap w:val="0"/>
            <w:vAlign w:val="center"/>
          </w:tcPr>
          <w:p w14:paraId="52F6CA3B">
            <w:pPr>
              <w:rPr>
                <w:rFonts w:hint="eastAsia" w:ascii="宋体" w:hAnsi="宋体" w:eastAsia="宋体" w:cs="宋体"/>
                <w:color w:val="auto"/>
                <w:kern w:val="0"/>
                <w:sz w:val="18"/>
                <w:szCs w:val="18"/>
                <w:highlight w:val="none"/>
              </w:rPr>
            </w:pPr>
          </w:p>
        </w:tc>
        <w:tc>
          <w:tcPr>
            <w:tcW w:w="720" w:type="dxa"/>
            <w:noWrap w:val="0"/>
            <w:vAlign w:val="center"/>
          </w:tcPr>
          <w:p w14:paraId="7188ED6D">
            <w:pPr>
              <w:rPr>
                <w:rFonts w:hint="eastAsia" w:ascii="宋体" w:hAnsi="宋体" w:eastAsia="宋体" w:cs="宋体"/>
                <w:color w:val="auto"/>
                <w:kern w:val="0"/>
                <w:sz w:val="18"/>
                <w:szCs w:val="18"/>
                <w:highlight w:val="none"/>
              </w:rPr>
            </w:pPr>
          </w:p>
        </w:tc>
        <w:tc>
          <w:tcPr>
            <w:tcW w:w="720" w:type="dxa"/>
            <w:noWrap w:val="0"/>
            <w:vAlign w:val="center"/>
          </w:tcPr>
          <w:p w14:paraId="395CAF14">
            <w:pPr>
              <w:rPr>
                <w:rFonts w:hint="eastAsia" w:ascii="宋体" w:hAnsi="宋体" w:eastAsia="宋体" w:cs="宋体"/>
                <w:color w:val="auto"/>
                <w:kern w:val="0"/>
                <w:sz w:val="18"/>
                <w:szCs w:val="18"/>
                <w:highlight w:val="none"/>
              </w:rPr>
            </w:pPr>
          </w:p>
        </w:tc>
        <w:tc>
          <w:tcPr>
            <w:tcW w:w="780" w:type="dxa"/>
            <w:noWrap w:val="0"/>
            <w:vAlign w:val="center"/>
          </w:tcPr>
          <w:p w14:paraId="38A9451F">
            <w:pPr>
              <w:rPr>
                <w:rFonts w:hint="eastAsia" w:ascii="宋体" w:hAnsi="宋体" w:eastAsia="宋体" w:cs="宋体"/>
                <w:color w:val="auto"/>
                <w:kern w:val="0"/>
                <w:sz w:val="18"/>
                <w:szCs w:val="18"/>
                <w:highlight w:val="none"/>
              </w:rPr>
            </w:pPr>
          </w:p>
        </w:tc>
        <w:tc>
          <w:tcPr>
            <w:tcW w:w="900" w:type="dxa"/>
            <w:noWrap w:val="0"/>
            <w:vAlign w:val="center"/>
          </w:tcPr>
          <w:p w14:paraId="0A423E6C">
            <w:pPr>
              <w:rPr>
                <w:rFonts w:hint="eastAsia" w:ascii="宋体" w:hAnsi="宋体" w:eastAsia="宋体" w:cs="宋体"/>
                <w:color w:val="auto"/>
                <w:kern w:val="0"/>
                <w:sz w:val="18"/>
                <w:szCs w:val="18"/>
                <w:highlight w:val="none"/>
              </w:rPr>
            </w:pPr>
          </w:p>
        </w:tc>
        <w:tc>
          <w:tcPr>
            <w:tcW w:w="821" w:type="dxa"/>
            <w:noWrap w:val="0"/>
            <w:vAlign w:val="center"/>
          </w:tcPr>
          <w:p w14:paraId="1C7A54B3">
            <w:pPr>
              <w:rPr>
                <w:rFonts w:hint="eastAsia" w:ascii="宋体" w:hAnsi="宋体" w:eastAsia="宋体" w:cs="宋体"/>
                <w:color w:val="auto"/>
                <w:kern w:val="0"/>
                <w:sz w:val="18"/>
                <w:szCs w:val="18"/>
                <w:highlight w:val="none"/>
              </w:rPr>
            </w:pPr>
          </w:p>
        </w:tc>
        <w:tc>
          <w:tcPr>
            <w:tcW w:w="1186" w:type="dxa"/>
            <w:noWrap w:val="0"/>
            <w:vAlign w:val="center"/>
          </w:tcPr>
          <w:p w14:paraId="0F9C786C">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55CD63DC">
            <w:pPr>
              <w:rPr>
                <w:rFonts w:hint="eastAsia" w:ascii="宋体" w:hAnsi="宋体" w:eastAsia="宋体" w:cs="宋体"/>
                <w:color w:val="auto"/>
                <w:kern w:val="0"/>
                <w:sz w:val="18"/>
                <w:szCs w:val="18"/>
                <w:highlight w:val="none"/>
              </w:rPr>
            </w:pPr>
          </w:p>
        </w:tc>
      </w:tr>
      <w:tr w14:paraId="141A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6ED5E709">
            <w:pPr>
              <w:rPr>
                <w:rFonts w:hint="eastAsia" w:ascii="宋体" w:hAnsi="宋体" w:eastAsia="宋体" w:cs="宋体"/>
                <w:color w:val="auto"/>
                <w:kern w:val="0"/>
                <w:sz w:val="18"/>
                <w:szCs w:val="18"/>
                <w:highlight w:val="none"/>
              </w:rPr>
            </w:pPr>
          </w:p>
        </w:tc>
        <w:tc>
          <w:tcPr>
            <w:tcW w:w="948" w:type="dxa"/>
            <w:noWrap w:val="0"/>
            <w:vAlign w:val="center"/>
          </w:tcPr>
          <w:p w14:paraId="5ECDBBDF">
            <w:pPr>
              <w:rPr>
                <w:rFonts w:hint="eastAsia" w:ascii="宋体" w:hAnsi="宋体" w:eastAsia="宋体" w:cs="宋体"/>
                <w:color w:val="auto"/>
                <w:kern w:val="0"/>
                <w:sz w:val="18"/>
                <w:szCs w:val="18"/>
                <w:highlight w:val="none"/>
              </w:rPr>
            </w:pPr>
          </w:p>
        </w:tc>
        <w:tc>
          <w:tcPr>
            <w:tcW w:w="720" w:type="dxa"/>
            <w:noWrap w:val="0"/>
            <w:vAlign w:val="center"/>
          </w:tcPr>
          <w:p w14:paraId="2313F681">
            <w:pPr>
              <w:rPr>
                <w:rFonts w:hint="eastAsia" w:ascii="宋体" w:hAnsi="宋体" w:eastAsia="宋体" w:cs="宋体"/>
                <w:color w:val="auto"/>
                <w:kern w:val="0"/>
                <w:sz w:val="18"/>
                <w:szCs w:val="18"/>
                <w:highlight w:val="none"/>
              </w:rPr>
            </w:pPr>
          </w:p>
        </w:tc>
        <w:tc>
          <w:tcPr>
            <w:tcW w:w="720" w:type="dxa"/>
            <w:noWrap w:val="0"/>
            <w:vAlign w:val="center"/>
          </w:tcPr>
          <w:p w14:paraId="6C8D0057">
            <w:pPr>
              <w:rPr>
                <w:rFonts w:hint="eastAsia" w:ascii="宋体" w:hAnsi="宋体" w:eastAsia="宋体" w:cs="宋体"/>
                <w:color w:val="auto"/>
                <w:kern w:val="0"/>
                <w:sz w:val="18"/>
                <w:szCs w:val="18"/>
                <w:highlight w:val="none"/>
              </w:rPr>
            </w:pPr>
          </w:p>
        </w:tc>
        <w:tc>
          <w:tcPr>
            <w:tcW w:w="780" w:type="dxa"/>
            <w:noWrap w:val="0"/>
            <w:vAlign w:val="center"/>
          </w:tcPr>
          <w:p w14:paraId="0EF8F783">
            <w:pPr>
              <w:rPr>
                <w:rFonts w:hint="eastAsia" w:ascii="宋体" w:hAnsi="宋体" w:eastAsia="宋体" w:cs="宋体"/>
                <w:color w:val="auto"/>
                <w:kern w:val="0"/>
                <w:sz w:val="18"/>
                <w:szCs w:val="18"/>
                <w:highlight w:val="none"/>
              </w:rPr>
            </w:pPr>
          </w:p>
        </w:tc>
        <w:tc>
          <w:tcPr>
            <w:tcW w:w="900" w:type="dxa"/>
            <w:noWrap w:val="0"/>
            <w:vAlign w:val="center"/>
          </w:tcPr>
          <w:p w14:paraId="690F6113">
            <w:pPr>
              <w:rPr>
                <w:rFonts w:hint="eastAsia" w:ascii="宋体" w:hAnsi="宋体" w:eastAsia="宋体" w:cs="宋体"/>
                <w:color w:val="auto"/>
                <w:kern w:val="0"/>
                <w:sz w:val="18"/>
                <w:szCs w:val="18"/>
                <w:highlight w:val="none"/>
              </w:rPr>
            </w:pPr>
          </w:p>
        </w:tc>
        <w:tc>
          <w:tcPr>
            <w:tcW w:w="821" w:type="dxa"/>
            <w:noWrap w:val="0"/>
            <w:vAlign w:val="center"/>
          </w:tcPr>
          <w:p w14:paraId="6C42578B">
            <w:pPr>
              <w:rPr>
                <w:rFonts w:hint="eastAsia" w:ascii="宋体" w:hAnsi="宋体" w:eastAsia="宋体" w:cs="宋体"/>
                <w:color w:val="auto"/>
                <w:kern w:val="0"/>
                <w:sz w:val="18"/>
                <w:szCs w:val="18"/>
                <w:highlight w:val="none"/>
              </w:rPr>
            </w:pPr>
          </w:p>
        </w:tc>
        <w:tc>
          <w:tcPr>
            <w:tcW w:w="1186" w:type="dxa"/>
            <w:noWrap w:val="0"/>
            <w:vAlign w:val="center"/>
          </w:tcPr>
          <w:p w14:paraId="4C1655BC">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68244A7E">
            <w:pPr>
              <w:rPr>
                <w:rFonts w:hint="eastAsia" w:ascii="宋体" w:hAnsi="宋体" w:eastAsia="宋体" w:cs="宋体"/>
                <w:color w:val="auto"/>
                <w:kern w:val="0"/>
                <w:sz w:val="18"/>
                <w:szCs w:val="18"/>
                <w:highlight w:val="none"/>
              </w:rPr>
            </w:pPr>
          </w:p>
        </w:tc>
      </w:tr>
      <w:tr w14:paraId="4084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14:paraId="6955FD47">
            <w:pPr>
              <w:rPr>
                <w:rFonts w:hint="eastAsia" w:ascii="宋体" w:hAnsi="宋体" w:eastAsia="宋体" w:cs="宋体"/>
                <w:color w:val="auto"/>
                <w:kern w:val="0"/>
                <w:sz w:val="18"/>
                <w:szCs w:val="18"/>
                <w:highlight w:val="none"/>
              </w:rPr>
            </w:pPr>
          </w:p>
        </w:tc>
        <w:tc>
          <w:tcPr>
            <w:tcW w:w="948" w:type="dxa"/>
            <w:noWrap w:val="0"/>
            <w:vAlign w:val="center"/>
          </w:tcPr>
          <w:p w14:paraId="4CD61D76">
            <w:pPr>
              <w:rPr>
                <w:rFonts w:hint="eastAsia" w:ascii="宋体" w:hAnsi="宋体" w:eastAsia="宋体" w:cs="宋体"/>
                <w:color w:val="auto"/>
                <w:kern w:val="0"/>
                <w:sz w:val="18"/>
                <w:szCs w:val="18"/>
                <w:highlight w:val="none"/>
              </w:rPr>
            </w:pPr>
          </w:p>
        </w:tc>
        <w:tc>
          <w:tcPr>
            <w:tcW w:w="720" w:type="dxa"/>
            <w:noWrap w:val="0"/>
            <w:vAlign w:val="center"/>
          </w:tcPr>
          <w:p w14:paraId="1D3D5E36">
            <w:pPr>
              <w:rPr>
                <w:rFonts w:hint="eastAsia" w:ascii="宋体" w:hAnsi="宋体" w:eastAsia="宋体" w:cs="宋体"/>
                <w:color w:val="auto"/>
                <w:kern w:val="0"/>
                <w:sz w:val="18"/>
                <w:szCs w:val="18"/>
                <w:highlight w:val="none"/>
              </w:rPr>
            </w:pPr>
          </w:p>
        </w:tc>
        <w:tc>
          <w:tcPr>
            <w:tcW w:w="720" w:type="dxa"/>
            <w:noWrap w:val="0"/>
            <w:vAlign w:val="center"/>
          </w:tcPr>
          <w:p w14:paraId="363C6BAC">
            <w:pPr>
              <w:rPr>
                <w:rFonts w:hint="eastAsia" w:ascii="宋体" w:hAnsi="宋体" w:eastAsia="宋体" w:cs="宋体"/>
                <w:color w:val="auto"/>
                <w:kern w:val="0"/>
                <w:sz w:val="18"/>
                <w:szCs w:val="18"/>
                <w:highlight w:val="none"/>
              </w:rPr>
            </w:pPr>
          </w:p>
        </w:tc>
        <w:tc>
          <w:tcPr>
            <w:tcW w:w="780" w:type="dxa"/>
            <w:noWrap w:val="0"/>
            <w:vAlign w:val="center"/>
          </w:tcPr>
          <w:p w14:paraId="4A74CC76">
            <w:pPr>
              <w:rPr>
                <w:rFonts w:hint="eastAsia" w:ascii="宋体" w:hAnsi="宋体" w:eastAsia="宋体" w:cs="宋体"/>
                <w:color w:val="auto"/>
                <w:kern w:val="0"/>
                <w:sz w:val="18"/>
                <w:szCs w:val="18"/>
                <w:highlight w:val="none"/>
              </w:rPr>
            </w:pPr>
          </w:p>
        </w:tc>
        <w:tc>
          <w:tcPr>
            <w:tcW w:w="900" w:type="dxa"/>
            <w:noWrap w:val="0"/>
            <w:vAlign w:val="center"/>
          </w:tcPr>
          <w:p w14:paraId="2A8AEBE5">
            <w:pPr>
              <w:rPr>
                <w:rFonts w:hint="eastAsia" w:ascii="宋体" w:hAnsi="宋体" w:eastAsia="宋体" w:cs="宋体"/>
                <w:color w:val="auto"/>
                <w:kern w:val="0"/>
                <w:sz w:val="18"/>
                <w:szCs w:val="18"/>
                <w:highlight w:val="none"/>
              </w:rPr>
            </w:pPr>
          </w:p>
        </w:tc>
        <w:tc>
          <w:tcPr>
            <w:tcW w:w="821" w:type="dxa"/>
            <w:noWrap w:val="0"/>
            <w:vAlign w:val="center"/>
          </w:tcPr>
          <w:p w14:paraId="6DC92626">
            <w:pPr>
              <w:rPr>
                <w:rFonts w:hint="eastAsia" w:ascii="宋体" w:hAnsi="宋体" w:eastAsia="宋体" w:cs="宋体"/>
                <w:color w:val="auto"/>
                <w:kern w:val="0"/>
                <w:sz w:val="18"/>
                <w:szCs w:val="18"/>
                <w:highlight w:val="none"/>
              </w:rPr>
            </w:pPr>
          </w:p>
        </w:tc>
        <w:tc>
          <w:tcPr>
            <w:tcW w:w="1186" w:type="dxa"/>
            <w:noWrap w:val="0"/>
            <w:vAlign w:val="center"/>
          </w:tcPr>
          <w:p w14:paraId="65027AD6">
            <w:pPr>
              <w:rPr>
                <w:rFonts w:hint="eastAsia" w:ascii="宋体" w:hAnsi="宋体" w:eastAsia="宋体" w:cs="宋体"/>
                <w:color w:val="auto"/>
                <w:kern w:val="0"/>
                <w:sz w:val="18"/>
                <w:szCs w:val="18"/>
                <w:highlight w:val="none"/>
              </w:rPr>
            </w:pPr>
          </w:p>
        </w:tc>
        <w:tc>
          <w:tcPr>
            <w:tcW w:w="2001" w:type="dxa"/>
            <w:tcBorders>
              <w:right w:val="single" w:color="auto" w:sz="12" w:space="0"/>
            </w:tcBorders>
            <w:noWrap w:val="0"/>
            <w:vAlign w:val="center"/>
          </w:tcPr>
          <w:p w14:paraId="550D7E6F">
            <w:pPr>
              <w:rPr>
                <w:rFonts w:hint="eastAsia" w:ascii="宋体" w:hAnsi="宋体" w:eastAsia="宋体" w:cs="宋体"/>
                <w:color w:val="auto"/>
                <w:kern w:val="0"/>
                <w:sz w:val="18"/>
                <w:szCs w:val="18"/>
                <w:highlight w:val="none"/>
              </w:rPr>
            </w:pPr>
          </w:p>
        </w:tc>
      </w:tr>
      <w:tr w14:paraId="2760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9"/>
            <w:tcBorders>
              <w:left w:val="single" w:color="auto" w:sz="12" w:space="0"/>
              <w:bottom w:val="single" w:color="auto" w:sz="12" w:space="0"/>
              <w:right w:val="single" w:color="auto" w:sz="12" w:space="0"/>
            </w:tcBorders>
            <w:noWrap w:val="0"/>
            <w:vAlign w:val="center"/>
          </w:tcPr>
          <w:p w14:paraId="4A8ADCA4">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14:paraId="18D83D1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highlight w:val="none"/>
          <w:lang w:val="en-US" w:eastAsia="zh-CN"/>
        </w:rPr>
        <w:t>本表格可暂时只填写项目管理人员的，驻守保安人员如已明确的也可填入本表，未明确的驻守人员可在表述中明确招聘标准及到岗时间</w:t>
      </w:r>
      <w:r>
        <w:rPr>
          <w:rFonts w:hint="eastAsia" w:ascii="宋体" w:hAnsi="宋体" w:eastAsia="宋体" w:cs="宋体"/>
          <w:color w:val="auto"/>
          <w:highlight w:val="none"/>
        </w:rPr>
        <w:t>；</w:t>
      </w:r>
    </w:p>
    <w:p w14:paraId="52F5288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2、本表人员有资格证书的应随表提交职称、资格证书复印件（加盖公章）。</w:t>
      </w:r>
    </w:p>
    <w:p w14:paraId="42D81458">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3、列入本表人员如要更换，需经</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单位同意；擅自更换或不到位属违约行为。</w:t>
      </w:r>
    </w:p>
    <w:p w14:paraId="08397F9C">
      <w:pPr>
        <w:spacing w:line="360" w:lineRule="auto"/>
        <w:rPr>
          <w:rFonts w:hint="eastAsia" w:ascii="宋体" w:hAnsi="宋体" w:eastAsia="宋体" w:cs="宋体"/>
          <w:sz w:val="21"/>
          <w:szCs w:val="21"/>
          <w:highlight w:val="none"/>
        </w:rPr>
      </w:pPr>
    </w:p>
    <w:p w14:paraId="1442495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66A81F7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15BEAB59">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14:paraId="52D42194">
      <w:pPr>
        <w:jc w:val="center"/>
        <w:rPr>
          <w:rFonts w:hint="eastAsia" w:ascii="宋体" w:hAnsi="宋体" w:eastAsia="宋体" w:cs="宋体"/>
          <w:b/>
          <w:color w:val="auto"/>
          <w:sz w:val="48"/>
          <w:szCs w:val="48"/>
          <w:highlight w:val="none"/>
        </w:rPr>
      </w:pPr>
    </w:p>
    <w:p w14:paraId="1BA7BE79">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14:paraId="16782458">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2021年1月1日以来</w:t>
      </w:r>
      <w:r>
        <w:rPr>
          <w:rFonts w:hint="eastAsia" w:ascii="宋体" w:hAnsi="宋体" w:eastAsia="宋体" w:cs="宋体"/>
          <w:b/>
          <w:bCs/>
          <w:color w:val="auto"/>
          <w:szCs w:val="21"/>
          <w:highlight w:val="none"/>
        </w:rPr>
        <w:t>同类项目业绩一览表</w:t>
      </w:r>
    </w:p>
    <w:p w14:paraId="782341B0">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采购</w:t>
      </w:r>
      <w:r>
        <w:rPr>
          <w:rFonts w:hint="eastAsia" w:ascii="宋体" w:hAnsi="宋体" w:eastAsia="宋体" w:cs="宋体"/>
          <w:snapToGrid w:val="0"/>
          <w:color w:val="auto"/>
          <w:kern w:val="0"/>
          <w:sz w:val="22"/>
          <w:szCs w:val="22"/>
          <w:highlight w:val="none"/>
        </w:rPr>
        <w:t>编号：</w:t>
      </w:r>
    </w:p>
    <w:tbl>
      <w:tblPr>
        <w:tblStyle w:val="25"/>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3024"/>
        <w:gridCol w:w="1188"/>
        <w:gridCol w:w="998"/>
      </w:tblGrid>
      <w:tr w14:paraId="6CD05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14:paraId="2BECC74B">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14:paraId="04882D00">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使用单位</w:t>
            </w:r>
          </w:p>
        </w:tc>
        <w:tc>
          <w:tcPr>
            <w:tcW w:w="3024" w:type="dxa"/>
            <w:noWrap w:val="0"/>
            <w:vAlign w:val="center"/>
          </w:tcPr>
          <w:p w14:paraId="041DB366">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地址/联系电话</w:t>
            </w:r>
          </w:p>
        </w:tc>
        <w:tc>
          <w:tcPr>
            <w:tcW w:w="1188" w:type="dxa"/>
            <w:noWrap w:val="0"/>
            <w:vAlign w:val="center"/>
          </w:tcPr>
          <w:p w14:paraId="6A14A99C">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998" w:type="dxa"/>
            <w:noWrap w:val="0"/>
            <w:vAlign w:val="center"/>
          </w:tcPr>
          <w:p w14:paraId="4E08AB84">
            <w:pPr>
              <w:pStyle w:val="69"/>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00643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3A7A14F4">
            <w:pPr>
              <w:rPr>
                <w:rFonts w:hint="eastAsia" w:ascii="宋体" w:hAnsi="宋体" w:eastAsia="宋体" w:cs="宋体"/>
                <w:color w:val="auto"/>
                <w:sz w:val="18"/>
                <w:szCs w:val="18"/>
                <w:highlight w:val="none"/>
              </w:rPr>
            </w:pPr>
          </w:p>
        </w:tc>
        <w:tc>
          <w:tcPr>
            <w:tcW w:w="1876" w:type="dxa"/>
            <w:noWrap w:val="0"/>
            <w:vAlign w:val="top"/>
          </w:tcPr>
          <w:p w14:paraId="041879FB">
            <w:pPr>
              <w:rPr>
                <w:rFonts w:hint="eastAsia" w:ascii="宋体" w:hAnsi="宋体" w:eastAsia="宋体" w:cs="宋体"/>
                <w:color w:val="auto"/>
                <w:sz w:val="18"/>
                <w:szCs w:val="18"/>
                <w:highlight w:val="none"/>
              </w:rPr>
            </w:pPr>
          </w:p>
        </w:tc>
        <w:tc>
          <w:tcPr>
            <w:tcW w:w="3024" w:type="dxa"/>
            <w:noWrap w:val="0"/>
            <w:vAlign w:val="top"/>
          </w:tcPr>
          <w:p w14:paraId="0B1C8319">
            <w:pPr>
              <w:rPr>
                <w:rFonts w:hint="eastAsia" w:ascii="宋体" w:hAnsi="宋体" w:eastAsia="宋体" w:cs="宋体"/>
                <w:color w:val="auto"/>
                <w:sz w:val="18"/>
                <w:szCs w:val="18"/>
                <w:highlight w:val="none"/>
              </w:rPr>
            </w:pPr>
          </w:p>
        </w:tc>
        <w:tc>
          <w:tcPr>
            <w:tcW w:w="1188" w:type="dxa"/>
            <w:noWrap w:val="0"/>
            <w:vAlign w:val="top"/>
          </w:tcPr>
          <w:p w14:paraId="4F4ECDAE">
            <w:pPr>
              <w:rPr>
                <w:rFonts w:hint="eastAsia" w:ascii="宋体" w:hAnsi="宋体" w:eastAsia="宋体" w:cs="宋体"/>
                <w:color w:val="auto"/>
                <w:sz w:val="18"/>
                <w:szCs w:val="18"/>
                <w:highlight w:val="none"/>
              </w:rPr>
            </w:pPr>
          </w:p>
        </w:tc>
        <w:tc>
          <w:tcPr>
            <w:tcW w:w="998" w:type="dxa"/>
            <w:noWrap w:val="0"/>
            <w:vAlign w:val="top"/>
          </w:tcPr>
          <w:p w14:paraId="0E62DC87">
            <w:pPr>
              <w:rPr>
                <w:rFonts w:hint="eastAsia" w:ascii="宋体" w:hAnsi="宋体" w:eastAsia="宋体" w:cs="宋体"/>
                <w:color w:val="auto"/>
                <w:sz w:val="18"/>
                <w:szCs w:val="18"/>
                <w:highlight w:val="none"/>
              </w:rPr>
            </w:pPr>
          </w:p>
        </w:tc>
      </w:tr>
      <w:tr w14:paraId="50F3E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475713A0">
            <w:pPr>
              <w:rPr>
                <w:rFonts w:hint="eastAsia" w:ascii="宋体" w:hAnsi="宋体" w:eastAsia="宋体" w:cs="宋体"/>
                <w:color w:val="auto"/>
                <w:sz w:val="18"/>
                <w:szCs w:val="18"/>
                <w:highlight w:val="none"/>
              </w:rPr>
            </w:pPr>
          </w:p>
        </w:tc>
        <w:tc>
          <w:tcPr>
            <w:tcW w:w="1876" w:type="dxa"/>
            <w:noWrap w:val="0"/>
            <w:vAlign w:val="top"/>
          </w:tcPr>
          <w:p w14:paraId="7937568B">
            <w:pPr>
              <w:rPr>
                <w:rFonts w:hint="eastAsia" w:ascii="宋体" w:hAnsi="宋体" w:eastAsia="宋体" w:cs="宋体"/>
                <w:color w:val="auto"/>
                <w:sz w:val="18"/>
                <w:szCs w:val="18"/>
                <w:highlight w:val="none"/>
              </w:rPr>
            </w:pPr>
          </w:p>
        </w:tc>
        <w:tc>
          <w:tcPr>
            <w:tcW w:w="3024" w:type="dxa"/>
            <w:noWrap w:val="0"/>
            <w:vAlign w:val="top"/>
          </w:tcPr>
          <w:p w14:paraId="552CF762">
            <w:pPr>
              <w:rPr>
                <w:rFonts w:hint="eastAsia" w:ascii="宋体" w:hAnsi="宋体" w:eastAsia="宋体" w:cs="宋体"/>
                <w:color w:val="auto"/>
                <w:sz w:val="18"/>
                <w:szCs w:val="18"/>
                <w:highlight w:val="none"/>
              </w:rPr>
            </w:pPr>
          </w:p>
        </w:tc>
        <w:tc>
          <w:tcPr>
            <w:tcW w:w="1188" w:type="dxa"/>
            <w:noWrap w:val="0"/>
            <w:vAlign w:val="top"/>
          </w:tcPr>
          <w:p w14:paraId="143D7821">
            <w:pPr>
              <w:rPr>
                <w:rFonts w:hint="eastAsia" w:ascii="宋体" w:hAnsi="宋体" w:eastAsia="宋体" w:cs="宋体"/>
                <w:color w:val="auto"/>
                <w:sz w:val="18"/>
                <w:szCs w:val="18"/>
                <w:highlight w:val="none"/>
              </w:rPr>
            </w:pPr>
          </w:p>
        </w:tc>
        <w:tc>
          <w:tcPr>
            <w:tcW w:w="998" w:type="dxa"/>
            <w:noWrap w:val="0"/>
            <w:vAlign w:val="top"/>
          </w:tcPr>
          <w:p w14:paraId="08F62CAD">
            <w:pPr>
              <w:rPr>
                <w:rFonts w:hint="eastAsia" w:ascii="宋体" w:hAnsi="宋体" w:eastAsia="宋体" w:cs="宋体"/>
                <w:color w:val="auto"/>
                <w:sz w:val="18"/>
                <w:szCs w:val="18"/>
                <w:highlight w:val="none"/>
              </w:rPr>
            </w:pPr>
          </w:p>
        </w:tc>
      </w:tr>
      <w:tr w14:paraId="60A16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32059370">
            <w:pPr>
              <w:rPr>
                <w:rFonts w:hint="eastAsia" w:ascii="宋体" w:hAnsi="宋体" w:eastAsia="宋体" w:cs="宋体"/>
                <w:color w:val="auto"/>
                <w:sz w:val="18"/>
                <w:szCs w:val="18"/>
                <w:highlight w:val="none"/>
              </w:rPr>
            </w:pPr>
          </w:p>
        </w:tc>
        <w:tc>
          <w:tcPr>
            <w:tcW w:w="1876" w:type="dxa"/>
            <w:noWrap w:val="0"/>
            <w:vAlign w:val="top"/>
          </w:tcPr>
          <w:p w14:paraId="6AF9063E">
            <w:pPr>
              <w:rPr>
                <w:rFonts w:hint="eastAsia" w:ascii="宋体" w:hAnsi="宋体" w:eastAsia="宋体" w:cs="宋体"/>
                <w:color w:val="auto"/>
                <w:sz w:val="18"/>
                <w:szCs w:val="18"/>
                <w:highlight w:val="none"/>
              </w:rPr>
            </w:pPr>
          </w:p>
        </w:tc>
        <w:tc>
          <w:tcPr>
            <w:tcW w:w="3024" w:type="dxa"/>
            <w:noWrap w:val="0"/>
            <w:vAlign w:val="top"/>
          </w:tcPr>
          <w:p w14:paraId="3D51C04E">
            <w:pPr>
              <w:rPr>
                <w:rFonts w:hint="eastAsia" w:ascii="宋体" w:hAnsi="宋体" w:eastAsia="宋体" w:cs="宋体"/>
                <w:color w:val="auto"/>
                <w:sz w:val="18"/>
                <w:szCs w:val="18"/>
                <w:highlight w:val="none"/>
              </w:rPr>
            </w:pPr>
          </w:p>
        </w:tc>
        <w:tc>
          <w:tcPr>
            <w:tcW w:w="1188" w:type="dxa"/>
            <w:noWrap w:val="0"/>
            <w:vAlign w:val="top"/>
          </w:tcPr>
          <w:p w14:paraId="1D240B75">
            <w:pPr>
              <w:rPr>
                <w:rFonts w:hint="eastAsia" w:ascii="宋体" w:hAnsi="宋体" w:eastAsia="宋体" w:cs="宋体"/>
                <w:color w:val="auto"/>
                <w:sz w:val="18"/>
                <w:szCs w:val="18"/>
                <w:highlight w:val="none"/>
              </w:rPr>
            </w:pPr>
          </w:p>
        </w:tc>
        <w:tc>
          <w:tcPr>
            <w:tcW w:w="998" w:type="dxa"/>
            <w:noWrap w:val="0"/>
            <w:vAlign w:val="top"/>
          </w:tcPr>
          <w:p w14:paraId="59737CA3">
            <w:pPr>
              <w:rPr>
                <w:rFonts w:hint="eastAsia" w:ascii="宋体" w:hAnsi="宋体" w:eastAsia="宋体" w:cs="宋体"/>
                <w:color w:val="auto"/>
                <w:sz w:val="18"/>
                <w:szCs w:val="18"/>
                <w:highlight w:val="none"/>
              </w:rPr>
            </w:pPr>
          </w:p>
        </w:tc>
      </w:tr>
      <w:tr w14:paraId="645AD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513C6979">
            <w:pPr>
              <w:rPr>
                <w:rFonts w:hint="eastAsia" w:ascii="宋体" w:hAnsi="宋体" w:eastAsia="宋体" w:cs="宋体"/>
                <w:color w:val="auto"/>
                <w:sz w:val="18"/>
                <w:szCs w:val="18"/>
                <w:highlight w:val="none"/>
              </w:rPr>
            </w:pPr>
          </w:p>
        </w:tc>
        <w:tc>
          <w:tcPr>
            <w:tcW w:w="1876" w:type="dxa"/>
            <w:noWrap w:val="0"/>
            <w:vAlign w:val="top"/>
          </w:tcPr>
          <w:p w14:paraId="429AA1D7">
            <w:pPr>
              <w:rPr>
                <w:rFonts w:hint="eastAsia" w:ascii="宋体" w:hAnsi="宋体" w:eastAsia="宋体" w:cs="宋体"/>
                <w:color w:val="auto"/>
                <w:sz w:val="18"/>
                <w:szCs w:val="18"/>
                <w:highlight w:val="none"/>
              </w:rPr>
            </w:pPr>
          </w:p>
        </w:tc>
        <w:tc>
          <w:tcPr>
            <w:tcW w:w="3024" w:type="dxa"/>
            <w:noWrap w:val="0"/>
            <w:vAlign w:val="top"/>
          </w:tcPr>
          <w:p w14:paraId="06FA36A6">
            <w:pPr>
              <w:rPr>
                <w:rFonts w:hint="eastAsia" w:ascii="宋体" w:hAnsi="宋体" w:eastAsia="宋体" w:cs="宋体"/>
                <w:color w:val="auto"/>
                <w:sz w:val="18"/>
                <w:szCs w:val="18"/>
                <w:highlight w:val="none"/>
              </w:rPr>
            </w:pPr>
          </w:p>
        </w:tc>
        <w:tc>
          <w:tcPr>
            <w:tcW w:w="1188" w:type="dxa"/>
            <w:noWrap w:val="0"/>
            <w:vAlign w:val="top"/>
          </w:tcPr>
          <w:p w14:paraId="1E33C1DA">
            <w:pPr>
              <w:rPr>
                <w:rFonts w:hint="eastAsia" w:ascii="宋体" w:hAnsi="宋体" w:eastAsia="宋体" w:cs="宋体"/>
                <w:color w:val="auto"/>
                <w:sz w:val="18"/>
                <w:szCs w:val="18"/>
                <w:highlight w:val="none"/>
              </w:rPr>
            </w:pPr>
          </w:p>
        </w:tc>
        <w:tc>
          <w:tcPr>
            <w:tcW w:w="998" w:type="dxa"/>
            <w:noWrap w:val="0"/>
            <w:vAlign w:val="top"/>
          </w:tcPr>
          <w:p w14:paraId="3E97580A">
            <w:pPr>
              <w:rPr>
                <w:rFonts w:hint="eastAsia" w:ascii="宋体" w:hAnsi="宋体" w:eastAsia="宋体" w:cs="宋体"/>
                <w:color w:val="auto"/>
                <w:sz w:val="18"/>
                <w:szCs w:val="18"/>
                <w:highlight w:val="none"/>
              </w:rPr>
            </w:pPr>
          </w:p>
        </w:tc>
      </w:tr>
      <w:tr w14:paraId="1C219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0BEF0D28">
            <w:pPr>
              <w:rPr>
                <w:rFonts w:hint="eastAsia" w:ascii="宋体" w:hAnsi="宋体" w:eastAsia="宋体" w:cs="宋体"/>
                <w:color w:val="auto"/>
                <w:sz w:val="18"/>
                <w:szCs w:val="18"/>
                <w:highlight w:val="none"/>
              </w:rPr>
            </w:pPr>
          </w:p>
        </w:tc>
        <w:tc>
          <w:tcPr>
            <w:tcW w:w="1876" w:type="dxa"/>
            <w:noWrap w:val="0"/>
            <w:vAlign w:val="top"/>
          </w:tcPr>
          <w:p w14:paraId="52F41E93">
            <w:pPr>
              <w:rPr>
                <w:rFonts w:hint="eastAsia" w:ascii="宋体" w:hAnsi="宋体" w:eastAsia="宋体" w:cs="宋体"/>
                <w:color w:val="auto"/>
                <w:sz w:val="18"/>
                <w:szCs w:val="18"/>
                <w:highlight w:val="none"/>
              </w:rPr>
            </w:pPr>
          </w:p>
        </w:tc>
        <w:tc>
          <w:tcPr>
            <w:tcW w:w="3024" w:type="dxa"/>
            <w:noWrap w:val="0"/>
            <w:vAlign w:val="top"/>
          </w:tcPr>
          <w:p w14:paraId="1EA7D178">
            <w:pPr>
              <w:rPr>
                <w:rFonts w:hint="eastAsia" w:ascii="宋体" w:hAnsi="宋体" w:eastAsia="宋体" w:cs="宋体"/>
                <w:color w:val="auto"/>
                <w:sz w:val="18"/>
                <w:szCs w:val="18"/>
                <w:highlight w:val="none"/>
              </w:rPr>
            </w:pPr>
          </w:p>
        </w:tc>
        <w:tc>
          <w:tcPr>
            <w:tcW w:w="1188" w:type="dxa"/>
            <w:noWrap w:val="0"/>
            <w:vAlign w:val="top"/>
          </w:tcPr>
          <w:p w14:paraId="13F5C206">
            <w:pPr>
              <w:rPr>
                <w:rFonts w:hint="eastAsia" w:ascii="宋体" w:hAnsi="宋体" w:eastAsia="宋体" w:cs="宋体"/>
                <w:color w:val="auto"/>
                <w:sz w:val="18"/>
                <w:szCs w:val="18"/>
                <w:highlight w:val="none"/>
              </w:rPr>
            </w:pPr>
          </w:p>
        </w:tc>
        <w:tc>
          <w:tcPr>
            <w:tcW w:w="998" w:type="dxa"/>
            <w:noWrap w:val="0"/>
            <w:vAlign w:val="top"/>
          </w:tcPr>
          <w:p w14:paraId="472B9D9B">
            <w:pPr>
              <w:rPr>
                <w:rFonts w:hint="eastAsia" w:ascii="宋体" w:hAnsi="宋体" w:eastAsia="宋体" w:cs="宋体"/>
                <w:color w:val="auto"/>
                <w:sz w:val="18"/>
                <w:szCs w:val="18"/>
                <w:highlight w:val="none"/>
              </w:rPr>
            </w:pPr>
          </w:p>
        </w:tc>
      </w:tr>
      <w:tr w14:paraId="125F9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051F588">
            <w:pPr>
              <w:rPr>
                <w:rFonts w:hint="eastAsia" w:ascii="宋体" w:hAnsi="宋体" w:eastAsia="宋体" w:cs="宋体"/>
                <w:color w:val="auto"/>
                <w:sz w:val="18"/>
                <w:szCs w:val="18"/>
                <w:highlight w:val="none"/>
              </w:rPr>
            </w:pPr>
          </w:p>
        </w:tc>
        <w:tc>
          <w:tcPr>
            <w:tcW w:w="1876" w:type="dxa"/>
            <w:noWrap w:val="0"/>
            <w:vAlign w:val="top"/>
          </w:tcPr>
          <w:p w14:paraId="4B5DA947">
            <w:pPr>
              <w:rPr>
                <w:rFonts w:hint="eastAsia" w:ascii="宋体" w:hAnsi="宋体" w:eastAsia="宋体" w:cs="宋体"/>
                <w:color w:val="auto"/>
                <w:sz w:val="18"/>
                <w:szCs w:val="18"/>
                <w:highlight w:val="none"/>
              </w:rPr>
            </w:pPr>
          </w:p>
        </w:tc>
        <w:tc>
          <w:tcPr>
            <w:tcW w:w="3024" w:type="dxa"/>
            <w:noWrap w:val="0"/>
            <w:vAlign w:val="top"/>
          </w:tcPr>
          <w:p w14:paraId="07C6973C">
            <w:pPr>
              <w:rPr>
                <w:rFonts w:hint="eastAsia" w:ascii="宋体" w:hAnsi="宋体" w:eastAsia="宋体" w:cs="宋体"/>
                <w:color w:val="auto"/>
                <w:sz w:val="18"/>
                <w:szCs w:val="18"/>
                <w:highlight w:val="none"/>
              </w:rPr>
            </w:pPr>
          </w:p>
        </w:tc>
        <w:tc>
          <w:tcPr>
            <w:tcW w:w="1188" w:type="dxa"/>
            <w:noWrap w:val="0"/>
            <w:vAlign w:val="top"/>
          </w:tcPr>
          <w:p w14:paraId="4A87ACD3">
            <w:pPr>
              <w:rPr>
                <w:rFonts w:hint="eastAsia" w:ascii="宋体" w:hAnsi="宋体" w:eastAsia="宋体" w:cs="宋体"/>
                <w:color w:val="auto"/>
                <w:sz w:val="18"/>
                <w:szCs w:val="18"/>
                <w:highlight w:val="none"/>
              </w:rPr>
            </w:pPr>
          </w:p>
        </w:tc>
        <w:tc>
          <w:tcPr>
            <w:tcW w:w="998" w:type="dxa"/>
            <w:noWrap w:val="0"/>
            <w:vAlign w:val="top"/>
          </w:tcPr>
          <w:p w14:paraId="6BB1A493">
            <w:pPr>
              <w:rPr>
                <w:rFonts w:hint="eastAsia" w:ascii="宋体" w:hAnsi="宋体" w:eastAsia="宋体" w:cs="宋体"/>
                <w:color w:val="auto"/>
                <w:sz w:val="18"/>
                <w:szCs w:val="18"/>
                <w:highlight w:val="none"/>
              </w:rPr>
            </w:pPr>
          </w:p>
        </w:tc>
      </w:tr>
      <w:tr w14:paraId="49EDF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686A7C55">
            <w:pPr>
              <w:rPr>
                <w:rFonts w:hint="eastAsia" w:ascii="宋体" w:hAnsi="宋体" w:eastAsia="宋体" w:cs="宋体"/>
                <w:color w:val="auto"/>
                <w:sz w:val="18"/>
                <w:szCs w:val="18"/>
                <w:highlight w:val="none"/>
              </w:rPr>
            </w:pPr>
          </w:p>
        </w:tc>
        <w:tc>
          <w:tcPr>
            <w:tcW w:w="1876" w:type="dxa"/>
            <w:noWrap w:val="0"/>
            <w:vAlign w:val="top"/>
          </w:tcPr>
          <w:p w14:paraId="47C111D5">
            <w:pPr>
              <w:rPr>
                <w:rFonts w:hint="eastAsia" w:ascii="宋体" w:hAnsi="宋体" w:eastAsia="宋体" w:cs="宋体"/>
                <w:color w:val="auto"/>
                <w:sz w:val="18"/>
                <w:szCs w:val="18"/>
                <w:highlight w:val="none"/>
              </w:rPr>
            </w:pPr>
          </w:p>
        </w:tc>
        <w:tc>
          <w:tcPr>
            <w:tcW w:w="3024" w:type="dxa"/>
            <w:noWrap w:val="0"/>
            <w:vAlign w:val="top"/>
          </w:tcPr>
          <w:p w14:paraId="619BEE76">
            <w:pPr>
              <w:rPr>
                <w:rFonts w:hint="eastAsia" w:ascii="宋体" w:hAnsi="宋体" w:eastAsia="宋体" w:cs="宋体"/>
                <w:color w:val="auto"/>
                <w:sz w:val="18"/>
                <w:szCs w:val="18"/>
                <w:highlight w:val="none"/>
              </w:rPr>
            </w:pPr>
          </w:p>
        </w:tc>
        <w:tc>
          <w:tcPr>
            <w:tcW w:w="1188" w:type="dxa"/>
            <w:noWrap w:val="0"/>
            <w:vAlign w:val="top"/>
          </w:tcPr>
          <w:p w14:paraId="61323F0A">
            <w:pPr>
              <w:rPr>
                <w:rFonts w:hint="eastAsia" w:ascii="宋体" w:hAnsi="宋体" w:eastAsia="宋体" w:cs="宋体"/>
                <w:color w:val="auto"/>
                <w:sz w:val="18"/>
                <w:szCs w:val="18"/>
                <w:highlight w:val="none"/>
              </w:rPr>
            </w:pPr>
          </w:p>
        </w:tc>
        <w:tc>
          <w:tcPr>
            <w:tcW w:w="998" w:type="dxa"/>
            <w:noWrap w:val="0"/>
            <w:vAlign w:val="top"/>
          </w:tcPr>
          <w:p w14:paraId="3EDA5CCA">
            <w:pPr>
              <w:rPr>
                <w:rFonts w:hint="eastAsia" w:ascii="宋体" w:hAnsi="宋体" w:eastAsia="宋体" w:cs="宋体"/>
                <w:color w:val="auto"/>
                <w:sz w:val="18"/>
                <w:szCs w:val="18"/>
                <w:highlight w:val="none"/>
              </w:rPr>
            </w:pPr>
          </w:p>
        </w:tc>
      </w:tr>
      <w:tr w14:paraId="1DA20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70DFB252">
            <w:pPr>
              <w:rPr>
                <w:rFonts w:hint="eastAsia" w:ascii="宋体" w:hAnsi="宋体" w:eastAsia="宋体" w:cs="宋体"/>
                <w:color w:val="auto"/>
                <w:sz w:val="18"/>
                <w:szCs w:val="18"/>
                <w:highlight w:val="none"/>
              </w:rPr>
            </w:pPr>
          </w:p>
        </w:tc>
        <w:tc>
          <w:tcPr>
            <w:tcW w:w="1876" w:type="dxa"/>
            <w:noWrap w:val="0"/>
            <w:vAlign w:val="top"/>
          </w:tcPr>
          <w:p w14:paraId="2B97A11D">
            <w:pPr>
              <w:rPr>
                <w:rFonts w:hint="eastAsia" w:ascii="宋体" w:hAnsi="宋体" w:eastAsia="宋体" w:cs="宋体"/>
                <w:color w:val="auto"/>
                <w:sz w:val="18"/>
                <w:szCs w:val="18"/>
                <w:highlight w:val="none"/>
              </w:rPr>
            </w:pPr>
          </w:p>
        </w:tc>
        <w:tc>
          <w:tcPr>
            <w:tcW w:w="3024" w:type="dxa"/>
            <w:noWrap w:val="0"/>
            <w:vAlign w:val="top"/>
          </w:tcPr>
          <w:p w14:paraId="3581C20E">
            <w:pPr>
              <w:rPr>
                <w:rFonts w:hint="eastAsia" w:ascii="宋体" w:hAnsi="宋体" w:eastAsia="宋体" w:cs="宋体"/>
                <w:color w:val="auto"/>
                <w:sz w:val="18"/>
                <w:szCs w:val="18"/>
                <w:highlight w:val="none"/>
              </w:rPr>
            </w:pPr>
          </w:p>
        </w:tc>
        <w:tc>
          <w:tcPr>
            <w:tcW w:w="1188" w:type="dxa"/>
            <w:noWrap w:val="0"/>
            <w:vAlign w:val="top"/>
          </w:tcPr>
          <w:p w14:paraId="3F669612">
            <w:pPr>
              <w:rPr>
                <w:rFonts w:hint="eastAsia" w:ascii="宋体" w:hAnsi="宋体" w:eastAsia="宋体" w:cs="宋体"/>
                <w:color w:val="auto"/>
                <w:sz w:val="18"/>
                <w:szCs w:val="18"/>
                <w:highlight w:val="none"/>
              </w:rPr>
            </w:pPr>
          </w:p>
        </w:tc>
        <w:tc>
          <w:tcPr>
            <w:tcW w:w="998" w:type="dxa"/>
            <w:noWrap w:val="0"/>
            <w:vAlign w:val="top"/>
          </w:tcPr>
          <w:p w14:paraId="5B88F514">
            <w:pPr>
              <w:rPr>
                <w:rFonts w:hint="eastAsia" w:ascii="宋体" w:hAnsi="宋体" w:eastAsia="宋体" w:cs="宋体"/>
                <w:color w:val="auto"/>
                <w:sz w:val="18"/>
                <w:szCs w:val="18"/>
                <w:highlight w:val="none"/>
              </w:rPr>
            </w:pPr>
          </w:p>
        </w:tc>
      </w:tr>
      <w:tr w14:paraId="133E7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2CE9D977">
            <w:pPr>
              <w:rPr>
                <w:rFonts w:hint="eastAsia" w:ascii="宋体" w:hAnsi="宋体" w:eastAsia="宋体" w:cs="宋体"/>
                <w:color w:val="auto"/>
                <w:sz w:val="18"/>
                <w:szCs w:val="18"/>
                <w:highlight w:val="none"/>
              </w:rPr>
            </w:pPr>
          </w:p>
        </w:tc>
        <w:tc>
          <w:tcPr>
            <w:tcW w:w="1876" w:type="dxa"/>
            <w:noWrap w:val="0"/>
            <w:vAlign w:val="top"/>
          </w:tcPr>
          <w:p w14:paraId="0E4488DD">
            <w:pPr>
              <w:rPr>
                <w:rFonts w:hint="eastAsia" w:ascii="宋体" w:hAnsi="宋体" w:eastAsia="宋体" w:cs="宋体"/>
                <w:color w:val="auto"/>
                <w:sz w:val="18"/>
                <w:szCs w:val="18"/>
                <w:highlight w:val="none"/>
              </w:rPr>
            </w:pPr>
          </w:p>
        </w:tc>
        <w:tc>
          <w:tcPr>
            <w:tcW w:w="3024" w:type="dxa"/>
            <w:noWrap w:val="0"/>
            <w:vAlign w:val="top"/>
          </w:tcPr>
          <w:p w14:paraId="3A4ACE74">
            <w:pPr>
              <w:rPr>
                <w:rFonts w:hint="eastAsia" w:ascii="宋体" w:hAnsi="宋体" w:eastAsia="宋体" w:cs="宋体"/>
                <w:color w:val="auto"/>
                <w:sz w:val="18"/>
                <w:szCs w:val="18"/>
                <w:highlight w:val="none"/>
              </w:rPr>
            </w:pPr>
          </w:p>
        </w:tc>
        <w:tc>
          <w:tcPr>
            <w:tcW w:w="1188" w:type="dxa"/>
            <w:noWrap w:val="0"/>
            <w:vAlign w:val="top"/>
          </w:tcPr>
          <w:p w14:paraId="47453F51">
            <w:pPr>
              <w:rPr>
                <w:rFonts w:hint="eastAsia" w:ascii="宋体" w:hAnsi="宋体" w:eastAsia="宋体" w:cs="宋体"/>
                <w:color w:val="auto"/>
                <w:sz w:val="18"/>
                <w:szCs w:val="18"/>
                <w:highlight w:val="none"/>
              </w:rPr>
            </w:pPr>
          </w:p>
        </w:tc>
        <w:tc>
          <w:tcPr>
            <w:tcW w:w="998" w:type="dxa"/>
            <w:noWrap w:val="0"/>
            <w:vAlign w:val="top"/>
          </w:tcPr>
          <w:p w14:paraId="51B261F6">
            <w:pPr>
              <w:rPr>
                <w:rFonts w:hint="eastAsia" w:ascii="宋体" w:hAnsi="宋体" w:eastAsia="宋体" w:cs="宋体"/>
                <w:color w:val="auto"/>
                <w:sz w:val="18"/>
                <w:szCs w:val="18"/>
                <w:highlight w:val="none"/>
              </w:rPr>
            </w:pPr>
          </w:p>
        </w:tc>
      </w:tr>
      <w:tr w14:paraId="5C8B2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7C5F3137">
            <w:pPr>
              <w:rPr>
                <w:rFonts w:hint="eastAsia" w:ascii="宋体" w:hAnsi="宋体" w:eastAsia="宋体" w:cs="宋体"/>
                <w:color w:val="auto"/>
                <w:sz w:val="18"/>
                <w:szCs w:val="18"/>
                <w:highlight w:val="none"/>
              </w:rPr>
            </w:pPr>
          </w:p>
        </w:tc>
        <w:tc>
          <w:tcPr>
            <w:tcW w:w="1876" w:type="dxa"/>
            <w:noWrap w:val="0"/>
            <w:vAlign w:val="top"/>
          </w:tcPr>
          <w:p w14:paraId="3821D888">
            <w:pPr>
              <w:rPr>
                <w:rFonts w:hint="eastAsia" w:ascii="宋体" w:hAnsi="宋体" w:eastAsia="宋体" w:cs="宋体"/>
                <w:color w:val="auto"/>
                <w:sz w:val="18"/>
                <w:szCs w:val="18"/>
                <w:highlight w:val="none"/>
              </w:rPr>
            </w:pPr>
          </w:p>
        </w:tc>
        <w:tc>
          <w:tcPr>
            <w:tcW w:w="3024" w:type="dxa"/>
            <w:noWrap w:val="0"/>
            <w:vAlign w:val="top"/>
          </w:tcPr>
          <w:p w14:paraId="093CF2AB">
            <w:pPr>
              <w:rPr>
                <w:rFonts w:hint="eastAsia" w:ascii="宋体" w:hAnsi="宋体" w:eastAsia="宋体" w:cs="宋体"/>
                <w:color w:val="auto"/>
                <w:sz w:val="18"/>
                <w:szCs w:val="18"/>
                <w:highlight w:val="none"/>
              </w:rPr>
            </w:pPr>
          </w:p>
        </w:tc>
        <w:tc>
          <w:tcPr>
            <w:tcW w:w="1188" w:type="dxa"/>
            <w:noWrap w:val="0"/>
            <w:vAlign w:val="top"/>
          </w:tcPr>
          <w:p w14:paraId="436701FE">
            <w:pPr>
              <w:rPr>
                <w:rFonts w:hint="eastAsia" w:ascii="宋体" w:hAnsi="宋体" w:eastAsia="宋体" w:cs="宋体"/>
                <w:color w:val="auto"/>
                <w:sz w:val="18"/>
                <w:szCs w:val="18"/>
                <w:highlight w:val="none"/>
              </w:rPr>
            </w:pPr>
          </w:p>
        </w:tc>
        <w:tc>
          <w:tcPr>
            <w:tcW w:w="998" w:type="dxa"/>
            <w:noWrap w:val="0"/>
            <w:vAlign w:val="top"/>
          </w:tcPr>
          <w:p w14:paraId="3CF6B9A5">
            <w:pPr>
              <w:rPr>
                <w:rFonts w:hint="eastAsia" w:ascii="宋体" w:hAnsi="宋体" w:eastAsia="宋体" w:cs="宋体"/>
                <w:color w:val="auto"/>
                <w:sz w:val="18"/>
                <w:szCs w:val="18"/>
                <w:highlight w:val="none"/>
              </w:rPr>
            </w:pPr>
          </w:p>
        </w:tc>
      </w:tr>
      <w:tr w14:paraId="050E9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14:paraId="23132F34">
            <w:pPr>
              <w:rPr>
                <w:rFonts w:hint="eastAsia" w:ascii="宋体" w:hAnsi="宋体" w:eastAsia="宋体" w:cs="宋体"/>
                <w:color w:val="auto"/>
                <w:sz w:val="18"/>
                <w:szCs w:val="18"/>
                <w:highlight w:val="none"/>
              </w:rPr>
            </w:pPr>
          </w:p>
        </w:tc>
        <w:tc>
          <w:tcPr>
            <w:tcW w:w="1876" w:type="dxa"/>
            <w:noWrap w:val="0"/>
            <w:vAlign w:val="top"/>
          </w:tcPr>
          <w:p w14:paraId="68012964">
            <w:pPr>
              <w:rPr>
                <w:rFonts w:hint="eastAsia" w:ascii="宋体" w:hAnsi="宋体" w:eastAsia="宋体" w:cs="宋体"/>
                <w:color w:val="auto"/>
                <w:sz w:val="18"/>
                <w:szCs w:val="18"/>
                <w:highlight w:val="none"/>
              </w:rPr>
            </w:pPr>
          </w:p>
        </w:tc>
        <w:tc>
          <w:tcPr>
            <w:tcW w:w="3024" w:type="dxa"/>
            <w:noWrap w:val="0"/>
            <w:vAlign w:val="top"/>
          </w:tcPr>
          <w:p w14:paraId="6267F04D">
            <w:pPr>
              <w:rPr>
                <w:rFonts w:hint="eastAsia" w:ascii="宋体" w:hAnsi="宋体" w:eastAsia="宋体" w:cs="宋体"/>
                <w:color w:val="auto"/>
                <w:sz w:val="18"/>
                <w:szCs w:val="18"/>
                <w:highlight w:val="none"/>
              </w:rPr>
            </w:pPr>
          </w:p>
        </w:tc>
        <w:tc>
          <w:tcPr>
            <w:tcW w:w="1188" w:type="dxa"/>
            <w:noWrap w:val="0"/>
            <w:vAlign w:val="top"/>
          </w:tcPr>
          <w:p w14:paraId="29D28245">
            <w:pPr>
              <w:rPr>
                <w:rFonts w:hint="eastAsia" w:ascii="宋体" w:hAnsi="宋体" w:eastAsia="宋体" w:cs="宋体"/>
                <w:color w:val="auto"/>
                <w:sz w:val="18"/>
                <w:szCs w:val="18"/>
                <w:highlight w:val="none"/>
              </w:rPr>
            </w:pPr>
          </w:p>
        </w:tc>
        <w:tc>
          <w:tcPr>
            <w:tcW w:w="998" w:type="dxa"/>
            <w:noWrap w:val="0"/>
            <w:vAlign w:val="top"/>
          </w:tcPr>
          <w:p w14:paraId="2493E818">
            <w:pPr>
              <w:rPr>
                <w:rFonts w:hint="eastAsia" w:ascii="宋体" w:hAnsi="宋体" w:eastAsia="宋体" w:cs="宋体"/>
                <w:color w:val="auto"/>
                <w:sz w:val="18"/>
                <w:szCs w:val="18"/>
                <w:highlight w:val="none"/>
              </w:rPr>
            </w:pPr>
          </w:p>
        </w:tc>
      </w:tr>
    </w:tbl>
    <w:p w14:paraId="1A2D7926">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注：1.提供投标人在国内的同类项目服务业绩，每项业绩须附证明文件，以提供的合同或中标通知书为准（合同</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中标通知书复印件加盖公章）。</w:t>
      </w:r>
    </w:p>
    <w:p w14:paraId="7E93FC4E">
      <w:pPr>
        <w:spacing w:before="120" w:beforeLines="50" w:line="360" w:lineRule="exact"/>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14:paraId="0067A02E">
      <w:pPr>
        <w:spacing w:line="400" w:lineRule="exact"/>
        <w:ind w:firstLine="433" w:firstLineChars="196"/>
        <w:rPr>
          <w:rFonts w:hint="eastAsia" w:ascii="宋体" w:hAnsi="宋体" w:eastAsia="宋体" w:cs="宋体"/>
          <w:b/>
          <w:color w:val="auto"/>
          <w:sz w:val="22"/>
          <w:szCs w:val="22"/>
          <w:highlight w:val="none"/>
        </w:rPr>
      </w:pPr>
    </w:p>
    <w:p w14:paraId="7697245A">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14:paraId="3407063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14:paraId="5A638ABA">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14:paraId="2BDC292E">
      <w:pPr>
        <w:spacing w:before="120" w:beforeLines="50" w:after="120" w:afterLines="50" w:line="240" w:lineRule="auto"/>
        <w:ind w:right="-10"/>
        <w:rPr>
          <w:rFonts w:hint="eastAsia" w:ascii="宋体" w:hAnsi="宋体" w:eastAsia="宋体" w:cs="宋体"/>
          <w:color w:val="auto"/>
          <w:highlight w:val="none"/>
        </w:rPr>
      </w:pPr>
      <w:r>
        <w:rPr>
          <w:rFonts w:hint="eastAsia" w:ascii="宋体" w:hAnsi="宋体" w:eastAsia="宋体" w:cs="宋体"/>
          <w:b/>
          <w:bCs/>
          <w:color w:val="auto"/>
          <w:sz w:val="24"/>
          <w:highlight w:val="none"/>
        </w:rPr>
        <w:br w:type="page"/>
      </w:r>
    </w:p>
    <w:p w14:paraId="1BBBDEF5">
      <w:pPr>
        <w:spacing w:before="240" w:beforeLines="100" w:after="120" w:afterLines="50"/>
        <w:rPr>
          <w:rFonts w:hint="eastAsia" w:ascii="宋体" w:hAnsi="宋体" w:eastAsia="宋体" w:cs="宋体"/>
          <w:b/>
          <w:color w:val="auto"/>
          <w:highlight w:val="none"/>
          <w:lang w:eastAsia="zh-CN"/>
        </w:rPr>
      </w:pPr>
      <w:r>
        <w:rPr>
          <w:rFonts w:hint="eastAsia" w:ascii="宋体" w:hAnsi="宋体" w:eastAsia="宋体" w:cs="宋体"/>
          <w:b/>
          <w:color w:val="auto"/>
          <w:highlight w:val="none"/>
        </w:rPr>
        <w:t>附件十</w:t>
      </w:r>
    </w:p>
    <w:p w14:paraId="5151762E">
      <w:pPr>
        <w:spacing w:line="380" w:lineRule="exact"/>
        <w:jc w:val="center"/>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lang w:val="en-US" w:eastAsia="zh-CN"/>
        </w:rPr>
        <w:t>服务人员最低</w:t>
      </w:r>
      <w:r>
        <w:rPr>
          <w:rFonts w:hint="eastAsia" w:ascii="宋体" w:hAnsi="宋体" w:eastAsia="宋体" w:cs="宋体"/>
          <w:b/>
          <w:color w:val="auto"/>
          <w:spacing w:val="-2"/>
          <w:sz w:val="32"/>
          <w:szCs w:val="32"/>
          <w:highlight w:val="none"/>
        </w:rPr>
        <w:t>月工资承诺函</w:t>
      </w:r>
    </w:p>
    <w:p w14:paraId="1A16364B">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FBB6AA7">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温州市高速公路资产经营有限公司：</w:t>
      </w:r>
    </w:p>
    <w:p w14:paraId="3C0B4777">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p>
    <w:p w14:paraId="18452EA6">
      <w:pPr>
        <w:tabs>
          <w:tab w:val="left" w:pos="4860"/>
        </w:tabs>
        <w:spacing w:line="360" w:lineRule="auto"/>
        <w:ind w:right="98" w:firstLine="432" w:firstLineChars="200"/>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我单位参与的贵单位组织的</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u w:val="single"/>
          <w:lang w:eastAsia="zh-CN"/>
        </w:rPr>
        <w:t>陶山服务区物业项目</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rPr>
        <w:t>项目（项目编号：</w:t>
      </w:r>
      <w:r>
        <w:rPr>
          <w:rFonts w:hint="eastAsia" w:ascii="宋体" w:hAnsi="宋体" w:eastAsia="宋体" w:cs="宋体"/>
          <w:color w:val="auto"/>
          <w:spacing w:val="-2"/>
          <w:sz w:val="22"/>
          <w:szCs w:val="22"/>
          <w:highlight w:val="none"/>
          <w:u w:val="single"/>
          <w:lang w:eastAsia="zh-CN"/>
        </w:rPr>
        <w:t>WGSS-JFJT-X-2024008</w:t>
      </w:r>
      <w:r>
        <w:rPr>
          <w:rFonts w:hint="eastAsia" w:ascii="宋体" w:hAnsi="宋体" w:eastAsia="宋体" w:cs="宋体"/>
          <w:color w:val="auto"/>
          <w:spacing w:val="-2"/>
          <w:sz w:val="22"/>
          <w:szCs w:val="22"/>
          <w:highlight w:val="none"/>
        </w:rPr>
        <w:t>）的投标。我单位对</w:t>
      </w:r>
      <w:r>
        <w:rPr>
          <w:rFonts w:hint="eastAsia" w:ascii="宋体" w:hAnsi="宋体" w:eastAsia="宋体" w:cs="宋体"/>
          <w:color w:val="auto"/>
          <w:spacing w:val="-2"/>
          <w:sz w:val="22"/>
          <w:szCs w:val="22"/>
          <w:highlight w:val="none"/>
          <w:lang w:val="en-US" w:eastAsia="zh-CN"/>
        </w:rPr>
        <w:t>拟派的服务人员</w:t>
      </w:r>
      <w:r>
        <w:rPr>
          <w:rFonts w:hint="eastAsia" w:ascii="宋体" w:hAnsi="宋体" w:eastAsia="宋体" w:cs="宋体"/>
          <w:color w:val="auto"/>
          <w:spacing w:val="-2"/>
          <w:sz w:val="22"/>
          <w:szCs w:val="22"/>
          <w:highlight w:val="none"/>
          <w:u w:val="single"/>
          <w:lang w:val="en-US" w:eastAsia="zh-CN"/>
        </w:rPr>
        <w:t xml:space="preserve"> 最低月工资 </w:t>
      </w:r>
      <w:r>
        <w:rPr>
          <w:rFonts w:hint="eastAsia" w:ascii="宋体" w:hAnsi="宋体" w:eastAsia="宋体" w:cs="宋体"/>
          <w:color w:val="auto"/>
          <w:spacing w:val="-2"/>
          <w:sz w:val="22"/>
          <w:szCs w:val="22"/>
          <w:highlight w:val="none"/>
        </w:rPr>
        <w:t>做</w:t>
      </w:r>
      <w:r>
        <w:rPr>
          <w:rFonts w:hint="eastAsia" w:ascii="宋体" w:hAnsi="宋体" w:eastAsia="宋体" w:cs="宋体"/>
          <w:color w:val="auto"/>
          <w:sz w:val="22"/>
          <w:szCs w:val="22"/>
          <w:highlight w:val="none"/>
        </w:rPr>
        <w:t>出以下</w:t>
      </w:r>
      <w:r>
        <w:rPr>
          <w:rFonts w:hint="eastAsia" w:ascii="宋体" w:hAnsi="宋体" w:eastAsia="宋体" w:cs="宋体"/>
          <w:color w:val="auto"/>
          <w:spacing w:val="-2"/>
          <w:sz w:val="22"/>
          <w:szCs w:val="22"/>
          <w:highlight w:val="none"/>
        </w:rPr>
        <w:t>承诺：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453"/>
        <w:gridCol w:w="2955"/>
        <w:gridCol w:w="1770"/>
      </w:tblGrid>
      <w:tr w14:paraId="5A1E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vAlign w:val="center"/>
          </w:tcPr>
          <w:p w14:paraId="79578B90">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序号</w:t>
            </w:r>
          </w:p>
        </w:tc>
        <w:tc>
          <w:tcPr>
            <w:tcW w:w="2453" w:type="dxa"/>
            <w:vAlign w:val="center"/>
          </w:tcPr>
          <w:p w14:paraId="5BA91A16">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岗位</w:t>
            </w:r>
          </w:p>
        </w:tc>
        <w:tc>
          <w:tcPr>
            <w:tcW w:w="2955" w:type="dxa"/>
            <w:vAlign w:val="center"/>
          </w:tcPr>
          <w:p w14:paraId="381BF85E">
            <w:pPr>
              <w:spacing w:line="240" w:lineRule="auto"/>
              <w:jc w:val="center"/>
              <w:rPr>
                <w:rFonts w:hint="eastAsia" w:ascii="宋体" w:hAnsi="宋体" w:eastAsia="宋体" w:cs="宋体"/>
                <w:color w:val="auto"/>
                <w:spacing w:val="-2"/>
                <w:sz w:val="22"/>
                <w:szCs w:val="22"/>
                <w:highlight w:val="none"/>
                <w:vertAlign w:val="baseline"/>
                <w:lang w:eastAsia="zh-CN"/>
              </w:rPr>
            </w:pPr>
            <w:r>
              <w:rPr>
                <w:rFonts w:hint="eastAsia" w:ascii="宋体" w:hAnsi="宋体" w:eastAsia="宋体" w:cs="宋体"/>
                <w:color w:val="auto"/>
                <w:spacing w:val="-2"/>
                <w:sz w:val="22"/>
                <w:szCs w:val="22"/>
                <w:highlight w:val="none"/>
                <w:vertAlign w:val="baseline"/>
              </w:rPr>
              <w:t>最低月工资</w:t>
            </w:r>
            <w:r>
              <w:rPr>
                <w:rFonts w:hint="eastAsia" w:ascii="宋体" w:hAnsi="宋体" w:eastAsia="宋体" w:cs="宋体"/>
                <w:color w:val="auto"/>
                <w:spacing w:val="-2"/>
                <w:sz w:val="22"/>
                <w:szCs w:val="22"/>
                <w:highlight w:val="none"/>
                <w:vertAlign w:val="baseline"/>
                <w:lang w:eastAsia="zh-CN"/>
              </w:rPr>
              <w:t>（元/月·人）</w:t>
            </w:r>
          </w:p>
        </w:tc>
        <w:tc>
          <w:tcPr>
            <w:tcW w:w="1770" w:type="dxa"/>
            <w:vAlign w:val="center"/>
          </w:tcPr>
          <w:p w14:paraId="3782E9A4">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备注</w:t>
            </w:r>
          </w:p>
        </w:tc>
      </w:tr>
      <w:tr w14:paraId="5621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642B65AC">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1</w:t>
            </w:r>
          </w:p>
        </w:tc>
        <w:tc>
          <w:tcPr>
            <w:tcW w:w="2453" w:type="dxa"/>
            <w:vAlign w:val="center"/>
          </w:tcPr>
          <w:p w14:paraId="78927DEB">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物业经理</w:t>
            </w:r>
          </w:p>
        </w:tc>
        <w:tc>
          <w:tcPr>
            <w:tcW w:w="2955" w:type="dxa"/>
          </w:tcPr>
          <w:p w14:paraId="0F2F9788">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7E58AF51">
            <w:pPr>
              <w:spacing w:line="240" w:lineRule="auto"/>
              <w:rPr>
                <w:rFonts w:hint="eastAsia" w:ascii="宋体" w:hAnsi="宋体" w:eastAsia="宋体" w:cs="宋体"/>
                <w:color w:val="auto"/>
                <w:spacing w:val="-2"/>
                <w:sz w:val="22"/>
                <w:szCs w:val="22"/>
                <w:highlight w:val="none"/>
                <w:vertAlign w:val="baseline"/>
              </w:rPr>
            </w:pPr>
          </w:p>
        </w:tc>
      </w:tr>
      <w:tr w14:paraId="0DDF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02C69378">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2</w:t>
            </w:r>
          </w:p>
        </w:tc>
        <w:tc>
          <w:tcPr>
            <w:tcW w:w="2453" w:type="dxa"/>
            <w:vAlign w:val="center"/>
          </w:tcPr>
          <w:p w14:paraId="6B71E501">
            <w:pPr>
              <w:adjustRightInd w:val="0"/>
              <w:snapToGrid w:val="0"/>
              <w:spacing w:line="240" w:lineRule="auto"/>
              <w:ind w:left="359" w:leftChars="0" w:hanging="359" w:hangingChars="171"/>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kern w:val="2"/>
                <w:sz w:val="21"/>
                <w:szCs w:val="21"/>
                <w:highlight w:val="none"/>
                <w:lang w:val="en-US" w:eastAsia="zh-CN" w:bidi="ar"/>
              </w:rPr>
              <w:t>保洁主管</w:t>
            </w:r>
          </w:p>
        </w:tc>
        <w:tc>
          <w:tcPr>
            <w:tcW w:w="2955" w:type="dxa"/>
          </w:tcPr>
          <w:p w14:paraId="7F1E1550">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381D6F20">
            <w:pPr>
              <w:spacing w:line="240" w:lineRule="auto"/>
              <w:rPr>
                <w:rFonts w:hint="eastAsia" w:ascii="宋体" w:hAnsi="宋体" w:eastAsia="宋体" w:cs="宋体"/>
                <w:color w:val="auto"/>
                <w:spacing w:val="-2"/>
                <w:sz w:val="22"/>
                <w:szCs w:val="22"/>
                <w:highlight w:val="none"/>
                <w:vertAlign w:val="baseline"/>
              </w:rPr>
            </w:pPr>
          </w:p>
        </w:tc>
      </w:tr>
      <w:tr w14:paraId="5E8F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7F85CD7D">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3</w:t>
            </w:r>
          </w:p>
        </w:tc>
        <w:tc>
          <w:tcPr>
            <w:tcW w:w="2453" w:type="dxa"/>
            <w:shd w:val="clear" w:color="auto" w:fill="auto"/>
            <w:vAlign w:val="center"/>
          </w:tcPr>
          <w:p w14:paraId="618522D4">
            <w:pPr>
              <w:adjustRightInd w:val="0"/>
              <w:snapToGrid w:val="0"/>
              <w:spacing w:line="240" w:lineRule="auto"/>
              <w:ind w:left="359" w:leftChars="0" w:hanging="359" w:hangingChars="171"/>
              <w:jc w:val="center"/>
              <w:rPr>
                <w:rFonts w:hint="default"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
              </w:rPr>
              <w:t>水电工</w:t>
            </w:r>
          </w:p>
        </w:tc>
        <w:tc>
          <w:tcPr>
            <w:tcW w:w="2955" w:type="dxa"/>
          </w:tcPr>
          <w:p w14:paraId="00D4D323">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5A887214">
            <w:pPr>
              <w:spacing w:line="240" w:lineRule="auto"/>
              <w:rPr>
                <w:rFonts w:hint="eastAsia" w:ascii="宋体" w:hAnsi="宋体" w:eastAsia="宋体" w:cs="宋体"/>
                <w:color w:val="auto"/>
                <w:spacing w:val="-2"/>
                <w:sz w:val="22"/>
                <w:szCs w:val="22"/>
                <w:highlight w:val="none"/>
                <w:vertAlign w:val="baseline"/>
              </w:rPr>
            </w:pPr>
          </w:p>
        </w:tc>
      </w:tr>
      <w:tr w14:paraId="1FDA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12088E20">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4</w:t>
            </w:r>
          </w:p>
        </w:tc>
        <w:tc>
          <w:tcPr>
            <w:tcW w:w="2453" w:type="dxa"/>
            <w:shd w:val="clear" w:color="auto" w:fill="auto"/>
            <w:vAlign w:val="center"/>
          </w:tcPr>
          <w:p w14:paraId="6A92E643">
            <w:pPr>
              <w:adjustRightInd w:val="0"/>
              <w:snapToGrid w:val="0"/>
              <w:spacing w:line="240" w:lineRule="auto"/>
              <w:ind w:left="359" w:leftChars="0" w:hanging="359" w:hangingChars="171"/>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
              </w:rPr>
              <w:t>咨询台人员</w:t>
            </w:r>
          </w:p>
        </w:tc>
        <w:tc>
          <w:tcPr>
            <w:tcW w:w="2955" w:type="dxa"/>
          </w:tcPr>
          <w:p w14:paraId="7E56670F">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1A36CA3A">
            <w:pPr>
              <w:spacing w:line="240" w:lineRule="auto"/>
              <w:rPr>
                <w:rFonts w:hint="eastAsia" w:ascii="宋体" w:hAnsi="宋体" w:eastAsia="宋体" w:cs="宋体"/>
                <w:color w:val="auto"/>
                <w:spacing w:val="-2"/>
                <w:sz w:val="22"/>
                <w:szCs w:val="22"/>
                <w:highlight w:val="none"/>
                <w:vertAlign w:val="baseline"/>
              </w:rPr>
            </w:pPr>
          </w:p>
        </w:tc>
      </w:tr>
      <w:tr w14:paraId="7B01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6091050E">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5</w:t>
            </w:r>
          </w:p>
        </w:tc>
        <w:tc>
          <w:tcPr>
            <w:tcW w:w="2453" w:type="dxa"/>
            <w:shd w:val="clear" w:color="auto" w:fill="auto"/>
            <w:vAlign w:val="center"/>
          </w:tcPr>
          <w:p w14:paraId="04772FD3">
            <w:pPr>
              <w:adjustRightInd w:val="0"/>
              <w:snapToGrid w:val="0"/>
              <w:spacing w:line="240" w:lineRule="auto"/>
              <w:ind w:left="359" w:leftChars="0" w:hanging="359" w:hangingChars="171"/>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
              </w:rPr>
              <w:t>保安队长</w:t>
            </w:r>
          </w:p>
        </w:tc>
        <w:tc>
          <w:tcPr>
            <w:tcW w:w="2955" w:type="dxa"/>
          </w:tcPr>
          <w:p w14:paraId="611F32BF">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758C51DC">
            <w:pPr>
              <w:spacing w:line="240" w:lineRule="auto"/>
              <w:rPr>
                <w:rFonts w:hint="eastAsia" w:ascii="宋体" w:hAnsi="宋体" w:eastAsia="宋体" w:cs="宋体"/>
                <w:color w:val="auto"/>
                <w:spacing w:val="-2"/>
                <w:sz w:val="22"/>
                <w:szCs w:val="22"/>
                <w:highlight w:val="none"/>
                <w:vertAlign w:val="baseline"/>
              </w:rPr>
            </w:pPr>
          </w:p>
        </w:tc>
      </w:tr>
      <w:tr w14:paraId="2B2B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2B59C303">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6</w:t>
            </w:r>
          </w:p>
        </w:tc>
        <w:tc>
          <w:tcPr>
            <w:tcW w:w="2453" w:type="dxa"/>
            <w:shd w:val="clear" w:color="auto" w:fill="auto"/>
            <w:vAlign w:val="center"/>
          </w:tcPr>
          <w:p w14:paraId="5ECB060A">
            <w:pPr>
              <w:adjustRightInd w:val="0"/>
              <w:snapToGrid w:val="0"/>
              <w:spacing w:line="240" w:lineRule="auto"/>
              <w:ind w:left="359" w:leftChars="0" w:hanging="359" w:hangingChars="171"/>
              <w:jc w:val="center"/>
              <w:rPr>
                <w:rFonts w:hint="eastAsia" w:ascii="宋体" w:hAnsi="宋体" w:eastAsia="宋体" w:cs="宋体"/>
                <w:color w:val="auto"/>
                <w:spacing w:val="-2"/>
                <w:kern w:val="2"/>
                <w:sz w:val="22"/>
                <w:szCs w:val="22"/>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
              </w:rPr>
              <w:t>保安员</w:t>
            </w:r>
          </w:p>
        </w:tc>
        <w:tc>
          <w:tcPr>
            <w:tcW w:w="2955" w:type="dxa"/>
          </w:tcPr>
          <w:p w14:paraId="27CB4345">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1AD5E231">
            <w:pPr>
              <w:spacing w:line="240" w:lineRule="auto"/>
              <w:rPr>
                <w:rFonts w:hint="eastAsia" w:ascii="宋体" w:hAnsi="宋体" w:eastAsia="宋体" w:cs="宋体"/>
                <w:color w:val="auto"/>
                <w:spacing w:val="-2"/>
                <w:sz w:val="22"/>
                <w:szCs w:val="22"/>
                <w:highlight w:val="none"/>
                <w:vertAlign w:val="baseline"/>
              </w:rPr>
            </w:pPr>
          </w:p>
        </w:tc>
      </w:tr>
      <w:tr w14:paraId="0947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744B4E68">
            <w:pPr>
              <w:spacing w:line="240" w:lineRule="auto"/>
              <w:jc w:val="center"/>
              <w:rPr>
                <w:rFonts w:hint="eastAsia"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7</w:t>
            </w:r>
          </w:p>
        </w:tc>
        <w:tc>
          <w:tcPr>
            <w:tcW w:w="2453" w:type="dxa"/>
            <w:shd w:val="clear" w:color="auto" w:fill="auto"/>
            <w:vAlign w:val="center"/>
          </w:tcPr>
          <w:p w14:paraId="283476BC">
            <w:pPr>
              <w:adjustRightInd w:val="0"/>
              <w:snapToGrid w:val="0"/>
              <w:spacing w:line="240" w:lineRule="auto"/>
              <w:ind w:left="359" w:leftChars="0" w:hanging="359" w:hangingChars="171"/>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保洁员</w:t>
            </w:r>
          </w:p>
        </w:tc>
        <w:tc>
          <w:tcPr>
            <w:tcW w:w="2955" w:type="dxa"/>
          </w:tcPr>
          <w:p w14:paraId="0DAE255E">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78A7EEC1">
            <w:pPr>
              <w:spacing w:line="240" w:lineRule="auto"/>
              <w:rPr>
                <w:rFonts w:hint="eastAsia" w:ascii="宋体" w:hAnsi="宋体" w:eastAsia="宋体" w:cs="宋体"/>
                <w:color w:val="auto"/>
                <w:spacing w:val="-2"/>
                <w:sz w:val="22"/>
                <w:szCs w:val="22"/>
                <w:highlight w:val="none"/>
                <w:vertAlign w:val="baseline"/>
              </w:rPr>
            </w:pPr>
          </w:p>
        </w:tc>
      </w:tr>
      <w:tr w14:paraId="0F14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5" w:type="dxa"/>
          </w:tcPr>
          <w:p w14:paraId="66A5E5D2">
            <w:pPr>
              <w:spacing w:line="240" w:lineRule="auto"/>
              <w:jc w:val="center"/>
              <w:rPr>
                <w:rFonts w:hint="default" w:ascii="宋体" w:hAnsi="宋体" w:eastAsia="宋体" w:cs="宋体"/>
                <w:color w:val="auto"/>
                <w:spacing w:val="-2"/>
                <w:sz w:val="22"/>
                <w:szCs w:val="22"/>
                <w:highlight w:val="none"/>
                <w:vertAlign w:val="baseline"/>
                <w:lang w:val="en-US" w:eastAsia="zh-CN"/>
              </w:rPr>
            </w:pPr>
            <w:r>
              <w:rPr>
                <w:rFonts w:hint="eastAsia" w:ascii="宋体" w:hAnsi="宋体" w:eastAsia="宋体" w:cs="宋体"/>
                <w:color w:val="auto"/>
                <w:spacing w:val="-2"/>
                <w:sz w:val="22"/>
                <w:szCs w:val="22"/>
                <w:highlight w:val="none"/>
                <w:vertAlign w:val="baseline"/>
                <w:lang w:val="en-US" w:eastAsia="zh-CN"/>
              </w:rPr>
              <w:t>8</w:t>
            </w:r>
          </w:p>
        </w:tc>
        <w:tc>
          <w:tcPr>
            <w:tcW w:w="2453" w:type="dxa"/>
            <w:shd w:val="clear" w:color="auto" w:fill="auto"/>
            <w:vAlign w:val="center"/>
          </w:tcPr>
          <w:p w14:paraId="7243B05C">
            <w:pPr>
              <w:adjustRightInd w:val="0"/>
              <w:snapToGrid w:val="0"/>
              <w:spacing w:line="240" w:lineRule="auto"/>
              <w:ind w:left="359" w:leftChars="0" w:hanging="359" w:hangingChars="171"/>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党群服务中心服务人员</w:t>
            </w:r>
          </w:p>
        </w:tc>
        <w:tc>
          <w:tcPr>
            <w:tcW w:w="2955" w:type="dxa"/>
          </w:tcPr>
          <w:p w14:paraId="4F9F87FF">
            <w:pPr>
              <w:spacing w:line="240" w:lineRule="auto"/>
              <w:rPr>
                <w:rFonts w:hint="eastAsia" w:ascii="宋体" w:hAnsi="宋体" w:eastAsia="宋体" w:cs="宋体"/>
                <w:color w:val="auto"/>
                <w:spacing w:val="-2"/>
                <w:sz w:val="22"/>
                <w:szCs w:val="22"/>
                <w:highlight w:val="none"/>
                <w:vertAlign w:val="baseline"/>
              </w:rPr>
            </w:pPr>
          </w:p>
        </w:tc>
        <w:tc>
          <w:tcPr>
            <w:tcW w:w="1770" w:type="dxa"/>
          </w:tcPr>
          <w:p w14:paraId="393123E5">
            <w:pPr>
              <w:spacing w:line="240" w:lineRule="auto"/>
              <w:rPr>
                <w:rFonts w:hint="eastAsia" w:ascii="宋体" w:hAnsi="宋体" w:eastAsia="宋体" w:cs="宋体"/>
                <w:color w:val="auto"/>
                <w:spacing w:val="-2"/>
                <w:sz w:val="22"/>
                <w:szCs w:val="22"/>
                <w:highlight w:val="none"/>
                <w:vertAlign w:val="baseline"/>
              </w:rPr>
            </w:pPr>
          </w:p>
        </w:tc>
      </w:tr>
    </w:tbl>
    <w:p w14:paraId="61DE1BF6">
      <w:pPr>
        <w:spacing w:line="360" w:lineRule="auto"/>
        <w:ind w:firstLine="432" w:firstLineChars="200"/>
        <w:rPr>
          <w:rFonts w:hint="eastAsia" w:ascii="宋体" w:hAnsi="宋体" w:eastAsia="宋体" w:cs="宋体"/>
          <w:color w:val="auto"/>
          <w:spacing w:val="-2"/>
          <w:sz w:val="22"/>
          <w:szCs w:val="22"/>
          <w:highlight w:val="none"/>
        </w:rPr>
      </w:pPr>
    </w:p>
    <w:p w14:paraId="051B9FC9">
      <w:pPr>
        <w:spacing w:line="360" w:lineRule="auto"/>
        <w:ind w:firstLine="432" w:firstLineChars="200"/>
        <w:rPr>
          <w:rFonts w:hint="eastAsia" w:ascii="宋体" w:hAnsi="宋体" w:eastAsia="宋体" w:cs="宋体"/>
          <w:color w:val="auto"/>
          <w:highlight w:val="none"/>
        </w:rPr>
      </w:pPr>
      <w:r>
        <w:rPr>
          <w:rFonts w:hint="eastAsia" w:ascii="宋体" w:hAnsi="宋体" w:eastAsia="宋体" w:cs="宋体"/>
          <w:color w:val="auto"/>
          <w:spacing w:val="-2"/>
          <w:sz w:val="22"/>
          <w:szCs w:val="22"/>
          <w:highlight w:val="none"/>
        </w:rPr>
        <w:t>如果我单位获得本项目中标，则我单位承诺</w:t>
      </w:r>
      <w:r>
        <w:rPr>
          <w:rFonts w:hint="eastAsia" w:ascii="宋体" w:hAnsi="宋体" w:eastAsia="宋体" w:cs="宋体"/>
          <w:color w:val="auto"/>
          <w:spacing w:val="-2"/>
          <w:sz w:val="22"/>
          <w:szCs w:val="22"/>
          <w:highlight w:val="none"/>
          <w:lang w:val="en-US" w:eastAsia="zh-CN"/>
        </w:rPr>
        <w:t>拟派的</w:t>
      </w:r>
      <w:r>
        <w:rPr>
          <w:rFonts w:hint="eastAsia" w:ascii="宋体" w:hAnsi="宋体" w:eastAsia="宋体" w:cs="宋体"/>
          <w:color w:val="auto"/>
          <w:spacing w:val="-2"/>
          <w:sz w:val="22"/>
          <w:szCs w:val="22"/>
          <w:highlight w:val="none"/>
        </w:rPr>
        <w:t>服务人员最低月工资</w:t>
      </w:r>
      <w:r>
        <w:rPr>
          <w:rFonts w:hint="eastAsia" w:ascii="宋体" w:hAnsi="宋体" w:eastAsia="宋体" w:cs="宋体"/>
          <w:color w:val="auto"/>
          <w:spacing w:val="-2"/>
          <w:sz w:val="22"/>
          <w:szCs w:val="22"/>
          <w:highlight w:val="none"/>
          <w:lang w:val="en-US" w:eastAsia="zh-CN"/>
        </w:rPr>
        <w:t>严格按照本承诺函</w:t>
      </w:r>
      <w:r>
        <w:rPr>
          <w:rFonts w:hint="eastAsia" w:ascii="宋体" w:hAnsi="宋体" w:eastAsia="宋体" w:cs="宋体"/>
          <w:color w:val="auto"/>
          <w:spacing w:val="-2"/>
          <w:sz w:val="22"/>
          <w:szCs w:val="22"/>
          <w:highlight w:val="none"/>
        </w:rPr>
        <w:t>规定执行</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highlight w:val="none"/>
        </w:rPr>
        <w:t>我方按照</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lang w:eastAsia="zh-CN"/>
        </w:rPr>
        <w:t>承诺函</w:t>
      </w:r>
      <w:r>
        <w:rPr>
          <w:rFonts w:hint="eastAsia" w:ascii="宋体" w:hAnsi="宋体" w:eastAsia="宋体" w:cs="宋体"/>
          <w:color w:val="auto"/>
          <w:highlight w:val="none"/>
          <w:lang w:val="en-US" w:eastAsia="zh-CN"/>
        </w:rPr>
        <w:t>的规定</w:t>
      </w:r>
      <w:r>
        <w:rPr>
          <w:rFonts w:hint="eastAsia" w:ascii="宋体" w:hAnsi="宋体" w:eastAsia="宋体" w:cs="宋体"/>
          <w:color w:val="auto"/>
          <w:highlight w:val="none"/>
        </w:rPr>
        <w:t>执行后，我方没有任何附加条件，且所提交的投标文件依然有效。</w:t>
      </w:r>
    </w:p>
    <w:p w14:paraId="17ACAB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我方理解，如不作此承诺，评标委员会将对我方投标作无效标处理。</w:t>
      </w:r>
    </w:p>
    <w:p w14:paraId="6F01110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14:paraId="56765764">
      <w:pPr>
        <w:spacing w:line="360" w:lineRule="auto"/>
        <w:rPr>
          <w:rFonts w:hint="eastAsia" w:ascii="宋体" w:hAnsi="宋体" w:eastAsia="宋体" w:cs="宋体"/>
          <w:color w:val="auto"/>
          <w:sz w:val="22"/>
          <w:szCs w:val="22"/>
          <w:highlight w:val="none"/>
        </w:rPr>
      </w:pPr>
    </w:p>
    <w:p w14:paraId="2038CB6A">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承诺人单位全称（盖公章）：</w:t>
      </w:r>
    </w:p>
    <w:p w14:paraId="320F2EBF">
      <w:pPr>
        <w:spacing w:line="360" w:lineRule="auto"/>
        <w:rPr>
          <w:rFonts w:hint="eastAsia" w:ascii="宋体" w:hAnsi="宋体" w:eastAsia="宋体" w:cs="宋体"/>
          <w:color w:val="auto"/>
          <w:spacing w:val="-2"/>
          <w:sz w:val="22"/>
          <w:szCs w:val="22"/>
          <w:highlight w:val="none"/>
        </w:rPr>
      </w:pPr>
    </w:p>
    <w:p w14:paraId="72C94BD6">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kern w:val="0"/>
          <w:highlight w:val="none"/>
        </w:rPr>
        <w:t>法定代表人或授权代表</w:t>
      </w:r>
      <w:r>
        <w:rPr>
          <w:rFonts w:hint="eastAsia" w:ascii="宋体" w:hAnsi="宋体" w:eastAsia="宋体" w:cs="宋体"/>
          <w:color w:val="auto"/>
          <w:spacing w:val="-2"/>
          <w:sz w:val="22"/>
          <w:szCs w:val="22"/>
          <w:highlight w:val="none"/>
        </w:rPr>
        <w:t>（签字或盖章）：</w:t>
      </w:r>
    </w:p>
    <w:p w14:paraId="3D6629A1">
      <w:pPr>
        <w:spacing w:line="360" w:lineRule="auto"/>
        <w:rPr>
          <w:rFonts w:hint="eastAsia" w:ascii="宋体" w:hAnsi="宋体" w:eastAsia="宋体" w:cs="宋体"/>
          <w:color w:val="auto"/>
          <w:spacing w:val="-2"/>
          <w:sz w:val="22"/>
          <w:szCs w:val="22"/>
          <w:highlight w:val="none"/>
        </w:rPr>
      </w:pPr>
    </w:p>
    <w:p w14:paraId="086F1BC1">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日期：  年   月  日</w:t>
      </w:r>
    </w:p>
    <w:p w14:paraId="07292B3E">
      <w:pPr>
        <w:pStyle w:val="11"/>
        <w:ind w:left="432" w:hanging="432"/>
        <w:rPr>
          <w:rFonts w:hint="eastAsia" w:ascii="宋体" w:hAnsi="宋体" w:eastAsia="宋体" w:cs="宋体"/>
          <w:color w:val="auto"/>
          <w:spacing w:val="-2"/>
          <w:sz w:val="22"/>
          <w:szCs w:val="22"/>
          <w:highlight w:val="none"/>
        </w:rPr>
      </w:pPr>
    </w:p>
    <w:p w14:paraId="2324398E">
      <w:pPr>
        <w:numPr>
          <w:ilvl w:val="0"/>
          <w:numId w:val="27"/>
        </w:numP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▲本“服务人员最低月工资承诺函”中的内容为实质性内容，投标人没有实质性响应该要求的, 作无效标处理。</w:t>
      </w:r>
    </w:p>
    <w:p w14:paraId="6BFB2B06">
      <w:pPr>
        <w:rPr>
          <w:rFonts w:hint="eastAsia" w:ascii="宋体" w:hAnsi="宋体" w:eastAsia="宋体" w:cs="宋体"/>
          <w:b/>
          <w:color w:val="auto"/>
          <w:kern w:val="0"/>
          <w:sz w:val="36"/>
          <w:szCs w:val="36"/>
          <w:highlight w:val="none"/>
        </w:rPr>
      </w:pPr>
      <w:r>
        <w:rPr>
          <w:rFonts w:hint="eastAsia" w:ascii="宋体" w:hAnsi="宋体" w:eastAsia="宋体" w:cs="宋体"/>
          <w:b/>
          <w:color w:val="auto"/>
          <w:szCs w:val="21"/>
          <w:highlight w:val="none"/>
          <w:u w:val="single"/>
          <w:lang w:val="en-US" w:eastAsia="zh-CN"/>
        </w:rPr>
        <w:t>2、</w:t>
      </w:r>
      <w:r>
        <w:rPr>
          <w:rFonts w:hint="eastAsia" w:ascii="宋体" w:hAnsi="宋体" w:eastAsia="宋体" w:cs="宋体"/>
          <w:b/>
          <w:color w:val="auto"/>
          <w:szCs w:val="21"/>
          <w:highlight w:val="none"/>
          <w:u w:val="single"/>
        </w:rPr>
        <w:t>▲不提供此表格将被视为没有实质性响应采购文件要求, 作无效标处理。</w:t>
      </w:r>
    </w:p>
    <w:p w14:paraId="40CED361">
      <w:pPr>
        <w:rPr>
          <w:rFonts w:hint="eastAsia" w:ascii="宋体" w:hAnsi="宋体" w:eastAsia="宋体" w:cs="宋体"/>
          <w:highlight w:val="none"/>
        </w:rPr>
      </w:pPr>
      <w:r>
        <w:rPr>
          <w:rFonts w:hint="eastAsia" w:ascii="宋体" w:hAnsi="宋体" w:eastAsia="宋体" w:cs="宋体"/>
          <w:highlight w:val="none"/>
        </w:rPr>
        <w:br w:type="page"/>
      </w:r>
    </w:p>
    <w:p w14:paraId="4B05CE29">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14:paraId="41162732">
      <w:pPr>
        <w:rPr>
          <w:rFonts w:hint="eastAsia" w:ascii="宋体" w:hAnsi="宋体" w:eastAsia="宋体" w:cs="宋体"/>
          <w:szCs w:val="24"/>
          <w:highlight w:val="none"/>
        </w:rPr>
      </w:pPr>
    </w:p>
    <w:p w14:paraId="34D53E7C">
      <w:pPr>
        <w:rPr>
          <w:rFonts w:hint="eastAsia" w:ascii="宋体" w:hAnsi="宋体" w:eastAsia="宋体" w:cs="宋体"/>
          <w:szCs w:val="24"/>
          <w:highlight w:val="none"/>
        </w:rPr>
      </w:pPr>
    </w:p>
    <w:p w14:paraId="6BC5877D">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14:paraId="2DD85D76">
      <w:pPr>
        <w:ind w:left="562" w:hanging="562" w:hangingChars="200"/>
        <w:jc w:val="right"/>
        <w:rPr>
          <w:rFonts w:hint="eastAsia" w:ascii="宋体" w:hAnsi="宋体" w:eastAsia="宋体" w:cs="宋体"/>
          <w:b/>
          <w:bCs/>
          <w:sz w:val="28"/>
          <w:szCs w:val="28"/>
          <w:highlight w:val="none"/>
        </w:rPr>
      </w:pPr>
    </w:p>
    <w:p w14:paraId="7C289426">
      <w:pPr>
        <w:rPr>
          <w:rFonts w:hint="eastAsia" w:ascii="宋体" w:hAnsi="宋体" w:eastAsia="宋体" w:cs="宋体"/>
          <w:szCs w:val="24"/>
          <w:highlight w:val="none"/>
        </w:rPr>
      </w:pPr>
    </w:p>
    <w:p w14:paraId="1FA03129">
      <w:pPr>
        <w:ind w:left="480" w:hanging="480" w:hangingChars="200"/>
        <w:rPr>
          <w:rFonts w:hint="eastAsia" w:ascii="宋体" w:hAnsi="宋体" w:eastAsia="宋体" w:cs="宋体"/>
          <w:sz w:val="24"/>
          <w:szCs w:val="24"/>
          <w:highlight w:val="none"/>
        </w:rPr>
      </w:pPr>
    </w:p>
    <w:p w14:paraId="42F6E17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14:paraId="114CAB9E">
      <w:pPr>
        <w:rPr>
          <w:rFonts w:hint="eastAsia" w:ascii="宋体" w:hAnsi="宋体" w:eastAsia="宋体" w:cs="宋体"/>
          <w:sz w:val="28"/>
          <w:szCs w:val="28"/>
          <w:highlight w:val="none"/>
        </w:rPr>
      </w:pPr>
    </w:p>
    <w:p w14:paraId="643A7F75">
      <w:pPr>
        <w:rPr>
          <w:rFonts w:hint="eastAsia" w:ascii="宋体" w:hAnsi="宋体" w:eastAsia="宋体" w:cs="宋体"/>
          <w:sz w:val="28"/>
          <w:szCs w:val="28"/>
          <w:highlight w:val="none"/>
        </w:rPr>
      </w:pPr>
    </w:p>
    <w:p w14:paraId="20626170">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090ED297">
      <w:pPr>
        <w:autoSpaceDE w:val="0"/>
        <w:autoSpaceDN w:val="0"/>
        <w:adjustRightInd w:val="0"/>
        <w:spacing w:after="120"/>
        <w:ind w:firstLine="280" w:firstLineChars="100"/>
        <w:jc w:val="left"/>
        <w:rPr>
          <w:rFonts w:hint="eastAsia" w:ascii="宋体" w:hAnsi="宋体" w:eastAsia="宋体" w:cs="宋体"/>
          <w:sz w:val="28"/>
          <w:szCs w:val="28"/>
          <w:highlight w:val="none"/>
        </w:rPr>
      </w:pPr>
    </w:p>
    <w:p w14:paraId="7F885DDA">
      <w:pPr>
        <w:rPr>
          <w:rFonts w:hint="eastAsia" w:ascii="宋体" w:hAnsi="宋体" w:eastAsia="宋体" w:cs="宋体"/>
          <w:sz w:val="28"/>
          <w:szCs w:val="28"/>
          <w:highlight w:val="none"/>
        </w:rPr>
      </w:pPr>
    </w:p>
    <w:p w14:paraId="41E95DE8">
      <w:pPr>
        <w:rPr>
          <w:rFonts w:hint="eastAsia" w:ascii="宋体" w:hAnsi="宋体" w:eastAsia="宋体" w:cs="宋体"/>
          <w:sz w:val="28"/>
          <w:szCs w:val="28"/>
          <w:highlight w:val="none"/>
        </w:rPr>
      </w:pPr>
    </w:p>
    <w:p w14:paraId="0B276C13">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14:paraId="1B67EDA4">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14:paraId="58906175">
      <w:pPr>
        <w:spacing w:line="360" w:lineRule="auto"/>
        <w:rPr>
          <w:rFonts w:hint="eastAsia" w:ascii="宋体" w:hAnsi="宋体" w:eastAsia="宋体" w:cs="宋体"/>
          <w:szCs w:val="21"/>
          <w:highlight w:val="none"/>
        </w:rPr>
      </w:pPr>
    </w:p>
    <w:p w14:paraId="32B85323">
      <w:pPr>
        <w:spacing w:line="360" w:lineRule="auto"/>
        <w:rPr>
          <w:rFonts w:hint="eastAsia" w:ascii="宋体" w:hAnsi="宋体" w:eastAsia="宋体" w:cs="宋体"/>
          <w:szCs w:val="21"/>
          <w:highlight w:val="none"/>
        </w:rPr>
      </w:pPr>
    </w:p>
    <w:p w14:paraId="3DE7A381">
      <w:pPr>
        <w:spacing w:line="360" w:lineRule="auto"/>
        <w:rPr>
          <w:rFonts w:hint="eastAsia" w:ascii="宋体" w:hAnsi="宋体" w:eastAsia="宋体" w:cs="宋体"/>
          <w:szCs w:val="21"/>
          <w:highlight w:val="none"/>
        </w:rPr>
      </w:pPr>
    </w:p>
    <w:p w14:paraId="1574BE31">
      <w:pPr>
        <w:spacing w:line="360" w:lineRule="auto"/>
        <w:rPr>
          <w:rFonts w:hint="eastAsia" w:ascii="宋体" w:hAnsi="宋体" w:eastAsia="宋体" w:cs="宋体"/>
          <w:szCs w:val="21"/>
          <w:highlight w:val="none"/>
        </w:rPr>
      </w:pPr>
    </w:p>
    <w:p w14:paraId="35BA1B5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投标供应商：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14:paraId="2DB113CD">
      <w:pPr>
        <w:rPr>
          <w:rFonts w:hint="eastAsia" w:ascii="宋体" w:hAnsi="宋体" w:eastAsia="宋体" w:cs="宋体"/>
          <w:sz w:val="28"/>
          <w:szCs w:val="28"/>
          <w:highlight w:val="none"/>
          <w:u w:val="single"/>
        </w:rPr>
      </w:pPr>
    </w:p>
    <w:p w14:paraId="735D1A8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14:paraId="750A9DA6">
      <w:pPr>
        <w:rPr>
          <w:rFonts w:hint="eastAsia" w:ascii="宋体" w:hAnsi="宋体" w:eastAsia="宋体" w:cs="宋体"/>
          <w:sz w:val="28"/>
          <w:szCs w:val="28"/>
          <w:highlight w:val="none"/>
        </w:rPr>
      </w:pPr>
    </w:p>
    <w:p w14:paraId="76A6BFF9">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2B1658F">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十一</w:t>
      </w:r>
      <w:r>
        <w:rPr>
          <w:rFonts w:hint="eastAsia" w:ascii="宋体" w:hAnsi="宋体" w:eastAsia="宋体" w:cs="宋体"/>
          <w:b/>
          <w:bCs/>
          <w:sz w:val="22"/>
          <w:highlight w:val="none"/>
        </w:rPr>
        <w:t xml:space="preserve"> </w:t>
      </w:r>
    </w:p>
    <w:p w14:paraId="3956AB04">
      <w:pPr>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开标一览表</w:t>
      </w:r>
    </w:p>
    <w:p w14:paraId="127132BB">
      <w:pPr>
        <w:spacing w:line="380" w:lineRule="exact"/>
        <w:jc w:val="center"/>
        <w:rPr>
          <w:rFonts w:hint="eastAsia" w:ascii="宋体" w:hAnsi="宋体" w:eastAsia="宋体" w:cs="宋体"/>
          <w:bCs/>
          <w:sz w:val="28"/>
          <w:szCs w:val="24"/>
          <w:highlight w:val="none"/>
        </w:rPr>
      </w:pPr>
    </w:p>
    <w:p w14:paraId="05A76F19">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highlight w:val="none"/>
        </w:rPr>
        <w:t>项目名称</w:t>
      </w:r>
      <w:r>
        <w:rPr>
          <w:rFonts w:hint="eastAsia" w:ascii="宋体" w:hAnsi="宋体" w:eastAsia="宋体" w:cs="宋体"/>
          <w:sz w:val="22"/>
          <w:highlight w:val="none"/>
          <w:lang w:eastAsia="zh-CN"/>
        </w:rPr>
        <w:t>：陶山服务区物业项目</w:t>
      </w:r>
      <w:r>
        <w:rPr>
          <w:rFonts w:hint="eastAsia" w:ascii="宋体" w:hAnsi="宋体" w:eastAsia="宋体" w:cs="宋体"/>
          <w:sz w:val="22"/>
          <w:highlight w:val="none"/>
          <w:lang w:val="en-US" w:eastAsia="zh-CN"/>
        </w:rPr>
        <w:t xml:space="preserve">          </w:t>
      </w:r>
      <w:r>
        <w:rPr>
          <w:rFonts w:hint="eastAsia" w:ascii="宋体" w:hAnsi="宋体" w:eastAsia="宋体" w:cs="宋体"/>
          <w:sz w:val="22"/>
          <w:szCs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04"/>
        <w:gridCol w:w="4476"/>
        <w:gridCol w:w="852"/>
        <w:gridCol w:w="1111"/>
      </w:tblGrid>
      <w:tr w14:paraId="4D08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ED623A6">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序号</w:t>
            </w:r>
          </w:p>
        </w:tc>
        <w:tc>
          <w:tcPr>
            <w:tcW w:w="1704" w:type="dxa"/>
            <w:tcBorders>
              <w:top w:val="single" w:color="auto" w:sz="4" w:space="0"/>
              <w:left w:val="single" w:color="auto" w:sz="4" w:space="0"/>
              <w:bottom w:val="single" w:color="auto" w:sz="4" w:space="0"/>
              <w:right w:val="single" w:color="auto" w:sz="4" w:space="0"/>
            </w:tcBorders>
            <w:vAlign w:val="center"/>
          </w:tcPr>
          <w:p w14:paraId="2DD838E1">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分项名称</w:t>
            </w:r>
          </w:p>
        </w:tc>
        <w:tc>
          <w:tcPr>
            <w:tcW w:w="4476" w:type="dxa"/>
            <w:tcBorders>
              <w:top w:val="single" w:color="auto" w:sz="4" w:space="0"/>
              <w:left w:val="single" w:color="auto" w:sz="4" w:space="0"/>
              <w:bottom w:val="single" w:color="auto" w:sz="4" w:space="0"/>
              <w:right w:val="single" w:color="auto" w:sz="4" w:space="0"/>
            </w:tcBorders>
            <w:vAlign w:val="center"/>
          </w:tcPr>
          <w:p w14:paraId="172E82FF">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投标报价（元）</w:t>
            </w:r>
          </w:p>
        </w:tc>
        <w:tc>
          <w:tcPr>
            <w:tcW w:w="852" w:type="dxa"/>
            <w:tcBorders>
              <w:top w:val="single" w:color="auto" w:sz="4" w:space="0"/>
              <w:left w:val="single" w:color="auto" w:sz="4" w:space="0"/>
              <w:bottom w:val="single" w:color="auto" w:sz="4" w:space="0"/>
              <w:right w:val="single" w:color="auto" w:sz="4" w:space="0"/>
            </w:tcBorders>
            <w:vAlign w:val="center"/>
          </w:tcPr>
          <w:p w14:paraId="2B3BB23C">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111" w:type="dxa"/>
            <w:tcBorders>
              <w:top w:val="single" w:color="auto" w:sz="4" w:space="0"/>
              <w:left w:val="single" w:color="auto" w:sz="4" w:space="0"/>
              <w:bottom w:val="single" w:color="auto" w:sz="4" w:space="0"/>
              <w:right w:val="single" w:color="auto" w:sz="4" w:space="0"/>
            </w:tcBorders>
            <w:vAlign w:val="center"/>
          </w:tcPr>
          <w:p w14:paraId="528A4010">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14:paraId="328F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82" w:type="dxa"/>
            <w:tcBorders>
              <w:top w:val="single" w:color="auto" w:sz="4" w:space="0"/>
              <w:left w:val="single" w:color="auto" w:sz="4" w:space="0"/>
              <w:right w:val="single" w:color="auto" w:sz="4" w:space="0"/>
            </w:tcBorders>
            <w:vAlign w:val="center"/>
          </w:tcPr>
          <w:p w14:paraId="0F9A256E">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1</w:t>
            </w:r>
          </w:p>
        </w:tc>
        <w:tc>
          <w:tcPr>
            <w:tcW w:w="1704" w:type="dxa"/>
            <w:tcBorders>
              <w:top w:val="single" w:color="auto" w:sz="4" w:space="0"/>
              <w:left w:val="single" w:color="auto" w:sz="4" w:space="0"/>
              <w:bottom w:val="single" w:color="auto" w:sz="4" w:space="0"/>
              <w:right w:val="single" w:color="auto" w:sz="4" w:space="0"/>
            </w:tcBorders>
            <w:vAlign w:val="center"/>
          </w:tcPr>
          <w:p w14:paraId="2D9400E7">
            <w:pPr>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（1）</w:t>
            </w:r>
            <w:r>
              <w:rPr>
                <w:rFonts w:hint="eastAsia" w:ascii="宋体" w:hAnsi="宋体" w:eastAsia="宋体" w:cs="宋体"/>
                <w:sz w:val="22"/>
                <w:highlight w:val="none"/>
              </w:rPr>
              <w:t>陶山服务区物业服务</w:t>
            </w:r>
          </w:p>
        </w:tc>
        <w:tc>
          <w:tcPr>
            <w:tcW w:w="4476" w:type="dxa"/>
            <w:tcBorders>
              <w:top w:val="single" w:color="auto" w:sz="4" w:space="0"/>
              <w:left w:val="single" w:color="auto" w:sz="4" w:space="0"/>
              <w:bottom w:val="single" w:color="auto" w:sz="4" w:space="0"/>
              <w:right w:val="single" w:color="auto" w:sz="4" w:space="0"/>
            </w:tcBorders>
            <w:vAlign w:val="center"/>
          </w:tcPr>
          <w:p w14:paraId="358ED3A1">
            <w:pPr>
              <w:jc w:val="center"/>
              <w:rPr>
                <w:rFonts w:hint="eastAsia" w:ascii="宋体" w:hAnsi="宋体" w:eastAsia="宋体" w:cs="宋体"/>
                <w:sz w:val="22"/>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50413A49">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111" w:type="dxa"/>
            <w:tcBorders>
              <w:top w:val="single" w:color="auto" w:sz="4" w:space="0"/>
              <w:left w:val="single" w:color="auto" w:sz="4" w:space="0"/>
              <w:bottom w:val="single" w:color="auto" w:sz="4" w:space="0"/>
              <w:right w:val="single" w:color="auto" w:sz="4" w:space="0"/>
            </w:tcBorders>
            <w:vAlign w:val="center"/>
          </w:tcPr>
          <w:p w14:paraId="5576A806">
            <w:pPr>
              <w:jc w:val="center"/>
              <w:rPr>
                <w:rFonts w:hint="eastAsia" w:ascii="宋体" w:hAnsi="宋体" w:eastAsia="宋体" w:cs="宋体"/>
                <w:sz w:val="22"/>
                <w:highlight w:val="none"/>
              </w:rPr>
            </w:pPr>
          </w:p>
        </w:tc>
      </w:tr>
      <w:tr w14:paraId="693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82" w:type="dxa"/>
            <w:tcBorders>
              <w:left w:val="single" w:color="auto" w:sz="4" w:space="0"/>
              <w:right w:val="single" w:color="auto" w:sz="4" w:space="0"/>
            </w:tcBorders>
            <w:vAlign w:val="center"/>
          </w:tcPr>
          <w:p w14:paraId="6E71D763">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2</w:t>
            </w:r>
          </w:p>
        </w:tc>
        <w:tc>
          <w:tcPr>
            <w:tcW w:w="1704" w:type="dxa"/>
            <w:tcBorders>
              <w:top w:val="single" w:color="auto" w:sz="4" w:space="0"/>
              <w:left w:val="single" w:color="auto" w:sz="4" w:space="0"/>
              <w:bottom w:val="single" w:color="auto" w:sz="4" w:space="0"/>
              <w:right w:val="single" w:color="auto" w:sz="4" w:space="0"/>
            </w:tcBorders>
            <w:vAlign w:val="center"/>
          </w:tcPr>
          <w:p w14:paraId="03EC0F6C">
            <w:pPr>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（2）</w:t>
            </w:r>
            <w:r>
              <w:rPr>
                <w:rFonts w:hint="eastAsia" w:ascii="宋体" w:hAnsi="宋体" w:eastAsia="宋体" w:cs="宋体"/>
                <w:sz w:val="22"/>
                <w:highlight w:val="none"/>
              </w:rPr>
              <w:t>“瓯江红·畅美高速”党群服务中心物业服务</w:t>
            </w:r>
          </w:p>
        </w:tc>
        <w:tc>
          <w:tcPr>
            <w:tcW w:w="4476" w:type="dxa"/>
            <w:tcBorders>
              <w:top w:val="single" w:color="auto" w:sz="4" w:space="0"/>
              <w:left w:val="single" w:color="auto" w:sz="4" w:space="0"/>
              <w:bottom w:val="single" w:color="auto" w:sz="4" w:space="0"/>
              <w:right w:val="single" w:color="auto" w:sz="4" w:space="0"/>
            </w:tcBorders>
            <w:vAlign w:val="center"/>
          </w:tcPr>
          <w:p w14:paraId="2423EEFC">
            <w:pPr>
              <w:jc w:val="center"/>
              <w:rPr>
                <w:rFonts w:hint="eastAsia" w:ascii="宋体" w:hAnsi="宋体" w:eastAsia="宋体" w:cs="宋体"/>
                <w:sz w:val="22"/>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7CA40890">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111" w:type="dxa"/>
            <w:tcBorders>
              <w:top w:val="single" w:color="auto" w:sz="4" w:space="0"/>
              <w:left w:val="single" w:color="auto" w:sz="4" w:space="0"/>
              <w:bottom w:val="single" w:color="auto" w:sz="4" w:space="0"/>
              <w:right w:val="single" w:color="auto" w:sz="4" w:space="0"/>
            </w:tcBorders>
            <w:vAlign w:val="center"/>
          </w:tcPr>
          <w:p w14:paraId="460662E6">
            <w:pPr>
              <w:jc w:val="center"/>
              <w:rPr>
                <w:rFonts w:hint="eastAsia" w:ascii="宋体" w:hAnsi="宋体" w:eastAsia="宋体" w:cs="宋体"/>
                <w:sz w:val="22"/>
                <w:highlight w:val="none"/>
              </w:rPr>
            </w:pPr>
          </w:p>
        </w:tc>
      </w:tr>
      <w:tr w14:paraId="5613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486" w:type="dxa"/>
            <w:gridSpan w:val="2"/>
            <w:tcBorders>
              <w:left w:val="single" w:color="auto" w:sz="4" w:space="0"/>
              <w:bottom w:val="single" w:color="auto" w:sz="4" w:space="0"/>
              <w:right w:val="single" w:color="auto" w:sz="4" w:space="0"/>
            </w:tcBorders>
            <w:vAlign w:val="center"/>
          </w:tcPr>
          <w:p w14:paraId="65B2AE79">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rPr>
              <w:t>投标总报价</w:t>
            </w:r>
            <w:r>
              <w:rPr>
                <w:rFonts w:hint="eastAsia" w:ascii="宋体" w:hAnsi="宋体" w:eastAsia="宋体" w:cs="宋体"/>
                <w:sz w:val="22"/>
                <w:highlight w:val="none"/>
                <w:lang w:val="en-US" w:eastAsia="zh-CN"/>
              </w:rPr>
              <w:t xml:space="preserve"> = 项1 + 项2</w:t>
            </w:r>
          </w:p>
        </w:tc>
        <w:tc>
          <w:tcPr>
            <w:tcW w:w="4476" w:type="dxa"/>
            <w:tcBorders>
              <w:top w:val="single" w:color="auto" w:sz="4" w:space="0"/>
              <w:left w:val="single" w:color="auto" w:sz="4" w:space="0"/>
              <w:bottom w:val="single" w:color="auto" w:sz="4" w:space="0"/>
              <w:right w:val="single" w:color="auto" w:sz="4" w:space="0"/>
            </w:tcBorders>
            <w:vAlign w:val="center"/>
          </w:tcPr>
          <w:p w14:paraId="75C55944">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14:paraId="1BB6820C">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852" w:type="dxa"/>
            <w:tcBorders>
              <w:top w:val="single" w:color="auto" w:sz="4" w:space="0"/>
              <w:left w:val="single" w:color="auto" w:sz="4" w:space="0"/>
              <w:right w:val="single" w:color="auto" w:sz="4" w:space="0"/>
            </w:tcBorders>
            <w:vAlign w:val="center"/>
          </w:tcPr>
          <w:p w14:paraId="0CB222A4">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111" w:type="dxa"/>
            <w:tcBorders>
              <w:top w:val="single" w:color="auto" w:sz="4" w:space="0"/>
              <w:left w:val="single" w:color="auto" w:sz="4" w:space="0"/>
              <w:right w:val="single" w:color="auto" w:sz="4" w:space="0"/>
            </w:tcBorders>
            <w:vAlign w:val="center"/>
          </w:tcPr>
          <w:p w14:paraId="440F214C">
            <w:pPr>
              <w:jc w:val="center"/>
              <w:rPr>
                <w:rFonts w:hint="eastAsia" w:ascii="宋体" w:hAnsi="宋体" w:eastAsia="宋体" w:cs="宋体"/>
                <w:sz w:val="22"/>
                <w:highlight w:val="none"/>
              </w:rPr>
            </w:pPr>
          </w:p>
        </w:tc>
      </w:tr>
    </w:tbl>
    <w:p w14:paraId="5D582CA8">
      <w:pPr>
        <w:ind w:left="524" w:hanging="523" w:hangingChars="238"/>
        <w:rPr>
          <w:rFonts w:hint="eastAsia" w:ascii="宋体" w:hAnsi="宋体" w:eastAsia="宋体" w:cs="宋体"/>
          <w:sz w:val="22"/>
          <w:szCs w:val="24"/>
          <w:highlight w:val="none"/>
        </w:rPr>
      </w:pPr>
    </w:p>
    <w:p w14:paraId="22AD4561">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14:paraId="2331C992">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1、投标报价包含的内容详见投标人须知第12条规定。</w:t>
      </w:r>
    </w:p>
    <w:p w14:paraId="640B446D">
      <w:pPr>
        <w:ind w:left="524" w:hanging="523" w:hangingChars="238"/>
        <w:rPr>
          <w:rFonts w:hint="eastAsia" w:ascii="宋体" w:hAnsi="宋体" w:eastAsia="宋体" w:cs="宋体"/>
          <w:sz w:val="22"/>
          <w:szCs w:val="24"/>
          <w:highlight w:val="none"/>
          <w:u w:val="single"/>
        </w:rPr>
      </w:pPr>
      <w:r>
        <w:rPr>
          <w:rFonts w:hint="eastAsia" w:ascii="宋体" w:hAnsi="宋体" w:eastAsia="宋体" w:cs="宋体"/>
          <w:sz w:val="22"/>
          <w:szCs w:val="24"/>
          <w:highlight w:val="none"/>
          <w:u w:val="single"/>
          <w:lang w:val="en-US" w:eastAsia="zh-CN"/>
        </w:rPr>
        <w:t>2</w:t>
      </w:r>
      <w:r>
        <w:rPr>
          <w:rFonts w:hint="eastAsia" w:ascii="宋体" w:hAnsi="宋体" w:eastAsia="宋体" w:cs="宋体"/>
          <w:sz w:val="22"/>
          <w:szCs w:val="24"/>
          <w:highlight w:val="none"/>
          <w:u w:val="single"/>
        </w:rPr>
        <w:t>、▲本项目采购总预算为人民币384万元（其中</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lang w:val="en-US" w:eastAsia="zh-CN"/>
        </w:rPr>
        <w:t>1</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rPr>
        <w:t>陶山服务区物业服务预算金额363万元，</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lang w:val="en-US" w:eastAsia="zh-CN"/>
        </w:rPr>
        <w:t>2</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rPr>
        <w:t>“瓯江红·畅美高速”党群服务中心物业服务预算金额21万元），投标供应商关于</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lang w:val="en-US" w:eastAsia="zh-CN"/>
        </w:rPr>
        <w:t>1</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rPr>
        <w:t>陶山服务区物业服务投标报价超过363万元，或者关于</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lang w:val="en-US" w:eastAsia="zh-CN"/>
        </w:rPr>
        <w:t>2</w:t>
      </w:r>
      <w:r>
        <w:rPr>
          <w:rFonts w:hint="eastAsia" w:ascii="宋体" w:hAnsi="宋体" w:eastAsia="宋体" w:cs="宋体"/>
          <w:sz w:val="22"/>
          <w:szCs w:val="24"/>
          <w:highlight w:val="none"/>
          <w:u w:val="single"/>
          <w:lang w:eastAsia="zh-CN"/>
        </w:rPr>
        <w:t>）</w:t>
      </w:r>
      <w:r>
        <w:rPr>
          <w:rFonts w:hint="eastAsia" w:ascii="宋体" w:hAnsi="宋体" w:eastAsia="宋体" w:cs="宋体"/>
          <w:sz w:val="22"/>
          <w:szCs w:val="24"/>
          <w:highlight w:val="none"/>
          <w:u w:val="single"/>
        </w:rPr>
        <w:t>“瓯江的作无效标处理，红·畅美高速”党群服务中心物业服务的投标报价超过21万元的作无效标处理。</w:t>
      </w:r>
    </w:p>
    <w:p w14:paraId="20180DBD">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lang w:val="en-US" w:eastAsia="zh-CN"/>
        </w:rPr>
        <w:t>3、</w:t>
      </w:r>
      <w:r>
        <w:rPr>
          <w:rFonts w:hint="eastAsia" w:ascii="宋体" w:hAnsi="宋体" w:eastAsia="宋体" w:cs="宋体"/>
          <w:sz w:val="22"/>
          <w:szCs w:val="24"/>
          <w:highlight w:val="none"/>
          <w:u w:val="single"/>
        </w:rPr>
        <w:t>▲不提供此表格将被视为没有满足采购文件的实质性要求</w:t>
      </w:r>
      <w:r>
        <w:rPr>
          <w:rFonts w:hint="eastAsia" w:ascii="宋体" w:hAnsi="宋体" w:eastAsia="宋体" w:cs="宋体"/>
          <w:sz w:val="22"/>
          <w:szCs w:val="24"/>
          <w:highlight w:val="none"/>
        </w:rPr>
        <w:t>。</w:t>
      </w:r>
    </w:p>
    <w:p w14:paraId="6EC1FA1B">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lang w:val="en-US" w:eastAsia="zh-CN"/>
        </w:rPr>
        <w:t>4</w:t>
      </w:r>
      <w:r>
        <w:rPr>
          <w:rFonts w:hint="eastAsia" w:ascii="宋体" w:hAnsi="宋体" w:eastAsia="宋体" w:cs="宋体"/>
          <w:sz w:val="22"/>
          <w:szCs w:val="24"/>
          <w:highlight w:val="none"/>
          <w:u w:val="single"/>
        </w:rPr>
        <w:t>、▲以上报价不得出现在技术标中</w:t>
      </w:r>
      <w:r>
        <w:rPr>
          <w:rFonts w:hint="eastAsia" w:ascii="宋体" w:hAnsi="宋体" w:eastAsia="宋体" w:cs="宋体"/>
          <w:sz w:val="22"/>
          <w:szCs w:val="24"/>
          <w:highlight w:val="none"/>
        </w:rPr>
        <w:t>。</w:t>
      </w:r>
    </w:p>
    <w:p w14:paraId="27EA3B33">
      <w:pPr>
        <w:spacing w:line="380" w:lineRule="exact"/>
        <w:rPr>
          <w:rFonts w:hint="eastAsia" w:ascii="宋体" w:hAnsi="宋体" w:eastAsia="宋体" w:cs="宋体"/>
          <w:b/>
          <w:bCs/>
          <w:sz w:val="22"/>
          <w:highlight w:val="none"/>
          <w:u w:val="single"/>
        </w:rPr>
      </w:pPr>
    </w:p>
    <w:p w14:paraId="7261332F">
      <w:pPr>
        <w:spacing w:line="380" w:lineRule="exact"/>
        <w:rPr>
          <w:rFonts w:hint="eastAsia" w:ascii="宋体" w:hAnsi="宋体" w:eastAsia="宋体" w:cs="宋体"/>
          <w:sz w:val="22"/>
          <w:szCs w:val="24"/>
          <w:highlight w:val="none"/>
        </w:rPr>
      </w:pPr>
    </w:p>
    <w:p w14:paraId="15130CF2">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393E1C7C">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38371D1F">
      <w:pPr>
        <w:rPr>
          <w:rFonts w:hint="eastAsia" w:ascii="宋体" w:hAnsi="宋体" w:eastAsia="宋体" w:cs="宋体"/>
          <w:sz w:val="22"/>
          <w:highlight w:val="none"/>
        </w:rPr>
      </w:pPr>
      <w:r>
        <w:rPr>
          <w:rFonts w:hint="eastAsia" w:ascii="宋体" w:hAnsi="宋体" w:eastAsia="宋体" w:cs="宋体"/>
          <w:sz w:val="22"/>
          <w:highlight w:val="none"/>
        </w:rPr>
        <w:t>日  期：</w:t>
      </w:r>
    </w:p>
    <w:p w14:paraId="52130822">
      <w:pPr>
        <w:spacing w:line="380" w:lineRule="exact"/>
        <w:rPr>
          <w:rFonts w:hint="eastAsia" w:ascii="宋体" w:hAnsi="宋体" w:eastAsia="宋体" w:cs="宋体"/>
          <w:b/>
          <w:bCs/>
          <w:sz w:val="22"/>
          <w:highlight w:val="none"/>
          <w:lang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十二</w:t>
      </w:r>
    </w:p>
    <w:p w14:paraId="6E4FB0DE">
      <w:pPr>
        <w:spacing w:line="46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投标分项报价表</w:t>
      </w:r>
      <w:r>
        <w:rPr>
          <w:rFonts w:hint="eastAsia" w:ascii="宋体" w:hAnsi="宋体" w:eastAsia="宋体" w:cs="宋体"/>
          <w:b/>
          <w:bCs/>
          <w:sz w:val="28"/>
          <w:szCs w:val="28"/>
          <w:highlight w:val="none"/>
          <w:lang w:val="en-US" w:eastAsia="zh-CN"/>
        </w:rPr>
        <w:t>1</w:t>
      </w:r>
    </w:p>
    <w:p w14:paraId="6F4C2877">
      <w:pPr>
        <w:pStyle w:val="24"/>
        <w:ind w:left="0" w:firstLine="0" w:firstLineChars="0"/>
        <w:jc w:val="center"/>
        <w:rPr>
          <w:rFonts w:hint="eastAsia"/>
          <w:sz w:val="21"/>
          <w:szCs w:val="21"/>
          <w:lang w:val="en-US" w:eastAsia="zh-CN"/>
        </w:rPr>
      </w:pPr>
      <w:r>
        <w:rPr>
          <w:rFonts w:hint="eastAsia" w:ascii="宋体" w:hAnsi="宋体" w:eastAsia="宋体" w:cs="宋体"/>
          <w:b/>
          <w:bCs/>
          <w:sz w:val="21"/>
          <w:szCs w:val="21"/>
          <w:highlight w:val="none"/>
          <w:lang w:val="en-US" w:eastAsia="zh-CN"/>
        </w:rPr>
        <w:t>（1）陶山服务区物业服务</w:t>
      </w:r>
    </w:p>
    <w:p w14:paraId="0BFF56EC">
      <w:pPr>
        <w:spacing w:line="380" w:lineRule="exact"/>
        <w:ind w:firstLine="331" w:firstLineChars="150"/>
        <w:rPr>
          <w:rFonts w:hint="eastAsia" w:ascii="宋体" w:hAnsi="宋体" w:eastAsia="宋体" w:cs="宋体"/>
          <w:b/>
          <w:bCs/>
          <w:sz w:val="22"/>
          <w:highlight w:val="none"/>
        </w:rPr>
      </w:pPr>
      <w:bookmarkStart w:id="194" w:name="_Toc448846626"/>
      <w:bookmarkStart w:id="195" w:name="_Toc249758721"/>
      <w:bookmarkStart w:id="196" w:name="_Toc249758871"/>
      <w:bookmarkStart w:id="197" w:name="_Toc262049425"/>
      <w:bookmarkStart w:id="198" w:name="_Toc262105510"/>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p w14:paraId="26E8E65B">
      <w:pPr>
        <w:rPr>
          <w:rFonts w:hint="eastAsia" w:ascii="宋体" w:hAnsi="宋体" w:eastAsia="宋体" w:cs="宋体"/>
          <w:b/>
          <w:szCs w:val="21"/>
          <w:highlight w:val="none"/>
        </w:rPr>
      </w:pPr>
    </w:p>
    <w:tbl>
      <w:tblPr>
        <w:tblStyle w:val="2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00"/>
        <w:gridCol w:w="615"/>
        <w:gridCol w:w="1323"/>
        <w:gridCol w:w="762"/>
        <w:gridCol w:w="1224"/>
        <w:gridCol w:w="1332"/>
        <w:gridCol w:w="2418"/>
      </w:tblGrid>
      <w:tr w14:paraId="51CA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1014EB31">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600" w:type="dxa"/>
            <w:noWrap w:val="0"/>
            <w:vAlign w:val="center"/>
          </w:tcPr>
          <w:p w14:paraId="58271E3C">
            <w:pPr>
              <w:tabs>
                <w:tab w:val="left" w:pos="1620"/>
              </w:tabs>
              <w:spacing w:line="240" w:lineRule="auto"/>
              <w:jc w:val="center"/>
              <w:rPr>
                <w:rFonts w:hint="eastAsia" w:ascii="宋体" w:hAnsi="宋体" w:eastAsia="宋体" w:cs="宋体"/>
                <w:b/>
                <w:color w:val="auto"/>
                <w:sz w:val="18"/>
                <w:szCs w:val="18"/>
                <w:highlight w:val="none"/>
              </w:rPr>
            </w:pPr>
          </w:p>
        </w:tc>
        <w:tc>
          <w:tcPr>
            <w:tcW w:w="1938" w:type="dxa"/>
            <w:gridSpan w:val="2"/>
            <w:noWrap w:val="0"/>
            <w:vAlign w:val="center"/>
          </w:tcPr>
          <w:p w14:paraId="192A9280">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762" w:type="dxa"/>
            <w:noWrap w:val="0"/>
            <w:vAlign w:val="center"/>
          </w:tcPr>
          <w:p w14:paraId="18F4650A">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数量/单位</w:t>
            </w:r>
          </w:p>
        </w:tc>
        <w:tc>
          <w:tcPr>
            <w:tcW w:w="1224" w:type="dxa"/>
            <w:noWrap w:val="0"/>
            <w:vAlign w:val="center"/>
          </w:tcPr>
          <w:p w14:paraId="2462BCC7">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单价</w:t>
            </w:r>
          </w:p>
          <w:p w14:paraId="0BD06964">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（元/人/年）</w:t>
            </w:r>
          </w:p>
        </w:tc>
        <w:tc>
          <w:tcPr>
            <w:tcW w:w="1332" w:type="dxa"/>
            <w:noWrap w:val="0"/>
            <w:vAlign w:val="center"/>
          </w:tcPr>
          <w:p w14:paraId="1D360A1D">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合价（元/年）</w:t>
            </w:r>
          </w:p>
        </w:tc>
        <w:tc>
          <w:tcPr>
            <w:tcW w:w="2418" w:type="dxa"/>
            <w:noWrap w:val="0"/>
            <w:vAlign w:val="center"/>
          </w:tcPr>
          <w:p w14:paraId="32214CC9">
            <w:pPr>
              <w:tabs>
                <w:tab w:val="left" w:pos="1620"/>
              </w:tabs>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  注</w:t>
            </w:r>
          </w:p>
        </w:tc>
      </w:tr>
      <w:tr w14:paraId="571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restart"/>
            <w:noWrap w:val="0"/>
            <w:vAlign w:val="center"/>
          </w:tcPr>
          <w:p w14:paraId="4C13371D">
            <w:pPr>
              <w:tabs>
                <w:tab w:val="left" w:pos="1620"/>
              </w:tabs>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00" w:type="dxa"/>
            <w:vMerge w:val="restart"/>
            <w:noWrap w:val="0"/>
            <w:vAlign w:val="center"/>
          </w:tcPr>
          <w:p w14:paraId="0033B4CB">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人员费用</w:t>
            </w:r>
          </w:p>
        </w:tc>
        <w:tc>
          <w:tcPr>
            <w:tcW w:w="615" w:type="dxa"/>
            <w:vMerge w:val="restart"/>
            <w:noWrap w:val="0"/>
            <w:vAlign w:val="center"/>
          </w:tcPr>
          <w:p w14:paraId="35C2306E">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日常人员工资</w:t>
            </w:r>
          </w:p>
        </w:tc>
        <w:tc>
          <w:tcPr>
            <w:tcW w:w="1323" w:type="dxa"/>
            <w:noWrap w:val="0"/>
            <w:vAlign w:val="center"/>
          </w:tcPr>
          <w:p w14:paraId="33EB7D60">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物业</w:t>
            </w:r>
            <w:r>
              <w:rPr>
                <w:rFonts w:hint="eastAsia" w:ascii="宋体" w:hAnsi="宋体" w:eastAsia="宋体" w:cs="宋体"/>
                <w:color w:val="auto"/>
                <w:sz w:val="18"/>
                <w:szCs w:val="18"/>
                <w:highlight w:val="none"/>
              </w:rPr>
              <w:t>经理</w:t>
            </w:r>
          </w:p>
        </w:tc>
        <w:tc>
          <w:tcPr>
            <w:tcW w:w="762" w:type="dxa"/>
            <w:noWrap w:val="0"/>
            <w:vAlign w:val="center"/>
          </w:tcPr>
          <w:p w14:paraId="197755FD">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224" w:type="dxa"/>
            <w:noWrap w:val="0"/>
            <w:vAlign w:val="center"/>
          </w:tcPr>
          <w:p w14:paraId="4CAA3B08">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4BF5AF80">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restart"/>
            <w:noWrap w:val="0"/>
            <w:vAlign w:val="center"/>
          </w:tcPr>
          <w:p w14:paraId="5EA279ED">
            <w:pPr>
              <w:tabs>
                <w:tab w:val="left" w:pos="1620"/>
              </w:tabs>
              <w:spacing w:line="240" w:lineRule="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人员费用包含人员工资、社保、高温费用、餐费及其他（包括加班费、制服等）</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餐费按500元/人·月计</w:t>
            </w:r>
          </w:p>
        </w:tc>
      </w:tr>
      <w:tr w14:paraId="0D55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14:paraId="3207FB26">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2F9525A8">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1C2A6427">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14:paraId="082E6EA2">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水电工</w:t>
            </w:r>
          </w:p>
        </w:tc>
        <w:tc>
          <w:tcPr>
            <w:tcW w:w="762" w:type="dxa"/>
            <w:noWrap w:val="0"/>
            <w:vAlign w:val="center"/>
          </w:tcPr>
          <w:p w14:paraId="22F7C863">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1224" w:type="dxa"/>
            <w:noWrap w:val="0"/>
            <w:vAlign w:val="center"/>
          </w:tcPr>
          <w:p w14:paraId="4B5BD7DC">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332F3480">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1671C602">
            <w:pPr>
              <w:tabs>
                <w:tab w:val="left" w:pos="1620"/>
              </w:tabs>
              <w:spacing w:line="240" w:lineRule="auto"/>
              <w:rPr>
                <w:rFonts w:hint="eastAsia" w:ascii="宋体" w:hAnsi="宋体" w:eastAsia="宋体" w:cs="宋体"/>
                <w:color w:val="auto"/>
                <w:sz w:val="18"/>
                <w:szCs w:val="18"/>
                <w:highlight w:val="none"/>
              </w:rPr>
            </w:pPr>
          </w:p>
        </w:tc>
      </w:tr>
      <w:tr w14:paraId="437B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81" w:type="dxa"/>
            <w:vMerge w:val="continue"/>
            <w:noWrap w:val="0"/>
            <w:vAlign w:val="center"/>
          </w:tcPr>
          <w:p w14:paraId="730A0578">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5AF2D936">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5C9FF076">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14:paraId="7003908E">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咨询台人员</w:t>
            </w:r>
          </w:p>
        </w:tc>
        <w:tc>
          <w:tcPr>
            <w:tcW w:w="762" w:type="dxa"/>
            <w:noWrap w:val="0"/>
            <w:vAlign w:val="center"/>
          </w:tcPr>
          <w:p w14:paraId="58ADA5CF">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1224" w:type="dxa"/>
            <w:noWrap w:val="0"/>
            <w:vAlign w:val="center"/>
          </w:tcPr>
          <w:p w14:paraId="3C903EAC">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7F55E157">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12D49777">
            <w:pPr>
              <w:tabs>
                <w:tab w:val="left" w:pos="1620"/>
              </w:tabs>
              <w:spacing w:line="240" w:lineRule="auto"/>
              <w:rPr>
                <w:rFonts w:hint="eastAsia" w:ascii="宋体" w:hAnsi="宋体" w:eastAsia="宋体" w:cs="宋体"/>
                <w:color w:val="auto"/>
                <w:sz w:val="18"/>
                <w:szCs w:val="18"/>
                <w:highlight w:val="none"/>
              </w:rPr>
            </w:pPr>
          </w:p>
        </w:tc>
      </w:tr>
      <w:tr w14:paraId="0EF0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14:paraId="679AB6CF">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2D616ED1">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547233E3">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14:paraId="54F3AABC">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保安队长</w:t>
            </w:r>
          </w:p>
        </w:tc>
        <w:tc>
          <w:tcPr>
            <w:tcW w:w="762" w:type="dxa"/>
            <w:noWrap w:val="0"/>
            <w:vAlign w:val="center"/>
          </w:tcPr>
          <w:p w14:paraId="01C7C623">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1224" w:type="dxa"/>
            <w:noWrap w:val="0"/>
            <w:vAlign w:val="center"/>
          </w:tcPr>
          <w:p w14:paraId="3613D57F">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58164D95">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5F064D60">
            <w:pPr>
              <w:tabs>
                <w:tab w:val="left" w:pos="1620"/>
              </w:tabs>
              <w:spacing w:line="240" w:lineRule="auto"/>
              <w:rPr>
                <w:rFonts w:hint="eastAsia" w:ascii="宋体" w:hAnsi="宋体" w:eastAsia="宋体" w:cs="宋体"/>
                <w:color w:val="auto"/>
                <w:sz w:val="18"/>
                <w:szCs w:val="18"/>
                <w:highlight w:val="none"/>
              </w:rPr>
            </w:pPr>
          </w:p>
        </w:tc>
      </w:tr>
      <w:tr w14:paraId="2C4C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14:paraId="353B951F">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6FF0DBD2">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7BB5A7BA">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noWrap w:val="0"/>
            <w:vAlign w:val="center"/>
          </w:tcPr>
          <w:p w14:paraId="35344C77">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保安员</w:t>
            </w:r>
          </w:p>
        </w:tc>
        <w:tc>
          <w:tcPr>
            <w:tcW w:w="762" w:type="dxa"/>
            <w:noWrap w:val="0"/>
            <w:vAlign w:val="center"/>
          </w:tcPr>
          <w:p w14:paraId="63203343">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18</w:t>
            </w:r>
          </w:p>
        </w:tc>
        <w:tc>
          <w:tcPr>
            <w:tcW w:w="1224" w:type="dxa"/>
            <w:noWrap w:val="0"/>
            <w:vAlign w:val="center"/>
          </w:tcPr>
          <w:p w14:paraId="2E2DAE7F">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46694DC8">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3F5CCB39">
            <w:pPr>
              <w:tabs>
                <w:tab w:val="left" w:pos="1620"/>
              </w:tabs>
              <w:spacing w:line="240" w:lineRule="auto"/>
              <w:rPr>
                <w:rFonts w:hint="eastAsia" w:ascii="宋体" w:hAnsi="宋体" w:eastAsia="宋体" w:cs="宋体"/>
                <w:color w:val="auto"/>
                <w:sz w:val="18"/>
                <w:szCs w:val="18"/>
                <w:highlight w:val="none"/>
              </w:rPr>
            </w:pPr>
          </w:p>
        </w:tc>
      </w:tr>
      <w:tr w14:paraId="6142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14:paraId="66A0775F">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3453ED87">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3BD4E4A5">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shd w:val="clear" w:color="auto" w:fill="auto"/>
            <w:noWrap w:val="0"/>
            <w:vAlign w:val="center"/>
          </w:tcPr>
          <w:p w14:paraId="5F1E0E9B">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保洁主管</w:t>
            </w:r>
          </w:p>
        </w:tc>
        <w:tc>
          <w:tcPr>
            <w:tcW w:w="762" w:type="dxa"/>
            <w:shd w:val="clear" w:color="auto" w:fill="auto"/>
            <w:noWrap w:val="0"/>
            <w:vAlign w:val="center"/>
          </w:tcPr>
          <w:p w14:paraId="5551B94D">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1224" w:type="dxa"/>
            <w:noWrap w:val="0"/>
            <w:vAlign w:val="center"/>
          </w:tcPr>
          <w:p w14:paraId="17DA2BE5">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30D8AB7A">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1E343A53">
            <w:pPr>
              <w:tabs>
                <w:tab w:val="left" w:pos="1620"/>
              </w:tabs>
              <w:spacing w:line="240" w:lineRule="auto"/>
              <w:rPr>
                <w:rFonts w:hint="eastAsia" w:ascii="宋体" w:hAnsi="宋体" w:eastAsia="宋体" w:cs="宋体"/>
                <w:color w:val="auto"/>
                <w:sz w:val="18"/>
                <w:szCs w:val="18"/>
                <w:highlight w:val="none"/>
              </w:rPr>
            </w:pPr>
          </w:p>
        </w:tc>
      </w:tr>
      <w:tr w14:paraId="6161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14:paraId="33F93EF1">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719BA36B">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436C59ED">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shd w:val="clear" w:color="auto" w:fill="auto"/>
            <w:noWrap w:val="0"/>
            <w:vAlign w:val="center"/>
          </w:tcPr>
          <w:p w14:paraId="38733EF5">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保洁员</w:t>
            </w:r>
          </w:p>
        </w:tc>
        <w:tc>
          <w:tcPr>
            <w:tcW w:w="762" w:type="dxa"/>
            <w:shd w:val="clear" w:color="auto" w:fill="auto"/>
            <w:noWrap w:val="0"/>
            <w:vAlign w:val="center"/>
          </w:tcPr>
          <w:p w14:paraId="4C62CE2C">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22</w:t>
            </w:r>
          </w:p>
        </w:tc>
        <w:tc>
          <w:tcPr>
            <w:tcW w:w="1224" w:type="dxa"/>
            <w:noWrap w:val="0"/>
            <w:vAlign w:val="center"/>
          </w:tcPr>
          <w:p w14:paraId="59BD5CF6">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4CCD59CE">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4518D1E6">
            <w:pPr>
              <w:tabs>
                <w:tab w:val="left" w:pos="1620"/>
              </w:tabs>
              <w:spacing w:line="240" w:lineRule="auto"/>
              <w:rPr>
                <w:rFonts w:hint="eastAsia" w:ascii="宋体" w:hAnsi="宋体" w:eastAsia="宋体" w:cs="宋体"/>
                <w:color w:val="auto"/>
                <w:sz w:val="18"/>
                <w:szCs w:val="18"/>
                <w:highlight w:val="none"/>
              </w:rPr>
            </w:pPr>
          </w:p>
        </w:tc>
      </w:tr>
      <w:tr w14:paraId="23C7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vMerge w:val="continue"/>
            <w:noWrap w:val="0"/>
            <w:vAlign w:val="center"/>
          </w:tcPr>
          <w:p w14:paraId="7F49F9F6">
            <w:pPr>
              <w:tabs>
                <w:tab w:val="left" w:pos="1620"/>
              </w:tabs>
              <w:spacing w:line="240" w:lineRule="auto"/>
              <w:jc w:val="center"/>
              <w:rPr>
                <w:rFonts w:hint="eastAsia" w:ascii="宋体" w:hAnsi="宋体" w:eastAsia="宋体" w:cs="宋体"/>
                <w:color w:val="auto"/>
                <w:sz w:val="18"/>
                <w:szCs w:val="18"/>
                <w:highlight w:val="none"/>
              </w:rPr>
            </w:pPr>
          </w:p>
        </w:tc>
        <w:tc>
          <w:tcPr>
            <w:tcW w:w="600" w:type="dxa"/>
            <w:vMerge w:val="continue"/>
            <w:noWrap w:val="0"/>
            <w:vAlign w:val="center"/>
          </w:tcPr>
          <w:p w14:paraId="5D67D192">
            <w:pPr>
              <w:tabs>
                <w:tab w:val="left" w:pos="1050"/>
                <w:tab w:val="left" w:pos="1260"/>
                <w:tab w:val="left" w:pos="1620"/>
              </w:tabs>
              <w:spacing w:line="240" w:lineRule="auto"/>
              <w:ind w:right="-107" w:rightChars="-51"/>
              <w:jc w:val="center"/>
              <w:rPr>
                <w:rFonts w:hint="eastAsia" w:ascii="宋体" w:hAnsi="宋体" w:eastAsia="宋体" w:cs="宋体"/>
                <w:color w:val="auto"/>
                <w:sz w:val="18"/>
                <w:szCs w:val="18"/>
                <w:highlight w:val="none"/>
              </w:rPr>
            </w:pPr>
          </w:p>
        </w:tc>
        <w:tc>
          <w:tcPr>
            <w:tcW w:w="615" w:type="dxa"/>
            <w:vMerge w:val="continue"/>
            <w:noWrap w:val="0"/>
            <w:vAlign w:val="center"/>
          </w:tcPr>
          <w:p w14:paraId="06FAEB14">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sz w:val="18"/>
                <w:szCs w:val="18"/>
                <w:highlight w:val="none"/>
              </w:rPr>
            </w:pPr>
          </w:p>
        </w:tc>
        <w:tc>
          <w:tcPr>
            <w:tcW w:w="1323" w:type="dxa"/>
            <w:shd w:val="clear" w:color="auto" w:fill="auto"/>
            <w:noWrap w:val="0"/>
            <w:vAlign w:val="center"/>
          </w:tcPr>
          <w:p w14:paraId="2B7F07D1">
            <w:pPr>
              <w:tabs>
                <w:tab w:val="left" w:pos="1050"/>
                <w:tab w:val="left" w:pos="1260"/>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监控消控员</w:t>
            </w:r>
          </w:p>
        </w:tc>
        <w:tc>
          <w:tcPr>
            <w:tcW w:w="762" w:type="dxa"/>
            <w:shd w:val="clear" w:color="auto" w:fill="auto"/>
            <w:noWrap w:val="0"/>
            <w:vAlign w:val="center"/>
          </w:tcPr>
          <w:p w14:paraId="2F47BEF8">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1224" w:type="dxa"/>
            <w:noWrap w:val="0"/>
            <w:vAlign w:val="center"/>
          </w:tcPr>
          <w:p w14:paraId="757CBF6D">
            <w:pPr>
              <w:tabs>
                <w:tab w:val="left" w:pos="1620"/>
              </w:tabs>
              <w:spacing w:line="240" w:lineRule="auto"/>
              <w:jc w:val="center"/>
              <w:rPr>
                <w:rFonts w:hint="eastAsia" w:ascii="宋体" w:hAnsi="宋体" w:eastAsia="宋体" w:cs="宋体"/>
                <w:color w:val="auto"/>
                <w:sz w:val="18"/>
                <w:szCs w:val="18"/>
                <w:highlight w:val="none"/>
              </w:rPr>
            </w:pPr>
          </w:p>
        </w:tc>
        <w:tc>
          <w:tcPr>
            <w:tcW w:w="1332" w:type="dxa"/>
            <w:noWrap w:val="0"/>
            <w:vAlign w:val="center"/>
          </w:tcPr>
          <w:p w14:paraId="60BB90FB">
            <w:pPr>
              <w:tabs>
                <w:tab w:val="left" w:pos="1620"/>
              </w:tabs>
              <w:spacing w:line="240" w:lineRule="auto"/>
              <w:jc w:val="center"/>
              <w:rPr>
                <w:rFonts w:hint="eastAsia" w:ascii="宋体" w:hAnsi="宋体" w:eastAsia="宋体" w:cs="宋体"/>
                <w:color w:val="auto"/>
                <w:sz w:val="18"/>
                <w:szCs w:val="18"/>
                <w:highlight w:val="none"/>
              </w:rPr>
            </w:pPr>
          </w:p>
        </w:tc>
        <w:tc>
          <w:tcPr>
            <w:tcW w:w="2418" w:type="dxa"/>
            <w:vMerge w:val="continue"/>
            <w:noWrap w:val="0"/>
            <w:vAlign w:val="center"/>
          </w:tcPr>
          <w:p w14:paraId="6C1068EC">
            <w:pPr>
              <w:tabs>
                <w:tab w:val="left" w:pos="1620"/>
              </w:tabs>
              <w:spacing w:line="240" w:lineRule="auto"/>
              <w:rPr>
                <w:rFonts w:hint="eastAsia" w:ascii="宋体" w:hAnsi="宋体" w:eastAsia="宋体" w:cs="宋体"/>
                <w:color w:val="auto"/>
                <w:sz w:val="18"/>
                <w:szCs w:val="18"/>
                <w:highlight w:val="none"/>
              </w:rPr>
            </w:pPr>
          </w:p>
        </w:tc>
      </w:tr>
      <w:tr w14:paraId="6481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4D01AC97">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538" w:type="dxa"/>
            <w:gridSpan w:val="3"/>
            <w:noWrap w:val="0"/>
            <w:vAlign w:val="center"/>
          </w:tcPr>
          <w:p w14:paraId="3553CC63">
            <w:pPr>
              <w:tabs>
                <w:tab w:val="left" w:pos="1620"/>
              </w:tabs>
              <w:spacing w:line="240" w:lineRule="auto"/>
              <w:ind w:left="-107" w:leftChars="-51" w:right="-107" w:rightChars="-51"/>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临时人员增加费用</w:t>
            </w:r>
          </w:p>
        </w:tc>
        <w:tc>
          <w:tcPr>
            <w:tcW w:w="3318" w:type="dxa"/>
            <w:gridSpan w:val="3"/>
            <w:noWrap w:val="0"/>
            <w:vAlign w:val="center"/>
          </w:tcPr>
          <w:p w14:paraId="6915E8E0">
            <w:pPr>
              <w:tabs>
                <w:tab w:val="left" w:pos="1620"/>
              </w:tabs>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u w:val="single"/>
                <w:lang w:val="en-US" w:eastAsia="zh-CN"/>
              </w:rPr>
              <w:t>80000元/年</w:t>
            </w:r>
          </w:p>
        </w:tc>
        <w:tc>
          <w:tcPr>
            <w:tcW w:w="2418" w:type="dxa"/>
            <w:vMerge w:val="restart"/>
            <w:shd w:val="clear" w:color="auto" w:fill="auto"/>
            <w:noWrap w:val="0"/>
            <w:vAlign w:val="center"/>
          </w:tcPr>
          <w:p w14:paraId="1341475F">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pacing w:val="-20"/>
                <w:sz w:val="18"/>
                <w:szCs w:val="18"/>
                <w:highlight w:val="none"/>
                <w:u w:val="single"/>
              </w:rPr>
              <w:t>▲</w:t>
            </w:r>
            <w:r>
              <w:rPr>
                <w:rFonts w:hint="eastAsia" w:ascii="宋体" w:hAnsi="宋体" w:eastAsia="宋体" w:cs="宋体"/>
                <w:color w:val="auto"/>
                <w:sz w:val="18"/>
                <w:szCs w:val="18"/>
                <w:highlight w:val="none"/>
                <w:u w:val="single"/>
              </w:rPr>
              <w:t>不可竞争费用</w:t>
            </w:r>
          </w:p>
        </w:tc>
      </w:tr>
      <w:tr w14:paraId="0187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shd w:val="clear" w:color="auto" w:fill="auto"/>
            <w:noWrap w:val="0"/>
            <w:vAlign w:val="center"/>
          </w:tcPr>
          <w:p w14:paraId="56244CF3">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2538" w:type="dxa"/>
            <w:gridSpan w:val="3"/>
            <w:shd w:val="clear" w:color="auto" w:fill="auto"/>
            <w:noWrap w:val="0"/>
            <w:vAlign w:val="center"/>
          </w:tcPr>
          <w:p w14:paraId="3430615C">
            <w:pPr>
              <w:tabs>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员工激励金</w:t>
            </w:r>
          </w:p>
        </w:tc>
        <w:tc>
          <w:tcPr>
            <w:tcW w:w="3318" w:type="dxa"/>
            <w:gridSpan w:val="3"/>
            <w:shd w:val="clear" w:color="auto" w:fill="auto"/>
            <w:noWrap w:val="0"/>
            <w:vAlign w:val="center"/>
          </w:tcPr>
          <w:p w14:paraId="4891F032">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pacing w:val="-20"/>
                <w:sz w:val="18"/>
                <w:szCs w:val="18"/>
                <w:highlight w:val="none"/>
                <w:u w:val="single"/>
                <w:lang w:val="en-US" w:eastAsia="zh-CN"/>
              </w:rPr>
              <w:t>60000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2418" w:type="dxa"/>
            <w:vMerge w:val="continue"/>
            <w:shd w:val="clear" w:color="auto" w:fill="auto"/>
            <w:noWrap w:val="0"/>
            <w:vAlign w:val="center"/>
          </w:tcPr>
          <w:p w14:paraId="41C71047">
            <w:pPr>
              <w:tabs>
                <w:tab w:val="left" w:pos="1620"/>
              </w:tabs>
              <w:spacing w:line="240" w:lineRule="auto"/>
              <w:jc w:val="center"/>
              <w:rPr>
                <w:rFonts w:hint="eastAsia" w:ascii="宋体" w:hAnsi="宋体" w:eastAsia="宋体" w:cs="宋体"/>
                <w:color w:val="auto"/>
                <w:kern w:val="2"/>
                <w:sz w:val="18"/>
                <w:szCs w:val="18"/>
                <w:highlight w:val="none"/>
                <w:u w:val="single"/>
                <w:lang w:val="en-US" w:eastAsia="zh-CN" w:bidi="ar-SA"/>
              </w:rPr>
            </w:pPr>
          </w:p>
        </w:tc>
      </w:tr>
      <w:tr w14:paraId="3819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6B7A9418">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538" w:type="dxa"/>
            <w:gridSpan w:val="3"/>
            <w:shd w:val="clear" w:color="auto" w:fill="auto"/>
            <w:noWrap w:val="0"/>
            <w:vAlign w:val="center"/>
          </w:tcPr>
          <w:p w14:paraId="5BCB8BDB">
            <w:pPr>
              <w:tabs>
                <w:tab w:val="left" w:pos="1620"/>
              </w:tabs>
              <w:spacing w:line="240" w:lineRule="auto"/>
              <w:ind w:left="-107" w:leftChars="-51" w:right="-107" w:rightChars="-51"/>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维修单价金额在50元以下维修费用</w:t>
            </w:r>
          </w:p>
        </w:tc>
        <w:tc>
          <w:tcPr>
            <w:tcW w:w="3318" w:type="dxa"/>
            <w:gridSpan w:val="3"/>
            <w:shd w:val="clear" w:color="auto" w:fill="auto"/>
            <w:noWrap w:val="0"/>
            <w:vAlign w:val="center"/>
          </w:tcPr>
          <w:p w14:paraId="1846F903">
            <w:pPr>
              <w:tabs>
                <w:tab w:val="left" w:pos="1620"/>
              </w:tabs>
              <w:spacing w:line="240" w:lineRule="auto"/>
              <w:jc w:val="center"/>
              <w:rPr>
                <w:rFonts w:hint="eastAsia" w:ascii="宋体" w:hAnsi="宋体" w:eastAsia="宋体" w:cs="宋体"/>
                <w:b/>
                <w:color w:val="auto"/>
                <w:spacing w:val="-20"/>
                <w:kern w:val="2"/>
                <w:sz w:val="18"/>
                <w:szCs w:val="18"/>
                <w:highlight w:val="none"/>
                <w:u w:val="single"/>
                <w:lang w:val="en-US" w:eastAsia="zh-CN" w:bidi="ar-SA"/>
              </w:rPr>
            </w:pPr>
            <w:r>
              <w:rPr>
                <w:rFonts w:hint="eastAsia" w:ascii="宋体" w:hAnsi="宋体" w:eastAsia="宋体" w:cs="宋体"/>
                <w:b/>
                <w:color w:val="auto"/>
                <w:spacing w:val="-20"/>
                <w:sz w:val="18"/>
                <w:szCs w:val="18"/>
                <w:highlight w:val="none"/>
                <w:u w:val="single"/>
                <w:lang w:val="en-US" w:eastAsia="zh-CN"/>
              </w:rPr>
              <w:t>40000</w:t>
            </w:r>
            <w:r>
              <w:rPr>
                <w:rFonts w:hint="eastAsia" w:ascii="宋体" w:hAnsi="宋体" w:eastAsia="宋体" w:cs="宋体"/>
                <w:b/>
                <w:color w:val="auto"/>
                <w:spacing w:val="-20"/>
                <w:sz w:val="18"/>
                <w:szCs w:val="18"/>
                <w:highlight w:val="none"/>
                <w:u w:val="single"/>
              </w:rPr>
              <w:t>元</w:t>
            </w:r>
            <w:r>
              <w:rPr>
                <w:rFonts w:hint="eastAsia" w:ascii="宋体" w:hAnsi="宋体" w:eastAsia="宋体" w:cs="宋体"/>
                <w:b/>
                <w:color w:val="auto"/>
                <w:spacing w:val="-20"/>
                <w:sz w:val="18"/>
                <w:szCs w:val="18"/>
                <w:highlight w:val="none"/>
                <w:u w:val="single"/>
                <w:lang w:val="en-US" w:eastAsia="zh-CN"/>
              </w:rPr>
              <w:t>/年</w:t>
            </w:r>
          </w:p>
        </w:tc>
        <w:tc>
          <w:tcPr>
            <w:tcW w:w="2418" w:type="dxa"/>
            <w:vMerge w:val="continue"/>
            <w:shd w:val="clear" w:color="auto" w:fill="auto"/>
            <w:noWrap w:val="0"/>
            <w:vAlign w:val="center"/>
          </w:tcPr>
          <w:p w14:paraId="4F6770E9">
            <w:pPr>
              <w:tabs>
                <w:tab w:val="left" w:pos="1620"/>
              </w:tabs>
              <w:spacing w:line="240" w:lineRule="auto"/>
              <w:jc w:val="center"/>
              <w:rPr>
                <w:rFonts w:hint="eastAsia" w:ascii="宋体" w:hAnsi="宋体" w:eastAsia="宋体" w:cs="宋体"/>
                <w:color w:val="auto"/>
                <w:kern w:val="2"/>
                <w:sz w:val="18"/>
                <w:szCs w:val="18"/>
                <w:highlight w:val="none"/>
                <w:u w:val="single"/>
                <w:lang w:val="en-US" w:eastAsia="zh-CN" w:bidi="ar-SA"/>
              </w:rPr>
            </w:pPr>
          </w:p>
        </w:tc>
      </w:tr>
      <w:tr w14:paraId="2AB2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81" w:type="dxa"/>
            <w:noWrap w:val="0"/>
            <w:vAlign w:val="center"/>
          </w:tcPr>
          <w:p w14:paraId="182CA392">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538" w:type="dxa"/>
            <w:gridSpan w:val="3"/>
            <w:shd w:val="clear" w:color="auto" w:fill="auto"/>
            <w:noWrap w:val="0"/>
            <w:vAlign w:val="center"/>
          </w:tcPr>
          <w:p w14:paraId="077F5ADE">
            <w:pPr>
              <w:tabs>
                <w:tab w:val="left" w:pos="1620"/>
              </w:tabs>
              <w:spacing w:line="240" w:lineRule="auto"/>
              <w:ind w:left="-107" w:leftChars="-51" w:right="-107" w:rightChars="-51"/>
              <w:jc w:val="center"/>
              <w:rPr>
                <w:rFonts w:hint="eastAsia" w:ascii="宋体" w:hAnsi="宋体" w:eastAsia="宋体" w:cs="宋体"/>
                <w:strike w:val="0"/>
                <w:color w:val="auto"/>
                <w:kern w:val="2"/>
                <w:sz w:val="18"/>
                <w:szCs w:val="18"/>
                <w:highlight w:val="none"/>
                <w:lang w:val="en-US" w:eastAsia="zh-CN" w:bidi="ar-SA"/>
              </w:rPr>
            </w:pPr>
            <w:r>
              <w:rPr>
                <w:rFonts w:hint="eastAsia" w:ascii="宋体" w:hAnsi="宋体" w:eastAsia="宋体" w:cs="宋体"/>
                <w:strike w:val="0"/>
                <w:color w:val="auto"/>
                <w:sz w:val="18"/>
                <w:szCs w:val="18"/>
                <w:highlight w:val="none"/>
              </w:rPr>
              <w:t>消防远程监控费</w:t>
            </w:r>
          </w:p>
        </w:tc>
        <w:tc>
          <w:tcPr>
            <w:tcW w:w="3318" w:type="dxa"/>
            <w:gridSpan w:val="3"/>
            <w:shd w:val="clear" w:color="auto" w:fill="auto"/>
            <w:noWrap w:val="0"/>
            <w:vAlign w:val="center"/>
          </w:tcPr>
          <w:p w14:paraId="6C480354">
            <w:pPr>
              <w:tabs>
                <w:tab w:val="left" w:pos="1620"/>
              </w:tabs>
              <w:spacing w:line="320" w:lineRule="exact"/>
              <w:jc w:val="center"/>
              <w:rPr>
                <w:rFonts w:hint="eastAsia" w:ascii="宋体" w:hAnsi="宋体" w:eastAsia="宋体" w:cs="宋体"/>
                <w:strike w:val="0"/>
                <w:color w:val="auto"/>
                <w:kern w:val="2"/>
                <w:sz w:val="18"/>
                <w:szCs w:val="18"/>
                <w:highlight w:val="none"/>
                <w:lang w:val="en-US" w:eastAsia="zh-CN" w:bidi="ar-SA"/>
              </w:rPr>
            </w:pPr>
            <w:r>
              <w:rPr>
                <w:rFonts w:hint="eastAsia" w:ascii="宋体" w:hAnsi="宋体" w:eastAsia="宋体" w:cs="宋体"/>
                <w:strike w:val="0"/>
                <w:color w:val="auto"/>
                <w:sz w:val="18"/>
                <w:szCs w:val="18"/>
                <w:highlight w:val="none"/>
                <w:u w:val="none"/>
                <w:lang w:val="en-US" w:eastAsia="zh-CN"/>
              </w:rPr>
              <w:t>4000</w:t>
            </w:r>
            <w:r>
              <w:rPr>
                <w:rFonts w:hint="eastAsia" w:ascii="宋体" w:hAnsi="宋体" w:eastAsia="宋体" w:cs="宋体"/>
                <w:strike w:val="0"/>
                <w:color w:val="auto"/>
                <w:sz w:val="18"/>
                <w:szCs w:val="18"/>
                <w:highlight w:val="none"/>
              </w:rPr>
              <w:t>元/年</w:t>
            </w:r>
          </w:p>
        </w:tc>
        <w:tc>
          <w:tcPr>
            <w:tcW w:w="2418" w:type="dxa"/>
            <w:vMerge w:val="continue"/>
            <w:shd w:val="clear" w:color="auto" w:fill="auto"/>
            <w:noWrap w:val="0"/>
            <w:vAlign w:val="center"/>
          </w:tcPr>
          <w:p w14:paraId="75FB3509">
            <w:pPr>
              <w:tabs>
                <w:tab w:val="left" w:pos="1620"/>
              </w:tabs>
              <w:spacing w:line="240" w:lineRule="auto"/>
              <w:jc w:val="center"/>
              <w:rPr>
                <w:rFonts w:hint="eastAsia" w:ascii="宋体" w:hAnsi="宋体" w:eastAsia="宋体" w:cs="宋体"/>
                <w:color w:val="auto"/>
                <w:kern w:val="2"/>
                <w:sz w:val="18"/>
                <w:szCs w:val="18"/>
                <w:highlight w:val="none"/>
                <w:u w:val="single"/>
                <w:lang w:val="en-US" w:eastAsia="zh-CN" w:bidi="ar-SA"/>
              </w:rPr>
            </w:pPr>
          </w:p>
        </w:tc>
      </w:tr>
      <w:tr w14:paraId="53E5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2574E0EB">
            <w:pPr>
              <w:tabs>
                <w:tab w:val="left" w:pos="1620"/>
              </w:tabs>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538" w:type="dxa"/>
            <w:gridSpan w:val="3"/>
            <w:noWrap w:val="0"/>
            <w:vAlign w:val="center"/>
          </w:tcPr>
          <w:p w14:paraId="3C640150">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化粪池清运费用</w:t>
            </w:r>
          </w:p>
        </w:tc>
        <w:tc>
          <w:tcPr>
            <w:tcW w:w="3318" w:type="dxa"/>
            <w:gridSpan w:val="3"/>
            <w:shd w:val="clear" w:color="auto" w:fill="auto"/>
            <w:noWrap w:val="0"/>
            <w:vAlign w:val="center"/>
          </w:tcPr>
          <w:p w14:paraId="526F55F1">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color w:val="auto"/>
                <w:spacing w:val="0"/>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20000元/年</w:t>
            </w:r>
          </w:p>
        </w:tc>
        <w:tc>
          <w:tcPr>
            <w:tcW w:w="2418" w:type="dxa"/>
            <w:vMerge w:val="continue"/>
            <w:shd w:val="clear" w:color="auto" w:fill="auto"/>
            <w:noWrap w:val="0"/>
            <w:vAlign w:val="center"/>
          </w:tcPr>
          <w:p w14:paraId="6B014F16">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4088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shd w:val="clear" w:color="auto" w:fill="auto"/>
            <w:noWrap w:val="0"/>
            <w:vAlign w:val="center"/>
          </w:tcPr>
          <w:p w14:paraId="2DACEDD9">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2538" w:type="dxa"/>
            <w:gridSpan w:val="3"/>
            <w:noWrap w:val="0"/>
            <w:vAlign w:val="center"/>
          </w:tcPr>
          <w:p w14:paraId="586B069D">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生活垃圾清运费用</w:t>
            </w:r>
          </w:p>
        </w:tc>
        <w:tc>
          <w:tcPr>
            <w:tcW w:w="3318" w:type="dxa"/>
            <w:gridSpan w:val="3"/>
            <w:shd w:val="clear" w:color="auto" w:fill="auto"/>
            <w:noWrap w:val="0"/>
            <w:vAlign w:val="center"/>
          </w:tcPr>
          <w:p w14:paraId="008344C7">
            <w:pPr>
              <w:keepNext w:val="0"/>
              <w:keepLines w:val="0"/>
              <w:pageBreakBefore w:val="0"/>
              <w:widowControl w:val="0"/>
              <w:tabs>
                <w:tab w:val="left" w:pos="1620"/>
              </w:tabs>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color w:val="auto"/>
                <w:spacing w:val="0"/>
                <w:kern w:val="2"/>
                <w:sz w:val="18"/>
                <w:szCs w:val="18"/>
                <w:highlight w:val="none"/>
                <w:u w:val="none"/>
                <w:lang w:val="en-US" w:eastAsia="zh-CN" w:bidi="ar-SA"/>
              </w:rPr>
            </w:pPr>
            <w:r>
              <w:rPr>
                <w:rFonts w:hint="eastAsia" w:ascii="宋体" w:hAnsi="宋体" w:eastAsia="宋体" w:cs="宋体"/>
                <w:b w:val="0"/>
                <w:color w:val="auto"/>
                <w:spacing w:val="0"/>
                <w:kern w:val="2"/>
                <w:sz w:val="18"/>
                <w:szCs w:val="18"/>
                <w:highlight w:val="none"/>
                <w:u w:val="none"/>
                <w:lang w:val="en-US" w:eastAsia="zh-CN" w:bidi="ar-SA"/>
              </w:rPr>
              <w:t>45000元/年</w:t>
            </w:r>
          </w:p>
        </w:tc>
        <w:tc>
          <w:tcPr>
            <w:tcW w:w="2418" w:type="dxa"/>
            <w:vMerge w:val="continue"/>
            <w:shd w:val="clear" w:color="auto" w:fill="auto"/>
            <w:noWrap w:val="0"/>
            <w:vAlign w:val="center"/>
          </w:tcPr>
          <w:p w14:paraId="40309692">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6D98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42681E4C">
            <w:pPr>
              <w:tabs>
                <w:tab w:val="left" w:pos="1620"/>
              </w:tabs>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2538" w:type="dxa"/>
            <w:gridSpan w:val="3"/>
            <w:noWrap w:val="0"/>
            <w:vAlign w:val="center"/>
          </w:tcPr>
          <w:p w14:paraId="6BDBD0D5">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服务区消杀费用</w:t>
            </w:r>
          </w:p>
        </w:tc>
        <w:tc>
          <w:tcPr>
            <w:tcW w:w="3318" w:type="dxa"/>
            <w:gridSpan w:val="3"/>
            <w:shd w:val="clear" w:color="auto" w:fill="auto"/>
            <w:noWrap w:val="0"/>
            <w:vAlign w:val="center"/>
          </w:tcPr>
          <w:p w14:paraId="4A9B2E40">
            <w:pPr>
              <w:keepNext w:val="0"/>
              <w:keepLines w:val="0"/>
              <w:pageBreakBefore w:val="0"/>
              <w:widowControl/>
              <w:tabs>
                <w:tab w:val="left" w:pos="1620"/>
              </w:tabs>
              <w:kinsoku/>
              <w:wordWrap/>
              <w:overflowPunct/>
              <w:topLinePunct w:val="0"/>
              <w:autoSpaceDE/>
              <w:autoSpaceDN/>
              <w:bidi w:val="0"/>
              <w:adjustRightInd/>
              <w:snapToGrid/>
              <w:spacing w:line="240" w:lineRule="auto"/>
              <w:ind w:left="-107" w:leftChars="-51" w:right="-107" w:rightChars="-51"/>
              <w:jc w:val="center"/>
              <w:textAlignment w:val="auto"/>
              <w:rPr>
                <w:rFonts w:hint="eastAsia" w:ascii="宋体" w:hAnsi="宋体" w:eastAsia="宋体" w:cs="宋体"/>
                <w:b w:val="0"/>
                <w:color w:val="auto"/>
                <w:spacing w:val="0"/>
                <w:kern w:val="2"/>
                <w:sz w:val="18"/>
                <w:szCs w:val="18"/>
                <w:highlight w:val="none"/>
                <w:u w:val="none"/>
                <w:lang w:val="en-US" w:eastAsia="zh-CN" w:bidi="ar-SA"/>
              </w:rPr>
            </w:pPr>
            <w:r>
              <w:rPr>
                <w:rFonts w:hint="eastAsia" w:ascii="宋体" w:hAnsi="宋体" w:eastAsia="宋体" w:cs="宋体"/>
                <w:b w:val="0"/>
                <w:color w:val="auto"/>
                <w:spacing w:val="0"/>
                <w:kern w:val="2"/>
                <w:sz w:val="18"/>
                <w:szCs w:val="18"/>
                <w:highlight w:val="none"/>
                <w:u w:val="none"/>
                <w:lang w:val="en-US" w:eastAsia="zh-CN" w:bidi="ar-SA"/>
              </w:rPr>
              <w:t>25000元/年</w:t>
            </w:r>
          </w:p>
        </w:tc>
        <w:tc>
          <w:tcPr>
            <w:tcW w:w="2418" w:type="dxa"/>
            <w:vMerge w:val="continue"/>
            <w:shd w:val="clear" w:color="auto" w:fill="auto"/>
            <w:noWrap w:val="0"/>
            <w:vAlign w:val="center"/>
          </w:tcPr>
          <w:p w14:paraId="3199CC89">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196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405BA472">
            <w:pPr>
              <w:tabs>
                <w:tab w:val="left" w:pos="1620"/>
              </w:tabs>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2538" w:type="dxa"/>
            <w:gridSpan w:val="3"/>
            <w:noWrap w:val="0"/>
            <w:vAlign w:val="center"/>
          </w:tcPr>
          <w:p w14:paraId="0CF7EBB1">
            <w:pPr>
              <w:tabs>
                <w:tab w:val="left" w:pos="1620"/>
              </w:tabs>
              <w:spacing w:line="240" w:lineRule="auto"/>
              <w:ind w:left="-107" w:leftChars="-51" w:right="-107" w:rightChars="-51"/>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车辆（扫地车、高压清洗车、巡逻车、高压冲洗车等设备）保养维修费用</w:t>
            </w:r>
          </w:p>
        </w:tc>
        <w:tc>
          <w:tcPr>
            <w:tcW w:w="3318" w:type="dxa"/>
            <w:gridSpan w:val="3"/>
            <w:shd w:val="clear" w:color="auto" w:fill="auto"/>
            <w:noWrap w:val="0"/>
            <w:vAlign w:val="center"/>
          </w:tcPr>
          <w:p w14:paraId="0EDAAA57">
            <w:pPr>
              <w:keepNext w:val="0"/>
              <w:keepLines w:val="0"/>
              <w:pageBreakBefore w:val="0"/>
              <w:widowControl/>
              <w:tabs>
                <w:tab w:val="left" w:pos="1620"/>
              </w:tabs>
              <w:kinsoku/>
              <w:wordWrap/>
              <w:overflowPunct/>
              <w:topLinePunct w:val="0"/>
              <w:autoSpaceDE/>
              <w:autoSpaceDN/>
              <w:bidi w:val="0"/>
              <w:adjustRightInd/>
              <w:snapToGrid/>
              <w:spacing w:line="240" w:lineRule="auto"/>
              <w:ind w:left="-107" w:leftChars="-51" w:right="-107" w:rightChars="-51"/>
              <w:jc w:val="center"/>
              <w:textAlignment w:val="auto"/>
              <w:rPr>
                <w:rFonts w:hint="eastAsia" w:ascii="宋体" w:hAnsi="宋体" w:eastAsia="宋体" w:cs="宋体"/>
                <w:b w:val="0"/>
                <w:color w:val="auto"/>
                <w:spacing w:val="0"/>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20000元/年</w:t>
            </w:r>
          </w:p>
        </w:tc>
        <w:tc>
          <w:tcPr>
            <w:tcW w:w="2418" w:type="dxa"/>
            <w:vMerge w:val="continue"/>
            <w:shd w:val="clear" w:color="auto" w:fill="auto"/>
            <w:noWrap w:val="0"/>
            <w:vAlign w:val="center"/>
          </w:tcPr>
          <w:p w14:paraId="4C1273B0">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2974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21E0B98F">
            <w:pPr>
              <w:tabs>
                <w:tab w:val="left" w:pos="1620"/>
              </w:tabs>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538" w:type="dxa"/>
            <w:gridSpan w:val="3"/>
            <w:noWrap w:val="0"/>
            <w:vAlign w:val="center"/>
          </w:tcPr>
          <w:p w14:paraId="7A2A204C">
            <w:pPr>
              <w:tabs>
                <w:tab w:val="left" w:pos="1620"/>
              </w:tabs>
              <w:spacing w:line="240" w:lineRule="auto"/>
              <w:ind w:left="-107" w:leftChars="-51" w:right="-107" w:rightChars="-51"/>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空调维修与滤网清洗费用</w:t>
            </w:r>
          </w:p>
        </w:tc>
        <w:tc>
          <w:tcPr>
            <w:tcW w:w="3318" w:type="dxa"/>
            <w:gridSpan w:val="3"/>
            <w:shd w:val="clear" w:color="auto" w:fill="auto"/>
            <w:noWrap w:val="0"/>
            <w:vAlign w:val="center"/>
          </w:tcPr>
          <w:p w14:paraId="704CC3CF">
            <w:pPr>
              <w:keepNext w:val="0"/>
              <w:keepLines w:val="0"/>
              <w:pageBreakBefore w:val="0"/>
              <w:widowControl/>
              <w:tabs>
                <w:tab w:val="left" w:pos="1620"/>
              </w:tabs>
              <w:kinsoku/>
              <w:wordWrap/>
              <w:overflowPunct/>
              <w:topLinePunct w:val="0"/>
              <w:autoSpaceDE/>
              <w:autoSpaceDN/>
              <w:bidi w:val="0"/>
              <w:adjustRightInd/>
              <w:snapToGrid/>
              <w:spacing w:line="240" w:lineRule="auto"/>
              <w:ind w:left="-107" w:leftChars="-51" w:right="-107" w:rightChars="-51"/>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15000元/年</w:t>
            </w:r>
          </w:p>
        </w:tc>
        <w:tc>
          <w:tcPr>
            <w:tcW w:w="2418" w:type="dxa"/>
            <w:vMerge w:val="continue"/>
            <w:shd w:val="clear" w:color="auto" w:fill="auto"/>
            <w:noWrap w:val="0"/>
            <w:vAlign w:val="center"/>
          </w:tcPr>
          <w:p w14:paraId="61688B57">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6B79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5D873748">
            <w:pPr>
              <w:tabs>
                <w:tab w:val="left" w:pos="1620"/>
              </w:tabs>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2538" w:type="dxa"/>
            <w:gridSpan w:val="3"/>
            <w:shd w:val="clear" w:color="auto" w:fill="auto"/>
            <w:noWrap w:val="0"/>
            <w:vAlign w:val="center"/>
          </w:tcPr>
          <w:p w14:paraId="01753510">
            <w:pPr>
              <w:tabs>
                <w:tab w:val="left" w:pos="1620"/>
              </w:tabs>
              <w:spacing w:line="240" w:lineRule="auto"/>
              <w:ind w:left="-107" w:leftChars="-51" w:right="-107" w:rightChars="-51"/>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生活水箱清洗费用</w:t>
            </w:r>
          </w:p>
        </w:tc>
        <w:tc>
          <w:tcPr>
            <w:tcW w:w="3318" w:type="dxa"/>
            <w:gridSpan w:val="3"/>
            <w:shd w:val="clear" w:color="auto" w:fill="auto"/>
            <w:noWrap w:val="0"/>
            <w:vAlign w:val="center"/>
          </w:tcPr>
          <w:p w14:paraId="27F0C0F7">
            <w:pPr>
              <w:keepNext w:val="0"/>
              <w:keepLines w:val="0"/>
              <w:pageBreakBefore w:val="0"/>
              <w:widowControl/>
              <w:tabs>
                <w:tab w:val="left" w:pos="1620"/>
              </w:tabs>
              <w:kinsoku/>
              <w:wordWrap/>
              <w:overflowPunct/>
              <w:topLinePunct w:val="0"/>
              <w:autoSpaceDE/>
              <w:autoSpaceDN/>
              <w:bidi w:val="0"/>
              <w:adjustRightInd/>
              <w:snapToGrid/>
              <w:spacing w:line="240" w:lineRule="auto"/>
              <w:ind w:left="-107" w:leftChars="-51" w:right="-107" w:rightChars="-51"/>
              <w:jc w:val="center"/>
              <w:textAlignment w:val="auto"/>
              <w:rPr>
                <w:rFonts w:hint="eastAsia" w:ascii="宋体" w:hAnsi="宋体" w:eastAsia="宋体" w:cs="宋体"/>
                <w:b w:val="0"/>
                <w:color w:val="auto"/>
                <w:spacing w:val="0"/>
                <w:kern w:val="2"/>
                <w:sz w:val="18"/>
                <w:szCs w:val="18"/>
                <w:highlight w:val="none"/>
                <w:u w:val="none"/>
                <w:lang w:val="en-US" w:eastAsia="zh-CN" w:bidi="ar-SA"/>
              </w:rPr>
            </w:pPr>
            <w:r>
              <w:rPr>
                <w:rFonts w:hint="eastAsia" w:ascii="宋体" w:hAnsi="宋体" w:eastAsia="宋体" w:cs="宋体"/>
                <w:b w:val="0"/>
                <w:color w:val="auto"/>
                <w:spacing w:val="0"/>
                <w:kern w:val="2"/>
                <w:sz w:val="18"/>
                <w:szCs w:val="18"/>
                <w:highlight w:val="none"/>
                <w:u w:val="none"/>
                <w:lang w:val="en-US" w:eastAsia="zh-CN" w:bidi="ar-SA"/>
              </w:rPr>
              <w:t>2000元/年</w:t>
            </w:r>
          </w:p>
        </w:tc>
        <w:tc>
          <w:tcPr>
            <w:tcW w:w="2418" w:type="dxa"/>
            <w:vMerge w:val="continue"/>
            <w:shd w:val="clear" w:color="auto" w:fill="auto"/>
            <w:noWrap w:val="0"/>
            <w:vAlign w:val="center"/>
          </w:tcPr>
          <w:p w14:paraId="1791BAA3">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3262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1" w:type="dxa"/>
            <w:noWrap w:val="0"/>
            <w:vAlign w:val="center"/>
          </w:tcPr>
          <w:p w14:paraId="3275433F">
            <w:pPr>
              <w:tabs>
                <w:tab w:val="left" w:pos="1620"/>
              </w:tabs>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2538" w:type="dxa"/>
            <w:gridSpan w:val="3"/>
            <w:noWrap w:val="0"/>
            <w:vAlign w:val="center"/>
          </w:tcPr>
          <w:p w14:paraId="7A8820E6">
            <w:pPr>
              <w:tabs>
                <w:tab w:val="left" w:pos="1620"/>
              </w:tabs>
              <w:spacing w:line="240" w:lineRule="auto"/>
              <w:ind w:left="-107" w:leftChars="-51" w:right="-107" w:rightChars="-5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税金</w:t>
            </w:r>
          </w:p>
        </w:tc>
        <w:tc>
          <w:tcPr>
            <w:tcW w:w="3318" w:type="dxa"/>
            <w:gridSpan w:val="3"/>
            <w:noWrap w:val="0"/>
            <w:vAlign w:val="center"/>
          </w:tcPr>
          <w:p w14:paraId="43C3790A">
            <w:pPr>
              <w:widowControl/>
              <w:tabs>
                <w:tab w:val="left" w:pos="1620"/>
              </w:tabs>
              <w:spacing w:line="240" w:lineRule="auto"/>
              <w:ind w:left="-107" w:leftChars="-51" w:right="-107" w:rightChars="-51"/>
              <w:jc w:val="center"/>
              <w:rPr>
                <w:rFonts w:hint="eastAsia" w:ascii="宋体" w:hAnsi="宋体" w:eastAsia="宋体" w:cs="宋体"/>
                <w:b/>
                <w:color w:val="auto"/>
                <w:spacing w:val="-20"/>
                <w:sz w:val="18"/>
                <w:szCs w:val="18"/>
                <w:highlight w:val="none"/>
                <w:u w:val="single"/>
                <w:lang w:val="en-US" w:eastAsia="zh-CN"/>
              </w:rPr>
            </w:pPr>
          </w:p>
        </w:tc>
        <w:tc>
          <w:tcPr>
            <w:tcW w:w="2418" w:type="dxa"/>
            <w:noWrap w:val="0"/>
            <w:vAlign w:val="center"/>
          </w:tcPr>
          <w:p w14:paraId="0183D013">
            <w:pPr>
              <w:tabs>
                <w:tab w:val="left" w:pos="1620"/>
              </w:tabs>
              <w:spacing w:line="240" w:lineRule="auto"/>
              <w:jc w:val="center"/>
              <w:rPr>
                <w:rFonts w:hint="eastAsia" w:ascii="宋体" w:hAnsi="宋体" w:eastAsia="宋体" w:cs="宋体"/>
                <w:color w:val="auto"/>
                <w:kern w:val="2"/>
                <w:sz w:val="18"/>
                <w:szCs w:val="18"/>
                <w:highlight w:val="none"/>
                <w:lang w:val="en-US" w:eastAsia="zh-CN" w:bidi="ar-SA"/>
              </w:rPr>
            </w:pPr>
          </w:p>
        </w:tc>
      </w:tr>
      <w:tr w14:paraId="4D4B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19" w:type="dxa"/>
            <w:gridSpan w:val="4"/>
            <w:noWrap w:val="0"/>
            <w:vAlign w:val="center"/>
          </w:tcPr>
          <w:p w14:paraId="31898952">
            <w:pPr>
              <w:tabs>
                <w:tab w:val="left" w:pos="1620"/>
              </w:tabs>
              <w:spacing w:line="240" w:lineRule="auto"/>
              <w:ind w:left="-107" w:leftChars="-51" w:right="-107" w:rightChars="-51"/>
              <w:jc w:val="center"/>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总计价</w:t>
            </w:r>
            <w:r>
              <w:rPr>
                <w:rFonts w:hint="eastAsia" w:ascii="宋体" w:hAnsi="宋体" w:eastAsia="宋体" w:cs="宋体"/>
                <w:b/>
                <w:color w:val="auto"/>
                <w:sz w:val="18"/>
                <w:szCs w:val="18"/>
                <w:highlight w:val="none"/>
                <w:lang w:val="en-US" w:eastAsia="zh-CN"/>
              </w:rPr>
              <w:t>1</w:t>
            </w:r>
            <w:r>
              <w:rPr>
                <w:rFonts w:hint="eastAsia" w:ascii="宋体" w:hAnsi="宋体" w:eastAsia="宋体" w:cs="宋体"/>
                <w:b/>
                <w:color w:val="auto"/>
                <w:sz w:val="18"/>
                <w:szCs w:val="18"/>
                <w:highlight w:val="none"/>
              </w:rPr>
              <w:t>（1+2+3+4+5</w:t>
            </w:r>
            <w:r>
              <w:rPr>
                <w:rFonts w:hint="eastAsia" w:ascii="宋体" w:hAnsi="宋体" w:eastAsia="宋体" w:cs="宋体"/>
                <w:b/>
                <w:color w:val="auto"/>
                <w:sz w:val="18"/>
                <w:szCs w:val="18"/>
                <w:highlight w:val="none"/>
                <w:lang w:val="en-US" w:eastAsia="zh-CN"/>
              </w:rPr>
              <w:t>+6+7+8+9+10+11+12+...</w:t>
            </w:r>
            <w:r>
              <w:rPr>
                <w:rFonts w:hint="eastAsia" w:ascii="宋体" w:hAnsi="宋体" w:eastAsia="宋体" w:cs="宋体"/>
                <w:b/>
                <w:color w:val="auto"/>
                <w:sz w:val="18"/>
                <w:szCs w:val="18"/>
                <w:highlight w:val="none"/>
              </w:rPr>
              <w:t>）</w:t>
            </w:r>
          </w:p>
        </w:tc>
        <w:tc>
          <w:tcPr>
            <w:tcW w:w="5736" w:type="dxa"/>
            <w:gridSpan w:val="4"/>
            <w:noWrap w:val="0"/>
            <w:vAlign w:val="center"/>
          </w:tcPr>
          <w:p w14:paraId="0AC0B639">
            <w:pPr>
              <w:tabs>
                <w:tab w:val="left" w:pos="1620"/>
              </w:tabs>
              <w:spacing w:line="240" w:lineRule="auto"/>
              <w:jc w:val="center"/>
              <w:rPr>
                <w:rFonts w:hint="eastAsia" w:ascii="宋体" w:hAnsi="宋体" w:eastAsia="宋体" w:cs="宋体"/>
                <w:color w:val="auto"/>
                <w:sz w:val="18"/>
                <w:szCs w:val="18"/>
                <w:highlight w:val="none"/>
              </w:rPr>
            </w:pPr>
          </w:p>
        </w:tc>
      </w:tr>
    </w:tbl>
    <w:p w14:paraId="334BB77E">
      <w:pPr>
        <w:rPr>
          <w:rFonts w:hint="eastAsia" w:ascii="宋体" w:hAnsi="宋体" w:eastAsia="宋体" w:cs="宋体"/>
          <w:b/>
          <w:szCs w:val="21"/>
          <w:highlight w:val="none"/>
        </w:rPr>
      </w:pPr>
    </w:p>
    <w:p w14:paraId="0CF66EC6">
      <w:pPr>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r>
        <w:rPr>
          <w:rFonts w:hint="eastAsia" w:ascii="宋体" w:hAnsi="宋体" w:eastAsia="宋体" w:cs="宋体"/>
          <w:b/>
          <w:szCs w:val="21"/>
          <w:highlight w:val="none"/>
          <w:lang w:val="en-US" w:eastAsia="zh-CN"/>
        </w:rPr>
        <w:t xml:space="preserve"> </w:t>
      </w:r>
    </w:p>
    <w:p w14:paraId="741DD248">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注：1、以上核算需符合相关法律、法规及采购文件规定。</w:t>
      </w:r>
    </w:p>
    <w:p w14:paraId="1F2F1551">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2、</w:t>
      </w:r>
      <w:r>
        <w:rPr>
          <w:rFonts w:hint="eastAsia" w:ascii="宋体" w:hAnsi="宋体" w:eastAsia="宋体" w:cs="宋体"/>
          <w:b/>
          <w:szCs w:val="21"/>
          <w:highlight w:val="none"/>
          <w:lang w:val="en-US" w:eastAsia="zh-CN"/>
        </w:rPr>
        <w:t>此表</w:t>
      </w:r>
      <w:r>
        <w:rPr>
          <w:rFonts w:hint="eastAsia" w:ascii="宋体" w:hAnsi="宋体" w:eastAsia="宋体" w:cs="宋体"/>
          <w:b/>
          <w:szCs w:val="21"/>
          <w:highlight w:val="none"/>
        </w:rPr>
        <w:t>总计价</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应与附件</w:t>
      </w:r>
      <w:r>
        <w:rPr>
          <w:rFonts w:hint="eastAsia" w:ascii="宋体" w:hAnsi="宋体" w:eastAsia="宋体" w:cs="宋体"/>
          <w:b/>
          <w:szCs w:val="21"/>
          <w:highlight w:val="none"/>
          <w:lang w:val="en-US" w:eastAsia="zh-CN"/>
        </w:rPr>
        <w:t>十一</w:t>
      </w:r>
      <w:r>
        <w:rPr>
          <w:rFonts w:hint="eastAsia" w:ascii="宋体" w:hAnsi="宋体" w:eastAsia="宋体" w:cs="宋体"/>
          <w:b/>
          <w:szCs w:val="21"/>
          <w:highlight w:val="none"/>
        </w:rPr>
        <w:t>“开标一览表”中</w:t>
      </w:r>
      <w:r>
        <w:rPr>
          <w:rFonts w:hint="eastAsia" w:ascii="宋体" w:hAnsi="宋体" w:eastAsia="宋体" w:cs="宋体"/>
          <w:b/>
          <w:szCs w:val="21"/>
          <w:highlight w:val="none"/>
          <w:lang w:val="en-US" w:eastAsia="zh-CN"/>
        </w:rPr>
        <w:t>序号1“（1）陶山服务区物业服务”</w:t>
      </w:r>
      <w:r>
        <w:rPr>
          <w:rFonts w:hint="eastAsia" w:ascii="宋体" w:hAnsi="宋体" w:eastAsia="宋体" w:cs="宋体"/>
          <w:b/>
          <w:szCs w:val="21"/>
          <w:highlight w:val="none"/>
        </w:rPr>
        <w:t>投标</w:t>
      </w:r>
      <w:r>
        <w:rPr>
          <w:rFonts w:hint="eastAsia" w:ascii="宋体" w:hAnsi="宋体" w:eastAsia="宋体" w:cs="宋体"/>
          <w:b/>
          <w:szCs w:val="21"/>
          <w:highlight w:val="none"/>
          <w:lang w:val="en-US" w:eastAsia="zh-CN"/>
        </w:rPr>
        <w:t>报</w:t>
      </w:r>
      <w:r>
        <w:rPr>
          <w:rFonts w:hint="eastAsia" w:ascii="宋体" w:hAnsi="宋体" w:eastAsia="宋体" w:cs="宋体"/>
          <w:b/>
          <w:szCs w:val="21"/>
          <w:highlight w:val="none"/>
        </w:rPr>
        <w:t>价相一致。</w:t>
      </w:r>
    </w:p>
    <w:p w14:paraId="7812BE57">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3、</w:t>
      </w:r>
      <w:r>
        <w:rPr>
          <w:rFonts w:hint="eastAsia" w:ascii="宋体" w:hAnsi="宋体" w:eastAsia="宋体" w:cs="宋体"/>
          <w:b/>
          <w:szCs w:val="21"/>
          <w:highlight w:val="none"/>
          <w:u w:val="single"/>
        </w:rPr>
        <w:t>▲本表所列人员日常最低实付工资不得低于2800元/月。员工服装费、企业管理费及其他未列费用均为综合考虑。</w:t>
      </w:r>
    </w:p>
    <w:p w14:paraId="39233966">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4、</w:t>
      </w:r>
      <w:r>
        <w:rPr>
          <w:rFonts w:hint="eastAsia" w:ascii="宋体" w:hAnsi="宋体" w:eastAsia="宋体" w:cs="宋体"/>
          <w:b/>
          <w:szCs w:val="21"/>
          <w:highlight w:val="none"/>
          <w:u w:val="single"/>
        </w:rPr>
        <w:t>▲不提供详细分项报价将视为没有实质性响应采购文件</w:t>
      </w:r>
      <w:r>
        <w:rPr>
          <w:rFonts w:hint="eastAsia" w:ascii="宋体" w:hAnsi="宋体" w:eastAsia="宋体" w:cs="宋体"/>
          <w:b/>
          <w:szCs w:val="21"/>
          <w:highlight w:val="none"/>
        </w:rPr>
        <w:t>。</w:t>
      </w:r>
    </w:p>
    <w:p w14:paraId="77AFD114">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5、</w:t>
      </w:r>
      <w:r>
        <w:rPr>
          <w:rFonts w:hint="eastAsia" w:ascii="宋体" w:hAnsi="宋体" w:eastAsia="宋体" w:cs="宋体"/>
          <w:b/>
          <w:szCs w:val="21"/>
          <w:highlight w:val="none"/>
          <w:u w:val="single"/>
        </w:rPr>
        <w:t>▲</w:t>
      </w:r>
      <w:r>
        <w:rPr>
          <w:rFonts w:hint="eastAsia" w:ascii="宋体" w:hAnsi="宋体" w:eastAsia="宋体" w:cs="宋体"/>
          <w:b/>
          <w:szCs w:val="21"/>
          <w:highlight w:val="none"/>
          <w:u w:val="single"/>
          <w:lang w:val="en-US" w:eastAsia="zh-CN"/>
        </w:rPr>
        <w:t>不可竞争费用</w:t>
      </w:r>
      <w:r>
        <w:rPr>
          <w:rFonts w:hint="eastAsia" w:ascii="宋体" w:hAnsi="宋体" w:eastAsia="宋体" w:cs="宋体"/>
          <w:b/>
          <w:szCs w:val="21"/>
          <w:highlight w:val="none"/>
          <w:u w:val="single"/>
        </w:rPr>
        <w:t>报价低于本表规定的，做无效投标处理</w:t>
      </w:r>
      <w:r>
        <w:rPr>
          <w:rFonts w:hint="eastAsia" w:ascii="宋体" w:hAnsi="宋体" w:eastAsia="宋体" w:cs="宋体"/>
          <w:b/>
          <w:szCs w:val="21"/>
          <w:highlight w:val="none"/>
        </w:rPr>
        <w:t>。</w:t>
      </w:r>
    </w:p>
    <w:p w14:paraId="1C06BEE4">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6、本表可在不改变格式的情况下根据具体需要自行增减。 </w:t>
      </w:r>
    </w:p>
    <w:p w14:paraId="27F128AF">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7、本表各岗位人员“日常岗位工资”报价低于附件十一“服务人员最低月工资承诺函”中所承诺金额的，商务报价评分将按0分处理，低于2800元/月·人的作无效标处理。</w:t>
      </w:r>
    </w:p>
    <w:p w14:paraId="4F932D42">
      <w:pPr>
        <w:pStyle w:val="12"/>
        <w:rPr>
          <w:rFonts w:hint="eastAsia" w:ascii="宋体" w:hAnsi="宋体" w:eastAsia="宋体" w:cs="宋体"/>
          <w:highlight w:val="none"/>
        </w:rPr>
      </w:pPr>
    </w:p>
    <w:p w14:paraId="598D14FA">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6C4D3B45">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036B130F">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14:paraId="58A0AC47">
      <w:pPr>
        <w:keepLines w:val="0"/>
        <w:spacing w:before="0" w:after="0"/>
        <w:jc w:val="left"/>
        <w:outlineLvl w:val="9"/>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49E81927">
      <w:pPr>
        <w:spacing w:line="46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投标分项报价表</w:t>
      </w:r>
      <w:r>
        <w:rPr>
          <w:rFonts w:hint="eastAsia" w:ascii="宋体" w:hAnsi="宋体" w:eastAsia="宋体" w:cs="宋体"/>
          <w:b/>
          <w:bCs/>
          <w:sz w:val="28"/>
          <w:szCs w:val="28"/>
          <w:highlight w:val="none"/>
          <w:lang w:val="en-US" w:eastAsia="zh-CN"/>
        </w:rPr>
        <w:t>2</w:t>
      </w:r>
    </w:p>
    <w:p w14:paraId="57B0EA01">
      <w:pPr>
        <w:pStyle w:val="2"/>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“瓯江红·畅美高速”党群服务中心物业服务</w:t>
      </w:r>
    </w:p>
    <w:p w14:paraId="60CAE487">
      <w:pPr>
        <w:spacing w:line="380" w:lineRule="exact"/>
        <w:ind w:firstLine="331" w:firstLineChars="150"/>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61"/>
        <w:gridCol w:w="801"/>
        <w:gridCol w:w="1923"/>
        <w:gridCol w:w="2094"/>
        <w:gridCol w:w="1702"/>
      </w:tblGrid>
      <w:tr w14:paraId="1DF9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8" w:type="dxa"/>
            <w:tcBorders>
              <w:top w:val="single" w:color="auto" w:sz="12" w:space="0"/>
              <w:left w:val="single" w:color="auto" w:sz="12" w:space="0"/>
              <w:bottom w:val="single" w:color="auto" w:sz="12" w:space="0"/>
            </w:tcBorders>
            <w:noWrap w:val="0"/>
            <w:vAlign w:val="center"/>
          </w:tcPr>
          <w:p w14:paraId="2AEC3FC9">
            <w:pPr>
              <w:jc w:val="center"/>
              <w:rPr>
                <w:rFonts w:hint="eastAsia" w:ascii="宋体" w:hAnsi="宋体" w:eastAsia="宋体" w:cs="宋体"/>
                <w:bCs/>
                <w:szCs w:val="21"/>
              </w:rPr>
            </w:pPr>
            <w:r>
              <w:rPr>
                <w:rFonts w:hint="eastAsia" w:ascii="宋体" w:hAnsi="宋体" w:eastAsia="宋体" w:cs="宋体"/>
                <w:bCs/>
                <w:szCs w:val="21"/>
              </w:rPr>
              <w:t>序号</w:t>
            </w:r>
          </w:p>
        </w:tc>
        <w:tc>
          <w:tcPr>
            <w:tcW w:w="1661" w:type="dxa"/>
            <w:tcBorders>
              <w:top w:val="single" w:color="auto" w:sz="12" w:space="0"/>
              <w:bottom w:val="single" w:color="auto" w:sz="12" w:space="0"/>
            </w:tcBorders>
            <w:noWrap w:val="0"/>
            <w:vAlign w:val="center"/>
          </w:tcPr>
          <w:p w14:paraId="67ECE75D">
            <w:pPr>
              <w:jc w:val="center"/>
              <w:rPr>
                <w:rFonts w:hint="eastAsia" w:ascii="宋体" w:hAnsi="宋体" w:eastAsia="宋体" w:cs="宋体"/>
                <w:bCs/>
                <w:szCs w:val="21"/>
              </w:rPr>
            </w:pPr>
            <w:r>
              <w:rPr>
                <w:rFonts w:hint="eastAsia" w:ascii="宋体" w:hAnsi="宋体" w:eastAsia="宋体" w:cs="宋体"/>
                <w:bCs/>
                <w:szCs w:val="21"/>
              </w:rPr>
              <w:t>费用名称</w:t>
            </w:r>
          </w:p>
        </w:tc>
        <w:tc>
          <w:tcPr>
            <w:tcW w:w="801" w:type="dxa"/>
            <w:tcBorders>
              <w:top w:val="single" w:color="auto" w:sz="12" w:space="0"/>
              <w:bottom w:val="single" w:color="auto" w:sz="12" w:space="0"/>
            </w:tcBorders>
            <w:noWrap w:val="0"/>
            <w:vAlign w:val="center"/>
          </w:tcPr>
          <w:p w14:paraId="0746BE90">
            <w:pPr>
              <w:jc w:val="center"/>
              <w:rPr>
                <w:rFonts w:hint="eastAsia" w:ascii="宋体" w:hAnsi="宋体" w:eastAsia="宋体" w:cs="宋体"/>
                <w:bCs/>
                <w:szCs w:val="21"/>
              </w:rPr>
            </w:pPr>
            <w:r>
              <w:rPr>
                <w:rFonts w:hint="eastAsia" w:ascii="宋体" w:hAnsi="宋体" w:eastAsia="宋体" w:cs="宋体"/>
                <w:bCs/>
                <w:szCs w:val="21"/>
              </w:rPr>
              <w:t>数量</w:t>
            </w:r>
          </w:p>
        </w:tc>
        <w:tc>
          <w:tcPr>
            <w:tcW w:w="1923" w:type="dxa"/>
            <w:tcBorders>
              <w:top w:val="single" w:color="auto" w:sz="12" w:space="0"/>
              <w:bottom w:val="single" w:color="auto" w:sz="12" w:space="0"/>
            </w:tcBorders>
            <w:noWrap w:val="0"/>
            <w:vAlign w:val="center"/>
          </w:tcPr>
          <w:p w14:paraId="6FA7F5A3">
            <w:pPr>
              <w:ind w:right="0"/>
              <w:jc w:val="center"/>
              <w:rPr>
                <w:rFonts w:hint="eastAsia" w:ascii="宋体" w:hAnsi="宋体" w:eastAsia="宋体" w:cs="宋体"/>
                <w:szCs w:val="21"/>
              </w:rPr>
            </w:pPr>
            <w:r>
              <w:rPr>
                <w:rFonts w:hint="eastAsia" w:ascii="宋体" w:hAnsi="宋体" w:eastAsia="宋体" w:cs="宋体"/>
                <w:bCs/>
                <w:szCs w:val="21"/>
              </w:rPr>
              <w:t>单价</w:t>
            </w:r>
            <w:r>
              <w:rPr>
                <w:rFonts w:hint="eastAsia" w:ascii="宋体" w:hAnsi="宋体" w:eastAsia="宋体" w:cs="宋体"/>
                <w:bCs/>
                <w:szCs w:val="21"/>
                <w:lang w:eastAsia="zh-CN"/>
              </w:rPr>
              <w:t>（</w:t>
            </w:r>
            <w:r>
              <w:rPr>
                <w:rFonts w:hint="eastAsia" w:ascii="宋体" w:hAnsi="宋体" w:eastAsia="宋体" w:cs="宋体"/>
                <w:bCs/>
                <w:szCs w:val="21"/>
                <w:lang w:val="en-US" w:eastAsia="zh-CN"/>
              </w:rPr>
              <w:t>元/年</w:t>
            </w:r>
            <w:r>
              <w:rPr>
                <w:rFonts w:hint="eastAsia" w:ascii="宋体" w:hAnsi="宋体" w:eastAsia="宋体" w:cs="宋体"/>
                <w:szCs w:val="21"/>
                <w:lang w:eastAsia="zh-CN"/>
              </w:rPr>
              <w:t>，</w:t>
            </w:r>
            <w:r>
              <w:rPr>
                <w:rFonts w:hint="eastAsia" w:ascii="宋体" w:hAnsi="宋体" w:eastAsia="宋体" w:cs="宋体"/>
                <w:szCs w:val="21"/>
              </w:rPr>
              <w:t>含税）</w:t>
            </w:r>
          </w:p>
        </w:tc>
        <w:tc>
          <w:tcPr>
            <w:tcW w:w="2094" w:type="dxa"/>
            <w:tcBorders>
              <w:top w:val="single" w:color="auto" w:sz="12" w:space="0"/>
              <w:bottom w:val="single" w:color="auto" w:sz="12" w:space="0"/>
            </w:tcBorders>
            <w:noWrap w:val="0"/>
            <w:vAlign w:val="center"/>
          </w:tcPr>
          <w:p w14:paraId="3927DE65">
            <w:pPr>
              <w:jc w:val="center"/>
              <w:rPr>
                <w:rFonts w:hint="eastAsia" w:ascii="宋体" w:hAnsi="宋体" w:eastAsia="宋体" w:cs="宋体"/>
                <w:szCs w:val="21"/>
              </w:rPr>
            </w:pPr>
            <w:r>
              <w:rPr>
                <w:rFonts w:hint="eastAsia" w:ascii="宋体" w:hAnsi="宋体" w:eastAsia="宋体" w:cs="宋体"/>
                <w:bCs/>
                <w:szCs w:val="21"/>
              </w:rPr>
              <w:t>合价</w:t>
            </w:r>
            <w:r>
              <w:rPr>
                <w:rFonts w:hint="eastAsia" w:ascii="宋体" w:hAnsi="宋体" w:eastAsia="宋体" w:cs="宋体"/>
                <w:bCs/>
                <w:szCs w:val="21"/>
                <w:lang w:eastAsia="zh-CN"/>
              </w:rPr>
              <w:t>（</w:t>
            </w:r>
            <w:r>
              <w:rPr>
                <w:rFonts w:hint="eastAsia" w:ascii="宋体" w:hAnsi="宋体" w:eastAsia="宋体" w:cs="宋体"/>
                <w:bCs/>
                <w:szCs w:val="21"/>
                <w:lang w:val="en-US" w:eastAsia="zh-CN"/>
              </w:rPr>
              <w:t>元/年</w:t>
            </w:r>
            <w:r>
              <w:rPr>
                <w:rFonts w:hint="eastAsia" w:ascii="宋体" w:hAnsi="宋体" w:eastAsia="宋体" w:cs="宋体"/>
                <w:szCs w:val="21"/>
                <w:lang w:eastAsia="zh-CN"/>
              </w:rPr>
              <w:t>，</w:t>
            </w:r>
            <w:r>
              <w:rPr>
                <w:rFonts w:hint="eastAsia" w:ascii="宋体" w:hAnsi="宋体" w:eastAsia="宋体" w:cs="宋体"/>
                <w:szCs w:val="21"/>
              </w:rPr>
              <w:t>含税）</w:t>
            </w:r>
          </w:p>
        </w:tc>
        <w:tc>
          <w:tcPr>
            <w:tcW w:w="1702" w:type="dxa"/>
            <w:tcBorders>
              <w:top w:val="single" w:color="auto" w:sz="12" w:space="0"/>
              <w:bottom w:val="single" w:color="auto" w:sz="12" w:space="0"/>
              <w:right w:val="single" w:color="auto" w:sz="12" w:space="0"/>
            </w:tcBorders>
            <w:noWrap w:val="0"/>
            <w:vAlign w:val="center"/>
          </w:tcPr>
          <w:p w14:paraId="60C03C56">
            <w:pPr>
              <w:jc w:val="center"/>
              <w:rPr>
                <w:rFonts w:hint="eastAsia" w:ascii="宋体" w:hAnsi="宋体" w:eastAsia="宋体" w:cs="宋体"/>
                <w:bCs/>
                <w:szCs w:val="21"/>
              </w:rPr>
            </w:pPr>
            <w:r>
              <w:rPr>
                <w:rFonts w:hint="eastAsia" w:ascii="宋体" w:hAnsi="宋体" w:eastAsia="宋体" w:cs="宋体"/>
                <w:bCs/>
                <w:szCs w:val="21"/>
              </w:rPr>
              <w:t>备注</w:t>
            </w:r>
          </w:p>
        </w:tc>
      </w:tr>
      <w:tr w14:paraId="2629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6641C291">
            <w:pPr>
              <w:numPr>
                <w:ilvl w:val="0"/>
                <w:numId w:val="28"/>
              </w:numPr>
              <w:ind w:right="-11"/>
              <w:jc w:val="center"/>
              <w:rPr>
                <w:rFonts w:hint="eastAsia" w:ascii="宋体" w:hAnsi="宋体" w:eastAsia="宋体" w:cs="宋体"/>
                <w:szCs w:val="21"/>
              </w:rPr>
            </w:pPr>
          </w:p>
        </w:tc>
        <w:tc>
          <w:tcPr>
            <w:tcW w:w="1661" w:type="dxa"/>
            <w:noWrap w:val="0"/>
            <w:vAlign w:val="center"/>
          </w:tcPr>
          <w:p w14:paraId="54218F86">
            <w:pPr>
              <w:rPr>
                <w:rFonts w:hint="default" w:ascii="宋体" w:hAnsi="宋体" w:eastAsia="宋体" w:cs="宋体"/>
                <w:szCs w:val="21"/>
                <w:lang w:val="en-US" w:eastAsia="zh-CN"/>
              </w:rPr>
            </w:pPr>
            <w:r>
              <w:rPr>
                <w:rFonts w:hint="eastAsia" w:ascii="宋体" w:hAnsi="宋体" w:eastAsia="宋体" w:cs="宋体"/>
                <w:szCs w:val="21"/>
                <w:lang w:val="en-US" w:eastAsia="zh-CN"/>
              </w:rPr>
              <w:t>日常岗位工资</w:t>
            </w:r>
          </w:p>
        </w:tc>
        <w:tc>
          <w:tcPr>
            <w:tcW w:w="801" w:type="dxa"/>
            <w:noWrap w:val="0"/>
            <w:vAlign w:val="center"/>
          </w:tcPr>
          <w:p w14:paraId="5BD0AA35">
            <w:pPr>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center"/>
          </w:tcPr>
          <w:p w14:paraId="7E8A9AD7">
            <w:pPr>
              <w:ind w:right="-11"/>
              <w:jc w:val="center"/>
              <w:rPr>
                <w:rFonts w:hint="eastAsia" w:ascii="宋体" w:hAnsi="宋体" w:eastAsia="宋体" w:cs="宋体"/>
                <w:szCs w:val="21"/>
              </w:rPr>
            </w:pPr>
          </w:p>
        </w:tc>
        <w:tc>
          <w:tcPr>
            <w:tcW w:w="2094" w:type="dxa"/>
            <w:noWrap w:val="0"/>
            <w:vAlign w:val="center"/>
          </w:tcPr>
          <w:p w14:paraId="18E58D8B">
            <w:pPr>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59524F38">
            <w:pPr>
              <w:ind w:right="-11"/>
              <w:jc w:val="center"/>
              <w:rPr>
                <w:rFonts w:hint="eastAsia" w:ascii="宋体" w:hAnsi="宋体" w:eastAsia="宋体" w:cs="宋体"/>
                <w:szCs w:val="21"/>
              </w:rPr>
            </w:pPr>
          </w:p>
        </w:tc>
      </w:tr>
      <w:tr w14:paraId="2F05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04A3674F">
            <w:pPr>
              <w:numPr>
                <w:ilvl w:val="0"/>
                <w:numId w:val="28"/>
              </w:numPr>
              <w:ind w:right="-11"/>
              <w:jc w:val="center"/>
              <w:rPr>
                <w:rFonts w:hint="eastAsia" w:ascii="宋体" w:hAnsi="宋体" w:eastAsia="宋体" w:cs="宋体"/>
                <w:szCs w:val="21"/>
              </w:rPr>
            </w:pPr>
          </w:p>
        </w:tc>
        <w:tc>
          <w:tcPr>
            <w:tcW w:w="1661" w:type="dxa"/>
            <w:noWrap w:val="0"/>
            <w:vAlign w:val="center"/>
          </w:tcPr>
          <w:p w14:paraId="112B2B0F">
            <w:pPr>
              <w:rPr>
                <w:rFonts w:hint="eastAsia" w:ascii="宋体" w:hAnsi="宋体" w:eastAsia="宋体" w:cs="宋体"/>
                <w:szCs w:val="21"/>
                <w:lang w:val="en-US" w:eastAsia="zh-CN"/>
              </w:rPr>
            </w:pPr>
            <w:r>
              <w:rPr>
                <w:rFonts w:hint="eastAsia" w:ascii="宋体" w:hAnsi="宋体" w:eastAsia="宋体" w:cs="宋体"/>
                <w:szCs w:val="21"/>
                <w:lang w:val="en-US" w:eastAsia="zh-CN"/>
              </w:rPr>
              <w:t>员工社会保险</w:t>
            </w:r>
          </w:p>
        </w:tc>
        <w:tc>
          <w:tcPr>
            <w:tcW w:w="801" w:type="dxa"/>
            <w:noWrap w:val="0"/>
            <w:vAlign w:val="center"/>
          </w:tcPr>
          <w:p w14:paraId="0E47EF7D">
            <w:pPr>
              <w:ind w:right="-11"/>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center"/>
          </w:tcPr>
          <w:p w14:paraId="674B624E">
            <w:pPr>
              <w:ind w:right="-11"/>
              <w:jc w:val="center"/>
              <w:rPr>
                <w:rFonts w:hint="eastAsia" w:ascii="宋体" w:hAnsi="宋体" w:eastAsia="宋体" w:cs="宋体"/>
                <w:szCs w:val="21"/>
              </w:rPr>
            </w:pPr>
          </w:p>
        </w:tc>
        <w:tc>
          <w:tcPr>
            <w:tcW w:w="2094" w:type="dxa"/>
            <w:noWrap w:val="0"/>
            <w:vAlign w:val="center"/>
          </w:tcPr>
          <w:p w14:paraId="55022530">
            <w:pPr>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2B798741">
            <w:pPr>
              <w:ind w:right="-11"/>
              <w:jc w:val="center"/>
              <w:rPr>
                <w:rFonts w:hint="eastAsia" w:ascii="宋体" w:hAnsi="宋体" w:eastAsia="宋体" w:cs="宋体"/>
                <w:szCs w:val="21"/>
              </w:rPr>
            </w:pPr>
          </w:p>
        </w:tc>
      </w:tr>
      <w:tr w14:paraId="6A62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2626AABE">
            <w:pPr>
              <w:numPr>
                <w:ilvl w:val="0"/>
                <w:numId w:val="28"/>
              </w:numPr>
              <w:ind w:right="-11"/>
              <w:jc w:val="center"/>
              <w:rPr>
                <w:rFonts w:hint="eastAsia" w:ascii="宋体" w:hAnsi="宋体" w:eastAsia="宋体" w:cs="宋体"/>
                <w:szCs w:val="21"/>
              </w:rPr>
            </w:pPr>
          </w:p>
        </w:tc>
        <w:tc>
          <w:tcPr>
            <w:tcW w:w="1661" w:type="dxa"/>
            <w:noWrap w:val="0"/>
            <w:vAlign w:val="center"/>
          </w:tcPr>
          <w:p w14:paraId="0FF13901">
            <w:pPr>
              <w:rPr>
                <w:rFonts w:hint="default" w:ascii="宋体" w:hAnsi="宋体" w:eastAsia="宋体" w:cs="宋体"/>
                <w:szCs w:val="21"/>
                <w:lang w:val="en-US" w:eastAsia="zh-CN"/>
              </w:rPr>
            </w:pPr>
            <w:r>
              <w:rPr>
                <w:rFonts w:hint="eastAsia" w:ascii="宋体" w:hAnsi="宋体" w:eastAsia="宋体" w:cs="宋体"/>
                <w:szCs w:val="21"/>
                <w:lang w:val="en-US" w:eastAsia="zh-CN"/>
              </w:rPr>
              <w:t>节假日补贴</w:t>
            </w:r>
          </w:p>
        </w:tc>
        <w:tc>
          <w:tcPr>
            <w:tcW w:w="801" w:type="dxa"/>
            <w:noWrap w:val="0"/>
            <w:vAlign w:val="center"/>
          </w:tcPr>
          <w:p w14:paraId="32DD7E74">
            <w:pPr>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center"/>
          </w:tcPr>
          <w:p w14:paraId="2A2F0BE0">
            <w:pPr>
              <w:ind w:right="-11"/>
              <w:jc w:val="center"/>
              <w:rPr>
                <w:rFonts w:hint="eastAsia" w:ascii="宋体" w:hAnsi="宋体" w:eastAsia="宋体" w:cs="宋体"/>
                <w:szCs w:val="21"/>
              </w:rPr>
            </w:pPr>
          </w:p>
        </w:tc>
        <w:tc>
          <w:tcPr>
            <w:tcW w:w="2094" w:type="dxa"/>
            <w:noWrap w:val="0"/>
            <w:vAlign w:val="center"/>
          </w:tcPr>
          <w:p w14:paraId="263EDDD7">
            <w:pPr>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20748896">
            <w:pPr>
              <w:ind w:right="-11"/>
              <w:jc w:val="center"/>
              <w:rPr>
                <w:rFonts w:hint="eastAsia" w:ascii="宋体" w:hAnsi="宋体" w:eastAsia="宋体" w:cs="宋体"/>
                <w:szCs w:val="21"/>
              </w:rPr>
            </w:pPr>
          </w:p>
        </w:tc>
      </w:tr>
      <w:tr w14:paraId="6FF2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5505351D">
            <w:pPr>
              <w:numPr>
                <w:ilvl w:val="0"/>
                <w:numId w:val="28"/>
              </w:numPr>
              <w:spacing w:line="360" w:lineRule="auto"/>
              <w:ind w:right="-11"/>
              <w:jc w:val="center"/>
              <w:rPr>
                <w:rFonts w:hint="eastAsia" w:ascii="宋体" w:hAnsi="宋体" w:eastAsia="宋体" w:cs="宋体"/>
                <w:szCs w:val="21"/>
              </w:rPr>
            </w:pPr>
          </w:p>
        </w:tc>
        <w:tc>
          <w:tcPr>
            <w:tcW w:w="1661" w:type="dxa"/>
            <w:noWrap w:val="0"/>
            <w:vAlign w:val="center"/>
          </w:tcPr>
          <w:p w14:paraId="61A756F3">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餐费</w:t>
            </w:r>
          </w:p>
        </w:tc>
        <w:tc>
          <w:tcPr>
            <w:tcW w:w="801" w:type="dxa"/>
            <w:noWrap w:val="0"/>
            <w:vAlign w:val="top"/>
          </w:tcPr>
          <w:p w14:paraId="37A707A0">
            <w:pPr>
              <w:spacing w:line="360" w:lineRule="auto"/>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top"/>
          </w:tcPr>
          <w:p w14:paraId="2C4C89DB">
            <w:pPr>
              <w:spacing w:line="360" w:lineRule="auto"/>
              <w:ind w:right="-11"/>
              <w:jc w:val="center"/>
              <w:rPr>
                <w:rFonts w:hint="eastAsia" w:ascii="宋体" w:hAnsi="宋体" w:eastAsia="宋体" w:cs="宋体"/>
                <w:szCs w:val="21"/>
              </w:rPr>
            </w:pPr>
          </w:p>
        </w:tc>
        <w:tc>
          <w:tcPr>
            <w:tcW w:w="2094" w:type="dxa"/>
            <w:noWrap w:val="0"/>
            <w:vAlign w:val="center"/>
          </w:tcPr>
          <w:p w14:paraId="78C5E687">
            <w:pPr>
              <w:spacing w:line="360" w:lineRule="auto"/>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7E9B5232">
            <w:pPr>
              <w:spacing w:line="360" w:lineRule="auto"/>
              <w:ind w:right="-11"/>
              <w:jc w:val="center"/>
              <w:rPr>
                <w:rFonts w:hint="eastAsia" w:ascii="宋体" w:hAnsi="宋体" w:eastAsia="宋体" w:cs="宋体"/>
                <w:szCs w:val="21"/>
              </w:rPr>
            </w:pPr>
            <w:r>
              <w:rPr>
                <w:rFonts w:hint="eastAsia" w:ascii="宋体" w:hAnsi="宋体" w:eastAsia="宋体" w:cs="宋体"/>
                <w:szCs w:val="21"/>
              </w:rPr>
              <w:t>餐费按500元/人·月计</w:t>
            </w:r>
          </w:p>
        </w:tc>
      </w:tr>
      <w:tr w14:paraId="008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19787C74">
            <w:pPr>
              <w:numPr>
                <w:ilvl w:val="0"/>
                <w:numId w:val="28"/>
              </w:numPr>
              <w:spacing w:line="360" w:lineRule="auto"/>
              <w:ind w:right="-11"/>
              <w:jc w:val="center"/>
              <w:rPr>
                <w:rFonts w:hint="eastAsia" w:ascii="宋体" w:hAnsi="宋体" w:eastAsia="宋体" w:cs="宋体"/>
                <w:szCs w:val="21"/>
              </w:rPr>
            </w:pPr>
          </w:p>
        </w:tc>
        <w:tc>
          <w:tcPr>
            <w:tcW w:w="1661" w:type="dxa"/>
            <w:noWrap w:val="0"/>
            <w:vAlign w:val="center"/>
          </w:tcPr>
          <w:p w14:paraId="2AE7399F">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高温补贴</w:t>
            </w:r>
          </w:p>
        </w:tc>
        <w:tc>
          <w:tcPr>
            <w:tcW w:w="801" w:type="dxa"/>
            <w:noWrap w:val="0"/>
            <w:vAlign w:val="top"/>
          </w:tcPr>
          <w:p w14:paraId="3374D9BA">
            <w:pPr>
              <w:spacing w:line="360" w:lineRule="auto"/>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top"/>
          </w:tcPr>
          <w:p w14:paraId="279F34F0">
            <w:pPr>
              <w:spacing w:line="360" w:lineRule="auto"/>
              <w:ind w:right="-11"/>
              <w:jc w:val="center"/>
              <w:rPr>
                <w:rFonts w:hint="eastAsia" w:ascii="宋体" w:hAnsi="宋体" w:eastAsia="宋体" w:cs="宋体"/>
                <w:szCs w:val="21"/>
              </w:rPr>
            </w:pPr>
          </w:p>
        </w:tc>
        <w:tc>
          <w:tcPr>
            <w:tcW w:w="2094" w:type="dxa"/>
            <w:noWrap w:val="0"/>
            <w:vAlign w:val="center"/>
          </w:tcPr>
          <w:p w14:paraId="0F797BB3">
            <w:pPr>
              <w:spacing w:line="360" w:lineRule="auto"/>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01ED94FE">
            <w:pPr>
              <w:spacing w:line="360" w:lineRule="auto"/>
              <w:ind w:right="-11"/>
              <w:jc w:val="center"/>
              <w:rPr>
                <w:rFonts w:hint="eastAsia" w:ascii="宋体" w:hAnsi="宋体" w:eastAsia="宋体" w:cs="宋体"/>
                <w:szCs w:val="21"/>
              </w:rPr>
            </w:pPr>
          </w:p>
        </w:tc>
      </w:tr>
      <w:tr w14:paraId="65A8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3A1AC380">
            <w:pPr>
              <w:numPr>
                <w:ilvl w:val="0"/>
                <w:numId w:val="28"/>
              </w:numPr>
              <w:spacing w:line="360" w:lineRule="auto"/>
              <w:ind w:right="-11"/>
              <w:jc w:val="center"/>
              <w:rPr>
                <w:rFonts w:hint="eastAsia" w:ascii="宋体" w:hAnsi="宋体" w:eastAsia="宋体" w:cs="宋体"/>
                <w:szCs w:val="21"/>
              </w:rPr>
            </w:pPr>
          </w:p>
        </w:tc>
        <w:tc>
          <w:tcPr>
            <w:tcW w:w="1661" w:type="dxa"/>
            <w:noWrap w:val="0"/>
            <w:vAlign w:val="center"/>
          </w:tcPr>
          <w:p w14:paraId="656F0049">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其他津贴</w:t>
            </w:r>
          </w:p>
        </w:tc>
        <w:tc>
          <w:tcPr>
            <w:tcW w:w="801" w:type="dxa"/>
            <w:noWrap w:val="0"/>
            <w:vAlign w:val="top"/>
          </w:tcPr>
          <w:p w14:paraId="5C55E4F1">
            <w:pPr>
              <w:spacing w:line="360" w:lineRule="auto"/>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top"/>
          </w:tcPr>
          <w:p w14:paraId="7D8EFB47">
            <w:pPr>
              <w:spacing w:line="360" w:lineRule="auto"/>
              <w:ind w:right="-11"/>
              <w:jc w:val="center"/>
              <w:rPr>
                <w:rFonts w:hint="eastAsia" w:ascii="宋体" w:hAnsi="宋体" w:eastAsia="宋体" w:cs="宋体"/>
                <w:szCs w:val="21"/>
              </w:rPr>
            </w:pPr>
          </w:p>
        </w:tc>
        <w:tc>
          <w:tcPr>
            <w:tcW w:w="2094" w:type="dxa"/>
            <w:noWrap w:val="0"/>
            <w:vAlign w:val="center"/>
          </w:tcPr>
          <w:p w14:paraId="421371E1">
            <w:pPr>
              <w:spacing w:line="360" w:lineRule="auto"/>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1B2A0C38">
            <w:pPr>
              <w:spacing w:line="360" w:lineRule="auto"/>
              <w:ind w:right="-11"/>
              <w:jc w:val="center"/>
              <w:rPr>
                <w:rFonts w:hint="eastAsia" w:ascii="宋体" w:hAnsi="宋体" w:eastAsia="宋体" w:cs="宋体"/>
                <w:szCs w:val="21"/>
              </w:rPr>
            </w:pPr>
          </w:p>
        </w:tc>
      </w:tr>
      <w:tr w14:paraId="66FE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5FAB7CAC">
            <w:pPr>
              <w:numPr>
                <w:ilvl w:val="0"/>
                <w:numId w:val="28"/>
              </w:numPr>
              <w:spacing w:line="360" w:lineRule="auto"/>
              <w:ind w:right="-11"/>
              <w:jc w:val="center"/>
              <w:rPr>
                <w:rFonts w:hint="eastAsia" w:ascii="宋体" w:hAnsi="宋体" w:eastAsia="宋体" w:cs="宋体"/>
                <w:szCs w:val="21"/>
              </w:rPr>
            </w:pPr>
          </w:p>
        </w:tc>
        <w:tc>
          <w:tcPr>
            <w:tcW w:w="1661" w:type="dxa"/>
            <w:noWrap w:val="0"/>
            <w:vAlign w:val="center"/>
          </w:tcPr>
          <w:p w14:paraId="79BAAE1E">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服装摊销</w:t>
            </w:r>
          </w:p>
        </w:tc>
        <w:tc>
          <w:tcPr>
            <w:tcW w:w="801" w:type="dxa"/>
            <w:noWrap w:val="0"/>
            <w:vAlign w:val="top"/>
          </w:tcPr>
          <w:p w14:paraId="2F0AFBD4">
            <w:pPr>
              <w:spacing w:line="360" w:lineRule="auto"/>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top"/>
          </w:tcPr>
          <w:p w14:paraId="414391BD">
            <w:pPr>
              <w:spacing w:line="360" w:lineRule="auto"/>
              <w:ind w:right="-11"/>
              <w:jc w:val="center"/>
              <w:rPr>
                <w:rFonts w:hint="eastAsia" w:ascii="宋体" w:hAnsi="宋体" w:eastAsia="宋体" w:cs="宋体"/>
                <w:szCs w:val="21"/>
              </w:rPr>
            </w:pPr>
          </w:p>
        </w:tc>
        <w:tc>
          <w:tcPr>
            <w:tcW w:w="2094" w:type="dxa"/>
            <w:noWrap w:val="0"/>
            <w:vAlign w:val="center"/>
          </w:tcPr>
          <w:p w14:paraId="398D22AE">
            <w:pPr>
              <w:spacing w:line="360" w:lineRule="auto"/>
              <w:ind w:right="-11"/>
              <w:jc w:val="center"/>
              <w:rPr>
                <w:rFonts w:hint="eastAsia" w:ascii="宋体" w:hAnsi="宋体" w:eastAsia="宋体" w:cs="宋体"/>
                <w:szCs w:val="21"/>
              </w:rPr>
            </w:pPr>
          </w:p>
        </w:tc>
        <w:tc>
          <w:tcPr>
            <w:tcW w:w="1702" w:type="dxa"/>
            <w:tcBorders>
              <w:right w:val="single" w:color="auto" w:sz="12" w:space="0"/>
            </w:tcBorders>
            <w:noWrap w:val="0"/>
            <w:vAlign w:val="center"/>
          </w:tcPr>
          <w:p w14:paraId="163DA069">
            <w:pPr>
              <w:spacing w:line="360" w:lineRule="auto"/>
              <w:ind w:right="-11"/>
              <w:jc w:val="center"/>
              <w:rPr>
                <w:rFonts w:hint="eastAsia" w:ascii="宋体" w:hAnsi="宋体" w:eastAsia="宋体" w:cs="宋体"/>
                <w:szCs w:val="21"/>
              </w:rPr>
            </w:pPr>
          </w:p>
        </w:tc>
      </w:tr>
      <w:tr w14:paraId="42B4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377BA81C">
            <w:pPr>
              <w:numPr>
                <w:ilvl w:val="0"/>
                <w:numId w:val="28"/>
              </w:numPr>
              <w:spacing w:line="360" w:lineRule="auto"/>
              <w:ind w:right="-11"/>
              <w:jc w:val="center"/>
              <w:rPr>
                <w:rFonts w:hint="eastAsia" w:ascii="宋体" w:hAnsi="宋体" w:eastAsia="宋体" w:cs="宋体"/>
                <w:szCs w:val="21"/>
              </w:rPr>
            </w:pPr>
          </w:p>
        </w:tc>
        <w:tc>
          <w:tcPr>
            <w:tcW w:w="1661" w:type="dxa"/>
            <w:noWrap w:val="0"/>
            <w:vAlign w:val="center"/>
          </w:tcPr>
          <w:p w14:paraId="59EF61A8">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教育培训费</w:t>
            </w:r>
          </w:p>
        </w:tc>
        <w:tc>
          <w:tcPr>
            <w:tcW w:w="801" w:type="dxa"/>
            <w:noWrap w:val="0"/>
            <w:vAlign w:val="top"/>
          </w:tcPr>
          <w:p w14:paraId="1A9D151E">
            <w:pPr>
              <w:spacing w:line="360" w:lineRule="auto"/>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top"/>
          </w:tcPr>
          <w:p w14:paraId="062C0D20">
            <w:pPr>
              <w:spacing w:line="360" w:lineRule="auto"/>
              <w:ind w:right="-11"/>
              <w:jc w:val="center"/>
              <w:rPr>
                <w:rFonts w:hint="eastAsia" w:ascii="宋体" w:hAnsi="宋体" w:eastAsia="宋体" w:cs="宋体"/>
                <w:szCs w:val="21"/>
              </w:rPr>
            </w:pPr>
          </w:p>
        </w:tc>
        <w:tc>
          <w:tcPr>
            <w:tcW w:w="2094" w:type="dxa"/>
            <w:noWrap w:val="0"/>
            <w:vAlign w:val="center"/>
          </w:tcPr>
          <w:p w14:paraId="1AAEE273">
            <w:pPr>
              <w:spacing w:line="360" w:lineRule="auto"/>
              <w:ind w:right="-11"/>
              <w:jc w:val="center"/>
              <w:rPr>
                <w:rFonts w:hint="default" w:ascii="宋体" w:hAnsi="宋体" w:eastAsia="宋体" w:cs="宋体"/>
                <w:szCs w:val="21"/>
                <w:lang w:val="en-US" w:eastAsia="zh-CN"/>
              </w:rPr>
            </w:pPr>
          </w:p>
        </w:tc>
        <w:tc>
          <w:tcPr>
            <w:tcW w:w="1702" w:type="dxa"/>
            <w:tcBorders>
              <w:right w:val="single" w:color="auto" w:sz="12" w:space="0"/>
            </w:tcBorders>
            <w:noWrap w:val="0"/>
            <w:vAlign w:val="center"/>
          </w:tcPr>
          <w:p w14:paraId="77085978">
            <w:pPr>
              <w:spacing w:line="240" w:lineRule="auto"/>
              <w:ind w:right="-11"/>
              <w:jc w:val="center"/>
              <w:rPr>
                <w:rFonts w:hint="default" w:ascii="宋体" w:hAnsi="宋体" w:eastAsia="宋体" w:cs="宋体"/>
                <w:szCs w:val="21"/>
                <w:lang w:val="en-US" w:eastAsia="zh-CN"/>
              </w:rPr>
            </w:pPr>
          </w:p>
        </w:tc>
      </w:tr>
      <w:tr w14:paraId="6A8C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left w:val="single" w:color="auto" w:sz="12" w:space="0"/>
            </w:tcBorders>
            <w:noWrap w:val="0"/>
            <w:vAlign w:val="center"/>
          </w:tcPr>
          <w:p w14:paraId="41960FD3">
            <w:pPr>
              <w:numPr>
                <w:ilvl w:val="0"/>
                <w:numId w:val="28"/>
              </w:numPr>
              <w:spacing w:line="360" w:lineRule="auto"/>
              <w:ind w:right="-11"/>
              <w:jc w:val="center"/>
              <w:rPr>
                <w:rFonts w:hint="eastAsia" w:ascii="宋体" w:hAnsi="宋体" w:eastAsia="宋体" w:cs="宋体"/>
                <w:szCs w:val="21"/>
              </w:rPr>
            </w:pPr>
          </w:p>
        </w:tc>
        <w:tc>
          <w:tcPr>
            <w:tcW w:w="1661" w:type="dxa"/>
            <w:noWrap w:val="0"/>
            <w:vAlign w:val="center"/>
          </w:tcPr>
          <w:p w14:paraId="331189A5">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考核奖励金</w:t>
            </w:r>
          </w:p>
        </w:tc>
        <w:tc>
          <w:tcPr>
            <w:tcW w:w="801" w:type="dxa"/>
            <w:noWrap w:val="0"/>
            <w:vAlign w:val="top"/>
          </w:tcPr>
          <w:p w14:paraId="76ACFD81">
            <w:pPr>
              <w:spacing w:line="360" w:lineRule="auto"/>
              <w:ind w:right="-11"/>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23" w:type="dxa"/>
            <w:noWrap w:val="0"/>
            <w:vAlign w:val="top"/>
          </w:tcPr>
          <w:p w14:paraId="3DA33E7C">
            <w:pPr>
              <w:spacing w:line="360" w:lineRule="auto"/>
              <w:ind w:right="-11"/>
              <w:jc w:val="center"/>
              <w:rPr>
                <w:rFonts w:hint="default" w:ascii="宋体" w:hAnsi="宋体" w:eastAsia="宋体" w:cs="宋体"/>
                <w:szCs w:val="21"/>
                <w:lang w:val="en-US" w:eastAsia="zh-CN"/>
              </w:rPr>
            </w:pPr>
            <w:r>
              <w:rPr>
                <w:rFonts w:hint="eastAsia" w:ascii="宋体" w:hAnsi="宋体" w:eastAsia="宋体" w:cs="宋体"/>
                <w:szCs w:val="21"/>
                <w:lang w:val="en-US" w:eastAsia="zh-CN"/>
              </w:rPr>
              <w:t>4800</w:t>
            </w:r>
          </w:p>
        </w:tc>
        <w:tc>
          <w:tcPr>
            <w:tcW w:w="2094" w:type="dxa"/>
            <w:shd w:val="clear" w:color="auto" w:fill="auto"/>
            <w:noWrap w:val="0"/>
            <w:vAlign w:val="center"/>
          </w:tcPr>
          <w:p w14:paraId="00D72ACE">
            <w:pPr>
              <w:spacing w:line="36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9600</w:t>
            </w:r>
          </w:p>
        </w:tc>
        <w:tc>
          <w:tcPr>
            <w:tcW w:w="1702" w:type="dxa"/>
            <w:tcBorders>
              <w:right w:val="single" w:color="auto" w:sz="12" w:space="0"/>
            </w:tcBorders>
            <w:shd w:val="clear" w:color="auto" w:fill="auto"/>
            <w:noWrap w:val="0"/>
            <w:vAlign w:val="center"/>
          </w:tcPr>
          <w:p w14:paraId="342903E1">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u w:val="single"/>
                <w:lang w:val="en-US" w:eastAsia="zh-CN"/>
              </w:rPr>
              <w:t>▲不可竞争费用</w:t>
            </w:r>
          </w:p>
        </w:tc>
      </w:tr>
      <w:tr w14:paraId="4841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3" w:type="dxa"/>
            <w:gridSpan w:val="4"/>
            <w:tcBorders>
              <w:left w:val="single" w:color="auto" w:sz="12" w:space="0"/>
              <w:bottom w:val="single" w:color="auto" w:sz="12" w:space="0"/>
            </w:tcBorders>
            <w:noWrap w:val="0"/>
            <w:vAlign w:val="center"/>
          </w:tcPr>
          <w:p w14:paraId="1A9A0DC2">
            <w:pPr>
              <w:spacing w:line="360" w:lineRule="auto"/>
              <w:ind w:right="-11"/>
              <w:jc w:val="center"/>
              <w:rPr>
                <w:rFonts w:hint="default" w:ascii="宋体" w:hAnsi="宋体" w:eastAsia="宋体" w:cs="宋体"/>
                <w:szCs w:val="21"/>
                <w:lang w:val="en-US" w:eastAsia="zh-CN"/>
              </w:rPr>
            </w:pPr>
            <w:r>
              <w:rPr>
                <w:rFonts w:hint="eastAsia" w:ascii="宋体" w:hAnsi="宋体" w:eastAsia="宋体" w:cs="宋体"/>
                <w:szCs w:val="21"/>
                <w:lang w:val="en-US" w:eastAsia="zh-CN"/>
              </w:rPr>
              <w:t>总</w:t>
            </w:r>
            <w:r>
              <w:rPr>
                <w:rFonts w:hint="eastAsia" w:ascii="宋体" w:hAnsi="宋体" w:eastAsia="宋体" w:cs="宋体"/>
                <w:szCs w:val="21"/>
              </w:rPr>
              <w:t>计</w:t>
            </w:r>
            <w:r>
              <w:rPr>
                <w:rFonts w:hint="eastAsia" w:ascii="宋体" w:hAnsi="宋体" w:eastAsia="宋体" w:cs="宋体"/>
                <w:szCs w:val="21"/>
                <w:lang w:val="en-US" w:eastAsia="zh-CN"/>
              </w:rPr>
              <w:t>价2</w:t>
            </w:r>
          </w:p>
        </w:tc>
        <w:tc>
          <w:tcPr>
            <w:tcW w:w="3796" w:type="dxa"/>
            <w:gridSpan w:val="2"/>
            <w:tcBorders>
              <w:bottom w:val="single" w:color="auto" w:sz="12" w:space="0"/>
              <w:right w:val="single" w:color="auto" w:sz="12" w:space="0"/>
            </w:tcBorders>
            <w:noWrap w:val="0"/>
            <w:vAlign w:val="center"/>
          </w:tcPr>
          <w:p w14:paraId="72F3C9B8">
            <w:pPr>
              <w:spacing w:line="360" w:lineRule="auto"/>
              <w:ind w:right="-11"/>
              <w:jc w:val="center"/>
              <w:rPr>
                <w:rFonts w:hint="eastAsia" w:ascii="宋体" w:hAnsi="宋体" w:eastAsia="宋体" w:cs="宋体"/>
                <w:szCs w:val="21"/>
              </w:rPr>
            </w:pPr>
          </w:p>
        </w:tc>
      </w:tr>
    </w:tbl>
    <w:p w14:paraId="1D76C4C4">
      <w:pPr>
        <w:rPr>
          <w:rFonts w:hint="eastAsia" w:ascii="宋体" w:hAnsi="宋体" w:eastAsia="宋体" w:cs="宋体"/>
          <w:b/>
          <w:szCs w:val="21"/>
          <w:highlight w:val="none"/>
        </w:rPr>
      </w:pPr>
    </w:p>
    <w:p w14:paraId="3338564F">
      <w:pPr>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说明：</w:t>
      </w:r>
      <w:r>
        <w:rPr>
          <w:rFonts w:hint="eastAsia" w:ascii="宋体" w:hAnsi="宋体" w:eastAsia="宋体" w:cs="宋体"/>
          <w:b/>
          <w:szCs w:val="21"/>
          <w:highlight w:val="none"/>
          <w:lang w:val="en-US" w:eastAsia="zh-CN"/>
        </w:rPr>
        <w:t xml:space="preserve"> </w:t>
      </w:r>
    </w:p>
    <w:p w14:paraId="3309B6CB">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、此表总计价</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应与附件十一“开标一览表”中序号</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2</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“瓯江红·畅美高速”党群服务中心物业服务”投标报价相一致。</w:t>
      </w:r>
    </w:p>
    <w:p w14:paraId="7751CC74">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rPr>
        <w:t>、填写报价表格时，各项费用应如实填写，如已含在</w:t>
      </w:r>
      <w:r>
        <w:rPr>
          <w:rFonts w:hint="eastAsia" w:ascii="宋体" w:hAnsi="宋体" w:eastAsia="宋体" w:cs="宋体"/>
          <w:b/>
          <w:szCs w:val="21"/>
          <w:highlight w:val="none"/>
          <w:lang w:val="en-US" w:eastAsia="zh-CN"/>
        </w:rPr>
        <w:t>项目</w:t>
      </w:r>
      <w:r>
        <w:rPr>
          <w:rFonts w:hint="eastAsia" w:ascii="宋体" w:hAnsi="宋体" w:eastAsia="宋体" w:cs="宋体"/>
          <w:b/>
          <w:szCs w:val="21"/>
          <w:highlight w:val="none"/>
        </w:rPr>
        <w:t>价格中，则填“含”，如免费则填“免”，如无此项内容则填“无”，不允许空白；所有报价只能唯一一个价格。</w:t>
      </w:r>
    </w:p>
    <w:p w14:paraId="46CAFCEE">
      <w:pPr>
        <w:spacing w:line="240" w:lineRule="auto"/>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3、</w:t>
      </w:r>
      <w:r>
        <w:rPr>
          <w:rFonts w:hint="eastAsia" w:ascii="宋体" w:hAnsi="宋体" w:eastAsia="宋体" w:cs="宋体"/>
          <w:b/>
          <w:szCs w:val="21"/>
          <w:highlight w:val="none"/>
          <w:u w:val="single"/>
          <w:lang w:val="en-US" w:eastAsia="zh-CN"/>
        </w:rPr>
        <w:t>▲报价</w:t>
      </w:r>
      <w:r>
        <w:rPr>
          <w:rFonts w:hint="eastAsia" w:ascii="宋体" w:hAnsi="宋体" w:eastAsia="宋体" w:cs="宋体"/>
          <w:b/>
          <w:szCs w:val="21"/>
          <w:highlight w:val="none"/>
          <w:u w:val="single"/>
        </w:rPr>
        <w:t>含人员考核奖励金9600元</w:t>
      </w:r>
      <w:r>
        <w:rPr>
          <w:rFonts w:hint="eastAsia" w:ascii="宋体" w:hAnsi="宋体" w:eastAsia="宋体" w:cs="宋体"/>
          <w:b/>
          <w:szCs w:val="21"/>
          <w:highlight w:val="none"/>
          <w:u w:val="single"/>
          <w:lang w:val="en-US" w:eastAsia="zh-CN"/>
        </w:rPr>
        <w:t>/年</w:t>
      </w:r>
      <w:r>
        <w:rPr>
          <w:rFonts w:hint="eastAsia" w:ascii="宋体" w:hAnsi="宋体" w:eastAsia="宋体" w:cs="宋体"/>
          <w:b/>
          <w:szCs w:val="21"/>
          <w:highlight w:val="none"/>
          <w:u w:val="single"/>
        </w:rPr>
        <w:t>，奖励金不得竞争性报价</w:t>
      </w:r>
      <w:r>
        <w:rPr>
          <w:rFonts w:hint="eastAsia" w:ascii="宋体" w:hAnsi="宋体" w:eastAsia="宋体" w:cs="宋体"/>
          <w:b/>
          <w:szCs w:val="21"/>
          <w:highlight w:val="none"/>
        </w:rPr>
        <w:t>。</w:t>
      </w:r>
      <w:r>
        <w:rPr>
          <w:rFonts w:hint="eastAsia" w:ascii="宋体" w:hAnsi="宋体" w:eastAsia="宋体" w:cs="宋体"/>
          <w:b/>
          <w:szCs w:val="21"/>
          <w:highlight w:val="none"/>
          <w:u w:val="single"/>
          <w:lang w:val="en-US" w:eastAsia="zh-CN"/>
        </w:rPr>
        <w:t>不可竞争费用</w:t>
      </w:r>
      <w:r>
        <w:rPr>
          <w:rFonts w:hint="eastAsia" w:ascii="宋体" w:hAnsi="宋体" w:eastAsia="宋体" w:cs="宋体"/>
          <w:b/>
          <w:szCs w:val="21"/>
          <w:highlight w:val="none"/>
          <w:u w:val="single"/>
        </w:rPr>
        <w:t>报价低于本表规定的，做无效投标处理</w:t>
      </w:r>
      <w:r>
        <w:rPr>
          <w:rFonts w:hint="eastAsia" w:ascii="宋体" w:hAnsi="宋体" w:eastAsia="宋体" w:cs="宋体"/>
          <w:b/>
          <w:szCs w:val="21"/>
          <w:highlight w:val="none"/>
          <w:u w:val="single"/>
          <w:lang w:eastAsia="zh-CN"/>
        </w:rPr>
        <w:t>。</w:t>
      </w:r>
    </w:p>
    <w:p w14:paraId="031FC268">
      <w:pPr>
        <w:spacing w:line="240" w:lineRule="auto"/>
        <w:rPr>
          <w:rFonts w:hint="eastAsia" w:ascii="宋体" w:hAnsi="宋体" w:eastAsia="宋体" w:cs="宋体"/>
          <w:b/>
          <w:szCs w:val="21"/>
          <w:highlight w:val="none"/>
        </w:rPr>
      </w:pPr>
    </w:p>
    <w:p w14:paraId="15DFB8A7">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注：报价需含人员月度考核金。</w:t>
      </w:r>
    </w:p>
    <w:p w14:paraId="20DD8E23">
      <w:pPr>
        <w:pStyle w:val="12"/>
        <w:rPr>
          <w:rFonts w:hint="eastAsia" w:ascii="宋体" w:hAnsi="宋体" w:eastAsia="宋体" w:cs="宋体"/>
          <w:highlight w:val="none"/>
        </w:rPr>
      </w:pPr>
    </w:p>
    <w:p w14:paraId="1DD518FE">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14:paraId="401496A1">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14:paraId="0C293D30">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14:paraId="1D329225">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199" w:name="_Hlk69240860"/>
      <w:r>
        <w:rPr>
          <w:rFonts w:hint="eastAsia" w:ascii="宋体" w:hAnsi="宋体" w:eastAsia="宋体" w:cs="宋体"/>
          <w:sz w:val="36"/>
          <w:szCs w:val="36"/>
          <w:highlight w:val="none"/>
        </w:rPr>
        <w:t>第四部分   采购内容及要求</w:t>
      </w:r>
      <w:bookmarkEnd w:id="194"/>
      <w:bookmarkEnd w:id="195"/>
      <w:bookmarkEnd w:id="196"/>
      <w:bookmarkEnd w:id="197"/>
      <w:bookmarkEnd w:id="198"/>
    </w:p>
    <w:p w14:paraId="050A58DF">
      <w:pPr>
        <w:widowControl/>
        <w:jc w:val="center"/>
        <w:outlineLvl w:val="1"/>
        <w:rPr>
          <w:rFonts w:hint="eastAsia" w:ascii="宋体" w:hAnsi="宋体" w:eastAsia="宋体" w:cs="宋体"/>
          <w:b/>
          <w:bCs/>
          <w:kern w:val="0"/>
          <w:sz w:val="30"/>
          <w:szCs w:val="30"/>
          <w:highlight w:val="none"/>
        </w:rPr>
      </w:pPr>
      <w:bookmarkStart w:id="200" w:name="_Toc448846627"/>
      <w:bookmarkStart w:id="201" w:name="_Toc221374633"/>
      <w:bookmarkStart w:id="202" w:name="_Toc221356960"/>
      <w:bookmarkStart w:id="203" w:name="_Toc221356897"/>
      <w:r>
        <w:rPr>
          <w:rFonts w:hint="eastAsia" w:ascii="宋体" w:hAnsi="宋体" w:eastAsia="宋体" w:cs="宋体"/>
          <w:b/>
          <w:bCs/>
          <w:sz w:val="30"/>
          <w:szCs w:val="30"/>
          <w:highlight w:val="none"/>
          <w:lang w:val="en-US" w:eastAsia="zh-CN"/>
        </w:rPr>
        <w:t>陶山服务区物业服务</w:t>
      </w:r>
      <w:r>
        <w:rPr>
          <w:rFonts w:hint="eastAsia" w:ascii="宋体" w:hAnsi="宋体" w:eastAsia="宋体" w:cs="宋体"/>
          <w:b/>
          <w:bCs/>
          <w:sz w:val="30"/>
          <w:szCs w:val="30"/>
          <w:highlight w:val="none"/>
        </w:rPr>
        <w:t>采购内容及要求</w:t>
      </w:r>
    </w:p>
    <w:bookmarkEnd w:id="199"/>
    <w:bookmarkEnd w:id="200"/>
    <w:p w14:paraId="2DDA8731">
      <w:pPr>
        <w:spacing w:before="120" w:beforeLines="50" w:after="50" w:line="240" w:lineRule="auto"/>
        <w:jc w:val="center"/>
        <w:rPr>
          <w:rFonts w:hint="eastAsia" w:ascii="宋体" w:hAnsi="宋体" w:eastAsia="宋体" w:cs="宋体"/>
          <w:b/>
          <w:bCs/>
          <w:color w:val="auto"/>
          <w:sz w:val="21"/>
          <w:szCs w:val="21"/>
          <w:highlight w:val="none"/>
        </w:rPr>
      </w:pPr>
      <w:bookmarkStart w:id="204" w:name="_Toc26699"/>
      <w:bookmarkStart w:id="205" w:name="_Toc479601381"/>
      <w:bookmarkStart w:id="206" w:name="_Toc223716005"/>
      <w:bookmarkStart w:id="207" w:name="_Toc249758722"/>
      <w:bookmarkStart w:id="208" w:name="_Toc245191321"/>
      <w:bookmarkStart w:id="209" w:name="_Toc222114886"/>
      <w:bookmarkStart w:id="210" w:name="_Toc246261272"/>
      <w:bookmarkStart w:id="211" w:name="_Toc221423626"/>
      <w:bookmarkStart w:id="212" w:name="_Toc249758872"/>
      <w:bookmarkStart w:id="213" w:name="_Toc262105511"/>
      <w:bookmarkStart w:id="214" w:name="_Toc245722288"/>
      <w:bookmarkStart w:id="215" w:name="_Toc262049426"/>
      <w:bookmarkStart w:id="216" w:name="_Toc241404209"/>
      <w:bookmarkStart w:id="217" w:name="_Toc239145361"/>
      <w:bookmarkStart w:id="218" w:name="_Toc448846693"/>
      <w:r>
        <w:rPr>
          <w:rFonts w:hint="eastAsia" w:ascii="宋体" w:hAnsi="宋体" w:eastAsia="宋体" w:cs="宋体"/>
          <w:b/>
          <w:bCs/>
          <w:color w:val="auto"/>
          <w:sz w:val="21"/>
          <w:szCs w:val="21"/>
          <w:highlight w:val="none"/>
        </w:rPr>
        <w:t>一、概述</w:t>
      </w:r>
    </w:p>
    <w:p w14:paraId="61DAB515">
      <w:pPr>
        <w:numPr>
          <w:ilvl w:val="0"/>
          <w:numId w:val="29"/>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本次项目为</w:t>
      </w:r>
      <w:r>
        <w:rPr>
          <w:rFonts w:hint="eastAsia" w:ascii="宋体" w:hAnsi="宋体" w:eastAsia="宋体" w:cs="宋体"/>
          <w:color w:val="auto"/>
          <w:sz w:val="21"/>
          <w:szCs w:val="21"/>
          <w:highlight w:val="none"/>
          <w:lang w:val="en-US" w:eastAsia="zh-CN"/>
        </w:rPr>
        <w:t>陶山服务区物业项目</w:t>
      </w:r>
      <w:r>
        <w:rPr>
          <w:rFonts w:hint="eastAsia" w:ascii="宋体" w:hAnsi="宋体" w:eastAsia="宋体" w:cs="宋体"/>
          <w:color w:val="auto"/>
          <w:sz w:val="21"/>
          <w:szCs w:val="21"/>
          <w:highlight w:val="none"/>
        </w:rPr>
        <w:t>，投标人应根据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提供服务方案，在对</w:t>
      </w:r>
      <w:r>
        <w:rPr>
          <w:rFonts w:hint="eastAsia" w:ascii="宋体" w:hAnsi="宋体" w:eastAsia="宋体" w:cs="宋体"/>
          <w:color w:val="auto"/>
          <w:sz w:val="21"/>
          <w:szCs w:val="21"/>
          <w:highlight w:val="none"/>
          <w:lang w:val="en-US" w:eastAsia="zh-CN"/>
        </w:rPr>
        <w:t>值守</w:t>
      </w:r>
      <w:r>
        <w:rPr>
          <w:rFonts w:hint="eastAsia" w:ascii="宋体" w:hAnsi="宋体" w:eastAsia="宋体" w:cs="宋体"/>
          <w:color w:val="auto"/>
          <w:sz w:val="21"/>
          <w:szCs w:val="21"/>
          <w:highlight w:val="none"/>
        </w:rPr>
        <w:t>区域分布现场、周边环境全面了解的情况下编制科学合理、切实可行的组织实施计划以及具体的保障措施、工作等程序。</w:t>
      </w:r>
    </w:p>
    <w:p w14:paraId="4590961E">
      <w:pPr>
        <w:numPr>
          <w:ilvl w:val="0"/>
          <w:numId w:val="29"/>
        </w:numPr>
        <w:tabs>
          <w:tab w:val="left" w:pos="360"/>
          <w:tab w:val="clear" w:pos="680"/>
        </w:tabs>
        <w:spacing w:line="240" w:lineRule="auto"/>
        <w:ind w:left="360" w:hanging="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投标人须依照现代企业制度，以合理的服务流程和服务人数、优良的服务质量、科学的管理、稳定的服务队伍、优惠的价格来制订详细的服务方案，充分体现自身的实力，发挥自身优势，为使</w:t>
      </w:r>
      <w:r>
        <w:rPr>
          <w:rFonts w:hint="eastAsia" w:ascii="宋体" w:hAnsi="宋体" w:eastAsia="宋体" w:cs="宋体"/>
          <w:color w:val="auto"/>
          <w:sz w:val="21"/>
          <w:szCs w:val="21"/>
          <w:highlight w:val="none"/>
          <w:lang w:val="en-US" w:eastAsia="zh-CN"/>
        </w:rPr>
        <w:t>物业管理</w:t>
      </w:r>
      <w:r>
        <w:rPr>
          <w:rFonts w:hint="eastAsia" w:ascii="宋体" w:hAnsi="宋体" w:eastAsia="宋体" w:cs="宋体"/>
          <w:color w:val="auto"/>
          <w:sz w:val="21"/>
          <w:szCs w:val="21"/>
          <w:highlight w:val="none"/>
        </w:rPr>
        <w:t>服务工作顺利完成，并保证</w:t>
      </w:r>
      <w:r>
        <w:rPr>
          <w:rFonts w:hint="eastAsia" w:ascii="宋体" w:hAnsi="宋体" w:eastAsia="宋体" w:cs="宋体"/>
          <w:color w:val="auto"/>
          <w:sz w:val="21"/>
          <w:szCs w:val="21"/>
          <w:highlight w:val="none"/>
          <w:lang w:val="en-US" w:eastAsia="zh-CN"/>
        </w:rPr>
        <w:t>高速</w:t>
      </w:r>
      <w:r>
        <w:rPr>
          <w:rFonts w:hint="eastAsia" w:ascii="宋体" w:hAnsi="宋体" w:eastAsia="宋体" w:cs="宋体"/>
          <w:color w:val="auto"/>
          <w:sz w:val="21"/>
          <w:szCs w:val="21"/>
          <w:highlight w:val="none"/>
        </w:rPr>
        <w:t>服务质量和形象上升一个新台阶。</w:t>
      </w:r>
    </w:p>
    <w:p w14:paraId="77515ED8">
      <w:pPr>
        <w:numPr>
          <w:ilvl w:val="0"/>
          <w:numId w:val="30"/>
        </w:numPr>
        <w:spacing w:before="120" w:beforeLines="50" w:after="50" w:line="240" w:lineRule="auto"/>
        <w:jc w:val="center"/>
        <w:rPr>
          <w:rFonts w:hint="eastAsia" w:ascii="宋体" w:hAnsi="宋体" w:eastAsia="宋体" w:cs="宋体"/>
          <w:b/>
          <w:bCs/>
          <w:color w:val="auto"/>
          <w:sz w:val="21"/>
          <w:szCs w:val="21"/>
          <w:highlight w:val="none"/>
        </w:rPr>
      </w:pPr>
      <w:bookmarkStart w:id="219" w:name="_Toc187051758"/>
      <w:bookmarkStart w:id="220" w:name="_Toc184281683"/>
      <w:r>
        <w:rPr>
          <w:rFonts w:hint="eastAsia" w:ascii="宋体" w:hAnsi="宋体" w:eastAsia="宋体" w:cs="宋体"/>
          <w:b/>
          <w:bCs/>
          <w:color w:val="auto"/>
          <w:sz w:val="21"/>
          <w:szCs w:val="21"/>
          <w:highlight w:val="none"/>
        </w:rPr>
        <w:t>服务要求及规范</w:t>
      </w:r>
      <w:bookmarkEnd w:id="219"/>
      <w:bookmarkEnd w:id="220"/>
    </w:p>
    <w:p w14:paraId="010713EB">
      <w:pPr>
        <w:widowControl w:val="0"/>
        <w:numPr>
          <w:ilvl w:val="0"/>
          <w:numId w:val="0"/>
        </w:numPr>
        <w:tabs>
          <w:tab w:val="left" w:pos="360"/>
          <w:tab w:val="left" w:pos="1080"/>
        </w:tabs>
        <w:spacing w:line="240" w:lineRule="auto"/>
        <w:jc w:val="both"/>
        <w:rPr>
          <w:rFonts w:hint="eastAsia" w:ascii="宋体" w:hAnsi="宋体" w:eastAsia="宋体" w:cs="宋体"/>
          <w:b/>
          <w:color w:val="auto"/>
          <w:sz w:val="21"/>
          <w:szCs w:val="21"/>
          <w:highlight w:val="none"/>
        </w:rPr>
      </w:pPr>
    </w:p>
    <w:p w14:paraId="24C5F1BD">
      <w:pPr>
        <w:numPr>
          <w:ilvl w:val="0"/>
          <w:numId w:val="31"/>
        </w:numPr>
        <w:tabs>
          <w:tab w:val="left" w:pos="640"/>
          <w:tab w:val="clear" w:pos="680"/>
        </w:tabs>
        <w:spacing w:line="240" w:lineRule="auto"/>
        <w:ind w:left="640" w:hanging="64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物业管理总说明</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为保障服务区环境卫生、停车秩序和服务质量等工作。</w:t>
      </w:r>
      <w:r>
        <w:rPr>
          <w:rFonts w:hint="eastAsia" w:ascii="宋体" w:hAnsi="宋体" w:eastAsia="宋体" w:cs="宋体"/>
          <w:color w:val="auto"/>
          <w:sz w:val="21"/>
          <w:szCs w:val="21"/>
          <w:highlight w:val="none"/>
        </w:rPr>
        <w:t>根据关于印发《</w:t>
      </w:r>
      <w:r>
        <w:rPr>
          <w:rFonts w:hint="eastAsia" w:ascii="宋体" w:hAnsi="宋体" w:eastAsia="宋体" w:cs="宋体"/>
          <w:color w:val="auto"/>
          <w:sz w:val="21"/>
          <w:szCs w:val="21"/>
          <w:highlight w:val="none"/>
          <w:lang w:val="en-US" w:eastAsia="zh-CN"/>
        </w:rPr>
        <w:t>关于进一步加强高速公路服务区保安、保洁工作的通知</w:t>
      </w:r>
      <w:r>
        <w:rPr>
          <w:rFonts w:hint="eastAsia" w:ascii="宋体" w:hAnsi="宋体" w:eastAsia="宋体" w:cs="宋体"/>
          <w:color w:val="auto"/>
          <w:sz w:val="21"/>
          <w:szCs w:val="21"/>
          <w:highlight w:val="none"/>
        </w:rPr>
        <w:t>》（浙</w:t>
      </w:r>
      <w:r>
        <w:rPr>
          <w:rFonts w:hint="eastAsia" w:ascii="宋体" w:hAnsi="宋体" w:eastAsia="宋体" w:cs="宋体"/>
          <w:color w:val="auto"/>
          <w:sz w:val="21"/>
          <w:szCs w:val="21"/>
          <w:highlight w:val="none"/>
          <w:lang w:val="en-US" w:eastAsia="zh-CN"/>
        </w:rPr>
        <w:t>公运</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号文件）</w:t>
      </w:r>
      <w:r>
        <w:rPr>
          <w:rFonts w:hint="eastAsia" w:ascii="宋体" w:hAnsi="宋体" w:eastAsia="宋体" w:cs="宋体"/>
          <w:color w:val="auto"/>
          <w:sz w:val="21"/>
          <w:szCs w:val="21"/>
          <w:highlight w:val="none"/>
          <w:lang w:val="en-US" w:eastAsia="zh-CN"/>
        </w:rPr>
        <w:t>文件精神</w:t>
      </w:r>
      <w:r>
        <w:rPr>
          <w:rFonts w:hint="eastAsia" w:ascii="宋体" w:hAnsi="宋体" w:eastAsia="宋体" w:cs="宋体"/>
          <w:color w:val="auto"/>
          <w:sz w:val="21"/>
          <w:szCs w:val="21"/>
          <w:highlight w:val="none"/>
        </w:rPr>
        <w:t>，优化功能布局，完善服务设施，强化服务功能，创新管理机制，全面提升本</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服务能力，为人民群众美好出行需求提供更高品质服务。</w:t>
      </w:r>
    </w:p>
    <w:p w14:paraId="790C08A2">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安全管理为主要服务管理内容，制定安全管理服务细则。卫生保洁的服务标准质量要求按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域处于正常、有序、高效的状态， 运转正常，各项活动顺利完成。</w:t>
      </w:r>
    </w:p>
    <w:p w14:paraId="62D31F48">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域提供优良的后勤保障。做好卫生保洁及生活服务的工作质量。</w:t>
      </w:r>
    </w:p>
    <w:p w14:paraId="49E81362">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人员结构合理，分工明确。一般员工有相关专业所需的上岗证。所有人员要求政治上可靠，身体素质好，懂礼貌，善服务，无不良行为记录，重要岗位人员必须经采购人考核、政治审查通过方可录用。</w:t>
      </w:r>
    </w:p>
    <w:p w14:paraId="381C0DDA">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组织人员做好管理区域内的日常管养、门卫、保安、公共安全、治安纠纷、路产及设施赔偿、停车秩序工作；</w:t>
      </w:r>
    </w:p>
    <w:p w14:paraId="321E1CBB">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制订管理区域内管理服务的详细计划和方案，保障</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行车的方便、安全，保持外场设施完好、环境优美、公共秩序良好；</w:t>
      </w:r>
    </w:p>
    <w:p w14:paraId="17BA59D7">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负责做好本班组员工文明值勤、现场动态管理、公共安全管理、日常巡查和检查；</w:t>
      </w:r>
    </w:p>
    <w:p w14:paraId="68FAC7DC">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制定管理区域内部管理制度，规范所属人员的行为，做好所属人员的上岗、技能培训和考核工作，及时处理下属人员的违规行为；</w:t>
      </w:r>
    </w:p>
    <w:p w14:paraId="1F79EC23">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定期听取</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的意见和建议，改进和完善管理服务；</w:t>
      </w:r>
    </w:p>
    <w:p w14:paraId="28AFE8EB">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对管理区域内的违法行为或违反</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相关规定的行为，应立即依法劝阻、制止，并向</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有关部门报告；</w:t>
      </w:r>
    </w:p>
    <w:p w14:paraId="52A888AF">
      <w:pPr>
        <w:widowControl/>
        <w:numPr>
          <w:ilvl w:val="1"/>
          <w:numId w:val="31"/>
        </w:numPr>
        <w:tabs>
          <w:tab w:val="left" w:pos="640"/>
          <w:tab w:val="clear" w:pos="680"/>
        </w:tabs>
        <w:spacing w:line="240" w:lineRule="auto"/>
        <w:ind w:left="640" w:hanging="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做好各项迎检工作，完成</w:t>
      </w:r>
      <w:r>
        <w:rPr>
          <w:rFonts w:hint="eastAsia" w:ascii="宋体" w:hAnsi="宋体" w:eastAsia="宋体" w:cs="宋体"/>
          <w:color w:val="auto"/>
          <w:sz w:val="21"/>
          <w:szCs w:val="21"/>
          <w:highlight w:val="none"/>
          <w:lang w:eastAsia="zh-CN"/>
        </w:rPr>
        <w:t>服务区</w:t>
      </w:r>
      <w:r>
        <w:rPr>
          <w:rFonts w:hint="eastAsia" w:ascii="宋体" w:hAnsi="宋体" w:eastAsia="宋体" w:cs="宋体"/>
          <w:color w:val="auto"/>
          <w:sz w:val="21"/>
          <w:szCs w:val="21"/>
          <w:highlight w:val="none"/>
        </w:rPr>
        <w:t>领导交办的其他工作。建立各类应急预案（如临时性紧急会议、上级重要领导来考察调研、抗台等）， 并培训相关人员达到相关要求。</w:t>
      </w:r>
    </w:p>
    <w:p w14:paraId="269BB195">
      <w:pPr>
        <w:numPr>
          <w:ilvl w:val="0"/>
          <w:numId w:val="31"/>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物业概况</w:t>
      </w:r>
    </w:p>
    <w:p w14:paraId="7F42B2FE">
      <w:pPr>
        <w:keepNext w:val="0"/>
        <w:keepLines w:val="0"/>
        <w:widowControl/>
        <w:numPr>
          <w:ilvl w:val="1"/>
          <w:numId w:val="31"/>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 xml:space="preserve">陶山服务区位于温州绕城高速公路瑞安市陶山镇境内，占地面积102亩，其中建筑面积约10000平方米，绿化面积约16600平方米，大小停车位257个；并配置商业商铺、加油站、公共卫生间、第三卫生间、开水间、母婴室、司乘休息室等公共服务设施，为司乘人员提供24小时公共服务。 </w:t>
      </w:r>
    </w:p>
    <w:p w14:paraId="34E70F48">
      <w:pPr>
        <w:keepNext w:val="0"/>
        <w:keepLines w:val="0"/>
        <w:widowControl/>
        <w:numPr>
          <w:ilvl w:val="1"/>
          <w:numId w:val="31"/>
        </w:numPr>
        <w:suppressLineNumbers w:val="0"/>
        <w:tabs>
          <w:tab w:val="left" w:pos="640"/>
          <w:tab w:val="clear" w:pos="680"/>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lang w:val="en-US" w:eastAsia="zh-CN" w:bidi="ar"/>
        </w:rPr>
        <w:t xml:space="preserve">服务内容：秩序维护、安保管理、卫生管理、设备维护等； </w:t>
      </w:r>
    </w:p>
    <w:p w14:paraId="26B311B8">
      <w:pPr>
        <w:pStyle w:val="12"/>
        <w:ind w:left="210" w:leftChars="100"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公共区域环境卫生、设施设施日常管理与维护、交通与车辆停放秩序管理、前台咨询服务、安全消防管理、会务接待等。</w:t>
      </w:r>
    </w:p>
    <w:p w14:paraId="41F1E054">
      <w:pPr>
        <w:widowControl/>
        <w:numPr>
          <w:ilvl w:val="1"/>
          <w:numId w:val="31"/>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岗位配置：需配置</w:t>
      </w:r>
      <w:r>
        <w:rPr>
          <w:rFonts w:hint="eastAsia" w:ascii="宋体" w:hAnsi="宋体" w:eastAsia="宋体" w:cs="宋体"/>
          <w:color w:val="auto"/>
          <w:kern w:val="2"/>
          <w:sz w:val="21"/>
          <w:szCs w:val="21"/>
          <w:highlight w:val="none"/>
          <w:u w:val="single"/>
          <w:lang w:val="en-US" w:eastAsia="zh-CN" w:bidi="ar"/>
        </w:rPr>
        <w:t>50</w:t>
      </w:r>
      <w:r>
        <w:rPr>
          <w:rFonts w:hint="eastAsia" w:ascii="宋体" w:hAnsi="宋体" w:eastAsia="宋体" w:cs="宋体"/>
          <w:color w:val="auto"/>
          <w:kern w:val="2"/>
          <w:sz w:val="21"/>
          <w:szCs w:val="21"/>
          <w:highlight w:val="none"/>
          <w:lang w:val="en-US" w:eastAsia="zh-CN" w:bidi="ar"/>
        </w:rPr>
        <w:t>人，</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kern w:val="2"/>
          <w:sz w:val="21"/>
          <w:szCs w:val="21"/>
          <w:highlight w:val="none"/>
          <w:lang w:val="en-US" w:eastAsia="zh-CN" w:bidi="ar"/>
        </w:rPr>
        <w:t>岗位排班满足现场要求</w:t>
      </w:r>
      <w:r>
        <w:rPr>
          <w:rFonts w:hint="eastAsia" w:ascii="宋体" w:hAnsi="宋体" w:eastAsia="宋体" w:cs="宋体"/>
          <w:color w:val="auto"/>
          <w:sz w:val="21"/>
          <w:szCs w:val="21"/>
          <w:highlight w:val="none"/>
        </w:rPr>
        <w:t>。</w:t>
      </w:r>
    </w:p>
    <w:p w14:paraId="75DB70A6">
      <w:pPr>
        <w:widowControl/>
        <w:numPr>
          <w:ilvl w:val="2"/>
          <w:numId w:val="31"/>
        </w:numPr>
        <w:tabs>
          <w:tab w:val="left" w:pos="640"/>
          <w:tab w:val="clear" w:pos="1156"/>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
        </w:rPr>
        <w:t>各岗位如下表所示：</w:t>
      </w:r>
    </w:p>
    <w:tbl>
      <w:tblPr>
        <w:tblStyle w:val="2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66"/>
        <w:gridCol w:w="1623"/>
        <w:gridCol w:w="2037"/>
        <w:gridCol w:w="1911"/>
      </w:tblGrid>
      <w:tr w14:paraId="76C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CE721AA">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序号</w:t>
            </w:r>
          </w:p>
        </w:tc>
        <w:tc>
          <w:tcPr>
            <w:tcW w:w="2166" w:type="dxa"/>
            <w:vMerge w:val="restart"/>
            <w:tcBorders>
              <w:top w:val="single" w:color="auto" w:sz="4" w:space="0"/>
              <w:left w:val="single" w:color="auto" w:sz="4" w:space="0"/>
              <w:bottom w:val="single" w:color="auto" w:sz="4" w:space="0"/>
              <w:right w:val="single" w:color="auto" w:sz="4" w:space="0"/>
            </w:tcBorders>
            <w:noWrap w:val="0"/>
            <w:vAlign w:val="center"/>
          </w:tcPr>
          <w:p w14:paraId="79791DFB">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2"/>
                <w:sz w:val="22"/>
                <w:szCs w:val="22"/>
                <w:highlight w:val="none"/>
                <w:vertAlign w:val="baseline"/>
                <w:lang w:val="en-US" w:eastAsia="zh-CN" w:bidi="ar-SA"/>
              </w:rPr>
              <w:t>工种</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14:paraId="16530DA0">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配置人数</w:t>
            </w:r>
          </w:p>
        </w:tc>
        <w:tc>
          <w:tcPr>
            <w:tcW w:w="3948" w:type="dxa"/>
            <w:gridSpan w:val="2"/>
            <w:tcBorders>
              <w:top w:val="single" w:color="auto" w:sz="4" w:space="0"/>
              <w:left w:val="single" w:color="auto" w:sz="4" w:space="0"/>
              <w:bottom w:val="single" w:color="auto" w:sz="4" w:space="0"/>
              <w:right w:val="single" w:color="auto" w:sz="4" w:space="0"/>
            </w:tcBorders>
            <w:noWrap w:val="0"/>
            <w:vAlign w:val="center"/>
          </w:tcPr>
          <w:p w14:paraId="09366FE5">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具体人员分配</w:t>
            </w:r>
          </w:p>
        </w:tc>
      </w:tr>
      <w:tr w14:paraId="09F1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2041187">
            <w:pPr>
              <w:widowControl w:val="0"/>
              <w:jc w:val="center"/>
              <w:rPr>
                <w:rFonts w:hint="eastAsia" w:ascii="宋体" w:hAnsi="宋体" w:eastAsia="宋体" w:cs="宋体"/>
                <w:color w:val="auto"/>
                <w:kern w:val="2"/>
                <w:sz w:val="22"/>
                <w:szCs w:val="22"/>
                <w:highlight w:val="none"/>
                <w:vertAlign w:val="baseline"/>
                <w:lang w:val="en-US" w:eastAsia="zh-CN" w:bidi="ar-SA"/>
              </w:rPr>
            </w:pPr>
          </w:p>
        </w:tc>
        <w:tc>
          <w:tcPr>
            <w:tcW w:w="2166" w:type="dxa"/>
            <w:vMerge w:val="continue"/>
            <w:tcBorders>
              <w:top w:val="single" w:color="auto" w:sz="4" w:space="0"/>
              <w:left w:val="single" w:color="auto" w:sz="4" w:space="0"/>
              <w:bottom w:val="single" w:color="auto" w:sz="4" w:space="0"/>
              <w:right w:val="single" w:color="auto" w:sz="4" w:space="0"/>
            </w:tcBorders>
            <w:noWrap w:val="0"/>
            <w:vAlign w:val="center"/>
          </w:tcPr>
          <w:p w14:paraId="2FCB1DE1">
            <w:pPr>
              <w:widowControl w:val="0"/>
              <w:jc w:val="center"/>
              <w:rPr>
                <w:rFonts w:hint="eastAsia" w:ascii="宋体" w:hAnsi="宋体" w:eastAsia="宋体" w:cs="宋体"/>
                <w:color w:val="auto"/>
                <w:kern w:val="2"/>
                <w:sz w:val="22"/>
                <w:szCs w:val="22"/>
                <w:highlight w:val="none"/>
                <w:vertAlign w:val="baseline"/>
                <w:lang w:val="en-US" w:eastAsia="zh-CN" w:bidi="ar-SA"/>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14:paraId="12A52AE7">
            <w:pPr>
              <w:widowControl w:val="0"/>
              <w:jc w:val="center"/>
              <w:rPr>
                <w:rFonts w:hint="eastAsia" w:ascii="宋体" w:hAnsi="宋体" w:eastAsia="宋体" w:cs="宋体"/>
                <w:color w:val="auto"/>
                <w:kern w:val="2"/>
                <w:sz w:val="22"/>
                <w:szCs w:val="22"/>
                <w:highlight w:val="none"/>
                <w:vertAlign w:val="baseline"/>
                <w:lang w:val="en-US" w:eastAsia="zh-CN" w:bidi="ar-SA"/>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061EB21">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2"/>
                <w:sz w:val="22"/>
                <w:szCs w:val="22"/>
                <w:highlight w:val="none"/>
                <w:vertAlign w:val="baseline"/>
                <w:lang w:val="en-US" w:eastAsia="zh-CN" w:bidi="ar-SA"/>
              </w:rPr>
              <w:t>岗位</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47BFB70D">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人数</w:t>
            </w:r>
          </w:p>
        </w:tc>
      </w:tr>
      <w:tr w14:paraId="7B16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FE6C000">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166" w:type="dxa"/>
            <w:tcBorders>
              <w:top w:val="single" w:color="auto" w:sz="4" w:space="0"/>
              <w:left w:val="single" w:color="auto" w:sz="4" w:space="0"/>
              <w:bottom w:val="single" w:color="auto" w:sz="4" w:space="0"/>
              <w:right w:val="single" w:color="auto" w:sz="4" w:space="0"/>
            </w:tcBorders>
            <w:noWrap w:val="0"/>
            <w:vAlign w:val="center"/>
          </w:tcPr>
          <w:p w14:paraId="37EB2F5C">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物业经理</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61C6335B">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0CAE390D">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11FD390C">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r>
      <w:tr w14:paraId="4DA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74E5E680">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c>
          <w:tcPr>
            <w:tcW w:w="2166" w:type="dxa"/>
            <w:tcBorders>
              <w:top w:val="single" w:color="auto" w:sz="4" w:space="0"/>
              <w:left w:val="single" w:color="auto" w:sz="4" w:space="0"/>
              <w:bottom w:val="single" w:color="auto" w:sz="4" w:space="0"/>
              <w:right w:val="single" w:color="auto" w:sz="4" w:space="0"/>
            </w:tcBorders>
            <w:noWrap w:val="0"/>
            <w:vAlign w:val="center"/>
          </w:tcPr>
          <w:p w14:paraId="1274AED7">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水电工</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E9D769C">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D6B2D7D">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5443FBBE">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r>
      <w:tr w14:paraId="74FC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73CFC8E">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3</w:t>
            </w:r>
          </w:p>
        </w:tc>
        <w:tc>
          <w:tcPr>
            <w:tcW w:w="2166" w:type="dxa"/>
            <w:tcBorders>
              <w:top w:val="single" w:color="auto" w:sz="4" w:space="0"/>
              <w:left w:val="single" w:color="auto" w:sz="4" w:space="0"/>
              <w:bottom w:val="single" w:color="auto" w:sz="4" w:space="0"/>
              <w:right w:val="single" w:color="auto" w:sz="4" w:space="0"/>
            </w:tcBorders>
            <w:noWrap w:val="0"/>
            <w:vAlign w:val="center"/>
          </w:tcPr>
          <w:p w14:paraId="54F4BC22">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咨询台人员</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1CE7D74">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1D8100A8">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1F2227F4">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r>
      <w:tr w14:paraId="61D3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75C0F1C">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4</w:t>
            </w:r>
          </w:p>
        </w:tc>
        <w:tc>
          <w:tcPr>
            <w:tcW w:w="2166" w:type="dxa"/>
            <w:vMerge w:val="restart"/>
            <w:tcBorders>
              <w:top w:val="single" w:color="auto" w:sz="4" w:space="0"/>
              <w:left w:val="single" w:color="auto" w:sz="4" w:space="0"/>
              <w:bottom w:val="single" w:color="auto" w:sz="4" w:space="0"/>
              <w:right w:val="single" w:color="auto" w:sz="4" w:space="0"/>
            </w:tcBorders>
            <w:noWrap w:val="0"/>
            <w:vAlign w:val="center"/>
          </w:tcPr>
          <w:p w14:paraId="413BE8C3">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  安</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14:paraId="2BFCC266">
            <w:pPr>
              <w:widowControl w:val="0"/>
              <w:jc w:val="center"/>
              <w:rPr>
                <w:rFonts w:hint="default"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7D8DC5E4">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保安队长</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3BF34615">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w:t>
            </w:r>
          </w:p>
        </w:tc>
      </w:tr>
      <w:tr w14:paraId="73AF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B84C20">
            <w:pPr>
              <w:widowControl w:val="0"/>
              <w:jc w:val="center"/>
              <w:rPr>
                <w:rFonts w:hint="eastAsia" w:ascii="宋体" w:hAnsi="宋体" w:eastAsia="宋体" w:cs="宋体"/>
                <w:color w:val="auto"/>
                <w:kern w:val="0"/>
                <w:sz w:val="22"/>
                <w:szCs w:val="22"/>
                <w:highlight w:val="none"/>
                <w:vertAlign w:val="baseline"/>
                <w:lang w:val="en-US" w:eastAsia="zh-CN" w:bidi="ar-SA"/>
              </w:rPr>
            </w:pPr>
          </w:p>
        </w:tc>
        <w:tc>
          <w:tcPr>
            <w:tcW w:w="2166" w:type="dxa"/>
            <w:vMerge w:val="continue"/>
            <w:tcBorders>
              <w:top w:val="single" w:color="auto" w:sz="4" w:space="0"/>
              <w:left w:val="single" w:color="auto" w:sz="4" w:space="0"/>
              <w:bottom w:val="single" w:color="auto" w:sz="4" w:space="0"/>
              <w:right w:val="single" w:color="auto" w:sz="4" w:space="0"/>
            </w:tcBorders>
            <w:noWrap w:val="0"/>
            <w:vAlign w:val="center"/>
          </w:tcPr>
          <w:p w14:paraId="6E3B07BB">
            <w:pPr>
              <w:widowControl w:val="0"/>
              <w:jc w:val="center"/>
              <w:rPr>
                <w:rFonts w:hint="eastAsia" w:ascii="宋体" w:hAnsi="宋体" w:eastAsia="宋体" w:cs="宋体"/>
                <w:color w:val="auto"/>
                <w:kern w:val="0"/>
                <w:sz w:val="22"/>
                <w:szCs w:val="22"/>
                <w:highlight w:val="none"/>
                <w:vertAlign w:val="baseline"/>
                <w:lang w:val="en-US" w:eastAsia="zh-CN"/>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14:paraId="651637FE">
            <w:pPr>
              <w:widowControl w:val="0"/>
              <w:jc w:val="center"/>
              <w:rPr>
                <w:rFonts w:hint="eastAsia" w:ascii="宋体" w:hAnsi="宋体" w:eastAsia="宋体" w:cs="宋体"/>
                <w:color w:val="auto"/>
                <w:kern w:val="0"/>
                <w:sz w:val="22"/>
                <w:szCs w:val="22"/>
                <w:highlight w:val="none"/>
                <w:vertAlign w:val="baseline"/>
                <w:lang w:val="en-US" w:eastAsia="zh-CN"/>
              </w:rPr>
            </w:pPr>
          </w:p>
        </w:tc>
        <w:tc>
          <w:tcPr>
            <w:tcW w:w="2037" w:type="dxa"/>
            <w:tcBorders>
              <w:top w:val="single" w:color="auto" w:sz="4" w:space="0"/>
              <w:left w:val="single" w:color="auto" w:sz="4" w:space="0"/>
              <w:right w:val="single" w:color="auto" w:sz="4" w:space="0"/>
            </w:tcBorders>
            <w:noWrap w:val="0"/>
            <w:vAlign w:val="center"/>
          </w:tcPr>
          <w:p w14:paraId="30BB1A82">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保安人员</w:t>
            </w:r>
          </w:p>
        </w:tc>
        <w:tc>
          <w:tcPr>
            <w:tcW w:w="1911" w:type="dxa"/>
            <w:tcBorders>
              <w:top w:val="single" w:color="auto" w:sz="4" w:space="0"/>
              <w:left w:val="single" w:color="auto" w:sz="4" w:space="0"/>
              <w:right w:val="single" w:color="auto" w:sz="4" w:space="0"/>
            </w:tcBorders>
            <w:noWrap w:val="0"/>
            <w:vAlign w:val="center"/>
          </w:tcPr>
          <w:p w14:paraId="2DA6C920">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18</w:t>
            </w:r>
          </w:p>
        </w:tc>
      </w:tr>
      <w:tr w14:paraId="3324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1437DDE">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5</w:t>
            </w:r>
          </w:p>
        </w:tc>
        <w:tc>
          <w:tcPr>
            <w:tcW w:w="2166" w:type="dxa"/>
            <w:vMerge w:val="restart"/>
            <w:tcBorders>
              <w:top w:val="single" w:color="auto" w:sz="4" w:space="0"/>
              <w:left w:val="single" w:color="auto" w:sz="4" w:space="0"/>
              <w:bottom w:val="single" w:color="auto" w:sz="4" w:space="0"/>
              <w:right w:val="single" w:color="auto" w:sz="4" w:space="0"/>
            </w:tcBorders>
            <w:noWrap w:val="0"/>
            <w:vAlign w:val="center"/>
          </w:tcPr>
          <w:p w14:paraId="51FB1D4C">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保洁</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14:paraId="73AC0F45">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14:paraId="4A6A41B6">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保洁组长</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6906A98F">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1</w:t>
            </w:r>
          </w:p>
        </w:tc>
      </w:tr>
      <w:tr w14:paraId="50B8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1451967">
            <w:pPr>
              <w:widowControl w:val="0"/>
              <w:jc w:val="center"/>
              <w:rPr>
                <w:rFonts w:hint="eastAsia" w:ascii="宋体" w:hAnsi="宋体" w:eastAsia="宋体" w:cs="宋体"/>
                <w:color w:val="auto"/>
                <w:kern w:val="0"/>
                <w:sz w:val="22"/>
                <w:szCs w:val="22"/>
                <w:highlight w:val="none"/>
                <w:vertAlign w:val="baseline"/>
                <w:lang w:val="en-US" w:eastAsia="zh-CN" w:bidi="ar-SA"/>
              </w:rPr>
            </w:pPr>
          </w:p>
        </w:tc>
        <w:tc>
          <w:tcPr>
            <w:tcW w:w="2166" w:type="dxa"/>
            <w:vMerge w:val="continue"/>
            <w:tcBorders>
              <w:top w:val="single" w:color="auto" w:sz="4" w:space="0"/>
              <w:left w:val="single" w:color="auto" w:sz="4" w:space="0"/>
              <w:bottom w:val="single" w:color="auto" w:sz="4" w:space="0"/>
              <w:right w:val="single" w:color="auto" w:sz="4" w:space="0"/>
            </w:tcBorders>
            <w:noWrap w:val="0"/>
            <w:vAlign w:val="center"/>
          </w:tcPr>
          <w:p w14:paraId="0AFC0707">
            <w:pPr>
              <w:widowControl w:val="0"/>
              <w:jc w:val="center"/>
              <w:rPr>
                <w:rFonts w:hint="eastAsia" w:ascii="宋体" w:hAnsi="宋体" w:eastAsia="宋体" w:cs="宋体"/>
                <w:color w:val="auto"/>
                <w:kern w:val="0"/>
                <w:sz w:val="22"/>
                <w:szCs w:val="22"/>
                <w:highlight w:val="none"/>
                <w:vertAlign w:val="baseline"/>
                <w:lang w:val="en-US" w:eastAsia="zh-CN"/>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14:paraId="331057A8">
            <w:pPr>
              <w:widowControl w:val="0"/>
              <w:jc w:val="center"/>
              <w:rPr>
                <w:rFonts w:hint="eastAsia" w:ascii="宋体" w:hAnsi="宋体" w:eastAsia="宋体" w:cs="宋体"/>
                <w:color w:val="auto"/>
                <w:kern w:val="0"/>
                <w:sz w:val="22"/>
                <w:szCs w:val="22"/>
                <w:highlight w:val="none"/>
                <w:vertAlign w:val="baseline"/>
                <w:lang w:val="en-US" w:eastAsia="zh-CN"/>
              </w:rPr>
            </w:pPr>
          </w:p>
        </w:tc>
        <w:tc>
          <w:tcPr>
            <w:tcW w:w="2037" w:type="dxa"/>
            <w:tcBorders>
              <w:top w:val="single" w:color="auto" w:sz="4" w:space="0"/>
              <w:left w:val="single" w:color="auto" w:sz="4" w:space="0"/>
              <w:right w:val="single" w:color="auto" w:sz="4" w:space="0"/>
            </w:tcBorders>
            <w:noWrap w:val="0"/>
            <w:vAlign w:val="center"/>
          </w:tcPr>
          <w:p w14:paraId="7E1CBEFF">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2"/>
                <w:sz w:val="22"/>
                <w:szCs w:val="22"/>
                <w:highlight w:val="none"/>
                <w:vertAlign w:val="baseline"/>
                <w:lang w:val="en-US" w:eastAsia="zh-CN" w:bidi="ar-SA"/>
              </w:rPr>
              <w:t>保洁员</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0CE327AA">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22</w:t>
            </w:r>
          </w:p>
        </w:tc>
      </w:tr>
      <w:tr w14:paraId="5916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3F6E5">
            <w:pPr>
              <w:widowControl w:val="0"/>
              <w:jc w:val="center"/>
              <w:rPr>
                <w:rFonts w:hint="eastAsia" w:ascii="宋体" w:hAnsi="宋体" w:eastAsia="宋体" w:cs="宋体"/>
                <w:color w:val="auto"/>
                <w:kern w:val="0"/>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6</w:t>
            </w:r>
          </w:p>
        </w:tc>
        <w:tc>
          <w:tcPr>
            <w:tcW w:w="21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2D8BCA">
            <w:pPr>
              <w:widowControl w:val="0"/>
              <w:jc w:val="center"/>
              <w:rPr>
                <w:rFonts w:hint="eastAsia" w:ascii="宋体" w:hAnsi="宋体" w:eastAsia="宋体" w:cs="宋体"/>
                <w:color w:val="auto"/>
                <w:kern w:val="0"/>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监控/消控</w:t>
            </w:r>
          </w:p>
        </w:tc>
        <w:tc>
          <w:tcPr>
            <w:tcW w:w="16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310E1">
            <w:pPr>
              <w:widowControl w:val="0"/>
              <w:jc w:val="center"/>
              <w:rPr>
                <w:rFonts w:hint="eastAsia" w:ascii="宋体" w:hAnsi="宋体" w:eastAsia="宋体" w:cs="宋体"/>
                <w:color w:val="auto"/>
                <w:kern w:val="0"/>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3</w:t>
            </w:r>
          </w:p>
        </w:tc>
        <w:tc>
          <w:tcPr>
            <w:tcW w:w="2037" w:type="dxa"/>
            <w:tcBorders>
              <w:top w:val="single" w:color="auto" w:sz="4" w:space="0"/>
              <w:left w:val="single" w:color="auto" w:sz="4" w:space="0"/>
              <w:right w:val="single" w:color="auto" w:sz="4" w:space="0"/>
            </w:tcBorders>
            <w:shd w:val="clear" w:color="auto" w:fill="auto"/>
            <w:noWrap w:val="0"/>
            <w:vAlign w:val="center"/>
          </w:tcPr>
          <w:p w14:paraId="7F5BD499">
            <w:pPr>
              <w:widowControl w:val="0"/>
              <w:jc w:val="center"/>
              <w:rPr>
                <w:rFonts w:hint="eastAsia" w:ascii="宋体" w:hAnsi="宋体" w:eastAsia="宋体" w:cs="宋体"/>
                <w:color w:val="auto"/>
                <w:kern w:val="2"/>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监控/消控</w:t>
            </w:r>
          </w:p>
        </w:tc>
        <w:tc>
          <w:tcPr>
            <w:tcW w:w="19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1652E">
            <w:pPr>
              <w:widowControl w:val="0"/>
              <w:jc w:val="center"/>
              <w:rPr>
                <w:rFonts w:hint="eastAsia" w:ascii="宋体" w:hAnsi="宋体" w:eastAsia="宋体" w:cs="宋体"/>
                <w:color w:val="auto"/>
                <w:kern w:val="0"/>
                <w:sz w:val="22"/>
                <w:szCs w:val="22"/>
                <w:highlight w:val="none"/>
                <w:vertAlign w:val="baseline"/>
                <w:lang w:val="en-US" w:eastAsia="zh-CN" w:bidi="ar-SA"/>
              </w:rPr>
            </w:pPr>
            <w:r>
              <w:rPr>
                <w:rFonts w:hint="eastAsia" w:ascii="宋体" w:hAnsi="宋体" w:eastAsia="宋体" w:cs="宋体"/>
                <w:color w:val="auto"/>
                <w:kern w:val="0"/>
                <w:sz w:val="22"/>
                <w:szCs w:val="22"/>
                <w:highlight w:val="none"/>
                <w:vertAlign w:val="baseline"/>
                <w:lang w:val="en-US" w:eastAsia="zh-CN"/>
              </w:rPr>
              <w:t>3</w:t>
            </w:r>
          </w:p>
        </w:tc>
      </w:tr>
      <w:tr w14:paraId="3CC4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1E0D5C3F">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7</w:t>
            </w:r>
          </w:p>
        </w:tc>
        <w:tc>
          <w:tcPr>
            <w:tcW w:w="2166" w:type="dxa"/>
            <w:tcBorders>
              <w:top w:val="single" w:color="auto" w:sz="4" w:space="0"/>
              <w:left w:val="single" w:color="auto" w:sz="4" w:space="0"/>
              <w:bottom w:val="single" w:color="auto" w:sz="4" w:space="0"/>
              <w:right w:val="single" w:color="auto" w:sz="4" w:space="0"/>
            </w:tcBorders>
            <w:noWrap w:val="0"/>
            <w:vAlign w:val="center"/>
          </w:tcPr>
          <w:p w14:paraId="667CBB5B">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合计</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6FEEAF1">
            <w:pPr>
              <w:widowControl w:val="0"/>
              <w:jc w:val="center"/>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kern w:val="0"/>
                <w:sz w:val="22"/>
                <w:szCs w:val="22"/>
                <w:highlight w:val="none"/>
                <w:vertAlign w:val="baseline"/>
                <w:lang w:val="en-US" w:eastAsia="zh-CN"/>
              </w:rPr>
              <w:t>50</w:t>
            </w:r>
          </w:p>
        </w:tc>
        <w:tc>
          <w:tcPr>
            <w:tcW w:w="3948" w:type="dxa"/>
            <w:gridSpan w:val="2"/>
            <w:tcBorders>
              <w:top w:val="single" w:color="auto" w:sz="4" w:space="0"/>
              <w:left w:val="single" w:color="auto" w:sz="4" w:space="0"/>
              <w:bottom w:val="single" w:color="auto" w:sz="4" w:space="0"/>
              <w:right w:val="single" w:color="auto" w:sz="4" w:space="0"/>
            </w:tcBorders>
            <w:noWrap w:val="0"/>
            <w:vAlign w:val="center"/>
          </w:tcPr>
          <w:p w14:paraId="0909335E">
            <w:pPr>
              <w:widowControl w:val="0"/>
              <w:jc w:val="center"/>
              <w:rPr>
                <w:rFonts w:hint="eastAsia" w:ascii="宋体" w:hAnsi="宋体" w:eastAsia="宋体" w:cs="宋体"/>
                <w:color w:val="auto"/>
                <w:kern w:val="0"/>
                <w:sz w:val="22"/>
                <w:szCs w:val="22"/>
                <w:highlight w:val="none"/>
                <w:vertAlign w:val="baseline"/>
                <w:lang w:val="en-US" w:eastAsia="zh-CN"/>
              </w:rPr>
            </w:pPr>
          </w:p>
        </w:tc>
      </w:tr>
      <w:tr w14:paraId="4352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51" w:type="dxa"/>
            <w:gridSpan w:val="5"/>
            <w:tcBorders>
              <w:top w:val="single" w:color="auto" w:sz="4" w:space="0"/>
              <w:left w:val="single" w:color="auto" w:sz="4" w:space="0"/>
              <w:bottom w:val="single" w:color="auto" w:sz="4" w:space="0"/>
              <w:right w:val="single" w:color="auto" w:sz="4" w:space="0"/>
            </w:tcBorders>
            <w:noWrap w:val="0"/>
            <w:vAlign w:val="center"/>
          </w:tcPr>
          <w:p w14:paraId="774B2034">
            <w:pPr>
              <w:widowControl w:val="0"/>
              <w:jc w:val="left"/>
              <w:rPr>
                <w:rFonts w:hint="eastAsia" w:ascii="宋体" w:hAnsi="宋体" w:eastAsia="宋体" w:cs="宋体"/>
                <w:color w:val="auto"/>
                <w:kern w:val="0"/>
                <w:sz w:val="22"/>
                <w:szCs w:val="22"/>
                <w:highlight w:val="none"/>
                <w:vertAlign w:val="baseline"/>
                <w:lang w:val="en-US" w:eastAsia="zh-CN"/>
              </w:rPr>
            </w:pPr>
            <w:r>
              <w:rPr>
                <w:rFonts w:hint="eastAsia" w:ascii="宋体" w:hAnsi="宋体" w:eastAsia="宋体" w:cs="宋体"/>
                <w:color w:val="auto"/>
                <w:sz w:val="22"/>
                <w:highlight w:val="none"/>
                <w:lang w:val="en-US" w:eastAsia="zh-CN"/>
              </w:rPr>
              <w:t>备注：所有人员均需经体检合格后方可上岗</w:t>
            </w:r>
          </w:p>
        </w:tc>
      </w:tr>
    </w:tbl>
    <w:p w14:paraId="382B8AE9">
      <w:pPr>
        <w:snapToGrid w:val="0"/>
        <w:spacing w:line="240" w:lineRule="auto"/>
        <w:ind w:left="378" w:hanging="361" w:hangingChars="17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79B5BA0">
      <w:pPr>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u w:val="singl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以上</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为本项目投标要求的</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w:t>
      </w:r>
      <w:r>
        <w:rPr>
          <w:rFonts w:hint="eastAsia" w:ascii="宋体" w:hAnsi="宋体" w:eastAsia="宋体" w:cs="宋体"/>
          <w:b/>
          <w:color w:val="auto"/>
          <w:sz w:val="21"/>
          <w:szCs w:val="21"/>
          <w:highlight w:val="none"/>
          <w:u w:val="single"/>
          <w:lang w:val="en-US" w:eastAsia="zh-CN"/>
        </w:rPr>
        <w:t>投标时须严格按照该数量进行报价。</w:t>
      </w:r>
      <w:r>
        <w:rPr>
          <w:rFonts w:hint="eastAsia" w:ascii="宋体" w:hAnsi="宋体" w:eastAsia="宋体" w:cs="宋体"/>
          <w:b/>
          <w:color w:val="auto"/>
          <w:sz w:val="21"/>
          <w:szCs w:val="21"/>
          <w:highlight w:val="none"/>
          <w:u w:val="single"/>
        </w:rPr>
        <w:t>在项目实施过程中，采购人有权根据实际情况对</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数量和岗位配置进行调整（</w:t>
      </w:r>
      <w:r>
        <w:rPr>
          <w:rFonts w:hint="eastAsia" w:ascii="宋体" w:hAnsi="宋体" w:eastAsia="宋体" w:cs="宋体"/>
          <w:b/>
          <w:color w:val="auto"/>
          <w:sz w:val="21"/>
          <w:szCs w:val="21"/>
          <w:highlight w:val="none"/>
          <w:u w:val="single"/>
          <w:lang w:val="en-US" w:eastAsia="zh-CN"/>
        </w:rPr>
        <w:t>如调整，则</w:t>
      </w:r>
      <w:r>
        <w:rPr>
          <w:rFonts w:hint="eastAsia" w:ascii="宋体" w:hAnsi="宋体" w:eastAsia="宋体" w:cs="宋体"/>
          <w:b/>
          <w:color w:val="auto"/>
          <w:sz w:val="21"/>
          <w:szCs w:val="21"/>
          <w:highlight w:val="none"/>
          <w:u w:val="single"/>
        </w:rPr>
        <w:t>实际结算根据实际</w:t>
      </w:r>
      <w:r>
        <w:rPr>
          <w:rFonts w:hint="eastAsia" w:ascii="宋体" w:hAnsi="宋体" w:eastAsia="宋体" w:cs="宋体"/>
          <w:b/>
          <w:color w:val="auto"/>
          <w:sz w:val="21"/>
          <w:szCs w:val="21"/>
          <w:highlight w:val="none"/>
          <w:u w:val="single"/>
          <w:lang w:val="en-US" w:eastAsia="zh-CN"/>
        </w:rPr>
        <w:t>岗位</w:t>
      </w:r>
      <w:r>
        <w:rPr>
          <w:rFonts w:hint="eastAsia" w:ascii="宋体" w:hAnsi="宋体" w:eastAsia="宋体" w:cs="宋体"/>
          <w:b/>
          <w:color w:val="auto"/>
          <w:sz w:val="21"/>
          <w:szCs w:val="21"/>
          <w:highlight w:val="none"/>
          <w:u w:val="single"/>
        </w:rPr>
        <w:t>数量及</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最终成交分项报价表中各岗位月工资按实结算物业费，临时增加人员费用每季按实结算支付），各供应商须充分</w:t>
      </w:r>
      <w:r>
        <w:rPr>
          <w:rFonts w:hint="eastAsia" w:ascii="宋体" w:hAnsi="宋体" w:eastAsia="宋体" w:cs="宋体"/>
          <w:b/>
          <w:color w:val="auto"/>
          <w:sz w:val="21"/>
          <w:szCs w:val="21"/>
          <w:highlight w:val="none"/>
          <w:u w:val="single"/>
          <w:lang w:val="en-US" w:eastAsia="zh-CN"/>
        </w:rPr>
        <w:t>考虑项目实施工程中的人员轮岗调休等事项，自行</w:t>
      </w:r>
      <w:r>
        <w:rPr>
          <w:rFonts w:hint="eastAsia" w:ascii="宋体" w:hAnsi="宋体" w:eastAsia="宋体" w:cs="宋体"/>
          <w:b/>
          <w:color w:val="auto"/>
          <w:sz w:val="21"/>
          <w:szCs w:val="21"/>
          <w:highlight w:val="none"/>
          <w:u w:val="single"/>
        </w:rPr>
        <w:t>考虑报价风险。</w:t>
      </w:r>
    </w:p>
    <w:p w14:paraId="4CC9E9CA">
      <w:pPr>
        <w:pStyle w:val="1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2）物业经理需按规定参加服务区的日常排班值守，相关费用在报价过程中自行考虑，综合报价。</w:t>
      </w:r>
    </w:p>
    <w:p w14:paraId="51B1A663">
      <w:pPr>
        <w:pStyle w:val="1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3）物业经理、水电工除规定日常工作时间外，需24小时保持联络畅通，随时待命。在接到通知后需能及时赶赴现场处理相关事宜，保障服务区的正常运转。</w:t>
      </w:r>
    </w:p>
    <w:p w14:paraId="2CC98205">
      <w:pPr>
        <w:pStyle w:val="12"/>
        <w:numPr>
          <w:ilvl w:val="0"/>
          <w:numId w:val="0"/>
        </w:num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4）所有人员均需经体检合格后方可上岗。</w:t>
      </w:r>
    </w:p>
    <w:p w14:paraId="1A746F6A">
      <w:pPr>
        <w:pStyle w:val="12"/>
        <w:numPr>
          <w:ilvl w:val="0"/>
          <w:numId w:val="0"/>
        </w:numPr>
        <w:spacing w:line="24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消控人员、水电工必须持证上岗（国家职业资格证书），严格按作业证许可范围分别从事各自岗位工作。</w:t>
      </w:r>
    </w:p>
    <w:p w14:paraId="393269BC">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物业经理岗位：高中以上文化程度，年龄在30～</w:t>
      </w:r>
      <w:r>
        <w:rPr>
          <w:rFonts w:hint="eastAsia" w:ascii="宋体" w:hAnsi="宋体" w:eastAsia="宋体" w:cs="宋体"/>
          <w:color w:val="auto"/>
          <w:sz w:val="21"/>
          <w:szCs w:val="21"/>
          <w:highlight w:val="none"/>
          <w:lang w:val="en-US" w:eastAsia="zh-CN" w:bidi="ar"/>
        </w:rPr>
        <w:t>55</w:t>
      </w:r>
      <w:r>
        <w:rPr>
          <w:rFonts w:hint="eastAsia" w:ascii="宋体" w:hAnsi="宋体" w:eastAsia="宋体" w:cs="宋体"/>
          <w:color w:val="auto"/>
          <w:sz w:val="21"/>
          <w:szCs w:val="21"/>
          <w:highlight w:val="none"/>
          <w:lang w:eastAsia="zh-CN" w:bidi="ar"/>
        </w:rPr>
        <w:t>岁，具有3年以上物业管理经验，1年以上类似项目物业管理工作经验；工作细致、敬业、动手能力强，拥有较强的沟通力和执行力，良好的领导力和团队管理能力；责任心强，乐于奉献；全部负责管理处的日常管理工作，负责与业主及外部的沟通与协调。</w:t>
      </w:r>
    </w:p>
    <w:p w14:paraId="473F73A9">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咨询台人员岗位：高中以上文化程度，22-40岁</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特别优秀的经甲方同意可适当放宽</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，形象良好，具备良好的沟通能力、基础电脑操作能力和良好的服务意识、注重服务细节。</w:t>
      </w:r>
    </w:p>
    <w:p w14:paraId="0824E807">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监控（消控）员岗位：高中以上文化程度，20</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55岁以下，无近视，具有较强的消防和安保知识，责任心强，应变能力强，能吃苦耐劳，消控员须持证上岗。</w:t>
      </w:r>
    </w:p>
    <w:p w14:paraId="2524F455">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水电工岗位：</w:t>
      </w:r>
      <w:r>
        <w:rPr>
          <w:rFonts w:hint="eastAsia" w:ascii="宋体" w:hAnsi="宋体" w:eastAsia="宋体" w:cs="宋体"/>
          <w:color w:val="auto"/>
          <w:sz w:val="21"/>
          <w:szCs w:val="21"/>
          <w:highlight w:val="none"/>
          <w:lang w:val="en-US" w:eastAsia="zh-CN" w:bidi="ar"/>
        </w:rPr>
        <w:t>高</w:t>
      </w:r>
      <w:r>
        <w:rPr>
          <w:rFonts w:hint="eastAsia" w:ascii="宋体" w:hAnsi="宋体" w:eastAsia="宋体" w:cs="宋体"/>
          <w:color w:val="auto"/>
          <w:sz w:val="21"/>
          <w:szCs w:val="21"/>
          <w:highlight w:val="none"/>
          <w:lang w:eastAsia="zh-CN" w:bidi="ar"/>
        </w:rPr>
        <w:t>中以上文化程度，男性，22～55岁，持有相关专业上岗证件（国家职业资格证书），</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年以上相关工作经验，具备业务实施能力和良好的服务意识、注重服务细节。</w:t>
      </w:r>
    </w:p>
    <w:p w14:paraId="4C3A0454">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保安</w:t>
      </w:r>
      <w:r>
        <w:rPr>
          <w:rFonts w:hint="eastAsia" w:ascii="宋体" w:hAnsi="宋体" w:eastAsia="宋体" w:cs="宋体"/>
          <w:color w:val="auto"/>
          <w:sz w:val="21"/>
          <w:szCs w:val="21"/>
          <w:highlight w:val="none"/>
          <w:lang w:val="en-US" w:eastAsia="zh-CN" w:bidi="ar"/>
        </w:rPr>
        <w:t>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含保安队长</w:t>
      </w:r>
      <w:r>
        <w:rPr>
          <w:rFonts w:hint="eastAsia" w:ascii="宋体" w:hAnsi="宋体" w:eastAsia="宋体" w:cs="宋体"/>
          <w:color w:val="auto"/>
          <w:sz w:val="21"/>
          <w:szCs w:val="21"/>
          <w:highlight w:val="none"/>
          <w:lang w:eastAsia="zh-CN" w:bidi="ar"/>
        </w:rPr>
        <w:t>）：初中以上文化程度，男性，20～</w:t>
      </w:r>
      <w:r>
        <w:rPr>
          <w:rFonts w:hint="eastAsia" w:ascii="宋体" w:hAnsi="宋体" w:eastAsia="宋体" w:cs="宋体"/>
          <w:color w:val="auto"/>
          <w:sz w:val="21"/>
          <w:szCs w:val="21"/>
          <w:highlight w:val="none"/>
          <w:lang w:val="en-US" w:eastAsia="zh-CN" w:bidi="ar"/>
        </w:rPr>
        <w:t>55</w:t>
      </w:r>
      <w:r>
        <w:rPr>
          <w:rFonts w:hint="eastAsia" w:ascii="宋体" w:hAnsi="宋体" w:eastAsia="宋体" w:cs="宋体"/>
          <w:color w:val="auto"/>
          <w:sz w:val="21"/>
          <w:szCs w:val="21"/>
          <w:highlight w:val="none"/>
          <w:lang w:eastAsia="zh-CN" w:bidi="ar"/>
        </w:rPr>
        <w:t>岁（</w:t>
      </w:r>
      <w:r>
        <w:rPr>
          <w:rFonts w:hint="eastAsia" w:ascii="宋体" w:hAnsi="宋体" w:eastAsia="宋体" w:cs="宋体"/>
          <w:color w:val="auto"/>
          <w:sz w:val="21"/>
          <w:szCs w:val="21"/>
          <w:highlight w:val="none"/>
          <w:lang w:val="en-US" w:eastAsia="zh-CN" w:bidi="ar"/>
        </w:rPr>
        <w:t>特别优秀的经甲方同意可适当放宽</w:t>
      </w:r>
      <w:r>
        <w:rPr>
          <w:rFonts w:hint="eastAsia" w:ascii="宋体" w:hAnsi="宋体" w:eastAsia="宋体" w:cs="宋体"/>
          <w:color w:val="auto"/>
          <w:sz w:val="21"/>
          <w:szCs w:val="21"/>
          <w:highlight w:val="none"/>
          <w:lang w:eastAsia="zh-CN" w:bidi="ar"/>
        </w:rPr>
        <w:t>），身高1.6</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米以上，无近视，具有较强的安保和消防知识，</w:t>
      </w:r>
      <w:r>
        <w:rPr>
          <w:rFonts w:hint="eastAsia" w:ascii="宋体" w:hAnsi="宋体" w:eastAsia="宋体" w:cs="宋体"/>
          <w:color w:val="auto"/>
          <w:sz w:val="21"/>
          <w:szCs w:val="21"/>
          <w:highlight w:val="none"/>
          <w:lang w:val="en-US" w:eastAsia="zh-CN" w:bidi="ar"/>
        </w:rPr>
        <w:t>退伍军人优先考虑，具有保安员资格证，</w:t>
      </w:r>
      <w:r>
        <w:rPr>
          <w:rFonts w:hint="eastAsia" w:ascii="宋体" w:hAnsi="宋体" w:eastAsia="宋体" w:cs="宋体"/>
          <w:color w:val="auto"/>
          <w:sz w:val="21"/>
          <w:szCs w:val="21"/>
          <w:highlight w:val="none"/>
          <w:lang w:eastAsia="zh-CN" w:bidi="ar"/>
        </w:rPr>
        <w:t>一年以上安保工作经验，应变能力强、能吃苦耐劳。</w:t>
      </w:r>
    </w:p>
    <w:p w14:paraId="49CC5293">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bidi="ar"/>
        </w:rPr>
        <w:t>保洁员</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含</w:t>
      </w:r>
      <w:r>
        <w:rPr>
          <w:rFonts w:hint="eastAsia" w:ascii="宋体" w:hAnsi="宋体" w:eastAsia="宋体" w:cs="宋体"/>
          <w:color w:val="auto"/>
          <w:kern w:val="2"/>
          <w:sz w:val="21"/>
          <w:szCs w:val="21"/>
          <w:highlight w:val="none"/>
          <w:lang w:val="en-US" w:eastAsia="zh-CN" w:bidi="ar"/>
        </w:rPr>
        <w:t>保洁主管</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男性20～</w:t>
      </w:r>
      <w:r>
        <w:rPr>
          <w:rFonts w:hint="eastAsia" w:ascii="宋体" w:hAnsi="宋体" w:eastAsia="宋体" w:cs="宋体"/>
          <w:color w:val="auto"/>
          <w:sz w:val="21"/>
          <w:szCs w:val="21"/>
          <w:highlight w:val="none"/>
        </w:rPr>
        <w:t>55岁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女性20</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rPr>
        <w:t>50岁，特别优秀的经甲方同意可适当放宽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具备一定文化程度，会讲普通话，具有1年以上相关工作经验，五官端正，工作勤奋，具有服务意识、注重服务细节，具备吃苦耐劳的精神。</w:t>
      </w:r>
    </w:p>
    <w:p w14:paraId="51D0EAB3">
      <w:pPr>
        <w:numPr>
          <w:ilvl w:val="0"/>
          <w:numId w:val="31"/>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服务标准及要求</w:t>
      </w:r>
    </w:p>
    <w:p w14:paraId="3E22A5FF">
      <w:pPr>
        <w:numPr>
          <w:ilvl w:val="1"/>
          <w:numId w:val="31"/>
        </w:numPr>
        <w:tabs>
          <w:tab w:val="left" w:pos="640"/>
          <w:tab w:val="clear" w:pos="680"/>
        </w:tabs>
        <w:spacing w:line="240" w:lineRule="auto"/>
        <w:ind w:left="640" w:hanging="6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保洁服务要求</w:t>
      </w:r>
    </w:p>
    <w:p w14:paraId="4C1F0B83">
      <w:pPr>
        <w:widowControl/>
        <w:numPr>
          <w:ilvl w:val="2"/>
          <w:numId w:val="31"/>
        </w:numPr>
        <w:tabs>
          <w:tab w:val="left" w:pos="640"/>
          <w:tab w:val="clear" w:pos="1156"/>
        </w:tabs>
        <w:adjustRightInd/>
        <w:snapToGrid/>
        <w:spacing w:line="240" w:lineRule="auto"/>
        <w:ind w:left="1060" w:hanging="106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公共区域（</w:t>
      </w:r>
      <w:r>
        <w:rPr>
          <w:rFonts w:hint="eastAsia" w:ascii="宋体" w:hAnsi="宋体" w:eastAsia="宋体" w:cs="宋体"/>
          <w:b w:val="0"/>
          <w:color w:val="auto"/>
          <w:sz w:val="21"/>
          <w:szCs w:val="21"/>
          <w:highlight w:val="none"/>
          <w:lang w:bidi="ar"/>
        </w:rPr>
        <w:t>包括办公室、会议室等</w:t>
      </w:r>
      <w:r>
        <w:rPr>
          <w:rFonts w:hint="eastAsia" w:ascii="宋体" w:hAnsi="宋体" w:eastAsia="宋体" w:cs="宋体"/>
          <w:bCs w:val="0"/>
          <w:color w:val="auto"/>
          <w:sz w:val="21"/>
          <w:szCs w:val="21"/>
          <w:highlight w:val="none"/>
          <w:lang w:bidi="ar"/>
        </w:rPr>
        <w:t>）</w:t>
      </w:r>
    </w:p>
    <w:p w14:paraId="4EFBC7B2">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规范着装，正确穿戴防护用品，做好地面防滑工作，外场作业人员务必穿反光背心。</w:t>
      </w:r>
    </w:p>
    <w:p w14:paraId="4947F914">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广场的环境卫生工作，确保地面无明显垃圾、杂物、油污，无明显积水；垃圾全部装袋，一律投入垃圾箱，垃圾箱无寄生虫害，无蚊蝇繁衍；警示牌、指示牌、广告牌、草坪灯箱等无积灰、污垢，不锈钢栏、垃圾箱等清洁明亮，无水锈、无污渍、无损坏；垃圾桶量达到三分之二及时倾倒垃圾。</w:t>
      </w:r>
    </w:p>
    <w:p w14:paraId="16CED516">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负责做好公共区域公厕及草坪等绿化地带的清洁</w:t>
      </w:r>
      <w:r>
        <w:rPr>
          <w:rFonts w:hint="eastAsia" w:ascii="宋体" w:hAnsi="宋体" w:eastAsia="宋体" w:cs="宋体"/>
          <w:bCs w:val="0"/>
          <w:color w:val="auto"/>
          <w:sz w:val="21"/>
          <w:szCs w:val="21"/>
          <w:highlight w:val="none"/>
          <w:lang w:eastAsia="zh-CN" w:bidi="ar"/>
        </w:rPr>
        <w:t>、</w:t>
      </w:r>
      <w:r>
        <w:rPr>
          <w:rFonts w:hint="eastAsia" w:ascii="宋体" w:hAnsi="宋体" w:eastAsia="宋体" w:cs="宋体"/>
          <w:color w:val="auto"/>
          <w:sz w:val="21"/>
          <w:szCs w:val="21"/>
          <w:highlight w:val="none"/>
          <w:lang w:bidi="ar"/>
        </w:rPr>
        <w:t>苗木浇水</w:t>
      </w:r>
      <w:r>
        <w:rPr>
          <w:rFonts w:hint="eastAsia" w:ascii="宋体" w:hAnsi="宋体" w:eastAsia="宋体" w:cs="宋体"/>
          <w:bCs w:val="0"/>
          <w:color w:val="auto"/>
          <w:sz w:val="21"/>
          <w:szCs w:val="21"/>
          <w:highlight w:val="none"/>
          <w:lang w:bidi="ar"/>
        </w:rPr>
        <w:t>；负责定期对墙面、顶棚、门、窗、镜面进行清洁，做到无污渍、无蛛网，发现堵塞、设施损坏或其他突发事故必须要及时上报处理。</w:t>
      </w:r>
    </w:p>
    <w:p w14:paraId="621287F8">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定期做好灭蚊、灭蝇工作，撒放消毒药水，保障垃圾房及垃圾箱无寄生虫害，无蚊蝇繁衍。</w:t>
      </w:r>
    </w:p>
    <w:p w14:paraId="5B52A607">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各项规章制度，不违反劳动纪律，不违章作业，对本岗位的安全生产负直接责任。</w:t>
      </w:r>
    </w:p>
    <w:p w14:paraId="0754F712">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熟悉区域内消防器材的放置位置，保持安全通道畅通，不得随意挪动、使用消防器材；学会正确使用灭火器，懂得报火警和简单的火灾扑救知识。</w:t>
      </w:r>
    </w:p>
    <w:p w14:paraId="77E24570">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积极参加各种活动、岗位技术练兵和应急预案演练。</w:t>
      </w:r>
    </w:p>
    <w:p w14:paraId="5A32BAB2">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每日班后检查本部门区域的水、设备设施等安全事项落实情况。</w:t>
      </w:r>
    </w:p>
    <w:p w14:paraId="7AA91D85">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14:paraId="4BD1B24E">
      <w:pPr>
        <w:widowControl/>
        <w:numPr>
          <w:ilvl w:val="2"/>
          <w:numId w:val="31"/>
        </w:numPr>
        <w:tabs>
          <w:tab w:val="left" w:pos="640"/>
          <w:tab w:val="clear" w:pos="1156"/>
        </w:tabs>
        <w:adjustRightInd/>
        <w:snapToGrid/>
        <w:spacing w:line="240" w:lineRule="auto"/>
        <w:ind w:left="1060" w:hanging="1060" w:firstLineChars="0"/>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lang w:bidi="ar"/>
        </w:rPr>
        <w:t>公共卫生间</w:t>
      </w:r>
    </w:p>
    <w:p w14:paraId="6F187CD6">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遵守</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各项安全生产规章制度，不违反劳动纪律，不违章作业，对本岗位的安全生产负直接责任。</w:t>
      </w:r>
    </w:p>
    <w:p w14:paraId="78C09BB4">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熟悉区域内的消防器材的放置位置，不得随意挪动、使用消防器材；学会正确使用灭火器，懂得报火警和简单的火灾扑救知识。</w:t>
      </w:r>
    </w:p>
    <w:p w14:paraId="0649885B">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14:paraId="153E7D44">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每日班后检查本部门区域的水、电、设备设施等安全事项落实情况。</w:t>
      </w:r>
    </w:p>
    <w:p w14:paraId="75A1DD1F">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规范着装，正确穿戴防护用品，做好地面防滑工作，做到文明服务。</w:t>
      </w:r>
    </w:p>
    <w:p w14:paraId="0EC570FE">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 xml:space="preserve">积极参加各种安全活动、岗位技术练兵和事故预知训练。 </w:t>
      </w:r>
    </w:p>
    <w:p w14:paraId="75616B87">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及时放置、添加卫生纸、洗手液等。</w:t>
      </w:r>
    </w:p>
    <w:p w14:paraId="410E3C52">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发现安全隐患及时上报并整改，发生安全事故应及时上报并保护现场。</w:t>
      </w:r>
    </w:p>
    <w:p w14:paraId="221A0680">
      <w:pPr>
        <w:widowControl/>
        <w:numPr>
          <w:ilvl w:val="3"/>
          <w:numId w:val="31"/>
        </w:numPr>
        <w:tabs>
          <w:tab w:val="clear" w:pos="420"/>
        </w:tabs>
        <w:adjustRightInd/>
        <w:snapToGrid/>
        <w:spacing w:line="240" w:lineRule="auto"/>
        <w:ind w:left="840" w:hanging="8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完成上级领导临时交办的其他安全工作任务。</w:t>
      </w:r>
    </w:p>
    <w:p w14:paraId="7584CF05">
      <w:pPr>
        <w:widowControl/>
        <w:numPr>
          <w:ilvl w:val="1"/>
          <w:numId w:val="31"/>
        </w:numPr>
        <w:tabs>
          <w:tab w:val="left" w:pos="640"/>
          <w:tab w:val="clear" w:pos="680"/>
        </w:tabs>
        <w:spacing w:line="240" w:lineRule="auto"/>
        <w:ind w:left="640" w:hanging="64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保安服务要求</w:t>
      </w:r>
    </w:p>
    <w:p w14:paraId="782E575D">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开展</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各项安保工作。</w:t>
      </w:r>
    </w:p>
    <w:p w14:paraId="5BA63D92">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负责责任区内治安管理，疏导出入口车辆和人员，确保出入口畅通有序。</w:t>
      </w:r>
    </w:p>
    <w:p w14:paraId="58D53524">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对岗位上发生突发性事件，妥善处理紧急事件，及时报告，并定期开展训练、应急演练等培训活动。</w:t>
      </w:r>
    </w:p>
    <w:p w14:paraId="1CB77256">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负责做好边门进出人员、车辆的物资查验，确保</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财产安全及现场秩序有序，对</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边门进出情况做好详细记录。</w:t>
      </w:r>
    </w:p>
    <w:p w14:paraId="3F03DC5A">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加强现场巡逻，负责做好各种车辆在</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广场停放的现场指挥，做好危险品车辆的登记和指定停放工作，要求做到文明引导。</w:t>
      </w:r>
    </w:p>
    <w:p w14:paraId="074945B5">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认真做好</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消防管理工作，在巡逻过程，关注广场设备设施，如消防栓等是否存在漏水等问题，如有发现，及时上报。负责做好消防器材和其它公共设施日常检查工作，发现损坏及时上报。</w:t>
      </w:r>
    </w:p>
    <w:p w14:paraId="7B07223A">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负责保安亭内的卫生清理工作。</w:t>
      </w:r>
    </w:p>
    <w:p w14:paraId="66B7B175">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严格交接班手续，认真填写《保安值班记录》。</w:t>
      </w:r>
    </w:p>
    <w:p w14:paraId="7BE0882C">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提醒保洁员做好停车场等场所的卫生，及时制止司乘人员</w:t>
      </w:r>
      <w:r>
        <w:rPr>
          <w:rFonts w:hint="eastAsia" w:ascii="宋体" w:hAnsi="宋体" w:eastAsia="宋体" w:cs="宋体"/>
          <w:bCs w:val="0"/>
          <w:color w:val="auto"/>
          <w:sz w:val="21"/>
          <w:szCs w:val="21"/>
          <w:highlight w:val="none"/>
          <w:lang w:eastAsia="zh-CN" w:bidi="ar"/>
        </w:rPr>
        <w:t>服务区</w:t>
      </w:r>
      <w:r>
        <w:rPr>
          <w:rFonts w:hint="eastAsia" w:ascii="宋体" w:hAnsi="宋体" w:eastAsia="宋体" w:cs="宋体"/>
          <w:bCs w:val="0"/>
          <w:color w:val="auto"/>
          <w:sz w:val="21"/>
          <w:szCs w:val="21"/>
          <w:highlight w:val="none"/>
          <w:lang w:bidi="ar"/>
        </w:rPr>
        <w:t>内的不文明行为。</w:t>
      </w:r>
    </w:p>
    <w:p w14:paraId="4F9C286F">
      <w:pPr>
        <w:widowControl/>
        <w:numPr>
          <w:ilvl w:val="2"/>
          <w:numId w:val="31"/>
        </w:numPr>
        <w:tabs>
          <w:tab w:val="left" w:pos="640"/>
          <w:tab w:val="clear" w:pos="1156"/>
        </w:tabs>
        <w:adjustRightInd/>
        <w:snapToGrid/>
        <w:spacing w:line="240" w:lineRule="auto"/>
        <w:ind w:left="640" w:hanging="640" w:firstLineChars="0"/>
        <w:jc w:val="left"/>
        <w:rPr>
          <w:rFonts w:hint="eastAsia" w:ascii="宋体" w:hAnsi="宋体" w:eastAsia="宋体" w:cs="宋体"/>
          <w:bCs w:val="0"/>
          <w:color w:val="auto"/>
          <w:sz w:val="21"/>
          <w:szCs w:val="21"/>
          <w:highlight w:val="none"/>
          <w:lang w:bidi="ar"/>
        </w:rPr>
      </w:pPr>
      <w:r>
        <w:rPr>
          <w:rFonts w:hint="eastAsia" w:ascii="宋体" w:hAnsi="宋体" w:eastAsia="宋体" w:cs="宋体"/>
          <w:bCs w:val="0"/>
          <w:color w:val="auto"/>
          <w:sz w:val="21"/>
          <w:szCs w:val="21"/>
          <w:highlight w:val="none"/>
          <w:lang w:bidi="ar"/>
        </w:rPr>
        <w:t>服从领导调配，认真完成上级交办的其他工作任务。</w:t>
      </w:r>
    </w:p>
    <w:p w14:paraId="4F4ACC07">
      <w:pPr>
        <w:widowControl/>
        <w:numPr>
          <w:ilvl w:val="1"/>
          <w:numId w:val="31"/>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监控值守及消控值守</w:t>
      </w:r>
    </w:p>
    <w:p w14:paraId="7402AD54">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消控人员分班次24小时值守，具体班次及时间安排需报请采购人同意后予以实施。</w:t>
      </w:r>
    </w:p>
    <w:p w14:paraId="2D0497A2">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消防监控员岗位职责及岗位要求</w:t>
      </w:r>
    </w:p>
    <w:p w14:paraId="2F9BC0F6">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当班人员向主管经理负责，执行其工作指令。</w:t>
      </w:r>
    </w:p>
    <w:p w14:paraId="13B6EAB1">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接班前检查中心的各项设备，包括上一班的工作记录。</w:t>
      </w:r>
    </w:p>
    <w:p w14:paraId="6E254E47">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密切注意监控屏幕，如有异常立即通知当班领班，赶赴现场处理，并继续保持监控。</w:t>
      </w:r>
    </w:p>
    <w:p w14:paraId="5695BC86">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熟悉单位地形环境、消防设备的分布、灭火器的摆放位置，报警系统的位置，闭路电视监控头的位置。配合各岗位工作，认真做好值班记录。</w:t>
      </w:r>
    </w:p>
    <w:p w14:paraId="29A4CD7D">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认真学习各种灭火器材，熟练掌握控制中心、监控系统的操作程序，</w:t>
      </w:r>
    </w:p>
    <w:p w14:paraId="59673D0E">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接到报警后迅速呼叫领班前往报警地点查明原因，同时对现场作定位录像并做好记录。</w:t>
      </w:r>
    </w:p>
    <w:p w14:paraId="73FCC5D4">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爱护岗位上的各种设备器材，保证设施完好、灵敏有效。</w:t>
      </w:r>
    </w:p>
    <w:p w14:paraId="7BBE9B82">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沉着、冷静、迅速、果断地处理当值时发生的问题，遇到难以处理的问题及时上报。工作认真负责、严格执行消防法，遵守消防中心的各项规章制度。</w:t>
      </w:r>
    </w:p>
    <w:p w14:paraId="2267BEAC">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专职人员每日要对单位的消防设施进行检查，发现有损坏应及时上报处理。并组织相关保安人员及工程部员工进行每月的消防测试及检修。</w:t>
      </w:r>
    </w:p>
    <w:p w14:paraId="486158AC">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做好对相关人员的定期消防培训，组织部门每周的消防培训，确保各项消防管理制度的落实，消除一切消防隐患，</w:t>
      </w:r>
    </w:p>
    <w:p w14:paraId="339DBAA5">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严格遵守保密制度，未经批准，不得向无关人员泄漏、传播保安电视监控中获知的任何信息。</w:t>
      </w:r>
    </w:p>
    <w:p w14:paraId="258CAACA">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认真做好值勤记录，记录要准确详细。</w:t>
      </w:r>
    </w:p>
    <w:p w14:paraId="0F931876">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职位说明</w:t>
      </w:r>
    </w:p>
    <w:p w14:paraId="202BE483">
      <w:pPr>
        <w:pStyle w:val="71"/>
        <w:numPr>
          <w:ilvl w:val="0"/>
          <w:numId w:val="32"/>
        </w:numPr>
        <w:tabs>
          <w:tab w:val="left" w:pos="1080"/>
          <w:tab w:val="clear" w:pos="510"/>
        </w:tabs>
        <w:spacing w:before="0" w:beforeAutospacing="0" w:after="0" w:afterAutospacing="0" w:line="240" w:lineRule="auto"/>
        <w:ind w:left="1080" w:hanging="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教育背景：</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 xml:space="preserve">中及以上毕业，受过公安消防专业培训，具有上岗证。  </w:t>
      </w:r>
    </w:p>
    <w:p w14:paraId="6BB644A6">
      <w:pPr>
        <w:pStyle w:val="71"/>
        <w:numPr>
          <w:ilvl w:val="0"/>
          <w:numId w:val="32"/>
        </w:numPr>
        <w:tabs>
          <w:tab w:val="left" w:pos="1080"/>
          <w:tab w:val="clear" w:pos="510"/>
        </w:tabs>
        <w:spacing w:before="0" w:beforeAutospacing="0" w:after="0" w:afterAutospacing="0" w:line="240" w:lineRule="auto"/>
        <w:ind w:left="1080" w:hanging="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技能：消防设备控制使用，计算机操作、电视监控、事故分析处理能力和突发事件处理能力。</w:t>
      </w:r>
    </w:p>
    <w:p w14:paraId="4B0F7A67">
      <w:pPr>
        <w:widowControl/>
        <w:numPr>
          <w:ilvl w:val="1"/>
          <w:numId w:val="31"/>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水电维修</w:t>
      </w:r>
    </w:p>
    <w:p w14:paraId="0105EF39">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设备维修过程中所需相关配件由中标人提出采购清单及要求，经采购人审核后由采购人提供。</w:t>
      </w:r>
    </w:p>
    <w:p w14:paraId="4466448A">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设施设备维运、保养：依据现代企业管理要求，采用国家规定的设备设施运行维护管理标准，提供</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供配电(含高配)及照明系统、暖通系统、直饮水系统、给排水系统、消防系统、建筑智能化系统（灯光音响系统、电源系统、网络接入、安防系统、办公系统、电话系统）、建筑幕墙和建筑装饰以及室外配套工程等的正常运行，并配合外包单位的维运、日常维修和保养。提供对其他外来维保单位或改造更新服务单位、人员进行监督、管理、配合的服务。</w:t>
      </w:r>
    </w:p>
    <w:p w14:paraId="62A53983">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电工应持证上岗，并符合地方行政管理部门的规范要求。</w:t>
      </w:r>
    </w:p>
    <w:p w14:paraId="0EDA069E">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房屋建筑的日常维护、维修和管理，包括：</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域范围内的建筑物的内外墙面、楼梯间、办公区、会议室、休息区域、卫生间等。</w:t>
      </w:r>
    </w:p>
    <w:p w14:paraId="6CA7A9E8">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市政公用设施、附属建筑物、构筑物的维护、维修、保养和管理，包括：道路、广场、门警岗亭、</w:t>
      </w:r>
      <w:r>
        <w:rPr>
          <w:rFonts w:hint="eastAsia" w:ascii="宋体" w:hAnsi="宋体" w:eastAsia="宋体" w:cs="宋体"/>
          <w:color w:val="auto"/>
          <w:sz w:val="21"/>
          <w:szCs w:val="21"/>
          <w:highlight w:val="none"/>
          <w:lang w:eastAsia="zh-CN" w:bidi="ar"/>
        </w:rPr>
        <w:t>服务区</w:t>
      </w:r>
      <w:r>
        <w:rPr>
          <w:rFonts w:hint="eastAsia" w:ascii="宋体" w:hAnsi="宋体" w:eastAsia="宋体" w:cs="宋体"/>
          <w:color w:val="auto"/>
          <w:sz w:val="21"/>
          <w:szCs w:val="21"/>
          <w:highlight w:val="none"/>
          <w:lang w:bidi="ar"/>
        </w:rPr>
        <w:t>域内的水系景观管理与服务。</w:t>
      </w:r>
    </w:p>
    <w:p w14:paraId="47A5F951">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房屋日常养护维修是为保持房屋原有完好程度和正常使用，而进行的日常养护和及时修复小损小坏等房屋维护管理工作。现有的建筑结构不变的基础上，均由中标人维修完成，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人负责采购材料(政府立项项目除外)，具体标准如下：</w:t>
      </w:r>
    </w:p>
    <w:p w14:paraId="238C4A9F">
      <w:pPr>
        <w:widowControl/>
        <w:numPr>
          <w:ilvl w:val="3"/>
          <w:numId w:val="31"/>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按有关法规政策规定和</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人约定对房屋及配套设施进行管理服务；</w:t>
      </w:r>
    </w:p>
    <w:p w14:paraId="68FF8D0C">
      <w:pPr>
        <w:widowControl/>
        <w:numPr>
          <w:ilvl w:val="3"/>
          <w:numId w:val="31"/>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房屋外观（包括屋面、天台）完好、整洁，外墙、公区楼梯间的面砖、玻璃等地面无污迹、无破损，外墙及公共空间无乱张贴、乱涂、乱画、乱悬挂现象，室外招牌、霓虹灯按规定设置，整齐有序；</w:t>
      </w:r>
    </w:p>
    <w:p w14:paraId="4A613AB4">
      <w:pPr>
        <w:widowControl/>
        <w:numPr>
          <w:ilvl w:val="3"/>
          <w:numId w:val="31"/>
        </w:numPr>
        <w:tabs>
          <w:tab w:val="clear" w:pos="420"/>
        </w:tabs>
        <w:spacing w:line="240" w:lineRule="auto"/>
        <w:ind w:left="840" w:hanging="8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及时完成</w:t>
      </w: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人交办的各项零星维修任务，零修合格率100%，随叫随到。</w:t>
      </w:r>
    </w:p>
    <w:p w14:paraId="4D60094D">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维修过程中的相关维修工具及材料</w:t>
      </w:r>
      <w:r>
        <w:rPr>
          <w:rFonts w:hint="eastAsia" w:ascii="宋体" w:hAnsi="宋体" w:eastAsia="宋体" w:cs="宋体"/>
          <w:color w:val="auto"/>
          <w:sz w:val="21"/>
          <w:szCs w:val="21"/>
          <w:highlight w:val="none"/>
          <w:lang w:bidi="ar"/>
        </w:rPr>
        <w:t>由采购人提供，中标人按需领用，不得随意挪作他用。</w:t>
      </w:r>
    </w:p>
    <w:p w14:paraId="166A2F1F">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eastAsia="zh-CN" w:bidi="ar"/>
        </w:rPr>
        <w:t>采购</w:t>
      </w:r>
      <w:r>
        <w:rPr>
          <w:rFonts w:hint="eastAsia" w:ascii="宋体" w:hAnsi="宋体" w:eastAsia="宋体" w:cs="宋体"/>
          <w:color w:val="auto"/>
          <w:sz w:val="21"/>
          <w:szCs w:val="21"/>
          <w:highlight w:val="none"/>
          <w:lang w:bidi="ar"/>
        </w:rPr>
        <w:t>人委派的其他相关工作。</w:t>
      </w:r>
    </w:p>
    <w:p w14:paraId="1BE449CC">
      <w:pPr>
        <w:widowControl/>
        <w:numPr>
          <w:ilvl w:val="1"/>
          <w:numId w:val="31"/>
        </w:numPr>
        <w:tabs>
          <w:tab w:val="left" w:pos="640"/>
          <w:tab w:val="clear" w:pos="680"/>
        </w:tabs>
        <w:spacing w:line="240" w:lineRule="auto"/>
        <w:ind w:left="640" w:hanging="64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其他岗位人员</w:t>
      </w:r>
    </w:p>
    <w:p w14:paraId="3DC3EAA5">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根据岗位要求完成相关工作。</w:t>
      </w:r>
    </w:p>
    <w:p w14:paraId="24E2144A">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服务过程中需热情服务，不得无故迟到、早退、旷工，不得向服务对象及其他人员索要好处及回扣等。</w:t>
      </w:r>
    </w:p>
    <w:p w14:paraId="587C546B">
      <w:pPr>
        <w:widowControl/>
        <w:numPr>
          <w:ilvl w:val="2"/>
          <w:numId w:val="31"/>
        </w:numPr>
        <w:tabs>
          <w:tab w:val="left" w:pos="640"/>
          <w:tab w:val="clear" w:pos="1156"/>
        </w:tabs>
        <w:spacing w:line="240" w:lineRule="auto"/>
        <w:ind w:left="640" w:hanging="64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服务过程中发现问题及时向主管人员及采购人汇报。</w:t>
      </w:r>
    </w:p>
    <w:p w14:paraId="433D97E8">
      <w:pPr>
        <w:widowControl/>
        <w:numPr>
          <w:ilvl w:val="2"/>
          <w:numId w:val="31"/>
        </w:numPr>
        <w:tabs>
          <w:tab w:val="left" w:pos="640"/>
          <w:tab w:val="clear" w:pos="1156"/>
        </w:tabs>
        <w:snapToGrid/>
        <w:spacing w:line="240" w:lineRule="auto"/>
        <w:ind w:left="640" w:hanging="640"/>
        <w:jc w:val="left"/>
        <w:rPr>
          <w:rFonts w:hint="eastAsia" w:ascii="宋体" w:hAnsi="宋体" w:eastAsia="宋体" w:cs="宋体"/>
          <w:b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采购人委派的其他相关工作。</w:t>
      </w:r>
    </w:p>
    <w:p w14:paraId="31857F0C">
      <w:pPr>
        <w:widowControl/>
        <w:numPr>
          <w:ilvl w:val="1"/>
          <w:numId w:val="31"/>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各岗位其他相关要求详见合同条款各岗位考核标准。</w:t>
      </w:r>
    </w:p>
    <w:p w14:paraId="2E9FA414">
      <w:pPr>
        <w:widowControl/>
        <w:numPr>
          <w:ilvl w:val="0"/>
          <w:numId w:val="31"/>
        </w:numPr>
        <w:tabs>
          <w:tab w:val="left" w:pos="640"/>
          <w:tab w:val="clear" w:pos="680"/>
        </w:tabs>
        <w:snapToGrid/>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rPr>
        <w:t>报价及其它要求</w:t>
      </w:r>
    </w:p>
    <w:p w14:paraId="2219490B">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本项目投标报价为期限壹年的承包费用报价。投标报价是指供应商在正确地完全履行合同义务后采购人应支付给供应商所有的价款，包括但不限于所有服务所需的人工费（包括工人工资、奖金、房补、劳保福利、社保、工伤费、教育培训费、暂住费及处理一切伤亡事故等费用）、消防远程监控维保费用、服装摊销、除四害费用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同包含的所有风险、责任等各项全部费用并承担一切风险责任。投标供应商应根据上述因素自行考虑含入投标总价。</w:t>
      </w:r>
    </w:p>
    <w:p w14:paraId="12E6AE3F">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物业服务人员实行8小时工作制</w:t>
      </w:r>
      <w:r>
        <w:rPr>
          <w:rFonts w:hint="eastAsia" w:ascii="宋体" w:hAnsi="宋体" w:eastAsia="宋体" w:cs="宋体"/>
          <w:color w:val="auto"/>
          <w:sz w:val="21"/>
          <w:szCs w:val="21"/>
          <w:highlight w:val="none"/>
        </w:rPr>
        <w:t>，相关加班产生的费用由投标供应商在报价中自行考虑，综合报价。</w:t>
      </w:r>
    </w:p>
    <w:p w14:paraId="1471F072">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物业经理需按规定参加服务区的日常排班值守，相关费用在报价过程中自行考虑，综合报价。</w:t>
      </w:r>
    </w:p>
    <w:p w14:paraId="1558A4B9">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▲服务区临时增加人员加班费，</w:t>
      </w:r>
      <w:r>
        <w:rPr>
          <w:rFonts w:hint="eastAsia" w:ascii="宋体" w:hAnsi="宋体" w:eastAsia="宋体" w:cs="宋体"/>
          <w:bCs/>
          <w:color w:val="auto"/>
          <w:sz w:val="21"/>
          <w:szCs w:val="21"/>
          <w:highlight w:val="none"/>
          <w:u w:val="single"/>
        </w:rPr>
        <w:t>加班费标准</w:t>
      </w:r>
      <w:r>
        <w:rPr>
          <w:rFonts w:hint="eastAsia" w:ascii="宋体" w:hAnsi="宋体" w:eastAsia="宋体" w:cs="宋体"/>
          <w:bCs/>
          <w:color w:val="auto"/>
          <w:sz w:val="21"/>
          <w:szCs w:val="21"/>
          <w:highlight w:val="none"/>
          <w:u w:val="single"/>
          <w:lang w:val="en-US" w:eastAsia="zh-CN"/>
        </w:rPr>
        <w:t>每人按</w:t>
      </w:r>
      <w:r>
        <w:rPr>
          <w:rFonts w:hint="eastAsia" w:ascii="宋体" w:hAnsi="宋体" w:eastAsia="宋体" w:cs="宋体"/>
          <w:bCs/>
          <w:color w:val="auto"/>
          <w:sz w:val="21"/>
          <w:szCs w:val="21"/>
          <w:highlight w:val="none"/>
          <w:u w:val="single"/>
        </w:rPr>
        <w:t>1</w:t>
      </w:r>
      <w:r>
        <w:rPr>
          <w:rFonts w:hint="eastAsia" w:ascii="宋体" w:hAnsi="宋体" w:eastAsia="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0元/班</w:t>
      </w:r>
      <w:r>
        <w:rPr>
          <w:rFonts w:hint="eastAsia" w:ascii="宋体" w:hAnsi="宋体" w:eastAsia="宋体" w:cs="宋体"/>
          <w:bCs/>
          <w:color w:val="auto"/>
          <w:sz w:val="21"/>
          <w:szCs w:val="21"/>
          <w:highlight w:val="none"/>
          <w:u w:val="single"/>
          <w:lang w:val="en-US" w:eastAsia="zh-CN"/>
        </w:rPr>
        <w:t>计付</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服务区临时增加人员加班费</w:t>
      </w:r>
      <w:r>
        <w:rPr>
          <w:rFonts w:hint="eastAsia" w:ascii="宋体" w:hAnsi="宋体" w:eastAsia="宋体" w:cs="宋体"/>
          <w:color w:val="auto"/>
          <w:sz w:val="21"/>
          <w:szCs w:val="21"/>
          <w:highlight w:val="none"/>
          <w:u w:val="single"/>
          <w:lang w:val="en-US" w:eastAsia="zh-CN"/>
        </w:rPr>
        <w:t>总额限额为8</w:t>
      </w:r>
      <w:r>
        <w:rPr>
          <w:rFonts w:hint="eastAsia" w:ascii="宋体" w:hAnsi="宋体" w:eastAsia="宋体" w:cs="宋体"/>
          <w:color w:val="auto"/>
          <w:sz w:val="21"/>
          <w:szCs w:val="21"/>
          <w:highlight w:val="none"/>
          <w:u w:val="single"/>
        </w:rPr>
        <w:t>万元整，包含在报价总价中，本费用最终按实际增加人员按实结算。</w:t>
      </w:r>
    </w:p>
    <w:p w14:paraId="7261D36C">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维修单价金额</w:t>
      </w:r>
      <w:r>
        <w:rPr>
          <w:rFonts w:hint="eastAsia" w:ascii="宋体" w:hAnsi="宋体" w:eastAsia="宋体" w:cs="宋体"/>
          <w:color w:val="auto"/>
          <w:sz w:val="21"/>
          <w:szCs w:val="21"/>
          <w:highlight w:val="none"/>
          <w:u w:val="single"/>
        </w:rPr>
        <w:t>在50元以下维修费用总额控制在4万元/年内，在承包总价中列支。维修申请单需在事发时或当月由乙方提出申请，甲方负责人确认，超出时间期限的申请，一律不予确认计量。</w:t>
      </w:r>
    </w:p>
    <w:p w14:paraId="7BFF4194">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▲员工奖励金暂定每年</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万元整，包含在投标总价中，该费用用于服务区内优秀员工的奖励，奖励金额及奖励方式由采购人根据相关员工的日常表现确定，但供应商不得因此奖励金的发放而扣减原本供应商自身应发放给员工的相关奖励。该费用供应商需按月先行垫付，足额发放至对应员工，每季度根据实际发放情况与采购人按实结算。</w:t>
      </w:r>
    </w:p>
    <w:p w14:paraId="72153244">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▲中标人在服务期间的在岗员工人数不得少于采购文件规定的人数，并依法参加社保，社保缴纳基数按温州市区标准执行。</w:t>
      </w:r>
    </w:p>
    <w:p w14:paraId="15DF6EEA">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结合本项目具体情况，为保证项目人员服务水平，要求本次投标供应商员工基本工资最低不得低于2800元/月，每月（最低工资不包括下列四项收入：延长工作时间的工资；中班、夜班、高温、低温、有毒有害等特殊工作环境、条件下的津贴；贴补伙食、住房等支付给劳动者的非货币性收入；法律、法规和国家规定的劳动者福利待遇等）。</w:t>
      </w:r>
    </w:p>
    <w:p w14:paraId="06B59E16">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高温补贴：中标人需按国家规定发放相关岗位高温补贴。</w:t>
      </w:r>
    </w:p>
    <w:p w14:paraId="47C8459B">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节假日补贴：本项目为高速公路服务区，为全年无休状态，中标单位需按规定发放节假日补贴。</w:t>
      </w:r>
    </w:p>
    <w:p w14:paraId="65D392CF">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▲工作期间，相关服务人员需在指定餐厅搭伙就餐，伙食费按每人每月500元（只提供工作餐），包含在报价总价中。</w:t>
      </w:r>
    </w:p>
    <w:p w14:paraId="721D3EB2">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众责任险：中标人须投保公众责任险，承包期内相关人员在工作期间出现各种人身意外或财产损失的均由承包方负责解决处理及赔偿，采购人不再另行承担相关责任风险及赔偿责任。服务区公众责任险费用，由投标人根据各服务区面积及保险公司综合报价，自行投保，投保额度由投标人自行综合考虑，该笔费用包含在项目采购预算内，各投标供应商报价，投标总价内必须包含该笔费用。如出现因投保额度不足造成的理赔赔偿金不足的情况，由中标人自行承担。</w:t>
      </w:r>
    </w:p>
    <w:p w14:paraId="2AEDA3C0">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采购人提供的各种设备、设施、工具，中标人应安全、规范使用。除正常使用折旧外，中标人应保证各设备、设施、工具的完好性，如有非正常损坏或遗失，中标人应照价赔偿。</w:t>
      </w:r>
    </w:p>
    <w:p w14:paraId="3C05F567">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人员的服装费用由供应商自行负责配备，分类统一着装，但服装样式需经采购人核准。中标人配置在服务区内的工作人员需统一着装，着装按春秋两季（含上衣、裤子、帽子、鞋子）、夏季（含上衣、裤子、帽子、鞋子）、冬季（含上衣、裤子、帽子、鞋子、冬大衣），外务人员另配一件反光背心（样式需经采购人同意），分别按实际采购人所需人员数量，统一配齐。如发生衣物破损、丢失、中标单位应及时补齐。</w:t>
      </w:r>
    </w:p>
    <w:p w14:paraId="6FFDA898">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中标人根据本项目投入全职工作人员的实际情况，依法参加社保。因中标人未按相关法律、法规缴纳社保而引起的纠纷投诉，由中标人自行承担相关后果，采购人概不负责。</w:t>
      </w:r>
    </w:p>
    <w:p w14:paraId="33DC1DAE">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中标人拟派参与本项目的人数多于采购文件要求的人数时，须按拟派人员数量进行报价。</w:t>
      </w:r>
    </w:p>
    <w:p w14:paraId="4648D390">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投标人的报价应包括为完成本项目服务可能发生的全部费用及供应商的利润和应交纳的税金等,并对合同内容的费用、质量、安全、文明服务等实行全面承包。</w:t>
      </w:r>
    </w:p>
    <w:p w14:paraId="0A3A9F1B">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本次采购，在服务期内如因政策性因素调整导致相关人员的工资、社保、节假日、高温补贴出现变化的，该部分费用由中标人自行承担，采购人不予以调整该部分费用，各投标人在报价时须综合考虑风险。</w:t>
      </w:r>
    </w:p>
    <w:p w14:paraId="52DAA04B">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lang w:val="en-US" w:eastAsia="zh-CN"/>
        </w:rPr>
        <w:t>因承包方管理不善造成采购人损失的，由承包方承担相关损失（包括直接损失、间接损失、律师费、差旅费及其他一切合理支出等），并负责赔偿。</w:t>
      </w:r>
    </w:p>
    <w:p w14:paraId="1E630445">
      <w:pPr>
        <w:widowControl/>
        <w:numPr>
          <w:ilvl w:val="1"/>
          <w:numId w:val="31"/>
        </w:numPr>
        <w:tabs>
          <w:tab w:val="left" w:pos="640"/>
          <w:tab w:val="clear" w:pos="680"/>
        </w:tabs>
        <w:spacing w:line="240" w:lineRule="auto"/>
        <w:ind w:left="640" w:hanging="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特殊情况如需代班顶岗的，须经采购人确认后方可实施，否则不予以认可，顶岗人员费用只计取日常岗位工资和餐补，其他费用不予支付。</w:t>
      </w:r>
    </w:p>
    <w:p w14:paraId="5D7C9B4F">
      <w:pPr>
        <w:widowControl/>
        <w:numPr>
          <w:ilvl w:val="0"/>
          <w:numId w:val="31"/>
        </w:numPr>
        <w:tabs>
          <w:tab w:val="left" w:pos="640"/>
          <w:tab w:val="clear" w:pos="680"/>
        </w:tabs>
        <w:spacing w:line="240" w:lineRule="auto"/>
        <w:ind w:left="640" w:hanging="64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本项目服务期限： </w:t>
      </w:r>
    </w:p>
    <w:p w14:paraId="0E1586C4">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合同签订后1年，具体服务时间在合同签订时双方协商确定</w:t>
      </w:r>
      <w:r>
        <w:rPr>
          <w:rFonts w:hint="eastAsia" w:ascii="宋体" w:hAnsi="宋体" w:eastAsia="宋体" w:cs="宋体"/>
          <w:b/>
          <w:bCs/>
          <w:color w:val="auto"/>
          <w:sz w:val="21"/>
          <w:szCs w:val="21"/>
          <w:highlight w:val="none"/>
        </w:rPr>
        <w:t>。</w:t>
      </w:r>
    </w:p>
    <w:p w14:paraId="5C07C2DB">
      <w:pPr>
        <w:widowControl/>
        <w:numPr>
          <w:ilvl w:val="1"/>
          <w:numId w:val="31"/>
        </w:numPr>
        <w:tabs>
          <w:tab w:val="left" w:pos="640"/>
          <w:tab w:val="clear" w:pos="680"/>
        </w:tabs>
        <w:spacing w:line="240" w:lineRule="auto"/>
        <w:ind w:left="640" w:hanging="64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采用1+1模式，合同一年一签，每月进行考核，连续2月考核不通过或半年内有2次考核不合格将终止合同；年终进行综合考核，考核不合格将终止合同。</w:t>
      </w:r>
    </w:p>
    <w:p w14:paraId="73289D32">
      <w:pPr>
        <w:widowControl/>
        <w:numPr>
          <w:ilvl w:val="1"/>
          <w:numId w:val="31"/>
        </w:numPr>
        <w:tabs>
          <w:tab w:val="left" w:pos="640"/>
          <w:tab w:val="clear" w:pos="680"/>
        </w:tabs>
        <w:snapToGrid/>
        <w:spacing w:line="240" w:lineRule="auto"/>
        <w:ind w:left="640" w:hanging="640" w:firstLineChars="0"/>
        <w:jc w:val="left"/>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合同执行约束见文件附件：</w:t>
      </w:r>
      <w:r>
        <w:rPr>
          <w:rFonts w:hint="eastAsia" w:ascii="宋体" w:hAnsi="宋体" w:eastAsia="宋体" w:cs="宋体"/>
          <w:b/>
          <w:bCs/>
          <w:color w:val="auto"/>
          <w:sz w:val="21"/>
          <w:szCs w:val="21"/>
          <w:highlight w:val="none"/>
          <w:u w:val="none"/>
          <w:lang w:eastAsia="zh-CN"/>
        </w:rPr>
        <w:t>服务区</w:t>
      </w:r>
      <w:r>
        <w:rPr>
          <w:rFonts w:hint="eastAsia" w:ascii="宋体" w:hAnsi="宋体" w:eastAsia="宋体" w:cs="宋体"/>
          <w:b/>
          <w:bCs/>
          <w:color w:val="auto"/>
          <w:sz w:val="21"/>
          <w:szCs w:val="21"/>
          <w:highlight w:val="none"/>
          <w:u w:val="none"/>
        </w:rPr>
        <w:t>物业管理考核办法，见考核评分细则，评分细则采购人有权根据实际服务内容、情况进行调整。</w:t>
      </w:r>
    </w:p>
    <w:p w14:paraId="1738EDBA">
      <w:pPr>
        <w:widowControl/>
        <w:numPr>
          <w:ilvl w:val="0"/>
          <w:numId w:val="31"/>
        </w:numPr>
        <w:tabs>
          <w:tab w:val="left" w:pos="640"/>
          <w:tab w:val="clear" w:pos="680"/>
        </w:tabs>
        <w:spacing w:line="240" w:lineRule="auto"/>
        <w:ind w:left="640" w:hanging="640"/>
        <w:jc w:val="left"/>
        <w:rPr>
          <w:rFonts w:hint="eastAsia" w:ascii="宋体" w:hAnsi="宋体" w:eastAsia="宋体" w:cs="宋体"/>
          <w:b/>
          <w:bCs/>
          <w:snapToGrid/>
          <w:color w:val="auto"/>
          <w:kern w:val="2"/>
          <w:sz w:val="21"/>
          <w:szCs w:val="21"/>
          <w:highlight w:val="none"/>
          <w:u w:val="none"/>
        </w:rPr>
      </w:pPr>
      <w:r>
        <w:rPr>
          <w:rFonts w:hint="eastAsia" w:ascii="宋体" w:hAnsi="宋体" w:eastAsia="宋体" w:cs="宋体"/>
          <w:b/>
          <w:bCs/>
          <w:color w:val="auto"/>
          <w:sz w:val="21"/>
          <w:szCs w:val="21"/>
          <w:highlight w:val="none"/>
          <w:u w:val="none"/>
        </w:rPr>
        <w:t>支付方式</w:t>
      </w:r>
    </w:p>
    <w:p w14:paraId="1D2F1428">
      <w:pPr>
        <w:widowControl/>
        <w:numPr>
          <w:ilvl w:val="1"/>
          <w:numId w:val="31"/>
        </w:numPr>
        <w:tabs>
          <w:tab w:val="left" w:pos="640"/>
          <w:tab w:val="clear" w:pos="680"/>
        </w:tabs>
        <w:snapToGrid/>
        <w:spacing w:line="240" w:lineRule="auto"/>
        <w:ind w:left="640" w:hanging="640" w:firstLineChars="0"/>
        <w:jc w:val="left"/>
        <w:rPr>
          <w:rFonts w:hint="eastAsia" w:ascii="宋体" w:hAnsi="宋体" w:eastAsia="宋体" w:cs="宋体"/>
          <w:b/>
          <w:bCs/>
          <w:color w:val="auto"/>
          <w:sz w:val="21"/>
          <w:szCs w:val="21"/>
          <w:highlight w:val="none"/>
          <w:u w:val="single"/>
        </w:rPr>
      </w:pPr>
      <w:bookmarkStart w:id="221" w:name="OLE_LINK32"/>
      <w:bookmarkStart w:id="222" w:name="OLE_LINK31"/>
      <w:r>
        <w:rPr>
          <w:rFonts w:hint="eastAsia" w:ascii="宋体" w:hAnsi="宋体" w:eastAsia="宋体" w:cs="宋体"/>
          <w:b/>
          <w:bCs/>
          <w:color w:val="auto"/>
          <w:sz w:val="21"/>
          <w:szCs w:val="21"/>
          <w:highlight w:val="none"/>
          <w:u w:val="single"/>
        </w:rPr>
        <w:t>▲中标人在收到中标通知书后，签订合同前须向采购人提交</w:t>
      </w:r>
      <w:r>
        <w:rPr>
          <w:rFonts w:hint="eastAsia" w:ascii="宋体" w:hAnsi="宋体" w:eastAsia="宋体" w:cs="宋体"/>
          <w:b/>
          <w:bCs/>
          <w:color w:val="auto"/>
          <w:kern w:val="0"/>
          <w:sz w:val="21"/>
          <w:szCs w:val="21"/>
          <w:highlight w:val="none"/>
          <w:u w:val="single"/>
        </w:rPr>
        <w:t>合同价的5%作为</w:t>
      </w:r>
      <w:r>
        <w:rPr>
          <w:rFonts w:hint="eastAsia" w:ascii="宋体" w:hAnsi="宋体" w:eastAsia="宋体" w:cs="宋体"/>
          <w:b/>
          <w:bCs/>
          <w:color w:val="auto"/>
          <w:sz w:val="21"/>
          <w:szCs w:val="21"/>
          <w:highlight w:val="none"/>
          <w:u w:val="single"/>
        </w:rPr>
        <w:t>履约保证金（须汇入采购人指定银行账户。户名：温州市高速公路资产经营有限公司；开户行：中国建设银行温州大自然支行；账号：33050162876800000039）。</w:t>
      </w:r>
    </w:p>
    <w:p w14:paraId="1421DD70">
      <w:pPr>
        <w:widowControl/>
        <w:numPr>
          <w:ilvl w:val="1"/>
          <w:numId w:val="31"/>
        </w:numPr>
        <w:tabs>
          <w:tab w:val="left" w:pos="640"/>
          <w:tab w:val="clear" w:pos="680"/>
        </w:tabs>
        <w:snapToGrid/>
        <w:spacing w:line="240" w:lineRule="auto"/>
        <w:ind w:left="640" w:hanging="640" w:firstLineChars="0"/>
        <w:jc w:val="left"/>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▲服务期结束，且所有合同义务都已履行完毕后7天内，无息退还履约保证金。</w:t>
      </w:r>
    </w:p>
    <w:p w14:paraId="7B12ACF8">
      <w:pPr>
        <w:widowControl/>
        <w:numPr>
          <w:ilvl w:val="0"/>
          <w:numId w:val="31"/>
        </w:numPr>
        <w:tabs>
          <w:tab w:val="left" w:pos="640"/>
          <w:tab w:val="clear" w:pos="680"/>
        </w:tabs>
        <w:spacing w:line="240" w:lineRule="auto"/>
        <w:ind w:left="640" w:hanging="640"/>
        <w:jc w:val="left"/>
        <w:rPr>
          <w:rFonts w:hint="eastAsia" w:ascii="宋体" w:hAnsi="宋体" w:eastAsia="宋体" w:cs="宋体"/>
          <w:b/>
          <w:bCs/>
          <w:highlight w:val="none"/>
        </w:rPr>
      </w:pPr>
      <w:r>
        <w:rPr>
          <w:rFonts w:hint="eastAsia" w:ascii="宋体" w:hAnsi="宋体" w:eastAsia="宋体" w:cs="宋体"/>
          <w:b/>
          <w:bCs/>
          <w:highlight w:val="none"/>
          <w:lang w:val="en-US" w:eastAsia="zh-CN"/>
        </w:rPr>
        <w:t>其他：详见合同条款</w:t>
      </w:r>
    </w:p>
    <w:bookmarkEnd w:id="204"/>
    <w:bookmarkEnd w:id="205"/>
    <w:bookmarkEnd w:id="221"/>
    <w:bookmarkEnd w:id="222"/>
    <w:p w14:paraId="3E32AB91">
      <w:pPr>
        <w:keepLines w:val="0"/>
        <w:spacing w:before="0" w:after="0"/>
        <w:jc w:val="center"/>
        <w:outlineLvl w:val="9"/>
        <w:rPr>
          <w:rFonts w:hint="eastAsia" w:ascii="宋体" w:hAnsi="宋体" w:eastAsia="宋体" w:cs="宋体"/>
          <w:b/>
          <w:bCs/>
          <w:sz w:val="30"/>
          <w:szCs w:val="30"/>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sz w:val="30"/>
          <w:szCs w:val="30"/>
          <w:highlight w:val="none"/>
        </w:rPr>
        <w:t>“瓯江红·畅美高速”党群服务中心物业服务</w:t>
      </w:r>
    </w:p>
    <w:p w14:paraId="71C6001D">
      <w:pPr>
        <w:keepLines w:val="0"/>
        <w:spacing w:before="0" w:after="0"/>
        <w:jc w:val="center"/>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采购内容及要求</w:t>
      </w:r>
    </w:p>
    <w:p w14:paraId="3BE5F633">
      <w:pPr>
        <w:rPr>
          <w:rFonts w:hint="eastAsia"/>
        </w:rPr>
      </w:pPr>
    </w:p>
    <w:p w14:paraId="0AAA8301">
      <w:pPr>
        <w:numPr>
          <w:ilvl w:val="3"/>
          <w:numId w:val="33"/>
        </w:numPr>
        <w:snapToGrid w:val="0"/>
        <w:spacing w:line="240" w:lineRule="auto"/>
        <w:ind w:left="122" w:hanging="122" w:hangingChars="58"/>
        <w:rPr>
          <w:rFonts w:hint="eastAsia" w:ascii="宋体" w:hAnsi="宋体" w:eastAsia="宋体" w:cs="宋体"/>
          <w:b/>
          <w:bCs/>
          <w:szCs w:val="21"/>
        </w:rPr>
      </w:pPr>
      <w:r>
        <w:rPr>
          <w:rFonts w:hint="eastAsia" w:ascii="宋体" w:hAnsi="宋体" w:eastAsia="宋体" w:cs="宋体"/>
          <w:b/>
          <w:bCs/>
          <w:szCs w:val="21"/>
        </w:rPr>
        <w:t>概述：</w:t>
      </w:r>
    </w:p>
    <w:p w14:paraId="52378517">
      <w:pPr>
        <w:numPr>
          <w:ilvl w:val="0"/>
          <w:numId w:val="34"/>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采购内容及要求是采购文件的一部分，包括所有条款的具体说明及技术</w:t>
      </w:r>
      <w:r>
        <w:rPr>
          <w:rFonts w:hint="eastAsia" w:ascii="宋体" w:hAnsi="宋体" w:eastAsia="宋体" w:cs="宋体"/>
          <w:bCs/>
          <w:szCs w:val="21"/>
          <w:lang w:val="en-US" w:eastAsia="zh-CN"/>
        </w:rPr>
        <w:t>服务</w:t>
      </w:r>
      <w:r>
        <w:rPr>
          <w:rFonts w:hint="eastAsia" w:ascii="宋体" w:hAnsi="宋体" w:eastAsia="宋体" w:cs="宋体"/>
          <w:bCs/>
          <w:szCs w:val="21"/>
        </w:rPr>
        <w:t>要求，</w:t>
      </w:r>
      <w:r>
        <w:rPr>
          <w:rFonts w:hint="eastAsia" w:ascii="宋体" w:hAnsi="宋体" w:eastAsia="宋体" w:cs="宋体"/>
          <w:bCs/>
          <w:szCs w:val="21"/>
          <w:lang w:val="en-US" w:eastAsia="zh-CN"/>
        </w:rPr>
        <w:t>投标</w:t>
      </w:r>
      <w:r>
        <w:rPr>
          <w:rFonts w:hint="eastAsia" w:ascii="宋体" w:hAnsi="宋体" w:eastAsia="宋体" w:cs="宋体"/>
          <w:szCs w:val="21"/>
        </w:rPr>
        <w:t>供应商</w:t>
      </w:r>
      <w:r>
        <w:rPr>
          <w:rFonts w:hint="eastAsia" w:ascii="宋体" w:hAnsi="宋体" w:eastAsia="宋体" w:cs="宋体"/>
          <w:bCs/>
          <w:szCs w:val="21"/>
        </w:rPr>
        <w:t>需在各自技术和商务占优势的基础上对本次采购的所有内容进行</w:t>
      </w:r>
      <w:r>
        <w:rPr>
          <w:rFonts w:hint="eastAsia" w:ascii="宋体" w:hAnsi="宋体" w:eastAsia="宋体" w:cs="宋体"/>
          <w:bCs/>
          <w:szCs w:val="21"/>
          <w:lang w:val="en-US" w:eastAsia="zh-CN"/>
        </w:rPr>
        <w:t>投标</w:t>
      </w:r>
      <w:r>
        <w:rPr>
          <w:rFonts w:hint="eastAsia" w:ascii="宋体" w:hAnsi="宋体" w:eastAsia="宋体" w:cs="宋体"/>
          <w:bCs/>
          <w:szCs w:val="21"/>
        </w:rPr>
        <w:t>。</w:t>
      </w:r>
    </w:p>
    <w:p w14:paraId="71F9F3BA">
      <w:pPr>
        <w:numPr>
          <w:ilvl w:val="0"/>
          <w:numId w:val="34"/>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每个</w:t>
      </w:r>
      <w:r>
        <w:rPr>
          <w:rFonts w:hint="eastAsia" w:ascii="宋体" w:hAnsi="宋体" w:eastAsia="宋体" w:cs="宋体"/>
          <w:bCs/>
          <w:szCs w:val="21"/>
          <w:lang w:val="en-US" w:eastAsia="zh-CN"/>
        </w:rPr>
        <w:t>投标</w:t>
      </w:r>
      <w:r>
        <w:rPr>
          <w:rFonts w:hint="eastAsia" w:ascii="宋体" w:hAnsi="宋体" w:eastAsia="宋体" w:cs="宋体"/>
          <w:szCs w:val="21"/>
        </w:rPr>
        <w:t>供应商</w:t>
      </w:r>
      <w:r>
        <w:rPr>
          <w:rFonts w:hint="eastAsia" w:ascii="宋体" w:hAnsi="宋体" w:eastAsia="宋体" w:cs="宋体"/>
          <w:bCs/>
          <w:szCs w:val="21"/>
        </w:rPr>
        <w:t>必须完成采购内容和合同（基本要求、服务流程和服务）规定义务，不允许只对部分内容进行</w:t>
      </w:r>
      <w:r>
        <w:rPr>
          <w:rFonts w:hint="eastAsia" w:ascii="宋体" w:hAnsi="宋体" w:eastAsia="宋体" w:cs="宋体"/>
          <w:bCs/>
          <w:szCs w:val="21"/>
          <w:lang w:eastAsia="zh-CN"/>
        </w:rPr>
        <w:t>投标</w:t>
      </w:r>
      <w:r>
        <w:rPr>
          <w:rFonts w:hint="eastAsia" w:ascii="宋体" w:hAnsi="宋体" w:eastAsia="宋体" w:cs="宋体"/>
          <w:bCs/>
          <w:szCs w:val="21"/>
        </w:rPr>
        <w:t>。</w:t>
      </w:r>
    </w:p>
    <w:p w14:paraId="065DE9CB">
      <w:pPr>
        <w:numPr>
          <w:ilvl w:val="0"/>
          <w:numId w:val="34"/>
        </w:numPr>
        <w:snapToGrid w:val="0"/>
        <w:spacing w:line="240" w:lineRule="auto"/>
        <w:ind w:left="420" w:leftChars="200"/>
        <w:jc w:val="both"/>
        <w:rPr>
          <w:rFonts w:hint="eastAsia" w:ascii="宋体" w:hAnsi="宋体" w:eastAsia="宋体" w:cs="宋体"/>
          <w:b/>
          <w:bCs/>
          <w:szCs w:val="21"/>
          <w:u w:val="single"/>
        </w:rPr>
      </w:pPr>
      <w:r>
        <w:rPr>
          <w:rFonts w:hint="eastAsia" w:ascii="宋体" w:hAnsi="宋体" w:eastAsia="宋体" w:cs="宋体"/>
          <w:b/>
          <w:bCs/>
          <w:szCs w:val="21"/>
        </w:rPr>
        <w:t>本次采购设一个标段，</w:t>
      </w:r>
      <w:r>
        <w:rPr>
          <w:rFonts w:hint="eastAsia" w:ascii="宋体" w:hAnsi="宋体" w:eastAsia="宋体" w:cs="宋体"/>
          <w:b/>
          <w:szCs w:val="21"/>
          <w:lang w:eastAsia="zh-CN"/>
        </w:rPr>
        <w:t>投标供应商</w:t>
      </w:r>
      <w:r>
        <w:rPr>
          <w:rFonts w:hint="eastAsia" w:ascii="宋体" w:hAnsi="宋体" w:eastAsia="宋体" w:cs="宋体"/>
          <w:b/>
          <w:bCs/>
          <w:szCs w:val="21"/>
        </w:rPr>
        <w:t>必须对采购的全部内容进行</w:t>
      </w:r>
      <w:r>
        <w:rPr>
          <w:rFonts w:hint="eastAsia" w:ascii="宋体" w:hAnsi="宋体" w:eastAsia="宋体" w:cs="宋体"/>
          <w:b/>
          <w:bCs/>
          <w:szCs w:val="21"/>
          <w:lang w:eastAsia="zh-CN"/>
        </w:rPr>
        <w:t>投标</w:t>
      </w:r>
      <w:r>
        <w:rPr>
          <w:rFonts w:hint="eastAsia" w:ascii="宋体" w:hAnsi="宋体" w:eastAsia="宋体" w:cs="宋体"/>
          <w:b/>
          <w:bCs/>
          <w:szCs w:val="21"/>
        </w:rPr>
        <w:t>，不允许对标段内的部分内容</w:t>
      </w:r>
      <w:r>
        <w:rPr>
          <w:rFonts w:hint="eastAsia" w:ascii="宋体" w:hAnsi="宋体" w:eastAsia="宋体" w:cs="宋体"/>
          <w:b/>
          <w:bCs/>
          <w:szCs w:val="21"/>
          <w:lang w:eastAsia="zh-CN"/>
        </w:rPr>
        <w:t>投标</w:t>
      </w:r>
      <w:r>
        <w:rPr>
          <w:rFonts w:hint="eastAsia" w:ascii="宋体" w:hAnsi="宋体" w:eastAsia="宋体" w:cs="宋体"/>
          <w:b/>
          <w:bCs/>
          <w:szCs w:val="21"/>
        </w:rPr>
        <w:t>，否则按无效</w:t>
      </w:r>
      <w:r>
        <w:rPr>
          <w:rFonts w:hint="eastAsia" w:ascii="宋体" w:hAnsi="宋体" w:eastAsia="宋体" w:cs="宋体"/>
          <w:b/>
          <w:bCs/>
          <w:szCs w:val="21"/>
          <w:lang w:eastAsia="zh-CN"/>
        </w:rPr>
        <w:t>投标</w:t>
      </w:r>
      <w:r>
        <w:rPr>
          <w:rFonts w:hint="eastAsia" w:ascii="宋体" w:hAnsi="宋体" w:eastAsia="宋体" w:cs="宋体"/>
          <w:b/>
          <w:bCs/>
          <w:szCs w:val="21"/>
        </w:rPr>
        <w:t>处理。</w:t>
      </w:r>
    </w:p>
    <w:p w14:paraId="7F7F1A97">
      <w:pPr>
        <w:numPr>
          <w:ilvl w:val="0"/>
          <w:numId w:val="34"/>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本次采购的产品（服务）所涉及的产品标准、规范、验收标准、规范，应符合国家有关条例及规范。如有新的标准应采纳新标准。</w:t>
      </w:r>
    </w:p>
    <w:p w14:paraId="68988913">
      <w:pPr>
        <w:numPr>
          <w:ilvl w:val="0"/>
          <w:numId w:val="34"/>
        </w:numPr>
        <w:snapToGrid w:val="0"/>
        <w:spacing w:line="240" w:lineRule="auto"/>
        <w:ind w:left="420" w:leftChars="200"/>
        <w:jc w:val="both"/>
        <w:rPr>
          <w:rFonts w:hint="eastAsia" w:ascii="宋体" w:hAnsi="宋体" w:eastAsia="宋体" w:cs="宋体"/>
          <w:b/>
          <w:bCs/>
          <w:szCs w:val="21"/>
          <w:u w:val="single"/>
        </w:rPr>
      </w:pPr>
      <w:r>
        <w:rPr>
          <w:rFonts w:hint="eastAsia" w:ascii="宋体" w:hAnsi="宋体" w:eastAsia="宋体" w:cs="宋体"/>
          <w:b/>
          <w:bCs/>
          <w:szCs w:val="21"/>
          <w:u w:val="single"/>
        </w:rPr>
        <w:t>本次采购设有最高限价，如果供应商的报价超出采购最高限价，作废标处理，如所</w:t>
      </w:r>
      <w:r>
        <w:rPr>
          <w:rFonts w:hint="eastAsia" w:ascii="宋体" w:hAnsi="宋体" w:eastAsia="宋体" w:cs="宋体"/>
          <w:b/>
          <w:bCs/>
          <w:szCs w:val="21"/>
          <w:u w:val="single"/>
          <w:lang w:val="en-US" w:eastAsia="zh-CN"/>
        </w:rPr>
        <w:t>有</w:t>
      </w:r>
      <w:r>
        <w:rPr>
          <w:rFonts w:hint="eastAsia" w:ascii="宋体" w:hAnsi="宋体" w:eastAsia="宋体" w:cs="宋体"/>
          <w:b/>
          <w:bCs/>
          <w:szCs w:val="21"/>
          <w:u w:val="single"/>
        </w:rPr>
        <w:t>投标供应商均超过最高限价的，采购人确认不能支付的，本次采购做废标处理。</w:t>
      </w:r>
    </w:p>
    <w:p w14:paraId="4AF48F86">
      <w:pPr>
        <w:numPr>
          <w:ilvl w:val="0"/>
          <w:numId w:val="34"/>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szCs w:val="21"/>
          <w:lang w:eastAsia="zh-CN"/>
        </w:rPr>
        <w:t>投标供应商</w:t>
      </w:r>
      <w:r>
        <w:rPr>
          <w:rFonts w:hint="eastAsia" w:ascii="宋体" w:hAnsi="宋体" w:eastAsia="宋体" w:cs="宋体"/>
          <w:bCs/>
          <w:szCs w:val="21"/>
        </w:rPr>
        <w:t>需按招标文件的要求完成所有工作。按要求提交所需的无论其是否被明细列在合同文件中的所有资料，提供的产品（服务）必须满足招标文件中提出的相关技术</w:t>
      </w:r>
      <w:r>
        <w:rPr>
          <w:rFonts w:hint="eastAsia" w:ascii="宋体" w:hAnsi="宋体" w:eastAsia="宋体" w:cs="宋体"/>
          <w:bCs/>
          <w:szCs w:val="21"/>
          <w:lang w:val="en-US" w:eastAsia="zh-CN"/>
        </w:rPr>
        <w:t>服务</w:t>
      </w:r>
      <w:r>
        <w:rPr>
          <w:rFonts w:hint="eastAsia" w:ascii="宋体" w:hAnsi="宋体" w:eastAsia="宋体" w:cs="宋体"/>
          <w:bCs/>
          <w:szCs w:val="21"/>
        </w:rPr>
        <w:t>要求。</w:t>
      </w:r>
    </w:p>
    <w:p w14:paraId="0ED7A4F6">
      <w:pPr>
        <w:numPr>
          <w:ilvl w:val="0"/>
          <w:numId w:val="34"/>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szCs w:val="21"/>
          <w:lang w:eastAsia="zh-CN"/>
        </w:rPr>
        <w:t>投标供应商</w:t>
      </w:r>
      <w:r>
        <w:rPr>
          <w:rFonts w:hint="eastAsia" w:ascii="宋体" w:hAnsi="宋体" w:eastAsia="宋体" w:cs="宋体"/>
          <w:bCs/>
          <w:szCs w:val="21"/>
        </w:rPr>
        <w:t>提供的成果应是无任何质量缺陷、技术成熟，符合国家现行规范/标准要求。</w:t>
      </w:r>
    </w:p>
    <w:p w14:paraId="32793065">
      <w:pPr>
        <w:numPr>
          <w:ilvl w:val="0"/>
          <w:numId w:val="34"/>
        </w:numPr>
        <w:snapToGrid w:val="0"/>
        <w:spacing w:line="240" w:lineRule="auto"/>
        <w:ind w:left="420" w:leftChars="200"/>
        <w:jc w:val="both"/>
        <w:rPr>
          <w:rFonts w:hint="eastAsia" w:ascii="宋体" w:hAnsi="宋体" w:eastAsia="宋体" w:cs="宋体"/>
          <w:bCs/>
          <w:szCs w:val="21"/>
        </w:rPr>
      </w:pPr>
      <w:r>
        <w:rPr>
          <w:rFonts w:hint="eastAsia" w:ascii="宋体" w:hAnsi="宋体" w:eastAsia="宋体" w:cs="宋体"/>
          <w:bCs/>
          <w:szCs w:val="21"/>
        </w:rPr>
        <w:t>供应商应根据项目说明、采购内容及技术要求相关规范、规定，结合项目特征分析，以及现场踏勘等情况，自行编制工作方案。</w:t>
      </w:r>
    </w:p>
    <w:p w14:paraId="31A3C743">
      <w:pPr>
        <w:numPr>
          <w:ilvl w:val="0"/>
          <w:numId w:val="35"/>
        </w:numPr>
        <w:snapToGrid w:val="0"/>
        <w:spacing w:line="240" w:lineRule="auto"/>
        <w:rPr>
          <w:rFonts w:hint="eastAsia" w:ascii="宋体" w:hAnsi="宋体" w:eastAsia="宋体" w:cs="宋体"/>
          <w:b/>
          <w:bCs/>
          <w:szCs w:val="21"/>
        </w:rPr>
      </w:pPr>
      <w:r>
        <w:rPr>
          <w:rFonts w:hint="eastAsia" w:ascii="宋体" w:hAnsi="宋体" w:eastAsia="宋体" w:cs="宋体"/>
          <w:b/>
          <w:bCs/>
          <w:szCs w:val="21"/>
        </w:rPr>
        <w:t>采购内容及技术要求：</w:t>
      </w:r>
    </w:p>
    <w:p w14:paraId="44330F1C">
      <w:pPr>
        <w:spacing w:line="24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1、项目背景：</w:t>
      </w:r>
    </w:p>
    <w:p w14:paraId="0E587498">
      <w:pPr>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eastAsia="zh-CN"/>
        </w:rPr>
        <w:t>温州绕城高速陶山服务区党群服务中心</w:t>
      </w:r>
      <w:r>
        <w:rPr>
          <w:rFonts w:hint="eastAsia" w:ascii="宋体" w:hAnsi="宋体" w:eastAsia="宋体" w:cs="宋体"/>
          <w:color w:val="000000"/>
          <w:szCs w:val="21"/>
        </w:rPr>
        <w:t>因工作需要，需</w:t>
      </w:r>
      <w:r>
        <w:rPr>
          <w:rFonts w:hint="eastAsia" w:ascii="宋体" w:hAnsi="宋体" w:eastAsia="宋体" w:cs="宋体"/>
          <w:color w:val="000000"/>
          <w:szCs w:val="21"/>
          <w:lang w:val="en-US" w:eastAsia="zh-CN"/>
        </w:rPr>
        <w:t>配备服务</w:t>
      </w:r>
      <w:r>
        <w:rPr>
          <w:rFonts w:hint="eastAsia" w:ascii="宋体" w:hAnsi="宋体" w:eastAsia="宋体" w:cs="宋体"/>
          <w:color w:val="000000"/>
          <w:szCs w:val="21"/>
        </w:rPr>
        <w:t>人员</w:t>
      </w:r>
      <w:r>
        <w:rPr>
          <w:rFonts w:hint="eastAsia" w:ascii="宋体" w:hAnsi="宋体" w:eastAsia="宋体" w:cs="宋体"/>
          <w:color w:val="000000"/>
          <w:szCs w:val="21"/>
          <w:lang w:val="en-US" w:eastAsia="zh-CN"/>
        </w:rPr>
        <w:t>2人</w:t>
      </w:r>
      <w:r>
        <w:rPr>
          <w:rFonts w:hint="eastAsia" w:ascii="宋体" w:hAnsi="宋体" w:eastAsia="宋体" w:cs="宋体"/>
          <w:color w:val="000000"/>
          <w:szCs w:val="21"/>
        </w:rPr>
        <w:t>。</w:t>
      </w:r>
    </w:p>
    <w:p w14:paraId="3F1BD393">
      <w:pPr>
        <w:spacing w:line="24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2、服务期：</w:t>
      </w:r>
      <w:r>
        <w:rPr>
          <w:rFonts w:hint="eastAsia" w:ascii="宋体" w:hAnsi="宋体" w:eastAsia="宋体" w:cs="宋体"/>
          <w:b/>
          <w:szCs w:val="21"/>
          <w:highlight w:val="none"/>
          <w:lang w:val="en-US" w:eastAsia="zh-CN"/>
        </w:rPr>
        <w:t>1年</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如承包期内，若成交供应商有违约行为，采购人有权单方面解除合同</w:t>
      </w:r>
      <w:r>
        <w:rPr>
          <w:rFonts w:hint="eastAsia" w:ascii="宋体" w:hAnsi="宋体" w:eastAsia="宋体" w:cs="宋体"/>
          <w:szCs w:val="21"/>
          <w:highlight w:val="none"/>
        </w:rPr>
        <w:t>。</w:t>
      </w:r>
    </w:p>
    <w:p w14:paraId="44C5974A">
      <w:pPr>
        <w:spacing w:line="24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3、人员要求：</w:t>
      </w:r>
    </w:p>
    <w:p w14:paraId="51A4F659">
      <w:pPr>
        <w:spacing w:line="240" w:lineRule="auto"/>
        <w:ind w:firstLine="42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3.1、中标供应商向采购人配备的人员均</w:t>
      </w:r>
      <w:r>
        <w:rPr>
          <w:rFonts w:hint="eastAsia" w:ascii="宋体" w:hAnsi="宋体" w:eastAsia="宋体" w:cs="宋体"/>
          <w:color w:val="000000"/>
          <w:szCs w:val="21"/>
          <w:highlight w:val="none"/>
          <w:lang w:val="en-US" w:eastAsia="zh-CN"/>
        </w:rPr>
        <w:t>需经</w:t>
      </w:r>
      <w:r>
        <w:rPr>
          <w:rFonts w:hint="eastAsia" w:ascii="宋体" w:hAnsi="宋体" w:eastAsia="宋体" w:cs="宋体"/>
          <w:color w:val="000000"/>
          <w:szCs w:val="21"/>
          <w:highlight w:val="none"/>
        </w:rPr>
        <w:t>采购人</w:t>
      </w:r>
      <w:r>
        <w:rPr>
          <w:rFonts w:hint="eastAsia" w:ascii="宋体" w:hAnsi="宋体" w:eastAsia="宋体" w:cs="宋体"/>
          <w:color w:val="000000"/>
          <w:szCs w:val="21"/>
          <w:highlight w:val="none"/>
          <w:lang w:val="en-US" w:eastAsia="zh-CN"/>
        </w:rPr>
        <w:t>审核后</w:t>
      </w:r>
      <w:r>
        <w:rPr>
          <w:rFonts w:hint="eastAsia" w:ascii="宋体" w:hAnsi="宋体" w:eastAsia="宋体" w:cs="宋体"/>
          <w:color w:val="000000"/>
          <w:szCs w:val="21"/>
          <w:highlight w:val="none"/>
        </w:rPr>
        <w:t>确定，共计</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人</w:t>
      </w:r>
      <w:r>
        <w:rPr>
          <w:rFonts w:hint="eastAsia" w:ascii="宋体" w:hAnsi="宋体" w:eastAsia="宋体" w:cs="宋体"/>
          <w:color w:val="000000"/>
          <w:szCs w:val="21"/>
          <w:highlight w:val="none"/>
          <w:lang w:eastAsia="zh-CN"/>
        </w:rPr>
        <w:t>；</w:t>
      </w:r>
    </w:p>
    <w:p w14:paraId="20BD6103">
      <w:pPr>
        <w:numPr>
          <w:ilvl w:val="0"/>
          <w:numId w:val="36"/>
        </w:numPr>
        <w:spacing w:line="240" w:lineRule="auto"/>
        <w:ind w:left="20" w:leftChars="0" w:firstLine="400" w:firstLineChars="0"/>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党</w:t>
      </w:r>
      <w:r>
        <w:rPr>
          <w:rFonts w:hint="eastAsia" w:ascii="宋体" w:hAnsi="宋体" w:eastAsia="宋体" w:cs="宋体"/>
          <w:color w:val="000000"/>
          <w:szCs w:val="21"/>
          <w:lang w:eastAsia="zh-CN"/>
        </w:rPr>
        <w:t>群服务中心讲解</w:t>
      </w:r>
      <w:r>
        <w:rPr>
          <w:rFonts w:hint="eastAsia" w:ascii="宋体" w:hAnsi="宋体" w:eastAsia="宋体" w:cs="宋体"/>
          <w:color w:val="000000"/>
          <w:szCs w:val="21"/>
          <w:lang w:val="en-US" w:eastAsia="zh-CN"/>
        </w:rPr>
        <w:t>人员兼前台2人。</w:t>
      </w:r>
    </w:p>
    <w:p w14:paraId="70B275A1">
      <w:pPr>
        <w:numPr>
          <w:ilvl w:val="0"/>
          <w:numId w:val="36"/>
        </w:numPr>
        <w:spacing w:line="240" w:lineRule="auto"/>
        <w:ind w:left="20" w:leftChars="0" w:firstLine="400" w:firstLineChars="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人员要求五官端正，有较强的语言表达能力和文字能力，中专及以上学历。</w:t>
      </w:r>
    </w:p>
    <w:p w14:paraId="4145CFDE">
      <w:pPr>
        <w:numPr>
          <w:ilvl w:val="0"/>
          <w:numId w:val="36"/>
        </w:numPr>
        <w:spacing w:line="240" w:lineRule="auto"/>
        <w:ind w:left="20" w:leftChars="0" w:firstLine="40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周一至周日（</w:t>
      </w:r>
      <w:r>
        <w:rPr>
          <w:rFonts w:hint="eastAsia" w:ascii="宋体" w:hAnsi="宋体" w:eastAsia="宋体" w:cs="宋体"/>
          <w:color w:val="000000"/>
          <w:szCs w:val="21"/>
          <w:lang w:val="en-US" w:eastAsia="zh-CN"/>
        </w:rPr>
        <w:t>8：30-17：00，并根据季节变化适时进行调整）</w:t>
      </w:r>
      <w:r>
        <w:rPr>
          <w:rFonts w:hint="eastAsia" w:ascii="宋体" w:hAnsi="宋体" w:eastAsia="宋体" w:cs="宋体"/>
          <w:color w:val="000000"/>
          <w:szCs w:val="21"/>
          <w:lang w:eastAsia="zh-CN"/>
        </w:rPr>
        <w:t>都需要人员在岗服务</w:t>
      </w:r>
    </w:p>
    <w:p w14:paraId="3DC71FF5">
      <w:pPr>
        <w:numPr>
          <w:ilvl w:val="0"/>
          <w:numId w:val="36"/>
        </w:numPr>
        <w:spacing w:line="240" w:lineRule="auto"/>
        <w:ind w:left="20" w:leftChars="0" w:firstLine="400" w:firstLineChars="0"/>
        <w:rPr>
          <w:rFonts w:hint="eastAsia" w:ascii="宋体" w:hAnsi="宋体" w:eastAsia="宋体" w:cs="宋体"/>
          <w:color w:val="000000"/>
          <w:szCs w:val="21"/>
          <w:lang w:val="en-US" w:eastAsia="zh-CN"/>
        </w:rPr>
      </w:pPr>
      <w:r>
        <w:rPr>
          <w:rFonts w:hint="eastAsia" w:ascii="宋体" w:hAnsi="宋体" w:eastAsia="宋体" w:cs="宋体"/>
          <w:color w:val="000000"/>
          <w:szCs w:val="21"/>
          <w:lang w:eastAsia="zh-CN"/>
        </w:rPr>
        <w:t>工作地点：温州绕城高速陶山服务区。</w:t>
      </w:r>
    </w:p>
    <w:p w14:paraId="706B5994">
      <w:pPr>
        <w:spacing w:line="24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4、管理要求</w:t>
      </w:r>
    </w:p>
    <w:p w14:paraId="76295780">
      <w:pPr>
        <w:spacing w:line="240" w:lineRule="auto"/>
        <w:ind w:firstLine="420" w:firstLineChars="200"/>
        <w:rPr>
          <w:rFonts w:hint="eastAsia" w:ascii="宋体" w:hAnsi="宋体" w:eastAsia="宋体" w:cs="宋体"/>
          <w:szCs w:val="21"/>
        </w:rPr>
      </w:pPr>
      <w:bookmarkStart w:id="223" w:name="_Toc157410887"/>
      <w:r>
        <w:rPr>
          <w:rFonts w:hint="eastAsia" w:ascii="宋体" w:hAnsi="宋体" w:eastAsia="宋体" w:cs="宋体"/>
          <w:szCs w:val="21"/>
        </w:rPr>
        <w:t>4.1</w:t>
      </w:r>
      <w:r>
        <w:rPr>
          <w:rFonts w:hint="eastAsia" w:ascii="宋体" w:hAnsi="宋体" w:eastAsia="宋体" w:cs="宋体"/>
          <w:szCs w:val="21"/>
        </w:rPr>
        <w:tab/>
      </w:r>
      <w:r>
        <w:rPr>
          <w:rFonts w:hint="eastAsia" w:ascii="宋体" w:hAnsi="宋体" w:eastAsia="宋体" w:cs="宋体"/>
          <w:szCs w:val="21"/>
        </w:rPr>
        <w:t>由中标供应商负责与配备的员工签订劳动合同，确定劳动关系。</w:t>
      </w:r>
    </w:p>
    <w:p w14:paraId="350966C1">
      <w:pPr>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rPr>
        <w:tab/>
      </w:r>
      <w:r>
        <w:rPr>
          <w:rFonts w:hint="eastAsia" w:ascii="宋体" w:hAnsi="宋体" w:eastAsia="宋体" w:cs="宋体"/>
          <w:szCs w:val="21"/>
        </w:rPr>
        <w:t>每月由中标供应商负责配备员工的薪酬发放、奖金、劳保福利、社保、意外保险、工伤费、延长工作时间加班费、教育培训费、工作餐费、服装摊销费和法律法规规定的劳动福利待遇，企业应缴税金和应得利润，应急等完成合同所需的一切本身和不可或缺的所有工作开支、政策性文件规定计合同包含的所有风险、责任等各项全部费用并承担一切风险责任</w:t>
      </w:r>
      <w:r>
        <w:rPr>
          <w:rFonts w:hint="eastAsia" w:ascii="宋体" w:hAnsi="宋体" w:eastAsia="宋体" w:cs="宋体"/>
          <w:szCs w:val="21"/>
          <w:lang w:eastAsia="zh-CN"/>
        </w:rPr>
        <w:t>。</w:t>
      </w:r>
    </w:p>
    <w:p w14:paraId="7D0FDB4B">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4.3</w:t>
      </w:r>
      <w:r>
        <w:rPr>
          <w:rFonts w:hint="eastAsia" w:ascii="宋体" w:hAnsi="宋体" w:eastAsia="宋体" w:cs="宋体"/>
          <w:szCs w:val="21"/>
        </w:rPr>
        <w:tab/>
      </w:r>
      <w:r>
        <w:rPr>
          <w:rFonts w:hint="eastAsia" w:ascii="宋体" w:hAnsi="宋体" w:eastAsia="宋体" w:cs="宋体"/>
          <w:szCs w:val="21"/>
        </w:rPr>
        <w:t>由中标供应商负责处理</w:t>
      </w:r>
      <w:r>
        <w:rPr>
          <w:rFonts w:hint="eastAsia" w:ascii="宋体" w:hAnsi="宋体" w:eastAsia="宋体" w:cs="宋体"/>
          <w:color w:val="000000"/>
          <w:szCs w:val="21"/>
          <w:lang w:eastAsia="zh-CN"/>
        </w:rPr>
        <w:t>配备</w:t>
      </w:r>
      <w:r>
        <w:rPr>
          <w:rFonts w:hint="eastAsia" w:ascii="宋体" w:hAnsi="宋体" w:eastAsia="宋体" w:cs="宋体"/>
          <w:szCs w:val="21"/>
        </w:rPr>
        <w:t>员工提出的劳动仲裁、诉讼等事宜。</w:t>
      </w:r>
    </w:p>
    <w:p w14:paraId="3FCEF75E">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4.4</w:t>
      </w:r>
      <w:r>
        <w:rPr>
          <w:rFonts w:hint="eastAsia" w:ascii="宋体" w:hAnsi="宋体" w:eastAsia="宋体" w:cs="宋体"/>
          <w:szCs w:val="21"/>
        </w:rPr>
        <w:tab/>
      </w:r>
      <w:r>
        <w:rPr>
          <w:rFonts w:hint="eastAsia" w:ascii="宋体" w:hAnsi="宋体" w:eastAsia="宋体" w:cs="宋体"/>
          <w:szCs w:val="21"/>
        </w:rPr>
        <w:t>由中标供应商负责</w:t>
      </w:r>
      <w:r>
        <w:rPr>
          <w:rFonts w:hint="eastAsia" w:ascii="宋体" w:hAnsi="宋体" w:eastAsia="宋体" w:cs="宋体"/>
          <w:color w:val="000000"/>
          <w:szCs w:val="21"/>
          <w:lang w:eastAsia="zh-CN"/>
        </w:rPr>
        <w:t>配备</w:t>
      </w:r>
      <w:r>
        <w:rPr>
          <w:rFonts w:hint="eastAsia" w:ascii="宋体" w:hAnsi="宋体" w:eastAsia="宋体" w:cs="宋体"/>
          <w:szCs w:val="21"/>
        </w:rPr>
        <w:t>员工的档案管理、党员组织关系管理以及专业技术人员的职称申报、评定等。</w:t>
      </w:r>
    </w:p>
    <w:p w14:paraId="64F7F794">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w:t>
      </w:r>
      <w:r>
        <w:rPr>
          <w:rFonts w:hint="eastAsia" w:ascii="宋体" w:hAnsi="宋体" w:eastAsia="宋体" w:cs="宋体"/>
          <w:szCs w:val="21"/>
          <w:highlight w:val="none"/>
        </w:rPr>
        <w:tab/>
      </w:r>
      <w:r>
        <w:rPr>
          <w:rFonts w:hint="eastAsia" w:ascii="宋体" w:hAnsi="宋体" w:eastAsia="宋体" w:cs="宋体"/>
          <w:szCs w:val="21"/>
          <w:highlight w:val="none"/>
        </w:rPr>
        <w:t>由采购人制定考核标准，并以此为依据对</w:t>
      </w:r>
      <w:r>
        <w:rPr>
          <w:rFonts w:hint="eastAsia" w:ascii="宋体" w:hAnsi="宋体" w:eastAsia="宋体" w:cs="宋体"/>
          <w:color w:val="000000"/>
          <w:szCs w:val="21"/>
          <w:highlight w:val="none"/>
          <w:lang w:eastAsia="zh-CN"/>
        </w:rPr>
        <w:t>配备</w:t>
      </w:r>
      <w:r>
        <w:rPr>
          <w:rFonts w:hint="eastAsia" w:ascii="宋体" w:hAnsi="宋体" w:eastAsia="宋体" w:cs="宋体"/>
          <w:szCs w:val="21"/>
          <w:highlight w:val="none"/>
        </w:rPr>
        <w:t>人员进行每月考核。</w:t>
      </w:r>
    </w:p>
    <w:p w14:paraId="0EBDDA5C">
      <w:pPr>
        <w:spacing w:line="240" w:lineRule="auto"/>
        <w:ind w:firstLine="422" w:firstLineChars="200"/>
        <w:rPr>
          <w:rFonts w:hint="eastAsia" w:ascii="宋体" w:hAnsi="宋体" w:eastAsia="宋体" w:cs="宋体"/>
          <w:b/>
          <w:szCs w:val="21"/>
        </w:rPr>
      </w:pPr>
      <w:r>
        <w:rPr>
          <w:rFonts w:hint="eastAsia" w:ascii="宋体" w:hAnsi="宋体" w:eastAsia="宋体" w:cs="宋体"/>
          <w:b/>
          <w:szCs w:val="21"/>
        </w:rPr>
        <w:t>5、服务质量要求</w:t>
      </w:r>
    </w:p>
    <w:p w14:paraId="2B31306C">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5.1、采购人确定员工的名单后，由中标供应商确保5个工作日内办理完毕劳动签订手续、</w:t>
      </w:r>
      <w:r>
        <w:rPr>
          <w:rFonts w:hint="eastAsia" w:ascii="宋体" w:hAnsi="宋体" w:eastAsia="宋体" w:cs="宋体"/>
          <w:color w:val="000000"/>
          <w:szCs w:val="21"/>
          <w:lang w:eastAsia="zh-CN"/>
        </w:rPr>
        <w:t>配备</w:t>
      </w:r>
      <w:r>
        <w:rPr>
          <w:rFonts w:hint="eastAsia" w:ascii="宋体" w:hAnsi="宋体" w:eastAsia="宋体" w:cs="宋体"/>
          <w:szCs w:val="21"/>
        </w:rPr>
        <w:t>手续，及时向采购人</w:t>
      </w:r>
      <w:r>
        <w:rPr>
          <w:rFonts w:hint="eastAsia" w:ascii="宋体" w:hAnsi="宋体" w:eastAsia="宋体" w:cs="宋体"/>
          <w:color w:val="000000"/>
          <w:szCs w:val="21"/>
          <w:lang w:eastAsia="zh-CN"/>
        </w:rPr>
        <w:t>配备</w:t>
      </w:r>
      <w:r>
        <w:rPr>
          <w:rFonts w:hint="eastAsia" w:ascii="宋体" w:hAnsi="宋体" w:eastAsia="宋体" w:cs="宋体"/>
          <w:szCs w:val="21"/>
        </w:rPr>
        <w:t>。</w:t>
      </w:r>
    </w:p>
    <w:p w14:paraId="2D69FFD5">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5.2、中标供应商应确保及时、准确、妥善的处理</w:t>
      </w:r>
      <w:r>
        <w:rPr>
          <w:rFonts w:hint="eastAsia" w:ascii="宋体" w:hAnsi="宋体" w:eastAsia="宋体" w:cs="宋体"/>
          <w:color w:val="000000"/>
          <w:szCs w:val="21"/>
          <w:lang w:eastAsia="zh-CN"/>
        </w:rPr>
        <w:t>配备</w:t>
      </w:r>
      <w:r>
        <w:rPr>
          <w:rFonts w:hint="eastAsia" w:ascii="宋体" w:hAnsi="宋体" w:eastAsia="宋体" w:cs="宋体"/>
          <w:szCs w:val="21"/>
        </w:rPr>
        <w:t>员工的薪酬管理、社保、及个税代扣代缴工作，避免发生劳动仲裁、诉讼事件。</w:t>
      </w:r>
    </w:p>
    <w:p w14:paraId="71E3C571">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5.3、中标供应商应确保及时、准确、妥善的处理</w:t>
      </w:r>
      <w:r>
        <w:rPr>
          <w:rFonts w:hint="eastAsia" w:ascii="宋体" w:hAnsi="宋体" w:eastAsia="宋体" w:cs="宋体"/>
          <w:color w:val="000000"/>
          <w:szCs w:val="21"/>
          <w:lang w:eastAsia="zh-CN"/>
        </w:rPr>
        <w:t>配备</w:t>
      </w:r>
      <w:r>
        <w:rPr>
          <w:rFonts w:hint="eastAsia" w:ascii="宋体" w:hAnsi="宋体" w:eastAsia="宋体" w:cs="宋体"/>
          <w:szCs w:val="21"/>
        </w:rPr>
        <w:t>员工的档案管理、党员组织关系管理以及专业技术人员的职称申报、评定等工作，避免发生人事仲裁事件。</w:t>
      </w:r>
    </w:p>
    <w:p w14:paraId="282B4C3C">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5.4、中标供应商应确保和谐、稳妥的处理</w:t>
      </w:r>
      <w:r>
        <w:rPr>
          <w:rFonts w:hint="eastAsia" w:ascii="宋体" w:hAnsi="宋体" w:eastAsia="宋体" w:cs="宋体"/>
          <w:color w:val="000000"/>
          <w:szCs w:val="21"/>
          <w:lang w:eastAsia="zh-CN"/>
        </w:rPr>
        <w:t>配备</w:t>
      </w:r>
      <w:r>
        <w:rPr>
          <w:rFonts w:hint="eastAsia" w:ascii="宋体" w:hAnsi="宋体" w:eastAsia="宋体" w:cs="宋体"/>
          <w:szCs w:val="21"/>
        </w:rPr>
        <w:t>员工的劳动仲裁、劳动诉讼及人事仲裁事件，避免妨碍采购人的正常工作或给采购人带来不利社会影响。</w:t>
      </w:r>
    </w:p>
    <w:p w14:paraId="5AFE9796">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5.5、中标供应商与</w:t>
      </w:r>
      <w:r>
        <w:rPr>
          <w:rFonts w:hint="eastAsia" w:ascii="宋体" w:hAnsi="宋体" w:eastAsia="宋体" w:cs="宋体"/>
          <w:color w:val="000000"/>
          <w:szCs w:val="21"/>
          <w:lang w:eastAsia="zh-CN"/>
        </w:rPr>
        <w:t>配备</w:t>
      </w:r>
      <w:r>
        <w:rPr>
          <w:rFonts w:hint="eastAsia" w:ascii="宋体" w:hAnsi="宋体" w:eastAsia="宋体" w:cs="宋体"/>
          <w:szCs w:val="21"/>
        </w:rPr>
        <w:t>员工确定聘用关系后（提供相应的证明材料），须将该材料原件提供至采购人备案后方可成立。</w:t>
      </w:r>
    </w:p>
    <w:p w14:paraId="53180A16">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5.6、</w:t>
      </w:r>
      <w:r>
        <w:rPr>
          <w:rFonts w:hint="eastAsia" w:ascii="宋体" w:hAnsi="宋体" w:eastAsia="宋体" w:cs="宋体"/>
          <w:color w:val="000000"/>
          <w:szCs w:val="21"/>
          <w:lang w:eastAsia="zh-CN"/>
        </w:rPr>
        <w:t>配备</w:t>
      </w:r>
      <w:r>
        <w:rPr>
          <w:rFonts w:hint="eastAsia" w:ascii="宋体" w:hAnsi="宋体" w:eastAsia="宋体" w:cs="宋体"/>
          <w:szCs w:val="21"/>
        </w:rPr>
        <w:t>员工在用工单位因工作遭受事故伤害的，中标供应商应当依法申请工伤认定，采购人应当协助工伤认定的调查核实工作。中标供应商承担工伤保险责任。</w:t>
      </w:r>
    </w:p>
    <w:p w14:paraId="57F5AB82">
      <w:pPr>
        <w:spacing w:line="24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6、</w:t>
      </w:r>
      <w:bookmarkStart w:id="224" w:name="_Toc447271490"/>
      <w:r>
        <w:rPr>
          <w:rFonts w:hint="eastAsia" w:ascii="宋体" w:hAnsi="宋体" w:eastAsia="宋体" w:cs="宋体"/>
          <w:b/>
          <w:color w:val="000000"/>
          <w:szCs w:val="21"/>
        </w:rPr>
        <w:t>投标报价</w:t>
      </w:r>
      <w:bookmarkEnd w:id="224"/>
    </w:p>
    <w:p w14:paraId="2497AEE7">
      <w:pPr>
        <w:tabs>
          <w:tab w:val="left" w:pos="2426"/>
        </w:tabs>
        <w:spacing w:line="240" w:lineRule="auto"/>
        <w:ind w:firstLine="420" w:firstLineChars="200"/>
        <w:rPr>
          <w:rFonts w:hint="eastAsia" w:ascii="宋体" w:hAnsi="宋体" w:eastAsia="宋体" w:cs="宋体"/>
          <w:szCs w:val="21"/>
        </w:rPr>
      </w:pPr>
      <w:r>
        <w:rPr>
          <w:rFonts w:hint="eastAsia" w:ascii="宋体" w:hAnsi="宋体" w:eastAsia="宋体" w:cs="宋体"/>
          <w:szCs w:val="21"/>
        </w:rPr>
        <w:t>6.1、本项目的费用包含：人员经费：含薪酬、奖金、劳保福利、社保、意外保险、工伤费、延长工作时间加班费、教育培训费、工作餐费、服装摊销费和法律法规规定的劳动福利待遇，企业应缴税金和应得利润，应急等完成合同所需的一切本身和不可或缺的所有工作开支、政策性文件规定计合同包含的所有风险、责任等各项全部费用。</w:t>
      </w:r>
    </w:p>
    <w:p w14:paraId="520125E4">
      <w:pPr>
        <w:tabs>
          <w:tab w:val="left" w:pos="2426"/>
        </w:tabs>
        <w:spacing w:line="240" w:lineRule="auto"/>
        <w:ind w:firstLine="420" w:firstLineChars="200"/>
        <w:rPr>
          <w:rFonts w:hint="eastAsia" w:ascii="宋体" w:hAnsi="宋体" w:eastAsia="宋体" w:cs="宋体"/>
          <w:szCs w:val="21"/>
          <w:lang w:eastAsia="zh-CN"/>
        </w:rPr>
      </w:pPr>
      <w:r>
        <w:rPr>
          <w:rFonts w:hint="eastAsia" w:ascii="宋体" w:hAnsi="宋体" w:eastAsia="宋体" w:cs="宋体"/>
          <w:szCs w:val="21"/>
        </w:rPr>
        <w:t>6.2、本项目的服务费采用费用</w:t>
      </w:r>
      <w:r>
        <w:rPr>
          <w:rFonts w:hint="eastAsia" w:ascii="宋体" w:hAnsi="宋体" w:eastAsia="宋体" w:cs="宋体"/>
          <w:szCs w:val="21"/>
          <w:lang w:val="en-US" w:eastAsia="zh-CN"/>
        </w:rPr>
        <w:t>按实结算</w:t>
      </w:r>
      <w:r>
        <w:rPr>
          <w:rFonts w:hint="eastAsia" w:ascii="宋体" w:hAnsi="宋体" w:eastAsia="宋体" w:cs="宋体"/>
          <w:szCs w:val="21"/>
        </w:rPr>
        <w:t>方式服务，投标供应商应根据项目要求和现场情况，详细列明项目所需的人力、物力、财力等,以及所有人工、管理、财务、税金等所有费用，如一旦中标，在服务过程中出现任何遗漏，均由中标供应商免费提供，采购人不再支付任何费用</w:t>
      </w:r>
      <w:r>
        <w:rPr>
          <w:rFonts w:hint="eastAsia" w:ascii="宋体" w:hAnsi="宋体" w:eastAsia="宋体" w:cs="宋体"/>
          <w:szCs w:val="21"/>
          <w:lang w:eastAsia="zh-CN"/>
        </w:rPr>
        <w:t>。</w:t>
      </w:r>
    </w:p>
    <w:p w14:paraId="21179FF1">
      <w:pPr>
        <w:spacing w:line="240" w:lineRule="auto"/>
        <w:ind w:firstLine="420" w:firstLineChars="200"/>
        <w:rPr>
          <w:rFonts w:hint="eastAsia" w:ascii="宋体" w:hAnsi="宋体" w:eastAsia="宋体" w:cs="宋体"/>
          <w:szCs w:val="21"/>
        </w:rPr>
      </w:pPr>
      <w:r>
        <w:rPr>
          <w:rFonts w:hint="eastAsia" w:ascii="宋体" w:hAnsi="宋体" w:eastAsia="宋体" w:cs="宋体"/>
          <w:szCs w:val="21"/>
        </w:rPr>
        <w:t>6.3、本项目投标报价实行综合总价，投标供应商报价应为承包完成上述所规定服务内容的全部工作所发生的管理费，并承担一切风险责任。投标供应商应从特点，市场行情及自身的能力，技术、管理水平，确定最终报价。</w:t>
      </w:r>
    </w:p>
    <w:p w14:paraId="170363D6">
      <w:pPr>
        <w:spacing w:line="24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7、</w:t>
      </w:r>
      <w:bookmarkStart w:id="225" w:name="_Toc447271491"/>
      <w:r>
        <w:rPr>
          <w:rFonts w:hint="eastAsia" w:ascii="宋体" w:hAnsi="宋体" w:eastAsia="宋体" w:cs="宋体"/>
          <w:b/>
          <w:color w:val="000000"/>
          <w:szCs w:val="21"/>
          <w:highlight w:val="none"/>
        </w:rPr>
        <w:t>付款方式</w:t>
      </w:r>
      <w:bookmarkEnd w:id="225"/>
    </w:p>
    <w:p w14:paraId="602744C9">
      <w:pPr>
        <w:spacing w:line="24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7.</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、付款方式为先服务后支付，半年支付一次，中标供应商凭正式税务</w:t>
      </w:r>
      <w:r>
        <w:rPr>
          <w:rFonts w:hint="eastAsia" w:ascii="宋体" w:hAnsi="宋体" w:eastAsia="宋体" w:cs="宋体"/>
          <w:b/>
          <w:szCs w:val="21"/>
          <w:highlight w:val="none"/>
          <w:lang w:val="en-US" w:eastAsia="zh-CN"/>
        </w:rPr>
        <w:t>增值税专用</w:t>
      </w:r>
      <w:r>
        <w:rPr>
          <w:rFonts w:hint="eastAsia" w:ascii="宋体" w:hAnsi="宋体" w:eastAsia="宋体" w:cs="宋体"/>
          <w:b/>
          <w:szCs w:val="21"/>
          <w:highlight w:val="none"/>
        </w:rPr>
        <w:t>发票向采购人结算</w:t>
      </w:r>
      <w:r>
        <w:rPr>
          <w:rFonts w:hint="eastAsia" w:ascii="宋体" w:hAnsi="宋体" w:eastAsia="宋体" w:cs="宋体"/>
          <w:b/>
          <w:szCs w:val="21"/>
          <w:highlight w:val="none"/>
          <w:lang w:val="en-US" w:eastAsia="zh-CN"/>
        </w:rPr>
        <w:t>费用</w:t>
      </w:r>
      <w:r>
        <w:rPr>
          <w:rFonts w:hint="eastAsia" w:ascii="宋体" w:hAnsi="宋体" w:eastAsia="宋体" w:cs="宋体"/>
          <w:b/>
          <w:szCs w:val="21"/>
          <w:highlight w:val="none"/>
        </w:rPr>
        <w:t>，按实结算</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最后一次费用在合同结束前提前支付。</w:t>
      </w:r>
    </w:p>
    <w:p w14:paraId="4E28770F">
      <w:pPr>
        <w:spacing w:line="240" w:lineRule="auto"/>
        <w:ind w:firstLine="420" w:firstLineChars="200"/>
        <w:rPr>
          <w:rFonts w:hint="eastAsia" w:ascii="宋体" w:hAnsi="宋体" w:eastAsia="宋体" w:cs="宋体"/>
          <w:szCs w:val="21"/>
        </w:rPr>
      </w:pPr>
      <w:r>
        <w:rPr>
          <w:rFonts w:hint="eastAsia" w:ascii="宋体" w:hAnsi="宋体" w:eastAsia="宋体" w:cs="宋体"/>
          <w:szCs w:val="21"/>
          <w:lang w:eastAsia="zh-CN"/>
        </w:rPr>
        <w:t>温州市高速公路资产经营有限公司</w:t>
      </w:r>
      <w:r>
        <w:rPr>
          <w:rFonts w:hint="eastAsia" w:ascii="宋体" w:hAnsi="宋体" w:eastAsia="宋体" w:cs="宋体"/>
          <w:szCs w:val="21"/>
        </w:rPr>
        <w:t>可随时根据实际情况进行核实，一经发现存在克扣员工工资及福利或者拖欠员工工资问题及福利将按照相关要求及法律规定对相关责任人严肃查处。</w:t>
      </w:r>
      <w:bookmarkEnd w:id="223"/>
    </w:p>
    <w:p w14:paraId="632C6BE0">
      <w:pPr>
        <w:ind w:firstLine="422" w:firstLineChars="200"/>
        <w:rPr>
          <w:rFonts w:hint="eastAsia"/>
        </w:rPr>
      </w:pPr>
      <w:r>
        <w:rPr>
          <w:rFonts w:hint="eastAsia" w:ascii="宋体" w:hAnsi="宋体" w:eastAsia="宋体" w:cs="宋体"/>
          <w:b/>
          <w:bCs/>
          <w:highlight w:val="none"/>
          <w:lang w:val="en-US" w:eastAsia="zh-CN"/>
        </w:rPr>
        <w:t>9、其他：详见合同条款</w:t>
      </w:r>
    </w:p>
    <w:p w14:paraId="413C744F">
      <w:pPr>
        <w:keepNext w:val="0"/>
        <w:jc w:val="left"/>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6D0516A">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1"/>
      <w:bookmarkEnd w:id="202"/>
      <w:bookmarkEnd w:id="203"/>
      <w:bookmarkEnd w:id="206"/>
      <w:bookmarkEnd w:id="207"/>
      <w:bookmarkEnd w:id="208"/>
      <w:bookmarkEnd w:id="209"/>
      <w:bookmarkEnd w:id="210"/>
      <w:bookmarkEnd w:id="211"/>
      <w:bookmarkEnd w:id="212"/>
      <w:bookmarkEnd w:id="213"/>
      <w:bookmarkEnd w:id="214"/>
      <w:bookmarkEnd w:id="215"/>
      <w:bookmarkEnd w:id="216"/>
      <w:bookmarkEnd w:id="217"/>
      <w:bookmarkEnd w:id="218"/>
    </w:p>
    <w:p w14:paraId="026013E2">
      <w:pPr>
        <w:jc w:val="center"/>
        <w:rPr>
          <w:rFonts w:hint="eastAsia" w:ascii="宋体" w:hAnsi="宋体" w:eastAsia="宋体" w:cs="宋体"/>
          <w:color w:val="auto"/>
          <w:sz w:val="22"/>
          <w:highlight w:val="none"/>
        </w:rPr>
      </w:pPr>
    </w:p>
    <w:p w14:paraId="0FCCDE58">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本项目属非政府采购项目，根据《温州市市属国有企业采购管理办法》等有关法规、规定，结合本项目的实际，按照公平、公正、科学、择优的原则选择中标单位，特制定本评标办法。</w:t>
      </w:r>
    </w:p>
    <w:p w14:paraId="0A0A0333">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14:paraId="0DDD1386">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14:paraId="26D3F97E">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14:paraId="29979B47">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14:paraId="3C5F7FAC">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14:paraId="49A6FAF9">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14:paraId="0A825026">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14:paraId="6DB1AFEF">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14:paraId="64F310D2">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14:paraId="55E2274F">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14:paraId="5BD7110C">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14:paraId="3D20CF0A">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14:paraId="1061541B">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772BFC42">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14:paraId="5B60D4A5">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14:paraId="3581F874">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14:paraId="6363D24D">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14:paraId="52FD1328">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14:paraId="3C27E889">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14:paraId="7606EF2C">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14:paraId="60017685">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14:paraId="5990F563">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14:paraId="2A7D2511">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w:t>
      </w:r>
      <w:r>
        <w:rPr>
          <w:rFonts w:hint="eastAsia" w:ascii="宋体" w:hAnsi="宋体" w:eastAsia="宋体" w:cs="宋体"/>
          <w:sz w:val="22"/>
          <w:szCs w:val="24"/>
          <w:highlight w:val="none"/>
          <w:lang w:val="en-US" w:eastAsia="zh-CN"/>
        </w:rPr>
        <w:t>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20</w:t>
      </w:r>
      <w:r>
        <w:rPr>
          <w:rFonts w:hint="eastAsia" w:ascii="宋体" w:hAnsi="宋体" w:eastAsia="宋体" w:cs="宋体"/>
          <w:sz w:val="22"/>
          <w:szCs w:val="24"/>
          <w:highlight w:val="none"/>
        </w:rPr>
        <w:t>分。</w:t>
      </w:r>
    </w:p>
    <w:p w14:paraId="7C27FC35">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14:paraId="533CC0D7">
      <w:pPr>
        <w:adjustRightInd w:val="0"/>
        <w:snapToGrid w:val="0"/>
        <w:rPr>
          <w:rFonts w:hint="eastAsia" w:ascii="宋体" w:hAnsi="宋体" w:eastAsia="宋体" w:cs="宋体"/>
          <w:b/>
          <w:bCs/>
          <w:color w:val="auto"/>
          <w:sz w:val="22"/>
          <w:highlight w:val="none"/>
        </w:rPr>
      </w:pPr>
      <w:r>
        <w:rPr>
          <w:rFonts w:hint="eastAsia" w:ascii="宋体" w:hAnsi="宋体" w:eastAsia="宋体" w:cs="宋体"/>
          <w:b/>
          <w:bCs/>
          <w:sz w:val="22"/>
          <w:highlight w:val="none"/>
        </w:rPr>
        <w:t>1、技术资信评审分值（8</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p>
    <w:p w14:paraId="4F3BE3B4">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625"/>
        <w:gridCol w:w="1575"/>
        <w:gridCol w:w="713"/>
        <w:gridCol w:w="5652"/>
      </w:tblGrid>
      <w:tr w14:paraId="38D6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2D62D960">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2200" w:type="dxa"/>
            <w:gridSpan w:val="2"/>
            <w:noWrap w:val="0"/>
            <w:vAlign w:val="center"/>
          </w:tcPr>
          <w:p w14:paraId="556B3A37">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w:t>
            </w:r>
          </w:p>
        </w:tc>
        <w:tc>
          <w:tcPr>
            <w:tcW w:w="713" w:type="dxa"/>
            <w:noWrap w:val="0"/>
            <w:vAlign w:val="center"/>
          </w:tcPr>
          <w:p w14:paraId="55DD893B">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满</w:t>
            </w:r>
            <w:r>
              <w:rPr>
                <w:rFonts w:hint="eastAsia" w:ascii="宋体" w:hAnsi="宋体" w:eastAsia="宋体" w:cs="宋体"/>
                <w:color w:val="auto"/>
                <w:sz w:val="18"/>
                <w:szCs w:val="18"/>
                <w:highlight w:val="none"/>
              </w:rPr>
              <w:t>分值</w:t>
            </w:r>
          </w:p>
        </w:tc>
        <w:tc>
          <w:tcPr>
            <w:tcW w:w="5652" w:type="dxa"/>
            <w:noWrap w:val="0"/>
            <w:vAlign w:val="center"/>
          </w:tcPr>
          <w:p w14:paraId="091EA063">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4012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1A290423">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25" w:type="dxa"/>
            <w:vMerge w:val="restart"/>
            <w:noWrap w:val="0"/>
            <w:vAlign w:val="center"/>
          </w:tcPr>
          <w:p w14:paraId="1E8DC7C9">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投标人综合实力</w:t>
            </w:r>
          </w:p>
        </w:tc>
        <w:tc>
          <w:tcPr>
            <w:tcW w:w="1575" w:type="dxa"/>
            <w:noWrap w:val="0"/>
            <w:vAlign w:val="center"/>
          </w:tcPr>
          <w:p w14:paraId="628F8D67">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投标人认证情况</w:t>
            </w:r>
          </w:p>
        </w:tc>
        <w:tc>
          <w:tcPr>
            <w:tcW w:w="713" w:type="dxa"/>
            <w:noWrap w:val="0"/>
            <w:vAlign w:val="center"/>
          </w:tcPr>
          <w:p w14:paraId="0365E4A2">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noWrap w:val="0"/>
            <w:vAlign w:val="center"/>
          </w:tcPr>
          <w:p w14:paraId="2AC1943C">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1）通过ISO9001质量管理体系认证，并获得有效证书得1分；</w:t>
            </w:r>
          </w:p>
          <w:p w14:paraId="0DF8C3E4">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2）通过ISO14001环境体系认证，并获得有效证书得1分；</w:t>
            </w:r>
          </w:p>
          <w:p w14:paraId="1E098A31">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3）通过ISO18001职业健康安全体系认证，并获得有效证书得1分</w:t>
            </w:r>
            <w:r>
              <w:rPr>
                <w:rFonts w:hint="eastAsia" w:ascii="宋体" w:hAnsi="宋体" w:eastAsia="宋体" w:cs="宋体"/>
                <w:color w:val="auto"/>
                <w:kern w:val="0"/>
                <w:sz w:val="18"/>
                <w:szCs w:val="18"/>
                <w:highlight w:val="none"/>
                <w:lang w:eastAsia="zh-CN"/>
              </w:rPr>
              <w:t>；</w:t>
            </w:r>
          </w:p>
          <w:p w14:paraId="3EC9FA41">
            <w:pPr>
              <w:widowControl/>
              <w:adjustRightInd w:val="0"/>
              <w:snapToGrid w:val="0"/>
              <w:spacing w:line="240" w:lineRule="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通过政府主管部门服务业标准化创建，并获得有效证书的得</w:t>
            </w:r>
            <w:r>
              <w:rPr>
                <w:rFonts w:hint="eastAsia" w:ascii="宋体" w:hAnsi="宋体" w:eastAsia="宋体" w:cs="宋体"/>
                <w:color w:val="auto"/>
                <w:kern w:val="0"/>
                <w:sz w:val="18"/>
                <w:szCs w:val="18"/>
                <w:highlight w:val="none"/>
                <w:lang w:val="en-US" w:eastAsia="zh-CN"/>
              </w:rPr>
              <w:t>3分。</w:t>
            </w:r>
          </w:p>
          <w:p w14:paraId="1103848B">
            <w:pPr>
              <w:widowControl/>
              <w:adjustRightInd w:val="0"/>
              <w:snapToGrid w:val="0"/>
              <w:spacing w:line="240" w:lineRule="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14:paraId="06D5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660387F8">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625" w:type="dxa"/>
            <w:vMerge w:val="continue"/>
            <w:noWrap w:val="0"/>
            <w:vAlign w:val="center"/>
          </w:tcPr>
          <w:p w14:paraId="5A189EC2">
            <w:pPr>
              <w:adjustRightInd w:val="0"/>
              <w:snapToGrid w:val="0"/>
              <w:spacing w:line="240" w:lineRule="auto"/>
              <w:rPr>
                <w:rFonts w:hint="eastAsia" w:ascii="宋体" w:hAnsi="宋体" w:eastAsia="宋体" w:cs="宋体"/>
                <w:color w:val="auto"/>
                <w:sz w:val="18"/>
                <w:szCs w:val="18"/>
                <w:highlight w:val="none"/>
              </w:rPr>
            </w:pPr>
          </w:p>
        </w:tc>
        <w:tc>
          <w:tcPr>
            <w:tcW w:w="1575" w:type="dxa"/>
            <w:noWrap w:val="0"/>
            <w:vAlign w:val="center"/>
          </w:tcPr>
          <w:p w14:paraId="00C4CB8F">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投标人获得荣誉</w:t>
            </w:r>
          </w:p>
        </w:tc>
        <w:tc>
          <w:tcPr>
            <w:tcW w:w="713" w:type="dxa"/>
            <w:noWrap w:val="0"/>
            <w:vAlign w:val="center"/>
          </w:tcPr>
          <w:p w14:paraId="603C37DA">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noWrap w:val="0"/>
            <w:vAlign w:val="center"/>
          </w:tcPr>
          <w:p w14:paraId="24672C8C">
            <w:pPr>
              <w:adjustRightInd w:val="0"/>
              <w:snapToGrid w:val="0"/>
              <w:spacing w:line="240" w:lineRule="auto"/>
              <w:rPr>
                <w:rFonts w:hint="eastAsia" w:ascii="宋体" w:hAnsi="宋体" w:eastAsia="宋体" w:cs="宋体"/>
                <w:snapToGrid w:val="0"/>
                <w:color w:val="auto"/>
                <w:kern w:val="0"/>
                <w:sz w:val="18"/>
                <w:szCs w:val="18"/>
                <w:highlight w:val="none"/>
                <w:lang w:eastAsia="zh-CN"/>
              </w:rPr>
            </w:pPr>
            <w:r>
              <w:rPr>
                <w:rFonts w:hint="eastAsia" w:ascii="宋体" w:hAnsi="宋体" w:eastAsia="宋体" w:cs="宋体"/>
                <w:snapToGrid w:val="0"/>
                <w:color w:val="auto"/>
                <w:kern w:val="0"/>
                <w:sz w:val="18"/>
                <w:szCs w:val="18"/>
                <w:highlight w:val="none"/>
                <w:lang w:val="en-US" w:eastAsia="zh-CN"/>
              </w:rPr>
              <w:t>投标人</w:t>
            </w:r>
            <w:r>
              <w:rPr>
                <w:rFonts w:hint="eastAsia" w:ascii="宋体" w:hAnsi="宋体" w:eastAsia="宋体" w:cs="宋体"/>
                <w:snapToGrid w:val="0"/>
                <w:color w:val="auto"/>
                <w:kern w:val="0"/>
                <w:sz w:val="18"/>
                <w:szCs w:val="18"/>
                <w:highlight w:val="none"/>
              </w:rPr>
              <w:t>企业获得区级（含区级）以上人民政府或部门颁发的各种荣誉的</w:t>
            </w:r>
            <w:r>
              <w:rPr>
                <w:rFonts w:hint="eastAsia" w:ascii="宋体" w:hAnsi="宋体" w:eastAsia="宋体" w:cs="宋体"/>
                <w:snapToGrid w:val="0"/>
                <w:color w:val="auto"/>
                <w:kern w:val="0"/>
                <w:sz w:val="18"/>
                <w:szCs w:val="18"/>
                <w:highlight w:val="none"/>
                <w:lang w:eastAsia="zh-CN"/>
              </w:rPr>
              <w:t>1</w:t>
            </w:r>
            <w:r>
              <w:rPr>
                <w:rFonts w:hint="eastAsia" w:ascii="宋体" w:hAnsi="宋体" w:eastAsia="宋体" w:cs="宋体"/>
                <w:snapToGrid w:val="0"/>
                <w:color w:val="auto"/>
                <w:kern w:val="0"/>
                <w:sz w:val="18"/>
                <w:szCs w:val="18"/>
                <w:highlight w:val="none"/>
              </w:rPr>
              <w:t>分/个，最高</w:t>
            </w:r>
            <w:r>
              <w:rPr>
                <w:rFonts w:hint="eastAsia" w:ascii="宋体" w:hAnsi="宋体" w:eastAsia="宋体" w:cs="宋体"/>
                <w:snapToGrid w:val="0"/>
                <w:color w:val="auto"/>
                <w:kern w:val="0"/>
                <w:sz w:val="18"/>
                <w:szCs w:val="18"/>
                <w:highlight w:val="none"/>
                <w:lang w:val="en-US" w:eastAsia="zh-CN"/>
              </w:rPr>
              <w:t>3</w:t>
            </w:r>
            <w:r>
              <w:rPr>
                <w:rFonts w:hint="eastAsia" w:ascii="宋体" w:hAnsi="宋体" w:eastAsia="宋体" w:cs="宋体"/>
                <w:snapToGrid w:val="0"/>
                <w:color w:val="auto"/>
                <w:kern w:val="0"/>
                <w:sz w:val="18"/>
                <w:szCs w:val="18"/>
                <w:highlight w:val="none"/>
              </w:rPr>
              <w:t>分（管理项目荣誉不计，同类荣誉不累计计分）</w:t>
            </w:r>
            <w:r>
              <w:rPr>
                <w:rFonts w:hint="eastAsia" w:ascii="宋体" w:hAnsi="宋体" w:eastAsia="宋体" w:cs="宋体"/>
                <w:snapToGrid w:val="0"/>
                <w:color w:val="auto"/>
                <w:kern w:val="0"/>
                <w:sz w:val="18"/>
                <w:szCs w:val="18"/>
                <w:highlight w:val="none"/>
                <w:lang w:eastAsia="zh-CN"/>
              </w:rPr>
              <w:t>。</w:t>
            </w:r>
          </w:p>
          <w:p w14:paraId="2C24A284">
            <w:pPr>
              <w:adjustRightInd w:val="0"/>
              <w:snapToGrid w:val="0"/>
              <w:spacing w:line="240" w:lineRule="auto"/>
              <w:rPr>
                <w:rFonts w:hint="eastAsia" w:ascii="宋体" w:hAnsi="宋体" w:eastAsia="宋体" w:cs="宋体"/>
                <w:snapToGrid w:val="0"/>
                <w:color w:val="auto"/>
                <w:kern w:val="0"/>
                <w:sz w:val="18"/>
                <w:szCs w:val="18"/>
                <w:highlight w:val="none"/>
              </w:rPr>
            </w:pP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14:paraId="2CBF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1B399141">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625" w:type="dxa"/>
            <w:vMerge w:val="continue"/>
            <w:noWrap w:val="0"/>
            <w:vAlign w:val="center"/>
          </w:tcPr>
          <w:p w14:paraId="11B1848C">
            <w:pPr>
              <w:adjustRightInd w:val="0"/>
              <w:snapToGrid w:val="0"/>
              <w:spacing w:line="240" w:lineRule="auto"/>
              <w:rPr>
                <w:rFonts w:hint="eastAsia" w:ascii="宋体" w:hAnsi="宋体" w:eastAsia="宋体" w:cs="宋体"/>
                <w:color w:val="auto"/>
                <w:sz w:val="18"/>
                <w:szCs w:val="18"/>
                <w:highlight w:val="none"/>
              </w:rPr>
            </w:pPr>
          </w:p>
        </w:tc>
        <w:tc>
          <w:tcPr>
            <w:tcW w:w="1575" w:type="dxa"/>
            <w:noWrap w:val="0"/>
            <w:vAlign w:val="center"/>
          </w:tcPr>
          <w:p w14:paraId="0E1A1E05">
            <w:pPr>
              <w:adjustRightInd w:val="0"/>
              <w:snapToGrid w:val="0"/>
              <w:spacing w:line="240" w:lineRule="auto"/>
              <w:ind w:left="-34"/>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r>
              <w:rPr>
                <w:rFonts w:hint="eastAsia" w:ascii="宋体" w:hAnsi="宋体" w:eastAsia="宋体" w:cs="宋体"/>
                <w:color w:val="auto"/>
                <w:kern w:val="0"/>
                <w:sz w:val="18"/>
                <w:szCs w:val="18"/>
                <w:highlight w:val="none"/>
              </w:rPr>
              <w:t>项目获奖情况</w:t>
            </w:r>
          </w:p>
        </w:tc>
        <w:tc>
          <w:tcPr>
            <w:tcW w:w="713" w:type="dxa"/>
            <w:noWrap w:val="0"/>
            <w:vAlign w:val="center"/>
          </w:tcPr>
          <w:p w14:paraId="2D730FAF">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5652" w:type="dxa"/>
            <w:noWrap w:val="0"/>
            <w:vAlign w:val="center"/>
          </w:tcPr>
          <w:p w14:paraId="7FB62145">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投标人</w:t>
            </w:r>
            <w:r>
              <w:rPr>
                <w:rFonts w:hint="eastAsia" w:ascii="宋体" w:hAnsi="宋体" w:eastAsia="宋体" w:cs="宋体"/>
                <w:color w:val="auto"/>
                <w:kern w:val="0"/>
                <w:sz w:val="18"/>
                <w:szCs w:val="18"/>
                <w:highlight w:val="none"/>
              </w:rPr>
              <w:t>公共场所项目获部级物业管理示范项目或复评通过的，得3分；获省示范或复评通过的，得2分，获市示范或复评通过的，得1分。</w:t>
            </w:r>
          </w:p>
          <w:p w14:paraId="6AECADB2">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注：</w:t>
            </w:r>
            <w:r>
              <w:rPr>
                <w:rFonts w:hint="eastAsia" w:ascii="宋体" w:hAnsi="宋体" w:eastAsia="宋体" w:cs="宋体"/>
                <w:color w:val="auto"/>
                <w:kern w:val="0"/>
                <w:sz w:val="18"/>
                <w:szCs w:val="18"/>
                <w:highlight w:val="none"/>
              </w:rPr>
              <w:t>各项目获奖情况不累计计分，仅取最高奖项，即不同项目获得不同荣誉称号，仅取最高荣誉计分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须提供有效证明文件复印件加盖单位盖章，没有的不得分</w:t>
            </w:r>
            <w:r>
              <w:rPr>
                <w:rFonts w:hint="eastAsia" w:ascii="宋体" w:hAnsi="宋体" w:eastAsia="宋体" w:cs="宋体"/>
                <w:color w:val="auto"/>
                <w:kern w:val="0"/>
                <w:sz w:val="18"/>
                <w:szCs w:val="18"/>
                <w:highlight w:val="none"/>
                <w:lang w:eastAsia="zh-CN"/>
              </w:rPr>
              <w:t>。</w:t>
            </w:r>
          </w:p>
        </w:tc>
      </w:tr>
      <w:tr w14:paraId="335A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00CF47AA">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200" w:type="dxa"/>
            <w:gridSpan w:val="2"/>
            <w:noWrap w:val="0"/>
            <w:vAlign w:val="center"/>
          </w:tcPr>
          <w:p w14:paraId="72BB46AD">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人员投入、服务员工配备情况</w:t>
            </w:r>
          </w:p>
        </w:tc>
        <w:tc>
          <w:tcPr>
            <w:tcW w:w="713" w:type="dxa"/>
            <w:noWrap w:val="0"/>
            <w:vAlign w:val="center"/>
          </w:tcPr>
          <w:p w14:paraId="7FDD30D6">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noWrap w:val="0"/>
            <w:vAlign w:val="center"/>
          </w:tcPr>
          <w:p w14:paraId="64864978">
            <w:pPr>
              <w:numPr>
                <w:ilvl w:val="0"/>
                <w:numId w:val="0"/>
              </w:num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岗位设置及配备情况（包括岗位明细、每个岗位的工作安排</w:t>
            </w:r>
            <w:r>
              <w:rPr>
                <w:rFonts w:hint="eastAsia" w:ascii="宋体" w:hAnsi="宋体" w:eastAsia="宋体" w:cs="宋体"/>
                <w:color w:val="auto"/>
                <w:sz w:val="18"/>
                <w:szCs w:val="18"/>
                <w:highlight w:val="none"/>
                <w:lang w:val="en-US" w:eastAsia="zh-CN"/>
              </w:rPr>
              <w:t>计划等</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5EEF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60F03CEC">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200" w:type="dxa"/>
            <w:gridSpan w:val="2"/>
            <w:noWrap w:val="0"/>
            <w:vAlign w:val="center"/>
          </w:tcPr>
          <w:p w14:paraId="623E422A">
            <w:pPr>
              <w:adjustRightInd w:val="0"/>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员工服装配置</w:t>
            </w:r>
          </w:p>
        </w:tc>
        <w:tc>
          <w:tcPr>
            <w:tcW w:w="713" w:type="dxa"/>
            <w:noWrap w:val="0"/>
            <w:vAlign w:val="center"/>
          </w:tcPr>
          <w:p w14:paraId="38D6AD75">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p>
        </w:tc>
        <w:tc>
          <w:tcPr>
            <w:tcW w:w="5652" w:type="dxa"/>
            <w:noWrap w:val="0"/>
            <w:vAlign w:val="center"/>
          </w:tcPr>
          <w:p w14:paraId="3C5A095C">
            <w:pPr>
              <w:adjustRightInd w:val="0"/>
              <w:snapToGrid w:val="0"/>
              <w:spacing w:line="24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rPr>
              <w:t>根据各类</w:t>
            </w:r>
            <w:r>
              <w:rPr>
                <w:rFonts w:hint="eastAsia" w:ascii="宋体" w:hAnsi="宋体" w:eastAsia="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rPr>
              <w:t>人员着装配置是否齐备等因素酌情打分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130D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3C8695D6">
            <w:pPr>
              <w:adjustRightInd w:val="0"/>
              <w:snapToGrid w:val="0"/>
              <w:spacing w:line="24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625" w:type="dxa"/>
            <w:vMerge w:val="restart"/>
            <w:noWrap w:val="0"/>
            <w:vAlign w:val="center"/>
          </w:tcPr>
          <w:p w14:paraId="09875BAE">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服务方案</w:t>
            </w:r>
          </w:p>
        </w:tc>
        <w:tc>
          <w:tcPr>
            <w:tcW w:w="1575" w:type="dxa"/>
            <w:noWrap w:val="0"/>
            <w:vAlign w:val="center"/>
          </w:tcPr>
          <w:p w14:paraId="18B06F70">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管理服务组织机构设置、运作流程、服务管理机制</w:t>
            </w:r>
          </w:p>
        </w:tc>
        <w:tc>
          <w:tcPr>
            <w:tcW w:w="713" w:type="dxa"/>
            <w:noWrap w:val="0"/>
            <w:vAlign w:val="center"/>
          </w:tcPr>
          <w:p w14:paraId="390B0A16">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5652" w:type="dxa"/>
            <w:noWrap w:val="0"/>
            <w:vAlign w:val="center"/>
          </w:tcPr>
          <w:p w14:paraId="7B63A8FA">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根据管理服务组织机构设置（附组织机构图）、运作流程（附运作流程图）、激励机制、监督机制、自我约束机制和信息反馈渠道及处理机制等是否科学、合理、高效，</w:t>
            </w:r>
            <w:r>
              <w:rPr>
                <w:rFonts w:hint="eastAsia" w:ascii="宋体" w:hAnsi="宋体" w:eastAsia="宋体" w:cs="宋体"/>
                <w:color w:val="auto"/>
                <w:sz w:val="18"/>
                <w:szCs w:val="18"/>
                <w:highlight w:val="none"/>
                <w:lang w:val="en-US" w:eastAsia="zh-CN"/>
              </w:rPr>
              <w:t>进行综合评价，一般0-2分，良2-4分，优4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724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6DD7ED80">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625" w:type="dxa"/>
            <w:vMerge w:val="continue"/>
            <w:noWrap w:val="0"/>
            <w:vAlign w:val="center"/>
          </w:tcPr>
          <w:p w14:paraId="127CDD94">
            <w:pPr>
              <w:adjustRightInd w:val="0"/>
              <w:snapToGrid w:val="0"/>
              <w:spacing w:line="240" w:lineRule="auto"/>
              <w:rPr>
                <w:rFonts w:hint="eastAsia" w:ascii="宋体" w:hAnsi="宋体" w:eastAsia="宋体" w:cs="宋体"/>
                <w:color w:val="auto"/>
                <w:sz w:val="18"/>
                <w:szCs w:val="18"/>
                <w:highlight w:val="none"/>
              </w:rPr>
            </w:pPr>
          </w:p>
        </w:tc>
        <w:tc>
          <w:tcPr>
            <w:tcW w:w="1575" w:type="dxa"/>
            <w:noWrap w:val="0"/>
            <w:vAlign w:val="center"/>
          </w:tcPr>
          <w:p w14:paraId="340FE599">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各项管理规章制度及考核方法</w:t>
            </w:r>
          </w:p>
        </w:tc>
        <w:tc>
          <w:tcPr>
            <w:tcW w:w="713" w:type="dxa"/>
            <w:noWrap w:val="0"/>
            <w:vAlign w:val="center"/>
          </w:tcPr>
          <w:p w14:paraId="44BF346A">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p>
        </w:tc>
        <w:tc>
          <w:tcPr>
            <w:tcW w:w="5652" w:type="dxa"/>
            <w:noWrap w:val="0"/>
            <w:vAlign w:val="center"/>
          </w:tcPr>
          <w:p w14:paraId="08314B78">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各项公众制度、内部岗位责任制度、管理人员考核制度及标准等，要求符合规范，体现高标准、高档次、科学合理、详细完备；人员、设施、设备管理服务、业主方反馈资料、文件资料等档案的建立与管理。</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6518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6EE9512D">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625" w:type="dxa"/>
            <w:vMerge w:val="continue"/>
            <w:noWrap w:val="0"/>
            <w:vAlign w:val="center"/>
          </w:tcPr>
          <w:p w14:paraId="61EF32FA">
            <w:pPr>
              <w:adjustRightInd w:val="0"/>
              <w:snapToGrid w:val="0"/>
              <w:spacing w:line="240" w:lineRule="auto"/>
              <w:rPr>
                <w:rFonts w:hint="eastAsia" w:ascii="宋体" w:hAnsi="宋体" w:eastAsia="宋体" w:cs="宋体"/>
                <w:color w:val="auto"/>
                <w:sz w:val="18"/>
                <w:szCs w:val="18"/>
                <w:highlight w:val="none"/>
              </w:rPr>
            </w:pPr>
          </w:p>
        </w:tc>
        <w:tc>
          <w:tcPr>
            <w:tcW w:w="1575" w:type="dxa"/>
            <w:noWrap w:val="0"/>
            <w:vAlign w:val="center"/>
          </w:tcPr>
          <w:p w14:paraId="37DCBC90">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针对本项目的特点和难点分析及解决措施</w:t>
            </w:r>
          </w:p>
        </w:tc>
        <w:tc>
          <w:tcPr>
            <w:tcW w:w="713" w:type="dxa"/>
            <w:noWrap w:val="0"/>
            <w:vAlign w:val="center"/>
          </w:tcPr>
          <w:p w14:paraId="56505E38">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p>
        </w:tc>
        <w:tc>
          <w:tcPr>
            <w:tcW w:w="5652" w:type="dxa"/>
            <w:noWrap w:val="0"/>
            <w:vAlign w:val="center"/>
          </w:tcPr>
          <w:p w14:paraId="49C8AD93">
            <w:pPr>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根据对本项目运行特点和难点分析的准确性及解决措施的科学性进行比较</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综合评价，一般0-3分，良3-6分，优6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6466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3A1A0D8E">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625" w:type="dxa"/>
            <w:vMerge w:val="continue"/>
            <w:noWrap w:val="0"/>
            <w:vAlign w:val="center"/>
          </w:tcPr>
          <w:p w14:paraId="3E906BE9">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noWrap w:val="0"/>
            <w:vAlign w:val="center"/>
          </w:tcPr>
          <w:p w14:paraId="457B7E1B">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环境卫生管理实施方案</w:t>
            </w:r>
          </w:p>
        </w:tc>
        <w:tc>
          <w:tcPr>
            <w:tcW w:w="713" w:type="dxa"/>
            <w:noWrap w:val="0"/>
            <w:vAlign w:val="center"/>
          </w:tcPr>
          <w:p w14:paraId="77A59A71">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5652" w:type="dxa"/>
            <w:noWrap w:val="0"/>
            <w:vAlign w:val="center"/>
          </w:tcPr>
          <w:p w14:paraId="1A5B6517">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7310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21CA0B44">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625" w:type="dxa"/>
            <w:vMerge w:val="continue"/>
            <w:noWrap w:val="0"/>
            <w:vAlign w:val="center"/>
          </w:tcPr>
          <w:p w14:paraId="5A4474E7">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noWrap w:val="0"/>
            <w:vAlign w:val="center"/>
          </w:tcPr>
          <w:p w14:paraId="38DBD66A">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安防实施方案</w:t>
            </w:r>
          </w:p>
        </w:tc>
        <w:tc>
          <w:tcPr>
            <w:tcW w:w="713" w:type="dxa"/>
            <w:noWrap w:val="0"/>
            <w:vAlign w:val="center"/>
          </w:tcPr>
          <w:p w14:paraId="01DC434A">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5</w:t>
            </w:r>
          </w:p>
        </w:tc>
        <w:tc>
          <w:tcPr>
            <w:tcW w:w="5652" w:type="dxa"/>
            <w:noWrap w:val="0"/>
            <w:vAlign w:val="center"/>
          </w:tcPr>
          <w:p w14:paraId="7F1E62DF">
            <w:pPr>
              <w:adjustRightInd w:val="0"/>
              <w:snapToGrid w:val="0"/>
              <w:spacing w:line="240" w:lineRule="auto"/>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rPr>
              <w:t>根据实施方案的科学性及合理性</w:t>
            </w:r>
            <w:r>
              <w:rPr>
                <w:rFonts w:hint="eastAsia" w:ascii="宋体" w:hAnsi="宋体" w:eastAsia="宋体" w:cs="宋体"/>
                <w:color w:val="auto"/>
                <w:kern w:val="0"/>
                <w:sz w:val="18"/>
                <w:szCs w:val="18"/>
                <w:highlight w:val="none"/>
                <w:lang w:val="en-US" w:eastAsia="zh-CN"/>
              </w:rPr>
              <w:t>综合打分，</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3DB1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46820178">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625" w:type="dxa"/>
            <w:vMerge w:val="continue"/>
            <w:noWrap w:val="0"/>
            <w:vAlign w:val="center"/>
          </w:tcPr>
          <w:p w14:paraId="5552E089">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shd w:val="clear" w:color="auto" w:fill="auto"/>
            <w:noWrap w:val="0"/>
            <w:vAlign w:val="center"/>
          </w:tcPr>
          <w:p w14:paraId="4791C5EB">
            <w:pPr>
              <w:widowControl/>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项目质量管理保证措施方案</w:t>
            </w:r>
          </w:p>
        </w:tc>
        <w:tc>
          <w:tcPr>
            <w:tcW w:w="713" w:type="dxa"/>
            <w:shd w:val="clear" w:color="auto" w:fill="auto"/>
            <w:noWrap w:val="0"/>
            <w:vAlign w:val="center"/>
          </w:tcPr>
          <w:p w14:paraId="06785EB1">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5</w:t>
            </w:r>
          </w:p>
        </w:tc>
        <w:tc>
          <w:tcPr>
            <w:tcW w:w="5652" w:type="dxa"/>
            <w:shd w:val="clear" w:color="auto" w:fill="auto"/>
            <w:noWrap w:val="0"/>
            <w:vAlign w:val="center"/>
          </w:tcPr>
          <w:p w14:paraId="1EE12AF5">
            <w:pPr>
              <w:widowControl/>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根据为本项目就管理程序文件、质量记录，管理过程中存在的问题解决对策，管理成果检验评估方法，质量管理改进方法等，</w:t>
            </w:r>
            <w:r>
              <w:rPr>
                <w:rFonts w:hint="eastAsia" w:ascii="宋体" w:hAnsi="宋体" w:eastAsia="宋体" w:cs="宋体"/>
                <w:color w:val="auto"/>
                <w:kern w:val="0"/>
                <w:sz w:val="18"/>
                <w:szCs w:val="18"/>
                <w:highlight w:val="none"/>
                <w:lang w:val="en-US" w:eastAsia="zh-CN"/>
              </w:rPr>
              <w:t>进行</w:t>
            </w:r>
            <w:r>
              <w:rPr>
                <w:rFonts w:hint="eastAsia" w:ascii="宋体" w:hAnsi="宋体" w:eastAsia="宋体" w:cs="宋体"/>
                <w:color w:val="auto"/>
                <w:sz w:val="18"/>
                <w:szCs w:val="18"/>
                <w:highlight w:val="none"/>
                <w:lang w:val="en-US" w:eastAsia="zh-CN"/>
              </w:rPr>
              <w:t>综合评价，一般0-2分，良2-4分，优4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31FB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6B7CF1E4">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625" w:type="dxa"/>
            <w:vMerge w:val="continue"/>
            <w:noWrap w:val="0"/>
            <w:vAlign w:val="center"/>
          </w:tcPr>
          <w:p w14:paraId="555B5E5D">
            <w:pPr>
              <w:widowControl/>
              <w:adjustRightInd w:val="0"/>
              <w:snapToGrid w:val="0"/>
              <w:spacing w:line="240" w:lineRule="auto"/>
              <w:rPr>
                <w:rFonts w:hint="eastAsia" w:ascii="宋体" w:hAnsi="宋体" w:eastAsia="宋体" w:cs="宋体"/>
                <w:color w:val="auto"/>
                <w:kern w:val="0"/>
                <w:sz w:val="18"/>
                <w:szCs w:val="18"/>
                <w:highlight w:val="none"/>
              </w:rPr>
            </w:pPr>
          </w:p>
        </w:tc>
        <w:tc>
          <w:tcPr>
            <w:tcW w:w="1575" w:type="dxa"/>
            <w:noWrap w:val="0"/>
            <w:vAlign w:val="center"/>
          </w:tcPr>
          <w:p w14:paraId="5D325D2D">
            <w:pPr>
              <w:widowControl/>
              <w:adjustRightInd w:val="0"/>
              <w:snapToGrid w:val="0"/>
              <w:spacing w:line="240" w:lineRule="auto"/>
              <w:rPr>
                <w:rFonts w:hint="default" w:ascii="宋体" w:hAnsi="宋体" w:eastAsia="宋体" w:cs="宋体"/>
                <w:color w:val="auto"/>
                <w:kern w:val="0"/>
                <w:sz w:val="18"/>
                <w:szCs w:val="18"/>
                <w:highlight w:val="none"/>
                <w:lang w:val="en-US"/>
              </w:rPr>
            </w:pPr>
            <w:r>
              <w:rPr>
                <w:rFonts w:hint="eastAsia" w:ascii="宋体" w:hAnsi="宋体" w:eastAsia="宋体" w:cs="宋体"/>
                <w:sz w:val="18"/>
                <w:szCs w:val="18"/>
                <w:highlight w:val="none"/>
                <w:lang w:eastAsia="zh-CN"/>
              </w:rPr>
              <w:t>“</w:t>
            </w:r>
            <w:r>
              <w:rPr>
                <w:rFonts w:hint="eastAsia" w:ascii="宋体" w:hAnsi="宋体" w:eastAsia="宋体" w:cs="宋体"/>
                <w:bCs/>
                <w:color w:val="0000FF"/>
                <w:kern w:val="0"/>
                <w:sz w:val="18"/>
                <w:szCs w:val="18"/>
                <w:highlight w:val="none"/>
                <w:lang w:eastAsia="zh-CN"/>
              </w:rPr>
              <w:t>瓯江红·畅美高速”党群服务中心物业服务</w:t>
            </w:r>
            <w:r>
              <w:rPr>
                <w:rFonts w:hint="eastAsia" w:ascii="宋体" w:hAnsi="宋体" w:eastAsia="宋体" w:cs="宋体"/>
                <w:bCs/>
                <w:color w:val="0000FF"/>
                <w:kern w:val="0"/>
                <w:sz w:val="18"/>
                <w:szCs w:val="18"/>
                <w:highlight w:val="none"/>
                <w:lang w:val="en-US" w:eastAsia="zh-CN"/>
              </w:rPr>
              <w:t>实施方案</w:t>
            </w:r>
          </w:p>
        </w:tc>
        <w:tc>
          <w:tcPr>
            <w:tcW w:w="713" w:type="dxa"/>
            <w:noWrap w:val="0"/>
            <w:vAlign w:val="center"/>
          </w:tcPr>
          <w:p w14:paraId="0844962F">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5652" w:type="dxa"/>
            <w:noWrap w:val="0"/>
            <w:vAlign w:val="center"/>
          </w:tcPr>
          <w:p w14:paraId="2D09A88E">
            <w:pPr>
              <w:widowControl/>
              <w:adjustRightInd w:val="0"/>
              <w:snapToGrid w:val="0"/>
              <w:spacing w:line="240" w:lineRule="auto"/>
              <w:rPr>
                <w:rFonts w:hint="default" w:ascii="宋体" w:hAnsi="宋体" w:eastAsia="宋体" w:cs="宋体"/>
                <w:color w:val="auto"/>
                <w:kern w:val="0"/>
                <w:sz w:val="18"/>
                <w:szCs w:val="18"/>
                <w:highlight w:val="none"/>
                <w:lang w:val="en-US"/>
              </w:rPr>
            </w:pPr>
            <w:r>
              <w:rPr>
                <w:rFonts w:hint="eastAsia" w:ascii="宋体" w:hAnsi="宋体" w:eastAsia="宋体" w:cs="宋体"/>
                <w:sz w:val="18"/>
                <w:szCs w:val="18"/>
                <w:highlight w:val="none"/>
                <w:lang w:val="en-US" w:eastAsia="zh-CN"/>
              </w:rPr>
              <w:t>根据</w:t>
            </w:r>
            <w:r>
              <w:rPr>
                <w:rFonts w:hint="eastAsia" w:ascii="宋体" w:hAnsi="宋体" w:eastAsia="宋体" w:cs="宋体"/>
                <w:sz w:val="18"/>
                <w:szCs w:val="18"/>
                <w:highlight w:val="none"/>
                <w:lang w:eastAsia="zh-CN"/>
              </w:rPr>
              <w:t>“</w:t>
            </w:r>
            <w:r>
              <w:rPr>
                <w:rFonts w:hint="eastAsia" w:ascii="宋体" w:hAnsi="宋体" w:eastAsia="宋体" w:cs="宋体"/>
                <w:bCs/>
                <w:color w:val="0000FF"/>
                <w:kern w:val="0"/>
                <w:sz w:val="18"/>
                <w:szCs w:val="18"/>
                <w:highlight w:val="none"/>
                <w:lang w:eastAsia="zh-CN"/>
              </w:rPr>
              <w:t>瓯江红·畅美高速”党群服务中心物业服务</w:t>
            </w:r>
            <w:r>
              <w:rPr>
                <w:rFonts w:hint="eastAsia" w:ascii="宋体" w:hAnsi="宋体" w:eastAsia="宋体" w:cs="宋体"/>
                <w:bCs/>
                <w:color w:val="0000FF"/>
                <w:kern w:val="0"/>
                <w:sz w:val="18"/>
                <w:szCs w:val="18"/>
                <w:highlight w:val="none"/>
                <w:lang w:val="en-US" w:eastAsia="zh-CN"/>
              </w:rPr>
              <w:t>实施方案全面、科学及合理性进行综合评价：</w:t>
            </w:r>
            <w:r>
              <w:rPr>
                <w:rFonts w:hint="eastAsia" w:ascii="宋体" w:hAnsi="宋体" w:eastAsia="宋体" w:cs="宋体"/>
                <w:color w:val="auto"/>
                <w:sz w:val="18"/>
                <w:szCs w:val="18"/>
                <w:highlight w:val="none"/>
                <w:lang w:val="en-US" w:eastAsia="zh-CN"/>
              </w:rPr>
              <w:t>一般0-2分，良2-4分，优4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w:t>
            </w:r>
          </w:p>
        </w:tc>
      </w:tr>
      <w:tr w14:paraId="6E52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2" w:type="dxa"/>
            <w:noWrap w:val="0"/>
            <w:vAlign w:val="center"/>
          </w:tcPr>
          <w:p w14:paraId="26ECD777">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200" w:type="dxa"/>
            <w:gridSpan w:val="2"/>
            <w:noWrap w:val="0"/>
            <w:vAlign w:val="center"/>
          </w:tcPr>
          <w:p w14:paraId="4F464E82">
            <w:pPr>
              <w:adjustRightInd w:val="0"/>
              <w:snapToGrid w:val="0"/>
              <w:spacing w:line="240" w:lineRule="auto"/>
              <w:ind w:left="-50"/>
              <w:jc w:val="both"/>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lang w:val="en-US" w:eastAsia="zh-CN"/>
              </w:rPr>
              <w:t>人均月工资</w:t>
            </w:r>
          </w:p>
        </w:tc>
        <w:tc>
          <w:tcPr>
            <w:tcW w:w="713" w:type="dxa"/>
            <w:noWrap w:val="0"/>
            <w:vAlign w:val="center"/>
          </w:tcPr>
          <w:p w14:paraId="1DEDB0D4">
            <w:pPr>
              <w:adjustRightInd w:val="0"/>
              <w:snapToGrid w:val="0"/>
              <w:spacing w:line="240" w:lineRule="auto"/>
              <w:ind w:right="3"/>
              <w:jc w:val="center"/>
              <w:rPr>
                <w:rFonts w:hint="eastAsia" w:ascii="宋体" w:hAnsi="宋体" w:eastAsia="宋体" w:cs="宋体"/>
                <w:color w:val="auto"/>
                <w:kern w:val="0"/>
                <w:sz w:val="18"/>
                <w:szCs w:val="18"/>
                <w:highlight w:val="none"/>
              </w:rPr>
            </w:pPr>
            <w:r>
              <w:rPr>
                <w:rFonts w:hint="eastAsia" w:ascii="宋体" w:hAnsi="宋体" w:eastAsia="宋体" w:cs="宋体"/>
                <w:bCs/>
                <w:color w:val="auto"/>
                <w:kern w:val="28"/>
                <w:sz w:val="18"/>
                <w:szCs w:val="18"/>
                <w:highlight w:val="none"/>
                <w:lang w:val="en-US" w:eastAsia="zh-CN"/>
              </w:rPr>
              <w:t>5</w:t>
            </w:r>
          </w:p>
        </w:tc>
        <w:tc>
          <w:tcPr>
            <w:tcW w:w="5652" w:type="dxa"/>
            <w:noWrap w:val="0"/>
            <w:vAlign w:val="center"/>
          </w:tcPr>
          <w:p w14:paraId="6FE090F8">
            <w:pPr>
              <w:pStyle w:val="12"/>
              <w:keepNext w:val="0"/>
              <w:keepLines w:val="0"/>
              <w:pageBreakBefore w:val="0"/>
              <w:widowControl w:val="0"/>
              <w:kinsoku/>
              <w:wordWrap/>
              <w:overflowPunct/>
              <w:topLinePunct w:val="0"/>
              <w:autoSpaceDE/>
              <w:autoSpaceDN/>
              <w:bidi w:val="0"/>
              <w:adjustRightInd/>
              <w:snapToGrid/>
              <w:spacing w:line="240" w:lineRule="auto"/>
              <w:ind w:left="0" w:right="-11" w:firstLine="0" w:firstLineChars="0"/>
              <w:jc w:val="left"/>
              <w:textAlignment w:val="auto"/>
              <w:rPr>
                <w:rFonts w:hint="eastAsia" w:ascii="宋体" w:hAnsi="宋体" w:eastAsia="宋体" w:cs="宋体"/>
                <w:color w:val="auto"/>
                <w:sz w:val="18"/>
                <w:szCs w:val="18"/>
                <w:highlight w:val="none"/>
                <w:lang w:val="en-US" w:eastAsia="zh-CN" w:bidi="ar"/>
              </w:rPr>
            </w:pPr>
            <w:r>
              <w:rPr>
                <w:rFonts w:hint="eastAsia" w:ascii="宋体" w:hAnsi="宋体" w:eastAsia="宋体" w:cs="宋体"/>
                <w:b w:val="0"/>
                <w:color w:val="auto"/>
                <w:spacing w:val="0"/>
                <w:kern w:val="2"/>
                <w:sz w:val="18"/>
                <w:szCs w:val="18"/>
                <w:highlight w:val="none"/>
                <w:lang w:val="en-US" w:eastAsia="zh-CN" w:bidi="ar"/>
              </w:rPr>
              <w:t>保安人员与保洁人员承诺</w:t>
            </w:r>
            <w:r>
              <w:rPr>
                <w:rFonts w:hint="eastAsia" w:ascii="宋体" w:hAnsi="宋体" w:eastAsia="宋体" w:cs="宋体"/>
                <w:color w:val="auto"/>
                <w:sz w:val="18"/>
                <w:szCs w:val="18"/>
                <w:highlight w:val="none"/>
                <w:lang w:bidi="ar"/>
              </w:rPr>
              <w:t>日常人员工资</w:t>
            </w:r>
            <w:r>
              <w:rPr>
                <w:rFonts w:hint="eastAsia" w:ascii="宋体" w:hAnsi="宋体" w:eastAsia="宋体" w:cs="宋体"/>
                <w:color w:val="auto"/>
                <w:sz w:val="18"/>
                <w:szCs w:val="18"/>
                <w:highlight w:val="none"/>
                <w:lang w:val="en-US" w:eastAsia="zh-CN" w:bidi="ar"/>
              </w:rPr>
              <w:t>不低于2800.00元的，每增加50元加0.5分，满分2分。</w:t>
            </w:r>
          </w:p>
          <w:p w14:paraId="36150756">
            <w:pPr>
              <w:pStyle w:val="12"/>
              <w:keepNext w:val="0"/>
              <w:keepLines w:val="0"/>
              <w:pageBreakBefore w:val="0"/>
              <w:widowControl w:val="0"/>
              <w:kinsoku/>
              <w:wordWrap/>
              <w:overflowPunct/>
              <w:topLinePunct w:val="0"/>
              <w:autoSpaceDE/>
              <w:autoSpaceDN/>
              <w:bidi w:val="0"/>
              <w:adjustRightInd/>
              <w:snapToGrid/>
              <w:spacing w:line="240" w:lineRule="auto"/>
              <w:ind w:left="0" w:right="-11" w:firstLine="0" w:firstLineChars="0"/>
              <w:jc w:val="left"/>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sz w:val="18"/>
                <w:szCs w:val="18"/>
                <w:highlight w:val="none"/>
                <w:lang w:val="en-US" w:eastAsia="zh-CN" w:bidi="ar"/>
              </w:rPr>
              <w:t>保安队长、保洁组长、前台、</w:t>
            </w:r>
            <w:r>
              <w:rPr>
                <w:rFonts w:hint="eastAsia" w:ascii="宋体" w:hAnsi="宋体" w:eastAsia="宋体" w:cs="宋体"/>
                <w:color w:val="auto"/>
                <w:kern w:val="2"/>
                <w:sz w:val="18"/>
                <w:szCs w:val="18"/>
                <w:highlight w:val="none"/>
                <w:lang w:val="en-US" w:eastAsia="zh-CN" w:bidi="ar"/>
              </w:rPr>
              <w:t>监控消控员承诺日常工资不低于3500.00元的得0.5分，每增加100元加0.1分，满分1分。</w:t>
            </w:r>
          </w:p>
          <w:p w14:paraId="4A71A91A">
            <w:pPr>
              <w:pStyle w:val="12"/>
              <w:keepNext w:val="0"/>
              <w:keepLines w:val="0"/>
              <w:pageBreakBefore w:val="0"/>
              <w:widowControl w:val="0"/>
              <w:kinsoku/>
              <w:wordWrap/>
              <w:overflowPunct/>
              <w:topLinePunct w:val="0"/>
              <w:autoSpaceDE/>
              <w:autoSpaceDN/>
              <w:bidi w:val="0"/>
              <w:adjustRightInd/>
              <w:snapToGrid/>
              <w:spacing w:line="240" w:lineRule="auto"/>
              <w:ind w:left="0" w:right="-11" w:firstLine="0" w:firstLineChars="0"/>
              <w:jc w:val="left"/>
              <w:textAlignment w:val="auto"/>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物业经理、电工承诺日常工资不低于5800.00元的得0.5分，每增加100元加0.1分，满分1分。</w:t>
            </w:r>
          </w:p>
          <w:p w14:paraId="0D7236A8">
            <w:pPr>
              <w:pStyle w:val="12"/>
              <w:keepNext w:val="0"/>
              <w:keepLines w:val="0"/>
              <w:pageBreakBefore w:val="0"/>
              <w:widowControl w:val="0"/>
              <w:kinsoku/>
              <w:wordWrap/>
              <w:overflowPunct/>
              <w:topLinePunct w:val="0"/>
              <w:autoSpaceDE/>
              <w:autoSpaceDN/>
              <w:bidi w:val="0"/>
              <w:adjustRightInd/>
              <w:snapToGrid/>
              <w:spacing w:line="240" w:lineRule="auto"/>
              <w:ind w:left="0" w:right="-11" w:firstLine="0" w:firstLineChars="0"/>
              <w:jc w:val="left"/>
              <w:textAlignment w:val="auto"/>
              <w:rPr>
                <w:rFonts w:hint="default"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党群服务中心服务人员承诺日常工资不低于4500.00元的得0.5分，每增加100元加0.1分，满分1分。</w:t>
            </w:r>
          </w:p>
        </w:tc>
      </w:tr>
      <w:tr w14:paraId="14A3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7D59B7C4">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2200" w:type="dxa"/>
            <w:gridSpan w:val="2"/>
            <w:noWrap w:val="0"/>
            <w:vAlign w:val="center"/>
          </w:tcPr>
          <w:p w14:paraId="1D75B4B2">
            <w:pPr>
              <w:adjustRightInd w:val="0"/>
              <w:snapToGrid w:val="0"/>
              <w:spacing w:line="240" w:lineRule="auto"/>
              <w:ind w:left="-5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
              </w:rPr>
              <w:t>投标人为本项目拟投入的设备情况</w:t>
            </w:r>
          </w:p>
        </w:tc>
        <w:tc>
          <w:tcPr>
            <w:tcW w:w="713" w:type="dxa"/>
            <w:noWrap w:val="0"/>
            <w:vAlign w:val="center"/>
          </w:tcPr>
          <w:p w14:paraId="029E5B67">
            <w:pPr>
              <w:adjustRightInd w:val="0"/>
              <w:snapToGrid w:val="0"/>
              <w:spacing w:line="240" w:lineRule="auto"/>
              <w:ind w:right="3"/>
              <w:jc w:val="center"/>
              <w:rPr>
                <w:rFonts w:hint="eastAsia" w:ascii="宋体" w:hAnsi="宋体" w:eastAsia="宋体" w:cs="宋体"/>
                <w:bCs/>
                <w:color w:val="auto"/>
                <w:kern w:val="28"/>
                <w:sz w:val="18"/>
                <w:szCs w:val="18"/>
                <w:highlight w:val="none"/>
                <w:lang w:val="en-US" w:eastAsia="zh-CN"/>
              </w:rPr>
            </w:pPr>
            <w:r>
              <w:rPr>
                <w:rFonts w:hint="eastAsia" w:ascii="宋体" w:hAnsi="宋体" w:eastAsia="宋体" w:cs="宋体"/>
                <w:bCs/>
                <w:color w:val="auto"/>
                <w:kern w:val="28"/>
                <w:sz w:val="18"/>
                <w:szCs w:val="18"/>
                <w:highlight w:val="none"/>
                <w:lang w:val="en-US" w:eastAsia="zh-CN"/>
              </w:rPr>
              <w:t>4</w:t>
            </w:r>
          </w:p>
        </w:tc>
        <w:tc>
          <w:tcPr>
            <w:tcW w:w="5652" w:type="dxa"/>
            <w:noWrap w:val="0"/>
            <w:vAlign w:val="center"/>
          </w:tcPr>
          <w:p w14:paraId="49C02597">
            <w:pPr>
              <w:widowControl/>
              <w:numPr>
                <w:ilvl w:val="0"/>
                <w:numId w:val="0"/>
              </w:numPr>
              <w:tabs>
                <w:tab w:val="left" w:pos="420"/>
              </w:tabs>
              <w:adjustRightInd w:val="0"/>
              <w:snapToGrid w:val="0"/>
              <w:spacing w:line="240" w:lineRule="auto"/>
              <w:ind w:left="0" w:firstLine="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投标人为本项目拟投入的设备其中提供：</w:t>
            </w:r>
          </w:p>
          <w:p w14:paraId="4CEADB0E">
            <w:pPr>
              <w:widowControl/>
              <w:numPr>
                <w:ilvl w:val="0"/>
                <w:numId w:val="37"/>
              </w:numPr>
              <w:tabs>
                <w:tab w:val="left" w:pos="420"/>
              </w:tabs>
              <w:adjustRightInd w:val="0"/>
              <w:snapToGrid w:val="0"/>
              <w:spacing w:line="240" w:lineRule="auto"/>
              <w:ind w:left="425" w:leftChars="0" w:hanging="425" w:firstLineChars="0"/>
              <w:jc w:val="both"/>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四轮双排巡逻车（基本参数中电机功率≥4000W且载客人数达到4-5 人的，得2分，不满足参数要求的不得分）。</w:t>
            </w:r>
          </w:p>
          <w:p w14:paraId="48EA6ED1">
            <w:pPr>
              <w:widowControl/>
              <w:numPr>
                <w:ilvl w:val="0"/>
                <w:numId w:val="37"/>
              </w:numPr>
              <w:tabs>
                <w:tab w:val="left" w:pos="420"/>
              </w:tabs>
              <w:adjustRightInd w:val="0"/>
              <w:snapToGrid w:val="0"/>
              <w:spacing w:line="240" w:lineRule="auto"/>
              <w:ind w:left="425" w:leftChars="0" w:hanging="425" w:firstLineChars="0"/>
              <w:jc w:val="both"/>
              <w:rPr>
                <w:rFonts w:hint="eastAsia" w:ascii="宋体" w:hAnsi="宋体" w:eastAsia="宋体" w:cs="宋体"/>
                <w:b w:val="0"/>
                <w:color w:val="auto"/>
                <w:spacing w:val="0"/>
                <w:kern w:val="0"/>
                <w:sz w:val="18"/>
                <w:szCs w:val="18"/>
                <w:highlight w:val="none"/>
                <w:lang w:val="en-US" w:eastAsia="zh-CN" w:bidi="ar-SA"/>
              </w:rPr>
            </w:pPr>
            <w:r>
              <w:rPr>
                <w:rFonts w:hint="eastAsia" w:ascii="宋体" w:hAnsi="宋体" w:eastAsia="宋体" w:cs="宋体"/>
                <w:b w:val="0"/>
                <w:color w:val="auto"/>
                <w:spacing w:val="0"/>
                <w:kern w:val="0"/>
                <w:sz w:val="18"/>
                <w:szCs w:val="18"/>
                <w:highlight w:val="none"/>
                <w:lang w:val="en-US" w:eastAsia="zh-CN" w:bidi="ar-SA"/>
              </w:rPr>
              <w:t>根据投标供应商提供专业地面清洗设备的情况，由评标委员会综合打分，得0-2分。</w:t>
            </w:r>
          </w:p>
        </w:tc>
      </w:tr>
      <w:tr w14:paraId="49B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30EB881B">
            <w:pPr>
              <w:adjustRightInd w:val="0"/>
              <w:snapToGrid w:val="0"/>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2200" w:type="dxa"/>
            <w:gridSpan w:val="2"/>
            <w:noWrap w:val="0"/>
            <w:vAlign w:val="center"/>
          </w:tcPr>
          <w:p w14:paraId="365E4521">
            <w:pPr>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投标人</w:t>
            </w:r>
            <w:r>
              <w:rPr>
                <w:rFonts w:hint="eastAsia" w:ascii="宋体" w:hAnsi="宋体" w:eastAsia="宋体" w:cs="宋体"/>
                <w:color w:val="auto"/>
                <w:sz w:val="18"/>
                <w:szCs w:val="18"/>
                <w:highlight w:val="none"/>
                <w:lang w:eastAsia="zh-CN"/>
              </w:rPr>
              <w:t>2021年1月1日以来</w:t>
            </w:r>
            <w:r>
              <w:rPr>
                <w:rFonts w:hint="eastAsia" w:ascii="宋体" w:hAnsi="宋体" w:eastAsia="宋体" w:cs="宋体"/>
                <w:color w:val="auto"/>
                <w:sz w:val="18"/>
                <w:szCs w:val="18"/>
                <w:highlight w:val="none"/>
              </w:rPr>
              <w:t>项目业绩</w:t>
            </w:r>
          </w:p>
        </w:tc>
        <w:tc>
          <w:tcPr>
            <w:tcW w:w="713" w:type="dxa"/>
            <w:noWrap w:val="0"/>
            <w:vAlign w:val="center"/>
          </w:tcPr>
          <w:p w14:paraId="3774DCD9">
            <w:pPr>
              <w:adjustRightInd w:val="0"/>
              <w:snapToGrid w:val="0"/>
              <w:spacing w:line="240" w:lineRule="auto"/>
              <w:jc w:val="center"/>
              <w:rPr>
                <w:rFonts w:hint="eastAsia" w:ascii="宋体" w:hAnsi="宋体" w:eastAsia="宋体" w:cs="宋体"/>
                <w:bCs/>
                <w:color w:val="auto"/>
                <w:kern w:val="28"/>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0</w:t>
            </w:r>
          </w:p>
        </w:tc>
        <w:tc>
          <w:tcPr>
            <w:tcW w:w="5652" w:type="dxa"/>
            <w:noWrap w:val="0"/>
            <w:vAlign w:val="center"/>
          </w:tcPr>
          <w:p w14:paraId="4415BF87">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投标人项目业绩（有效业绩以中标通知书发出日期或合同签订日期为准）：</w:t>
            </w:r>
          </w:p>
          <w:p w14:paraId="309F7E5C">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1、提供投标供应商2021年1月1日以来的有高速服务区（停车区）物业管理业绩的，每提供1项业绩得1分，最高4分。</w:t>
            </w:r>
          </w:p>
          <w:p w14:paraId="3967FBA1">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2、提供投标供应商自2021年1月1日以来的公共场所物业管理项目业绩的，每提供1项业绩得0.5分，最高6分。</w:t>
            </w:r>
          </w:p>
          <w:p w14:paraId="00CA84F4">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（提供中标通知书或合同，同个项目不可重复计分）。</w:t>
            </w:r>
          </w:p>
        </w:tc>
      </w:tr>
      <w:tr w14:paraId="6D5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2" w:type="dxa"/>
            <w:noWrap w:val="0"/>
            <w:vAlign w:val="center"/>
          </w:tcPr>
          <w:p w14:paraId="3E7B3C92">
            <w:pPr>
              <w:adjustRightInd w:val="0"/>
              <w:snapToGrid w:val="0"/>
              <w:spacing w:line="240" w:lineRule="auto"/>
              <w:jc w:val="center"/>
              <w:rPr>
                <w:rFonts w:hint="eastAsia" w:ascii="宋体" w:hAnsi="宋体" w:eastAsia="宋体" w:cs="宋体"/>
                <w:color w:val="auto"/>
                <w:sz w:val="18"/>
                <w:szCs w:val="18"/>
                <w:highlight w:val="none"/>
                <w:lang w:val="en-US" w:eastAsia="zh-CN"/>
              </w:rPr>
            </w:pPr>
          </w:p>
        </w:tc>
        <w:tc>
          <w:tcPr>
            <w:tcW w:w="2200" w:type="dxa"/>
            <w:gridSpan w:val="2"/>
            <w:noWrap w:val="0"/>
            <w:vAlign w:val="center"/>
          </w:tcPr>
          <w:p w14:paraId="70FF3B6D">
            <w:pPr>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合计满分</w:t>
            </w:r>
          </w:p>
        </w:tc>
        <w:tc>
          <w:tcPr>
            <w:tcW w:w="713" w:type="dxa"/>
            <w:noWrap w:val="0"/>
            <w:vAlign w:val="center"/>
          </w:tcPr>
          <w:p w14:paraId="70CB3F31">
            <w:pPr>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=SUM(ABOVE) \* MERGEFORMAT </w:instrText>
            </w:r>
            <w:r>
              <w:rPr>
                <w:rFonts w:hint="eastAsia" w:ascii="宋体" w:hAnsi="宋体" w:eastAsia="宋体" w:cs="宋体"/>
                <w:color w:val="auto"/>
                <w:sz w:val="18"/>
                <w:szCs w:val="18"/>
                <w:highlight w:val="none"/>
              </w:rPr>
              <w:fldChar w:fldCharType="separate"/>
            </w:r>
            <w:r>
              <w:rPr>
                <w:rFonts w:hint="eastAsia" w:ascii="宋体" w:hAnsi="宋体" w:eastAsia="宋体" w:cs="宋体"/>
                <w:color w:val="auto"/>
                <w:sz w:val="18"/>
                <w:szCs w:val="18"/>
                <w:highlight w:val="none"/>
              </w:rPr>
              <w:t>80</w:t>
            </w:r>
            <w:r>
              <w:rPr>
                <w:rFonts w:hint="eastAsia" w:ascii="宋体" w:hAnsi="宋体" w:eastAsia="宋体" w:cs="宋体"/>
                <w:color w:val="auto"/>
                <w:sz w:val="18"/>
                <w:szCs w:val="18"/>
                <w:highlight w:val="none"/>
              </w:rPr>
              <w:fldChar w:fldCharType="end"/>
            </w:r>
          </w:p>
        </w:tc>
        <w:tc>
          <w:tcPr>
            <w:tcW w:w="5652" w:type="dxa"/>
            <w:noWrap w:val="0"/>
            <w:vAlign w:val="center"/>
          </w:tcPr>
          <w:p w14:paraId="27388EDC">
            <w:pPr>
              <w:widowControl/>
              <w:adjustRightInd w:val="0"/>
              <w:snapToGrid w:val="0"/>
              <w:spacing w:line="240" w:lineRule="auto"/>
              <w:rPr>
                <w:rFonts w:hint="eastAsia" w:ascii="宋体" w:hAnsi="宋体" w:eastAsia="宋体" w:cs="宋体"/>
                <w:color w:val="auto"/>
                <w:kern w:val="0"/>
                <w:sz w:val="18"/>
                <w:szCs w:val="18"/>
                <w:highlight w:val="none"/>
                <w:lang w:val="en-US" w:eastAsia="zh-CN" w:bidi="ar"/>
              </w:rPr>
            </w:pPr>
          </w:p>
        </w:tc>
      </w:tr>
    </w:tbl>
    <w:p w14:paraId="17156BA3">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14:paraId="5539A90B">
      <w:pPr>
        <w:overflowPunct w:val="0"/>
        <w:ind w:firstLine="440" w:firstLineChars="200"/>
        <w:rPr>
          <w:rFonts w:hint="eastAsia" w:ascii="宋体" w:hAnsi="宋体" w:eastAsia="宋体" w:cs="宋体"/>
          <w:color w:val="auto"/>
          <w:sz w:val="22"/>
          <w:highlight w:val="none"/>
        </w:rPr>
      </w:pPr>
      <w:bookmarkStart w:id="226" w:name="_Hlk11188594"/>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）投标供应商提供的相关证明资料、截图查询证明等资料模糊不清，评委无法判断或者难以辨认时，评委评审时将作未提供相关资料处理。</w:t>
      </w:r>
    </w:p>
    <w:p w14:paraId="78B9FA74">
      <w:pPr>
        <w:overflowPunct w:val="0"/>
        <w:ind w:firstLine="440" w:firstLineChars="200"/>
        <w:rPr>
          <w:rFonts w:hint="eastAsia" w:ascii="宋体" w:hAnsi="宋体" w:eastAsia="宋体" w:cs="宋体"/>
          <w:color w:val="auto"/>
          <w:sz w:val="22"/>
          <w:highlight w:val="none"/>
        </w:rPr>
      </w:pPr>
    </w:p>
    <w:p w14:paraId="23E309BC">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20</w:t>
      </w:r>
      <w:r>
        <w:rPr>
          <w:rFonts w:hint="eastAsia" w:ascii="宋体" w:hAnsi="宋体" w:eastAsia="宋体" w:cs="宋体"/>
          <w:b/>
          <w:color w:val="auto"/>
          <w:sz w:val="22"/>
          <w:highlight w:val="none"/>
        </w:rPr>
        <w:t>分）：</w:t>
      </w:r>
    </w:p>
    <w:bookmarkEnd w:id="226"/>
    <w:p w14:paraId="13795F5A">
      <w:pPr>
        <w:ind w:firstLine="440" w:firstLineChars="200"/>
        <w:rPr>
          <w:rFonts w:hint="eastAsia" w:ascii="宋体" w:hAnsi="宋体" w:eastAsia="宋体" w:cs="宋体"/>
          <w:color w:val="auto"/>
          <w:sz w:val="22"/>
          <w:highlight w:val="none"/>
        </w:rPr>
      </w:pPr>
      <w:bookmarkStart w:id="227"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文件要求且投标价格最低的投标报价为评标基准价</w:t>
      </w:r>
      <w:r>
        <w:rPr>
          <w:rFonts w:hint="eastAsia" w:ascii="宋体" w:hAnsi="宋体" w:eastAsia="宋体" w:cs="宋体"/>
          <w:color w:val="auto"/>
          <w:sz w:val="22"/>
          <w:highlight w:val="none"/>
          <w:lang w:eastAsia="zh-CN"/>
        </w:rPr>
        <w:t>；</w:t>
      </w:r>
    </w:p>
    <w:p w14:paraId="05FD9260">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评分值为满分20分；</w:t>
      </w:r>
    </w:p>
    <w:p w14:paraId="06F9C5D8">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14:paraId="4ED7EE00">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14:paraId="746A67A0">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本项目价格权值为20%</w:t>
      </w:r>
      <w:r>
        <w:rPr>
          <w:rFonts w:hint="eastAsia" w:ascii="宋体" w:hAnsi="宋体" w:eastAsia="宋体" w:cs="宋体"/>
          <w:color w:val="auto"/>
          <w:sz w:val="22"/>
          <w:highlight w:val="none"/>
        </w:rPr>
        <w:t>。</w:t>
      </w:r>
    </w:p>
    <w:bookmarkEnd w:id="227"/>
    <w:p w14:paraId="51B55F48">
      <w:pPr>
        <w:rPr>
          <w:rFonts w:hint="eastAsia" w:ascii="宋体" w:hAnsi="宋体" w:eastAsia="宋体" w:cs="宋体"/>
          <w:b/>
          <w:color w:val="auto"/>
          <w:sz w:val="22"/>
          <w:highlight w:val="none"/>
        </w:rPr>
      </w:pPr>
      <w:r>
        <w:rPr>
          <w:rFonts w:hint="eastAsia" w:ascii="宋体" w:hAnsi="宋体" w:eastAsia="宋体" w:cs="宋体"/>
          <w:color w:val="auto"/>
          <w:sz w:val="22"/>
          <w:highlight w:val="none"/>
        </w:rPr>
        <w:t xml:space="preserve">    </w:t>
      </w:r>
      <w:r>
        <w:rPr>
          <w:rFonts w:hint="eastAsia" w:ascii="宋体" w:hAnsi="宋体" w:eastAsia="宋体" w:cs="宋体"/>
          <w:b/>
          <w:color w:val="auto"/>
          <w:sz w:val="22"/>
          <w:highlight w:val="none"/>
        </w:rPr>
        <w:t>3、本次采购</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为人民币</w:t>
      </w:r>
      <w:r>
        <w:rPr>
          <w:rFonts w:hint="eastAsia" w:ascii="宋体" w:hAnsi="宋体" w:eastAsia="宋体" w:cs="宋体"/>
          <w:b/>
          <w:color w:val="auto"/>
          <w:sz w:val="22"/>
          <w:highlight w:val="none"/>
          <w:lang w:val="en-US" w:eastAsia="zh-CN"/>
        </w:rPr>
        <w:t>384</w:t>
      </w:r>
      <w:r>
        <w:rPr>
          <w:rFonts w:hint="eastAsia" w:ascii="宋体" w:hAnsi="宋体" w:eastAsia="宋体" w:cs="宋体"/>
          <w:b/>
          <w:color w:val="auto"/>
          <w:sz w:val="22"/>
          <w:highlight w:val="none"/>
        </w:rPr>
        <w:t>万元, 如投标供应商报价超过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按无效标处理。</w:t>
      </w:r>
    </w:p>
    <w:p w14:paraId="1F5EFE25">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4、如所有投标供应商报价均超过</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rPr>
        <w:t>，此项目废标，应重新组织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14:paraId="11557A65">
      <w:pPr>
        <w:ind w:firstLine="442" w:firstLineChars="200"/>
        <w:rPr>
          <w:rFonts w:hint="eastAsia" w:ascii="宋体" w:hAnsi="宋体" w:eastAsia="宋体" w:cs="宋体"/>
          <w:color w:val="auto"/>
          <w:sz w:val="22"/>
          <w:highlight w:val="none"/>
          <w:lang w:val="en-US" w:eastAsia="zh-CN"/>
        </w:rPr>
      </w:pPr>
      <w:r>
        <w:rPr>
          <w:rFonts w:hint="eastAsia" w:ascii="宋体" w:hAnsi="宋体" w:eastAsia="宋体" w:cs="宋体"/>
          <w:b/>
          <w:bCs/>
          <w:color w:val="auto"/>
          <w:sz w:val="22"/>
          <w:szCs w:val="22"/>
          <w:highlight w:val="none"/>
          <w:lang w:val="en-US" w:eastAsia="zh-CN"/>
        </w:rPr>
        <w:t>5、投标分项报价表中</w:t>
      </w:r>
      <w:r>
        <w:rPr>
          <w:rFonts w:hint="eastAsia" w:ascii="宋体" w:hAnsi="宋体" w:eastAsia="宋体" w:cs="宋体"/>
          <w:b/>
          <w:bCs/>
          <w:color w:val="auto"/>
          <w:sz w:val="21"/>
          <w:szCs w:val="21"/>
          <w:highlight w:val="none"/>
          <w:lang w:val="en-US" w:eastAsia="zh-CN"/>
        </w:rPr>
        <w:t>各岗位人员“</w:t>
      </w:r>
      <w:r>
        <w:rPr>
          <w:rFonts w:hint="eastAsia" w:ascii="宋体" w:hAnsi="宋体" w:eastAsia="宋体" w:cs="宋体"/>
          <w:b/>
          <w:bCs/>
          <w:color w:val="auto"/>
          <w:sz w:val="21"/>
          <w:szCs w:val="21"/>
          <w:highlight w:val="none"/>
        </w:rPr>
        <w:t>日常</w:t>
      </w:r>
      <w:r>
        <w:rPr>
          <w:rFonts w:hint="eastAsia" w:ascii="宋体" w:hAnsi="宋体" w:eastAsia="宋体" w:cs="宋体"/>
          <w:b/>
          <w:bCs/>
          <w:color w:val="auto"/>
          <w:sz w:val="21"/>
          <w:szCs w:val="21"/>
          <w:highlight w:val="none"/>
          <w:lang w:val="en-US" w:eastAsia="zh-CN"/>
        </w:rPr>
        <w:t>岗位</w:t>
      </w:r>
      <w:r>
        <w:rPr>
          <w:rFonts w:hint="eastAsia" w:ascii="宋体" w:hAnsi="宋体" w:eastAsia="宋体" w:cs="宋体"/>
          <w:b/>
          <w:bCs/>
          <w:color w:val="auto"/>
          <w:sz w:val="21"/>
          <w:szCs w:val="21"/>
          <w:highlight w:val="none"/>
        </w:rPr>
        <w:t>工资</w:t>
      </w:r>
      <w:r>
        <w:rPr>
          <w:rFonts w:hint="eastAsia" w:ascii="宋体" w:hAnsi="宋体" w:eastAsia="宋体" w:cs="宋体"/>
          <w:b/>
          <w:bCs/>
          <w:color w:val="auto"/>
          <w:sz w:val="21"/>
          <w:szCs w:val="21"/>
          <w:highlight w:val="none"/>
          <w:lang w:val="en-US" w:eastAsia="zh-CN"/>
        </w:rPr>
        <w:t>”报价低于附件十一“服务人员最低月工资承诺函”中所承诺金额的，商务报价评分将按0分处理，低于2800元/月·人的作无效标处理。</w:t>
      </w:r>
    </w:p>
    <w:p w14:paraId="25384D9C">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、各有效投标供应商的综合得分为技术资信分和商务（报价）分的总和。</w:t>
      </w:r>
    </w:p>
    <w:p w14:paraId="1DDD309C">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、评标委员会按各有效投标供应商综合得分高低顺序排列，综合得分第一名的投标人作为中标候选供应商，并提交评标报告。</w:t>
      </w:r>
    </w:p>
    <w:p w14:paraId="3782A1C6">
      <w:pPr>
        <w:ind w:firstLine="440" w:firstLineChars="200"/>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14:paraId="2618B9E2">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8" w:name="_Toc221356904"/>
      <w:bookmarkStart w:id="229" w:name="_Toc221356967"/>
    </w:p>
    <w:p w14:paraId="4CDFB9A0">
      <w:pPr>
        <w:ind w:left="424" w:leftChars="1" w:hanging="422" w:hangingChars="191"/>
        <w:rPr>
          <w:rFonts w:hint="eastAsia" w:ascii="宋体" w:hAnsi="宋体" w:eastAsia="宋体" w:cs="宋体"/>
          <w:color w:val="auto"/>
          <w:highlight w:val="none"/>
        </w:rPr>
      </w:pPr>
      <w:r>
        <w:rPr>
          <w:rFonts w:hint="eastAsia" w:ascii="宋体" w:hAnsi="宋体" w:eastAsia="宋体" w:cs="宋体"/>
          <w:b/>
          <w:color w:val="auto"/>
          <w:sz w:val="22"/>
          <w:szCs w:val="24"/>
          <w:highlight w:val="none"/>
        </w:rPr>
        <w:t xml:space="preserve">1、 </w:t>
      </w:r>
      <w:r>
        <w:rPr>
          <w:rFonts w:hint="eastAsia" w:ascii="宋体" w:hAnsi="宋体" w:eastAsia="宋体" w:cs="宋体"/>
          <w:color w:val="auto"/>
          <w:sz w:val="22"/>
          <w:highlight w:val="none"/>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14:paraId="3C8D428B">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14:paraId="763C9110">
      <w:pPr>
        <w:ind w:left="425" w:hanging="424" w:hangingChars="193"/>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14:paraId="7424FA2C">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8"/>
      <w:bookmarkEnd w:id="229"/>
    </w:p>
    <w:p w14:paraId="707B2A60">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评标结束后，采购人将在发布采购公告的网站上公示中标结果。中标公告期为3日，中标公告期限结束无异议的，采购人向中标人发出中标通知书。</w:t>
      </w:r>
    </w:p>
    <w:p w14:paraId="6F0251B5">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各投标人对评标结果如有异议，可在中标公告期内以书面形式向采购人进行署名投诉或提出质疑，但需对投诉或质疑内容的真实性承担法律责任。</w:t>
      </w:r>
    </w:p>
    <w:p w14:paraId="5488423D">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14:paraId="0E5DCBC9">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2414">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9BDE2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99BDE28">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6F28">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14:paraId="0C0703D6">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9564">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1F90B3C"/>
    <w:multiLevelType w:val="singleLevel"/>
    <w:tmpl w:val="A1F90B3C"/>
    <w:lvl w:ilvl="0" w:tentative="0">
      <w:start w:val="1"/>
      <w:numFmt w:val="decimalEnclosedCircleChinese"/>
      <w:suff w:val="nothing"/>
      <w:lvlText w:val="%1　"/>
      <w:lvlJc w:val="left"/>
      <w:pPr>
        <w:ind w:left="20" w:firstLine="400"/>
      </w:pPr>
      <w:rPr>
        <w:rFonts w:hint="eastAsia"/>
      </w:rPr>
    </w:lvl>
  </w:abstractNum>
  <w:abstractNum w:abstractNumId="3">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CBAE81D7"/>
    <w:multiLevelType w:val="multilevel"/>
    <w:tmpl w:val="CBAE81D7"/>
    <w:lvl w:ilvl="0" w:tentative="0">
      <w:start w:val="1"/>
      <w:numFmt w:val="decimal"/>
      <w:lvlText w:val="31.%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1"/>
    <w:multiLevelType w:val="singleLevel"/>
    <w:tmpl w:val="00000001"/>
    <w:lvl w:ilvl="0" w:tentative="0">
      <w:start w:val="1"/>
      <w:numFmt w:val="decimal"/>
      <w:lvlText w:val="%1."/>
      <w:lvlJc w:val="left"/>
      <w:pPr>
        <w:ind w:left="425" w:hanging="425"/>
      </w:pPr>
      <w:rPr>
        <w:rFonts w:hint="default"/>
      </w:rPr>
    </w:lvl>
  </w:abstractNum>
  <w:abstractNum w:abstractNumId="7">
    <w:nsid w:val="00000002"/>
    <w:multiLevelType w:val="multilevel"/>
    <w:tmpl w:val="00000002"/>
    <w:lvl w:ilvl="0" w:tentative="0">
      <w:start w:val="1"/>
      <w:numFmt w:val="chineseCounting"/>
      <w:suff w:val="nothing"/>
      <w:lvlText w:val="%1、"/>
      <w:lvlJc w:val="left"/>
      <w:pPr>
        <w:ind w:left="0" w:firstLine="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3"/>
    <w:multiLevelType w:val="multilevel"/>
    <w:tmpl w:val="00000003"/>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0000005"/>
    <w:multiLevelType w:val="multilevel"/>
    <w:tmpl w:val="00000005"/>
    <w:lvl w:ilvl="0" w:tentative="0">
      <w:start w:val="1"/>
      <w:numFmt w:val="bullet"/>
      <w:lvlText w:val=""/>
      <w:lvlJc w:val="left"/>
      <w:pPr>
        <w:tabs>
          <w:tab w:val="left" w:pos="510"/>
        </w:tabs>
        <w:ind w:left="510" w:hanging="51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02204323"/>
    <w:multiLevelType w:val="multilevel"/>
    <w:tmpl w:val="02204323"/>
    <w:lvl w:ilvl="0" w:tentative="0">
      <w:start w:val="1"/>
      <w:numFmt w:val="decimal"/>
      <w:lvlText w:val="%1、"/>
      <w:lvlJc w:val="left"/>
      <w:pPr>
        <w:ind w:left="420" w:hanging="420"/>
      </w:pPr>
      <w:rPr>
        <w:rFonts w:hint="eastAsia" w:ascii="宋体" w:hAnsi="宋体" w:eastAsia="宋体" w:cs="宋体"/>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chineseCountingThousand"/>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073247F6"/>
    <w:multiLevelType w:val="multilevel"/>
    <w:tmpl w:val="073247F6"/>
    <w:lvl w:ilvl="0" w:tentative="0">
      <w:start w:val="1"/>
      <w:numFmt w:val="decimal"/>
      <w:lvlText w:val="%1、"/>
      <w:lvlJc w:val="left"/>
      <w:pPr>
        <w:ind w:left="420" w:hanging="420"/>
      </w:pPr>
      <w:rPr>
        <w:rFonts w:hint="eastAsia" w:ascii="宋体" w:hAnsi="宋体" w:eastAsia="宋体" w:cs="宋体"/>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chineseCountingThousand"/>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40C32C46"/>
    <w:multiLevelType w:val="multilevel"/>
    <w:tmpl w:val="40C32C46"/>
    <w:lvl w:ilvl="0" w:tentative="0">
      <w:start w:val="2"/>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21020B9"/>
    <w:multiLevelType w:val="multilevel"/>
    <w:tmpl w:val="421020B9"/>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7">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8">
    <w:nsid w:val="5D327579"/>
    <w:multiLevelType w:val="singleLevel"/>
    <w:tmpl w:val="5D327579"/>
    <w:lvl w:ilvl="0" w:tentative="0">
      <w:start w:val="1"/>
      <w:numFmt w:val="decimal"/>
      <w:suff w:val="nothing"/>
      <w:lvlText w:val="%1、"/>
      <w:lvlJc w:val="left"/>
    </w:lvl>
  </w:abstractNum>
  <w:abstractNum w:abstractNumId="29">
    <w:nsid w:val="5F330199"/>
    <w:multiLevelType w:val="multilevel"/>
    <w:tmpl w:val="5F33019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0ACAF2B"/>
    <w:multiLevelType w:val="multilevel"/>
    <w:tmpl w:val="60ACAF2B"/>
    <w:lvl w:ilvl="0" w:tentative="0">
      <w:start w:val="1"/>
      <w:numFmt w:val="decimal"/>
      <w:lvlText w:val="31.%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1">
    <w:nsid w:val="61C91FB3"/>
    <w:multiLevelType w:val="multilevel"/>
    <w:tmpl w:val="61C91FB3"/>
    <w:lvl w:ilvl="0" w:tentative="0">
      <w:start w:val="1"/>
      <w:numFmt w:val="decimal"/>
      <w:pStyle w:val="56"/>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AE01F9E"/>
    <w:multiLevelType w:val="singleLevel"/>
    <w:tmpl w:val="7AE01F9E"/>
    <w:lvl w:ilvl="0" w:tentative="0">
      <w:start w:val="2"/>
      <w:numFmt w:val="chineseCounting"/>
      <w:suff w:val="nothing"/>
      <w:lvlText w:val="%1、"/>
      <w:lvlJc w:val="left"/>
      <w:rPr>
        <w:rFonts w:hint="eastAsia"/>
      </w:rPr>
    </w:lvl>
  </w:abstractNum>
  <w:abstractNum w:abstractNumId="35">
    <w:nsid w:val="7F3C0690"/>
    <w:multiLevelType w:val="multilevel"/>
    <w:tmpl w:val="7F3C0690"/>
    <w:lvl w:ilvl="0" w:tentative="0">
      <w:start w:val="1"/>
      <w:numFmt w:val="decimal"/>
      <w:lvlText w:val="%1."/>
      <w:lvlJc w:val="left"/>
      <w:pPr>
        <w:tabs>
          <w:tab w:val="left" w:pos="680"/>
        </w:tabs>
        <w:ind w:left="680" w:hanging="680"/>
      </w:pPr>
      <w:rPr>
        <w:rFonts w:hint="default" w:ascii="Arial" w:hAnsi="Arial" w:eastAsia="宋体"/>
        <w:b/>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31"/>
  </w:num>
  <w:num w:numId="2">
    <w:abstractNumId w:val="32"/>
  </w:num>
  <w:num w:numId="3">
    <w:abstractNumId w:val="11"/>
  </w:num>
  <w:num w:numId="4">
    <w:abstractNumId w:val="10"/>
  </w:num>
  <w:num w:numId="5">
    <w:abstractNumId w:val="13"/>
  </w:num>
  <w:num w:numId="6">
    <w:abstractNumId w:val="21"/>
  </w:num>
  <w:num w:numId="7">
    <w:abstractNumId w:val="18"/>
  </w:num>
  <w:num w:numId="8">
    <w:abstractNumId w:val="20"/>
  </w:num>
  <w:num w:numId="9">
    <w:abstractNumId w:val="33"/>
  </w:num>
  <w:num w:numId="10">
    <w:abstractNumId w:val="16"/>
  </w:num>
  <w:num w:numId="11">
    <w:abstractNumId w:val="17"/>
  </w:num>
  <w:num w:numId="12">
    <w:abstractNumId w:val="12"/>
  </w:num>
  <w:num w:numId="13">
    <w:abstractNumId w:val="1"/>
  </w:num>
  <w:num w:numId="14">
    <w:abstractNumId w:val="19"/>
  </w:num>
  <w:num w:numId="15">
    <w:abstractNumId w:val="14"/>
  </w:num>
  <w:num w:numId="16">
    <w:abstractNumId w:val="15"/>
  </w:num>
  <w:num w:numId="17">
    <w:abstractNumId w:val="22"/>
  </w:num>
  <w:num w:numId="18">
    <w:abstractNumId w:val="5"/>
  </w:num>
  <w:num w:numId="19">
    <w:abstractNumId w:val="0"/>
  </w:num>
  <w:num w:numId="20">
    <w:abstractNumId w:val="4"/>
  </w:num>
  <w:num w:numId="21">
    <w:abstractNumId w:val="3"/>
  </w:num>
  <w:num w:numId="22">
    <w:abstractNumId w:val="30"/>
  </w:num>
  <w:num w:numId="23">
    <w:abstractNumId w:val="7"/>
    <w:lvlOverride w:ilvl="0">
      <w:startOverride w:val="1"/>
    </w:lvlOverride>
  </w:num>
  <w:num w:numId="24">
    <w:abstractNumId w:val="7"/>
  </w:num>
  <w:num w:numId="25">
    <w:abstractNumId w:val="8"/>
  </w:num>
  <w:num w:numId="26">
    <w:abstractNumId w:val="27"/>
  </w:num>
  <w:num w:numId="27">
    <w:abstractNumId w:val="28"/>
  </w:num>
  <w:num w:numId="28">
    <w:abstractNumId w:val="29"/>
  </w:num>
  <w:num w:numId="29">
    <w:abstractNumId w:val="26"/>
  </w:num>
  <w:num w:numId="30">
    <w:abstractNumId w:val="34"/>
  </w:num>
  <w:num w:numId="31">
    <w:abstractNumId w:val="35"/>
  </w:num>
  <w:num w:numId="32">
    <w:abstractNumId w:val="9"/>
  </w:num>
  <w:num w:numId="33">
    <w:abstractNumId w:val="23"/>
  </w:num>
  <w:num w:numId="34">
    <w:abstractNumId w:val="24"/>
  </w:num>
  <w:num w:numId="35">
    <w:abstractNumId w:val="25"/>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TBkMTM2NTFiZTgyZThjMmVjYWFlOGJjYTJlNGM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1F7665B"/>
    <w:rsid w:val="02197961"/>
    <w:rsid w:val="02225E7B"/>
    <w:rsid w:val="02D24484"/>
    <w:rsid w:val="0390360A"/>
    <w:rsid w:val="039C74BF"/>
    <w:rsid w:val="04824617"/>
    <w:rsid w:val="04D83AD1"/>
    <w:rsid w:val="05380AFF"/>
    <w:rsid w:val="055022DD"/>
    <w:rsid w:val="07B211EB"/>
    <w:rsid w:val="07E27C7A"/>
    <w:rsid w:val="097769B8"/>
    <w:rsid w:val="0A0028B7"/>
    <w:rsid w:val="0A0C1598"/>
    <w:rsid w:val="0A0D1766"/>
    <w:rsid w:val="0A474359"/>
    <w:rsid w:val="0B681B73"/>
    <w:rsid w:val="0EF123DD"/>
    <w:rsid w:val="0FA90764"/>
    <w:rsid w:val="109B2372"/>
    <w:rsid w:val="10DC4179"/>
    <w:rsid w:val="127D5FE1"/>
    <w:rsid w:val="12D60804"/>
    <w:rsid w:val="131F731B"/>
    <w:rsid w:val="134C3973"/>
    <w:rsid w:val="13855179"/>
    <w:rsid w:val="14362C14"/>
    <w:rsid w:val="144607CD"/>
    <w:rsid w:val="14E775D9"/>
    <w:rsid w:val="16F0162C"/>
    <w:rsid w:val="17204078"/>
    <w:rsid w:val="175D20E7"/>
    <w:rsid w:val="17951D53"/>
    <w:rsid w:val="17F42F7B"/>
    <w:rsid w:val="189F6425"/>
    <w:rsid w:val="194873ED"/>
    <w:rsid w:val="194A795A"/>
    <w:rsid w:val="1A832753"/>
    <w:rsid w:val="1AB7139C"/>
    <w:rsid w:val="1B55070F"/>
    <w:rsid w:val="1C1A3373"/>
    <w:rsid w:val="1C74219B"/>
    <w:rsid w:val="1CA9457D"/>
    <w:rsid w:val="1CFE561E"/>
    <w:rsid w:val="1FED6319"/>
    <w:rsid w:val="201179B6"/>
    <w:rsid w:val="20512598"/>
    <w:rsid w:val="20643D84"/>
    <w:rsid w:val="20E12C42"/>
    <w:rsid w:val="211D2FFF"/>
    <w:rsid w:val="22AE0075"/>
    <w:rsid w:val="23701F89"/>
    <w:rsid w:val="23E20B30"/>
    <w:rsid w:val="25074D3A"/>
    <w:rsid w:val="25722EEF"/>
    <w:rsid w:val="267E7AA6"/>
    <w:rsid w:val="276878F2"/>
    <w:rsid w:val="27A0246B"/>
    <w:rsid w:val="27A25135"/>
    <w:rsid w:val="27AB3D4E"/>
    <w:rsid w:val="27CB4942"/>
    <w:rsid w:val="28D36913"/>
    <w:rsid w:val="292170A7"/>
    <w:rsid w:val="2A4F3B9E"/>
    <w:rsid w:val="2A5D30E7"/>
    <w:rsid w:val="2BAE17FF"/>
    <w:rsid w:val="2BE91F37"/>
    <w:rsid w:val="2C7A749B"/>
    <w:rsid w:val="2CF325E7"/>
    <w:rsid w:val="2D394F92"/>
    <w:rsid w:val="2D8C35AC"/>
    <w:rsid w:val="2D8D700C"/>
    <w:rsid w:val="2DA134B8"/>
    <w:rsid w:val="2DE46FCA"/>
    <w:rsid w:val="2F922452"/>
    <w:rsid w:val="2FD76B14"/>
    <w:rsid w:val="30856178"/>
    <w:rsid w:val="321565DA"/>
    <w:rsid w:val="323F36A4"/>
    <w:rsid w:val="34122848"/>
    <w:rsid w:val="341A30EC"/>
    <w:rsid w:val="34402E73"/>
    <w:rsid w:val="363F6564"/>
    <w:rsid w:val="367A561E"/>
    <w:rsid w:val="370E5AB9"/>
    <w:rsid w:val="373B5261"/>
    <w:rsid w:val="3879381B"/>
    <w:rsid w:val="38DA2725"/>
    <w:rsid w:val="38F76E7A"/>
    <w:rsid w:val="39644506"/>
    <w:rsid w:val="396E7463"/>
    <w:rsid w:val="397702BB"/>
    <w:rsid w:val="3A3B0A05"/>
    <w:rsid w:val="3B274F84"/>
    <w:rsid w:val="3B665F58"/>
    <w:rsid w:val="3BAF5709"/>
    <w:rsid w:val="3C294FC1"/>
    <w:rsid w:val="3D602EC0"/>
    <w:rsid w:val="3D6B3046"/>
    <w:rsid w:val="3F2A0CE7"/>
    <w:rsid w:val="400A66DC"/>
    <w:rsid w:val="41E16035"/>
    <w:rsid w:val="42F8526C"/>
    <w:rsid w:val="43255009"/>
    <w:rsid w:val="436822EB"/>
    <w:rsid w:val="43E2309D"/>
    <w:rsid w:val="446316C8"/>
    <w:rsid w:val="457703BB"/>
    <w:rsid w:val="461D61E6"/>
    <w:rsid w:val="465B07E0"/>
    <w:rsid w:val="465B19C6"/>
    <w:rsid w:val="46D87095"/>
    <w:rsid w:val="46F359A1"/>
    <w:rsid w:val="473E2E99"/>
    <w:rsid w:val="4766166B"/>
    <w:rsid w:val="47CF2F88"/>
    <w:rsid w:val="47FE4D25"/>
    <w:rsid w:val="486B260B"/>
    <w:rsid w:val="499015D2"/>
    <w:rsid w:val="49B7682C"/>
    <w:rsid w:val="4A6142EA"/>
    <w:rsid w:val="4A7C50FD"/>
    <w:rsid w:val="4B9C5A94"/>
    <w:rsid w:val="4BC573A8"/>
    <w:rsid w:val="4BE13907"/>
    <w:rsid w:val="4C1C3E43"/>
    <w:rsid w:val="4CBD124A"/>
    <w:rsid w:val="4DF55A70"/>
    <w:rsid w:val="4ECB70F3"/>
    <w:rsid w:val="4F5D3335"/>
    <w:rsid w:val="4F6164F5"/>
    <w:rsid w:val="4FA97952"/>
    <w:rsid w:val="506F4E1E"/>
    <w:rsid w:val="51F35615"/>
    <w:rsid w:val="53F44CB7"/>
    <w:rsid w:val="540E20B0"/>
    <w:rsid w:val="55482FE4"/>
    <w:rsid w:val="55D40B98"/>
    <w:rsid w:val="56C33545"/>
    <w:rsid w:val="56F02839"/>
    <w:rsid w:val="576D6D37"/>
    <w:rsid w:val="58A514A0"/>
    <w:rsid w:val="58D20B4F"/>
    <w:rsid w:val="59134369"/>
    <w:rsid w:val="59B33345"/>
    <w:rsid w:val="5A431DCD"/>
    <w:rsid w:val="5A4474E6"/>
    <w:rsid w:val="5B736D73"/>
    <w:rsid w:val="5D1C7AB0"/>
    <w:rsid w:val="5D5F1CFA"/>
    <w:rsid w:val="5DF30FB6"/>
    <w:rsid w:val="5DFE4642"/>
    <w:rsid w:val="5E7D4C2D"/>
    <w:rsid w:val="5F99219D"/>
    <w:rsid w:val="60AB6EDD"/>
    <w:rsid w:val="63007260"/>
    <w:rsid w:val="63160A12"/>
    <w:rsid w:val="63241CE6"/>
    <w:rsid w:val="641D786A"/>
    <w:rsid w:val="64795514"/>
    <w:rsid w:val="65172004"/>
    <w:rsid w:val="65B07580"/>
    <w:rsid w:val="65F9165C"/>
    <w:rsid w:val="66951383"/>
    <w:rsid w:val="67296664"/>
    <w:rsid w:val="67404828"/>
    <w:rsid w:val="67AA1206"/>
    <w:rsid w:val="68D67726"/>
    <w:rsid w:val="691177C5"/>
    <w:rsid w:val="69F04C89"/>
    <w:rsid w:val="6A6E2984"/>
    <w:rsid w:val="6B253BC7"/>
    <w:rsid w:val="6B924AC0"/>
    <w:rsid w:val="6BE14F0E"/>
    <w:rsid w:val="6C6E57C2"/>
    <w:rsid w:val="6CEE2778"/>
    <w:rsid w:val="6DEC77D0"/>
    <w:rsid w:val="6F9371EB"/>
    <w:rsid w:val="6FDB3E77"/>
    <w:rsid w:val="71B740EC"/>
    <w:rsid w:val="72223A16"/>
    <w:rsid w:val="72245523"/>
    <w:rsid w:val="72B917BC"/>
    <w:rsid w:val="72BB0AD8"/>
    <w:rsid w:val="72C1286E"/>
    <w:rsid w:val="73E55E1C"/>
    <w:rsid w:val="74277D91"/>
    <w:rsid w:val="74387DB6"/>
    <w:rsid w:val="7465193A"/>
    <w:rsid w:val="759E0068"/>
    <w:rsid w:val="76110A91"/>
    <w:rsid w:val="7649793B"/>
    <w:rsid w:val="77AD0A02"/>
    <w:rsid w:val="785A05EC"/>
    <w:rsid w:val="78A35E38"/>
    <w:rsid w:val="79E93803"/>
    <w:rsid w:val="79F57DFF"/>
    <w:rsid w:val="7A316A2D"/>
    <w:rsid w:val="7AEE79C2"/>
    <w:rsid w:val="7B933E36"/>
    <w:rsid w:val="7C200EF9"/>
    <w:rsid w:val="7C2C6B59"/>
    <w:rsid w:val="7D7B47E8"/>
    <w:rsid w:val="7E6F0C8B"/>
    <w:rsid w:val="7EA44C35"/>
    <w:rsid w:val="7F0A5FAD"/>
    <w:rsid w:val="7F9D77A7"/>
    <w:rsid w:val="7F9E4398"/>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9">
    <w:name w:val="Normal Indent"/>
    <w:basedOn w:val="1"/>
    <w:qFormat/>
    <w:uiPriority w:val="0"/>
    <w:pPr>
      <w:adjustRightInd w:val="0"/>
      <w:spacing w:line="312" w:lineRule="atLeast"/>
      <w:ind w:firstLine="420"/>
      <w:textAlignment w:val="baseline"/>
    </w:pPr>
    <w:rPr>
      <w:kern w:val="0"/>
      <w:szCs w:val="20"/>
    </w:rPr>
  </w:style>
  <w:style w:type="paragraph" w:styleId="10">
    <w:name w:val="annotation text"/>
    <w:basedOn w:val="1"/>
    <w:link w:val="37"/>
    <w:qFormat/>
    <w:uiPriority w:val="0"/>
    <w:pPr>
      <w:jc w:val="left"/>
    </w:p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3"/>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Normal (Web)"/>
    <w:basedOn w:val="1"/>
    <w:qFormat/>
    <w:uiPriority w:val="0"/>
    <w:pPr>
      <w:spacing w:after="210"/>
      <w:jc w:val="left"/>
    </w:pPr>
    <w:rPr>
      <w:kern w:val="0"/>
      <w:sz w:val="24"/>
    </w:rPr>
  </w:style>
  <w:style w:type="paragraph" w:styleId="23">
    <w:name w:val="annotation subject"/>
    <w:basedOn w:val="10"/>
    <w:next w:val="10"/>
    <w:link w:val="38"/>
    <w:qFormat/>
    <w:uiPriority w:val="0"/>
    <w:rPr>
      <w:b/>
      <w:bCs/>
    </w:rPr>
  </w:style>
  <w:style w:type="paragraph" w:styleId="24">
    <w:name w:val="Body Text First Indent 2"/>
    <w:basedOn w:val="11"/>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FollowedHyperlink"/>
    <w:basedOn w:val="27"/>
    <w:qFormat/>
    <w:uiPriority w:val="0"/>
    <w:rPr>
      <w:color w:val="1890FF"/>
      <w:u w:val="none"/>
    </w:rPr>
  </w:style>
  <w:style w:type="character" w:styleId="30">
    <w:name w:val="HTML Definition"/>
    <w:basedOn w:val="27"/>
    <w:qFormat/>
    <w:uiPriority w:val="0"/>
    <w:rPr>
      <w:i/>
      <w:iCs/>
    </w:rPr>
  </w:style>
  <w:style w:type="character" w:styleId="31">
    <w:name w:val="Hyperlink"/>
    <w:qFormat/>
    <w:uiPriority w:val="99"/>
    <w:rPr>
      <w:color w:val="0000FF"/>
      <w:u w:val="single"/>
    </w:rPr>
  </w:style>
  <w:style w:type="character" w:styleId="32">
    <w:name w:val="HTML Code"/>
    <w:basedOn w:val="27"/>
    <w:qFormat/>
    <w:uiPriority w:val="0"/>
    <w:rPr>
      <w:rFonts w:ascii="Consolas" w:hAnsi="Consolas" w:eastAsia="Consolas" w:cs="Consolas"/>
      <w:sz w:val="21"/>
      <w:szCs w:val="21"/>
    </w:rPr>
  </w:style>
  <w:style w:type="character" w:styleId="33">
    <w:name w:val="annotation reference"/>
    <w:basedOn w:val="27"/>
    <w:qFormat/>
    <w:uiPriority w:val="0"/>
    <w:rPr>
      <w:sz w:val="21"/>
      <w:szCs w:val="21"/>
    </w:rPr>
  </w:style>
  <w:style w:type="character" w:styleId="34">
    <w:name w:val="HTML Keyboard"/>
    <w:basedOn w:val="27"/>
    <w:qFormat/>
    <w:uiPriority w:val="0"/>
    <w:rPr>
      <w:rFonts w:hint="default" w:ascii="Consolas" w:hAnsi="Consolas" w:eastAsia="Consolas" w:cs="Consolas"/>
      <w:sz w:val="21"/>
      <w:szCs w:val="21"/>
    </w:rPr>
  </w:style>
  <w:style w:type="character" w:styleId="35">
    <w:name w:val="HTML Sample"/>
    <w:basedOn w:val="27"/>
    <w:qFormat/>
    <w:uiPriority w:val="0"/>
    <w:rPr>
      <w:rFonts w:hint="default" w:ascii="Consolas" w:hAnsi="Consolas" w:eastAsia="Consolas" w:cs="Consolas"/>
      <w:sz w:val="21"/>
      <w:szCs w:val="21"/>
    </w:rPr>
  </w:style>
  <w:style w:type="paragraph" w:customStyle="1" w:styleId="36">
    <w:name w:val="正文文本首行缩进1"/>
    <w:basedOn w:val="3"/>
    <w:qFormat/>
    <w:uiPriority w:val="0"/>
    <w:pPr>
      <w:ind w:firstLine="420" w:firstLineChars="100"/>
    </w:pPr>
    <w:rPr>
      <w:szCs w:val="21"/>
    </w:rPr>
  </w:style>
  <w:style w:type="character" w:customStyle="1" w:styleId="37">
    <w:name w:val="批注文字 Char"/>
    <w:basedOn w:val="27"/>
    <w:link w:val="10"/>
    <w:qFormat/>
    <w:uiPriority w:val="0"/>
    <w:rPr>
      <w:rFonts w:ascii="等线" w:hAnsi="等线" w:eastAsia="等线"/>
      <w:kern w:val="2"/>
      <w:sz w:val="21"/>
      <w:szCs w:val="22"/>
    </w:rPr>
  </w:style>
  <w:style w:type="character" w:customStyle="1" w:styleId="38">
    <w:name w:val="批注主题 Char"/>
    <w:basedOn w:val="37"/>
    <w:link w:val="23"/>
    <w:qFormat/>
    <w:uiPriority w:val="0"/>
    <w:rPr>
      <w:rFonts w:ascii="等线" w:hAnsi="等线" w:eastAsia="等线"/>
      <w:b/>
      <w:bCs/>
      <w:kern w:val="2"/>
      <w:sz w:val="21"/>
      <w:szCs w:val="22"/>
    </w:rPr>
  </w:style>
  <w:style w:type="character" w:customStyle="1" w:styleId="39">
    <w:name w:val="user-acct"/>
    <w:basedOn w:val="27"/>
    <w:qFormat/>
    <w:uiPriority w:val="0"/>
    <w:rPr>
      <w:color w:val="7C7070"/>
    </w:rPr>
  </w:style>
  <w:style w:type="character" w:customStyle="1" w:styleId="40">
    <w:name w:val="hover12"/>
    <w:basedOn w:val="27"/>
    <w:qFormat/>
    <w:uiPriority w:val="0"/>
  </w:style>
  <w:style w:type="character" w:customStyle="1" w:styleId="41">
    <w:name w:val="current"/>
    <w:basedOn w:val="27"/>
    <w:qFormat/>
    <w:uiPriority w:val="0"/>
    <w:rPr>
      <w:color w:val="00C1DE"/>
    </w:rPr>
  </w:style>
  <w:style w:type="character" w:customStyle="1" w:styleId="42">
    <w:name w:val="current1"/>
    <w:basedOn w:val="27"/>
    <w:qFormat/>
    <w:uiPriority w:val="0"/>
    <w:rPr>
      <w:color w:val="00C1DE"/>
    </w:rPr>
  </w:style>
  <w:style w:type="character" w:customStyle="1" w:styleId="43">
    <w:name w:val="selected"/>
    <w:basedOn w:val="27"/>
    <w:qFormat/>
    <w:uiPriority w:val="0"/>
    <w:rPr>
      <w:color w:val="1C81FE"/>
    </w:rPr>
  </w:style>
  <w:style w:type="character" w:customStyle="1" w:styleId="44">
    <w:name w:val="selected1"/>
    <w:basedOn w:val="27"/>
    <w:qFormat/>
    <w:uiPriority w:val="0"/>
    <w:rPr>
      <w:color w:val="1C81FE"/>
    </w:rPr>
  </w:style>
  <w:style w:type="character" w:customStyle="1" w:styleId="45">
    <w:name w:val="desc"/>
    <w:basedOn w:val="27"/>
    <w:qFormat/>
    <w:uiPriority w:val="0"/>
    <w:rPr>
      <w:b/>
      <w:bCs/>
      <w:color w:val="404040"/>
    </w:rPr>
  </w:style>
  <w:style w:type="character" w:customStyle="1" w:styleId="46">
    <w:name w:val="desc1"/>
    <w:basedOn w:val="27"/>
    <w:qFormat/>
    <w:uiPriority w:val="0"/>
    <w:rPr>
      <w:b/>
      <w:bCs/>
      <w:color w:val="404040"/>
    </w:rPr>
  </w:style>
  <w:style w:type="character" w:customStyle="1" w:styleId="47">
    <w:name w:val="helper"/>
    <w:basedOn w:val="27"/>
    <w:qFormat/>
    <w:uiPriority w:val="0"/>
    <w:rPr>
      <w:b/>
      <w:bCs/>
      <w:color w:val="404040"/>
      <w:sz w:val="38"/>
      <w:szCs w:val="38"/>
    </w:rPr>
  </w:style>
  <w:style w:type="character" w:customStyle="1" w:styleId="48">
    <w:name w:val="icon6"/>
    <w:basedOn w:val="27"/>
    <w:qFormat/>
    <w:uiPriority w:val="0"/>
  </w:style>
  <w:style w:type="character" w:customStyle="1" w:styleId="49">
    <w:name w:val="ant-typography-ellipsis"/>
    <w:basedOn w:val="27"/>
    <w:qFormat/>
    <w:uiPriority w:val="0"/>
  </w:style>
  <w:style w:type="character" w:customStyle="1" w:styleId="50">
    <w:name w:val="ant-radio+*"/>
    <w:basedOn w:val="27"/>
    <w:qFormat/>
    <w:uiPriority w:val="0"/>
  </w:style>
  <w:style w:type="character" w:customStyle="1" w:styleId="51">
    <w:name w:val="content72"/>
    <w:basedOn w:val="27"/>
    <w:qFormat/>
    <w:uiPriority w:val="0"/>
    <w:rPr>
      <w:color w:val="7C7070"/>
      <w:sz w:val="14"/>
      <w:szCs w:val="14"/>
    </w:rPr>
  </w:style>
  <w:style w:type="character" w:customStyle="1" w:styleId="52">
    <w:name w:val="info-label"/>
    <w:basedOn w:val="27"/>
    <w:qFormat/>
    <w:uiPriority w:val="0"/>
    <w:rPr>
      <w:b/>
      <w:bCs/>
    </w:rPr>
  </w:style>
  <w:style w:type="character" w:customStyle="1" w:styleId="53">
    <w:name w:val="info-content"/>
    <w:basedOn w:val="27"/>
    <w:qFormat/>
    <w:uiPriority w:val="0"/>
    <w:rPr>
      <w:color w:val="808080"/>
    </w:rPr>
  </w:style>
  <w:style w:type="character" w:customStyle="1" w:styleId="54">
    <w:name w:val="phone-number1"/>
    <w:basedOn w:val="27"/>
    <w:qFormat/>
    <w:uiPriority w:val="0"/>
    <w:rPr>
      <w:color w:val="0876FF"/>
    </w:rPr>
  </w:style>
  <w:style w:type="paragraph" w:styleId="55">
    <w:name w:val="List Paragraph"/>
    <w:basedOn w:val="1"/>
    <w:qFormat/>
    <w:uiPriority w:val="34"/>
    <w:pPr>
      <w:ind w:firstLine="420" w:firstLineChars="200"/>
    </w:pPr>
  </w:style>
  <w:style w:type="paragraph" w:customStyle="1" w:styleId="56">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7">
    <w:name w:val="正文_0_0"/>
    <w:basedOn w:val="1"/>
    <w:qFormat/>
    <w:uiPriority w:val="0"/>
    <w:rPr>
      <w:rFonts w:ascii="Calibri" w:hAnsi="Calibri" w:cs="Calibri"/>
      <w:szCs w:val="21"/>
    </w:rPr>
  </w:style>
  <w:style w:type="paragraph" w:customStyle="1" w:styleId="58">
    <w:name w:val="[Normal]"/>
    <w:qFormat/>
    <w:uiPriority w:val="0"/>
    <w:rPr>
      <w:rFonts w:ascii="宋体" w:hAnsi="宋体" w:eastAsia="宋体" w:cs="Times New Roman"/>
      <w:sz w:val="24"/>
      <w:szCs w:val="22"/>
      <w:lang w:val="zh-CN" w:eastAsia="zh-CN" w:bidi="ar-SA"/>
    </w:rPr>
  </w:style>
  <w:style w:type="paragraph" w:customStyle="1" w:styleId="5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60">
    <w:name w:val="p5"/>
    <w:basedOn w:val="27"/>
    <w:qFormat/>
    <w:uiPriority w:val="0"/>
  </w:style>
  <w:style w:type="paragraph" w:customStyle="1" w:styleId="61">
    <w:name w:val="正文首行缩进1"/>
    <w:basedOn w:val="3"/>
    <w:qFormat/>
    <w:uiPriority w:val="0"/>
    <w:pPr>
      <w:ind w:firstLine="420" w:firstLineChars="100"/>
    </w:pPr>
    <w:rPr>
      <w:rFonts w:ascii="Times New Roman" w:hAnsi="Times New Roman"/>
    </w:rPr>
  </w:style>
  <w:style w:type="paragraph" w:customStyle="1" w:styleId="62">
    <w:name w:val="列出段落1"/>
    <w:basedOn w:val="1"/>
    <w:qFormat/>
    <w:uiPriority w:val="0"/>
    <w:pPr>
      <w:ind w:firstLine="420" w:firstLineChars="200"/>
    </w:pPr>
    <w:rPr>
      <w:szCs w:val="20"/>
    </w:rPr>
  </w:style>
  <w:style w:type="character" w:customStyle="1" w:styleId="63">
    <w:name w:val="批注框文本 Char"/>
    <w:basedOn w:val="27"/>
    <w:link w:val="16"/>
    <w:qFormat/>
    <w:uiPriority w:val="0"/>
    <w:rPr>
      <w:rFonts w:ascii="等线" w:hAnsi="等线" w:eastAsia="等线"/>
      <w:kern w:val="2"/>
      <w:sz w:val="18"/>
      <w:szCs w:val="18"/>
    </w:rPr>
  </w:style>
  <w:style w:type="paragraph" w:customStyle="1" w:styleId="64">
    <w:name w:val="hb.1"/>
    <w:basedOn w:val="1"/>
    <w:qFormat/>
    <w:uiPriority w:val="0"/>
    <w:pPr>
      <w:tabs>
        <w:tab w:val="left" w:pos="992"/>
      </w:tabs>
      <w:spacing w:after="156"/>
      <w:ind w:left="992" w:hanging="567"/>
    </w:pPr>
    <w:rPr>
      <w:rFonts w:ascii="Times New Roman" w:hAnsi="Times New Roman"/>
      <w:szCs w:val="20"/>
    </w:rPr>
  </w:style>
  <w:style w:type="paragraph" w:customStyle="1" w:styleId="65">
    <w:name w:val="htbh"/>
    <w:basedOn w:val="6"/>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6">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7">
    <w:name w:val="正文表标题"/>
    <w:next w:val="68"/>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表内文字"/>
    <w:basedOn w:val="1"/>
    <w:qFormat/>
    <w:uiPriority w:val="0"/>
    <w:pPr>
      <w:spacing w:line="240" w:lineRule="atLeast"/>
      <w:jc w:val="center"/>
    </w:pPr>
    <w:rPr>
      <w:rFonts w:ascii="Arial" w:hAnsi="Arial" w:eastAsia="宋体" w:cs="Arial"/>
      <w:b/>
      <w:bCs/>
    </w:rPr>
  </w:style>
  <w:style w:type="paragraph" w:customStyle="1" w:styleId="70">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1">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70</Pages>
  <Words>8027</Words>
  <Characters>8556</Characters>
  <Lines>373</Lines>
  <Paragraphs>105</Paragraphs>
  <TotalTime>47</TotalTime>
  <ScaleCrop>false</ScaleCrop>
  <LinksUpToDate>false</LinksUpToDate>
  <CharactersWithSpaces>8638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金楷啊</cp:lastModifiedBy>
  <dcterms:modified xsi:type="dcterms:W3CDTF">2024-10-23T07:11:46Z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A73C200C73F34C9998DDAE0C166A00A9</vt:lpwstr>
  </property>
</Properties>
</file>