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B5C74">
      <w:pPr>
        <w:jc w:val="center"/>
        <w:rPr>
          <w:rFonts w:hint="eastAsia" w:ascii="宋体" w:hAnsi="宋体" w:cs="宋体"/>
          <w:b/>
          <w:bCs/>
          <w:color w:val="auto"/>
          <w:spacing w:val="20"/>
          <w:sz w:val="84"/>
          <w:szCs w:val="84"/>
          <w:highlight w:val="none"/>
        </w:rPr>
      </w:pPr>
    </w:p>
    <w:p w14:paraId="640245A4">
      <w:pPr>
        <w:jc w:val="center"/>
        <w:rPr>
          <w:rFonts w:hint="eastAsia" w:ascii="宋体" w:hAnsi="宋体" w:cs="宋体"/>
          <w:b/>
          <w:bCs/>
          <w:color w:val="auto"/>
          <w:spacing w:val="20"/>
          <w:sz w:val="56"/>
          <w:szCs w:val="56"/>
          <w:highlight w:val="none"/>
        </w:rPr>
      </w:pPr>
    </w:p>
    <w:p w14:paraId="2125AB62">
      <w:pPr>
        <w:jc w:val="center"/>
        <w:rPr>
          <w:rFonts w:hint="eastAsia" w:ascii="黑体" w:hAnsi="黑体" w:eastAsia="黑体" w:cs="黑体"/>
          <w:b w:val="0"/>
          <w:bCs w:val="0"/>
          <w:color w:val="auto"/>
          <w:spacing w:val="20"/>
          <w:sz w:val="84"/>
          <w:szCs w:val="84"/>
          <w:highlight w:val="none"/>
        </w:rPr>
      </w:pPr>
      <w:r>
        <w:rPr>
          <w:rFonts w:hint="eastAsia" w:ascii="黑体" w:hAnsi="黑体" w:eastAsia="黑体" w:cs="黑体"/>
          <w:b w:val="0"/>
          <w:bCs w:val="0"/>
          <w:color w:val="auto"/>
          <w:spacing w:val="20"/>
          <w:sz w:val="84"/>
          <w:szCs w:val="84"/>
          <w:highlight w:val="none"/>
        </w:rPr>
        <w:t>温州市国有企业采购</w:t>
      </w:r>
    </w:p>
    <w:p w14:paraId="6CD2F571">
      <w:pPr>
        <w:spacing w:line="240" w:lineRule="auto"/>
        <w:ind w:firstLine="1222" w:firstLineChars="235"/>
        <w:jc w:val="left"/>
        <w:rPr>
          <w:rFonts w:hint="eastAsia" w:ascii="黑体" w:hAnsi="黑体" w:eastAsia="黑体" w:cs="黑体"/>
          <w:b w:val="0"/>
          <w:bCs w:val="0"/>
          <w:color w:val="auto"/>
          <w:spacing w:val="140"/>
          <w:sz w:val="72"/>
          <w:highlight w:val="none"/>
        </w:rPr>
      </w:pPr>
      <w:r>
        <w:rPr>
          <w:rFonts w:hint="eastAsia" w:ascii="黑体" w:hAnsi="黑体" w:eastAsia="黑体" w:cs="黑体"/>
          <w:b w:val="0"/>
          <w:bCs w:val="0"/>
          <w:color w:val="auto"/>
          <w:sz w:val="52"/>
          <w:highlight w:val="none"/>
        </w:rPr>
        <w:t xml:space="preserve">        </w:t>
      </w:r>
    </w:p>
    <w:p w14:paraId="4EA96587">
      <w:pPr>
        <w:pStyle w:val="4"/>
        <w:rPr>
          <w:rFonts w:hint="eastAsia" w:ascii="黑体" w:hAnsi="黑体" w:eastAsia="黑体" w:cs="黑体"/>
          <w:b w:val="0"/>
          <w:bCs w:val="0"/>
          <w:color w:val="auto"/>
          <w:spacing w:val="140"/>
          <w:sz w:val="72"/>
          <w:highlight w:val="none"/>
        </w:rPr>
      </w:pPr>
    </w:p>
    <w:p w14:paraId="68E18249">
      <w:pPr>
        <w:spacing w:line="900" w:lineRule="exact"/>
        <w:jc w:val="center"/>
        <w:rPr>
          <w:rFonts w:hint="eastAsia" w:ascii="黑体" w:hAnsi="黑体" w:eastAsia="黑体" w:cs="黑体"/>
          <w:b w:val="0"/>
          <w:bCs w:val="0"/>
          <w:color w:val="auto"/>
          <w:spacing w:val="140"/>
          <w:sz w:val="84"/>
          <w:szCs w:val="84"/>
          <w:highlight w:val="none"/>
        </w:rPr>
      </w:pPr>
      <w:r>
        <w:rPr>
          <w:rFonts w:hint="eastAsia" w:ascii="黑体" w:hAnsi="黑体" w:eastAsia="黑体" w:cs="黑体"/>
          <w:b w:val="0"/>
          <w:bCs w:val="0"/>
          <w:color w:val="auto"/>
          <w:spacing w:val="140"/>
          <w:sz w:val="84"/>
          <w:szCs w:val="84"/>
          <w:highlight w:val="none"/>
        </w:rPr>
        <w:t xml:space="preserve"> 采 购 文 件</w:t>
      </w:r>
    </w:p>
    <w:p w14:paraId="43C64B0B">
      <w:pPr>
        <w:spacing w:line="400" w:lineRule="exact"/>
        <w:jc w:val="center"/>
        <w:rPr>
          <w:rFonts w:ascii="宋体" w:hAnsi="宋体" w:cs="宋体"/>
          <w:b/>
          <w:bCs/>
          <w:color w:val="auto"/>
          <w:sz w:val="32"/>
          <w:szCs w:val="32"/>
          <w:highlight w:val="none"/>
        </w:rPr>
      </w:pPr>
    </w:p>
    <w:p w14:paraId="4325FE93">
      <w:pPr>
        <w:spacing w:line="400" w:lineRule="exact"/>
        <w:jc w:val="center"/>
        <w:rPr>
          <w:rFonts w:ascii="宋体" w:hAnsi="宋体" w:cs="宋体"/>
          <w:b/>
          <w:bCs/>
          <w:color w:val="auto"/>
          <w:sz w:val="32"/>
          <w:szCs w:val="32"/>
          <w:highlight w:val="none"/>
        </w:rPr>
      </w:pPr>
    </w:p>
    <w:p w14:paraId="22EE3B1E">
      <w:pPr>
        <w:rPr>
          <w:rFonts w:ascii="宋体" w:hAnsi="宋体" w:cs="宋体"/>
          <w:b/>
          <w:bCs/>
          <w:color w:val="auto"/>
          <w:sz w:val="24"/>
          <w:highlight w:val="none"/>
        </w:rPr>
      </w:pPr>
    </w:p>
    <w:p w14:paraId="44CE31E7">
      <w:pPr>
        <w:pStyle w:val="4"/>
        <w:rPr>
          <w:rFonts w:ascii="宋体" w:hAnsi="宋体" w:cs="宋体"/>
          <w:color w:val="auto"/>
          <w:spacing w:val="40"/>
          <w:sz w:val="30"/>
          <w:szCs w:val="30"/>
          <w:highlight w:val="none"/>
        </w:rPr>
      </w:pPr>
    </w:p>
    <w:p w14:paraId="08AFDF35">
      <w:pPr>
        <w:pStyle w:val="5"/>
        <w:rPr>
          <w:color w:val="auto"/>
          <w:highlight w:val="none"/>
        </w:rPr>
      </w:pPr>
    </w:p>
    <w:tbl>
      <w:tblPr>
        <w:tblStyle w:val="25"/>
        <w:tblW w:w="6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5"/>
        <w:gridCol w:w="4535"/>
      </w:tblGrid>
      <w:tr w14:paraId="632C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65" w:type="dxa"/>
            <w:tcBorders>
              <w:tl2br w:val="nil"/>
              <w:tr2bl w:val="nil"/>
            </w:tcBorders>
            <w:noWrap w:val="0"/>
            <w:vAlign w:val="center"/>
          </w:tcPr>
          <w:p w14:paraId="379E14E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color w:val="auto"/>
                <w:spacing w:val="120"/>
                <w:sz w:val="28"/>
                <w:szCs w:val="28"/>
                <w:highlight w:val="none"/>
                <w:shd w:val="clear" w:color="auto" w:fill="auto"/>
                <w:vertAlign w:val="baseline"/>
              </w:rPr>
            </w:pPr>
            <w:r>
              <w:rPr>
                <w:rFonts w:hint="eastAsia" w:ascii="黑体" w:hAnsi="黑体" w:eastAsia="黑体" w:cs="黑体"/>
                <w:b w:val="0"/>
                <w:bCs w:val="0"/>
                <w:color w:val="auto"/>
                <w:spacing w:val="30"/>
                <w:sz w:val="30"/>
                <w:szCs w:val="30"/>
                <w:highlight w:val="none"/>
              </w:rPr>
              <w:t>项目编号：</w:t>
            </w:r>
          </w:p>
        </w:tc>
        <w:tc>
          <w:tcPr>
            <w:tcW w:w="4535" w:type="dxa"/>
            <w:tcBorders>
              <w:tl2br w:val="nil"/>
              <w:tr2bl w:val="nil"/>
            </w:tcBorders>
            <w:noWrap w:val="0"/>
            <w:vAlign w:val="center"/>
          </w:tcPr>
          <w:p w14:paraId="5C945B4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黑体" w:eastAsia="黑体" w:cs="黑体"/>
                <w:b w:val="0"/>
                <w:bCs w:val="0"/>
                <w:color w:val="auto"/>
                <w:spacing w:val="120"/>
                <w:sz w:val="28"/>
                <w:szCs w:val="28"/>
                <w:highlight w:val="none"/>
                <w:shd w:val="clear" w:color="auto" w:fill="auto"/>
                <w:vertAlign w:val="baseline"/>
                <w:lang w:eastAsia="zh-CN"/>
              </w:rPr>
            </w:pPr>
            <w:r>
              <w:rPr>
                <w:rFonts w:hint="eastAsia" w:ascii="黑体" w:hAnsi="黑体" w:eastAsia="黑体" w:cs="黑体"/>
                <w:b w:val="0"/>
                <w:bCs w:val="0"/>
                <w:color w:val="auto"/>
                <w:spacing w:val="30"/>
                <w:sz w:val="30"/>
                <w:szCs w:val="30"/>
                <w:highlight w:val="none"/>
                <w:lang w:eastAsia="zh-CN"/>
              </w:rPr>
              <w:t>WGSS-JFJT-X-2024012</w:t>
            </w:r>
          </w:p>
        </w:tc>
      </w:tr>
      <w:tr w14:paraId="1D3F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65" w:type="dxa"/>
            <w:tcBorders>
              <w:tl2br w:val="nil"/>
              <w:tr2bl w:val="nil"/>
            </w:tcBorders>
            <w:noWrap w:val="0"/>
            <w:vAlign w:val="center"/>
          </w:tcPr>
          <w:p w14:paraId="1CDFAFB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color w:val="auto"/>
                <w:spacing w:val="120"/>
                <w:sz w:val="28"/>
                <w:szCs w:val="28"/>
                <w:highlight w:val="none"/>
                <w:shd w:val="clear" w:color="auto" w:fill="auto"/>
                <w:vertAlign w:val="baseline"/>
              </w:rPr>
            </w:pPr>
            <w:r>
              <w:rPr>
                <w:rFonts w:hint="eastAsia" w:ascii="黑体" w:hAnsi="黑体" w:eastAsia="黑体" w:cs="黑体"/>
                <w:b w:val="0"/>
                <w:bCs w:val="0"/>
                <w:color w:val="auto"/>
                <w:spacing w:val="30"/>
                <w:sz w:val="30"/>
                <w:szCs w:val="30"/>
                <w:highlight w:val="none"/>
              </w:rPr>
              <w:t>项目名称：</w:t>
            </w:r>
          </w:p>
        </w:tc>
        <w:tc>
          <w:tcPr>
            <w:tcW w:w="4535" w:type="dxa"/>
            <w:tcBorders>
              <w:tl2br w:val="nil"/>
              <w:tr2bl w:val="nil"/>
            </w:tcBorders>
            <w:noWrap w:val="0"/>
            <w:vAlign w:val="center"/>
          </w:tcPr>
          <w:p w14:paraId="05E257E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黑体" w:eastAsia="黑体" w:cs="黑体"/>
                <w:b w:val="0"/>
                <w:bCs w:val="0"/>
                <w:color w:val="auto"/>
                <w:spacing w:val="120"/>
                <w:sz w:val="28"/>
                <w:szCs w:val="28"/>
                <w:highlight w:val="none"/>
                <w:shd w:val="clear" w:color="auto" w:fill="auto"/>
                <w:vertAlign w:val="baseline"/>
                <w:lang w:val="en-US" w:eastAsia="zh-CN"/>
              </w:rPr>
            </w:pPr>
            <w:r>
              <w:rPr>
                <w:rFonts w:hint="eastAsia" w:ascii="黑体" w:hAnsi="黑体" w:eastAsia="黑体" w:cs="黑体"/>
                <w:b w:val="0"/>
                <w:bCs w:val="0"/>
                <w:color w:val="auto"/>
                <w:sz w:val="30"/>
                <w:szCs w:val="30"/>
                <w:highlight w:val="none"/>
                <w:lang w:eastAsia="zh-CN"/>
              </w:rPr>
              <w:t>温州市交发集团OA系统信创改造</w:t>
            </w:r>
          </w:p>
        </w:tc>
      </w:tr>
      <w:tr w14:paraId="1D10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65" w:type="dxa"/>
            <w:tcBorders>
              <w:tl2br w:val="nil"/>
              <w:tr2bl w:val="nil"/>
            </w:tcBorders>
            <w:noWrap w:val="0"/>
            <w:vAlign w:val="center"/>
          </w:tcPr>
          <w:p w14:paraId="4DB2E50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color w:val="auto"/>
                <w:spacing w:val="120"/>
                <w:sz w:val="28"/>
                <w:szCs w:val="28"/>
                <w:highlight w:val="none"/>
                <w:shd w:val="clear" w:color="auto" w:fill="auto"/>
                <w:vertAlign w:val="baseline"/>
              </w:rPr>
            </w:pPr>
            <w:r>
              <w:rPr>
                <w:rFonts w:hint="eastAsia" w:ascii="黑体" w:hAnsi="黑体" w:eastAsia="黑体" w:cs="黑体"/>
                <w:b w:val="0"/>
                <w:bCs w:val="0"/>
                <w:color w:val="auto"/>
                <w:spacing w:val="30"/>
                <w:sz w:val="30"/>
                <w:szCs w:val="30"/>
                <w:highlight w:val="none"/>
              </w:rPr>
              <w:t>采购方式：</w:t>
            </w:r>
          </w:p>
        </w:tc>
        <w:tc>
          <w:tcPr>
            <w:tcW w:w="4535" w:type="dxa"/>
            <w:tcBorders>
              <w:tl2br w:val="nil"/>
              <w:tr2bl w:val="nil"/>
            </w:tcBorders>
            <w:noWrap w:val="0"/>
            <w:vAlign w:val="center"/>
          </w:tcPr>
          <w:p w14:paraId="48A64D2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黑体" w:eastAsia="黑体" w:cs="黑体"/>
                <w:b w:val="0"/>
                <w:bCs w:val="0"/>
                <w:color w:val="auto"/>
                <w:spacing w:val="120"/>
                <w:sz w:val="28"/>
                <w:szCs w:val="28"/>
                <w:highlight w:val="none"/>
                <w:shd w:val="clear" w:color="auto" w:fill="auto"/>
                <w:vertAlign w:val="baseline"/>
              </w:rPr>
            </w:pPr>
            <w:r>
              <w:rPr>
                <w:rFonts w:hint="eastAsia" w:ascii="黑体" w:hAnsi="黑体" w:eastAsia="黑体" w:cs="黑体"/>
                <w:b w:val="0"/>
                <w:bCs w:val="0"/>
                <w:color w:val="auto"/>
                <w:spacing w:val="30"/>
                <w:sz w:val="30"/>
                <w:szCs w:val="30"/>
                <w:highlight w:val="none"/>
              </w:rPr>
              <w:t>公开招标</w:t>
            </w:r>
          </w:p>
        </w:tc>
      </w:tr>
    </w:tbl>
    <w:p w14:paraId="74E5B82F">
      <w:pPr>
        <w:pStyle w:val="3"/>
        <w:rPr>
          <w:color w:val="auto"/>
          <w:highlight w:val="none"/>
        </w:rPr>
      </w:pPr>
    </w:p>
    <w:p w14:paraId="267BC119">
      <w:pPr>
        <w:spacing w:line="600" w:lineRule="exact"/>
        <w:ind w:firstLine="1134" w:firstLineChars="314"/>
        <w:rPr>
          <w:rFonts w:ascii="宋体" w:hAnsi="宋体" w:cs="宋体"/>
          <w:b/>
          <w:bCs/>
          <w:color w:val="auto"/>
          <w:spacing w:val="30"/>
          <w:sz w:val="30"/>
          <w:szCs w:val="30"/>
          <w:highlight w:val="none"/>
        </w:rPr>
      </w:pPr>
      <w:r>
        <w:rPr>
          <w:rFonts w:hint="eastAsia" w:ascii="宋体" w:hAnsi="宋体" w:cs="宋体"/>
          <w:b/>
          <w:bCs/>
          <w:color w:val="auto"/>
          <w:spacing w:val="30"/>
          <w:sz w:val="30"/>
          <w:szCs w:val="30"/>
          <w:highlight w:val="none"/>
        </w:rPr>
        <w:t xml:space="preserve"> </w:t>
      </w:r>
    </w:p>
    <w:p w14:paraId="16D91452">
      <w:pPr>
        <w:spacing w:line="600" w:lineRule="exact"/>
        <w:ind w:firstLine="1144" w:firstLineChars="300"/>
        <w:rPr>
          <w:rFonts w:ascii="宋体" w:hAnsi="宋体" w:cs="宋体"/>
          <w:b/>
          <w:bCs/>
          <w:color w:val="auto"/>
          <w:spacing w:val="40"/>
          <w:sz w:val="30"/>
          <w:szCs w:val="30"/>
          <w:highlight w:val="none"/>
        </w:rPr>
      </w:pPr>
    </w:p>
    <w:p w14:paraId="46CB5AC5">
      <w:pPr>
        <w:spacing w:line="600" w:lineRule="exact"/>
        <w:ind w:firstLine="1144" w:firstLineChars="300"/>
        <w:rPr>
          <w:rFonts w:ascii="宋体" w:hAnsi="宋体" w:cs="宋体"/>
          <w:b/>
          <w:bCs/>
          <w:color w:val="auto"/>
          <w:spacing w:val="40"/>
          <w:sz w:val="30"/>
          <w:szCs w:val="30"/>
          <w:highlight w:val="none"/>
        </w:rPr>
      </w:pPr>
    </w:p>
    <w:p w14:paraId="704AD5C8">
      <w:pPr>
        <w:spacing w:line="600" w:lineRule="exact"/>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        </w:t>
      </w:r>
    </w:p>
    <w:tbl>
      <w:tblPr>
        <w:tblStyle w:val="25"/>
        <w:tblW w:w="6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5"/>
        <w:gridCol w:w="4373"/>
      </w:tblGrid>
      <w:tr w14:paraId="2091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205" w:type="dxa"/>
            <w:tcBorders>
              <w:tl2br w:val="nil"/>
              <w:tr2bl w:val="nil"/>
            </w:tcBorders>
            <w:noWrap w:val="0"/>
            <w:vAlign w:val="center"/>
          </w:tcPr>
          <w:p w14:paraId="59081CCE">
            <w:pPr>
              <w:keepNext w:val="0"/>
              <w:keepLines w:val="0"/>
              <w:pageBreakBefore w:val="0"/>
              <w:widowControl w:val="0"/>
              <w:kinsoku/>
              <w:wordWrap/>
              <w:overflowPunct/>
              <w:topLinePunct w:val="0"/>
              <w:autoSpaceDE/>
              <w:autoSpaceDN/>
              <w:bidi w:val="0"/>
              <w:adjustRightInd/>
              <w:snapToGrid w:val="0"/>
              <w:spacing w:line="240" w:lineRule="auto"/>
              <w:jc w:val="distribute"/>
              <w:textAlignment w:val="auto"/>
              <w:rPr>
                <w:rFonts w:hint="eastAsia" w:ascii="黑体" w:hAnsi="黑体" w:eastAsia="黑体" w:cs="黑体"/>
                <w:b w:val="0"/>
                <w:bCs w:val="0"/>
                <w:color w:val="auto"/>
                <w:spacing w:val="120"/>
                <w:sz w:val="28"/>
                <w:szCs w:val="28"/>
                <w:highlight w:val="none"/>
                <w:shd w:val="clear" w:color="auto" w:fill="auto"/>
                <w:vertAlign w:val="baseline"/>
              </w:rPr>
            </w:pPr>
            <w:r>
              <w:rPr>
                <w:rFonts w:hint="eastAsia" w:ascii="黑体" w:hAnsi="黑体" w:eastAsia="黑体" w:cs="黑体"/>
                <w:b w:val="0"/>
                <w:bCs w:val="0"/>
                <w:color w:val="auto"/>
                <w:sz w:val="30"/>
                <w:szCs w:val="30"/>
                <w:highlight w:val="none"/>
              </w:rPr>
              <w:t xml:space="preserve">采 购 人: </w:t>
            </w:r>
          </w:p>
        </w:tc>
        <w:tc>
          <w:tcPr>
            <w:tcW w:w="4373" w:type="dxa"/>
            <w:tcBorders>
              <w:tl2br w:val="nil"/>
              <w:tr2bl w:val="nil"/>
            </w:tcBorders>
            <w:noWrap w:val="0"/>
            <w:vAlign w:val="center"/>
          </w:tcPr>
          <w:p w14:paraId="2D715C61">
            <w:pPr>
              <w:spacing w:line="240" w:lineRule="auto"/>
              <w:jc w:val="distribute"/>
              <w:rPr>
                <w:rFonts w:hint="eastAsia" w:ascii="黑体" w:hAnsi="黑体" w:eastAsia="黑体" w:cs="黑体"/>
                <w:b w:val="0"/>
                <w:bCs w:val="0"/>
                <w:color w:val="auto"/>
                <w:spacing w:val="120"/>
                <w:sz w:val="28"/>
                <w:szCs w:val="28"/>
                <w:highlight w:val="none"/>
                <w:shd w:val="clear" w:color="auto" w:fill="auto"/>
                <w:vertAlign w:val="baseline"/>
                <w:lang w:eastAsia="zh-CN"/>
              </w:rPr>
            </w:pPr>
            <w:r>
              <w:rPr>
                <w:rFonts w:hint="eastAsia" w:ascii="黑体" w:hAnsi="黑体" w:eastAsia="黑体" w:cs="黑体"/>
                <w:b w:val="0"/>
                <w:bCs w:val="0"/>
                <w:color w:val="auto"/>
                <w:sz w:val="30"/>
                <w:szCs w:val="30"/>
                <w:highlight w:val="none"/>
                <w:lang w:eastAsia="zh-CN"/>
              </w:rPr>
              <w:t>温州市交通发展集团有限公司</w:t>
            </w:r>
          </w:p>
        </w:tc>
      </w:tr>
      <w:tr w14:paraId="0D29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205" w:type="dxa"/>
            <w:tcBorders>
              <w:tl2br w:val="nil"/>
              <w:tr2bl w:val="nil"/>
            </w:tcBorders>
            <w:noWrap w:val="0"/>
            <w:vAlign w:val="center"/>
          </w:tcPr>
          <w:p w14:paraId="0B53C3AD">
            <w:pPr>
              <w:spacing w:line="240" w:lineRule="auto"/>
              <w:jc w:val="distribute"/>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 xml:space="preserve">采购代理机构: </w:t>
            </w:r>
          </w:p>
        </w:tc>
        <w:tc>
          <w:tcPr>
            <w:tcW w:w="4373" w:type="dxa"/>
            <w:tcBorders>
              <w:tl2br w:val="nil"/>
              <w:tr2bl w:val="nil"/>
            </w:tcBorders>
            <w:noWrap w:val="0"/>
            <w:vAlign w:val="center"/>
          </w:tcPr>
          <w:p w14:paraId="19D27AC3">
            <w:pPr>
              <w:spacing w:line="240" w:lineRule="auto"/>
              <w:jc w:val="distribute"/>
              <w:rPr>
                <w:rFonts w:hint="eastAsia" w:ascii="黑体" w:hAnsi="黑体" w:eastAsia="黑体" w:cs="黑体"/>
                <w:b w:val="0"/>
                <w:bCs w:val="0"/>
                <w:color w:val="auto"/>
                <w:sz w:val="30"/>
                <w:szCs w:val="30"/>
                <w:highlight w:val="none"/>
                <w:lang w:eastAsia="zh-CN"/>
              </w:rPr>
            </w:pPr>
            <w:r>
              <w:rPr>
                <w:rFonts w:hint="eastAsia" w:ascii="黑体" w:hAnsi="黑体" w:eastAsia="黑体" w:cs="黑体"/>
                <w:b w:val="0"/>
                <w:bCs w:val="0"/>
                <w:color w:val="auto"/>
                <w:sz w:val="30"/>
                <w:szCs w:val="30"/>
                <w:highlight w:val="none"/>
                <w:lang w:eastAsia="zh-CN"/>
              </w:rPr>
              <w:t>浙江工汇项目管理有限公司</w:t>
            </w:r>
          </w:p>
        </w:tc>
      </w:tr>
      <w:tr w14:paraId="6037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578" w:type="dxa"/>
            <w:gridSpan w:val="2"/>
            <w:tcBorders>
              <w:tl2br w:val="nil"/>
              <w:tr2bl w:val="nil"/>
            </w:tcBorders>
            <w:noWrap w:val="0"/>
            <w:vAlign w:val="center"/>
          </w:tcPr>
          <w:p w14:paraId="642A5250">
            <w:pPr>
              <w:spacing w:line="240" w:lineRule="auto"/>
              <w:jc w:val="center"/>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二〇二四年</w:t>
            </w:r>
            <w:r>
              <w:rPr>
                <w:rFonts w:hint="eastAsia" w:ascii="黑体" w:hAnsi="黑体" w:eastAsia="黑体" w:cs="黑体"/>
                <w:b w:val="0"/>
                <w:bCs w:val="0"/>
                <w:color w:val="auto"/>
                <w:sz w:val="30"/>
                <w:szCs w:val="30"/>
                <w:highlight w:val="none"/>
                <w:lang w:val="en-US" w:eastAsia="zh-CN"/>
              </w:rPr>
              <w:t>七</w:t>
            </w:r>
            <w:r>
              <w:rPr>
                <w:rFonts w:hint="eastAsia" w:ascii="黑体" w:hAnsi="黑体" w:eastAsia="黑体" w:cs="黑体"/>
                <w:b w:val="0"/>
                <w:bCs w:val="0"/>
                <w:color w:val="auto"/>
                <w:sz w:val="30"/>
                <w:szCs w:val="30"/>
                <w:highlight w:val="none"/>
              </w:rPr>
              <w:t>月</w:t>
            </w:r>
          </w:p>
        </w:tc>
      </w:tr>
    </w:tbl>
    <w:p w14:paraId="000A4C88">
      <w:pPr>
        <w:overflowPunct w:val="0"/>
        <w:spacing w:line="360" w:lineRule="auto"/>
        <w:jc w:val="center"/>
        <w:rPr>
          <w:rFonts w:hint="eastAsia" w:ascii="宋体" w:hAnsi="宋体" w:cs="宋体"/>
          <w:color w:val="auto"/>
          <w:sz w:val="36"/>
          <w:szCs w:val="36"/>
          <w:highlight w:val="none"/>
        </w:rPr>
        <w:sectPr>
          <w:pgSz w:w="11906" w:h="16838"/>
          <w:pgMar w:top="0" w:right="0" w:bottom="0" w:left="0" w:header="851" w:footer="850" w:gutter="0"/>
          <w:pgBorders>
            <w:top w:val="none" w:sz="0" w:space="0"/>
            <w:left w:val="none" w:sz="0" w:space="0"/>
            <w:bottom w:val="none" w:sz="0" w:space="0"/>
            <w:right w:val="none" w:sz="0" w:space="0"/>
          </w:pgBorders>
          <w:pgNumType w:fmt="decimal" w:start="1"/>
          <w:cols w:space="720" w:num="1"/>
          <w:rtlGutter w:val="0"/>
          <w:docGrid w:type="lines" w:linePitch="318" w:charSpace="0"/>
        </w:sectPr>
      </w:pPr>
    </w:p>
    <w:p w14:paraId="546E444B">
      <w:pPr>
        <w:overflowPunct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目    录</w:t>
      </w:r>
    </w:p>
    <w:p w14:paraId="27C4B3F0">
      <w:pPr>
        <w:pStyle w:val="4"/>
        <w:ind w:firstLine="210"/>
        <w:rPr>
          <w:rFonts w:ascii="宋体" w:hAnsi="宋体" w:cs="宋体"/>
          <w:color w:val="auto"/>
          <w:highlight w:val="none"/>
        </w:rPr>
      </w:pPr>
    </w:p>
    <w:p w14:paraId="525FF587">
      <w:pPr>
        <w:pStyle w:val="21"/>
        <w:keepNext w:val="0"/>
        <w:keepLines w:val="0"/>
        <w:pageBreakBefore w:val="0"/>
        <w:widowControl w:val="0"/>
        <w:tabs>
          <w:tab w:val="right" w:leader="dot" w:pos="9242"/>
          <w:tab w:val="clear" w:pos="9061"/>
        </w:tabs>
        <w:kinsoku/>
        <w:wordWrap/>
        <w:overflowPunct/>
        <w:topLinePunct w:val="0"/>
        <w:autoSpaceDE/>
        <w:autoSpaceDN/>
        <w:bidi w:val="0"/>
        <w:adjustRightInd/>
        <w:snapToGrid/>
        <w:spacing w:line="360" w:lineRule="auto"/>
        <w:ind w:left="0" w:firstLine="0" w:firstLineChars="0"/>
        <w:textAlignment w:val="auto"/>
        <w:rPr>
          <w:color w:val="auto"/>
          <w:sz w:val="22"/>
          <w:szCs w:val="22"/>
          <w:highlight w:val="none"/>
        </w:rPr>
      </w:pPr>
      <w:r>
        <w:rPr>
          <w:rFonts w:hint="eastAsia" w:ascii="宋体" w:hAnsi="宋体" w:cs="宋体"/>
          <w:bCs/>
          <w:color w:val="auto"/>
          <w:sz w:val="22"/>
          <w:szCs w:val="22"/>
          <w:highlight w:val="none"/>
        </w:rPr>
        <w:fldChar w:fldCharType="begin"/>
      </w:r>
      <w:r>
        <w:rPr>
          <w:rStyle w:val="28"/>
          <w:rFonts w:hint="eastAsia" w:ascii="宋体" w:hAnsi="宋体" w:cs="宋体"/>
          <w:bCs/>
          <w:color w:val="auto"/>
          <w:sz w:val="22"/>
          <w:szCs w:val="22"/>
          <w:highlight w:val="none"/>
          <w:u w:val="none"/>
        </w:rPr>
        <w:instrText xml:space="preserve"> TOC \o "1-3" \h \z \u </w:instrText>
      </w:r>
      <w:r>
        <w:rPr>
          <w:rFonts w:hint="eastAsia" w:ascii="宋体" w:hAnsi="宋体" w:cs="宋体"/>
          <w:bCs/>
          <w:color w:val="auto"/>
          <w:sz w:val="22"/>
          <w:szCs w:val="22"/>
          <w:highlight w:val="none"/>
        </w:rPr>
        <w:fldChar w:fldCharType="separate"/>
      </w:r>
      <w:r>
        <w:rPr>
          <w:rFonts w:hint="eastAsia" w:ascii="宋体" w:hAnsi="宋体" w:cs="宋体"/>
          <w:bCs/>
          <w:color w:val="auto"/>
          <w:sz w:val="22"/>
          <w:szCs w:val="22"/>
          <w:highlight w:val="none"/>
        </w:rPr>
        <w:fldChar w:fldCharType="begin"/>
      </w:r>
      <w:r>
        <w:rPr>
          <w:rFonts w:hint="eastAsia" w:ascii="宋体" w:hAnsi="宋体" w:cs="宋体"/>
          <w:bCs/>
          <w:color w:val="auto"/>
          <w:sz w:val="22"/>
          <w:szCs w:val="22"/>
          <w:highlight w:val="none"/>
        </w:rPr>
        <w:instrText xml:space="preserve"> HYPERLINK \l _Toc64 </w:instrText>
      </w:r>
      <w:r>
        <w:rPr>
          <w:rFonts w:hint="eastAsia" w:ascii="宋体" w:hAnsi="宋体" w:cs="宋体"/>
          <w:bCs/>
          <w:color w:val="auto"/>
          <w:sz w:val="22"/>
          <w:szCs w:val="22"/>
          <w:highlight w:val="none"/>
        </w:rPr>
        <w:fldChar w:fldCharType="separate"/>
      </w:r>
      <w:r>
        <w:rPr>
          <w:rFonts w:hint="eastAsia" w:ascii="宋体" w:hAnsi="宋体" w:cs="宋体"/>
          <w:color w:val="auto"/>
          <w:sz w:val="22"/>
          <w:szCs w:val="22"/>
          <w:highlight w:val="none"/>
          <w:lang w:eastAsia="zh-CN"/>
        </w:rPr>
        <w:t>温州市交通发展集团有限公司</w:t>
      </w:r>
      <w:r>
        <w:rPr>
          <w:rFonts w:hint="eastAsia" w:ascii="宋体" w:hAnsi="宋体" w:eastAsia="宋体" w:cs="宋体"/>
          <w:color w:val="auto"/>
          <w:sz w:val="22"/>
          <w:szCs w:val="22"/>
          <w:highlight w:val="none"/>
        </w:rPr>
        <w:t>关于</w:t>
      </w:r>
      <w:r>
        <w:rPr>
          <w:rFonts w:hint="eastAsia" w:ascii="宋体" w:hAnsi="宋体" w:cs="宋体"/>
          <w:color w:val="auto"/>
          <w:sz w:val="22"/>
          <w:szCs w:val="22"/>
          <w:highlight w:val="none"/>
          <w:lang w:eastAsia="zh-CN"/>
        </w:rPr>
        <w:t>温州市交发集团OA系统信创改造</w:t>
      </w:r>
      <w:r>
        <w:rPr>
          <w:rFonts w:hint="eastAsia" w:ascii="宋体" w:hAnsi="宋体" w:eastAsia="宋体" w:cs="宋体"/>
          <w:color w:val="auto"/>
          <w:sz w:val="22"/>
          <w:szCs w:val="22"/>
          <w:highlight w:val="none"/>
        </w:rPr>
        <w:t>的采购公告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_Toc64 \h </w:instrText>
      </w:r>
      <w:r>
        <w:rPr>
          <w:color w:val="auto"/>
          <w:sz w:val="22"/>
          <w:szCs w:val="22"/>
          <w:highlight w:val="none"/>
        </w:rPr>
        <w:fldChar w:fldCharType="separate"/>
      </w:r>
      <w:r>
        <w:rPr>
          <w:color w:val="auto"/>
          <w:sz w:val="22"/>
          <w:szCs w:val="22"/>
          <w:highlight w:val="none"/>
        </w:rPr>
        <w:t>1</w:t>
      </w:r>
      <w:r>
        <w:rPr>
          <w:color w:val="auto"/>
          <w:sz w:val="22"/>
          <w:szCs w:val="22"/>
          <w:highlight w:val="none"/>
        </w:rPr>
        <w:fldChar w:fldCharType="end"/>
      </w:r>
      <w:r>
        <w:rPr>
          <w:rFonts w:hint="eastAsia" w:ascii="宋体" w:hAnsi="宋体" w:cs="宋体"/>
          <w:bCs/>
          <w:color w:val="auto"/>
          <w:sz w:val="22"/>
          <w:szCs w:val="22"/>
          <w:highlight w:val="none"/>
        </w:rPr>
        <w:fldChar w:fldCharType="end"/>
      </w:r>
    </w:p>
    <w:p w14:paraId="1F26A373">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_Toc32755 </w:instrText>
      </w:r>
      <w:r>
        <w:rPr>
          <w:rFonts w:hint="eastAsia" w:ascii="宋体" w:hAnsi="宋体" w:cs="宋体"/>
          <w:color w:val="auto"/>
          <w:sz w:val="22"/>
          <w:szCs w:val="22"/>
          <w:highlight w:val="none"/>
        </w:rPr>
        <w:fldChar w:fldCharType="separate"/>
      </w:r>
      <w:r>
        <w:rPr>
          <w:rFonts w:hint="eastAsia" w:ascii="宋体" w:hAnsi="宋体" w:eastAsia="宋体" w:cs="宋体"/>
          <w:color w:val="auto"/>
          <w:sz w:val="22"/>
          <w:szCs w:val="22"/>
          <w:highlight w:val="none"/>
        </w:rPr>
        <w:t>投标供应商须知前附表</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_Toc32755 \h </w:instrText>
      </w:r>
      <w:r>
        <w:rPr>
          <w:color w:val="auto"/>
          <w:sz w:val="22"/>
          <w:szCs w:val="22"/>
          <w:highlight w:val="none"/>
        </w:rPr>
        <w:fldChar w:fldCharType="separate"/>
      </w:r>
      <w:r>
        <w:rPr>
          <w:color w:val="auto"/>
          <w:sz w:val="22"/>
          <w:szCs w:val="22"/>
          <w:highlight w:val="none"/>
        </w:rPr>
        <w:t>6</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60C7BF07">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_Toc9748 </w:instrText>
      </w:r>
      <w:r>
        <w:rPr>
          <w:rFonts w:hint="eastAsia" w:ascii="宋体" w:hAnsi="宋体" w:cs="宋体"/>
          <w:color w:val="auto"/>
          <w:sz w:val="22"/>
          <w:szCs w:val="22"/>
          <w:highlight w:val="none"/>
        </w:rPr>
        <w:fldChar w:fldCharType="separate"/>
      </w:r>
      <w:r>
        <w:rPr>
          <w:rFonts w:hint="eastAsia" w:ascii="宋体" w:hAnsi="宋体" w:eastAsia="宋体" w:cs="宋体"/>
          <w:color w:val="auto"/>
          <w:sz w:val="22"/>
          <w:szCs w:val="22"/>
          <w:highlight w:val="none"/>
        </w:rPr>
        <w:t>第一部分    投标供应商须知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_Toc9748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325B58C7">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_Toc2606 </w:instrText>
      </w:r>
      <w:r>
        <w:rPr>
          <w:rFonts w:hint="eastAsia" w:ascii="宋体" w:hAnsi="宋体" w:cs="宋体"/>
          <w:color w:val="auto"/>
          <w:sz w:val="22"/>
          <w:szCs w:val="22"/>
          <w:highlight w:val="none"/>
        </w:rPr>
        <w:fldChar w:fldCharType="separate"/>
      </w:r>
      <w:r>
        <w:rPr>
          <w:rFonts w:hint="eastAsia" w:ascii="宋体" w:hAnsi="宋体" w:cs="宋体"/>
          <w:bCs/>
          <w:color w:val="auto"/>
          <w:sz w:val="22"/>
          <w:szCs w:val="22"/>
          <w:highlight w:val="none"/>
        </w:rPr>
        <w:t>一、 说明</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_Toc2606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11298582">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_Toc18394 </w:instrText>
      </w:r>
      <w:r>
        <w:rPr>
          <w:rFonts w:hint="eastAsia" w:ascii="宋体" w:hAnsi="宋体" w:cs="宋体"/>
          <w:color w:val="auto"/>
          <w:sz w:val="22"/>
          <w:szCs w:val="22"/>
          <w:highlight w:val="none"/>
        </w:rPr>
        <w:fldChar w:fldCharType="separate"/>
      </w:r>
      <w:r>
        <w:rPr>
          <w:rFonts w:hint="eastAsia" w:ascii="宋体" w:hAnsi="宋体" w:cs="宋体"/>
          <w:bCs/>
          <w:color w:val="auto"/>
          <w:sz w:val="22"/>
          <w:szCs w:val="22"/>
          <w:highlight w:val="none"/>
        </w:rPr>
        <w:t>二、 采购文件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_Toc18394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4D4E484F">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_Toc18583 </w:instrText>
      </w:r>
      <w:r>
        <w:rPr>
          <w:rFonts w:hint="eastAsia" w:ascii="宋体" w:hAnsi="宋体" w:cs="宋体"/>
          <w:color w:val="auto"/>
          <w:sz w:val="22"/>
          <w:szCs w:val="22"/>
          <w:highlight w:val="none"/>
        </w:rPr>
        <w:fldChar w:fldCharType="separate"/>
      </w:r>
      <w:r>
        <w:rPr>
          <w:rFonts w:hint="eastAsia" w:ascii="宋体" w:hAnsi="宋体" w:cs="宋体"/>
          <w:bCs/>
          <w:color w:val="auto"/>
          <w:sz w:val="22"/>
          <w:szCs w:val="22"/>
          <w:highlight w:val="none"/>
        </w:rPr>
        <w:t>三、 投标文件的编制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_Toc18583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69E23489">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_Toc29196 </w:instrText>
      </w:r>
      <w:r>
        <w:rPr>
          <w:rFonts w:hint="eastAsia" w:ascii="宋体" w:hAnsi="宋体" w:cs="宋体"/>
          <w:color w:val="auto"/>
          <w:sz w:val="22"/>
          <w:szCs w:val="22"/>
          <w:highlight w:val="none"/>
        </w:rPr>
        <w:fldChar w:fldCharType="separate"/>
      </w:r>
      <w:r>
        <w:rPr>
          <w:rFonts w:hint="eastAsia" w:ascii="宋体" w:hAnsi="宋体" w:cs="宋体"/>
          <w:bCs/>
          <w:color w:val="auto"/>
          <w:sz w:val="22"/>
          <w:szCs w:val="22"/>
          <w:highlight w:val="none"/>
        </w:rPr>
        <w:t>四、 投标文件的递交</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_Toc29196 \h </w:instrText>
      </w:r>
      <w:r>
        <w:rPr>
          <w:color w:val="auto"/>
          <w:sz w:val="22"/>
          <w:szCs w:val="22"/>
          <w:highlight w:val="none"/>
        </w:rPr>
        <w:fldChar w:fldCharType="separate"/>
      </w:r>
      <w:r>
        <w:rPr>
          <w:color w:val="auto"/>
          <w:sz w:val="22"/>
          <w:szCs w:val="22"/>
          <w:highlight w:val="none"/>
        </w:rPr>
        <w:t>13</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3E8B09E6">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_Toc10204 </w:instrText>
      </w:r>
      <w:r>
        <w:rPr>
          <w:rFonts w:hint="eastAsia" w:ascii="宋体" w:hAnsi="宋体" w:cs="宋体"/>
          <w:color w:val="auto"/>
          <w:sz w:val="22"/>
          <w:szCs w:val="22"/>
          <w:highlight w:val="none"/>
        </w:rPr>
        <w:fldChar w:fldCharType="separate"/>
      </w:r>
      <w:r>
        <w:rPr>
          <w:rFonts w:hint="eastAsia" w:ascii="宋体" w:hAnsi="宋体" w:cs="宋体"/>
          <w:bCs/>
          <w:color w:val="auto"/>
          <w:sz w:val="22"/>
          <w:szCs w:val="22"/>
          <w:highlight w:val="none"/>
        </w:rPr>
        <w:t>五、 开标和评标</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_Toc10204 \h </w:instrText>
      </w:r>
      <w:r>
        <w:rPr>
          <w:color w:val="auto"/>
          <w:sz w:val="22"/>
          <w:szCs w:val="22"/>
          <w:highlight w:val="none"/>
        </w:rPr>
        <w:fldChar w:fldCharType="separate"/>
      </w:r>
      <w:r>
        <w:rPr>
          <w:color w:val="auto"/>
          <w:sz w:val="22"/>
          <w:szCs w:val="22"/>
          <w:highlight w:val="none"/>
        </w:rPr>
        <w:t>13</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7A1FE1CC">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_Toc4181 </w:instrText>
      </w:r>
      <w:r>
        <w:rPr>
          <w:rFonts w:hint="eastAsia" w:ascii="宋体" w:hAnsi="宋体" w:cs="宋体"/>
          <w:color w:val="auto"/>
          <w:sz w:val="22"/>
          <w:szCs w:val="22"/>
          <w:highlight w:val="none"/>
        </w:rPr>
        <w:fldChar w:fldCharType="separate"/>
      </w:r>
      <w:r>
        <w:rPr>
          <w:rFonts w:hint="eastAsia" w:ascii="宋体" w:hAnsi="宋体" w:cs="宋体"/>
          <w:bCs/>
          <w:color w:val="auto"/>
          <w:sz w:val="22"/>
          <w:szCs w:val="22"/>
          <w:highlight w:val="none"/>
        </w:rPr>
        <w:t>六、 授予合同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_Toc4181 \h </w:instrText>
      </w:r>
      <w:r>
        <w:rPr>
          <w:color w:val="auto"/>
          <w:sz w:val="22"/>
          <w:szCs w:val="22"/>
          <w:highlight w:val="none"/>
        </w:rPr>
        <w:fldChar w:fldCharType="separate"/>
      </w:r>
      <w:r>
        <w:rPr>
          <w:color w:val="auto"/>
          <w:sz w:val="22"/>
          <w:szCs w:val="22"/>
          <w:highlight w:val="none"/>
        </w:rPr>
        <w:t>16</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5A1C2786">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_Toc6114 </w:instrText>
      </w:r>
      <w:r>
        <w:rPr>
          <w:rFonts w:hint="eastAsia" w:ascii="宋体" w:hAnsi="宋体" w:cs="宋体"/>
          <w:color w:val="auto"/>
          <w:sz w:val="22"/>
          <w:szCs w:val="22"/>
          <w:highlight w:val="none"/>
        </w:rPr>
        <w:fldChar w:fldCharType="separate"/>
      </w:r>
      <w:r>
        <w:rPr>
          <w:rFonts w:hint="eastAsia" w:ascii="宋体" w:hAnsi="宋体" w:cs="宋体"/>
          <w:bCs/>
          <w:color w:val="auto"/>
          <w:sz w:val="22"/>
          <w:szCs w:val="22"/>
          <w:highlight w:val="none"/>
        </w:rPr>
        <w:t>第二部分 合同主要条款</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_Toc6114 \h </w:instrText>
      </w:r>
      <w:r>
        <w:rPr>
          <w:color w:val="auto"/>
          <w:sz w:val="22"/>
          <w:szCs w:val="22"/>
          <w:highlight w:val="none"/>
        </w:rPr>
        <w:fldChar w:fldCharType="separate"/>
      </w:r>
      <w:r>
        <w:rPr>
          <w:color w:val="auto"/>
          <w:sz w:val="22"/>
          <w:szCs w:val="22"/>
          <w:highlight w:val="none"/>
        </w:rPr>
        <w:t>18</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6491EE0B">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_Toc25154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第三部分   附件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_Toc25154 \h </w:instrText>
      </w:r>
      <w:r>
        <w:rPr>
          <w:color w:val="auto"/>
          <w:sz w:val="22"/>
          <w:szCs w:val="22"/>
          <w:highlight w:val="none"/>
        </w:rPr>
        <w:fldChar w:fldCharType="separate"/>
      </w:r>
      <w:r>
        <w:rPr>
          <w:color w:val="auto"/>
          <w:sz w:val="22"/>
          <w:szCs w:val="22"/>
          <w:highlight w:val="none"/>
        </w:rPr>
        <w:t>37</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5FDD41E4">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_Toc13372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第四部分   采购内容及技术要求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_Toc13372 \h </w:instrText>
      </w:r>
      <w:r>
        <w:rPr>
          <w:color w:val="auto"/>
          <w:sz w:val="22"/>
          <w:szCs w:val="22"/>
          <w:highlight w:val="none"/>
        </w:rPr>
        <w:fldChar w:fldCharType="separate"/>
      </w:r>
      <w:r>
        <w:rPr>
          <w:color w:val="auto"/>
          <w:sz w:val="22"/>
          <w:szCs w:val="22"/>
          <w:highlight w:val="none"/>
        </w:rPr>
        <w:t>51</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171BE862">
      <w:pPr>
        <w:pStyle w:val="21"/>
        <w:tabs>
          <w:tab w:val="right" w:leader="dot" w:pos="9242"/>
          <w:tab w:val="clear" w:pos="9061"/>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\l _Toc18364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第五部分   评标原则及方法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_Toc18364 \h </w:instrText>
      </w:r>
      <w:r>
        <w:rPr>
          <w:color w:val="auto"/>
          <w:sz w:val="22"/>
          <w:szCs w:val="22"/>
          <w:highlight w:val="none"/>
        </w:rPr>
        <w:fldChar w:fldCharType="separate"/>
      </w:r>
      <w:r>
        <w:rPr>
          <w:color w:val="auto"/>
          <w:sz w:val="22"/>
          <w:szCs w:val="22"/>
          <w:highlight w:val="none"/>
        </w:rPr>
        <w:t>92</w:t>
      </w:r>
      <w:r>
        <w:rPr>
          <w:color w:val="auto"/>
          <w:sz w:val="22"/>
          <w:szCs w:val="22"/>
          <w:highlight w:val="none"/>
        </w:rPr>
        <w:fldChar w:fldCharType="end"/>
      </w:r>
      <w:r>
        <w:rPr>
          <w:rFonts w:hint="eastAsia" w:ascii="宋体" w:hAnsi="宋体" w:cs="宋体"/>
          <w:color w:val="auto"/>
          <w:sz w:val="22"/>
          <w:szCs w:val="22"/>
          <w:highlight w:val="none"/>
        </w:rPr>
        <w:fldChar w:fldCharType="end"/>
      </w:r>
    </w:p>
    <w:p w14:paraId="1D89FF32">
      <w:pPr>
        <w:overflowPunct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end"/>
      </w:r>
    </w:p>
    <w:p w14:paraId="7A1B2BE0">
      <w:pPr>
        <w:overflowPunct w:val="0"/>
        <w:spacing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注：采购文件中加“▲”且加下划线的条款，为采购的实质性要求和条件，着重提醒各投标供应商注意，并认真查看采购文件中的每一个条款及要求，因误读采购文件而造成的后果，采购人概不负责。</w:t>
      </w:r>
    </w:p>
    <w:p w14:paraId="12CBF12C">
      <w:pPr>
        <w:pStyle w:val="6"/>
        <w:spacing w:line="360" w:lineRule="auto"/>
        <w:rPr>
          <w:rFonts w:hint="eastAsia" w:ascii="宋体" w:hAnsi="宋体" w:eastAsia="宋体" w:cs="宋体"/>
          <w:color w:val="auto"/>
          <w:sz w:val="32"/>
          <w:szCs w:val="32"/>
          <w:highlight w:val="none"/>
        </w:rPr>
        <w:sectPr>
          <w:footerReference r:id="rId5" w:type="default"/>
          <w:pgSz w:w="11906" w:h="16838"/>
          <w:pgMar w:top="1247" w:right="1247" w:bottom="1247" w:left="1417" w:header="851" w:footer="850" w:gutter="0"/>
          <w:pgBorders>
            <w:top w:val="none" w:sz="0" w:space="0"/>
            <w:left w:val="none" w:sz="0" w:space="0"/>
            <w:bottom w:val="none" w:sz="0" w:space="0"/>
            <w:right w:val="none" w:sz="0" w:space="0"/>
          </w:pgBorders>
          <w:pgNumType w:fmt="decimal" w:start="1"/>
          <w:cols w:space="720" w:num="1"/>
          <w:rtlGutter w:val="0"/>
          <w:docGrid w:type="lines" w:linePitch="318" w:charSpace="0"/>
        </w:sectPr>
      </w:pPr>
      <w:bookmarkStart w:id="0" w:name="_Toc15028"/>
      <w:bookmarkStart w:id="1" w:name="_Toc10923"/>
      <w:bookmarkStart w:id="2" w:name="_Toc24159"/>
      <w:bookmarkStart w:id="3" w:name="_Toc142923316"/>
      <w:bookmarkStart w:id="4" w:name="_Toc222114874"/>
      <w:bookmarkStart w:id="5" w:name="_Toc246261260"/>
      <w:bookmarkStart w:id="6" w:name="_Toc221356881"/>
      <w:bookmarkStart w:id="7" w:name="_Toc251325209"/>
      <w:bookmarkStart w:id="8" w:name="_Toc221423614"/>
      <w:bookmarkStart w:id="9" w:name="_Toc251592732"/>
      <w:bookmarkStart w:id="10" w:name="_Toc221356946"/>
      <w:bookmarkStart w:id="11" w:name="_Toc223715993"/>
      <w:bookmarkStart w:id="12" w:name="_Toc252194847"/>
      <w:bookmarkStart w:id="13" w:name="_Toc245722276"/>
      <w:bookmarkStart w:id="14" w:name="_Toc221374621"/>
      <w:bookmarkStart w:id="15" w:name="_Toc241404197"/>
      <w:bookmarkStart w:id="16" w:name="_Toc239145349"/>
      <w:bookmarkStart w:id="17" w:name="_Toc245191309"/>
    </w:p>
    <w:p w14:paraId="45BC9544">
      <w:pPr>
        <w:pStyle w:val="6"/>
        <w:keepNext/>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b w:val="0"/>
          <w:bCs w:val="0"/>
          <w:color w:val="auto"/>
          <w:sz w:val="32"/>
          <w:szCs w:val="32"/>
          <w:highlight w:val="none"/>
          <w:lang w:eastAsia="zh-CN"/>
        </w:rPr>
      </w:pPr>
      <w:bookmarkStart w:id="18" w:name="_Toc28100"/>
      <w:bookmarkStart w:id="19" w:name="_Toc64"/>
      <w:bookmarkStart w:id="20" w:name="_Toc12098"/>
      <w:bookmarkStart w:id="21" w:name="_Toc4378"/>
      <w:r>
        <w:rPr>
          <w:rFonts w:hint="eastAsia" w:ascii="黑体" w:hAnsi="黑体" w:eastAsia="黑体" w:cs="黑体"/>
          <w:b w:val="0"/>
          <w:bCs w:val="0"/>
          <w:color w:val="auto"/>
          <w:sz w:val="32"/>
          <w:szCs w:val="32"/>
          <w:highlight w:val="none"/>
          <w:lang w:eastAsia="zh-CN"/>
        </w:rPr>
        <w:t>温州市交通发展集团有限公司</w:t>
      </w:r>
      <w:r>
        <w:rPr>
          <w:rFonts w:hint="eastAsia" w:ascii="黑体" w:hAnsi="黑体" w:eastAsia="黑体" w:cs="黑体"/>
          <w:b w:val="0"/>
          <w:bCs w:val="0"/>
          <w:color w:val="auto"/>
          <w:sz w:val="32"/>
          <w:szCs w:val="32"/>
          <w:highlight w:val="none"/>
        </w:rPr>
        <w:t>关于</w:t>
      </w:r>
      <w:r>
        <w:rPr>
          <w:rFonts w:hint="eastAsia" w:ascii="黑体" w:hAnsi="黑体" w:eastAsia="黑体" w:cs="黑体"/>
          <w:b w:val="0"/>
          <w:bCs w:val="0"/>
          <w:color w:val="auto"/>
          <w:sz w:val="32"/>
          <w:szCs w:val="32"/>
          <w:highlight w:val="none"/>
          <w:lang w:eastAsia="zh-CN"/>
        </w:rPr>
        <w:t>温州市交发集团</w:t>
      </w:r>
    </w:p>
    <w:p w14:paraId="0C3AEB6C">
      <w:pPr>
        <w:pStyle w:val="6"/>
        <w:keepNext/>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sz w:val="32"/>
          <w:szCs w:val="32"/>
          <w:highlight w:val="none"/>
          <w:lang w:eastAsia="zh-CN"/>
        </w:rPr>
        <w:t>OA</w:t>
      </w:r>
      <w:r>
        <w:rPr>
          <w:rFonts w:hint="eastAsia" w:ascii="黑体" w:hAnsi="黑体" w:eastAsia="黑体" w:cs="黑体"/>
          <w:b w:val="0"/>
          <w:bCs w:val="0"/>
          <w:color w:val="auto"/>
          <w:sz w:val="32"/>
          <w:szCs w:val="32"/>
          <w:highlight w:val="none"/>
          <w:lang w:val="en-US" w:eastAsia="zh-CN"/>
        </w:rPr>
        <w:t>系统</w:t>
      </w:r>
      <w:r>
        <w:rPr>
          <w:rFonts w:hint="eastAsia" w:ascii="黑体" w:hAnsi="黑体" w:eastAsia="黑体" w:cs="黑体"/>
          <w:b w:val="0"/>
          <w:bCs w:val="0"/>
          <w:color w:val="auto"/>
          <w:sz w:val="32"/>
          <w:szCs w:val="32"/>
          <w:highlight w:val="none"/>
          <w:lang w:eastAsia="zh-CN"/>
        </w:rPr>
        <w:t>信创改造项目</w:t>
      </w:r>
      <w:r>
        <w:rPr>
          <w:rFonts w:hint="eastAsia" w:ascii="黑体" w:hAnsi="黑体" w:eastAsia="黑体" w:cs="黑体"/>
          <w:b w:val="0"/>
          <w:bCs w:val="0"/>
          <w:color w:val="auto"/>
          <w:sz w:val="32"/>
          <w:szCs w:val="32"/>
          <w:highlight w:val="none"/>
        </w:rPr>
        <w:t>的采购公告</w:t>
      </w:r>
      <w:bookmarkEnd w:id="0"/>
      <w:bookmarkEnd w:id="1"/>
      <w:bookmarkEnd w:id="2"/>
      <w:bookmarkEnd w:id="3"/>
      <w:bookmarkEnd w:id="18"/>
      <w:bookmarkEnd w:id="19"/>
      <w:bookmarkEnd w:id="20"/>
      <w:bookmarkEnd w:id="21"/>
    </w:p>
    <w:p w14:paraId="4ECA93EB">
      <w:pPr>
        <w:keepNext w:val="0"/>
        <w:keepLines w:val="0"/>
        <w:pageBreakBefore w:val="0"/>
        <w:widowControl/>
        <w:kinsoku/>
        <w:wordWrap/>
        <w:overflowPunct/>
        <w:topLinePunct w:val="0"/>
        <w:autoSpaceDE/>
        <w:autoSpaceDN/>
        <w:bidi w:val="0"/>
        <w:adjustRightInd/>
        <w:snapToGrid/>
        <w:spacing w:line="360" w:lineRule="auto"/>
        <w:ind w:left="0" w:leftChars="0" w:right="0" w:firstLine="440" w:firstLineChars="200"/>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根据《温州市市属国有企业采购管理办法（试行）》等有关规定，</w:t>
      </w:r>
      <w:r>
        <w:rPr>
          <w:rFonts w:hint="eastAsia" w:ascii="宋体" w:hAnsi="宋体" w:cs="宋体"/>
          <w:color w:val="auto"/>
          <w:sz w:val="22"/>
          <w:szCs w:val="22"/>
          <w:highlight w:val="none"/>
          <w:lang w:eastAsia="zh-CN"/>
        </w:rPr>
        <w:t>浙江工汇项目管理有限公司</w:t>
      </w:r>
      <w:r>
        <w:rPr>
          <w:rFonts w:hint="eastAsia" w:ascii="宋体" w:hAnsi="宋体" w:cs="宋体"/>
          <w:color w:val="auto"/>
          <w:sz w:val="22"/>
          <w:szCs w:val="22"/>
          <w:highlight w:val="none"/>
        </w:rPr>
        <w:t>受</w:t>
      </w:r>
      <w:r>
        <w:rPr>
          <w:rFonts w:hint="eastAsia" w:ascii="宋体" w:hAnsi="宋体" w:cs="宋体"/>
          <w:color w:val="auto"/>
          <w:sz w:val="22"/>
          <w:szCs w:val="22"/>
          <w:highlight w:val="none"/>
          <w:lang w:eastAsia="zh-CN"/>
        </w:rPr>
        <w:t>温州市交通发展集团有限公司</w:t>
      </w:r>
      <w:r>
        <w:rPr>
          <w:rFonts w:hint="eastAsia" w:ascii="宋体" w:hAnsi="宋体" w:cs="宋体"/>
          <w:color w:val="auto"/>
          <w:sz w:val="22"/>
          <w:szCs w:val="22"/>
          <w:highlight w:val="none"/>
        </w:rPr>
        <w:t>委托，就</w:t>
      </w:r>
      <w:r>
        <w:rPr>
          <w:rFonts w:hint="eastAsia" w:ascii="宋体" w:hAnsi="宋体" w:cs="宋体"/>
          <w:color w:val="auto"/>
          <w:sz w:val="22"/>
          <w:szCs w:val="22"/>
          <w:highlight w:val="none"/>
          <w:lang w:eastAsia="zh-CN"/>
        </w:rPr>
        <w:t>温州市交发集团OA系统信创改造</w:t>
      </w:r>
      <w:r>
        <w:rPr>
          <w:rFonts w:hint="eastAsia" w:ascii="宋体" w:hAnsi="宋体" w:cs="宋体"/>
          <w:color w:val="auto"/>
          <w:sz w:val="22"/>
          <w:szCs w:val="22"/>
          <w:highlight w:val="none"/>
        </w:rPr>
        <w:t>以公开招标方式进行国企采购，欢迎国内合格的供应商前来投标。</w:t>
      </w:r>
    </w:p>
    <w:p w14:paraId="4247BC8C">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Cs/>
          <w:color w:val="auto"/>
          <w:sz w:val="22"/>
          <w:szCs w:val="22"/>
          <w:highlight w:val="none"/>
          <w:u w:val="single"/>
          <w:lang w:eastAsia="zh-CN"/>
        </w:rPr>
      </w:pPr>
      <w:r>
        <w:rPr>
          <w:rFonts w:hint="eastAsia" w:ascii="宋体" w:hAnsi="宋体" w:cs="宋体"/>
          <w:b/>
          <w:bCs w:val="0"/>
          <w:color w:val="auto"/>
          <w:sz w:val="22"/>
          <w:szCs w:val="22"/>
          <w:highlight w:val="none"/>
        </w:rPr>
        <w:t xml:space="preserve">一、项目编号: </w:t>
      </w:r>
      <w:r>
        <w:rPr>
          <w:rFonts w:hint="eastAsia" w:ascii="宋体" w:hAnsi="宋体" w:cs="宋体"/>
          <w:color w:val="auto"/>
          <w:sz w:val="22"/>
          <w:szCs w:val="22"/>
          <w:highlight w:val="none"/>
          <w:lang w:eastAsia="zh-CN"/>
        </w:rPr>
        <w:t>WGSS-JFJT-X-2024012</w:t>
      </w:r>
    </w:p>
    <w:p w14:paraId="0EE4F66E">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Cs/>
          <w:color w:val="auto"/>
          <w:sz w:val="22"/>
          <w:szCs w:val="22"/>
          <w:highlight w:val="none"/>
          <w:lang w:eastAsia="zh-CN"/>
        </w:rPr>
      </w:pPr>
      <w:r>
        <w:rPr>
          <w:rFonts w:hint="eastAsia" w:ascii="宋体" w:hAnsi="宋体" w:cs="宋体"/>
          <w:b/>
          <w:bCs w:val="0"/>
          <w:color w:val="auto"/>
          <w:sz w:val="22"/>
          <w:szCs w:val="22"/>
          <w:highlight w:val="none"/>
        </w:rPr>
        <w:t>二、采购项目性质：</w:t>
      </w:r>
      <w:r>
        <w:rPr>
          <w:rFonts w:hint="eastAsia" w:ascii="宋体" w:hAnsi="宋体" w:cs="宋体"/>
          <w:bCs/>
          <w:color w:val="auto"/>
          <w:sz w:val="22"/>
          <w:szCs w:val="22"/>
          <w:highlight w:val="none"/>
        </w:rPr>
        <w:t>国企采购（非政府采购）</w:t>
      </w:r>
      <w:r>
        <w:rPr>
          <w:rFonts w:hint="eastAsia" w:ascii="宋体" w:hAnsi="宋体" w:cs="宋体"/>
          <w:bCs/>
          <w:color w:val="auto"/>
          <w:sz w:val="22"/>
          <w:szCs w:val="22"/>
          <w:highlight w:val="none"/>
          <w:lang w:eastAsia="zh-CN"/>
        </w:rPr>
        <w:t>；</w:t>
      </w:r>
    </w:p>
    <w:p w14:paraId="79763845">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cs="宋体"/>
          <w:bCs/>
          <w:color w:val="auto"/>
          <w:sz w:val="22"/>
          <w:szCs w:val="22"/>
          <w:highlight w:val="none"/>
        </w:rPr>
      </w:pPr>
      <w:r>
        <w:rPr>
          <w:rFonts w:hint="eastAsia" w:ascii="宋体" w:hAnsi="宋体" w:cs="宋体"/>
          <w:b/>
          <w:bCs w:val="0"/>
          <w:color w:val="auto"/>
          <w:sz w:val="22"/>
          <w:szCs w:val="22"/>
          <w:highlight w:val="none"/>
        </w:rPr>
        <w:t>三、</w:t>
      </w:r>
      <w:bookmarkStart w:id="22" w:name="_Hlk3463270"/>
      <w:r>
        <w:rPr>
          <w:rFonts w:hint="eastAsia" w:ascii="宋体" w:hAnsi="宋体" w:cs="宋体"/>
          <w:b/>
          <w:bCs w:val="0"/>
          <w:color w:val="auto"/>
          <w:sz w:val="22"/>
          <w:szCs w:val="22"/>
          <w:highlight w:val="none"/>
        </w:rPr>
        <w:t>采购项目概况</w:t>
      </w:r>
      <w:bookmarkEnd w:id="22"/>
      <w:r>
        <w:rPr>
          <w:rFonts w:hint="eastAsia" w:ascii="宋体" w:hAnsi="宋体" w:cs="宋体"/>
          <w:b/>
          <w:bCs w:val="0"/>
          <w:color w:val="auto"/>
          <w:sz w:val="22"/>
          <w:szCs w:val="22"/>
          <w:highlight w:val="none"/>
          <w:lang w:eastAsia="zh-CN"/>
        </w:rPr>
        <w:t>：</w:t>
      </w:r>
      <w:r>
        <w:rPr>
          <w:rFonts w:hint="eastAsia" w:ascii="宋体" w:hAnsi="宋体" w:cs="宋体"/>
          <w:bCs/>
          <w:color w:val="auto"/>
          <w:sz w:val="22"/>
          <w:szCs w:val="22"/>
          <w:highlight w:val="none"/>
        </w:rPr>
        <w:t>（内容、用途、数量、简要说明等）</w:t>
      </w:r>
      <w:bookmarkStart w:id="23" w:name="B09_招标内容"/>
      <w:bookmarkEnd w:id="23"/>
    </w:p>
    <w:tbl>
      <w:tblPr>
        <w:tblStyle w:val="24"/>
        <w:tblW w:w="92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61"/>
        <w:gridCol w:w="655"/>
        <w:gridCol w:w="637"/>
        <w:gridCol w:w="1200"/>
        <w:gridCol w:w="4619"/>
      </w:tblGrid>
      <w:tr w14:paraId="2ADAE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49" w:type="dxa"/>
            <w:tcBorders>
              <w:tl2br w:val="nil"/>
              <w:tr2bl w:val="nil"/>
            </w:tcBorders>
            <w:noWrap w:val="0"/>
            <w:vAlign w:val="center"/>
          </w:tcPr>
          <w:p w14:paraId="773DE41C">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461" w:type="dxa"/>
            <w:tcBorders>
              <w:tl2br w:val="nil"/>
              <w:tr2bl w:val="nil"/>
            </w:tcBorders>
            <w:noWrap w:val="0"/>
            <w:vAlign w:val="center"/>
          </w:tcPr>
          <w:p w14:paraId="6C5C404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标项内容</w:t>
            </w:r>
          </w:p>
        </w:tc>
        <w:tc>
          <w:tcPr>
            <w:tcW w:w="655" w:type="dxa"/>
            <w:tcBorders>
              <w:tl2br w:val="nil"/>
              <w:tr2bl w:val="nil"/>
            </w:tcBorders>
            <w:noWrap w:val="0"/>
            <w:vAlign w:val="center"/>
          </w:tcPr>
          <w:p w14:paraId="0546D550">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数量</w:t>
            </w:r>
          </w:p>
        </w:tc>
        <w:tc>
          <w:tcPr>
            <w:tcW w:w="637" w:type="dxa"/>
            <w:tcBorders>
              <w:tl2br w:val="nil"/>
              <w:tr2bl w:val="nil"/>
            </w:tcBorders>
            <w:noWrap w:val="0"/>
            <w:vAlign w:val="center"/>
          </w:tcPr>
          <w:p w14:paraId="37E137A0">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单位</w:t>
            </w:r>
          </w:p>
        </w:tc>
        <w:tc>
          <w:tcPr>
            <w:tcW w:w="1200" w:type="dxa"/>
            <w:tcBorders>
              <w:tl2br w:val="nil"/>
              <w:tr2bl w:val="nil"/>
            </w:tcBorders>
            <w:noWrap w:val="0"/>
            <w:vAlign w:val="center"/>
          </w:tcPr>
          <w:p w14:paraId="38D1FF80">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采购预算</w:t>
            </w:r>
          </w:p>
          <w:p w14:paraId="31CAF146">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最高投标限价</w:t>
            </w:r>
            <w:r>
              <w:rPr>
                <w:rFonts w:hint="eastAsia" w:ascii="宋体" w:hAnsi="宋体" w:eastAsia="宋体" w:cs="宋体"/>
                <w:b w:val="0"/>
                <w:bCs w:val="0"/>
                <w:color w:val="auto"/>
                <w:sz w:val="22"/>
                <w:szCs w:val="22"/>
                <w:highlight w:val="none"/>
                <w:lang w:eastAsia="zh-CN"/>
              </w:rPr>
              <w:t>】</w:t>
            </w:r>
          </w:p>
          <w:p w14:paraId="5E239127">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（万元）</w:t>
            </w:r>
          </w:p>
        </w:tc>
        <w:tc>
          <w:tcPr>
            <w:tcW w:w="4619" w:type="dxa"/>
            <w:tcBorders>
              <w:tl2br w:val="nil"/>
              <w:tr2bl w:val="nil"/>
            </w:tcBorders>
            <w:noWrap w:val="0"/>
            <w:vAlign w:val="center"/>
          </w:tcPr>
          <w:p w14:paraId="2227E2D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简要说明</w:t>
            </w:r>
          </w:p>
        </w:tc>
      </w:tr>
      <w:tr w14:paraId="64279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649" w:type="dxa"/>
            <w:tcBorders>
              <w:tl2br w:val="nil"/>
              <w:tr2bl w:val="nil"/>
            </w:tcBorders>
            <w:noWrap w:val="0"/>
            <w:vAlign w:val="center"/>
          </w:tcPr>
          <w:p w14:paraId="33CAC59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461" w:type="dxa"/>
            <w:tcBorders>
              <w:tl2br w:val="nil"/>
              <w:tr2bl w:val="nil"/>
            </w:tcBorders>
            <w:noWrap w:val="0"/>
            <w:vAlign w:val="center"/>
          </w:tcPr>
          <w:p w14:paraId="47479BC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温州市交发集团OA系统信创改造</w:t>
            </w:r>
          </w:p>
        </w:tc>
        <w:tc>
          <w:tcPr>
            <w:tcW w:w="655" w:type="dxa"/>
            <w:tcBorders>
              <w:tl2br w:val="nil"/>
              <w:tr2bl w:val="nil"/>
            </w:tcBorders>
            <w:noWrap w:val="0"/>
            <w:vAlign w:val="center"/>
          </w:tcPr>
          <w:p w14:paraId="283E52D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37" w:type="dxa"/>
            <w:tcBorders>
              <w:tl2br w:val="nil"/>
              <w:tr2bl w:val="nil"/>
            </w:tcBorders>
            <w:noWrap w:val="0"/>
            <w:vAlign w:val="center"/>
          </w:tcPr>
          <w:p w14:paraId="2A1298E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1200" w:type="dxa"/>
            <w:tcBorders>
              <w:tl2br w:val="nil"/>
              <w:tr2bl w:val="nil"/>
            </w:tcBorders>
            <w:noWrap w:val="0"/>
            <w:vAlign w:val="center"/>
          </w:tcPr>
          <w:p w14:paraId="287EEC9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215</w:t>
            </w:r>
          </w:p>
        </w:tc>
        <w:tc>
          <w:tcPr>
            <w:tcW w:w="4619" w:type="dxa"/>
            <w:tcBorders>
              <w:tl2br w:val="nil"/>
              <w:tr2bl w:val="nil"/>
            </w:tcBorders>
            <w:noWrap w:val="0"/>
            <w:vAlign w:val="center"/>
          </w:tcPr>
          <w:p w14:paraId="3E706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w:t>
            </w:r>
            <w:r>
              <w:rPr>
                <w:rFonts w:hint="eastAsia" w:ascii="宋体" w:hAnsi="宋体" w:cs="宋体"/>
                <w:color w:val="auto"/>
                <w:sz w:val="22"/>
                <w:szCs w:val="22"/>
                <w:highlight w:val="none"/>
                <w:lang w:val="en-US" w:eastAsia="zh-CN"/>
              </w:rPr>
              <w:t>主要</w:t>
            </w:r>
            <w:r>
              <w:rPr>
                <w:rFonts w:hint="default" w:ascii="宋体" w:hAnsi="宋体" w:cs="宋体"/>
                <w:color w:val="auto"/>
                <w:sz w:val="22"/>
                <w:szCs w:val="22"/>
                <w:highlight w:val="none"/>
                <w:lang w:eastAsia="zh-CN"/>
              </w:rPr>
              <w:t>针对</w:t>
            </w:r>
            <w:r>
              <w:rPr>
                <w:rFonts w:hint="eastAsia" w:ascii="宋体" w:hAnsi="宋体" w:cs="宋体"/>
                <w:color w:val="auto"/>
                <w:sz w:val="22"/>
                <w:szCs w:val="22"/>
                <w:highlight w:val="none"/>
                <w:lang w:eastAsia="zh-CN"/>
              </w:rPr>
              <w:t>OA</w:t>
            </w:r>
            <w:r>
              <w:rPr>
                <w:rFonts w:hint="default" w:ascii="宋体" w:hAnsi="宋体" w:cs="宋体"/>
                <w:color w:val="auto"/>
                <w:sz w:val="22"/>
                <w:szCs w:val="22"/>
                <w:highlight w:val="none"/>
                <w:lang w:eastAsia="zh-CN"/>
              </w:rPr>
              <w:t>系统进行信创</w:t>
            </w:r>
            <w:r>
              <w:rPr>
                <w:rFonts w:hint="eastAsia" w:ascii="宋体" w:hAnsi="宋体" w:cs="宋体"/>
                <w:color w:val="auto"/>
                <w:sz w:val="22"/>
                <w:szCs w:val="22"/>
                <w:highlight w:val="none"/>
                <w:lang w:eastAsia="zh-CN"/>
              </w:rPr>
              <w:t>改造</w:t>
            </w:r>
            <w:r>
              <w:rPr>
                <w:rFonts w:hint="default" w:ascii="宋体" w:hAnsi="宋体" w:cs="宋体"/>
                <w:color w:val="auto"/>
                <w:sz w:val="22"/>
                <w:szCs w:val="22"/>
                <w:highlight w:val="none"/>
                <w:lang w:eastAsia="zh-CN"/>
              </w:rPr>
              <w:t>，</w:t>
            </w:r>
            <w:r>
              <w:rPr>
                <w:rFonts w:hint="eastAsia" w:ascii="宋体" w:hAnsi="宋体" w:eastAsia="宋体" w:cs="宋体"/>
                <w:color w:val="auto"/>
                <w:kern w:val="1"/>
                <w:sz w:val="22"/>
                <w:szCs w:val="22"/>
                <w:highlight w:val="none"/>
                <w:lang w:val="en-US" w:eastAsia="zh-CN" w:bidi="ar"/>
              </w:rPr>
              <w:t>通过新搭建一套基于国产化平台的综合办公系统，信息化系统软件</w:t>
            </w:r>
            <w:r>
              <w:rPr>
                <w:rFonts w:hint="eastAsia" w:ascii="宋体" w:hAnsi="宋体" w:cs="宋体"/>
                <w:color w:val="auto"/>
                <w:kern w:val="1"/>
                <w:sz w:val="22"/>
                <w:szCs w:val="22"/>
                <w:highlight w:val="none"/>
                <w:lang w:val="en-US" w:eastAsia="zh-CN" w:bidi="ar"/>
              </w:rPr>
              <w:t>及</w:t>
            </w:r>
            <w:r>
              <w:rPr>
                <w:rFonts w:hint="eastAsia" w:ascii="宋体" w:hAnsi="宋体" w:eastAsia="宋体" w:cs="宋体"/>
                <w:color w:val="auto"/>
                <w:kern w:val="1"/>
                <w:sz w:val="22"/>
                <w:szCs w:val="22"/>
                <w:highlight w:val="none"/>
                <w:lang w:val="en-US" w:eastAsia="zh-CN" w:bidi="ar"/>
              </w:rPr>
              <w:t>运行环境资源均为全栈国产化，全面保证集团日常办公业务安全可控、稳定可靠，</w:t>
            </w:r>
            <w:r>
              <w:rPr>
                <w:rFonts w:hint="eastAsia" w:ascii="宋体" w:hAnsi="宋体" w:eastAsia="宋体" w:cs="宋体"/>
                <w:color w:val="auto"/>
                <w:sz w:val="22"/>
                <w:szCs w:val="22"/>
                <w:highlight w:val="none"/>
              </w:rPr>
              <w:t>具体采购内容及求详见采购文件第四部分。</w:t>
            </w:r>
          </w:p>
        </w:tc>
      </w:tr>
    </w:tbl>
    <w:p w14:paraId="78710E2B">
      <w:pPr>
        <w:keepNext w:val="0"/>
        <w:keepLines w:val="0"/>
        <w:pageBreakBefore w:val="0"/>
        <w:widowControl/>
        <w:kinsoku/>
        <w:wordWrap/>
        <w:overflowPunct/>
        <w:topLinePunct w:val="0"/>
        <w:autoSpaceDE/>
        <w:autoSpaceDN/>
        <w:bidi w:val="0"/>
        <w:adjustRightInd/>
        <w:snapToGrid/>
        <w:spacing w:before="160" w:beforeLines="50" w:line="360" w:lineRule="auto"/>
        <w:ind w:right="0"/>
        <w:jc w:val="left"/>
        <w:textAlignment w:val="auto"/>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四、投标供应商资格要求：</w:t>
      </w:r>
    </w:p>
    <w:p w14:paraId="785B112F">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1、基本条件：符合《温州市市属国有企业采购管理办法（试行）》第十五条对供应商参加温州市国有企业采购活动应当具备的条件的要求；</w:t>
      </w:r>
    </w:p>
    <w:p w14:paraId="53217332">
      <w:pPr>
        <w:keepNext w:val="0"/>
        <w:keepLines w:val="0"/>
        <w:pageBreakBefore w:val="0"/>
        <w:kinsoku/>
        <w:wordWrap/>
        <w:overflowPunct/>
        <w:topLinePunct w:val="0"/>
        <w:autoSpaceDE/>
        <w:autoSpaceDN/>
        <w:bidi w:val="0"/>
        <w:adjustRightInd/>
        <w:snapToGrid/>
        <w:spacing w:line="360" w:lineRule="auto"/>
        <w:ind w:left="0" w:right="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bookmarkStart w:id="24" w:name="OLE_LINK49"/>
      <w:r>
        <w:rPr>
          <w:rFonts w:hint="eastAsia" w:ascii="宋体" w:hAnsi="宋体" w:cs="宋体"/>
          <w:color w:val="auto"/>
          <w:sz w:val="22"/>
          <w:szCs w:val="22"/>
          <w:highlight w:val="none"/>
        </w:rPr>
        <w:t>特定条件：</w:t>
      </w:r>
    </w:p>
    <w:p w14:paraId="0C53A0F4">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2.1 单位负责人为同一人或者存在直接控股、管理关系的不同供应商，不得参加同一合同项下的国企采购活动；</w:t>
      </w:r>
    </w:p>
    <w:p w14:paraId="0723E7BC">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ascii="宋体" w:hAnsi="宋体" w:cs="宋体"/>
          <w:color w:val="auto"/>
          <w:sz w:val="22"/>
          <w:szCs w:val="22"/>
          <w:highlight w:val="none"/>
        </w:rPr>
      </w:pPr>
      <w:r>
        <w:rPr>
          <w:rFonts w:hint="eastAsia" w:ascii="宋体" w:hAnsi="宋体" w:cs="宋体"/>
          <w:color w:val="auto"/>
          <w:kern w:val="0"/>
          <w:sz w:val="22"/>
          <w:szCs w:val="22"/>
          <w:highlight w:val="none"/>
        </w:rPr>
        <w:t>2.2 供应商未被</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信用中国</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中国政府采购网（www.ccgp.gov.cn）列入失信被执行人、重大税收违法案件当事人名单、政府采购严重违法失信行为记录名单；</w:t>
      </w:r>
    </w:p>
    <w:bookmarkEnd w:id="24"/>
    <w:p w14:paraId="685583E1">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2.3 本项目不接受联合体投标</w:t>
      </w:r>
    </w:p>
    <w:p w14:paraId="16E38CA5">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五、发售采购文件时间及地点：</w:t>
      </w:r>
      <w:r>
        <w:rPr>
          <w:rFonts w:hint="eastAsia" w:ascii="宋体" w:hAnsi="宋体" w:eastAsia="宋体" w:cs="宋体"/>
          <w:color w:val="auto"/>
          <w:kern w:val="0"/>
          <w:sz w:val="22"/>
          <w:szCs w:val="22"/>
          <w:highlight w:val="none"/>
          <w:lang w:eastAsia="zh-CN"/>
        </w:rPr>
        <w:t xml:space="preserve"> </w:t>
      </w:r>
    </w:p>
    <w:p w14:paraId="2C3F1EAF">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1、采购文件发售时间：2024年</w:t>
      </w:r>
      <w:r>
        <w:rPr>
          <w:rFonts w:hint="eastAsia" w:ascii="宋体" w:hAnsi="宋体" w:cs="宋体"/>
          <w:color w:val="auto"/>
          <w:kern w:val="0"/>
          <w:sz w:val="22"/>
          <w:szCs w:val="22"/>
          <w:highlight w:val="none"/>
          <w:lang w:eastAsia="zh-CN"/>
        </w:rPr>
        <w:t>7月26日</w:t>
      </w:r>
      <w:r>
        <w:rPr>
          <w:rFonts w:hint="eastAsia" w:ascii="宋体" w:hAnsi="宋体" w:eastAsia="宋体" w:cs="宋体"/>
          <w:color w:val="auto"/>
          <w:kern w:val="0"/>
          <w:sz w:val="22"/>
          <w:szCs w:val="22"/>
          <w:highlight w:val="none"/>
          <w:lang w:eastAsia="zh-CN"/>
        </w:rPr>
        <w:t>起至2024年</w:t>
      </w:r>
      <w:r>
        <w:rPr>
          <w:rFonts w:hint="eastAsia" w:ascii="宋体" w:hAnsi="宋体" w:cs="宋体"/>
          <w:color w:val="auto"/>
          <w:kern w:val="0"/>
          <w:sz w:val="22"/>
          <w:szCs w:val="22"/>
          <w:highlight w:val="none"/>
          <w:lang w:eastAsia="zh-CN"/>
        </w:rPr>
        <w:t>8月19日</w:t>
      </w:r>
      <w:r>
        <w:rPr>
          <w:rFonts w:hint="eastAsia" w:ascii="宋体" w:hAnsi="宋体" w:eastAsia="宋体" w:cs="宋体"/>
          <w:color w:val="auto"/>
          <w:kern w:val="0"/>
          <w:sz w:val="22"/>
          <w:szCs w:val="22"/>
          <w:highlight w:val="none"/>
          <w:lang w:eastAsia="zh-CN"/>
        </w:rPr>
        <w:t>止；本项目采购文件实行“政府采购云平台”在线获取，纸质版采购文件可前往采购代理机构领取。供应商获取采购文件前应先完成“政府采购云平台”的账号注册；</w:t>
      </w:r>
    </w:p>
    <w:p w14:paraId="711104C1">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2、采购文件发售地点：</w:t>
      </w:r>
    </w:p>
    <w:p w14:paraId="4FA60AC8">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（1）政府采购云平台（http://zfcg.czt.zj.gov.cn）；</w:t>
      </w:r>
    </w:p>
    <w:p w14:paraId="12442915">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（2）供应商网上报名操作指南：“浙江政府采购网-办事指南-注册-供应商注册”（https://zfcg.czt.zj.gov.cn/zfjzcgbszn/2020-11-18/13865.html?_=2021-06-10%2022:15:23）。</w:t>
      </w:r>
    </w:p>
    <w:p w14:paraId="2A4CB6CE">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 3、采购文件发售方式：潜在供应商登陆政府采购云平台，在线申请获取采购文件（进入“项目采购”应用，在获取采购文件菜单中选择项目，申请获取采购文件。本项目采购文件售价:</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eastAsia="zh-CN"/>
        </w:rPr>
        <w:t>00元，转至支付宝账号：</w:t>
      </w:r>
      <w:r>
        <w:rPr>
          <w:rFonts w:hint="eastAsia" w:ascii="宋体" w:hAnsi="宋体" w:eastAsia="宋体" w:cs="宋体"/>
          <w:color w:val="auto"/>
          <w:kern w:val="0"/>
          <w:sz w:val="22"/>
          <w:szCs w:val="22"/>
          <w:highlight w:val="none"/>
          <w:lang w:eastAsia="zh-CN"/>
        </w:rPr>
        <w:fldChar w:fldCharType="begin"/>
      </w:r>
      <w:r>
        <w:rPr>
          <w:rFonts w:hint="eastAsia" w:ascii="宋体" w:hAnsi="宋体" w:eastAsia="宋体" w:cs="宋体"/>
          <w:color w:val="auto"/>
          <w:kern w:val="0"/>
          <w:sz w:val="22"/>
          <w:szCs w:val="22"/>
          <w:highlight w:val="none"/>
          <w:lang w:eastAsia="zh-CN"/>
        </w:rPr>
        <w:instrText xml:space="preserve"> HYPERLINK "mailto:53514766@qq.com,iy" </w:instrText>
      </w:r>
      <w:r>
        <w:rPr>
          <w:rFonts w:hint="eastAsia" w:ascii="宋体" w:hAnsi="宋体" w:eastAsia="宋体" w:cs="宋体"/>
          <w:color w:val="auto"/>
          <w:kern w:val="0"/>
          <w:sz w:val="22"/>
          <w:szCs w:val="22"/>
          <w:highlight w:val="none"/>
          <w:lang w:eastAsia="zh-CN"/>
        </w:rPr>
        <w:fldChar w:fldCharType="separate"/>
      </w:r>
      <w:r>
        <w:rPr>
          <w:rFonts w:hint="eastAsia" w:ascii="宋体" w:hAnsi="宋体" w:eastAsia="宋体" w:cs="宋体"/>
          <w:color w:val="auto"/>
          <w:kern w:val="0"/>
          <w:sz w:val="22"/>
          <w:szCs w:val="22"/>
          <w:highlight w:val="none"/>
          <w:lang w:val="en-US" w:eastAsia="zh-CN"/>
        </w:rPr>
        <w:t>13777776911，</w:t>
      </w:r>
      <w:r>
        <w:rPr>
          <w:rFonts w:hint="eastAsia" w:ascii="宋体" w:hAnsi="宋体" w:eastAsia="宋体" w:cs="宋体"/>
          <w:color w:val="auto"/>
          <w:kern w:val="0"/>
          <w:sz w:val="22"/>
          <w:szCs w:val="22"/>
          <w:highlight w:val="none"/>
          <w:lang w:eastAsia="zh-CN"/>
        </w:rPr>
        <w:fldChar w:fldCharType="end"/>
      </w:r>
      <w:r>
        <w:rPr>
          <w:rFonts w:hint="eastAsia" w:ascii="宋体" w:hAnsi="宋体" w:eastAsia="宋体" w:cs="宋体"/>
          <w:color w:val="auto"/>
          <w:kern w:val="0"/>
          <w:sz w:val="22"/>
          <w:szCs w:val="22"/>
          <w:highlight w:val="none"/>
          <w:lang w:eastAsia="zh-CN"/>
        </w:rPr>
        <w:t>注明投标单位名称；仅需浏览采购文件的供应商可点击“游客，浏览采购文件”直接下载采购文件浏览）。</w:t>
      </w:r>
    </w:p>
    <w:p w14:paraId="04D098E5">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 4、投标供应商获取采购文件时须提交的文件资料：无。</w:t>
      </w:r>
    </w:p>
    <w:p w14:paraId="3BF8CA22">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 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C07DB83">
      <w:pPr>
        <w:keepNext w:val="0"/>
        <w:keepLines w:val="0"/>
        <w:pageBreakBefore w:val="0"/>
        <w:widowControl/>
        <w:kinsoku/>
        <w:wordWrap/>
        <w:overflowPunct/>
        <w:topLinePunct w:val="0"/>
        <w:autoSpaceDE/>
        <w:autoSpaceDN/>
        <w:bidi w:val="0"/>
        <w:adjustRightInd/>
        <w:snapToGrid/>
        <w:spacing w:line="360" w:lineRule="auto"/>
        <w:ind w:left="0" w:right="0" w:firstLine="442" w:firstLineChars="200"/>
        <w:jc w:val="left"/>
        <w:textAlignment w:val="auto"/>
        <w:rPr>
          <w:rFonts w:hint="eastAsia" w:ascii="宋体" w:hAnsi="宋体" w:eastAsia="宋体" w:cs="宋体"/>
          <w:b/>
          <w:bCs/>
          <w:color w:val="auto"/>
          <w:kern w:val="0"/>
          <w:sz w:val="22"/>
          <w:szCs w:val="22"/>
          <w:highlight w:val="none"/>
          <w:u w:val="single"/>
          <w:lang w:eastAsia="zh-CN"/>
        </w:rPr>
      </w:pPr>
      <w:r>
        <w:rPr>
          <w:rFonts w:hint="eastAsia" w:ascii="宋体" w:hAnsi="宋体" w:eastAsia="宋体" w:cs="宋体"/>
          <w:b/>
          <w:bCs/>
          <w:color w:val="auto"/>
          <w:kern w:val="0"/>
          <w:sz w:val="22"/>
          <w:szCs w:val="22"/>
          <w:highlight w:val="none"/>
          <w:u w:val="single"/>
          <w:lang w:eastAsia="zh-CN"/>
        </w:rPr>
        <w:t>注：请供应商按上述要求获取采购文件，如未在“政采云”系统内完成相关流程，引起的投标无效责任自负。</w:t>
      </w:r>
    </w:p>
    <w:p w14:paraId="7587E82F">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ascii="宋体" w:hAnsi="宋体" w:cs="宋体"/>
          <w:b/>
          <w:bCs w:val="0"/>
          <w:color w:val="auto"/>
          <w:sz w:val="22"/>
          <w:szCs w:val="22"/>
          <w:highlight w:val="none"/>
        </w:rPr>
      </w:pPr>
      <w:r>
        <w:rPr>
          <w:rFonts w:hint="eastAsia" w:ascii="宋体" w:hAnsi="宋体" w:cs="宋体"/>
          <w:b/>
          <w:bCs w:val="0"/>
          <w:color w:val="auto"/>
          <w:sz w:val="22"/>
          <w:szCs w:val="22"/>
          <w:highlight w:val="none"/>
        </w:rPr>
        <w:t>六、</w:t>
      </w:r>
      <w:bookmarkStart w:id="25" w:name="_Hlk3379525"/>
      <w:r>
        <w:rPr>
          <w:rFonts w:hint="eastAsia" w:ascii="宋体" w:hAnsi="宋体" w:cs="宋体"/>
          <w:b/>
          <w:bCs w:val="0"/>
          <w:color w:val="auto"/>
          <w:sz w:val="22"/>
          <w:szCs w:val="22"/>
          <w:highlight w:val="none"/>
        </w:rPr>
        <w:t>投标文件递交截止时间</w:t>
      </w:r>
      <w:bookmarkEnd w:id="25"/>
      <w:r>
        <w:rPr>
          <w:rFonts w:hint="eastAsia" w:ascii="宋体" w:hAnsi="宋体" w:cs="宋体"/>
          <w:b/>
          <w:bCs w:val="0"/>
          <w:color w:val="auto"/>
          <w:sz w:val="22"/>
          <w:szCs w:val="22"/>
          <w:highlight w:val="none"/>
        </w:rPr>
        <w:t>：</w:t>
      </w:r>
      <w:bookmarkStart w:id="26" w:name="B23_谈判响应文件提交截止日期"/>
      <w:bookmarkEnd w:id="26"/>
      <w:r>
        <w:rPr>
          <w:rFonts w:hint="eastAsia" w:ascii="宋体" w:hAnsi="宋体" w:cs="宋体"/>
          <w:b/>
          <w:bCs w:val="0"/>
          <w:color w:val="auto"/>
          <w:sz w:val="22"/>
          <w:szCs w:val="22"/>
          <w:highlight w:val="none"/>
        </w:rPr>
        <w:t>2024年</w:t>
      </w:r>
      <w:r>
        <w:rPr>
          <w:rFonts w:hint="eastAsia" w:ascii="宋体" w:hAnsi="宋体" w:cs="宋体"/>
          <w:b/>
          <w:bCs w:val="0"/>
          <w:color w:val="auto"/>
          <w:sz w:val="22"/>
          <w:szCs w:val="22"/>
          <w:highlight w:val="none"/>
          <w:lang w:eastAsia="zh-CN"/>
        </w:rPr>
        <w:t>8月19日14:30</w:t>
      </w:r>
      <w:r>
        <w:rPr>
          <w:rFonts w:hint="eastAsia" w:ascii="宋体" w:hAnsi="宋体" w:cs="宋体"/>
          <w:b/>
          <w:bCs w:val="0"/>
          <w:color w:val="auto"/>
          <w:sz w:val="22"/>
          <w:szCs w:val="22"/>
          <w:highlight w:val="none"/>
        </w:rPr>
        <w:t>(北京时间)</w:t>
      </w:r>
    </w:p>
    <w:p w14:paraId="0CD4E9AC">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ascii="宋体" w:hAnsi="宋体" w:cs="宋体"/>
          <w:bCs/>
          <w:color w:val="auto"/>
          <w:sz w:val="22"/>
          <w:szCs w:val="22"/>
          <w:highlight w:val="none"/>
        </w:rPr>
      </w:pPr>
      <w:r>
        <w:rPr>
          <w:rFonts w:hint="eastAsia" w:ascii="宋体" w:hAnsi="宋体" w:cs="宋体"/>
          <w:b/>
          <w:bCs w:val="0"/>
          <w:color w:val="auto"/>
          <w:sz w:val="22"/>
          <w:szCs w:val="22"/>
          <w:highlight w:val="none"/>
        </w:rPr>
        <w:t>七、投标文件提交地点：</w:t>
      </w:r>
      <w:r>
        <w:rPr>
          <w:rFonts w:hint="eastAsia" w:ascii="宋体" w:hAnsi="宋体" w:cs="宋体"/>
          <w:bCs/>
          <w:color w:val="auto"/>
          <w:sz w:val="22"/>
          <w:szCs w:val="22"/>
          <w:highlight w:val="none"/>
        </w:rPr>
        <w:t>通过“政府采购云平台（https://www.zcygov.cn）”实行在线投标响应。</w:t>
      </w:r>
    </w:p>
    <w:p w14:paraId="0E164157">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ascii="宋体" w:hAnsi="宋体" w:cs="宋体"/>
          <w:b/>
          <w:color w:val="auto"/>
          <w:sz w:val="22"/>
          <w:szCs w:val="22"/>
          <w:highlight w:val="none"/>
        </w:rPr>
      </w:pPr>
      <w:r>
        <w:rPr>
          <w:rFonts w:hint="eastAsia" w:ascii="宋体" w:hAnsi="宋体" w:cs="宋体"/>
          <w:b/>
          <w:bCs w:val="0"/>
          <w:color w:val="auto"/>
          <w:sz w:val="22"/>
          <w:szCs w:val="22"/>
          <w:highlight w:val="none"/>
        </w:rPr>
        <w:t>八、开标时间：</w:t>
      </w:r>
      <w:bookmarkStart w:id="27" w:name="B26_谈判时间日期"/>
      <w:bookmarkEnd w:id="27"/>
      <w:r>
        <w:rPr>
          <w:rFonts w:hint="eastAsia" w:ascii="宋体" w:hAnsi="宋体" w:cs="宋体"/>
          <w:b/>
          <w:color w:val="auto"/>
          <w:sz w:val="22"/>
          <w:szCs w:val="22"/>
          <w:highlight w:val="none"/>
        </w:rPr>
        <w:t>同投标文件递交截止时间。</w:t>
      </w:r>
    </w:p>
    <w:p w14:paraId="23CF83F6">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ascii="宋体" w:hAnsi="宋体" w:cs="宋体"/>
          <w:bCs/>
          <w:color w:val="auto"/>
          <w:sz w:val="22"/>
          <w:szCs w:val="22"/>
          <w:highlight w:val="none"/>
          <w:u w:val="single"/>
        </w:rPr>
      </w:pPr>
      <w:r>
        <w:rPr>
          <w:rFonts w:hint="eastAsia" w:ascii="宋体" w:hAnsi="宋体" w:cs="宋体"/>
          <w:b/>
          <w:bCs w:val="0"/>
          <w:color w:val="auto"/>
          <w:sz w:val="22"/>
          <w:szCs w:val="22"/>
          <w:highlight w:val="none"/>
        </w:rPr>
        <w:t>九、开标地点：</w:t>
      </w:r>
      <w:r>
        <w:rPr>
          <w:rFonts w:hint="eastAsia" w:ascii="宋体" w:hAnsi="宋体" w:cs="宋体"/>
          <w:color w:val="auto"/>
          <w:sz w:val="22"/>
          <w:szCs w:val="22"/>
          <w:highlight w:val="none"/>
        </w:rPr>
        <w:t>在“政府采购云平台（https://www.zcygov.cn）”上开启投标文件；线下开标地点：</w:t>
      </w:r>
      <w:r>
        <w:rPr>
          <w:rFonts w:hint="eastAsia" w:ascii="宋体" w:hAnsi="宋体" w:cs="宋体"/>
          <w:bCs/>
          <w:color w:val="auto"/>
          <w:kern w:val="0"/>
          <w:sz w:val="22"/>
          <w:szCs w:val="22"/>
          <w:highlight w:val="none"/>
        </w:rPr>
        <w:t>温州市政务服务管理中心3楼开标室(温州市鹿城区会展路1268号温州市民中心A座3楼)(以大厅屏幕显示的开标室为准)</w:t>
      </w:r>
      <w:r>
        <w:rPr>
          <w:rFonts w:hint="eastAsia" w:ascii="宋体" w:hAnsi="宋体" w:cs="宋体"/>
          <w:color w:val="auto"/>
          <w:sz w:val="22"/>
          <w:szCs w:val="22"/>
          <w:highlight w:val="none"/>
        </w:rPr>
        <w:t>。</w:t>
      </w:r>
    </w:p>
    <w:p w14:paraId="60C04FAD">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ascii="宋体" w:hAnsi="宋体" w:cs="宋体"/>
          <w:b/>
          <w:bCs w:val="0"/>
          <w:color w:val="auto"/>
          <w:sz w:val="22"/>
          <w:szCs w:val="22"/>
          <w:highlight w:val="none"/>
        </w:rPr>
      </w:pPr>
      <w:r>
        <w:rPr>
          <w:rFonts w:hint="eastAsia" w:ascii="宋体" w:hAnsi="宋体" w:cs="宋体"/>
          <w:b/>
          <w:bCs w:val="0"/>
          <w:color w:val="auto"/>
          <w:sz w:val="22"/>
          <w:szCs w:val="22"/>
          <w:highlight w:val="none"/>
        </w:rPr>
        <w:t>十、投标保证金及交付方式：</w:t>
      </w:r>
    </w:p>
    <w:p w14:paraId="4673E9DA">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r>
        <w:rPr>
          <w:rFonts w:hint="eastAsia" w:ascii="宋体" w:hAnsi="宋体" w:cs="宋体"/>
          <w:b/>
          <w:bCs/>
          <w:color w:val="auto"/>
          <w:sz w:val="22"/>
          <w:szCs w:val="22"/>
          <w:highlight w:val="none"/>
        </w:rPr>
        <w:t>人民币</w:t>
      </w:r>
      <w:r>
        <w:rPr>
          <w:rFonts w:hint="eastAsia" w:ascii="宋体" w:hAnsi="宋体" w:cs="宋体"/>
          <w:b/>
          <w:bCs/>
          <w:color w:val="auto"/>
          <w:sz w:val="22"/>
          <w:szCs w:val="22"/>
          <w:highlight w:val="none"/>
          <w:lang w:val="en-US" w:eastAsia="zh-CN"/>
        </w:rPr>
        <w:t>叁</w:t>
      </w:r>
      <w:r>
        <w:rPr>
          <w:rFonts w:hint="eastAsia" w:ascii="宋体" w:hAnsi="宋体" w:cs="宋体"/>
          <w:b/>
          <w:bCs/>
          <w:color w:val="auto"/>
          <w:sz w:val="22"/>
          <w:szCs w:val="22"/>
          <w:highlight w:val="none"/>
        </w:rPr>
        <w:t>万元整</w:t>
      </w:r>
      <w:r>
        <w:rPr>
          <w:rFonts w:hint="eastAsia" w:ascii="宋体" w:hAnsi="宋体" w:cs="宋体"/>
          <w:color w:val="auto"/>
          <w:sz w:val="22"/>
          <w:szCs w:val="22"/>
          <w:highlight w:val="none"/>
        </w:rPr>
        <w:t>，采用银行转账形式；</w:t>
      </w:r>
    </w:p>
    <w:p w14:paraId="51D5ACAF">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保证金缴纳截止时间:投标文件递交截止时间前。</w:t>
      </w:r>
    </w:p>
    <w:p w14:paraId="108423B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投标保证金递交情况以投标文件递交截止时间</w:t>
      </w:r>
      <w:r>
        <w:rPr>
          <w:rFonts w:hint="eastAsia" w:ascii="宋体" w:hAnsi="宋体" w:cs="宋体"/>
          <w:color w:val="auto"/>
          <w:sz w:val="22"/>
          <w:szCs w:val="22"/>
          <w:highlight w:val="none"/>
          <w:lang w:val="en-US" w:eastAsia="zh-CN"/>
        </w:rPr>
        <w:t>缴纳账户到账信息</w:t>
      </w:r>
      <w:r>
        <w:rPr>
          <w:rFonts w:hint="eastAsia" w:ascii="宋体" w:hAnsi="宋体" w:cs="宋体"/>
          <w:color w:val="auto"/>
          <w:sz w:val="22"/>
          <w:szCs w:val="22"/>
          <w:highlight w:val="none"/>
        </w:rPr>
        <w:t>为准；</w:t>
      </w:r>
    </w:p>
    <w:p w14:paraId="01FF8220">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户名：</w:t>
      </w:r>
      <w:r>
        <w:rPr>
          <w:rFonts w:hint="eastAsia" w:ascii="宋体" w:hAnsi="宋体" w:cs="宋体"/>
          <w:color w:val="auto"/>
          <w:kern w:val="0"/>
          <w:sz w:val="22"/>
          <w:szCs w:val="22"/>
          <w:highlight w:val="none"/>
          <w:lang w:eastAsia="zh-CN"/>
        </w:rPr>
        <w:t>浙江工汇项目管理有限公司</w:t>
      </w:r>
    </w:p>
    <w:p w14:paraId="54D398EC">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账号：762000120190006537</w:t>
      </w:r>
    </w:p>
    <w:p w14:paraId="151C05E4">
      <w:pPr>
        <w:keepNext w:val="0"/>
        <w:keepLines w:val="0"/>
        <w:pageBreakBefore w:val="0"/>
        <w:widowControl/>
        <w:kinsoku/>
        <w:wordWrap/>
        <w:overflowPunct/>
        <w:topLinePunct w:val="0"/>
        <w:autoSpaceDE/>
        <w:autoSpaceDN/>
        <w:bidi w:val="0"/>
        <w:adjustRightInd/>
        <w:snapToGrid/>
        <w:spacing w:line="360" w:lineRule="auto"/>
        <w:ind w:left="0" w:right="0" w:firstLine="440" w:firstLineChars="20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开户行：</w:t>
      </w:r>
      <w:r>
        <w:rPr>
          <w:rFonts w:hint="eastAsia" w:ascii="宋体" w:hAnsi="宋体" w:cs="宋体"/>
          <w:color w:val="auto"/>
          <w:kern w:val="0"/>
          <w:sz w:val="22"/>
          <w:szCs w:val="22"/>
          <w:highlight w:val="none"/>
          <w:lang w:val="en-US" w:eastAsia="zh-CN"/>
        </w:rPr>
        <w:t>温州银行百里支行</w:t>
      </w:r>
    </w:p>
    <w:p w14:paraId="055CB49E">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val="0"/>
          <w:color w:val="auto"/>
          <w:sz w:val="22"/>
          <w:szCs w:val="22"/>
          <w:highlight w:val="none"/>
          <w:lang w:eastAsia="zh-CN"/>
        </w:rPr>
      </w:pPr>
      <w:bookmarkStart w:id="28" w:name="B29_谈判保证金"/>
      <w:bookmarkEnd w:id="28"/>
      <w:r>
        <w:rPr>
          <w:rFonts w:hint="eastAsia" w:ascii="宋体" w:hAnsi="宋体" w:eastAsia="宋体" w:cs="宋体"/>
          <w:b/>
          <w:bCs w:val="0"/>
          <w:color w:val="auto"/>
          <w:sz w:val="22"/>
          <w:szCs w:val="22"/>
          <w:highlight w:val="none"/>
        </w:rPr>
        <w:t>十一、在线投标响应（电子投标）说明</w:t>
      </w:r>
      <w:r>
        <w:rPr>
          <w:rFonts w:hint="eastAsia" w:ascii="宋体" w:hAnsi="宋体" w:eastAsia="宋体" w:cs="宋体"/>
          <w:b/>
          <w:bCs w:val="0"/>
          <w:color w:val="auto"/>
          <w:sz w:val="22"/>
          <w:szCs w:val="22"/>
          <w:highlight w:val="none"/>
          <w:lang w:eastAsia="zh-CN"/>
        </w:rPr>
        <w:t>：</w:t>
      </w:r>
    </w:p>
    <w:p w14:paraId="1729A8E5">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通过“政府采购云平台（https://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290EE06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采云电子交易客户端”请自行前往“浙江政府采购网-下载专区-电子交易客户端”进行下载；电子投标具体操作流程详见《供应商项目采购-电子招投标操作指南》,下载途径详询95763；通过“政府采购云平台”参与在线投标时如遇平台技术问题详询95763。</w:t>
      </w:r>
    </w:p>
    <w:p w14:paraId="639A755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为确保网上操作合法、有效和安全，投标供应商应当在投标截止时间前完成在“政府采购云平台”的身份认证，确保在电子投标过程中能够对相关数据电文进行加密和可以使用电子签章。使用“政采云电子交易客户端”需要提前申领CA数字证书，申领流程请自行前往“浙江政府采购网-下载专区-电子交易客户端-CA驱动和申领流程”进行查阅；</w:t>
      </w:r>
    </w:p>
    <w:p w14:paraId="442A1522">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3、投标供应商应当在投标截止时间前，将生成的“电子加密投标文件”上传递交至“政府采购云平台”。投标截止时间以后上传递交的投标文件将被“政府采购云平台”拒收。</w:t>
      </w:r>
    </w:p>
    <w:p w14:paraId="57F9AB2A">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供应商在“政府采购云平台”完成“电子加密投标文件”的上传递交后，还可以顺丰或EMS邮寄形式在投标截止时间前递交以介质（U盘）存储的数据电文形式的“备份投标文件”，“备份投标文件”应当密封包装并在包装上标注投标项目名称、投标单位名称并加盖公章。</w:t>
      </w:r>
    </w:p>
    <w:p w14:paraId="151FA61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12805B0">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十二、其他事项：</w:t>
      </w:r>
    </w:p>
    <w:p w14:paraId="1359641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1、采购公告期限：5个工作日，从公告在浙江政府采购网上发布的次日起算。</w:t>
      </w:r>
    </w:p>
    <w:p w14:paraId="00B7BFD2">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u w:val="single"/>
        </w:rPr>
        <w:t>投标供应商认为采购文件使自己的权益受到损害的，可以自</w:t>
      </w:r>
      <w:r>
        <w:rPr>
          <w:rFonts w:hint="eastAsia" w:ascii="宋体" w:hAnsi="宋体" w:cs="宋体"/>
          <w:b/>
          <w:bCs/>
          <w:color w:val="auto"/>
          <w:sz w:val="22"/>
          <w:szCs w:val="22"/>
          <w:highlight w:val="none"/>
          <w:u w:val="single"/>
          <w:lang w:val="en-US" w:eastAsia="zh-CN"/>
        </w:rPr>
        <w:t>获取</w:t>
      </w:r>
      <w:r>
        <w:rPr>
          <w:rFonts w:hint="eastAsia" w:ascii="宋体" w:hAnsi="宋体" w:eastAsia="宋体" w:cs="宋体"/>
          <w:b/>
          <w:bCs/>
          <w:color w:val="auto"/>
          <w:sz w:val="22"/>
          <w:szCs w:val="22"/>
          <w:highlight w:val="none"/>
          <w:u w:val="single"/>
        </w:rPr>
        <w:t>采购文件之日（</w:t>
      </w:r>
      <w:r>
        <w:rPr>
          <w:rFonts w:hint="eastAsia" w:ascii="宋体" w:hAnsi="宋体" w:cs="宋体"/>
          <w:b/>
          <w:bCs/>
          <w:color w:val="auto"/>
          <w:sz w:val="22"/>
          <w:szCs w:val="22"/>
          <w:highlight w:val="none"/>
          <w:u w:val="single"/>
          <w:lang w:val="en-US" w:eastAsia="zh-CN"/>
        </w:rPr>
        <w:t>采购公告期限满后获取</w:t>
      </w:r>
      <w:r>
        <w:rPr>
          <w:rFonts w:hint="eastAsia" w:ascii="宋体" w:hAnsi="宋体" w:eastAsia="宋体" w:cs="宋体"/>
          <w:b/>
          <w:bCs/>
          <w:color w:val="auto"/>
          <w:sz w:val="22"/>
          <w:szCs w:val="22"/>
          <w:highlight w:val="none"/>
          <w:u w:val="single"/>
        </w:rPr>
        <w:t>采购文件的，以</w:t>
      </w:r>
      <w:r>
        <w:rPr>
          <w:rFonts w:hint="eastAsia" w:ascii="宋体" w:hAnsi="宋体" w:cs="宋体"/>
          <w:b/>
          <w:bCs/>
          <w:color w:val="auto"/>
          <w:sz w:val="22"/>
          <w:szCs w:val="22"/>
          <w:highlight w:val="none"/>
          <w:u w:val="single"/>
          <w:lang w:val="en-US" w:eastAsia="zh-CN"/>
        </w:rPr>
        <w:t>采购公告期限最后一日</w:t>
      </w:r>
      <w:r>
        <w:rPr>
          <w:rFonts w:hint="eastAsia" w:ascii="宋体" w:hAnsi="宋体" w:eastAsia="宋体" w:cs="宋体"/>
          <w:b/>
          <w:bCs/>
          <w:color w:val="auto"/>
          <w:sz w:val="22"/>
          <w:szCs w:val="22"/>
          <w:highlight w:val="none"/>
          <w:u w:val="single"/>
        </w:rPr>
        <w:t>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bookmarkStart w:id="29" w:name="_Hlk3452824"/>
      <w:r>
        <w:rPr>
          <w:rFonts w:hint="eastAsia" w:ascii="宋体" w:hAnsi="宋体" w:eastAsia="宋体" w:cs="宋体"/>
          <w:b/>
          <w:bCs/>
          <w:color w:val="auto"/>
          <w:sz w:val="22"/>
          <w:szCs w:val="22"/>
          <w:highlight w:val="none"/>
        </w:rPr>
        <w:t>。</w:t>
      </w:r>
    </w:p>
    <w:bookmarkEnd w:id="29"/>
    <w:p w14:paraId="1CB1B241">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3、采购文件发售截止时间之后潜在投标供应商仍然可以购买采购文件，但该投标供应商如对采购文件有疑问应按采购文件规定的询疑截止时间前提出，逾期提出的，采购组织机构可以不予受理、答复。</w:t>
      </w:r>
    </w:p>
    <w:p w14:paraId="560B8B9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采购公告附件的采购文件仅供阅览使用，未按照本公告规定的方式获取采购文件的潜在投标人提起的质疑，采购人及采购代理机构将不予受理、答复。</w:t>
      </w:r>
    </w:p>
    <w:p w14:paraId="17E9AD64">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、书面质疑受理地点：</w:t>
      </w:r>
      <w:r>
        <w:rPr>
          <w:rFonts w:hint="eastAsia" w:ascii="宋体" w:hAnsi="宋体" w:cs="宋体"/>
          <w:color w:val="auto"/>
          <w:sz w:val="22"/>
          <w:szCs w:val="22"/>
          <w:highlight w:val="none"/>
          <w:lang w:val="en-US" w:eastAsia="zh-CN"/>
        </w:rPr>
        <w:t>温州市鹿城区清源路142号海外传播大楼四楼</w:t>
      </w:r>
      <w:r>
        <w:rPr>
          <w:rFonts w:hint="eastAsia" w:ascii="宋体" w:hAnsi="宋体" w:eastAsia="宋体" w:cs="宋体"/>
          <w:color w:val="auto"/>
          <w:sz w:val="22"/>
          <w:szCs w:val="22"/>
          <w:highlight w:val="none"/>
        </w:rPr>
        <w:t>，</w:t>
      </w:r>
      <w:r>
        <w:rPr>
          <w:rFonts w:hint="eastAsia" w:ascii="宋体" w:hAnsi="宋体" w:eastAsia="宋体" w:cs="宋体"/>
          <w:bCs/>
          <w:color w:val="auto"/>
          <w:kern w:val="0"/>
          <w:sz w:val="22"/>
          <w:szCs w:val="22"/>
          <w:highlight w:val="none"/>
        </w:rPr>
        <w:t>联系人：</w:t>
      </w:r>
      <w:r>
        <w:rPr>
          <w:rFonts w:hint="eastAsia" w:ascii="宋体" w:hAnsi="宋体" w:eastAsia="宋体" w:cs="宋体"/>
          <w:bCs/>
          <w:color w:val="auto"/>
          <w:kern w:val="0"/>
          <w:sz w:val="22"/>
          <w:szCs w:val="22"/>
          <w:highlight w:val="none"/>
          <w:lang w:eastAsia="zh-CN"/>
        </w:rPr>
        <w:t>肖慧</w:t>
      </w:r>
      <w:r>
        <w:rPr>
          <w:rFonts w:hint="eastAsia" w:ascii="宋体" w:hAnsi="宋体" w:eastAsia="宋体" w:cs="宋体"/>
          <w:bCs/>
          <w:color w:val="auto"/>
          <w:kern w:val="0"/>
          <w:sz w:val="22"/>
          <w:szCs w:val="22"/>
          <w:highlight w:val="none"/>
        </w:rPr>
        <w:t>，联系电话：</w:t>
      </w:r>
      <w:r>
        <w:rPr>
          <w:rFonts w:hint="eastAsia" w:ascii="宋体" w:hAnsi="宋体" w:eastAsia="宋体" w:cs="宋体"/>
          <w:bCs/>
          <w:color w:val="auto"/>
          <w:kern w:val="0"/>
          <w:sz w:val="22"/>
          <w:szCs w:val="22"/>
          <w:highlight w:val="none"/>
          <w:lang w:eastAsia="zh-CN"/>
        </w:rPr>
        <w:t>13606874516</w:t>
      </w:r>
      <w:r>
        <w:rPr>
          <w:rFonts w:hint="eastAsia" w:ascii="宋体" w:hAnsi="宋体" w:eastAsia="宋体" w:cs="宋体"/>
          <w:color w:val="auto"/>
          <w:sz w:val="22"/>
          <w:szCs w:val="22"/>
          <w:highlight w:val="none"/>
        </w:rPr>
        <w:t>。</w:t>
      </w:r>
    </w:p>
    <w:p w14:paraId="6F73825F">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w:t>
      </w:r>
      <w:r>
        <w:rPr>
          <w:rFonts w:hint="eastAsia" w:ascii="宋体" w:hAnsi="宋体" w:cs="宋体"/>
          <w:b/>
          <w:bCs/>
          <w:color w:val="auto"/>
          <w:sz w:val="22"/>
          <w:szCs w:val="22"/>
          <w:highlight w:val="none"/>
          <w:u w:val="single"/>
          <w:lang w:eastAsia="zh-CN"/>
        </w:rPr>
        <w:t>温州市交通发展集团有限公司</w:t>
      </w:r>
      <w:r>
        <w:rPr>
          <w:rFonts w:hint="eastAsia" w:ascii="宋体" w:hAnsi="宋体" w:eastAsia="宋体" w:cs="宋体"/>
          <w:b/>
          <w:bCs/>
          <w:color w:val="auto"/>
          <w:sz w:val="22"/>
          <w:szCs w:val="22"/>
          <w:highlight w:val="none"/>
          <w:u w:val="single"/>
        </w:rPr>
        <w:t>负责对投标供应商反映的企业本部及所属企业在采购活动中出现的违法违规问题进行答疑回复。投标供应商认为答疑回复处理结果不合法的，可以采购人或代理机构为对象依法向人民法院提起诉讼</w:t>
      </w:r>
      <w:r>
        <w:rPr>
          <w:rFonts w:hint="eastAsia" w:ascii="宋体" w:hAnsi="宋体" w:eastAsia="宋体" w:cs="宋体"/>
          <w:b/>
          <w:bCs/>
          <w:color w:val="auto"/>
          <w:sz w:val="22"/>
          <w:szCs w:val="22"/>
          <w:highlight w:val="none"/>
        </w:rPr>
        <w:t>。</w:t>
      </w:r>
    </w:p>
    <w:p w14:paraId="10A0382F">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十三、联系方式</w:t>
      </w:r>
    </w:p>
    <w:p w14:paraId="64D5782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1、采购人名称：</w:t>
      </w:r>
      <w:r>
        <w:rPr>
          <w:rFonts w:hint="eastAsia" w:ascii="宋体" w:hAnsi="宋体" w:cs="宋体"/>
          <w:color w:val="auto"/>
          <w:sz w:val="22"/>
          <w:szCs w:val="22"/>
          <w:highlight w:val="none"/>
          <w:lang w:val="en-US" w:eastAsia="zh-CN"/>
        </w:rPr>
        <w:t>温州市交通发展集团有限公司</w:t>
      </w:r>
    </w:p>
    <w:p w14:paraId="2EF8ED14">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 址：</w:t>
      </w:r>
      <w:r>
        <w:rPr>
          <w:rFonts w:hint="eastAsia" w:ascii="宋体" w:hAnsi="宋体" w:cs="宋体"/>
          <w:color w:val="auto"/>
          <w:sz w:val="22"/>
          <w:szCs w:val="22"/>
          <w:highlight w:val="none"/>
          <w:lang w:val="en-US" w:eastAsia="zh-CN"/>
        </w:rPr>
        <w:t>温州市车站大道669号尚品国际商务楼</w:t>
      </w:r>
    </w:p>
    <w:p w14:paraId="3A5E285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联系人：</w:t>
      </w:r>
      <w:r>
        <w:rPr>
          <w:rFonts w:hint="eastAsia" w:ascii="宋体" w:hAnsi="宋体" w:cs="宋体"/>
          <w:color w:val="auto"/>
          <w:sz w:val="22"/>
          <w:szCs w:val="22"/>
          <w:highlight w:val="none"/>
          <w:lang w:val="en-US" w:eastAsia="zh-CN"/>
        </w:rPr>
        <w:t>虞先生</w:t>
      </w:r>
    </w:p>
    <w:p w14:paraId="4B9821C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联系电话：0577-</w:t>
      </w:r>
      <w:r>
        <w:rPr>
          <w:rFonts w:hint="eastAsia" w:ascii="宋体" w:hAnsi="宋体" w:cs="宋体"/>
          <w:color w:val="auto"/>
          <w:sz w:val="22"/>
          <w:szCs w:val="22"/>
          <w:highlight w:val="none"/>
          <w:lang w:val="en-US" w:eastAsia="zh-CN"/>
        </w:rPr>
        <w:t>88085510</w:t>
      </w:r>
    </w:p>
    <w:p w14:paraId="30C6AFF8">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2、采购代理机构名称：浙江工汇项目管理有限公司</w:t>
      </w:r>
    </w:p>
    <w:p w14:paraId="4CDC9FB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 址：</w:t>
      </w:r>
      <w:r>
        <w:rPr>
          <w:rFonts w:hint="eastAsia" w:ascii="宋体" w:hAnsi="宋体" w:cs="宋体"/>
          <w:color w:val="auto"/>
          <w:sz w:val="22"/>
          <w:szCs w:val="22"/>
          <w:highlight w:val="none"/>
          <w:lang w:val="en-US" w:eastAsia="zh-CN"/>
        </w:rPr>
        <w:t>温州市鹿城区清源路142号海外传播大楼四楼</w:t>
      </w:r>
    </w:p>
    <w:p w14:paraId="46F0B3DB">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联系人：鲍宇敬</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肖慧</w:t>
      </w:r>
    </w:p>
    <w:p w14:paraId="5996FBC3">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电话：13777776911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13606874516</w:t>
      </w:r>
    </w:p>
    <w:p w14:paraId="5446AF7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3、采购监督管理部门名称：</w:t>
      </w:r>
      <w:r>
        <w:rPr>
          <w:rFonts w:hint="eastAsia" w:ascii="宋体" w:hAnsi="宋体" w:cs="宋体"/>
          <w:color w:val="auto"/>
          <w:sz w:val="22"/>
          <w:szCs w:val="22"/>
          <w:highlight w:val="none"/>
          <w:lang w:val="en-US" w:eastAsia="zh-CN"/>
        </w:rPr>
        <w:t>温州市交通发展集团有限公司</w:t>
      </w:r>
      <w:r>
        <w:rPr>
          <w:rFonts w:hint="eastAsia" w:ascii="宋体" w:hAnsi="宋体" w:eastAsia="宋体" w:cs="宋体"/>
          <w:color w:val="auto"/>
          <w:sz w:val="22"/>
          <w:szCs w:val="22"/>
          <w:highlight w:val="none"/>
          <w:lang w:val="en-US" w:eastAsia="zh-CN"/>
        </w:rPr>
        <w:t>纪检监察室</w:t>
      </w:r>
    </w:p>
    <w:p w14:paraId="02B340A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联系电话：0577-</w:t>
      </w:r>
      <w:r>
        <w:rPr>
          <w:rFonts w:hint="eastAsia" w:ascii="宋体" w:hAnsi="宋体" w:cs="宋体"/>
          <w:color w:val="auto"/>
          <w:sz w:val="22"/>
          <w:szCs w:val="22"/>
          <w:highlight w:val="none"/>
          <w:lang w:val="en-US" w:eastAsia="zh-CN"/>
        </w:rPr>
        <w:t>85559092</w:t>
      </w:r>
    </w:p>
    <w:p w14:paraId="1C9039EF">
      <w:pPr>
        <w:widowControl/>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温州市交通发展集团有限公司</w:t>
      </w:r>
    </w:p>
    <w:p w14:paraId="05E59949">
      <w:pPr>
        <w:widowControl/>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浙江工汇项目管理有限公司</w:t>
      </w:r>
    </w:p>
    <w:p w14:paraId="6BA69F46">
      <w:pPr>
        <w:widowControl/>
        <w:wordWrap w:val="0"/>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2024年</w:t>
      </w:r>
      <w:r>
        <w:rPr>
          <w:rFonts w:hint="eastAsia" w:ascii="宋体" w:hAnsi="宋体" w:cs="宋体"/>
          <w:color w:val="auto"/>
          <w:kern w:val="0"/>
          <w:sz w:val="22"/>
          <w:szCs w:val="22"/>
          <w:highlight w:val="none"/>
          <w:lang w:eastAsia="zh-CN"/>
        </w:rPr>
        <w:t>7月26日</w:t>
      </w:r>
    </w:p>
    <w:p w14:paraId="21A70DBC">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32"/>
          <w:szCs w:val="32"/>
          <w:highlight w:val="none"/>
        </w:rPr>
      </w:pPr>
      <w:bookmarkStart w:id="30" w:name="_Toc12504"/>
      <w:bookmarkStart w:id="31" w:name="_Toc1649"/>
      <w:r>
        <w:rPr>
          <w:rFonts w:hint="eastAsia" w:ascii="宋体" w:hAnsi="宋体" w:cs="宋体"/>
          <w:color w:val="auto"/>
          <w:sz w:val="36"/>
          <w:szCs w:val="36"/>
          <w:highlight w:val="none"/>
        </w:rPr>
        <w:br w:type="page"/>
      </w:r>
      <w:bookmarkStart w:id="32" w:name="_Toc142923317"/>
      <w:r>
        <w:rPr>
          <w:rFonts w:hint="eastAsia" w:ascii="宋体" w:hAnsi="宋体" w:cs="宋体"/>
          <w:b/>
          <w:bCs/>
          <w:color w:val="auto"/>
          <w:sz w:val="32"/>
          <w:szCs w:val="32"/>
          <w:highlight w:val="none"/>
          <w:lang w:eastAsia="zh-CN"/>
        </w:rPr>
        <w:t>温州市交通发展集团有限公司</w:t>
      </w:r>
      <w:r>
        <w:rPr>
          <w:rFonts w:hint="eastAsia" w:ascii="宋体" w:hAnsi="宋体" w:cs="宋体"/>
          <w:b/>
          <w:bCs/>
          <w:color w:val="auto"/>
          <w:sz w:val="32"/>
          <w:szCs w:val="32"/>
          <w:highlight w:val="none"/>
        </w:rPr>
        <w:t>关于</w:t>
      </w:r>
      <w:r>
        <w:rPr>
          <w:rFonts w:hint="eastAsia" w:ascii="宋体" w:hAnsi="宋体" w:cs="宋体"/>
          <w:b/>
          <w:bCs/>
          <w:color w:val="auto"/>
          <w:sz w:val="32"/>
          <w:szCs w:val="32"/>
          <w:highlight w:val="none"/>
          <w:lang w:eastAsia="zh-CN"/>
        </w:rPr>
        <w:t>温州市交发集团OA系统信创改造</w:t>
      </w:r>
      <w:r>
        <w:rPr>
          <w:rFonts w:hint="eastAsia" w:ascii="宋体" w:hAnsi="宋体" w:cs="宋体"/>
          <w:b/>
          <w:bCs/>
          <w:color w:val="auto"/>
          <w:sz w:val="32"/>
          <w:szCs w:val="32"/>
          <w:highlight w:val="none"/>
        </w:rPr>
        <w:t>的</w:t>
      </w:r>
      <w:bookmarkEnd w:id="32"/>
      <w:bookmarkStart w:id="33" w:name="_Toc142923318"/>
      <w:r>
        <w:rPr>
          <w:rFonts w:hint="eastAsia" w:ascii="宋体" w:hAnsi="宋体" w:cs="宋体"/>
          <w:b/>
          <w:bCs/>
          <w:color w:val="auto"/>
          <w:sz w:val="32"/>
          <w:szCs w:val="32"/>
          <w:highlight w:val="none"/>
        </w:rPr>
        <w:t>采购文件征求意见公示</w:t>
      </w:r>
      <w:bookmarkEnd w:id="30"/>
      <w:bookmarkEnd w:id="31"/>
      <w:bookmarkEnd w:id="33"/>
    </w:p>
    <w:p w14:paraId="792D9508">
      <w:pPr>
        <w:widowControl/>
        <w:spacing w:line="400" w:lineRule="exact"/>
        <w:ind w:firstLine="440" w:firstLineChars="200"/>
        <w:jc w:val="left"/>
        <w:rPr>
          <w:rFonts w:ascii="宋体" w:hAnsi="宋体" w:cs="宋体"/>
          <w:color w:val="auto"/>
          <w:sz w:val="22"/>
          <w:szCs w:val="22"/>
          <w:highlight w:val="none"/>
        </w:rPr>
      </w:pPr>
    </w:p>
    <w:p w14:paraId="61615BF5">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lang w:eastAsia="zh-CN"/>
        </w:rPr>
        <w:t>浙江工汇项目管理有限公司</w:t>
      </w:r>
      <w:r>
        <w:rPr>
          <w:rFonts w:hint="eastAsia" w:ascii="宋体" w:hAnsi="宋体" w:cs="宋体"/>
          <w:color w:val="auto"/>
          <w:sz w:val="22"/>
          <w:szCs w:val="22"/>
          <w:highlight w:val="none"/>
        </w:rPr>
        <w:t>受</w:t>
      </w:r>
      <w:r>
        <w:rPr>
          <w:rFonts w:hint="eastAsia" w:ascii="宋体" w:hAnsi="宋体" w:cs="宋体"/>
          <w:color w:val="auto"/>
          <w:sz w:val="22"/>
          <w:szCs w:val="22"/>
          <w:highlight w:val="none"/>
          <w:lang w:eastAsia="zh-CN"/>
        </w:rPr>
        <w:t>温州市交通发展集团有限公司</w:t>
      </w:r>
      <w:r>
        <w:rPr>
          <w:rFonts w:hint="eastAsia" w:ascii="宋体" w:hAnsi="宋体" w:cs="宋体"/>
          <w:color w:val="auto"/>
          <w:sz w:val="22"/>
          <w:szCs w:val="22"/>
          <w:highlight w:val="none"/>
        </w:rPr>
        <w:t>委托，就</w:t>
      </w:r>
      <w:r>
        <w:rPr>
          <w:rFonts w:hint="eastAsia" w:ascii="宋体" w:hAnsi="宋体" w:cs="宋体"/>
          <w:color w:val="auto"/>
          <w:sz w:val="22"/>
          <w:szCs w:val="22"/>
          <w:highlight w:val="none"/>
          <w:lang w:eastAsia="zh-CN"/>
        </w:rPr>
        <w:t>温州市交发集团OA系统信创改造</w:t>
      </w:r>
      <w:r>
        <w:rPr>
          <w:rFonts w:hint="eastAsia" w:ascii="宋体" w:hAnsi="宋体" w:cs="宋体"/>
          <w:color w:val="auto"/>
          <w:sz w:val="22"/>
          <w:szCs w:val="22"/>
          <w:highlight w:val="none"/>
        </w:rPr>
        <w:t>以公开招标方式进行国企采购。现将采购文件公布如下,并公开征求投标供应商及专家意见。</w:t>
      </w:r>
    </w:p>
    <w:p w14:paraId="589831F0">
      <w:pPr>
        <w:keepNext w:val="0"/>
        <w:keepLines w:val="0"/>
        <w:pageBreakBefore w:val="0"/>
        <w:widowControl/>
        <w:kinsoku/>
        <w:wordWrap/>
        <w:overflowPunct/>
        <w:topLinePunct w:val="0"/>
        <w:autoSpaceDE/>
        <w:autoSpaceDN/>
        <w:bidi w:val="0"/>
        <w:adjustRightInd/>
        <w:snapToGrid/>
        <w:spacing w:line="360" w:lineRule="auto"/>
        <w:ind w:firstLine="442" w:firstLineChars="200"/>
        <w:jc w:val="left"/>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一、征求意见范围：</w:t>
      </w:r>
    </w:p>
    <w:p w14:paraId="28744CAF">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1、是否出现明显的倾向性意见和特定的性能指标；</w:t>
      </w:r>
    </w:p>
    <w:p w14:paraId="6663ED7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2、影响国有企业采购“公开、公平、公正”原则的其他情况。</w:t>
      </w:r>
    </w:p>
    <w:p w14:paraId="53575975">
      <w:pPr>
        <w:keepNext w:val="0"/>
        <w:keepLines w:val="0"/>
        <w:pageBreakBefore w:val="0"/>
        <w:widowControl/>
        <w:kinsoku/>
        <w:wordWrap/>
        <w:overflowPunct/>
        <w:topLinePunct w:val="0"/>
        <w:autoSpaceDE/>
        <w:autoSpaceDN/>
        <w:bidi w:val="0"/>
        <w:adjustRightInd/>
        <w:snapToGrid/>
        <w:spacing w:line="360" w:lineRule="auto"/>
        <w:ind w:firstLine="442" w:firstLineChars="200"/>
        <w:jc w:val="left"/>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二、征求意见的回复：</w:t>
      </w:r>
    </w:p>
    <w:p w14:paraId="36137766">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各投标供应商及专家提出修改理由和建议的，请于</w:t>
      </w:r>
      <w:r>
        <w:rPr>
          <w:rFonts w:hint="eastAsia" w:ascii="宋体" w:hAnsi="宋体" w:cs="宋体"/>
          <w:color w:val="auto"/>
          <w:sz w:val="22"/>
          <w:szCs w:val="22"/>
          <w:highlight w:val="none"/>
        </w:rPr>
        <w:t>2024年</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日</w:t>
      </w:r>
      <w:r>
        <w:rPr>
          <w:rFonts w:hint="eastAsia" w:ascii="宋体" w:hAnsi="宋体" w:cs="宋体"/>
          <w:color w:val="auto"/>
          <w:sz w:val="22"/>
          <w:szCs w:val="22"/>
          <w:highlight w:val="none"/>
        </w:rPr>
        <w:t>下午17:30前（节假日除外）将书面材料签字（盖章）并密封后送至</w:t>
      </w:r>
      <w:r>
        <w:rPr>
          <w:rFonts w:hint="eastAsia" w:ascii="宋体" w:hAnsi="宋体" w:cs="宋体"/>
          <w:color w:val="auto"/>
          <w:sz w:val="22"/>
          <w:szCs w:val="22"/>
          <w:highlight w:val="none"/>
          <w:lang w:val="en-US" w:eastAsia="zh-CN"/>
        </w:rPr>
        <w:t>温州市鹿城区清源路142号海外传播大楼四楼</w:t>
      </w:r>
      <w:r>
        <w:rPr>
          <w:rFonts w:hint="eastAsia" w:ascii="宋体" w:hAnsi="宋体" w:cs="宋体"/>
          <w:color w:val="auto"/>
          <w:sz w:val="22"/>
          <w:szCs w:val="22"/>
          <w:highlight w:val="none"/>
        </w:rPr>
        <w:t>，外地可传真送达，传真：0577-</w:t>
      </w:r>
      <w:r>
        <w:rPr>
          <w:rFonts w:hint="eastAsia" w:ascii="宋体" w:hAnsi="宋体" w:cs="宋体"/>
          <w:color w:val="auto"/>
          <w:sz w:val="22"/>
          <w:szCs w:val="22"/>
          <w:highlight w:val="none"/>
          <w:lang w:val="en-US" w:eastAsia="zh-CN"/>
        </w:rPr>
        <w:t>86185186</w:t>
      </w:r>
      <w:r>
        <w:rPr>
          <w:rFonts w:hint="eastAsia" w:ascii="宋体" w:hAnsi="宋体" w:cs="宋体"/>
          <w:color w:val="auto"/>
          <w:sz w:val="22"/>
          <w:szCs w:val="22"/>
          <w:highlight w:val="none"/>
        </w:rPr>
        <w:t>，传真件必须签字（盖章）。同时将word版电子文档发送至以下信箱：</w:t>
      </w:r>
      <w:r>
        <w:rPr>
          <w:rFonts w:hint="eastAsia" w:ascii="宋体" w:hAnsi="宋体" w:cs="宋体"/>
          <w:color w:val="auto"/>
          <w:sz w:val="22"/>
          <w:szCs w:val="22"/>
          <w:highlight w:val="none"/>
          <w:lang w:eastAsia="zh-CN"/>
        </w:rPr>
        <w:t>323117011@qq.com</w:t>
      </w:r>
      <w:r>
        <w:rPr>
          <w:rFonts w:hint="eastAsia" w:ascii="宋体" w:hAnsi="宋体" w:cs="宋体"/>
          <w:color w:val="auto"/>
          <w:sz w:val="22"/>
          <w:szCs w:val="22"/>
          <w:highlight w:val="none"/>
        </w:rPr>
        <w:t>。</w:t>
      </w:r>
    </w:p>
    <w:p w14:paraId="6F6EA7B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lang w:val="en-US" w:eastAsia="zh-CN"/>
        </w:rPr>
        <w:t>鲍宇敬</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val="en-US" w:eastAsia="zh-CN"/>
        </w:rPr>
        <w:t>13777776911</w:t>
      </w:r>
      <w:r>
        <w:rPr>
          <w:rFonts w:hint="eastAsia" w:ascii="宋体" w:hAnsi="宋体" w:cs="宋体"/>
          <w:color w:val="auto"/>
          <w:sz w:val="22"/>
          <w:szCs w:val="22"/>
          <w:highlight w:val="none"/>
        </w:rPr>
        <w:t>。对逾期送达的意见、建议书恕不接受。</w:t>
      </w:r>
    </w:p>
    <w:p w14:paraId="17536DF9">
      <w:pPr>
        <w:pStyle w:val="4"/>
        <w:keepNext w:val="0"/>
        <w:keepLines w:val="0"/>
        <w:pageBreakBefore w:val="0"/>
        <w:kinsoku/>
        <w:wordWrap/>
        <w:overflowPunct/>
        <w:topLinePunct w:val="0"/>
        <w:autoSpaceDE/>
        <w:autoSpaceDN/>
        <w:bidi w:val="0"/>
        <w:adjustRightInd/>
        <w:snapToGrid/>
        <w:spacing w:after="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附：采购文件</w:t>
      </w:r>
    </w:p>
    <w:p w14:paraId="47FF1FC9">
      <w:pPr>
        <w:widowControl/>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温州市交通发展集团有限公司</w:t>
      </w:r>
    </w:p>
    <w:p w14:paraId="37822AC1">
      <w:pPr>
        <w:widowControl/>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浙江工汇项目管理有限公司</w:t>
      </w:r>
    </w:p>
    <w:p w14:paraId="5ECE1E39">
      <w:pPr>
        <w:widowControl/>
        <w:wordWrap w:val="0"/>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2024年</w:t>
      </w:r>
      <w:r>
        <w:rPr>
          <w:rFonts w:hint="eastAsia" w:ascii="宋体" w:hAnsi="宋体" w:cs="宋体"/>
          <w:color w:val="auto"/>
          <w:kern w:val="0"/>
          <w:sz w:val="22"/>
          <w:szCs w:val="22"/>
          <w:highlight w:val="none"/>
          <w:lang w:eastAsia="zh-CN"/>
        </w:rPr>
        <w:t>7月26日</w:t>
      </w:r>
    </w:p>
    <w:p w14:paraId="77201560">
      <w:pPr>
        <w:rPr>
          <w:rFonts w:ascii="宋体" w:hAnsi="宋体" w:cs="宋体"/>
          <w:color w:val="auto"/>
          <w:sz w:val="36"/>
          <w:szCs w:val="36"/>
          <w:highlight w:val="none"/>
        </w:rPr>
      </w:pPr>
      <w:bookmarkStart w:id="34" w:name="_Toc13602"/>
      <w:bookmarkStart w:id="35" w:name="_Toc10872"/>
    </w:p>
    <w:p w14:paraId="194D75F8">
      <w:pPr>
        <w:pStyle w:val="6"/>
        <w:numPr>
          <w:ilvl w:val="0"/>
          <w:numId w:val="0"/>
        </w:numPr>
        <w:overflowPunct w:val="0"/>
        <w:ind w:leftChars="0"/>
        <w:jc w:val="center"/>
        <w:rPr>
          <w:rFonts w:ascii="宋体" w:hAnsi="宋体" w:eastAsia="宋体" w:cs="宋体"/>
          <w:color w:val="auto"/>
          <w:sz w:val="36"/>
          <w:szCs w:val="36"/>
          <w:highlight w:val="none"/>
        </w:rPr>
      </w:pPr>
      <w:r>
        <w:rPr>
          <w:rFonts w:hint="eastAsia" w:ascii="宋体" w:hAnsi="宋体" w:eastAsia="宋体" w:cs="宋体"/>
          <w:b w:val="0"/>
          <w:bCs w:val="0"/>
          <w:color w:val="auto"/>
          <w:sz w:val="36"/>
          <w:szCs w:val="36"/>
          <w:highlight w:val="none"/>
        </w:rPr>
        <w:br w:type="page"/>
      </w:r>
      <w:bookmarkStart w:id="36" w:name="_Toc21526"/>
      <w:bookmarkStart w:id="37" w:name="_Toc1712"/>
      <w:bookmarkStart w:id="38" w:name="_Toc142923319"/>
      <w:bookmarkStart w:id="39" w:name="_Toc16136"/>
      <w:bookmarkStart w:id="40" w:name="_Toc32755"/>
      <w:r>
        <w:rPr>
          <w:rFonts w:hint="eastAsia" w:ascii="宋体" w:hAnsi="宋体" w:eastAsia="宋体" w:cs="宋体"/>
          <w:color w:val="auto"/>
          <w:sz w:val="36"/>
          <w:szCs w:val="36"/>
          <w:highlight w:val="none"/>
        </w:rPr>
        <w:t>投标供应商须知前附表</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34"/>
      <w:bookmarkEnd w:id="35"/>
      <w:bookmarkEnd w:id="36"/>
      <w:bookmarkEnd w:id="37"/>
      <w:bookmarkEnd w:id="38"/>
      <w:bookmarkEnd w:id="39"/>
      <w:bookmarkEnd w:id="40"/>
    </w:p>
    <w:tbl>
      <w:tblPr>
        <w:tblStyle w:val="24"/>
        <w:tblW w:w="9233" w:type="dxa"/>
        <w:tblInd w:w="1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79" w:type="dxa"/>
          <w:bottom w:w="57" w:type="dxa"/>
          <w:right w:w="79" w:type="dxa"/>
        </w:tblCellMar>
      </w:tblPr>
      <w:tblGrid>
        <w:gridCol w:w="681"/>
        <w:gridCol w:w="1750"/>
        <w:gridCol w:w="6802"/>
      </w:tblGrid>
      <w:tr w14:paraId="25C46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567" w:hRule="atLeast"/>
        </w:trPr>
        <w:tc>
          <w:tcPr>
            <w:tcW w:w="681" w:type="dxa"/>
            <w:tcBorders>
              <w:tl2br w:val="nil"/>
              <w:tr2bl w:val="nil"/>
            </w:tcBorders>
            <w:noWrap w:val="0"/>
            <w:vAlign w:val="center"/>
          </w:tcPr>
          <w:p w14:paraId="22B572A2">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750" w:type="dxa"/>
            <w:tcBorders>
              <w:tl2br w:val="nil"/>
              <w:tr2bl w:val="nil"/>
            </w:tcBorders>
            <w:noWrap w:val="0"/>
            <w:vAlign w:val="center"/>
          </w:tcPr>
          <w:p w14:paraId="20452B62">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条款名称</w:t>
            </w:r>
          </w:p>
        </w:tc>
        <w:tc>
          <w:tcPr>
            <w:tcW w:w="6802" w:type="dxa"/>
            <w:tcBorders>
              <w:tl2br w:val="nil"/>
              <w:tr2bl w:val="nil"/>
            </w:tcBorders>
            <w:noWrap w:val="0"/>
            <w:vAlign w:val="center"/>
          </w:tcPr>
          <w:p w14:paraId="58D1F8D8">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编列内容</w:t>
            </w:r>
          </w:p>
        </w:tc>
      </w:tr>
      <w:tr w14:paraId="32EF7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0B952CE5">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50" w:type="dxa"/>
            <w:tcBorders>
              <w:tl2br w:val="nil"/>
              <w:tr2bl w:val="nil"/>
            </w:tcBorders>
            <w:noWrap w:val="0"/>
            <w:vAlign w:val="center"/>
          </w:tcPr>
          <w:p w14:paraId="67DA4A88">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6802" w:type="dxa"/>
            <w:tcBorders>
              <w:tl2br w:val="nil"/>
              <w:tr2bl w:val="nil"/>
            </w:tcBorders>
            <w:noWrap w:val="0"/>
            <w:vAlign w:val="center"/>
          </w:tcPr>
          <w:p w14:paraId="557C4460">
            <w:pPr>
              <w:spacing w:line="30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采购人名称：</w:t>
            </w:r>
            <w:r>
              <w:rPr>
                <w:rFonts w:hint="eastAsia" w:ascii="宋体" w:hAnsi="宋体" w:cs="宋体"/>
                <w:color w:val="auto"/>
                <w:kern w:val="0"/>
                <w:sz w:val="22"/>
                <w:szCs w:val="22"/>
                <w:highlight w:val="none"/>
                <w:lang w:eastAsia="zh-CN"/>
              </w:rPr>
              <w:t>温州市交通发展集团有限公司</w:t>
            </w:r>
          </w:p>
          <w:p w14:paraId="5F3AEC67">
            <w:pPr>
              <w:spacing w:line="30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采购人地址：</w:t>
            </w:r>
            <w:r>
              <w:rPr>
                <w:rFonts w:hint="eastAsia" w:ascii="宋体" w:hAnsi="宋体" w:cs="宋体"/>
                <w:color w:val="auto"/>
                <w:kern w:val="0"/>
                <w:sz w:val="22"/>
                <w:szCs w:val="22"/>
                <w:highlight w:val="none"/>
                <w:lang w:eastAsia="zh-CN"/>
              </w:rPr>
              <w:t>温州市车站大道669号尚品国际商务楼</w:t>
            </w:r>
          </w:p>
          <w:p w14:paraId="1D8FDB64">
            <w:pPr>
              <w:widowControl w:val="0"/>
              <w:spacing w:line="300" w:lineRule="exact"/>
              <w:ind w:right="0"/>
              <w:jc w:val="both"/>
              <w:rPr>
                <w:rFonts w:hint="eastAsia" w:ascii="宋体" w:hAnsi="宋体" w:eastAsia="宋体" w:cs="宋体"/>
                <w:bCs w:val="0"/>
                <w:color w:val="auto"/>
                <w:kern w:val="0"/>
                <w:sz w:val="22"/>
                <w:szCs w:val="22"/>
                <w:highlight w:val="none"/>
              </w:rPr>
            </w:pPr>
            <w:r>
              <w:rPr>
                <w:rFonts w:hint="eastAsia" w:ascii="宋体" w:hAnsi="宋体" w:eastAsia="宋体" w:cs="宋体"/>
                <w:bCs w:val="0"/>
                <w:color w:val="auto"/>
                <w:kern w:val="0"/>
                <w:sz w:val="22"/>
                <w:szCs w:val="22"/>
                <w:highlight w:val="none"/>
              </w:rPr>
              <w:t>联系人：</w:t>
            </w:r>
            <w:r>
              <w:rPr>
                <w:rFonts w:hint="eastAsia" w:ascii="宋体" w:hAnsi="宋体" w:cs="宋体"/>
                <w:bCs w:val="0"/>
                <w:color w:val="auto"/>
                <w:kern w:val="0"/>
                <w:sz w:val="22"/>
                <w:szCs w:val="22"/>
                <w:highlight w:val="none"/>
                <w:lang w:eastAsia="zh-CN"/>
              </w:rPr>
              <w:t>虞先生</w:t>
            </w:r>
          </w:p>
          <w:p w14:paraId="5E21C9E2">
            <w:pPr>
              <w:spacing w:line="300" w:lineRule="exact"/>
              <w:rPr>
                <w:rFonts w:ascii="宋体" w:hAnsi="宋体" w:cs="宋体"/>
                <w:color w:val="auto"/>
                <w:kern w:val="0"/>
                <w:sz w:val="22"/>
                <w:szCs w:val="22"/>
                <w:highlight w:val="none"/>
              </w:rPr>
            </w:pPr>
            <w:r>
              <w:rPr>
                <w:rFonts w:hint="eastAsia" w:ascii="宋体" w:hAnsi="宋体" w:eastAsia="宋体" w:cs="宋体"/>
                <w:bCs w:val="0"/>
                <w:color w:val="auto"/>
                <w:kern w:val="0"/>
                <w:sz w:val="22"/>
                <w:szCs w:val="22"/>
                <w:highlight w:val="none"/>
              </w:rPr>
              <w:t>联系电话：</w:t>
            </w:r>
            <w:r>
              <w:rPr>
                <w:rFonts w:hint="eastAsia" w:ascii="宋体" w:hAnsi="宋体" w:eastAsia="宋体" w:cs="宋体"/>
                <w:bCs w:val="0"/>
                <w:color w:val="auto"/>
                <w:kern w:val="0"/>
                <w:sz w:val="22"/>
                <w:szCs w:val="22"/>
                <w:highlight w:val="none"/>
                <w:lang w:eastAsia="zh-CN"/>
              </w:rPr>
              <w:t>0577-</w:t>
            </w:r>
            <w:r>
              <w:rPr>
                <w:rFonts w:hint="eastAsia" w:ascii="宋体" w:hAnsi="宋体" w:cs="宋体"/>
                <w:bCs w:val="0"/>
                <w:color w:val="auto"/>
                <w:kern w:val="0"/>
                <w:sz w:val="22"/>
                <w:szCs w:val="22"/>
                <w:highlight w:val="none"/>
                <w:lang w:eastAsia="zh-CN"/>
              </w:rPr>
              <w:t>88085510</w:t>
            </w:r>
          </w:p>
        </w:tc>
      </w:tr>
      <w:tr w14:paraId="1ED3B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1DB6BE4C">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750" w:type="dxa"/>
            <w:tcBorders>
              <w:tl2br w:val="nil"/>
              <w:tr2bl w:val="nil"/>
            </w:tcBorders>
            <w:noWrap w:val="0"/>
            <w:vAlign w:val="center"/>
          </w:tcPr>
          <w:p w14:paraId="77EFFDB1">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6802" w:type="dxa"/>
            <w:tcBorders>
              <w:tl2br w:val="nil"/>
              <w:tr2bl w:val="nil"/>
            </w:tcBorders>
            <w:noWrap w:val="0"/>
            <w:vAlign w:val="center"/>
          </w:tcPr>
          <w:p w14:paraId="58083219">
            <w:pPr>
              <w:spacing w:line="30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代理机构名称：</w:t>
            </w:r>
            <w:r>
              <w:rPr>
                <w:rFonts w:hint="eastAsia" w:ascii="宋体" w:hAnsi="宋体" w:cs="宋体"/>
                <w:color w:val="auto"/>
                <w:kern w:val="0"/>
                <w:sz w:val="22"/>
                <w:szCs w:val="22"/>
                <w:highlight w:val="none"/>
                <w:lang w:eastAsia="zh-CN"/>
              </w:rPr>
              <w:t>浙江工汇项目管理有限公司</w:t>
            </w:r>
          </w:p>
          <w:p w14:paraId="5EEA7AD2">
            <w:pPr>
              <w:spacing w:line="30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代理机构地址：</w:t>
            </w:r>
            <w:r>
              <w:rPr>
                <w:rFonts w:hint="eastAsia" w:ascii="宋体" w:hAnsi="宋体" w:cs="宋体"/>
                <w:color w:val="auto"/>
                <w:kern w:val="0"/>
                <w:sz w:val="22"/>
                <w:szCs w:val="22"/>
                <w:highlight w:val="none"/>
                <w:lang w:eastAsia="zh-CN"/>
              </w:rPr>
              <w:t>温州市鹿城区清源路142号海外传播大楼四楼</w:t>
            </w:r>
          </w:p>
          <w:p w14:paraId="49627A29">
            <w:pPr>
              <w:spacing w:line="300" w:lineRule="exact"/>
              <w:rPr>
                <w:rFonts w:hint="default"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项目经办人：</w:t>
            </w:r>
            <w:r>
              <w:rPr>
                <w:rFonts w:hint="default" w:ascii="宋体" w:hAnsi="宋体" w:cs="宋体"/>
                <w:color w:val="auto"/>
                <w:kern w:val="0"/>
                <w:sz w:val="22"/>
                <w:szCs w:val="22"/>
                <w:highlight w:val="none"/>
                <w:lang w:eastAsia="zh-CN"/>
              </w:rPr>
              <w:t>鲍宇敬</w:t>
            </w:r>
          </w:p>
          <w:p w14:paraId="696E9529">
            <w:pPr>
              <w:spacing w:line="300" w:lineRule="exact"/>
              <w:rPr>
                <w:rFonts w:hint="default" w:ascii="宋体" w:hAnsi="宋体" w:cs="宋体"/>
                <w:color w:val="auto"/>
                <w:sz w:val="22"/>
                <w:szCs w:val="22"/>
                <w:highlight w:val="none"/>
              </w:rPr>
            </w:pPr>
            <w:r>
              <w:rPr>
                <w:rFonts w:hint="eastAsia" w:ascii="宋体" w:hAnsi="宋体" w:cs="宋体"/>
                <w:color w:val="auto"/>
                <w:kern w:val="0"/>
                <w:sz w:val="22"/>
                <w:szCs w:val="22"/>
                <w:highlight w:val="none"/>
              </w:rPr>
              <w:t>联系电话：</w:t>
            </w:r>
            <w:r>
              <w:rPr>
                <w:rFonts w:ascii="宋体" w:hAnsi="宋体" w:cs="宋体"/>
                <w:color w:val="auto"/>
                <w:kern w:val="0"/>
                <w:sz w:val="22"/>
                <w:szCs w:val="22"/>
                <w:highlight w:val="none"/>
              </w:rPr>
              <w:t>13777776911</w:t>
            </w:r>
          </w:p>
        </w:tc>
      </w:tr>
      <w:tr w14:paraId="16C37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06251949">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750" w:type="dxa"/>
            <w:tcBorders>
              <w:tl2br w:val="nil"/>
              <w:tr2bl w:val="nil"/>
            </w:tcBorders>
            <w:noWrap w:val="0"/>
            <w:vAlign w:val="center"/>
          </w:tcPr>
          <w:p w14:paraId="4F0025B4">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采购项目名称及项目编号</w:t>
            </w:r>
          </w:p>
        </w:tc>
        <w:tc>
          <w:tcPr>
            <w:tcW w:w="6802" w:type="dxa"/>
            <w:tcBorders>
              <w:tl2br w:val="nil"/>
              <w:tr2bl w:val="nil"/>
            </w:tcBorders>
            <w:noWrap w:val="0"/>
            <w:vAlign w:val="center"/>
          </w:tcPr>
          <w:p w14:paraId="0CB24B34">
            <w:pPr>
              <w:spacing w:line="30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采购项目名称：</w:t>
            </w:r>
            <w:r>
              <w:rPr>
                <w:rFonts w:hint="eastAsia" w:ascii="宋体" w:hAnsi="宋体" w:cs="宋体"/>
                <w:color w:val="auto"/>
                <w:kern w:val="0"/>
                <w:sz w:val="22"/>
                <w:szCs w:val="22"/>
                <w:highlight w:val="none"/>
                <w:lang w:eastAsia="zh-CN"/>
              </w:rPr>
              <w:t>温州市交发集团OA系统信创改造</w:t>
            </w:r>
          </w:p>
          <w:p w14:paraId="36AC2C07">
            <w:pPr>
              <w:spacing w:line="30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lang w:eastAsia="zh-CN"/>
              </w:rPr>
              <w:t>WGSS-JFJT-X-2024012</w:t>
            </w:r>
          </w:p>
        </w:tc>
      </w:tr>
      <w:tr w14:paraId="6A58E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41FD64A9">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750" w:type="dxa"/>
            <w:tcBorders>
              <w:tl2br w:val="nil"/>
              <w:tr2bl w:val="nil"/>
            </w:tcBorders>
            <w:noWrap w:val="0"/>
            <w:vAlign w:val="center"/>
          </w:tcPr>
          <w:p w14:paraId="28CFF6B8">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服务地点</w:t>
            </w:r>
          </w:p>
        </w:tc>
        <w:tc>
          <w:tcPr>
            <w:tcW w:w="6802" w:type="dxa"/>
            <w:tcBorders>
              <w:tl2br w:val="nil"/>
              <w:tr2bl w:val="nil"/>
            </w:tcBorders>
            <w:noWrap w:val="0"/>
            <w:vAlign w:val="center"/>
          </w:tcPr>
          <w:p w14:paraId="65FF358E">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浙江省温州市</w:t>
            </w:r>
          </w:p>
        </w:tc>
      </w:tr>
      <w:tr w14:paraId="0CF85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56242A55">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750" w:type="dxa"/>
            <w:tcBorders>
              <w:tl2br w:val="nil"/>
              <w:tr2bl w:val="nil"/>
            </w:tcBorders>
            <w:noWrap w:val="0"/>
            <w:vAlign w:val="center"/>
          </w:tcPr>
          <w:p w14:paraId="48609FCF">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偏差情况</w:t>
            </w:r>
          </w:p>
        </w:tc>
        <w:tc>
          <w:tcPr>
            <w:tcW w:w="6802" w:type="dxa"/>
            <w:tcBorders>
              <w:tl2br w:val="nil"/>
              <w:tr2bl w:val="nil"/>
            </w:tcBorders>
            <w:noWrap w:val="0"/>
            <w:vAlign w:val="center"/>
          </w:tcPr>
          <w:p w14:paraId="3F4AAA2A">
            <w:pPr>
              <w:spacing w:line="300" w:lineRule="exact"/>
              <w:rPr>
                <w:rFonts w:ascii="宋体" w:hAnsi="宋体" w:cs="宋体"/>
                <w:color w:val="auto"/>
                <w:sz w:val="22"/>
                <w:szCs w:val="22"/>
                <w:highlight w:val="none"/>
              </w:rPr>
            </w:pPr>
            <w:r>
              <w:rPr>
                <w:rFonts w:hint="eastAsia" w:ascii="宋体" w:hAnsi="宋体" w:cs="宋体"/>
                <w:b/>
                <w:bCs/>
                <w:color w:val="auto"/>
                <w:sz w:val="22"/>
                <w:szCs w:val="22"/>
                <w:highlight w:val="none"/>
                <w:u w:val="single"/>
              </w:rPr>
              <w:t>▲</w:t>
            </w:r>
            <w:r>
              <w:rPr>
                <w:rFonts w:hint="eastAsia" w:ascii="宋体" w:hAnsi="宋体" w:cs="宋体"/>
                <w:color w:val="auto"/>
                <w:kern w:val="0"/>
                <w:sz w:val="22"/>
                <w:szCs w:val="22"/>
                <w:highlight w:val="none"/>
                <w:u w:val="single"/>
              </w:rPr>
              <w:t>偏差允许幅度及其处理方法：允许细微偏差，不允许重大偏差。由评标委员会判断，细微偏差要求投标供应商在评标结束前予以澄清、说明或补正，不按要求进行的，评标委员会有权做无效标处理，详见投标供应商须知“22.投标文件的澄清。”</w:t>
            </w:r>
          </w:p>
        </w:tc>
      </w:tr>
      <w:tr w14:paraId="35231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2A9CB0DF">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50" w:type="dxa"/>
            <w:tcBorders>
              <w:tl2br w:val="nil"/>
              <w:tr2bl w:val="nil"/>
            </w:tcBorders>
            <w:noWrap w:val="0"/>
            <w:vAlign w:val="center"/>
          </w:tcPr>
          <w:p w14:paraId="543A1AD1">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资金落实情况</w:t>
            </w:r>
          </w:p>
        </w:tc>
        <w:tc>
          <w:tcPr>
            <w:tcW w:w="6802" w:type="dxa"/>
            <w:tcBorders>
              <w:tl2br w:val="nil"/>
              <w:tr2bl w:val="nil"/>
            </w:tcBorders>
            <w:noWrap w:val="0"/>
            <w:vAlign w:val="center"/>
          </w:tcPr>
          <w:p w14:paraId="1A253084">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已落实</w:t>
            </w:r>
          </w:p>
        </w:tc>
      </w:tr>
      <w:tr w14:paraId="7B115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6B6A616F">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750" w:type="dxa"/>
            <w:tcBorders>
              <w:tl2br w:val="nil"/>
              <w:tr2bl w:val="nil"/>
            </w:tcBorders>
            <w:noWrap w:val="0"/>
            <w:vAlign w:val="center"/>
          </w:tcPr>
          <w:p w14:paraId="590549F6">
            <w:pPr>
              <w:spacing w:line="3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6802" w:type="dxa"/>
            <w:tcBorders>
              <w:tl2br w:val="nil"/>
              <w:tr2bl w:val="nil"/>
            </w:tcBorders>
            <w:noWrap w:val="0"/>
            <w:vAlign w:val="center"/>
          </w:tcPr>
          <w:p w14:paraId="4C2643D0">
            <w:pPr>
              <w:spacing w:line="3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详见采购文件第四部分。</w:t>
            </w:r>
          </w:p>
        </w:tc>
      </w:tr>
      <w:tr w14:paraId="1CD43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34CE71CD">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750" w:type="dxa"/>
            <w:tcBorders>
              <w:tl2br w:val="nil"/>
              <w:tr2bl w:val="nil"/>
            </w:tcBorders>
            <w:noWrap w:val="0"/>
            <w:vAlign w:val="center"/>
          </w:tcPr>
          <w:p w14:paraId="159CAA6B">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相关公告发布媒介</w:t>
            </w:r>
          </w:p>
        </w:tc>
        <w:tc>
          <w:tcPr>
            <w:tcW w:w="6802" w:type="dxa"/>
            <w:tcBorders>
              <w:tl2br w:val="nil"/>
              <w:tr2bl w:val="nil"/>
            </w:tcBorders>
            <w:noWrap w:val="0"/>
            <w:vAlign w:val="center"/>
          </w:tcPr>
          <w:p w14:paraId="2652DA43">
            <w:pPr>
              <w:spacing w:line="300" w:lineRule="exact"/>
              <w:rPr>
                <w:rFonts w:ascii="宋体" w:hAnsi="宋体" w:cs="宋体"/>
                <w:color w:val="auto"/>
                <w:sz w:val="22"/>
                <w:szCs w:val="22"/>
                <w:highlight w:val="none"/>
              </w:rPr>
            </w:pPr>
            <w:r>
              <w:rPr>
                <w:rFonts w:hint="eastAsia" w:ascii="宋体" w:hAnsi="宋体" w:cs="宋体"/>
                <w:color w:val="auto"/>
                <w:kern w:val="0"/>
                <w:sz w:val="22"/>
                <w:szCs w:val="22"/>
                <w:highlight w:val="none"/>
                <w:lang w:eastAsia="zh-CN"/>
              </w:rPr>
              <w:t>温州市交通发展集团有限公司</w:t>
            </w:r>
            <w:r>
              <w:rPr>
                <w:rFonts w:hint="eastAsia" w:ascii="宋体" w:hAnsi="宋体" w:cs="宋体"/>
                <w:color w:val="auto"/>
                <w:kern w:val="0"/>
                <w:sz w:val="22"/>
                <w:szCs w:val="22"/>
                <w:highlight w:val="none"/>
                <w:lang w:val="en-US" w:eastAsia="zh-CN"/>
              </w:rPr>
              <w:t>网站、</w:t>
            </w:r>
            <w:r>
              <w:rPr>
                <w:rFonts w:hint="eastAsia" w:ascii="宋体" w:hAnsi="宋体" w:cs="宋体"/>
                <w:color w:val="auto"/>
                <w:sz w:val="22"/>
                <w:szCs w:val="22"/>
                <w:highlight w:val="none"/>
              </w:rPr>
              <w:t>温州国企采购平台及浙江政府采购网。</w:t>
            </w:r>
          </w:p>
        </w:tc>
      </w:tr>
      <w:tr w14:paraId="55A84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0B769D9B">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750" w:type="dxa"/>
            <w:tcBorders>
              <w:tl2br w:val="nil"/>
              <w:tr2bl w:val="nil"/>
            </w:tcBorders>
            <w:noWrap w:val="0"/>
            <w:vAlign w:val="center"/>
          </w:tcPr>
          <w:p w14:paraId="3E3311D6">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投标供应商资格要求</w:t>
            </w:r>
          </w:p>
        </w:tc>
        <w:tc>
          <w:tcPr>
            <w:tcW w:w="6802" w:type="dxa"/>
            <w:tcBorders>
              <w:tl2br w:val="nil"/>
              <w:tr2bl w:val="nil"/>
            </w:tcBorders>
            <w:noWrap w:val="0"/>
            <w:vAlign w:val="center"/>
          </w:tcPr>
          <w:p w14:paraId="78BE0ACF">
            <w:pPr>
              <w:widowControl/>
              <w:spacing w:line="400" w:lineRule="exact"/>
              <w:jc w:val="left"/>
              <w:rPr>
                <w:rFonts w:ascii="宋体" w:hAnsi="宋体" w:cs="宋体"/>
                <w:color w:val="auto"/>
                <w:spacing w:val="6"/>
                <w:sz w:val="22"/>
                <w:szCs w:val="22"/>
                <w:highlight w:val="none"/>
              </w:rPr>
            </w:pPr>
            <w:r>
              <w:rPr>
                <w:rFonts w:hint="eastAsia" w:ascii="宋体" w:hAnsi="宋体" w:cs="宋体"/>
                <w:color w:val="auto"/>
                <w:sz w:val="22"/>
                <w:szCs w:val="22"/>
                <w:highlight w:val="none"/>
              </w:rPr>
              <w:t>详见采购公告规定</w:t>
            </w:r>
          </w:p>
        </w:tc>
      </w:tr>
      <w:tr w14:paraId="1A07A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4BBC3682">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750" w:type="dxa"/>
            <w:tcBorders>
              <w:tl2br w:val="nil"/>
              <w:tr2bl w:val="nil"/>
            </w:tcBorders>
            <w:noWrap w:val="0"/>
            <w:vAlign w:val="center"/>
          </w:tcPr>
          <w:p w14:paraId="64A33250">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是否接受联合体投标</w:t>
            </w:r>
          </w:p>
        </w:tc>
        <w:tc>
          <w:tcPr>
            <w:tcW w:w="6802" w:type="dxa"/>
            <w:tcBorders>
              <w:tl2br w:val="nil"/>
              <w:tr2bl w:val="nil"/>
            </w:tcBorders>
            <w:noWrap w:val="0"/>
            <w:vAlign w:val="center"/>
          </w:tcPr>
          <w:p w14:paraId="65C2C36A">
            <w:pPr>
              <w:spacing w:line="300" w:lineRule="exact"/>
              <w:rPr>
                <w:rFonts w:ascii="宋体" w:hAnsi="宋体" w:cs="宋体"/>
                <w:color w:val="auto"/>
                <w:sz w:val="22"/>
                <w:szCs w:val="22"/>
                <w:highlight w:val="none"/>
              </w:rPr>
            </w:pPr>
            <w:r>
              <w:rPr>
                <w:rFonts w:hint="eastAsia" w:ascii="宋体" w:hAnsi="宋体" w:cs="宋体"/>
                <w:color w:val="auto"/>
                <w:sz w:val="22"/>
                <w:szCs w:val="22"/>
                <w:highlight w:val="none"/>
              </w:rPr>
              <w:t>详见采购公告规定</w:t>
            </w:r>
          </w:p>
        </w:tc>
      </w:tr>
      <w:tr w14:paraId="05285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256A3178">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750" w:type="dxa"/>
            <w:tcBorders>
              <w:tl2br w:val="nil"/>
              <w:tr2bl w:val="nil"/>
            </w:tcBorders>
            <w:noWrap w:val="0"/>
            <w:vAlign w:val="center"/>
          </w:tcPr>
          <w:p w14:paraId="53E95CE8">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6802" w:type="dxa"/>
            <w:tcBorders>
              <w:tl2br w:val="nil"/>
              <w:tr2bl w:val="nil"/>
            </w:tcBorders>
            <w:noWrap w:val="0"/>
            <w:vAlign w:val="center"/>
          </w:tcPr>
          <w:p w14:paraId="30F93CC2">
            <w:pPr>
              <w:adjustRightInd w:val="0"/>
              <w:spacing w:line="360" w:lineRule="exact"/>
              <w:textAlignment w:val="baseline"/>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 xml:space="preserve">不组织  </w:t>
            </w:r>
          </w:p>
        </w:tc>
      </w:tr>
      <w:tr w14:paraId="23DE5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0521D658">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750" w:type="dxa"/>
            <w:tcBorders>
              <w:tl2br w:val="nil"/>
              <w:tr2bl w:val="nil"/>
            </w:tcBorders>
            <w:noWrap w:val="0"/>
            <w:vAlign w:val="center"/>
          </w:tcPr>
          <w:p w14:paraId="75EAEF99">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6802" w:type="dxa"/>
            <w:tcBorders>
              <w:tl2br w:val="nil"/>
              <w:tr2bl w:val="nil"/>
            </w:tcBorders>
            <w:noWrap w:val="0"/>
            <w:vAlign w:val="center"/>
          </w:tcPr>
          <w:p w14:paraId="767BF1A1">
            <w:pPr>
              <w:spacing w:line="300" w:lineRule="exact"/>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 xml:space="preserve">不召开   </w:t>
            </w:r>
          </w:p>
        </w:tc>
      </w:tr>
      <w:tr w14:paraId="53829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2D2E419A">
            <w:pPr>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750" w:type="dxa"/>
            <w:tcBorders>
              <w:tl2br w:val="nil"/>
              <w:tr2bl w:val="nil"/>
            </w:tcBorders>
            <w:noWrap w:val="0"/>
            <w:vAlign w:val="center"/>
          </w:tcPr>
          <w:p w14:paraId="34B098B2">
            <w:pPr>
              <w:jc w:val="center"/>
              <w:rPr>
                <w:rFonts w:ascii="宋体" w:hAnsi="宋体" w:cs="宋体"/>
                <w:color w:val="auto"/>
                <w:sz w:val="22"/>
                <w:szCs w:val="22"/>
                <w:highlight w:val="none"/>
              </w:rPr>
            </w:pPr>
            <w:r>
              <w:rPr>
                <w:rFonts w:hint="eastAsia" w:ascii="宋体" w:hAnsi="宋体" w:cs="宋体"/>
                <w:color w:val="auto"/>
                <w:sz w:val="22"/>
                <w:szCs w:val="22"/>
                <w:highlight w:val="none"/>
              </w:rPr>
              <w:t>分包</w:t>
            </w:r>
          </w:p>
        </w:tc>
        <w:tc>
          <w:tcPr>
            <w:tcW w:w="6802" w:type="dxa"/>
            <w:tcBorders>
              <w:tl2br w:val="nil"/>
              <w:tr2bl w:val="nil"/>
            </w:tcBorders>
            <w:noWrap w:val="0"/>
            <w:vAlign w:val="center"/>
          </w:tcPr>
          <w:p w14:paraId="5DE864CC">
            <w:pPr>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sz w:val="22"/>
                <w:szCs w:val="22"/>
                <w:highlight w:val="none"/>
              </w:rPr>
              <w:t>允许</w:t>
            </w:r>
            <w:r>
              <w:rPr>
                <w:rFonts w:hint="eastAsia"/>
                <w:color w:val="auto"/>
                <w:highlight w:val="none"/>
              </w:rPr>
              <w:t>，</w:t>
            </w:r>
            <w:r>
              <w:rPr>
                <w:rFonts w:hint="eastAsia"/>
                <w:color w:val="auto"/>
                <w:sz w:val="22"/>
                <w:szCs w:val="21"/>
                <w:highlight w:val="none"/>
              </w:rPr>
              <w:t>经采购人同意并符合国家相关法律法规规定。</w:t>
            </w:r>
          </w:p>
        </w:tc>
      </w:tr>
      <w:tr w14:paraId="6B09C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79C41A2C">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750" w:type="dxa"/>
            <w:tcBorders>
              <w:tl2br w:val="nil"/>
              <w:tr2bl w:val="nil"/>
            </w:tcBorders>
            <w:noWrap w:val="0"/>
            <w:vAlign w:val="center"/>
          </w:tcPr>
          <w:p w14:paraId="7F765732">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投标有效期</w:t>
            </w:r>
          </w:p>
        </w:tc>
        <w:tc>
          <w:tcPr>
            <w:tcW w:w="6802" w:type="dxa"/>
            <w:tcBorders>
              <w:tl2br w:val="nil"/>
              <w:tr2bl w:val="nil"/>
            </w:tcBorders>
            <w:noWrap w:val="0"/>
            <w:vAlign w:val="center"/>
          </w:tcPr>
          <w:p w14:paraId="378AA073">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投标文件自投标截止时间起生效，有效期90天</w:t>
            </w:r>
            <w:r>
              <w:rPr>
                <w:rFonts w:hint="eastAsia" w:ascii="宋体" w:hAnsi="宋体" w:cs="宋体"/>
                <w:b/>
                <w:bCs/>
                <w:color w:val="auto"/>
                <w:kern w:val="0"/>
                <w:sz w:val="22"/>
                <w:szCs w:val="22"/>
                <w:highlight w:val="none"/>
              </w:rPr>
              <w:t>。</w:t>
            </w:r>
          </w:p>
        </w:tc>
      </w:tr>
      <w:tr w14:paraId="3F4F9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5872450B">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750" w:type="dxa"/>
            <w:tcBorders>
              <w:tl2br w:val="nil"/>
              <w:tr2bl w:val="nil"/>
            </w:tcBorders>
            <w:noWrap w:val="0"/>
            <w:vAlign w:val="center"/>
          </w:tcPr>
          <w:p w14:paraId="1C98387F">
            <w:pPr>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6802" w:type="dxa"/>
            <w:tcBorders>
              <w:tl2br w:val="nil"/>
              <w:tr2bl w:val="nil"/>
            </w:tcBorders>
            <w:noWrap w:val="0"/>
            <w:vAlign w:val="center"/>
          </w:tcPr>
          <w:p w14:paraId="73E76EC8">
            <w:pPr>
              <w:spacing w:line="300" w:lineRule="exact"/>
              <w:rPr>
                <w:rFonts w:ascii="宋体" w:hAnsi="宋体" w:cs="宋体"/>
                <w:color w:val="auto"/>
                <w:sz w:val="22"/>
                <w:szCs w:val="22"/>
                <w:highlight w:val="none"/>
              </w:rPr>
            </w:pPr>
            <w:r>
              <w:rPr>
                <w:rFonts w:hint="eastAsia" w:ascii="宋体" w:hAnsi="宋体" w:cs="宋体"/>
                <w:color w:val="auto"/>
                <w:sz w:val="22"/>
                <w:szCs w:val="22"/>
                <w:highlight w:val="none"/>
              </w:rPr>
              <w:t>详见采购公告规定</w:t>
            </w:r>
          </w:p>
        </w:tc>
      </w:tr>
      <w:tr w14:paraId="773D1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30FFA81F">
            <w:pPr>
              <w:spacing w:line="30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16</w:t>
            </w:r>
          </w:p>
        </w:tc>
        <w:tc>
          <w:tcPr>
            <w:tcW w:w="1750" w:type="dxa"/>
            <w:tcBorders>
              <w:tl2br w:val="nil"/>
              <w:tr2bl w:val="nil"/>
            </w:tcBorders>
            <w:noWrap w:val="0"/>
            <w:vAlign w:val="center"/>
          </w:tcPr>
          <w:p w14:paraId="2DE93050">
            <w:pPr>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投标文件组成</w:t>
            </w:r>
          </w:p>
        </w:tc>
        <w:tc>
          <w:tcPr>
            <w:tcW w:w="6802" w:type="dxa"/>
            <w:tcBorders>
              <w:tl2br w:val="nil"/>
              <w:tr2bl w:val="nil"/>
            </w:tcBorders>
            <w:noWrap w:val="0"/>
            <w:vAlign w:val="top"/>
          </w:tcPr>
          <w:p w14:paraId="57EFD698">
            <w:pPr>
              <w:spacing w:line="300" w:lineRule="exact"/>
              <w:rPr>
                <w:rFonts w:ascii="宋体" w:hAnsi="宋体" w:cs="宋体"/>
                <w:color w:val="auto"/>
                <w:sz w:val="22"/>
                <w:szCs w:val="22"/>
                <w:highlight w:val="none"/>
              </w:rPr>
            </w:pPr>
            <w:r>
              <w:rPr>
                <w:rFonts w:hint="eastAsia" w:ascii="宋体" w:hAnsi="宋体" w:cs="宋体"/>
                <w:color w:val="auto"/>
                <w:sz w:val="22"/>
                <w:szCs w:val="22"/>
                <w:highlight w:val="none"/>
              </w:rPr>
              <w:t>完整的投标文件由“资格文件”、“报价文件”和“商务技术文件”三个部分组成。</w:t>
            </w:r>
            <w:bookmarkStart w:id="604" w:name="_GoBack"/>
            <w:bookmarkEnd w:id="604"/>
          </w:p>
        </w:tc>
      </w:tr>
      <w:tr w14:paraId="54FDD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7EF888DC">
            <w:pPr>
              <w:spacing w:line="30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17</w:t>
            </w:r>
          </w:p>
        </w:tc>
        <w:tc>
          <w:tcPr>
            <w:tcW w:w="1750" w:type="dxa"/>
            <w:tcBorders>
              <w:tl2br w:val="nil"/>
              <w:tr2bl w:val="nil"/>
            </w:tcBorders>
            <w:noWrap w:val="0"/>
            <w:vAlign w:val="center"/>
          </w:tcPr>
          <w:p w14:paraId="03D6B77B">
            <w:pPr>
              <w:spacing w:line="3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投标文件的编制</w:t>
            </w:r>
          </w:p>
        </w:tc>
        <w:tc>
          <w:tcPr>
            <w:tcW w:w="6802" w:type="dxa"/>
            <w:tcBorders>
              <w:tl2br w:val="nil"/>
              <w:tr2bl w:val="nil"/>
            </w:tcBorders>
            <w:noWrap w:val="0"/>
            <w:vAlign w:val="top"/>
          </w:tcPr>
          <w:p w14:paraId="7A3E78F9">
            <w:pPr>
              <w:spacing w:line="300" w:lineRule="exact"/>
              <w:rPr>
                <w:rFonts w:ascii="宋体" w:hAnsi="宋体" w:cs="宋体"/>
                <w:color w:val="auto"/>
                <w:sz w:val="22"/>
                <w:szCs w:val="22"/>
                <w:highlight w:val="none"/>
              </w:rPr>
            </w:pPr>
            <w:r>
              <w:rPr>
                <w:rFonts w:hint="eastAsia" w:ascii="宋体" w:hAnsi="宋体" w:cs="宋体"/>
                <w:color w:val="auto"/>
                <w:sz w:val="22"/>
                <w:szCs w:val="22"/>
                <w:highlight w:val="none"/>
              </w:rPr>
              <w:t>投标供应商应先安装“政采云电子交易客户端”，并按照本采购文件和“政府采购云平台”的要求，通过“政采云电子交易客户端”编制并加密投标文件。</w:t>
            </w:r>
          </w:p>
        </w:tc>
      </w:tr>
      <w:tr w14:paraId="7B2A5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6A69B450">
            <w:pPr>
              <w:spacing w:line="30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18</w:t>
            </w:r>
          </w:p>
        </w:tc>
        <w:tc>
          <w:tcPr>
            <w:tcW w:w="1750" w:type="dxa"/>
            <w:tcBorders>
              <w:tl2br w:val="nil"/>
              <w:tr2bl w:val="nil"/>
            </w:tcBorders>
            <w:noWrap w:val="0"/>
            <w:vAlign w:val="top"/>
          </w:tcPr>
          <w:p w14:paraId="479F8F60">
            <w:pPr>
              <w:spacing w:line="30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投标文件的签章</w:t>
            </w:r>
          </w:p>
        </w:tc>
        <w:tc>
          <w:tcPr>
            <w:tcW w:w="6802" w:type="dxa"/>
            <w:tcBorders>
              <w:tl2br w:val="nil"/>
              <w:tr2bl w:val="nil"/>
            </w:tcBorders>
            <w:noWrap w:val="0"/>
            <w:vAlign w:val="top"/>
          </w:tcPr>
          <w:p w14:paraId="3FDF3C23">
            <w:pPr>
              <w:spacing w:line="300" w:lineRule="exact"/>
              <w:rPr>
                <w:rFonts w:ascii="宋体" w:hAnsi="宋体" w:cs="宋体"/>
                <w:color w:val="auto"/>
                <w:sz w:val="22"/>
                <w:szCs w:val="22"/>
                <w:highlight w:val="none"/>
              </w:rPr>
            </w:pPr>
            <w:r>
              <w:rPr>
                <w:rFonts w:hint="eastAsia" w:ascii="宋体" w:hAnsi="宋体" w:cs="宋体"/>
                <w:color w:val="auto"/>
                <w:sz w:val="22"/>
                <w:szCs w:val="22"/>
                <w:highlight w:val="none"/>
              </w:rPr>
              <w:t>①电子公章或实体公章均可；电子签名或实体签名（盖章）均可。</w:t>
            </w:r>
          </w:p>
          <w:p w14:paraId="733A10A1">
            <w:pPr>
              <w:spacing w:line="300" w:lineRule="exact"/>
              <w:rPr>
                <w:rFonts w:ascii="宋体" w:hAnsi="宋体" w:cs="宋体"/>
                <w:color w:val="auto"/>
                <w:sz w:val="22"/>
                <w:szCs w:val="22"/>
                <w:highlight w:val="none"/>
              </w:rPr>
            </w:pPr>
            <w:r>
              <w:rPr>
                <w:rFonts w:hint="eastAsia" w:ascii="宋体" w:hAnsi="宋体" w:cs="宋体"/>
                <w:color w:val="auto"/>
                <w:sz w:val="22"/>
                <w:szCs w:val="22"/>
                <w:highlight w:val="none"/>
              </w:rPr>
              <w:t>②政府采购云平台另有规定的，从其规定。</w:t>
            </w:r>
          </w:p>
        </w:tc>
      </w:tr>
      <w:tr w14:paraId="607BE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5C330170">
            <w:pPr>
              <w:spacing w:line="30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19</w:t>
            </w:r>
          </w:p>
        </w:tc>
        <w:tc>
          <w:tcPr>
            <w:tcW w:w="1750" w:type="dxa"/>
            <w:tcBorders>
              <w:tl2br w:val="nil"/>
              <w:tr2bl w:val="nil"/>
            </w:tcBorders>
            <w:noWrap w:val="0"/>
            <w:vAlign w:val="top"/>
          </w:tcPr>
          <w:p w14:paraId="69E487EB">
            <w:pPr>
              <w:spacing w:line="30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投标文件的形式</w:t>
            </w:r>
          </w:p>
        </w:tc>
        <w:tc>
          <w:tcPr>
            <w:tcW w:w="6802" w:type="dxa"/>
            <w:tcBorders>
              <w:tl2br w:val="nil"/>
              <w:tr2bl w:val="nil"/>
            </w:tcBorders>
            <w:noWrap w:val="0"/>
            <w:vAlign w:val="top"/>
          </w:tcPr>
          <w:p w14:paraId="0785E4D3">
            <w:pPr>
              <w:spacing w:line="30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sz w:val="22"/>
                <w:szCs w:val="22"/>
                <w:highlight w:val="none"/>
              </w:rPr>
              <w:t>电子投标文件（包括“电子加密投标文件”和“备份投标文件”，在投标文件编制完成后同时生成）；</w:t>
            </w:r>
          </w:p>
        </w:tc>
      </w:tr>
      <w:tr w14:paraId="5B0E4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0F096540">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750" w:type="dxa"/>
            <w:tcBorders>
              <w:tl2br w:val="nil"/>
              <w:tr2bl w:val="nil"/>
            </w:tcBorders>
            <w:noWrap w:val="0"/>
            <w:vAlign w:val="center"/>
          </w:tcPr>
          <w:p w14:paraId="27DD276A">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投标文件份数</w:t>
            </w:r>
          </w:p>
        </w:tc>
        <w:tc>
          <w:tcPr>
            <w:tcW w:w="6802" w:type="dxa"/>
            <w:tcBorders>
              <w:tl2br w:val="nil"/>
              <w:tr2bl w:val="nil"/>
            </w:tcBorders>
            <w:noWrap w:val="0"/>
            <w:vAlign w:val="center"/>
          </w:tcPr>
          <w:p w14:paraId="0C4EAFCE">
            <w:pPr>
              <w:pStyle w:val="4"/>
              <w:spacing w:line="240" w:lineRule="auto"/>
              <w:ind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（1）“电子加密投标文件”：在线上传递交一份。（2）“备份投标文件”：密封包装后（可以顺丰或EMS邮寄形式）在投标截止时间前递交、数量：一份（邮寄地址：</w:t>
            </w:r>
            <w:r>
              <w:rPr>
                <w:rFonts w:hint="eastAsia" w:ascii="宋体" w:hAnsi="宋体" w:cs="宋体"/>
                <w:color w:val="auto"/>
                <w:sz w:val="22"/>
                <w:szCs w:val="22"/>
                <w:highlight w:val="none"/>
                <w:lang w:eastAsia="zh-CN"/>
              </w:rPr>
              <w:t>温州市鹿城区清源路142号海外传播大楼四楼</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鲍宇敬</w:t>
            </w:r>
            <w:r>
              <w:rPr>
                <w:rFonts w:hint="eastAsia" w:ascii="宋体" w:hAnsi="宋体" w:cs="宋体"/>
                <w:color w:val="auto"/>
                <w:sz w:val="22"/>
                <w:szCs w:val="22"/>
                <w:highlight w:val="none"/>
              </w:rPr>
              <w:t>收，联系电话：</w:t>
            </w:r>
            <w:r>
              <w:rPr>
                <w:rFonts w:hint="eastAsia" w:ascii="宋体" w:hAnsi="宋体" w:cs="宋体"/>
                <w:color w:val="auto"/>
                <w:sz w:val="22"/>
                <w:szCs w:val="22"/>
                <w:highlight w:val="none"/>
                <w:lang w:val="en-US" w:eastAsia="zh-CN"/>
              </w:rPr>
              <w:t>13777776911</w:t>
            </w:r>
            <w:r>
              <w:rPr>
                <w:rFonts w:hint="eastAsia" w:ascii="宋体" w:hAnsi="宋体" w:cs="宋体"/>
                <w:color w:val="auto"/>
                <w:sz w:val="22"/>
                <w:szCs w:val="22"/>
                <w:highlight w:val="none"/>
              </w:rPr>
              <w:t>，以签收时间为准，投标供应商应充分考虑邮寄快递在途时间）</w:t>
            </w:r>
          </w:p>
        </w:tc>
      </w:tr>
      <w:tr w14:paraId="5D1F9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71CF67B4">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750" w:type="dxa"/>
            <w:tcBorders>
              <w:tl2br w:val="nil"/>
              <w:tr2bl w:val="nil"/>
            </w:tcBorders>
            <w:noWrap w:val="0"/>
            <w:vAlign w:val="center"/>
          </w:tcPr>
          <w:p w14:paraId="7383E09A">
            <w:pPr>
              <w:spacing w:line="300" w:lineRule="exact"/>
              <w:jc w:val="center"/>
              <w:rPr>
                <w:rFonts w:ascii="宋体" w:hAnsi="宋体" w:cs="宋体"/>
                <w:color w:val="auto"/>
                <w:kern w:val="0"/>
                <w:sz w:val="22"/>
                <w:szCs w:val="22"/>
                <w:highlight w:val="none"/>
              </w:rPr>
            </w:pPr>
            <w:r>
              <w:rPr>
                <w:rFonts w:hint="eastAsia" w:ascii="宋体" w:hAnsi="宋体" w:cs="宋体"/>
                <w:b/>
                <w:bCs/>
                <w:color w:val="auto"/>
                <w:sz w:val="22"/>
                <w:szCs w:val="22"/>
                <w:highlight w:val="none"/>
              </w:rPr>
              <w:t>投标文件的上传、递交</w:t>
            </w:r>
          </w:p>
        </w:tc>
        <w:tc>
          <w:tcPr>
            <w:tcW w:w="6802" w:type="dxa"/>
            <w:tcBorders>
              <w:tl2br w:val="nil"/>
              <w:tr2bl w:val="nil"/>
            </w:tcBorders>
            <w:noWrap w:val="0"/>
            <w:vAlign w:val="center"/>
          </w:tcPr>
          <w:p w14:paraId="3BD76A0D">
            <w:pPr>
              <w:spacing w:line="24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（1）“电子加密投标文件”的上传、递交：</w:t>
            </w:r>
          </w:p>
          <w:p w14:paraId="6A147B4E">
            <w:pPr>
              <w:spacing w:line="24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a.投标供应商应在投标截止时间前将“电子加密投标文件”成功上传递交至“政府采购云平台”，否则投标无效。</w:t>
            </w:r>
          </w:p>
          <w:p w14:paraId="7C6017A3">
            <w:pPr>
              <w:spacing w:line="24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b.“电子加密投标文件”成功上传递交后，投标供应商可自行打印投标文件接收回执。</w:t>
            </w:r>
          </w:p>
          <w:p w14:paraId="5D9BF880">
            <w:pPr>
              <w:spacing w:line="24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（2）“备份投标文件”的密封包装、递交：</w:t>
            </w:r>
          </w:p>
          <w:p w14:paraId="007A48D5">
            <w:pPr>
              <w:spacing w:line="24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a.投标供应商在“政府采购云平台”完成“电子加密投标文件”的上传递交后，还可以（顺丰或EMS邮寄形式）在投标截止时间前递交以介质（U盘）存储的 “备份投标文件”（一份，不退还）；</w:t>
            </w:r>
          </w:p>
          <w:p w14:paraId="678CC6A1">
            <w:pPr>
              <w:spacing w:line="24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b.“备份投标文件”应当密封包装，并在包装上标注投标项目名称、投标单位名称并加盖公章。没有密封包装或者逾期邮寄送达至</w:t>
            </w:r>
            <w:r>
              <w:rPr>
                <w:rFonts w:hint="eastAsia" w:ascii="宋体" w:hAnsi="宋体" w:cs="宋体"/>
                <w:b/>
                <w:bCs/>
                <w:color w:val="auto"/>
                <w:sz w:val="22"/>
                <w:szCs w:val="22"/>
                <w:highlight w:val="none"/>
                <w:lang w:eastAsia="zh-CN"/>
              </w:rPr>
              <w:t>温州市鹿城区清源路142号海外传播大楼四楼</w:t>
            </w:r>
            <w:r>
              <w:rPr>
                <w:rFonts w:hint="eastAsia" w:ascii="宋体" w:hAnsi="宋体" w:cs="宋体"/>
                <w:b/>
                <w:bCs/>
                <w:color w:val="auto"/>
                <w:sz w:val="22"/>
                <w:szCs w:val="22"/>
                <w:highlight w:val="none"/>
              </w:rPr>
              <w:t>的“备份投标文件”将不予接收；</w:t>
            </w:r>
          </w:p>
          <w:p w14:paraId="0E791C6A">
            <w:pPr>
              <w:pStyle w:val="4"/>
              <w:spacing w:line="240" w:lineRule="auto"/>
              <w:ind w:firstLine="0" w:firstLineChars="0"/>
              <w:rPr>
                <w:rFonts w:ascii="宋体" w:hAnsi="宋体" w:cs="宋体"/>
                <w:color w:val="auto"/>
                <w:highlight w:val="none"/>
              </w:rPr>
            </w:pPr>
            <w:r>
              <w:rPr>
                <w:rFonts w:hint="eastAsia" w:ascii="宋体" w:hAnsi="宋体" w:cs="宋体"/>
                <w:color w:val="auto"/>
                <w:highlight w:val="none"/>
              </w:rPr>
              <w:t>c.通过“政府采购云平台”成功上传递交的“电子加密投标文件”已按时解密的，“备份投标文件”自动失效。</w:t>
            </w:r>
          </w:p>
        </w:tc>
      </w:tr>
      <w:tr w14:paraId="39640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780DC0E7">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750" w:type="dxa"/>
            <w:tcBorders>
              <w:tl2br w:val="nil"/>
              <w:tr2bl w:val="nil"/>
            </w:tcBorders>
            <w:noWrap w:val="0"/>
            <w:vAlign w:val="center"/>
          </w:tcPr>
          <w:p w14:paraId="2965D79E">
            <w:pPr>
              <w:spacing w:line="300" w:lineRule="exact"/>
              <w:jc w:val="center"/>
              <w:rPr>
                <w:rFonts w:ascii="宋体" w:hAnsi="宋体" w:cs="宋体"/>
                <w:color w:val="auto"/>
                <w:kern w:val="0"/>
                <w:sz w:val="22"/>
                <w:szCs w:val="22"/>
                <w:highlight w:val="none"/>
              </w:rPr>
            </w:pPr>
            <w:r>
              <w:rPr>
                <w:rFonts w:hint="eastAsia" w:ascii="宋体" w:hAnsi="宋体" w:cs="宋体"/>
                <w:b/>
                <w:bCs/>
                <w:color w:val="auto"/>
                <w:sz w:val="22"/>
                <w:szCs w:val="22"/>
                <w:highlight w:val="none"/>
              </w:rPr>
              <w:t>电子加密投标文件的解密和异常情况处理</w:t>
            </w:r>
          </w:p>
        </w:tc>
        <w:tc>
          <w:tcPr>
            <w:tcW w:w="6802" w:type="dxa"/>
            <w:tcBorders>
              <w:tl2br w:val="nil"/>
              <w:tr2bl w:val="nil"/>
            </w:tcBorders>
            <w:noWrap w:val="0"/>
            <w:vAlign w:val="center"/>
          </w:tcPr>
          <w:p w14:paraId="4D50AA4D">
            <w:pPr>
              <w:spacing w:line="24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54C96168">
            <w:pPr>
              <w:spacing w:line="24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B2064F5">
            <w:pPr>
              <w:pStyle w:val="4"/>
              <w:spacing w:line="240" w:lineRule="auto"/>
              <w:ind w:firstLine="0" w:firstLineChars="0"/>
              <w:rPr>
                <w:rFonts w:ascii="宋体" w:hAnsi="宋体" w:cs="宋体"/>
                <w:color w:val="auto"/>
                <w:sz w:val="22"/>
                <w:szCs w:val="22"/>
                <w:highlight w:val="none"/>
              </w:rPr>
            </w:pPr>
            <w:r>
              <w:rPr>
                <w:rFonts w:hint="eastAsia" w:ascii="宋体" w:hAnsi="宋体" w:cs="宋体"/>
                <w:b/>
                <w:bCs/>
                <w:color w:val="auto"/>
                <w:sz w:val="22"/>
                <w:szCs w:val="22"/>
                <w:highlight w:val="none"/>
              </w:rPr>
              <w:t>（3）投标截止时间前，投标供应商仅递交了“备份投标文件”而未将电子加密投标文件上传至“政府采购云平台”的，投标无效。</w:t>
            </w:r>
          </w:p>
        </w:tc>
      </w:tr>
      <w:tr w14:paraId="49494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06DB6ECE">
            <w:pPr>
              <w:spacing w:line="300" w:lineRule="exact"/>
              <w:jc w:val="center"/>
              <w:rPr>
                <w:rFonts w:ascii="宋体" w:hAnsi="宋体" w:cs="宋体"/>
                <w:color w:val="auto"/>
                <w:kern w:val="0"/>
                <w:sz w:val="22"/>
                <w:szCs w:val="22"/>
                <w:highlight w:val="none"/>
              </w:rPr>
            </w:pPr>
            <w:r>
              <w:rPr>
                <w:rFonts w:hint="eastAsia" w:ascii="宋体" w:hAnsi="宋体" w:cs="宋体"/>
                <w:bCs/>
                <w:color w:val="auto"/>
                <w:sz w:val="22"/>
                <w:szCs w:val="22"/>
                <w:highlight w:val="none"/>
              </w:rPr>
              <w:t>23</w:t>
            </w:r>
          </w:p>
        </w:tc>
        <w:tc>
          <w:tcPr>
            <w:tcW w:w="1750" w:type="dxa"/>
            <w:tcBorders>
              <w:tl2br w:val="nil"/>
              <w:tr2bl w:val="nil"/>
            </w:tcBorders>
            <w:noWrap w:val="0"/>
            <w:vAlign w:val="center"/>
          </w:tcPr>
          <w:p w14:paraId="1145939B">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6802" w:type="dxa"/>
            <w:tcBorders>
              <w:tl2br w:val="nil"/>
              <w:tr2bl w:val="nil"/>
            </w:tcBorders>
            <w:noWrap w:val="0"/>
            <w:vAlign w:val="center"/>
          </w:tcPr>
          <w:p w14:paraId="33C70263">
            <w:pPr>
              <w:spacing w:line="300" w:lineRule="exact"/>
              <w:rPr>
                <w:rFonts w:ascii="宋体" w:hAnsi="宋体" w:cs="宋体"/>
                <w:color w:val="auto"/>
                <w:sz w:val="22"/>
                <w:szCs w:val="22"/>
                <w:highlight w:val="none"/>
              </w:rPr>
            </w:pPr>
            <w:r>
              <w:rPr>
                <w:rFonts w:hint="eastAsia" w:ascii="宋体" w:hAnsi="宋体" w:cs="宋体"/>
                <w:color w:val="auto"/>
                <w:sz w:val="22"/>
                <w:szCs w:val="22"/>
                <w:highlight w:val="none"/>
              </w:rPr>
              <w:t>详见采购公告规定</w:t>
            </w:r>
          </w:p>
        </w:tc>
      </w:tr>
      <w:tr w14:paraId="21317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580" w:hRule="atLeast"/>
        </w:trPr>
        <w:tc>
          <w:tcPr>
            <w:tcW w:w="681" w:type="dxa"/>
            <w:tcBorders>
              <w:tl2br w:val="nil"/>
              <w:tr2bl w:val="nil"/>
            </w:tcBorders>
            <w:noWrap w:val="0"/>
            <w:vAlign w:val="center"/>
          </w:tcPr>
          <w:p w14:paraId="0EBCA9BE">
            <w:pPr>
              <w:spacing w:line="300" w:lineRule="exact"/>
              <w:jc w:val="center"/>
              <w:rPr>
                <w:rFonts w:ascii="宋体" w:hAnsi="宋体" w:cs="宋体"/>
                <w:color w:val="auto"/>
                <w:kern w:val="0"/>
                <w:sz w:val="22"/>
                <w:szCs w:val="22"/>
                <w:highlight w:val="none"/>
              </w:rPr>
            </w:pPr>
            <w:r>
              <w:rPr>
                <w:rFonts w:hint="eastAsia" w:ascii="宋体" w:hAnsi="宋体" w:cs="宋体"/>
                <w:bCs/>
                <w:color w:val="auto"/>
                <w:sz w:val="22"/>
                <w:szCs w:val="22"/>
                <w:highlight w:val="none"/>
              </w:rPr>
              <w:t>24</w:t>
            </w:r>
          </w:p>
        </w:tc>
        <w:tc>
          <w:tcPr>
            <w:tcW w:w="1750" w:type="dxa"/>
            <w:tcBorders>
              <w:tl2br w:val="nil"/>
              <w:tr2bl w:val="nil"/>
            </w:tcBorders>
            <w:noWrap w:val="0"/>
            <w:vAlign w:val="center"/>
          </w:tcPr>
          <w:p w14:paraId="64F66E32">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递交投标文件地点</w:t>
            </w:r>
          </w:p>
        </w:tc>
        <w:tc>
          <w:tcPr>
            <w:tcW w:w="6802" w:type="dxa"/>
            <w:tcBorders>
              <w:tl2br w:val="nil"/>
              <w:tr2bl w:val="nil"/>
            </w:tcBorders>
            <w:noWrap w:val="0"/>
            <w:vAlign w:val="center"/>
          </w:tcPr>
          <w:p w14:paraId="70666FB3">
            <w:pPr>
              <w:spacing w:line="30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通过“政府采购云平台（https://www.zcygov.cn）”实行在线投标响应。</w:t>
            </w:r>
          </w:p>
        </w:tc>
      </w:tr>
      <w:tr w14:paraId="2FD30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539FB05D">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750" w:type="dxa"/>
            <w:tcBorders>
              <w:tl2br w:val="nil"/>
              <w:tr2bl w:val="nil"/>
            </w:tcBorders>
            <w:noWrap w:val="0"/>
            <w:vAlign w:val="center"/>
          </w:tcPr>
          <w:p w14:paraId="784F2AF8">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开标时间和地点及评审地点</w:t>
            </w:r>
          </w:p>
        </w:tc>
        <w:tc>
          <w:tcPr>
            <w:tcW w:w="6802" w:type="dxa"/>
            <w:tcBorders>
              <w:tl2br w:val="nil"/>
              <w:tr2bl w:val="nil"/>
            </w:tcBorders>
            <w:noWrap w:val="0"/>
            <w:vAlign w:val="center"/>
          </w:tcPr>
          <w:p w14:paraId="0280F1E9">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开标时间：同投标文件递交截止时间；</w:t>
            </w:r>
          </w:p>
          <w:p w14:paraId="2096DC5E">
            <w:pPr>
              <w:spacing w:line="30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开标地点：</w:t>
            </w:r>
            <w:r>
              <w:rPr>
                <w:rFonts w:hint="eastAsia" w:ascii="宋体" w:hAnsi="宋体" w:cs="宋体"/>
                <w:color w:val="auto"/>
                <w:sz w:val="22"/>
                <w:szCs w:val="22"/>
                <w:highlight w:val="none"/>
              </w:rPr>
              <w:t>详见采购公告规定；</w:t>
            </w:r>
          </w:p>
          <w:p w14:paraId="65038D07">
            <w:pPr>
              <w:spacing w:line="300" w:lineRule="exact"/>
              <w:rPr>
                <w:rFonts w:ascii="宋体" w:hAnsi="宋体" w:cs="宋体"/>
                <w:color w:val="auto"/>
                <w:sz w:val="22"/>
                <w:szCs w:val="22"/>
                <w:highlight w:val="none"/>
              </w:rPr>
            </w:pPr>
            <w:r>
              <w:rPr>
                <w:rFonts w:hint="eastAsia" w:ascii="宋体" w:hAnsi="宋体" w:cs="宋体"/>
                <w:color w:val="auto"/>
                <w:sz w:val="22"/>
                <w:szCs w:val="22"/>
                <w:highlight w:val="none"/>
              </w:rPr>
              <w:t>评审地点：</w:t>
            </w:r>
            <w:r>
              <w:rPr>
                <w:rFonts w:hint="eastAsia" w:ascii="宋体" w:hAnsi="宋体" w:cs="宋体"/>
                <w:bCs/>
                <w:color w:val="auto"/>
                <w:kern w:val="0"/>
                <w:sz w:val="22"/>
                <w:szCs w:val="22"/>
                <w:highlight w:val="none"/>
              </w:rPr>
              <w:t>温州市政务服务管理中心3楼评标室(温州市鹿城区会展路1268号温州市民中心A座3楼)。</w:t>
            </w:r>
          </w:p>
        </w:tc>
      </w:tr>
      <w:tr w14:paraId="16C34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63A50DF3">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1750" w:type="dxa"/>
            <w:tcBorders>
              <w:tl2br w:val="nil"/>
              <w:tr2bl w:val="nil"/>
            </w:tcBorders>
            <w:noWrap w:val="0"/>
            <w:vAlign w:val="center"/>
          </w:tcPr>
          <w:p w14:paraId="01A7F7CF">
            <w:pPr>
              <w:spacing w:line="300" w:lineRule="exact"/>
              <w:jc w:val="center"/>
              <w:rPr>
                <w:rFonts w:ascii="宋体" w:hAnsi="宋体" w:cs="宋体"/>
                <w:color w:val="auto"/>
                <w:kern w:val="0"/>
                <w:sz w:val="22"/>
                <w:szCs w:val="22"/>
                <w:highlight w:val="none"/>
              </w:rPr>
            </w:pPr>
            <w:bookmarkStart w:id="41" w:name="_Hlk3466512"/>
            <w:r>
              <w:rPr>
                <w:rFonts w:hint="eastAsia" w:ascii="宋体" w:hAnsi="宋体" w:cs="宋体"/>
                <w:color w:val="auto"/>
                <w:kern w:val="0"/>
                <w:sz w:val="22"/>
                <w:szCs w:val="22"/>
                <w:highlight w:val="none"/>
              </w:rPr>
              <w:t>开评标程序</w:t>
            </w:r>
            <w:bookmarkEnd w:id="41"/>
          </w:p>
        </w:tc>
        <w:tc>
          <w:tcPr>
            <w:tcW w:w="6802" w:type="dxa"/>
            <w:tcBorders>
              <w:tl2br w:val="nil"/>
              <w:tr2bl w:val="nil"/>
            </w:tcBorders>
            <w:noWrap w:val="0"/>
            <w:vAlign w:val="center"/>
          </w:tcPr>
          <w:p w14:paraId="176B42B1">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投标文件解密</w:t>
            </w:r>
            <w:r>
              <w:rPr>
                <w:rFonts w:hint="eastAsia" w:ascii="宋体" w:hAnsi="宋体" w:cs="宋体"/>
                <w:color w:val="auto"/>
                <w:sz w:val="22"/>
                <w:szCs w:val="22"/>
                <w:highlight w:val="none"/>
              </w:rPr>
              <w:sym w:font="Wingdings" w:char="F0E8"/>
            </w:r>
            <w:r>
              <w:rPr>
                <w:rFonts w:hint="eastAsia" w:ascii="宋体" w:hAnsi="宋体" w:cs="宋体"/>
                <w:color w:val="auto"/>
                <w:kern w:val="0"/>
                <w:sz w:val="22"/>
                <w:szCs w:val="22"/>
                <w:highlight w:val="none"/>
              </w:rPr>
              <w:t>开启资格文件和</w:t>
            </w:r>
            <w:r>
              <w:rPr>
                <w:rFonts w:hint="eastAsia" w:ascii="宋体" w:hAnsi="宋体" w:cs="宋体"/>
                <w:color w:val="auto"/>
                <w:sz w:val="22"/>
                <w:szCs w:val="22"/>
                <w:highlight w:val="none"/>
              </w:rPr>
              <w:t>商务技术文件</w:t>
            </w:r>
            <w:r>
              <w:rPr>
                <w:rFonts w:hint="eastAsia" w:ascii="宋体" w:hAnsi="宋体" w:cs="宋体"/>
                <w:color w:val="auto"/>
                <w:sz w:val="22"/>
                <w:szCs w:val="22"/>
                <w:highlight w:val="none"/>
              </w:rPr>
              <w:sym w:font="Wingdings" w:char="F0E8"/>
            </w:r>
            <w:r>
              <w:rPr>
                <w:rFonts w:hint="eastAsia" w:ascii="宋体" w:hAnsi="宋体" w:cs="宋体"/>
                <w:color w:val="auto"/>
                <w:sz w:val="22"/>
                <w:szCs w:val="22"/>
                <w:highlight w:val="none"/>
              </w:rPr>
              <w:t>资格</w:t>
            </w:r>
            <w:r>
              <w:rPr>
                <w:rFonts w:hint="eastAsia" w:ascii="宋体" w:hAnsi="宋体" w:cs="宋体"/>
                <w:color w:val="auto"/>
                <w:kern w:val="0"/>
                <w:sz w:val="22"/>
                <w:szCs w:val="22"/>
                <w:highlight w:val="none"/>
              </w:rPr>
              <w:t>文件</w:t>
            </w:r>
            <w:r>
              <w:rPr>
                <w:rFonts w:hint="eastAsia" w:ascii="宋体" w:hAnsi="宋体" w:cs="宋体"/>
                <w:color w:val="auto"/>
                <w:sz w:val="22"/>
                <w:szCs w:val="22"/>
                <w:highlight w:val="none"/>
              </w:rPr>
              <w:t>审查</w:t>
            </w:r>
            <w:r>
              <w:rPr>
                <w:rFonts w:hint="eastAsia" w:ascii="宋体" w:hAnsi="宋体" w:cs="宋体"/>
                <w:color w:val="auto"/>
                <w:sz w:val="22"/>
                <w:szCs w:val="22"/>
                <w:highlight w:val="none"/>
              </w:rPr>
              <w:sym w:font="Wingdings" w:char="F0E8"/>
            </w:r>
            <w:r>
              <w:rPr>
                <w:rFonts w:hint="eastAsia" w:ascii="宋体" w:hAnsi="宋体" w:cs="宋体"/>
                <w:color w:val="auto"/>
                <w:sz w:val="22"/>
                <w:szCs w:val="22"/>
                <w:highlight w:val="none"/>
              </w:rPr>
              <w:t>符合性审查（商务技术部分）</w:t>
            </w:r>
            <w:r>
              <w:rPr>
                <w:rFonts w:hint="eastAsia" w:ascii="宋体" w:hAnsi="宋体" w:cs="宋体"/>
                <w:color w:val="auto"/>
                <w:sz w:val="22"/>
                <w:szCs w:val="22"/>
                <w:highlight w:val="none"/>
              </w:rPr>
              <w:sym w:font="Wingdings" w:char="F0E8"/>
            </w:r>
            <w:r>
              <w:rPr>
                <w:rFonts w:hint="eastAsia" w:ascii="宋体" w:hAnsi="宋体" w:cs="宋体"/>
                <w:color w:val="auto"/>
                <w:sz w:val="22"/>
                <w:szCs w:val="22"/>
                <w:highlight w:val="none"/>
              </w:rPr>
              <w:t>商务技术文件评审</w:t>
            </w:r>
            <w:r>
              <w:rPr>
                <w:rFonts w:hint="eastAsia" w:ascii="宋体" w:hAnsi="宋体" w:cs="宋体"/>
                <w:color w:val="auto"/>
                <w:sz w:val="22"/>
                <w:szCs w:val="22"/>
                <w:highlight w:val="none"/>
              </w:rPr>
              <w:sym w:font="Wingdings" w:char="F0E8"/>
            </w:r>
            <w:r>
              <w:rPr>
                <w:rFonts w:hint="eastAsia" w:ascii="宋体" w:hAnsi="宋体" w:cs="宋体"/>
                <w:color w:val="auto"/>
                <w:sz w:val="22"/>
                <w:szCs w:val="22"/>
                <w:highlight w:val="none"/>
              </w:rPr>
              <w:t>公布商务技术文件得分情况</w:t>
            </w:r>
            <w:r>
              <w:rPr>
                <w:rFonts w:hint="eastAsia" w:ascii="宋体" w:hAnsi="宋体" w:cs="宋体"/>
                <w:color w:val="auto"/>
                <w:sz w:val="22"/>
                <w:szCs w:val="22"/>
                <w:highlight w:val="none"/>
              </w:rPr>
              <w:sym w:font="Wingdings" w:char="F0E8"/>
            </w:r>
            <w:r>
              <w:rPr>
                <w:rFonts w:hint="eastAsia" w:ascii="宋体" w:hAnsi="宋体" w:cs="宋体"/>
                <w:color w:val="auto"/>
                <w:sz w:val="22"/>
                <w:szCs w:val="22"/>
                <w:highlight w:val="none"/>
              </w:rPr>
              <w:t>开启报价文件</w:t>
            </w:r>
            <w:r>
              <w:rPr>
                <w:rFonts w:hint="eastAsia" w:ascii="宋体" w:hAnsi="宋体" w:cs="宋体"/>
                <w:color w:val="auto"/>
                <w:sz w:val="22"/>
                <w:szCs w:val="22"/>
                <w:highlight w:val="none"/>
              </w:rPr>
              <w:sym w:font="Wingdings" w:char="F0E8"/>
            </w:r>
            <w:r>
              <w:rPr>
                <w:rFonts w:hint="eastAsia" w:ascii="宋体" w:hAnsi="宋体" w:cs="宋体"/>
                <w:color w:val="auto"/>
                <w:sz w:val="22"/>
                <w:szCs w:val="22"/>
                <w:highlight w:val="none"/>
              </w:rPr>
              <w:t>报价文件评审（含报价文件符合性审查）</w:t>
            </w:r>
            <w:r>
              <w:rPr>
                <w:rFonts w:hint="eastAsia" w:ascii="宋体" w:hAnsi="宋体" w:cs="宋体"/>
                <w:color w:val="auto"/>
                <w:sz w:val="22"/>
                <w:szCs w:val="22"/>
                <w:highlight w:val="none"/>
              </w:rPr>
              <w:sym w:font="Wingdings" w:char="F0E8"/>
            </w:r>
            <w:r>
              <w:rPr>
                <w:rFonts w:hint="eastAsia" w:ascii="宋体" w:hAnsi="宋体" w:cs="宋体"/>
                <w:color w:val="auto"/>
                <w:sz w:val="22"/>
                <w:szCs w:val="22"/>
                <w:highlight w:val="none"/>
              </w:rPr>
              <w:t>提交评审报告</w:t>
            </w:r>
            <w:r>
              <w:rPr>
                <w:rFonts w:hint="eastAsia" w:ascii="宋体" w:hAnsi="宋体" w:cs="宋体"/>
                <w:color w:val="auto"/>
                <w:sz w:val="22"/>
                <w:szCs w:val="22"/>
                <w:highlight w:val="none"/>
                <w:lang w:eastAsia="zh-CN"/>
              </w:rPr>
              <w:t>。</w:t>
            </w:r>
          </w:p>
        </w:tc>
      </w:tr>
      <w:tr w14:paraId="65B91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17AA59EC">
            <w:pPr>
              <w:spacing w:line="300" w:lineRule="exact"/>
              <w:jc w:val="center"/>
              <w:rPr>
                <w:rFonts w:ascii="宋体" w:hAnsi="宋体" w:cs="宋体"/>
                <w:color w:val="auto"/>
                <w:kern w:val="0"/>
                <w:sz w:val="22"/>
                <w:szCs w:val="22"/>
                <w:highlight w:val="none"/>
              </w:rPr>
            </w:pPr>
            <w:r>
              <w:rPr>
                <w:rFonts w:hint="eastAsia" w:ascii="宋体" w:hAnsi="宋体" w:cs="宋体"/>
                <w:bCs/>
                <w:color w:val="auto"/>
                <w:sz w:val="22"/>
                <w:szCs w:val="22"/>
                <w:highlight w:val="none"/>
              </w:rPr>
              <w:t>27</w:t>
            </w:r>
          </w:p>
        </w:tc>
        <w:tc>
          <w:tcPr>
            <w:tcW w:w="1750" w:type="dxa"/>
            <w:tcBorders>
              <w:tl2br w:val="nil"/>
              <w:tr2bl w:val="nil"/>
            </w:tcBorders>
            <w:noWrap w:val="0"/>
            <w:vAlign w:val="center"/>
          </w:tcPr>
          <w:p w14:paraId="371DC95A">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78021B9C">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的组建</w:t>
            </w:r>
          </w:p>
        </w:tc>
        <w:tc>
          <w:tcPr>
            <w:tcW w:w="6802" w:type="dxa"/>
            <w:tcBorders>
              <w:tl2br w:val="nil"/>
              <w:tr2bl w:val="nil"/>
            </w:tcBorders>
            <w:noWrap w:val="0"/>
            <w:vAlign w:val="center"/>
          </w:tcPr>
          <w:p w14:paraId="6597CC26">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评标委员会成员由采购人依法组建。</w:t>
            </w:r>
          </w:p>
        </w:tc>
      </w:tr>
      <w:tr w14:paraId="1E89B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32488B9A">
            <w:pPr>
              <w:spacing w:line="300" w:lineRule="exact"/>
              <w:jc w:val="center"/>
              <w:rPr>
                <w:rFonts w:ascii="宋体" w:hAnsi="宋体" w:cs="宋体"/>
                <w:bCs/>
                <w:color w:val="auto"/>
                <w:sz w:val="22"/>
                <w:szCs w:val="22"/>
                <w:highlight w:val="none"/>
              </w:rPr>
            </w:pPr>
            <w:r>
              <w:rPr>
                <w:rFonts w:hint="eastAsia" w:ascii="宋体" w:hAnsi="宋体" w:cs="宋体"/>
                <w:color w:val="auto"/>
                <w:kern w:val="0"/>
                <w:sz w:val="22"/>
                <w:szCs w:val="22"/>
                <w:highlight w:val="none"/>
              </w:rPr>
              <w:t>28</w:t>
            </w:r>
          </w:p>
        </w:tc>
        <w:tc>
          <w:tcPr>
            <w:tcW w:w="1750" w:type="dxa"/>
            <w:tcBorders>
              <w:tl2br w:val="nil"/>
              <w:tr2bl w:val="nil"/>
            </w:tcBorders>
            <w:noWrap w:val="0"/>
            <w:vAlign w:val="center"/>
          </w:tcPr>
          <w:p w14:paraId="12164A14">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原 件</w:t>
            </w:r>
          </w:p>
        </w:tc>
        <w:tc>
          <w:tcPr>
            <w:tcW w:w="6802" w:type="dxa"/>
            <w:tcBorders>
              <w:tl2br w:val="nil"/>
              <w:tr2bl w:val="nil"/>
            </w:tcBorders>
            <w:noWrap w:val="0"/>
            <w:vAlign w:val="center"/>
          </w:tcPr>
          <w:p w14:paraId="50250712">
            <w:pPr>
              <w:spacing w:line="300" w:lineRule="exact"/>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 xml:space="preserve">不提交 </w:t>
            </w:r>
          </w:p>
        </w:tc>
      </w:tr>
      <w:tr w14:paraId="5527C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6DFA0736">
            <w:pPr>
              <w:spacing w:line="300" w:lineRule="exact"/>
              <w:jc w:val="center"/>
              <w:rPr>
                <w:rFonts w:ascii="宋体" w:hAnsi="宋体" w:cs="宋体"/>
                <w:bCs/>
                <w:color w:val="auto"/>
                <w:sz w:val="22"/>
                <w:szCs w:val="22"/>
                <w:highlight w:val="none"/>
              </w:rPr>
            </w:pPr>
            <w:r>
              <w:rPr>
                <w:rFonts w:hint="eastAsia" w:ascii="宋体" w:hAnsi="宋体" w:cs="宋体"/>
                <w:color w:val="auto"/>
                <w:kern w:val="0"/>
                <w:sz w:val="22"/>
                <w:szCs w:val="22"/>
                <w:highlight w:val="none"/>
              </w:rPr>
              <w:t>29</w:t>
            </w:r>
          </w:p>
        </w:tc>
        <w:tc>
          <w:tcPr>
            <w:tcW w:w="1750" w:type="dxa"/>
            <w:tcBorders>
              <w:tl2br w:val="nil"/>
              <w:tr2bl w:val="nil"/>
            </w:tcBorders>
            <w:noWrap w:val="0"/>
            <w:vAlign w:val="center"/>
          </w:tcPr>
          <w:p w14:paraId="112BF780">
            <w:pPr>
              <w:spacing w:line="3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履约担保</w:t>
            </w:r>
          </w:p>
        </w:tc>
        <w:tc>
          <w:tcPr>
            <w:tcW w:w="6802" w:type="dxa"/>
            <w:tcBorders>
              <w:tl2br w:val="nil"/>
              <w:tr2bl w:val="nil"/>
            </w:tcBorders>
            <w:noWrap w:val="0"/>
            <w:vAlign w:val="center"/>
          </w:tcPr>
          <w:p w14:paraId="6494208F">
            <w:pPr>
              <w:spacing w:line="300" w:lineRule="exact"/>
              <w:rPr>
                <w:rFonts w:hint="eastAsia" w:ascii="宋体" w:hAnsi="宋体" w:eastAsia="宋体" w:cs="Cambria Math"/>
                <w:color w:val="auto"/>
                <w:szCs w:val="21"/>
                <w:highlight w:val="none"/>
                <w:lang w:eastAsia="zh-CN"/>
              </w:rPr>
            </w:pPr>
            <w:r>
              <w:rPr>
                <w:rFonts w:hint="eastAsia" w:ascii="宋体" w:hAnsi="宋体" w:cs="宋体"/>
                <w:color w:val="auto"/>
                <w:sz w:val="22"/>
                <w:szCs w:val="22"/>
                <w:highlight w:val="none"/>
              </w:rPr>
              <w:sym w:font="Wingdings" w:char="F0FE"/>
            </w:r>
            <w:r>
              <w:rPr>
                <w:rFonts w:hint="eastAsia" w:ascii="宋体" w:hAnsi="宋体" w:cs="宋体"/>
                <w:color w:val="auto"/>
                <w:sz w:val="22"/>
                <w:szCs w:val="22"/>
                <w:highlight w:val="none"/>
              </w:rPr>
              <w:t>提交，形式：保证金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现金、支票、汇票、转账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或保函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银行保函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保险保函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金额：合同价的</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p>
        </w:tc>
      </w:tr>
      <w:tr w14:paraId="467B3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31BF2796">
            <w:pPr>
              <w:spacing w:line="30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30</w:t>
            </w:r>
          </w:p>
        </w:tc>
        <w:tc>
          <w:tcPr>
            <w:tcW w:w="1750" w:type="dxa"/>
            <w:tcBorders>
              <w:tl2br w:val="nil"/>
              <w:tr2bl w:val="nil"/>
            </w:tcBorders>
            <w:noWrap w:val="0"/>
            <w:vAlign w:val="center"/>
          </w:tcPr>
          <w:p w14:paraId="3ED74777">
            <w:pPr>
              <w:spacing w:line="30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招标代理费</w:t>
            </w:r>
          </w:p>
        </w:tc>
        <w:tc>
          <w:tcPr>
            <w:tcW w:w="6802" w:type="dxa"/>
            <w:tcBorders>
              <w:tl2br w:val="nil"/>
              <w:tr2bl w:val="nil"/>
            </w:tcBorders>
            <w:noWrap w:val="0"/>
            <w:vAlign w:val="center"/>
          </w:tcPr>
          <w:p w14:paraId="356EB988">
            <w:pPr>
              <w:pStyle w:val="4"/>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投标人在报价时应综合考虑，由中标单位在领取中标通知书之前一次性支付给招标代理机构，计入投标报价内。</w:t>
            </w:r>
          </w:p>
          <w:p w14:paraId="46DD9C6D">
            <w:pPr>
              <w:pStyle w:val="4"/>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收费依据“计价格[2002]1980号”文，本项目按照15000元计取</w:t>
            </w:r>
            <w:r>
              <w:rPr>
                <w:rFonts w:hint="eastAsia" w:ascii="宋体" w:hAnsi="宋体" w:cs="宋体"/>
                <w:b/>
                <w:bCs/>
                <w:color w:val="auto"/>
                <w:sz w:val="22"/>
                <w:szCs w:val="22"/>
                <w:highlight w:val="none"/>
                <w:lang w:eastAsia="zh-CN"/>
              </w:rPr>
              <w:t>。</w:t>
            </w:r>
          </w:p>
        </w:tc>
      </w:tr>
      <w:tr w14:paraId="25E7D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2D382964">
            <w:pPr>
              <w:spacing w:line="30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en-US" w:eastAsia="zh-CN"/>
              </w:rPr>
              <w:t>1</w:t>
            </w:r>
          </w:p>
        </w:tc>
        <w:tc>
          <w:tcPr>
            <w:tcW w:w="1750" w:type="dxa"/>
            <w:tcBorders>
              <w:tl2br w:val="nil"/>
              <w:tr2bl w:val="nil"/>
            </w:tcBorders>
            <w:noWrap w:val="0"/>
            <w:vAlign w:val="center"/>
          </w:tcPr>
          <w:p w14:paraId="38310D56">
            <w:pP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注意事项</w:t>
            </w:r>
          </w:p>
        </w:tc>
        <w:tc>
          <w:tcPr>
            <w:tcW w:w="6802" w:type="dxa"/>
            <w:tcBorders>
              <w:tl2br w:val="nil"/>
              <w:tr2bl w:val="nil"/>
            </w:tcBorders>
            <w:noWrap w:val="0"/>
            <w:vAlign w:val="center"/>
          </w:tcPr>
          <w:p w14:paraId="4114B0CB">
            <w:pPr>
              <w:spacing w:line="24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本采购文件中如有前后不一致的，一律以本《投标供应商须知前附表》规定为准；</w:t>
            </w:r>
          </w:p>
          <w:p w14:paraId="451BEB69">
            <w:pPr>
              <w:spacing w:line="24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（2）</w:t>
            </w:r>
            <w:r>
              <w:rPr>
                <w:rFonts w:hint="eastAsia" w:ascii="宋体" w:hAnsi="宋体" w:cs="宋体"/>
                <w:color w:val="auto"/>
                <w:kern w:val="0"/>
                <w:sz w:val="22"/>
                <w:szCs w:val="22"/>
                <w:highlight w:val="none"/>
              </w:rPr>
              <w:t>本采购文件涉及的时间为“北京时间”；</w:t>
            </w:r>
          </w:p>
          <w:p w14:paraId="53049645">
            <w:pPr>
              <w:spacing w:line="24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本采购文件涉及的货币为“人民币”；</w:t>
            </w:r>
          </w:p>
          <w:p w14:paraId="1F6154B7">
            <w:pPr>
              <w:spacing w:line="24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0"/>
                <w:sz w:val="22"/>
                <w:szCs w:val="22"/>
                <w:highlight w:val="none"/>
              </w:rPr>
              <w:t>采购文件资料费用：根据省物价局有关文件规定，采购代理机构将收取本项目采购文件的工本费,金额详见</w:t>
            </w:r>
            <w:r>
              <w:rPr>
                <w:rFonts w:hint="eastAsia" w:ascii="宋体" w:hAnsi="宋体" w:cs="宋体"/>
                <w:color w:val="auto"/>
                <w:sz w:val="22"/>
                <w:szCs w:val="22"/>
                <w:highlight w:val="none"/>
              </w:rPr>
              <w:t>采购公告规定</w:t>
            </w:r>
            <w:r>
              <w:rPr>
                <w:rFonts w:hint="eastAsia" w:ascii="宋体" w:hAnsi="宋体" w:cs="宋体"/>
                <w:color w:val="auto"/>
                <w:kern w:val="0"/>
                <w:sz w:val="22"/>
                <w:szCs w:val="22"/>
                <w:highlight w:val="none"/>
              </w:rPr>
              <w:t>。</w:t>
            </w:r>
          </w:p>
          <w:p w14:paraId="7F99A21A">
            <w:pPr>
              <w:pStyle w:val="4"/>
              <w:spacing w:line="240" w:lineRule="auto"/>
              <w:ind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 xml:space="preserve"> (5)本项目中标人在领取中标通知书时，须提供一正五副的投标文件给采购代理机构以及U盘（两个）形式提供投标文件正本（盖章版）扫描件。</w:t>
            </w:r>
          </w:p>
        </w:tc>
      </w:tr>
      <w:tr w14:paraId="63925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79" w:type="dxa"/>
            <w:bottom w:w="57" w:type="dxa"/>
            <w:right w:w="79" w:type="dxa"/>
          </w:tblCellMar>
        </w:tblPrEx>
        <w:trPr>
          <w:trHeight w:val="454" w:hRule="atLeast"/>
        </w:trPr>
        <w:tc>
          <w:tcPr>
            <w:tcW w:w="681" w:type="dxa"/>
            <w:tcBorders>
              <w:tl2br w:val="nil"/>
              <w:tr2bl w:val="nil"/>
            </w:tcBorders>
            <w:noWrap w:val="0"/>
            <w:vAlign w:val="center"/>
          </w:tcPr>
          <w:p w14:paraId="4051AD0E">
            <w:pPr>
              <w:spacing w:line="30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en-US" w:eastAsia="zh-CN"/>
              </w:rPr>
              <w:t>2</w:t>
            </w:r>
          </w:p>
        </w:tc>
        <w:tc>
          <w:tcPr>
            <w:tcW w:w="1750" w:type="dxa"/>
            <w:tcBorders>
              <w:tl2br w:val="nil"/>
              <w:tr2bl w:val="nil"/>
            </w:tcBorders>
            <w:noWrap w:val="0"/>
            <w:vAlign w:val="center"/>
          </w:tcPr>
          <w:p w14:paraId="268E1206">
            <w:pPr>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解释顺序</w:t>
            </w:r>
          </w:p>
        </w:tc>
        <w:tc>
          <w:tcPr>
            <w:tcW w:w="6802" w:type="dxa"/>
            <w:tcBorders>
              <w:tl2br w:val="nil"/>
              <w:tr2bl w:val="nil"/>
            </w:tcBorders>
            <w:noWrap w:val="0"/>
            <w:vAlign w:val="center"/>
          </w:tcPr>
          <w:p w14:paraId="4999CF70">
            <w:pPr>
              <w:snapToGrid w:val="0"/>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（1）发布采购公告的媒介网站供下载的采购文件与纸质采购文件不一致的，以上传至网站的采购文件为准。</w:t>
            </w:r>
          </w:p>
          <w:p w14:paraId="01E823B8">
            <w:pPr>
              <w:snapToGrid w:val="0"/>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2）构成本采购文件的各个组成文件应互为解释，互为说明；如有不明确或不一致，构成合同文件组成内容的，以承销协议约定内容为准，且以承销协议约定的合同文件优先顺序解释；在采购投标阶段，按采购公告、投标供应商须知、评标办法、投标文件格式的先后顺序解释；同一组成文件中就同一事项的规定或约定不一致的，以在采购文件中编排顺序在后者为准；同一组成文件不同版本之间有不一致的，以形成时间在后者为准。按本款前述规定仍不能形成结论的，由采购人负责解释。</w:t>
            </w:r>
          </w:p>
        </w:tc>
      </w:tr>
    </w:tbl>
    <w:p w14:paraId="1801C768">
      <w:pPr>
        <w:pStyle w:val="6"/>
        <w:numPr>
          <w:ilvl w:val="0"/>
          <w:numId w:val="0"/>
        </w:numPr>
        <w:overflowPunct w:val="0"/>
        <w:ind w:leftChars="0"/>
        <w:jc w:val="center"/>
        <w:rPr>
          <w:rFonts w:ascii="宋体" w:hAnsi="宋体" w:eastAsia="宋体" w:cs="宋体"/>
          <w:color w:val="auto"/>
          <w:sz w:val="36"/>
          <w:szCs w:val="36"/>
          <w:highlight w:val="none"/>
        </w:rPr>
      </w:pPr>
      <w:bookmarkStart w:id="42" w:name="_Toc221374622"/>
      <w:bookmarkStart w:id="43" w:name="_Toc221356947"/>
      <w:bookmarkStart w:id="44" w:name="_Toc221423615"/>
      <w:bookmarkStart w:id="45" w:name="_Toc223715994"/>
      <w:bookmarkStart w:id="46" w:name="_Toc252194848"/>
      <w:bookmarkStart w:id="47" w:name="_Toc246261261"/>
      <w:bookmarkStart w:id="48" w:name="_Toc245191310"/>
      <w:bookmarkStart w:id="49" w:name="_Toc251592733"/>
      <w:bookmarkStart w:id="50" w:name="_Toc245722277"/>
      <w:bookmarkStart w:id="51" w:name="_Toc221356882"/>
      <w:bookmarkStart w:id="52" w:name="_Toc239145350"/>
      <w:bookmarkStart w:id="53" w:name="_Toc251325210"/>
      <w:bookmarkStart w:id="54" w:name="_Toc241404198"/>
      <w:bookmarkStart w:id="55" w:name="_Toc222114875"/>
      <w:r>
        <w:rPr>
          <w:rFonts w:hint="eastAsia" w:ascii="宋体" w:hAnsi="宋体" w:eastAsia="宋体" w:cs="宋体"/>
          <w:color w:val="auto"/>
          <w:sz w:val="36"/>
          <w:szCs w:val="36"/>
          <w:highlight w:val="none"/>
        </w:rPr>
        <w:br w:type="page"/>
      </w:r>
      <w:bookmarkStart w:id="56" w:name="_Toc142923320"/>
      <w:bookmarkStart w:id="57" w:name="_Toc25474"/>
      <w:bookmarkStart w:id="58" w:name="_Toc1566"/>
      <w:bookmarkStart w:id="59" w:name="_Toc24481"/>
      <w:bookmarkStart w:id="60" w:name="_Toc9748"/>
      <w:bookmarkStart w:id="61" w:name="_Toc28592"/>
      <w:bookmarkStart w:id="62" w:name="_Toc8514"/>
      <w:r>
        <w:rPr>
          <w:rFonts w:hint="eastAsia" w:ascii="宋体" w:hAnsi="宋体" w:eastAsia="宋体" w:cs="宋体"/>
          <w:color w:val="auto"/>
          <w:sz w:val="36"/>
          <w:szCs w:val="36"/>
          <w:highlight w:val="none"/>
        </w:rPr>
        <w:t>第一部分    投标供应商须知</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029FED4">
      <w:pPr>
        <w:overflowPunct w:val="0"/>
        <w:spacing w:before="100" w:beforeAutospacing="1" w:after="100" w:afterAutospacing="1" w:line="440" w:lineRule="exact"/>
        <w:jc w:val="center"/>
        <w:outlineLvl w:val="0"/>
        <w:rPr>
          <w:rFonts w:ascii="宋体" w:hAnsi="宋体" w:cs="宋体"/>
          <w:b/>
          <w:bCs/>
          <w:color w:val="auto"/>
          <w:sz w:val="24"/>
          <w:szCs w:val="24"/>
          <w:highlight w:val="none"/>
        </w:rPr>
      </w:pPr>
      <w:bookmarkStart w:id="63" w:name="_Toc3364"/>
      <w:bookmarkStart w:id="64" w:name="_Toc241404199"/>
      <w:bookmarkStart w:id="65" w:name="_Toc245722278"/>
      <w:bookmarkStart w:id="66" w:name="_Toc246261262"/>
      <w:bookmarkStart w:id="67" w:name="_Toc221356948"/>
      <w:bookmarkStart w:id="68" w:name="_Toc31127"/>
      <w:bookmarkStart w:id="69" w:name="_Toc251325211"/>
      <w:bookmarkStart w:id="70" w:name="_Toc26565"/>
      <w:bookmarkStart w:id="71" w:name="_Toc222114876"/>
      <w:bookmarkStart w:id="72" w:name="_Toc221374623"/>
      <w:bookmarkStart w:id="73" w:name="_Toc245191311"/>
      <w:bookmarkStart w:id="74" w:name="_Toc239145351"/>
      <w:bookmarkStart w:id="75" w:name="_Toc221356883"/>
      <w:bookmarkStart w:id="76" w:name="_Toc2606"/>
      <w:bookmarkStart w:id="77" w:name="_Toc252194849"/>
      <w:bookmarkStart w:id="78" w:name="_Toc221423616"/>
      <w:bookmarkStart w:id="79" w:name="_Toc7806"/>
      <w:bookmarkStart w:id="80" w:name="_Toc142923321"/>
      <w:bookmarkStart w:id="81" w:name="_Toc1707"/>
      <w:bookmarkStart w:id="82" w:name="_Toc223715995"/>
      <w:bookmarkStart w:id="83" w:name="_Toc251592734"/>
      <w:r>
        <w:rPr>
          <w:rFonts w:hint="eastAsia" w:ascii="宋体" w:hAnsi="宋体" w:cs="宋体"/>
          <w:b/>
          <w:bCs/>
          <w:color w:val="auto"/>
          <w:sz w:val="24"/>
          <w:szCs w:val="24"/>
          <w:highlight w:val="none"/>
        </w:rPr>
        <w:t>一、 说明</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BAFA24F">
      <w:pPr>
        <w:numPr>
          <w:ilvl w:val="0"/>
          <w:numId w:val="2"/>
        </w:numPr>
        <w:tabs>
          <w:tab w:val="left" w:pos="540"/>
          <w:tab w:val="left" w:pos="900"/>
          <w:tab w:val="clear" w:pos="420"/>
        </w:tabs>
        <w:overflowPunct w:val="0"/>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本次采购按照《温州市</w:t>
      </w:r>
      <w:r>
        <w:rPr>
          <w:rFonts w:hint="default" w:ascii="宋体" w:hAnsi="宋体" w:cs="宋体"/>
          <w:color w:val="auto"/>
          <w:sz w:val="22"/>
          <w:szCs w:val="22"/>
          <w:highlight w:val="none"/>
        </w:rPr>
        <w:t>市属</w:t>
      </w:r>
      <w:r>
        <w:rPr>
          <w:rFonts w:hint="eastAsia" w:ascii="宋体" w:hAnsi="宋体" w:cs="宋体"/>
          <w:color w:val="auto"/>
          <w:sz w:val="22"/>
          <w:szCs w:val="22"/>
          <w:highlight w:val="none"/>
        </w:rPr>
        <w:t>国有企业采购管理办法（试行）》并参照相关法律法规组织和实施。</w:t>
      </w:r>
    </w:p>
    <w:p w14:paraId="36D069D2">
      <w:pPr>
        <w:numPr>
          <w:ilvl w:val="0"/>
          <w:numId w:val="2"/>
        </w:numPr>
        <w:tabs>
          <w:tab w:val="left" w:pos="540"/>
          <w:tab w:val="left" w:pos="900"/>
          <w:tab w:val="clear" w:pos="420"/>
        </w:tabs>
        <w:overflowPunct w:val="0"/>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合格投标供应商要求，以本项目采购公告及《投标供应商须知前附表》表述为准。</w:t>
      </w:r>
    </w:p>
    <w:p w14:paraId="6B17AFA8">
      <w:pPr>
        <w:numPr>
          <w:ilvl w:val="0"/>
          <w:numId w:val="2"/>
        </w:numPr>
        <w:tabs>
          <w:tab w:val="left" w:pos="540"/>
          <w:tab w:val="left" w:pos="900"/>
          <w:tab w:val="clear" w:pos="420"/>
        </w:tabs>
        <w:overflowPunct w:val="0"/>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投标供应商代表</w:t>
      </w:r>
    </w:p>
    <w:p w14:paraId="65DFB163">
      <w:pPr>
        <w:overflowPunct w:val="0"/>
        <w:spacing w:line="360" w:lineRule="auto"/>
        <w:ind w:left="626" w:leftChars="261"/>
        <w:rPr>
          <w:rFonts w:ascii="宋体" w:hAnsi="宋体" w:cs="宋体"/>
          <w:color w:val="auto"/>
          <w:sz w:val="22"/>
          <w:szCs w:val="22"/>
          <w:highlight w:val="none"/>
        </w:rPr>
      </w:pPr>
      <w:r>
        <w:rPr>
          <w:rFonts w:hint="eastAsia" w:ascii="宋体" w:hAnsi="宋体" w:cs="宋体"/>
          <w:color w:val="auto"/>
          <w:sz w:val="22"/>
          <w:szCs w:val="22"/>
          <w:highlight w:val="none"/>
        </w:rPr>
        <w:t>指全权代表投标供应商参加投标活动并签署（签字或盖章）投标文件的人，如果投标供应商代表不是法定代表人（或单位负责人），须持有《法定代表人（或单位负责人）授权书》。</w:t>
      </w:r>
    </w:p>
    <w:p w14:paraId="5BBD6027">
      <w:pPr>
        <w:numPr>
          <w:ilvl w:val="0"/>
          <w:numId w:val="2"/>
        </w:numPr>
        <w:tabs>
          <w:tab w:val="left" w:pos="540"/>
          <w:tab w:val="left" w:pos="900"/>
          <w:tab w:val="clear" w:pos="420"/>
        </w:tabs>
        <w:overflowPunct w:val="0"/>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投标费用</w:t>
      </w:r>
    </w:p>
    <w:p w14:paraId="27F8948A">
      <w:pPr>
        <w:overflowPunct w:val="0"/>
        <w:spacing w:line="360" w:lineRule="auto"/>
        <w:ind w:left="626" w:leftChars="261"/>
        <w:rPr>
          <w:rFonts w:ascii="宋体" w:hAnsi="宋体" w:cs="宋体"/>
          <w:color w:val="auto"/>
          <w:sz w:val="22"/>
          <w:szCs w:val="22"/>
          <w:highlight w:val="none"/>
        </w:rPr>
      </w:pPr>
      <w:r>
        <w:rPr>
          <w:rFonts w:hint="eastAsia" w:ascii="宋体" w:hAnsi="宋体" w:cs="宋体"/>
          <w:color w:val="auto"/>
          <w:sz w:val="22"/>
          <w:szCs w:val="22"/>
          <w:highlight w:val="none"/>
        </w:rPr>
        <w:t>投标供应商应承担所有与准备和参加投标有关费用，不论投标的结果如何，采购人和采购代理机构均无义务和责任承担这些费用。</w:t>
      </w:r>
    </w:p>
    <w:p w14:paraId="5963D1BF">
      <w:pPr>
        <w:overflowPunct w:val="0"/>
        <w:spacing w:before="100" w:beforeAutospacing="1" w:after="100" w:afterAutospacing="1" w:line="360" w:lineRule="auto"/>
        <w:jc w:val="center"/>
        <w:outlineLvl w:val="0"/>
        <w:rPr>
          <w:rFonts w:ascii="宋体" w:hAnsi="宋体" w:cs="宋体"/>
          <w:b/>
          <w:bCs/>
          <w:color w:val="auto"/>
          <w:sz w:val="24"/>
          <w:szCs w:val="24"/>
          <w:highlight w:val="none"/>
        </w:rPr>
      </w:pPr>
      <w:bookmarkStart w:id="84" w:name="_Toc24735"/>
      <w:bookmarkStart w:id="85" w:name="_Toc245191312"/>
      <w:bookmarkStart w:id="86" w:name="_Toc142923322"/>
      <w:bookmarkStart w:id="87" w:name="_Toc18990"/>
      <w:bookmarkStart w:id="88" w:name="_Toc19062"/>
      <w:bookmarkStart w:id="89" w:name="_Toc221356949"/>
      <w:bookmarkStart w:id="90" w:name="_Toc239145352"/>
      <w:bookmarkStart w:id="91" w:name="_Toc246261263"/>
      <w:bookmarkStart w:id="92" w:name="_Toc251325212"/>
      <w:bookmarkStart w:id="93" w:name="_Toc221374624"/>
      <w:bookmarkStart w:id="94" w:name="_Toc18394"/>
      <w:bookmarkStart w:id="95" w:name="_Toc252194850"/>
      <w:bookmarkStart w:id="96" w:name="_Toc245722279"/>
      <w:bookmarkStart w:id="97" w:name="_Toc221356884"/>
      <w:bookmarkStart w:id="98" w:name="_Toc222114877"/>
      <w:bookmarkStart w:id="99" w:name="_Toc241404200"/>
      <w:bookmarkStart w:id="100" w:name="_Toc17257"/>
      <w:bookmarkStart w:id="101" w:name="_Toc223715996"/>
      <w:bookmarkStart w:id="102" w:name="_Toc17530"/>
      <w:bookmarkStart w:id="103" w:name="_Toc251592735"/>
      <w:bookmarkStart w:id="104" w:name="_Toc221423617"/>
      <w:r>
        <w:rPr>
          <w:rFonts w:hint="eastAsia" w:ascii="宋体" w:hAnsi="宋体" w:cs="宋体"/>
          <w:b/>
          <w:bCs/>
          <w:color w:val="auto"/>
          <w:sz w:val="24"/>
          <w:szCs w:val="24"/>
          <w:highlight w:val="none"/>
        </w:rPr>
        <w:t>二、 采购文件</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1B8A912">
      <w:pPr>
        <w:numPr>
          <w:ilvl w:val="0"/>
          <w:numId w:val="3"/>
        </w:numPr>
        <w:tabs>
          <w:tab w:val="left" w:pos="420"/>
          <w:tab w:val="left" w:pos="540"/>
        </w:tabs>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采购文件由采购文件目录所列内容及相关资料组成。</w:t>
      </w:r>
    </w:p>
    <w:p w14:paraId="22C87D31">
      <w:pPr>
        <w:numPr>
          <w:ilvl w:val="0"/>
          <w:numId w:val="3"/>
        </w:numPr>
        <w:tabs>
          <w:tab w:val="left" w:pos="420"/>
          <w:tab w:val="left" w:pos="540"/>
        </w:tabs>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采购文件的澄清和质疑</w:t>
      </w:r>
    </w:p>
    <w:p w14:paraId="218579C4">
      <w:pPr>
        <w:overflowPunct w:val="0"/>
        <w:spacing w:line="360" w:lineRule="auto"/>
        <w:ind w:left="502" w:leftChars="209"/>
        <w:rPr>
          <w:rFonts w:ascii="宋体" w:hAnsi="宋体" w:cs="宋体"/>
          <w:color w:val="auto"/>
          <w:sz w:val="22"/>
          <w:szCs w:val="22"/>
          <w:highlight w:val="none"/>
        </w:rPr>
      </w:pPr>
      <w:r>
        <w:rPr>
          <w:rFonts w:hint="eastAsia" w:ascii="宋体" w:hAnsi="宋体" w:cs="宋体"/>
          <w:color w:val="auto"/>
          <w:sz w:val="22"/>
          <w:szCs w:val="22"/>
          <w:highlight w:val="none"/>
        </w:rPr>
        <w:t>投标供应商对采购文件如有疑点或未尽事宜要求澄清，或认为有必要进行说明或交流，投标供应商可以在知道或应知其权益受到损害之日起7个工作日内，以书面形式（包括信函、传真、下同）向采购人提出质疑，但质疑不得迟于采购文件规定的询疑截止时间前使采购人收到，采购人将用书面形式予以答复。如有必要，可将不说明问题来源的答复发给各有关投标供应商或召开答疑会。如果标书答疑期内未收到有关疑问，视为投标供应商完全同意采购文件所有条款，如对于采购文件相关表述以及未尽事宜如有争议，以采购人解释为准。</w:t>
      </w:r>
    </w:p>
    <w:p w14:paraId="7816CFDD">
      <w:pPr>
        <w:numPr>
          <w:ilvl w:val="0"/>
          <w:numId w:val="3"/>
        </w:numPr>
        <w:tabs>
          <w:tab w:val="left" w:pos="420"/>
          <w:tab w:val="left" w:pos="540"/>
        </w:tabs>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采购文件的修改</w:t>
      </w:r>
    </w:p>
    <w:p w14:paraId="5F3B70F3">
      <w:pPr>
        <w:numPr>
          <w:ilvl w:val="1"/>
          <w:numId w:val="4"/>
        </w:numPr>
        <w:tabs>
          <w:tab w:val="left" w:pos="426"/>
          <w:tab w:val="left" w:pos="992"/>
        </w:tabs>
        <w:overflowPunct w:val="0"/>
        <w:spacing w:line="360" w:lineRule="auto"/>
        <w:ind w:left="425" w:hanging="424" w:hangingChars="193"/>
        <w:rPr>
          <w:rFonts w:ascii="宋体" w:hAnsi="宋体" w:cs="宋体"/>
          <w:color w:val="auto"/>
          <w:sz w:val="22"/>
          <w:szCs w:val="22"/>
          <w:highlight w:val="none"/>
        </w:rPr>
      </w:pPr>
      <w:r>
        <w:rPr>
          <w:rFonts w:hint="eastAsia" w:ascii="宋体" w:hAnsi="宋体" w:cs="宋体"/>
          <w:color w:val="auto"/>
          <w:sz w:val="22"/>
          <w:szCs w:val="22"/>
          <w:highlight w:val="none"/>
        </w:rPr>
        <w:t>采购人或者采购代理机构对已发出的采购文件进行必要的澄清或者修改，且澄清或者修改的内容可能影响投标文件编制的，应当在投标文件递交截止时间15日前，在指定媒介上发布更正公告，政采云系统将自动发送消息通知所有获取采购文件的潜在投标供应商，不足15日的，采购人或者采购代理机构应当顺延提交投标文件的截止时间。该澄清或修改内容为采购文件的组成部分。</w:t>
      </w:r>
    </w:p>
    <w:p w14:paraId="29E7818D">
      <w:pPr>
        <w:numPr>
          <w:ilvl w:val="1"/>
          <w:numId w:val="4"/>
        </w:numPr>
        <w:tabs>
          <w:tab w:val="left" w:pos="426"/>
          <w:tab w:val="left" w:pos="992"/>
        </w:tabs>
        <w:overflowPunct w:val="0"/>
        <w:spacing w:line="360" w:lineRule="auto"/>
        <w:ind w:left="425" w:hanging="424" w:hangingChars="193"/>
        <w:rPr>
          <w:rFonts w:ascii="宋体" w:hAnsi="宋体" w:cs="宋体"/>
          <w:color w:val="auto"/>
          <w:sz w:val="22"/>
          <w:szCs w:val="22"/>
          <w:highlight w:val="none"/>
        </w:rPr>
      </w:pPr>
      <w:bookmarkStart w:id="105" w:name="_Toc245722280"/>
      <w:bookmarkStart w:id="106" w:name="_Toc223715997"/>
      <w:bookmarkStart w:id="107" w:name="_Toc221423618"/>
      <w:bookmarkStart w:id="108" w:name="_Toc221374625"/>
      <w:bookmarkStart w:id="109" w:name="_Toc251592736"/>
      <w:bookmarkStart w:id="110" w:name="_Toc246261264"/>
      <w:bookmarkStart w:id="111" w:name="_Toc252194851"/>
      <w:bookmarkStart w:id="112" w:name="_Toc221356885"/>
      <w:bookmarkStart w:id="113" w:name="_Toc245191313"/>
      <w:bookmarkStart w:id="114" w:name="_Toc222114878"/>
      <w:bookmarkStart w:id="115" w:name="_Toc28399"/>
      <w:bookmarkStart w:id="116" w:name="_Toc251325213"/>
      <w:bookmarkStart w:id="117" w:name="_Toc221356950"/>
      <w:bookmarkStart w:id="118" w:name="_Toc239145353"/>
      <w:bookmarkStart w:id="119" w:name="_Toc241404201"/>
      <w:bookmarkStart w:id="120" w:name="_Toc12980"/>
      <w:r>
        <w:rPr>
          <w:rFonts w:hint="eastAsia" w:ascii="宋体" w:hAnsi="宋体" w:cs="宋体"/>
          <w:color w:val="auto"/>
          <w:sz w:val="22"/>
          <w:szCs w:val="22"/>
          <w:highlight w:val="none"/>
        </w:rPr>
        <w:t xml:space="preserve"> 本项目投标供应商均可在本项目申请获取采购文件，并按采购文件规定的时间、地点递交投标文件（采购文件申请获取网址：http://www.zjzfcg.gov.cn/；采购文件如有补充更正均见http://www.zjzfcg.gov.cn/）。投标供应商须在开标截止时间前自行查看是否有补充更正文件，并按补充更正文件要求投标，否则责任自负。</w:t>
      </w:r>
    </w:p>
    <w:p w14:paraId="41EC1D4D">
      <w:pPr>
        <w:overflowPunct w:val="0"/>
        <w:spacing w:before="100" w:beforeAutospacing="1" w:after="100" w:afterAutospacing="1" w:line="360" w:lineRule="auto"/>
        <w:jc w:val="center"/>
        <w:outlineLvl w:val="0"/>
        <w:rPr>
          <w:rFonts w:ascii="宋体" w:hAnsi="宋体" w:cs="宋体"/>
          <w:b/>
          <w:bCs/>
          <w:color w:val="auto"/>
          <w:sz w:val="24"/>
          <w:szCs w:val="24"/>
          <w:highlight w:val="none"/>
        </w:rPr>
      </w:pPr>
      <w:bookmarkStart w:id="121" w:name="_Toc24658"/>
      <w:bookmarkStart w:id="122" w:name="_Toc30252"/>
      <w:bookmarkStart w:id="123" w:name="_Toc142923323"/>
      <w:bookmarkStart w:id="124" w:name="_Toc18583"/>
      <w:bookmarkStart w:id="125" w:name="_Toc19113"/>
      <w:r>
        <w:rPr>
          <w:rFonts w:hint="eastAsia" w:ascii="宋体" w:hAnsi="宋体" w:cs="宋体"/>
          <w:b/>
          <w:bCs/>
          <w:color w:val="auto"/>
          <w:sz w:val="24"/>
          <w:szCs w:val="24"/>
          <w:highlight w:val="none"/>
        </w:rPr>
        <w:t>三、 投标文件的编制</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78A14FDD">
      <w:pPr>
        <w:numPr>
          <w:ilvl w:val="0"/>
          <w:numId w:val="3"/>
        </w:numPr>
        <w:tabs>
          <w:tab w:val="left" w:pos="420"/>
          <w:tab w:val="left" w:pos="540"/>
        </w:tabs>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供应商应认真阅读采购文件中所有事项格式、条款和技术规范等。投标供应商没有按照采购文件要求提交全部资料，或者没有对采购文件各个方面做出实质性响应，导致投标被拒绝的风险由投标供应商自行承担。</w:t>
      </w:r>
    </w:p>
    <w:p w14:paraId="42D1CCCC">
      <w:pPr>
        <w:numPr>
          <w:ilvl w:val="0"/>
          <w:numId w:val="3"/>
        </w:numPr>
        <w:tabs>
          <w:tab w:val="left" w:pos="420"/>
          <w:tab w:val="left" w:pos="540"/>
        </w:tabs>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投标供应商法律责任</w:t>
      </w:r>
    </w:p>
    <w:p w14:paraId="5F1E17AD">
      <w:pPr>
        <w:tabs>
          <w:tab w:val="left" w:pos="540"/>
          <w:tab w:val="left" w:pos="900"/>
        </w:tabs>
        <w:overflowPunct w:val="0"/>
        <w:spacing w:line="360" w:lineRule="auto"/>
        <w:ind w:left="440" w:hanging="440" w:hangingChars="200"/>
        <w:rPr>
          <w:rFonts w:ascii="宋体" w:hAnsi="宋体" w:cs="宋体"/>
          <w:color w:val="auto"/>
          <w:sz w:val="22"/>
          <w:szCs w:val="22"/>
          <w:highlight w:val="none"/>
        </w:rPr>
      </w:pPr>
      <w:r>
        <w:rPr>
          <w:rFonts w:hint="eastAsia" w:ascii="宋体" w:hAnsi="宋体" w:cs="宋体"/>
          <w:color w:val="auto"/>
          <w:sz w:val="22"/>
          <w:szCs w:val="22"/>
          <w:highlight w:val="none"/>
        </w:rPr>
        <w:t>9.1</w:t>
      </w:r>
      <w:r>
        <w:rPr>
          <w:rFonts w:hint="eastAsia" w:ascii="宋体" w:hAnsi="宋体" w:cs="宋体"/>
          <w:color w:val="auto"/>
          <w:sz w:val="22"/>
          <w:szCs w:val="22"/>
          <w:highlight w:val="none"/>
        </w:rPr>
        <w:tab/>
      </w:r>
      <w:r>
        <w:rPr>
          <w:rFonts w:hint="eastAsia" w:ascii="宋体" w:hAnsi="宋体" w:cs="宋体"/>
          <w:color w:val="auto"/>
          <w:sz w:val="22"/>
          <w:szCs w:val="22"/>
          <w:highlight w:val="none"/>
        </w:rPr>
        <w:t>投标供应商应保证所提供文件资料的真实性，所有文件资料必须是针对本次投标的。如发现投标供应商提供了虚假文件资料，其投标将被拒绝，并自行承担相应的法律责任。</w:t>
      </w:r>
    </w:p>
    <w:p w14:paraId="1E4D510C">
      <w:pPr>
        <w:numPr>
          <w:ilvl w:val="0"/>
          <w:numId w:val="3"/>
        </w:numPr>
        <w:tabs>
          <w:tab w:val="left" w:pos="420"/>
          <w:tab w:val="left" w:pos="540"/>
        </w:tabs>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投标文件的构成：</w:t>
      </w:r>
    </w:p>
    <w:p w14:paraId="4245F6F4">
      <w:pPr>
        <w:numPr>
          <w:ilvl w:val="1"/>
          <w:numId w:val="5"/>
        </w:numPr>
        <w:tabs>
          <w:tab w:val="left" w:pos="535"/>
          <w:tab w:val="clear" w:pos="992"/>
        </w:tabs>
        <w:overflowPunct w:val="0"/>
        <w:spacing w:line="360" w:lineRule="auto"/>
        <w:ind w:left="535" w:hanging="535"/>
        <w:rPr>
          <w:rFonts w:ascii="宋体" w:hAnsi="宋体" w:cs="宋体"/>
          <w:b/>
          <w:color w:val="auto"/>
          <w:sz w:val="22"/>
          <w:szCs w:val="22"/>
          <w:highlight w:val="none"/>
        </w:rPr>
      </w:pPr>
      <w:r>
        <w:rPr>
          <w:rFonts w:hint="eastAsia" w:ascii="宋体" w:hAnsi="宋体" w:cs="宋体"/>
          <w:b/>
          <w:color w:val="auto"/>
          <w:sz w:val="22"/>
          <w:szCs w:val="22"/>
          <w:highlight w:val="none"/>
        </w:rPr>
        <w:t xml:space="preserve">  投标文件由“资格文件”、“报价文件”和“商务技术文件”三个部分组成：</w:t>
      </w:r>
    </w:p>
    <w:tbl>
      <w:tblPr>
        <w:tblStyle w:val="24"/>
        <w:tblW w:w="922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12"/>
        <w:gridCol w:w="1604"/>
      </w:tblGrid>
      <w:tr w14:paraId="3DD8F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7DC41DD2">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6912" w:type="dxa"/>
            <w:tcBorders>
              <w:tl2br w:val="nil"/>
              <w:tr2bl w:val="nil"/>
            </w:tcBorders>
            <w:noWrap w:val="0"/>
            <w:vAlign w:val="center"/>
          </w:tcPr>
          <w:p w14:paraId="6B844473">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1604" w:type="dxa"/>
            <w:tcBorders>
              <w:tl2br w:val="nil"/>
              <w:tr2bl w:val="nil"/>
            </w:tcBorders>
            <w:noWrap w:val="0"/>
            <w:vAlign w:val="center"/>
          </w:tcPr>
          <w:p w14:paraId="791C2E4A">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2C788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3BB3F087">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1</w:t>
            </w:r>
          </w:p>
        </w:tc>
        <w:tc>
          <w:tcPr>
            <w:tcW w:w="6912" w:type="dxa"/>
            <w:tcBorders>
              <w:tl2br w:val="nil"/>
              <w:tr2bl w:val="nil"/>
            </w:tcBorders>
            <w:noWrap w:val="0"/>
            <w:vAlign w:val="center"/>
          </w:tcPr>
          <w:p w14:paraId="1FC3B709">
            <w:pPr>
              <w:spacing w:line="360" w:lineRule="auto"/>
              <w:jc w:val="center"/>
              <w:rPr>
                <w:rFonts w:ascii="宋体" w:hAnsi="宋体" w:cs="宋体"/>
                <w:b/>
                <w:color w:val="auto"/>
                <w:sz w:val="22"/>
                <w:szCs w:val="22"/>
                <w:highlight w:val="none"/>
              </w:rPr>
            </w:pPr>
            <w:r>
              <w:rPr>
                <w:rFonts w:hint="eastAsia" w:ascii="宋体" w:hAnsi="宋体" w:cs="宋体"/>
                <w:color w:val="auto"/>
                <w:sz w:val="22"/>
                <w:szCs w:val="22"/>
                <w:highlight w:val="none"/>
                <w:u w:val="single"/>
              </w:rPr>
              <w:t>▲</w:t>
            </w:r>
            <w:r>
              <w:rPr>
                <w:rFonts w:hint="eastAsia" w:ascii="宋体" w:hAnsi="宋体" w:cs="宋体"/>
                <w:b/>
                <w:color w:val="auto"/>
                <w:sz w:val="22"/>
                <w:szCs w:val="22"/>
                <w:highlight w:val="none"/>
                <w:u w:val="single"/>
              </w:rPr>
              <w:t>资格文件</w:t>
            </w:r>
          </w:p>
        </w:tc>
        <w:tc>
          <w:tcPr>
            <w:tcW w:w="1604" w:type="dxa"/>
            <w:tcBorders>
              <w:tl2br w:val="nil"/>
              <w:tr2bl w:val="nil"/>
            </w:tcBorders>
            <w:noWrap w:val="0"/>
            <w:vAlign w:val="center"/>
          </w:tcPr>
          <w:p w14:paraId="116B3FB7">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附件一</w:t>
            </w:r>
          </w:p>
        </w:tc>
      </w:tr>
      <w:tr w14:paraId="1365E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124ADE4D">
            <w:pPr>
              <w:spacing w:line="360" w:lineRule="auto"/>
              <w:jc w:val="right"/>
              <w:rPr>
                <w:rFonts w:ascii="宋体" w:hAnsi="宋体" w:cs="宋体"/>
                <w:b/>
                <w:color w:val="auto"/>
                <w:sz w:val="22"/>
                <w:szCs w:val="22"/>
                <w:highlight w:val="none"/>
                <w:u w:val="single"/>
              </w:rPr>
            </w:pPr>
            <w:r>
              <w:rPr>
                <w:rFonts w:hint="eastAsia" w:ascii="宋体" w:hAnsi="宋体" w:cs="宋体"/>
                <w:color w:val="auto"/>
                <w:sz w:val="22"/>
                <w:szCs w:val="22"/>
                <w:highlight w:val="none"/>
              </w:rPr>
              <w:t>1）</w:t>
            </w:r>
          </w:p>
        </w:tc>
        <w:tc>
          <w:tcPr>
            <w:tcW w:w="6912" w:type="dxa"/>
            <w:tcBorders>
              <w:tl2br w:val="nil"/>
              <w:tr2bl w:val="nil"/>
            </w:tcBorders>
            <w:noWrap w:val="0"/>
            <w:vAlign w:val="center"/>
          </w:tcPr>
          <w:p w14:paraId="36171E6E">
            <w:pPr>
              <w:pStyle w:val="16"/>
              <w:spacing w:line="360" w:lineRule="auto"/>
              <w:ind w:left="440" w:hanging="440"/>
              <w:rPr>
                <w:rFonts w:ascii="宋体" w:hAnsi="宋体" w:cs="宋体"/>
                <w:color w:val="auto"/>
                <w:sz w:val="22"/>
                <w:szCs w:val="22"/>
                <w:highlight w:val="none"/>
              </w:rPr>
            </w:pPr>
            <w:r>
              <w:rPr>
                <w:rFonts w:hint="eastAsia" w:ascii="宋体" w:hAnsi="宋体" w:cs="宋体"/>
                <w:color w:val="auto"/>
                <w:sz w:val="22"/>
                <w:szCs w:val="22"/>
                <w:highlight w:val="none"/>
              </w:rPr>
              <w:t>有效的营业执照（或法人登记证书）复制件加盖公章；</w:t>
            </w:r>
          </w:p>
        </w:tc>
        <w:tc>
          <w:tcPr>
            <w:tcW w:w="1604" w:type="dxa"/>
            <w:tcBorders>
              <w:tl2br w:val="nil"/>
              <w:tr2bl w:val="nil"/>
            </w:tcBorders>
            <w:noWrap w:val="0"/>
            <w:vAlign w:val="center"/>
          </w:tcPr>
          <w:p w14:paraId="1C19A26A">
            <w:pPr>
              <w:spacing w:line="360" w:lineRule="auto"/>
              <w:jc w:val="center"/>
              <w:rPr>
                <w:rFonts w:ascii="宋体" w:hAnsi="宋体" w:cs="宋体"/>
                <w:b/>
                <w:color w:val="auto"/>
                <w:sz w:val="22"/>
                <w:szCs w:val="22"/>
                <w:highlight w:val="none"/>
              </w:rPr>
            </w:pPr>
            <w:r>
              <w:rPr>
                <w:rFonts w:hint="eastAsia" w:ascii="宋体" w:hAnsi="宋体" w:cs="宋体"/>
                <w:b/>
                <w:bCs/>
                <w:color w:val="auto"/>
                <w:sz w:val="22"/>
                <w:szCs w:val="22"/>
                <w:highlight w:val="none"/>
              </w:rPr>
              <w:t>(1)</w:t>
            </w:r>
          </w:p>
        </w:tc>
      </w:tr>
      <w:tr w14:paraId="40E55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43A6551D">
            <w:pPr>
              <w:spacing w:line="360" w:lineRule="auto"/>
              <w:jc w:val="right"/>
              <w:rPr>
                <w:rFonts w:ascii="宋体" w:hAnsi="宋体" w:cs="宋体"/>
                <w:b/>
                <w:color w:val="auto"/>
                <w:sz w:val="22"/>
                <w:szCs w:val="22"/>
                <w:highlight w:val="none"/>
              </w:rPr>
            </w:pPr>
            <w:r>
              <w:rPr>
                <w:rFonts w:hint="eastAsia" w:ascii="宋体" w:hAnsi="宋体" w:cs="宋体"/>
                <w:color w:val="auto"/>
                <w:sz w:val="22"/>
                <w:szCs w:val="22"/>
                <w:highlight w:val="none"/>
              </w:rPr>
              <w:t>2）</w:t>
            </w:r>
          </w:p>
        </w:tc>
        <w:tc>
          <w:tcPr>
            <w:tcW w:w="6912" w:type="dxa"/>
            <w:tcBorders>
              <w:tl2br w:val="nil"/>
              <w:tr2bl w:val="nil"/>
            </w:tcBorders>
            <w:noWrap w:val="0"/>
            <w:vAlign w:val="center"/>
          </w:tcPr>
          <w:p w14:paraId="27839CC4">
            <w:pPr>
              <w:pStyle w:val="16"/>
              <w:spacing w:line="360" w:lineRule="auto"/>
              <w:ind w:left="440" w:hanging="440"/>
              <w:rPr>
                <w:rFonts w:ascii="宋体" w:hAnsi="宋体" w:cs="宋体"/>
                <w:color w:val="auto"/>
                <w:sz w:val="22"/>
                <w:szCs w:val="22"/>
                <w:highlight w:val="none"/>
              </w:rPr>
            </w:pPr>
            <w:r>
              <w:rPr>
                <w:rFonts w:hint="eastAsia" w:ascii="宋体" w:hAnsi="宋体" w:cs="宋体"/>
                <w:color w:val="auto"/>
                <w:sz w:val="22"/>
                <w:szCs w:val="22"/>
                <w:highlight w:val="none"/>
              </w:rPr>
              <w:t>符合参加国企采购活动应当具备的条件的承诺函;</w:t>
            </w:r>
          </w:p>
        </w:tc>
        <w:tc>
          <w:tcPr>
            <w:tcW w:w="1604" w:type="dxa"/>
            <w:tcBorders>
              <w:tl2br w:val="nil"/>
              <w:tr2bl w:val="nil"/>
            </w:tcBorders>
            <w:noWrap w:val="0"/>
            <w:vAlign w:val="center"/>
          </w:tcPr>
          <w:p w14:paraId="020906D2">
            <w:pPr>
              <w:spacing w:line="360" w:lineRule="auto"/>
              <w:jc w:val="center"/>
              <w:rPr>
                <w:rFonts w:ascii="宋体" w:hAnsi="宋体" w:cs="宋体"/>
                <w:b/>
                <w:color w:val="auto"/>
                <w:sz w:val="22"/>
                <w:szCs w:val="22"/>
                <w:highlight w:val="none"/>
              </w:rPr>
            </w:pPr>
            <w:r>
              <w:rPr>
                <w:rFonts w:hint="eastAsia" w:ascii="宋体" w:hAnsi="宋体" w:cs="宋体"/>
                <w:b/>
                <w:bCs/>
                <w:color w:val="auto"/>
                <w:sz w:val="22"/>
                <w:szCs w:val="22"/>
                <w:highlight w:val="none"/>
              </w:rPr>
              <w:t>(2)</w:t>
            </w:r>
          </w:p>
        </w:tc>
      </w:tr>
      <w:tr w14:paraId="7C110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7A2045C4">
            <w:pPr>
              <w:spacing w:line="360" w:lineRule="auto"/>
              <w:jc w:val="right"/>
              <w:rPr>
                <w:rFonts w:ascii="宋体" w:hAnsi="宋体" w:cs="宋体"/>
                <w:b/>
                <w:color w:val="auto"/>
                <w:sz w:val="22"/>
                <w:szCs w:val="22"/>
                <w:highlight w:val="none"/>
              </w:rPr>
            </w:pPr>
            <w:r>
              <w:rPr>
                <w:rFonts w:hint="eastAsia" w:ascii="宋体" w:hAnsi="宋体" w:cs="宋体"/>
                <w:color w:val="auto"/>
                <w:sz w:val="22"/>
                <w:szCs w:val="22"/>
                <w:highlight w:val="none"/>
              </w:rPr>
              <w:t>3）</w:t>
            </w:r>
          </w:p>
        </w:tc>
        <w:tc>
          <w:tcPr>
            <w:tcW w:w="6912" w:type="dxa"/>
            <w:tcBorders>
              <w:tl2br w:val="nil"/>
              <w:tr2bl w:val="nil"/>
            </w:tcBorders>
            <w:noWrap w:val="0"/>
            <w:vAlign w:val="center"/>
          </w:tcPr>
          <w:p w14:paraId="43467A4E">
            <w:pPr>
              <w:pStyle w:val="16"/>
              <w:keepNext w:val="0"/>
              <w:keepLines w:val="0"/>
              <w:pageBreakBefore w:val="0"/>
              <w:widowControl w:val="0"/>
              <w:kinsoku/>
              <w:wordWrap/>
              <w:overflowPunct/>
              <w:topLinePunct w:val="0"/>
              <w:autoSpaceDE/>
              <w:autoSpaceDN/>
              <w:bidi w:val="0"/>
              <w:adjustRightInd/>
              <w:snapToGrid/>
              <w:spacing w:line="300" w:lineRule="auto"/>
              <w:ind w:left="0" w:firstLine="0"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单位负责人为同一人或者存在直接控股、管理关系的不同供应商，不得参加同一合同项下的国企采购活动承诺函；</w:t>
            </w:r>
          </w:p>
        </w:tc>
        <w:tc>
          <w:tcPr>
            <w:tcW w:w="1604" w:type="dxa"/>
            <w:tcBorders>
              <w:tl2br w:val="nil"/>
              <w:tr2bl w:val="nil"/>
            </w:tcBorders>
            <w:noWrap w:val="0"/>
            <w:vAlign w:val="center"/>
          </w:tcPr>
          <w:p w14:paraId="594F618B">
            <w:pPr>
              <w:spacing w:line="360" w:lineRule="auto"/>
              <w:jc w:val="center"/>
              <w:rPr>
                <w:rFonts w:ascii="宋体" w:hAnsi="宋体" w:cs="宋体"/>
                <w:b/>
                <w:color w:val="auto"/>
                <w:sz w:val="22"/>
                <w:szCs w:val="22"/>
                <w:highlight w:val="none"/>
              </w:rPr>
            </w:pPr>
            <w:r>
              <w:rPr>
                <w:rFonts w:hint="eastAsia" w:ascii="宋体" w:hAnsi="宋体" w:cs="宋体"/>
                <w:b/>
                <w:bCs/>
                <w:color w:val="auto"/>
                <w:sz w:val="22"/>
                <w:szCs w:val="22"/>
                <w:highlight w:val="none"/>
              </w:rPr>
              <w:t>(3)</w:t>
            </w:r>
          </w:p>
        </w:tc>
      </w:tr>
      <w:tr w14:paraId="0ABDB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0811B141">
            <w:pPr>
              <w:spacing w:line="360" w:lineRule="auto"/>
              <w:jc w:val="right"/>
              <w:rPr>
                <w:rFonts w:ascii="宋体" w:hAnsi="宋体" w:cs="宋体"/>
                <w:b/>
                <w:color w:val="auto"/>
                <w:sz w:val="22"/>
                <w:szCs w:val="22"/>
                <w:highlight w:val="none"/>
              </w:rPr>
            </w:pPr>
            <w:r>
              <w:rPr>
                <w:rFonts w:hint="eastAsia" w:ascii="宋体" w:hAnsi="宋体" w:cs="宋体"/>
                <w:color w:val="auto"/>
                <w:sz w:val="22"/>
                <w:szCs w:val="22"/>
                <w:highlight w:val="none"/>
              </w:rPr>
              <w:t>4）</w:t>
            </w:r>
          </w:p>
        </w:tc>
        <w:tc>
          <w:tcPr>
            <w:tcW w:w="6912" w:type="dxa"/>
            <w:tcBorders>
              <w:tl2br w:val="nil"/>
              <w:tr2bl w:val="nil"/>
            </w:tcBorders>
            <w:noWrap w:val="0"/>
            <w:vAlign w:val="center"/>
          </w:tcPr>
          <w:p w14:paraId="526D5CED">
            <w:pPr>
              <w:pStyle w:val="16"/>
              <w:spacing w:line="360" w:lineRule="auto"/>
              <w:ind w:left="440" w:hanging="440"/>
              <w:rPr>
                <w:rFonts w:ascii="宋体" w:hAnsi="宋体" w:cs="宋体"/>
                <w:color w:val="auto"/>
                <w:sz w:val="22"/>
                <w:szCs w:val="22"/>
                <w:highlight w:val="none"/>
              </w:rPr>
            </w:pPr>
            <w:r>
              <w:rPr>
                <w:rFonts w:hint="eastAsia" w:ascii="宋体" w:hAnsi="宋体" w:cs="宋体"/>
                <w:color w:val="auto"/>
                <w:sz w:val="22"/>
                <w:szCs w:val="22"/>
                <w:highlight w:val="none"/>
              </w:rPr>
              <w:t>投标供应商没有失信记录承诺函；</w:t>
            </w:r>
          </w:p>
        </w:tc>
        <w:tc>
          <w:tcPr>
            <w:tcW w:w="1604" w:type="dxa"/>
            <w:tcBorders>
              <w:tl2br w:val="nil"/>
              <w:tr2bl w:val="nil"/>
            </w:tcBorders>
            <w:noWrap w:val="0"/>
            <w:vAlign w:val="center"/>
          </w:tcPr>
          <w:p w14:paraId="48A41ADC">
            <w:pPr>
              <w:spacing w:line="360" w:lineRule="auto"/>
              <w:jc w:val="center"/>
              <w:rPr>
                <w:rFonts w:ascii="宋体" w:hAnsi="宋体" w:cs="宋体"/>
                <w:b/>
                <w:color w:val="auto"/>
                <w:sz w:val="22"/>
                <w:szCs w:val="22"/>
                <w:highlight w:val="none"/>
              </w:rPr>
            </w:pPr>
            <w:r>
              <w:rPr>
                <w:rFonts w:hint="eastAsia" w:ascii="宋体" w:hAnsi="宋体" w:cs="宋体"/>
                <w:b/>
                <w:bCs/>
                <w:color w:val="auto"/>
                <w:sz w:val="22"/>
                <w:szCs w:val="22"/>
                <w:highlight w:val="none"/>
              </w:rPr>
              <w:t>(4)</w:t>
            </w:r>
          </w:p>
        </w:tc>
      </w:tr>
      <w:tr w14:paraId="48B60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3FAC8FD9">
            <w:pPr>
              <w:spacing w:line="360" w:lineRule="auto"/>
              <w:jc w:val="center"/>
              <w:rPr>
                <w:rFonts w:ascii="宋体" w:hAnsi="宋体" w:cs="宋体"/>
                <w:color w:val="auto"/>
                <w:sz w:val="22"/>
                <w:szCs w:val="22"/>
                <w:highlight w:val="none"/>
              </w:rPr>
            </w:pPr>
            <w:r>
              <w:rPr>
                <w:rFonts w:hint="eastAsia" w:ascii="宋体" w:hAnsi="宋体" w:cs="宋体"/>
                <w:b/>
                <w:bCs/>
                <w:color w:val="auto"/>
                <w:sz w:val="22"/>
                <w:szCs w:val="22"/>
                <w:highlight w:val="none"/>
              </w:rPr>
              <w:t>2</w:t>
            </w:r>
          </w:p>
        </w:tc>
        <w:tc>
          <w:tcPr>
            <w:tcW w:w="6912" w:type="dxa"/>
            <w:tcBorders>
              <w:tl2br w:val="nil"/>
              <w:tr2bl w:val="nil"/>
            </w:tcBorders>
            <w:noWrap w:val="0"/>
            <w:vAlign w:val="center"/>
          </w:tcPr>
          <w:p w14:paraId="3341BEF6">
            <w:pPr>
              <w:pStyle w:val="16"/>
              <w:spacing w:line="360" w:lineRule="auto"/>
              <w:ind w:left="442" w:hanging="442"/>
              <w:jc w:val="center"/>
              <w:rPr>
                <w:rFonts w:ascii="宋体" w:hAnsi="宋体" w:cs="宋体"/>
                <w:color w:val="auto"/>
                <w:sz w:val="22"/>
                <w:szCs w:val="22"/>
                <w:highlight w:val="none"/>
                <w:lang w:val="zh-CN"/>
              </w:rPr>
            </w:pPr>
            <w:r>
              <w:rPr>
                <w:rFonts w:hint="eastAsia" w:ascii="宋体" w:hAnsi="宋体" w:cs="宋体"/>
                <w:b/>
                <w:bCs/>
                <w:color w:val="auto"/>
                <w:sz w:val="22"/>
                <w:szCs w:val="22"/>
                <w:highlight w:val="none"/>
              </w:rPr>
              <w:t>报价文件</w:t>
            </w:r>
          </w:p>
        </w:tc>
        <w:tc>
          <w:tcPr>
            <w:tcW w:w="1604" w:type="dxa"/>
            <w:tcBorders>
              <w:tl2br w:val="nil"/>
              <w:tr2bl w:val="nil"/>
            </w:tcBorders>
            <w:noWrap w:val="0"/>
            <w:vAlign w:val="center"/>
          </w:tcPr>
          <w:p w14:paraId="67ECA3CE">
            <w:pPr>
              <w:spacing w:line="360" w:lineRule="auto"/>
              <w:jc w:val="center"/>
              <w:rPr>
                <w:rFonts w:ascii="宋体" w:hAnsi="宋体" w:cs="宋体"/>
                <w:b/>
                <w:color w:val="auto"/>
                <w:sz w:val="22"/>
                <w:szCs w:val="22"/>
                <w:highlight w:val="none"/>
              </w:rPr>
            </w:pPr>
          </w:p>
        </w:tc>
      </w:tr>
      <w:tr w14:paraId="5E849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11865240">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6912" w:type="dxa"/>
            <w:tcBorders>
              <w:tl2br w:val="nil"/>
              <w:tr2bl w:val="nil"/>
            </w:tcBorders>
            <w:noWrap w:val="0"/>
            <w:vAlign w:val="center"/>
          </w:tcPr>
          <w:p w14:paraId="4E4D8600">
            <w:pPr>
              <w:pStyle w:val="16"/>
              <w:spacing w:line="360" w:lineRule="auto"/>
              <w:ind w:left="440" w:hanging="440"/>
              <w:rPr>
                <w:rFonts w:ascii="宋体" w:hAnsi="宋体" w:cs="宋体"/>
                <w:b/>
                <w:bCs/>
                <w:color w:val="auto"/>
                <w:sz w:val="22"/>
                <w:szCs w:val="22"/>
                <w:highlight w:val="none"/>
              </w:rPr>
            </w:pPr>
            <w:r>
              <w:rPr>
                <w:rFonts w:hint="eastAsia" w:ascii="宋体" w:hAnsi="宋体" w:cs="宋体"/>
                <w:color w:val="auto"/>
                <w:sz w:val="22"/>
                <w:szCs w:val="22"/>
                <w:highlight w:val="none"/>
              </w:rPr>
              <w:t>报价一览表</w:t>
            </w:r>
          </w:p>
        </w:tc>
        <w:tc>
          <w:tcPr>
            <w:tcW w:w="1604" w:type="dxa"/>
            <w:tcBorders>
              <w:tl2br w:val="nil"/>
              <w:tr2bl w:val="nil"/>
            </w:tcBorders>
            <w:noWrap w:val="0"/>
            <w:vAlign w:val="center"/>
          </w:tcPr>
          <w:p w14:paraId="7E93DD66">
            <w:pPr>
              <w:spacing w:line="360" w:lineRule="auto"/>
              <w:jc w:val="center"/>
              <w:rPr>
                <w:rFonts w:ascii="宋体" w:hAnsi="宋体" w:cs="宋体"/>
                <w:b/>
                <w:color w:val="auto"/>
                <w:sz w:val="22"/>
                <w:szCs w:val="22"/>
                <w:highlight w:val="none"/>
              </w:rPr>
            </w:pPr>
            <w:r>
              <w:rPr>
                <w:rFonts w:hint="eastAsia" w:ascii="宋体" w:hAnsi="宋体" w:cs="宋体"/>
                <w:bCs/>
                <w:color w:val="auto"/>
                <w:sz w:val="22"/>
                <w:szCs w:val="22"/>
                <w:highlight w:val="none"/>
              </w:rPr>
              <w:t>附件二</w:t>
            </w:r>
          </w:p>
        </w:tc>
      </w:tr>
      <w:tr w14:paraId="7B9DD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1745B76A">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6912" w:type="dxa"/>
            <w:tcBorders>
              <w:tl2br w:val="nil"/>
              <w:tr2bl w:val="nil"/>
            </w:tcBorders>
            <w:noWrap w:val="0"/>
            <w:vAlign w:val="center"/>
          </w:tcPr>
          <w:p w14:paraId="284B6C1C">
            <w:pPr>
              <w:pStyle w:val="16"/>
              <w:spacing w:line="360" w:lineRule="auto"/>
              <w:ind w:left="440" w:hanging="440"/>
              <w:rPr>
                <w:rFonts w:ascii="宋体" w:hAnsi="宋体" w:cs="宋体"/>
                <w:color w:val="auto"/>
                <w:sz w:val="22"/>
                <w:szCs w:val="22"/>
                <w:highlight w:val="none"/>
              </w:rPr>
            </w:pPr>
            <w:r>
              <w:rPr>
                <w:rFonts w:hint="eastAsia" w:ascii="宋体" w:hAnsi="宋体" w:cs="宋体"/>
                <w:color w:val="auto"/>
                <w:sz w:val="22"/>
                <w:szCs w:val="22"/>
                <w:highlight w:val="none"/>
              </w:rPr>
              <w:t>投标分项报价表</w:t>
            </w:r>
          </w:p>
        </w:tc>
        <w:tc>
          <w:tcPr>
            <w:tcW w:w="1604" w:type="dxa"/>
            <w:tcBorders>
              <w:tl2br w:val="nil"/>
              <w:tr2bl w:val="nil"/>
            </w:tcBorders>
            <w:noWrap w:val="0"/>
            <w:vAlign w:val="center"/>
          </w:tcPr>
          <w:p w14:paraId="4EC1BE4C">
            <w:pPr>
              <w:spacing w:line="360" w:lineRule="auto"/>
              <w:jc w:val="center"/>
              <w:rPr>
                <w:rFonts w:ascii="宋体" w:hAnsi="宋体" w:cs="宋体"/>
                <w:bCs/>
                <w:color w:val="auto"/>
                <w:sz w:val="22"/>
                <w:szCs w:val="22"/>
                <w:highlight w:val="none"/>
              </w:rPr>
            </w:pPr>
            <w:r>
              <w:rPr>
                <w:rFonts w:hint="eastAsia" w:ascii="宋体" w:hAnsi="宋体" w:cs="宋体"/>
                <w:color w:val="auto"/>
                <w:sz w:val="22"/>
                <w:szCs w:val="22"/>
                <w:highlight w:val="none"/>
              </w:rPr>
              <w:t>附件三</w:t>
            </w:r>
          </w:p>
        </w:tc>
      </w:tr>
      <w:tr w14:paraId="1F359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09AB1D44">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3</w:t>
            </w:r>
          </w:p>
        </w:tc>
        <w:tc>
          <w:tcPr>
            <w:tcW w:w="6912" w:type="dxa"/>
            <w:tcBorders>
              <w:tl2br w:val="nil"/>
              <w:tr2bl w:val="nil"/>
            </w:tcBorders>
            <w:noWrap w:val="0"/>
            <w:vAlign w:val="center"/>
          </w:tcPr>
          <w:p w14:paraId="3ADF0426">
            <w:pPr>
              <w:pStyle w:val="16"/>
              <w:spacing w:line="360" w:lineRule="auto"/>
              <w:ind w:left="442" w:hanging="442"/>
              <w:jc w:val="center"/>
              <w:rPr>
                <w:rFonts w:ascii="宋体" w:hAnsi="宋体" w:cs="宋体"/>
                <w:color w:val="auto"/>
                <w:sz w:val="22"/>
                <w:szCs w:val="22"/>
                <w:highlight w:val="none"/>
                <w:lang w:val="zh-CN"/>
              </w:rPr>
            </w:pPr>
            <w:r>
              <w:rPr>
                <w:rFonts w:hint="eastAsia" w:ascii="宋体" w:hAnsi="宋体" w:cs="宋体"/>
                <w:b/>
                <w:color w:val="auto"/>
                <w:sz w:val="22"/>
                <w:szCs w:val="22"/>
                <w:highlight w:val="none"/>
                <w:lang w:val="zh-CN"/>
              </w:rPr>
              <w:t>商务技术文件</w:t>
            </w:r>
          </w:p>
        </w:tc>
        <w:tc>
          <w:tcPr>
            <w:tcW w:w="1604" w:type="dxa"/>
            <w:tcBorders>
              <w:tl2br w:val="nil"/>
              <w:tr2bl w:val="nil"/>
            </w:tcBorders>
            <w:noWrap w:val="0"/>
            <w:vAlign w:val="center"/>
          </w:tcPr>
          <w:p w14:paraId="38A12187">
            <w:pPr>
              <w:spacing w:line="360" w:lineRule="auto"/>
              <w:jc w:val="center"/>
              <w:rPr>
                <w:rFonts w:ascii="宋体" w:hAnsi="宋体" w:cs="宋体"/>
                <w:b/>
                <w:color w:val="auto"/>
                <w:sz w:val="22"/>
                <w:szCs w:val="22"/>
                <w:highlight w:val="none"/>
              </w:rPr>
            </w:pPr>
          </w:p>
        </w:tc>
      </w:tr>
      <w:tr w14:paraId="4C385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5100401E">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6912" w:type="dxa"/>
            <w:tcBorders>
              <w:tl2br w:val="nil"/>
              <w:tr2bl w:val="nil"/>
            </w:tcBorders>
            <w:noWrap w:val="0"/>
            <w:vAlign w:val="center"/>
          </w:tcPr>
          <w:p w14:paraId="46A334C8">
            <w:pPr>
              <w:spacing w:line="360" w:lineRule="auto"/>
              <w:rPr>
                <w:rFonts w:ascii="宋体" w:hAnsi="宋体" w:cs="宋体"/>
                <w:b/>
                <w:color w:val="auto"/>
                <w:sz w:val="22"/>
                <w:szCs w:val="22"/>
                <w:highlight w:val="none"/>
              </w:rPr>
            </w:pPr>
            <w:r>
              <w:rPr>
                <w:rFonts w:hint="eastAsia" w:ascii="宋体" w:hAnsi="宋体" w:cs="宋体"/>
                <w:color w:val="auto"/>
                <w:sz w:val="22"/>
                <w:szCs w:val="22"/>
                <w:highlight w:val="none"/>
                <w:u w:val="single"/>
              </w:rPr>
              <w:t>▲投标函</w:t>
            </w:r>
          </w:p>
        </w:tc>
        <w:tc>
          <w:tcPr>
            <w:tcW w:w="1604" w:type="dxa"/>
            <w:tcBorders>
              <w:tl2br w:val="nil"/>
              <w:tr2bl w:val="nil"/>
            </w:tcBorders>
            <w:noWrap w:val="0"/>
            <w:vAlign w:val="center"/>
          </w:tcPr>
          <w:p w14:paraId="5E2EC434">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p>
        </w:tc>
      </w:tr>
      <w:tr w14:paraId="140BD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544575CA">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6912" w:type="dxa"/>
            <w:tcBorders>
              <w:tl2br w:val="nil"/>
              <w:tr2bl w:val="nil"/>
            </w:tcBorders>
            <w:noWrap w:val="0"/>
            <w:vAlign w:val="center"/>
          </w:tcPr>
          <w:p w14:paraId="5EB8C0E6">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cs="宋体"/>
                <w:color w:val="auto"/>
                <w:sz w:val="22"/>
                <w:szCs w:val="22"/>
                <w:highlight w:val="none"/>
                <w:u w:val="single"/>
              </w:rPr>
            </w:pPr>
            <w:r>
              <w:rPr>
                <w:rFonts w:hint="eastAsia" w:ascii="宋体" w:hAnsi="宋体" w:eastAsia="宋体" w:cs="宋体"/>
                <w:color w:val="auto"/>
                <w:kern w:val="2"/>
                <w:sz w:val="22"/>
                <w:szCs w:val="22"/>
                <w:highlight w:val="none"/>
                <w:lang w:val="en-US" w:eastAsia="zh-CN" w:bidi="ar-SA"/>
              </w:rPr>
              <w:t>▲法定代表人（或单位负责人）身份证明/法定代表人（或单位负责人）授权书</w:t>
            </w:r>
          </w:p>
        </w:tc>
        <w:tc>
          <w:tcPr>
            <w:tcW w:w="1604" w:type="dxa"/>
            <w:tcBorders>
              <w:tl2br w:val="nil"/>
              <w:tr2bl w:val="nil"/>
            </w:tcBorders>
            <w:noWrap w:val="0"/>
            <w:vAlign w:val="center"/>
          </w:tcPr>
          <w:p w14:paraId="524DA274">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19661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55DCDBCB">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6912" w:type="dxa"/>
            <w:tcBorders>
              <w:tl2br w:val="nil"/>
              <w:tr2bl w:val="nil"/>
            </w:tcBorders>
            <w:noWrap w:val="0"/>
            <w:vAlign w:val="center"/>
          </w:tcPr>
          <w:p w14:paraId="0DB361F9">
            <w:pPr>
              <w:keepNext w:val="0"/>
              <w:keepLines w:val="0"/>
              <w:pageBreakBefore w:val="0"/>
              <w:widowControl w:val="0"/>
              <w:kinsoku/>
              <w:wordWrap/>
              <w:overflowPunct/>
              <w:topLinePunct w:val="0"/>
              <w:autoSpaceDE/>
              <w:autoSpaceDN/>
              <w:bidi w:val="0"/>
              <w:adjustRightInd/>
              <w:snapToGrid/>
              <w:spacing w:line="300" w:lineRule="auto"/>
              <w:textAlignment w:val="auto"/>
              <w:rPr>
                <w:b/>
                <w:color w:val="auto"/>
                <w:sz w:val="22"/>
                <w:szCs w:val="22"/>
                <w:highlight w:val="none"/>
              </w:rPr>
            </w:pPr>
            <w:r>
              <w:rPr>
                <w:rFonts w:hint="eastAsia" w:ascii="宋体" w:hAnsi="宋体" w:eastAsia="宋体" w:cs="宋体"/>
                <w:color w:val="auto"/>
                <w:kern w:val="2"/>
                <w:sz w:val="22"/>
                <w:szCs w:val="22"/>
                <w:highlight w:val="none"/>
                <w:lang w:val="en-US" w:eastAsia="zh-CN" w:bidi="ar-SA"/>
              </w:rPr>
              <w:t>商务技术文件部分（按“评标细则”相关评分内容逐项编制），本采购文件《第三部分  附件》未提供格式的，可自行拟定格式。</w:t>
            </w:r>
          </w:p>
        </w:tc>
        <w:tc>
          <w:tcPr>
            <w:tcW w:w="1604" w:type="dxa"/>
            <w:tcBorders>
              <w:tl2br w:val="nil"/>
              <w:tr2bl w:val="nil"/>
            </w:tcBorders>
            <w:noWrap w:val="0"/>
            <w:vAlign w:val="center"/>
          </w:tcPr>
          <w:p w14:paraId="0AC3AD74">
            <w:pPr>
              <w:spacing w:line="360" w:lineRule="auto"/>
              <w:jc w:val="center"/>
              <w:rPr>
                <w:rFonts w:ascii="宋体" w:hAnsi="宋体" w:cs="宋体"/>
                <w:color w:val="auto"/>
                <w:sz w:val="22"/>
                <w:szCs w:val="22"/>
                <w:highlight w:val="none"/>
              </w:rPr>
            </w:pPr>
          </w:p>
        </w:tc>
      </w:tr>
      <w:tr w14:paraId="6F1D4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00CFD6DF">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6912" w:type="dxa"/>
            <w:tcBorders>
              <w:tl2br w:val="nil"/>
              <w:tr2bl w:val="nil"/>
            </w:tcBorders>
            <w:noWrap w:val="0"/>
            <w:vAlign w:val="center"/>
          </w:tcPr>
          <w:p w14:paraId="3FE8100C">
            <w:pPr>
              <w:spacing w:line="240" w:lineRule="auto"/>
              <w:jc w:val="both"/>
              <w:rPr>
                <w:color w:val="auto"/>
                <w:sz w:val="22"/>
                <w:szCs w:val="22"/>
                <w:highlight w:val="none"/>
              </w:rPr>
            </w:pPr>
            <w:r>
              <w:rPr>
                <w:rFonts w:hint="eastAsia"/>
                <w:color w:val="auto"/>
                <w:sz w:val="22"/>
                <w:szCs w:val="22"/>
                <w:highlight w:val="none"/>
              </w:rPr>
              <w:t>技术偏离表</w:t>
            </w:r>
          </w:p>
        </w:tc>
        <w:tc>
          <w:tcPr>
            <w:tcW w:w="1604" w:type="dxa"/>
            <w:tcBorders>
              <w:tl2br w:val="nil"/>
              <w:tr2bl w:val="nil"/>
            </w:tcBorders>
            <w:noWrap w:val="0"/>
            <w:vAlign w:val="center"/>
          </w:tcPr>
          <w:p w14:paraId="20825505">
            <w:pPr>
              <w:spacing w:line="240" w:lineRule="auto"/>
              <w:jc w:val="center"/>
              <w:rPr>
                <w:color w:val="auto"/>
                <w:sz w:val="22"/>
                <w:szCs w:val="22"/>
                <w:highlight w:val="none"/>
              </w:rPr>
            </w:pPr>
            <w:r>
              <w:rPr>
                <w:rFonts w:hint="eastAsia"/>
                <w:color w:val="auto"/>
                <w:sz w:val="22"/>
                <w:szCs w:val="22"/>
                <w:highlight w:val="none"/>
              </w:rPr>
              <w:t>附件六</w:t>
            </w:r>
          </w:p>
        </w:tc>
      </w:tr>
      <w:tr w14:paraId="31C01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18BB8800">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912" w:type="dxa"/>
            <w:tcBorders>
              <w:tl2br w:val="nil"/>
              <w:tr2bl w:val="nil"/>
            </w:tcBorders>
            <w:noWrap w:val="0"/>
            <w:vAlign w:val="center"/>
          </w:tcPr>
          <w:p w14:paraId="0099313F">
            <w:pPr>
              <w:spacing w:line="240" w:lineRule="auto"/>
              <w:jc w:val="both"/>
              <w:rPr>
                <w:rFonts w:ascii="宋体" w:hAnsi="宋体" w:cs="宋体"/>
                <w:color w:val="auto"/>
                <w:sz w:val="22"/>
                <w:szCs w:val="22"/>
                <w:highlight w:val="none"/>
              </w:rPr>
            </w:pPr>
            <w:r>
              <w:rPr>
                <w:rFonts w:hint="eastAsia"/>
                <w:color w:val="auto"/>
                <w:sz w:val="22"/>
                <w:szCs w:val="22"/>
                <w:highlight w:val="none"/>
              </w:rPr>
              <w:t>商务条款偏离表</w:t>
            </w:r>
          </w:p>
        </w:tc>
        <w:tc>
          <w:tcPr>
            <w:tcW w:w="1604" w:type="dxa"/>
            <w:tcBorders>
              <w:tl2br w:val="nil"/>
              <w:tr2bl w:val="nil"/>
            </w:tcBorders>
            <w:noWrap w:val="0"/>
            <w:vAlign w:val="center"/>
          </w:tcPr>
          <w:p w14:paraId="7F3A848C">
            <w:pPr>
              <w:spacing w:line="240" w:lineRule="auto"/>
              <w:jc w:val="center"/>
              <w:rPr>
                <w:rFonts w:ascii="宋体" w:hAnsi="宋体" w:cs="宋体"/>
                <w:color w:val="auto"/>
                <w:sz w:val="22"/>
                <w:szCs w:val="22"/>
                <w:highlight w:val="none"/>
              </w:rPr>
            </w:pPr>
            <w:r>
              <w:rPr>
                <w:rFonts w:hint="eastAsia"/>
                <w:color w:val="auto"/>
                <w:sz w:val="22"/>
                <w:szCs w:val="22"/>
                <w:highlight w:val="none"/>
              </w:rPr>
              <w:t>附件七</w:t>
            </w:r>
          </w:p>
        </w:tc>
      </w:tr>
      <w:tr w14:paraId="16F7F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1EFAFF7E">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6912" w:type="dxa"/>
            <w:tcBorders>
              <w:tl2br w:val="nil"/>
              <w:tr2bl w:val="nil"/>
            </w:tcBorders>
            <w:noWrap w:val="0"/>
            <w:vAlign w:val="center"/>
          </w:tcPr>
          <w:p w14:paraId="057F7070">
            <w:pPr>
              <w:spacing w:line="240" w:lineRule="auto"/>
              <w:jc w:val="both"/>
              <w:rPr>
                <w:rFonts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rPr>
              <w:t>类似服务业绩一览表</w:t>
            </w:r>
          </w:p>
        </w:tc>
        <w:tc>
          <w:tcPr>
            <w:tcW w:w="1604" w:type="dxa"/>
            <w:tcBorders>
              <w:tl2br w:val="nil"/>
              <w:tr2bl w:val="nil"/>
            </w:tcBorders>
            <w:noWrap w:val="0"/>
            <w:vAlign w:val="center"/>
          </w:tcPr>
          <w:p w14:paraId="56822FE6">
            <w:pPr>
              <w:spacing w:line="240" w:lineRule="auto"/>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附件八</w:t>
            </w:r>
          </w:p>
        </w:tc>
      </w:tr>
      <w:tr w14:paraId="38938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0D546E0F">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6912" w:type="dxa"/>
            <w:tcBorders>
              <w:tl2br w:val="nil"/>
              <w:tr2bl w:val="nil"/>
            </w:tcBorders>
            <w:noWrap w:val="0"/>
            <w:vAlign w:val="center"/>
          </w:tcPr>
          <w:p w14:paraId="29E2FE95">
            <w:pPr>
              <w:spacing w:line="240" w:lineRule="auto"/>
              <w:jc w:val="both"/>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项目负责人情况表</w:t>
            </w:r>
          </w:p>
        </w:tc>
        <w:tc>
          <w:tcPr>
            <w:tcW w:w="1604" w:type="dxa"/>
            <w:tcBorders>
              <w:tl2br w:val="nil"/>
              <w:tr2bl w:val="nil"/>
            </w:tcBorders>
            <w:noWrap w:val="0"/>
            <w:vAlign w:val="center"/>
          </w:tcPr>
          <w:p w14:paraId="263BE06B">
            <w:pPr>
              <w:spacing w:line="240" w:lineRule="auto"/>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附件九（1）</w:t>
            </w:r>
          </w:p>
        </w:tc>
      </w:tr>
      <w:tr w14:paraId="35F11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3B8FF2C1">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6912" w:type="dxa"/>
            <w:tcBorders>
              <w:tl2br w:val="nil"/>
              <w:tr2bl w:val="nil"/>
            </w:tcBorders>
            <w:noWrap w:val="0"/>
            <w:vAlign w:val="center"/>
          </w:tcPr>
          <w:p w14:paraId="2C739898">
            <w:pPr>
              <w:spacing w:line="240" w:lineRule="auto"/>
              <w:jc w:val="both"/>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项目服务人员汇总表</w:t>
            </w:r>
          </w:p>
        </w:tc>
        <w:tc>
          <w:tcPr>
            <w:tcW w:w="1604" w:type="dxa"/>
            <w:tcBorders>
              <w:tl2br w:val="nil"/>
              <w:tr2bl w:val="nil"/>
            </w:tcBorders>
            <w:noWrap w:val="0"/>
            <w:vAlign w:val="center"/>
          </w:tcPr>
          <w:p w14:paraId="0BBEE00C">
            <w:pPr>
              <w:spacing w:line="240" w:lineRule="auto"/>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附件九（</w:t>
            </w:r>
            <w:r>
              <w:rPr>
                <w:rFonts w:ascii="宋体" w:hAnsi="宋体" w:cs="宋体"/>
                <w:color w:val="auto"/>
                <w:sz w:val="22"/>
                <w:szCs w:val="22"/>
                <w:highlight w:val="none"/>
              </w:rPr>
              <w:t>2</w:t>
            </w:r>
            <w:r>
              <w:rPr>
                <w:rFonts w:hint="eastAsia" w:ascii="宋体" w:hAnsi="宋体" w:cs="宋体"/>
                <w:color w:val="auto"/>
                <w:sz w:val="22"/>
                <w:szCs w:val="22"/>
                <w:highlight w:val="none"/>
              </w:rPr>
              <w:t>）</w:t>
            </w:r>
          </w:p>
        </w:tc>
      </w:tr>
      <w:tr w14:paraId="59187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14:paraId="22A7270B">
            <w:pPr>
              <w:spacing w:line="360" w:lineRule="auto"/>
              <w:jc w:val="righ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w:t>
            </w:r>
          </w:p>
        </w:tc>
        <w:tc>
          <w:tcPr>
            <w:tcW w:w="6912" w:type="dxa"/>
            <w:tcBorders>
              <w:tl2br w:val="nil"/>
              <w:tr2bl w:val="nil"/>
            </w:tcBorders>
            <w:noWrap w:val="0"/>
            <w:vAlign w:val="center"/>
          </w:tcPr>
          <w:p w14:paraId="343D0C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投标供应商认为需要提供的其他相关资料。</w:t>
            </w:r>
          </w:p>
        </w:tc>
        <w:tc>
          <w:tcPr>
            <w:tcW w:w="1604" w:type="dxa"/>
            <w:tcBorders>
              <w:tl2br w:val="nil"/>
              <w:tr2bl w:val="nil"/>
            </w:tcBorders>
            <w:noWrap w:val="0"/>
            <w:vAlign w:val="center"/>
          </w:tcPr>
          <w:p w14:paraId="60952012">
            <w:pPr>
              <w:spacing w:line="240" w:lineRule="auto"/>
              <w:jc w:val="both"/>
              <w:rPr>
                <w:rFonts w:ascii="宋体" w:hAnsi="宋体" w:eastAsia="宋体" w:cs="宋体"/>
                <w:color w:val="auto"/>
                <w:kern w:val="2"/>
                <w:sz w:val="22"/>
                <w:szCs w:val="22"/>
                <w:highlight w:val="none"/>
                <w:lang w:val="en-US" w:eastAsia="zh-CN" w:bidi="ar-SA"/>
              </w:rPr>
            </w:pPr>
          </w:p>
        </w:tc>
      </w:tr>
    </w:tbl>
    <w:p w14:paraId="506E9627">
      <w:pPr>
        <w:keepNext w:val="0"/>
        <w:keepLines w:val="0"/>
        <w:pageBreakBefore w:val="0"/>
        <w:widowControl w:val="0"/>
        <w:tabs>
          <w:tab w:val="left" w:pos="900"/>
          <w:tab w:val="left" w:pos="5355"/>
        </w:tabs>
        <w:kinsoku/>
        <w:wordWrap/>
        <w:overflowPunct/>
        <w:topLinePunct w:val="0"/>
        <w:autoSpaceDE/>
        <w:autoSpaceDN/>
        <w:bidi w:val="0"/>
        <w:adjustRightInd/>
        <w:snapToGrid/>
        <w:spacing w:line="360" w:lineRule="auto"/>
        <w:ind w:left="0" w:leftChars="0" w:firstLine="442" w:firstLineChars="20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说明：</w:t>
      </w:r>
    </w:p>
    <w:p w14:paraId="6F8614EF">
      <w:pPr>
        <w:keepNext w:val="0"/>
        <w:keepLines w:val="0"/>
        <w:pageBreakBefore w:val="0"/>
        <w:widowControl w:val="0"/>
        <w:tabs>
          <w:tab w:val="left" w:pos="900"/>
          <w:tab w:val="left" w:pos="5355"/>
        </w:tabs>
        <w:kinsoku/>
        <w:wordWrap/>
        <w:overflowPunct/>
        <w:topLinePunct w:val="0"/>
        <w:autoSpaceDE/>
        <w:autoSpaceDN/>
        <w:bidi w:val="0"/>
        <w:adjustRightInd/>
        <w:snapToGrid/>
        <w:spacing w:line="360" w:lineRule="auto"/>
        <w:ind w:left="0" w:leftChars="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1）投标供应商可根据采购文件中的采购内容及要求和商务技术评分表，提供投标供应商认为需要提供的文件和资料。</w:t>
      </w:r>
    </w:p>
    <w:p w14:paraId="42EC2AFE">
      <w:pPr>
        <w:keepNext w:val="0"/>
        <w:keepLines w:val="0"/>
        <w:pageBreakBefore w:val="0"/>
        <w:widowControl w:val="0"/>
        <w:tabs>
          <w:tab w:val="left" w:pos="567"/>
          <w:tab w:val="left" w:pos="5355"/>
        </w:tabs>
        <w:kinsoku/>
        <w:wordWrap/>
        <w:overflowPunct/>
        <w:topLinePunct w:val="0"/>
        <w:autoSpaceDE/>
        <w:autoSpaceDN/>
        <w:bidi w:val="0"/>
        <w:adjustRightInd/>
        <w:snapToGrid/>
        <w:spacing w:line="360" w:lineRule="auto"/>
        <w:ind w:left="0" w:leftChars="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bCs/>
          <w:color w:val="auto"/>
          <w:sz w:val="22"/>
          <w:szCs w:val="22"/>
          <w:highlight w:val="none"/>
        </w:rPr>
        <w:t>以上所需的各种证书、证件、证明、执照复制件须加盖投标供应商公章。</w:t>
      </w:r>
    </w:p>
    <w:p w14:paraId="25466F37">
      <w:pPr>
        <w:keepNext w:val="0"/>
        <w:keepLines w:val="0"/>
        <w:pageBreakBefore w:val="0"/>
        <w:widowControl w:val="0"/>
        <w:tabs>
          <w:tab w:val="left" w:pos="567"/>
          <w:tab w:val="left" w:pos="5355"/>
        </w:tabs>
        <w:kinsoku/>
        <w:wordWrap/>
        <w:overflowPunct/>
        <w:topLinePunct w:val="0"/>
        <w:autoSpaceDE/>
        <w:autoSpaceDN/>
        <w:bidi w:val="0"/>
        <w:adjustRightInd/>
        <w:snapToGrid/>
        <w:spacing w:line="360" w:lineRule="auto"/>
        <w:ind w:left="0" w:leftChars="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3）投标供应商的投标文件必须按照采购文件要求制作。</w:t>
      </w:r>
    </w:p>
    <w:p w14:paraId="39CCC5B0">
      <w:pPr>
        <w:numPr>
          <w:ilvl w:val="0"/>
          <w:numId w:val="3"/>
        </w:numPr>
        <w:tabs>
          <w:tab w:val="left" w:pos="420"/>
          <w:tab w:val="left" w:pos="540"/>
        </w:tabs>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投标报价</w:t>
      </w:r>
    </w:p>
    <w:p w14:paraId="0770622E">
      <w:pPr>
        <w:numPr>
          <w:ilvl w:val="1"/>
          <w:numId w:val="6"/>
        </w:numPr>
        <w:tabs>
          <w:tab w:val="left" w:pos="535"/>
          <w:tab w:val="clear" w:pos="992"/>
        </w:tabs>
        <w:overflowPunct w:val="0"/>
        <w:spacing w:line="360" w:lineRule="auto"/>
        <w:ind w:left="535" w:hanging="535"/>
        <w:rPr>
          <w:rFonts w:ascii="宋体" w:hAnsi="宋体" w:cs="宋体"/>
          <w:color w:val="auto"/>
          <w:sz w:val="22"/>
          <w:szCs w:val="22"/>
          <w:highlight w:val="none"/>
        </w:rPr>
      </w:pPr>
      <w:r>
        <w:rPr>
          <w:rFonts w:hint="eastAsia" w:ascii="宋体" w:hAnsi="宋体" w:cs="宋体"/>
          <w:b/>
          <w:bCs/>
          <w:color w:val="auto"/>
          <w:sz w:val="22"/>
          <w:szCs w:val="22"/>
          <w:highlight w:val="none"/>
        </w:rPr>
        <w:t>本次采购的报价方式及要求：详见“</w:t>
      </w:r>
      <w:bookmarkStart w:id="126" w:name="_Hlk3446701"/>
      <w:r>
        <w:rPr>
          <w:rFonts w:hint="eastAsia" w:ascii="宋体" w:hAnsi="宋体" w:cs="宋体"/>
          <w:b/>
          <w:bCs/>
          <w:color w:val="auto"/>
          <w:sz w:val="22"/>
          <w:szCs w:val="22"/>
          <w:highlight w:val="none"/>
        </w:rPr>
        <w:t>报价一览表</w:t>
      </w:r>
      <w:bookmarkEnd w:id="126"/>
      <w:r>
        <w:rPr>
          <w:rFonts w:hint="eastAsia" w:ascii="宋体" w:hAnsi="宋体" w:cs="宋体"/>
          <w:b/>
          <w:bCs/>
          <w:color w:val="auto"/>
          <w:sz w:val="22"/>
          <w:szCs w:val="22"/>
          <w:highlight w:val="none"/>
        </w:rPr>
        <w:t>”。</w:t>
      </w:r>
    </w:p>
    <w:p w14:paraId="4DC3CAD1">
      <w:pPr>
        <w:numPr>
          <w:ilvl w:val="1"/>
          <w:numId w:val="6"/>
        </w:numPr>
        <w:tabs>
          <w:tab w:val="left" w:pos="540"/>
          <w:tab w:val="clear" w:pos="992"/>
        </w:tabs>
        <w:overflowPunct w:val="0"/>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投标供应商必须按</w:t>
      </w:r>
      <w:r>
        <w:rPr>
          <w:rFonts w:hint="eastAsia" w:ascii="宋体" w:hAnsi="宋体" w:cs="宋体"/>
          <w:b/>
          <w:bCs/>
          <w:color w:val="auto"/>
          <w:sz w:val="22"/>
          <w:szCs w:val="22"/>
          <w:highlight w:val="none"/>
        </w:rPr>
        <w:t>“</w:t>
      </w:r>
      <w:r>
        <w:rPr>
          <w:rFonts w:hint="eastAsia" w:ascii="宋体" w:hAnsi="宋体" w:cs="宋体"/>
          <w:color w:val="auto"/>
          <w:sz w:val="22"/>
          <w:szCs w:val="22"/>
          <w:highlight w:val="none"/>
        </w:rPr>
        <w:t>报价一览表</w:t>
      </w:r>
      <w:r>
        <w:rPr>
          <w:rFonts w:hint="eastAsia" w:ascii="宋体" w:hAnsi="宋体" w:cs="宋体"/>
          <w:b/>
          <w:bCs/>
          <w:color w:val="auto"/>
          <w:sz w:val="22"/>
          <w:szCs w:val="22"/>
          <w:highlight w:val="none"/>
        </w:rPr>
        <w:t>”</w:t>
      </w:r>
      <w:r>
        <w:rPr>
          <w:rFonts w:hint="eastAsia" w:ascii="宋体" w:hAnsi="宋体" w:cs="宋体"/>
          <w:color w:val="auto"/>
          <w:sz w:val="22"/>
          <w:szCs w:val="22"/>
          <w:highlight w:val="none"/>
        </w:rPr>
        <w:t>（统一格式）填写投标报价及其他内容，并由法定代表人（或单位负责人）或授权代表签署（签字或盖章）。</w:t>
      </w:r>
    </w:p>
    <w:p w14:paraId="7FF7F7D6">
      <w:pPr>
        <w:numPr>
          <w:ilvl w:val="1"/>
          <w:numId w:val="6"/>
        </w:numPr>
        <w:tabs>
          <w:tab w:val="left" w:pos="540"/>
          <w:tab w:val="clear" w:pos="992"/>
        </w:tabs>
        <w:overflowPunct w:val="0"/>
        <w:spacing w:line="360" w:lineRule="auto"/>
        <w:ind w:left="540" w:hanging="540"/>
        <w:rPr>
          <w:rFonts w:ascii="宋体" w:hAnsi="宋体" w:cs="宋体"/>
          <w:b/>
          <w:color w:val="auto"/>
          <w:sz w:val="22"/>
          <w:szCs w:val="22"/>
          <w:highlight w:val="none"/>
        </w:rPr>
      </w:pPr>
      <w:r>
        <w:rPr>
          <w:rFonts w:hint="eastAsia" w:ascii="宋体" w:hAnsi="宋体" w:cs="宋体"/>
          <w:color w:val="auto"/>
          <w:sz w:val="22"/>
          <w:szCs w:val="22"/>
          <w:highlight w:val="none"/>
        </w:rPr>
        <w:t>所有投标均以人民币报价。</w:t>
      </w:r>
    </w:p>
    <w:p w14:paraId="23244BA2">
      <w:pPr>
        <w:numPr>
          <w:ilvl w:val="1"/>
          <w:numId w:val="6"/>
        </w:numPr>
        <w:tabs>
          <w:tab w:val="left" w:pos="540"/>
          <w:tab w:val="clear" w:pos="992"/>
        </w:tabs>
        <w:overflowPunct w:val="0"/>
        <w:spacing w:line="360" w:lineRule="auto"/>
        <w:ind w:left="540" w:hanging="540"/>
        <w:rPr>
          <w:rFonts w:ascii="宋体" w:hAnsi="宋体" w:cs="宋体"/>
          <w:color w:val="auto"/>
          <w:sz w:val="22"/>
          <w:szCs w:val="22"/>
          <w:highlight w:val="none"/>
        </w:rPr>
      </w:pPr>
      <w:r>
        <w:rPr>
          <w:rFonts w:hint="eastAsia" w:ascii="宋体" w:hAnsi="宋体" w:cs="宋体"/>
          <w:b/>
          <w:color w:val="auto"/>
          <w:sz w:val="22"/>
          <w:szCs w:val="22"/>
          <w:highlight w:val="none"/>
        </w:rPr>
        <w:t>采购人不接受任何选择报价，只允许一个报价。</w:t>
      </w:r>
    </w:p>
    <w:p w14:paraId="516FBECF">
      <w:pPr>
        <w:numPr>
          <w:ilvl w:val="1"/>
          <w:numId w:val="6"/>
        </w:numPr>
        <w:tabs>
          <w:tab w:val="left" w:pos="535"/>
          <w:tab w:val="clear" w:pos="992"/>
        </w:tabs>
        <w:overflowPunct w:val="0"/>
        <w:spacing w:line="360" w:lineRule="auto"/>
        <w:ind w:left="535" w:hanging="535"/>
        <w:rPr>
          <w:rFonts w:ascii="宋体" w:hAnsi="宋体" w:cs="宋体"/>
          <w:color w:val="auto"/>
          <w:sz w:val="22"/>
          <w:szCs w:val="22"/>
          <w:highlight w:val="none"/>
        </w:rPr>
      </w:pPr>
      <w:r>
        <w:rPr>
          <w:rFonts w:hint="eastAsia" w:ascii="宋体" w:hAnsi="宋体" w:cs="宋体"/>
          <w:b/>
          <w:bCs/>
          <w:color w:val="auto"/>
          <w:sz w:val="22"/>
          <w:szCs w:val="22"/>
          <w:highlight w:val="none"/>
        </w:rPr>
        <w:t>投标供应商依据市场行情和自身情况自由竞价。</w:t>
      </w:r>
    </w:p>
    <w:p w14:paraId="67E53734">
      <w:pPr>
        <w:numPr>
          <w:ilvl w:val="1"/>
          <w:numId w:val="6"/>
        </w:numPr>
        <w:tabs>
          <w:tab w:val="left" w:pos="540"/>
          <w:tab w:val="clear" w:pos="992"/>
        </w:tabs>
        <w:overflowPunct w:val="0"/>
        <w:spacing w:line="360" w:lineRule="auto"/>
        <w:ind w:left="540" w:hanging="540"/>
        <w:rPr>
          <w:rFonts w:ascii="宋体" w:hAnsi="宋体" w:cs="宋体"/>
          <w:b/>
          <w:color w:val="auto"/>
          <w:sz w:val="22"/>
          <w:szCs w:val="22"/>
          <w:highlight w:val="none"/>
        </w:rPr>
      </w:pPr>
      <w:r>
        <w:rPr>
          <w:rFonts w:hint="eastAsia" w:ascii="宋体" w:hAnsi="宋体" w:cs="宋体"/>
          <w:b/>
          <w:color w:val="auto"/>
          <w:sz w:val="22"/>
          <w:szCs w:val="22"/>
          <w:highlight w:val="none"/>
        </w:rPr>
        <w:t>最低报价不作为中标的保证。</w:t>
      </w:r>
    </w:p>
    <w:p w14:paraId="65CB1446">
      <w:pPr>
        <w:numPr>
          <w:ilvl w:val="0"/>
          <w:numId w:val="3"/>
        </w:numPr>
        <w:tabs>
          <w:tab w:val="left" w:pos="420"/>
          <w:tab w:val="left" w:pos="540"/>
        </w:tabs>
        <w:spacing w:line="360" w:lineRule="auto"/>
        <w:ind w:left="540" w:hanging="540"/>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投标保证金</w:t>
      </w:r>
    </w:p>
    <w:p w14:paraId="0C057512">
      <w:pPr>
        <w:numPr>
          <w:ilvl w:val="1"/>
          <w:numId w:val="7"/>
        </w:numPr>
        <w:tabs>
          <w:tab w:val="left" w:pos="535"/>
        </w:tabs>
        <w:overflowPunct w:val="0"/>
        <w:spacing w:line="360" w:lineRule="auto"/>
        <w:ind w:left="535" w:hanging="535"/>
        <w:rPr>
          <w:rFonts w:ascii="宋体" w:hAnsi="宋体" w:cs="宋体"/>
          <w:b/>
          <w:color w:val="auto"/>
          <w:sz w:val="22"/>
          <w:szCs w:val="22"/>
          <w:highlight w:val="none"/>
        </w:rPr>
      </w:pPr>
      <w:r>
        <w:rPr>
          <w:rFonts w:hint="eastAsia" w:ascii="宋体" w:hAnsi="宋体" w:cs="宋体"/>
          <w:b/>
          <w:color w:val="auto"/>
          <w:sz w:val="22"/>
          <w:szCs w:val="22"/>
          <w:highlight w:val="none"/>
          <w:u w:val="single"/>
        </w:rPr>
        <w:t>▲投标供应商须提供由其汇出的投标保证金支付凭证（金额详见《投标供应商须知前附表》，投标保证金汇出账户的名称须与投标供应商的名称相一致），否则采购人将不接受其投标。</w:t>
      </w:r>
    </w:p>
    <w:p w14:paraId="376EA911">
      <w:pPr>
        <w:numPr>
          <w:ilvl w:val="1"/>
          <w:numId w:val="8"/>
        </w:numPr>
        <w:tabs>
          <w:tab w:val="left" w:pos="540"/>
        </w:tabs>
        <w:overflowPunct w:val="0"/>
        <w:spacing w:line="360" w:lineRule="auto"/>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中标（成交）供应商的投标保证金在中标（成交）供应商与采购人签订了采购合同并经备案后，5个工作日内无息退还，未中标的投标供应商的投标保证金将在确定中标（成交）供应商后5个工作日内无息退还。</w:t>
      </w:r>
    </w:p>
    <w:p w14:paraId="5509B765">
      <w:pPr>
        <w:numPr>
          <w:ilvl w:val="1"/>
          <w:numId w:val="7"/>
        </w:numPr>
        <w:tabs>
          <w:tab w:val="left" w:pos="540"/>
        </w:tabs>
        <w:overflowPunct w:val="0"/>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如发生下列情况之一，投标保证金将不予退还</w:t>
      </w:r>
      <w:r>
        <w:rPr>
          <w:rFonts w:hint="eastAsia" w:ascii="宋体" w:hAnsi="宋体" w:cs="宋体"/>
          <w:b/>
          <w:color w:val="auto"/>
          <w:sz w:val="22"/>
          <w:szCs w:val="22"/>
          <w:highlight w:val="none"/>
        </w:rPr>
        <w:t>：</w:t>
      </w:r>
    </w:p>
    <w:p w14:paraId="28F94150">
      <w:pPr>
        <w:keepNext w:val="0"/>
        <w:keepLines w:val="0"/>
        <w:pageBreakBefore w:val="0"/>
        <w:widowControl w:val="0"/>
        <w:numPr>
          <w:ilvl w:val="0"/>
          <w:numId w:val="9"/>
        </w:numPr>
        <w:tabs>
          <w:tab w:val="left" w:pos="360"/>
          <w:tab w:val="clear" w:pos="420"/>
        </w:tabs>
        <w:kinsoku/>
        <w:wordWrap/>
        <w:overflowPunct w:val="0"/>
        <w:topLinePunct w:val="0"/>
        <w:autoSpaceDE/>
        <w:autoSpaceDN/>
        <w:bidi w:val="0"/>
        <w:adjustRightInd/>
        <w:snapToGrid/>
        <w:spacing w:line="360" w:lineRule="auto"/>
        <w:ind w:left="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投标供应商在采购文件规定的投标有效期内撤回投标或修改其采购响应文件的；</w:t>
      </w:r>
    </w:p>
    <w:p w14:paraId="2C0C07C6">
      <w:pPr>
        <w:keepNext w:val="0"/>
        <w:keepLines w:val="0"/>
        <w:pageBreakBefore w:val="0"/>
        <w:widowControl w:val="0"/>
        <w:numPr>
          <w:ilvl w:val="0"/>
          <w:numId w:val="9"/>
        </w:numPr>
        <w:tabs>
          <w:tab w:val="left" w:pos="360"/>
          <w:tab w:val="clear" w:pos="420"/>
        </w:tabs>
        <w:kinsoku/>
        <w:wordWrap/>
        <w:overflowPunct w:val="0"/>
        <w:topLinePunct w:val="0"/>
        <w:autoSpaceDE/>
        <w:autoSpaceDN/>
        <w:bidi w:val="0"/>
        <w:adjustRightInd/>
        <w:snapToGrid/>
        <w:spacing w:line="360" w:lineRule="auto"/>
        <w:ind w:left="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中标候选人因不可抗力之外的原因放弃中标权的；</w:t>
      </w:r>
    </w:p>
    <w:p w14:paraId="6666483C">
      <w:pPr>
        <w:keepNext w:val="0"/>
        <w:keepLines w:val="0"/>
        <w:pageBreakBefore w:val="0"/>
        <w:widowControl w:val="0"/>
        <w:numPr>
          <w:ilvl w:val="0"/>
          <w:numId w:val="9"/>
        </w:numPr>
        <w:tabs>
          <w:tab w:val="left" w:pos="360"/>
          <w:tab w:val="clear" w:pos="420"/>
        </w:tabs>
        <w:kinsoku/>
        <w:wordWrap/>
        <w:overflowPunct w:val="0"/>
        <w:topLinePunct w:val="0"/>
        <w:autoSpaceDE/>
        <w:autoSpaceDN/>
        <w:bidi w:val="0"/>
        <w:adjustRightInd/>
        <w:snapToGrid/>
        <w:spacing w:line="360" w:lineRule="auto"/>
        <w:ind w:left="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拒绝接受采购响应文件中已确认的承诺或条款；</w:t>
      </w:r>
    </w:p>
    <w:p w14:paraId="0C68BA29">
      <w:pPr>
        <w:keepNext w:val="0"/>
        <w:keepLines w:val="0"/>
        <w:pageBreakBefore w:val="0"/>
        <w:widowControl w:val="0"/>
        <w:numPr>
          <w:ilvl w:val="0"/>
          <w:numId w:val="9"/>
        </w:numPr>
        <w:tabs>
          <w:tab w:val="left" w:pos="360"/>
          <w:tab w:val="clear" w:pos="420"/>
        </w:tabs>
        <w:kinsoku/>
        <w:wordWrap/>
        <w:overflowPunct w:val="0"/>
        <w:topLinePunct w:val="0"/>
        <w:autoSpaceDE/>
        <w:autoSpaceDN/>
        <w:bidi w:val="0"/>
        <w:adjustRightInd/>
        <w:snapToGrid/>
        <w:spacing w:line="360" w:lineRule="auto"/>
        <w:ind w:left="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中标（成交）供应商无正当理由未按中标（成交）通知书中规定的时间与采购人订立合同，或在签订合同时向采购人提出附加条件，或未按采购文件要求提交履约担保的；</w:t>
      </w:r>
    </w:p>
    <w:p w14:paraId="3DAD3AD9">
      <w:pPr>
        <w:keepNext w:val="0"/>
        <w:keepLines w:val="0"/>
        <w:pageBreakBefore w:val="0"/>
        <w:widowControl w:val="0"/>
        <w:numPr>
          <w:ilvl w:val="0"/>
          <w:numId w:val="9"/>
        </w:numPr>
        <w:tabs>
          <w:tab w:val="left" w:pos="360"/>
          <w:tab w:val="clear" w:pos="420"/>
        </w:tabs>
        <w:kinsoku/>
        <w:wordWrap/>
        <w:overflowPunct w:val="0"/>
        <w:topLinePunct w:val="0"/>
        <w:autoSpaceDE/>
        <w:autoSpaceDN/>
        <w:bidi w:val="0"/>
        <w:adjustRightInd/>
        <w:snapToGrid/>
        <w:spacing w:line="360" w:lineRule="auto"/>
        <w:ind w:left="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恶意投诉造成项目进度延误，对采购人或采购代理机构造成经济损失的；</w:t>
      </w:r>
    </w:p>
    <w:p w14:paraId="0800EBC4">
      <w:pPr>
        <w:keepNext w:val="0"/>
        <w:keepLines w:val="0"/>
        <w:pageBreakBefore w:val="0"/>
        <w:widowControl w:val="0"/>
        <w:numPr>
          <w:ilvl w:val="0"/>
          <w:numId w:val="9"/>
        </w:numPr>
        <w:tabs>
          <w:tab w:val="left" w:pos="360"/>
          <w:tab w:val="clear" w:pos="420"/>
        </w:tabs>
        <w:kinsoku/>
        <w:wordWrap/>
        <w:overflowPunct w:val="0"/>
        <w:topLinePunct w:val="0"/>
        <w:autoSpaceDE/>
        <w:autoSpaceDN/>
        <w:bidi w:val="0"/>
        <w:adjustRightInd/>
        <w:snapToGrid/>
        <w:spacing w:line="360" w:lineRule="auto"/>
        <w:ind w:left="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投标供应商在投标过程中串通投标或弄虚作假的，经查实的；</w:t>
      </w:r>
    </w:p>
    <w:p w14:paraId="088EA884">
      <w:pPr>
        <w:keepNext w:val="0"/>
        <w:keepLines w:val="0"/>
        <w:pageBreakBefore w:val="0"/>
        <w:widowControl w:val="0"/>
        <w:numPr>
          <w:ilvl w:val="0"/>
          <w:numId w:val="9"/>
        </w:numPr>
        <w:tabs>
          <w:tab w:val="left" w:pos="360"/>
          <w:tab w:val="clear" w:pos="420"/>
        </w:tabs>
        <w:kinsoku/>
        <w:wordWrap/>
        <w:overflowPunct w:val="0"/>
        <w:topLinePunct w:val="0"/>
        <w:autoSpaceDE/>
        <w:autoSpaceDN/>
        <w:bidi w:val="0"/>
        <w:adjustRightInd/>
        <w:snapToGrid/>
        <w:spacing w:line="360" w:lineRule="auto"/>
        <w:ind w:left="0"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经采购监督管理部门审查认定投标供应商有违反《温州市市属国有企业采购管理办法（试行）》等有关法律法规的行为。</w:t>
      </w:r>
    </w:p>
    <w:p w14:paraId="67403C62">
      <w:pPr>
        <w:tabs>
          <w:tab w:val="left" w:pos="360"/>
        </w:tabs>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出现上述不予退还情形的，采购人告知采购代理机构登记后，自动划转其投标保证金至采购人指定账户，不再退还给投标供应商。</w:t>
      </w:r>
    </w:p>
    <w:p w14:paraId="718385AC">
      <w:pPr>
        <w:tabs>
          <w:tab w:val="left" w:pos="535"/>
        </w:tabs>
        <w:overflowPunct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13. </w:t>
      </w:r>
      <w:r>
        <w:rPr>
          <w:rFonts w:hint="eastAsia" w:ascii="宋体" w:hAnsi="宋体" w:cs="宋体"/>
          <w:b/>
          <w:bCs/>
          <w:color w:val="auto"/>
          <w:sz w:val="22"/>
          <w:szCs w:val="22"/>
          <w:highlight w:val="none"/>
        </w:rPr>
        <w:t>投标有效期</w:t>
      </w:r>
    </w:p>
    <w:p w14:paraId="2D384253">
      <w:pPr>
        <w:numPr>
          <w:ilvl w:val="1"/>
          <w:numId w:val="10"/>
        </w:numPr>
        <w:tabs>
          <w:tab w:val="clear" w:pos="992"/>
        </w:tabs>
        <w:overflowPunct w:val="0"/>
        <w:spacing w:line="360" w:lineRule="auto"/>
        <w:ind w:left="540" w:hanging="540"/>
        <w:rPr>
          <w:rFonts w:ascii="宋体" w:hAnsi="宋体" w:cs="宋体"/>
          <w:b/>
          <w:bCs/>
          <w:color w:val="auto"/>
          <w:sz w:val="22"/>
          <w:szCs w:val="22"/>
          <w:highlight w:val="none"/>
          <w:u w:val="single"/>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投标有效期</w:t>
      </w:r>
      <w:bookmarkStart w:id="127" w:name="_Hlk74606726"/>
      <w:r>
        <w:rPr>
          <w:rFonts w:hint="eastAsia" w:ascii="宋体" w:hAnsi="宋体" w:cs="宋体"/>
          <w:b/>
          <w:bCs/>
          <w:color w:val="auto"/>
          <w:sz w:val="22"/>
          <w:szCs w:val="22"/>
          <w:highlight w:val="none"/>
          <w:u w:val="single"/>
        </w:rPr>
        <w:t>详见《投标供应商须知前附表》规定</w:t>
      </w:r>
      <w:bookmarkEnd w:id="127"/>
      <w:r>
        <w:rPr>
          <w:rFonts w:hint="eastAsia" w:ascii="宋体" w:hAnsi="宋体" w:cs="宋体"/>
          <w:b/>
          <w:bCs/>
          <w:color w:val="auto"/>
          <w:sz w:val="22"/>
          <w:szCs w:val="22"/>
          <w:highlight w:val="none"/>
          <w:u w:val="single"/>
        </w:rPr>
        <w:t>。投标有效期短于这个规定期限的投标将视为非响应性投标而予以拒绝。</w:t>
      </w:r>
    </w:p>
    <w:p w14:paraId="373A0E4B">
      <w:pPr>
        <w:numPr>
          <w:ilvl w:val="1"/>
          <w:numId w:val="10"/>
        </w:numPr>
        <w:tabs>
          <w:tab w:val="clear" w:pos="992"/>
        </w:tabs>
        <w:overflowPunct w:val="0"/>
        <w:spacing w:line="360" w:lineRule="auto"/>
        <w:ind w:left="540" w:hanging="540"/>
        <w:rPr>
          <w:rFonts w:ascii="宋体" w:hAnsi="宋体" w:cs="宋体"/>
          <w:color w:val="auto"/>
          <w:sz w:val="22"/>
          <w:szCs w:val="22"/>
          <w:highlight w:val="none"/>
        </w:rPr>
      </w:pPr>
      <w:r>
        <w:rPr>
          <w:rFonts w:hint="eastAsia" w:ascii="宋体" w:hAnsi="宋体" w:cs="宋体"/>
          <w:color w:val="auto"/>
          <w:sz w:val="22"/>
          <w:szCs w:val="22"/>
          <w:highlight w:val="none"/>
        </w:rPr>
        <w:t>特殊情况下，在原投标有效期截止前，采购人可与投标供应商协商延长投标有效期，这种要求和答复均以书面形式进行。投标供应商可拒绝接受延期要求。如同意延长投标有效期的投标供应商不得修改投标文件。</w:t>
      </w:r>
    </w:p>
    <w:p w14:paraId="7456A4A8">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14.  投标文件的签署（签字或盖章）和规定</w:t>
      </w:r>
    </w:p>
    <w:p w14:paraId="05A56909">
      <w:pPr>
        <w:numPr>
          <w:ilvl w:val="1"/>
          <w:numId w:val="11"/>
        </w:numPr>
        <w:tabs>
          <w:tab w:val="left" w:pos="642"/>
          <w:tab w:val="clear" w:pos="992"/>
        </w:tabs>
        <w:overflowPunct w:val="0"/>
        <w:spacing w:line="360" w:lineRule="auto"/>
        <w:ind w:left="642" w:hanging="642"/>
        <w:rPr>
          <w:rFonts w:ascii="宋体" w:hAnsi="宋体" w:cs="宋体"/>
          <w:color w:val="auto"/>
          <w:sz w:val="22"/>
          <w:szCs w:val="22"/>
          <w:highlight w:val="none"/>
        </w:rPr>
      </w:pPr>
      <w:r>
        <w:rPr>
          <w:rFonts w:hint="eastAsia" w:ascii="宋体" w:hAnsi="宋体" w:cs="宋体"/>
          <w:b/>
          <w:bCs/>
          <w:color w:val="auto"/>
          <w:sz w:val="22"/>
          <w:szCs w:val="22"/>
          <w:highlight w:val="none"/>
        </w:rPr>
        <w:t>本项目通过“政府采购云平台（https://www.zcygov.cn）”实行在线投标响应（电子投标）。投标供应商应通过“政采云电子交易客户端”，并按照本采购文件和“政府采购云平台”的要求编制并加密投标文件</w:t>
      </w:r>
      <w:r>
        <w:rPr>
          <w:rFonts w:hint="eastAsia" w:ascii="宋体" w:hAnsi="宋体" w:cs="宋体"/>
          <w:color w:val="auto"/>
          <w:sz w:val="22"/>
          <w:szCs w:val="22"/>
          <w:highlight w:val="none"/>
        </w:rPr>
        <w:t>。</w:t>
      </w:r>
    </w:p>
    <w:p w14:paraId="43DE657B">
      <w:pPr>
        <w:numPr>
          <w:ilvl w:val="1"/>
          <w:numId w:val="11"/>
        </w:numPr>
        <w:tabs>
          <w:tab w:val="left" w:pos="642"/>
          <w:tab w:val="clear" w:pos="992"/>
        </w:tabs>
        <w:overflowPunct w:val="0"/>
        <w:spacing w:line="360" w:lineRule="auto"/>
        <w:ind w:left="642" w:hanging="642"/>
        <w:rPr>
          <w:rFonts w:ascii="宋体" w:hAnsi="宋体" w:cs="宋体"/>
          <w:b/>
          <w:bCs/>
          <w:color w:val="auto"/>
          <w:sz w:val="22"/>
          <w:szCs w:val="22"/>
          <w:highlight w:val="none"/>
        </w:rPr>
      </w:pPr>
      <w:r>
        <w:rPr>
          <w:rFonts w:hint="eastAsia" w:ascii="宋体" w:hAnsi="宋体" w:cs="宋体"/>
          <w:b/>
          <w:bCs/>
          <w:color w:val="auto"/>
          <w:sz w:val="22"/>
          <w:szCs w:val="22"/>
          <w:highlight w:val="none"/>
        </w:rPr>
        <w:t>投标供应商应当按照本章节“投标文件由‘资格文件’、‘报价文件’和‘商务技术文件’三个部分组成”规定的内容及顺序在“政采云电子交易客户端”编制投标文件。其中“资格文件”和“商务技术文件”中不得出现本项目投标报价，如因投标供应商原因提前泄露投标报价，是投标供应商的责任。</w:t>
      </w:r>
    </w:p>
    <w:p w14:paraId="410C5FFE">
      <w:pPr>
        <w:numPr>
          <w:ilvl w:val="1"/>
          <w:numId w:val="11"/>
        </w:numPr>
        <w:tabs>
          <w:tab w:val="clear" w:pos="992"/>
        </w:tabs>
        <w:overflowPunct w:val="0"/>
        <w:spacing w:line="360" w:lineRule="auto"/>
        <w:ind w:left="540" w:hanging="540"/>
        <w:rPr>
          <w:rFonts w:ascii="宋体" w:hAnsi="宋体" w:cs="宋体"/>
          <w:b/>
          <w:color w:val="auto"/>
          <w:sz w:val="22"/>
          <w:szCs w:val="22"/>
          <w:highlight w:val="none"/>
        </w:rPr>
      </w:pPr>
      <w:r>
        <w:rPr>
          <w:rFonts w:hint="eastAsia" w:ascii="宋体" w:hAnsi="宋体" w:cs="宋体"/>
          <w:b/>
          <w:color w:val="auto"/>
          <w:sz w:val="22"/>
          <w:szCs w:val="22"/>
          <w:highlight w:val="none"/>
        </w:rPr>
        <w:t xml:space="preserve"> 本文件“第三部分 附件”中有提供格式的，投标供应商须参照格式进行编制（格式中要求提供相关证明材料的还需后附相关证明材料），并按格式要求在指定位置根据要求加盖投标供应商公章，并由法定代表人（或单位负责人）或其授权代表签署（签字或盖章），否则视为未提供；本文件“第三部分 附件”未提供格式的，请各投标单位自行拟定格式，并加盖投标供应商公章，并由法定代表人（或单位负责人）或其授权代表签署（签字或盖章），否则视为未提供。</w:t>
      </w:r>
    </w:p>
    <w:p w14:paraId="6828EAC9">
      <w:pPr>
        <w:numPr>
          <w:ilvl w:val="1"/>
          <w:numId w:val="11"/>
        </w:numPr>
        <w:tabs>
          <w:tab w:val="clear" w:pos="992"/>
        </w:tabs>
        <w:overflowPunct w:val="0"/>
        <w:spacing w:line="360" w:lineRule="auto"/>
        <w:ind w:left="540" w:hanging="540"/>
        <w:rPr>
          <w:rFonts w:ascii="宋体" w:hAnsi="宋体" w:cs="宋体"/>
          <w:b/>
          <w:color w:val="auto"/>
          <w:sz w:val="22"/>
          <w:szCs w:val="22"/>
          <w:highlight w:val="none"/>
        </w:rPr>
      </w:pPr>
      <w:r>
        <w:rPr>
          <w:rFonts w:hint="eastAsia" w:ascii="宋体" w:hAnsi="宋体" w:cs="宋体"/>
          <w:b/>
          <w:color w:val="auto"/>
          <w:sz w:val="22"/>
          <w:szCs w:val="22"/>
          <w:highlight w:val="none"/>
        </w:rPr>
        <w:t>投标文件内容不完整、编排混乱导致投标文件被误读、漏读或者查找不到相关内容的，是投标供应商的责任。</w:t>
      </w:r>
    </w:p>
    <w:p w14:paraId="7C2F00F8">
      <w:pPr>
        <w:numPr>
          <w:ilvl w:val="1"/>
          <w:numId w:val="11"/>
        </w:numPr>
        <w:tabs>
          <w:tab w:val="left" w:pos="567"/>
          <w:tab w:val="clear" w:pos="992"/>
        </w:tabs>
        <w:overflowPunct w:val="0"/>
        <w:spacing w:line="360" w:lineRule="auto"/>
        <w:ind w:left="567"/>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投标文件因字迹潦草或表达不清所引起的后果由投标供应商负责。</w:t>
      </w:r>
    </w:p>
    <w:p w14:paraId="14CAAE88">
      <w:pPr>
        <w:numPr>
          <w:ilvl w:val="1"/>
          <w:numId w:val="11"/>
        </w:numPr>
        <w:tabs>
          <w:tab w:val="clear" w:pos="992"/>
        </w:tabs>
        <w:overflowPunct w:val="0"/>
        <w:spacing w:line="360" w:lineRule="auto"/>
        <w:ind w:left="540" w:hanging="540"/>
        <w:rPr>
          <w:rFonts w:ascii="宋体" w:hAnsi="宋体" w:cs="宋体"/>
          <w:b/>
          <w:bCs/>
          <w:color w:val="auto"/>
          <w:sz w:val="22"/>
          <w:szCs w:val="22"/>
          <w:highlight w:val="none"/>
        </w:rPr>
      </w:pPr>
      <w:r>
        <w:rPr>
          <w:rFonts w:hint="eastAsia" w:ascii="宋体" w:hAnsi="宋体" w:cs="宋体"/>
          <w:b/>
          <w:bCs/>
          <w:color w:val="auto"/>
          <w:sz w:val="22"/>
          <w:szCs w:val="22"/>
          <w:highlight w:val="none"/>
        </w:rPr>
        <w:t>投标供应商没有按照本章节 “投标文件由‘资格文件’、‘报价文件’和‘商务技术文件’三个部分组成”要求提供全部资料，或者没有仔细阅读采购文件，或者没有对采购文件在各方面的要求作出实质性响应是投标供应商的风险，由此造成的一切后果由投标供应商自行承担。</w:t>
      </w:r>
    </w:p>
    <w:p w14:paraId="7E358F41">
      <w:pPr>
        <w:tabs>
          <w:tab w:val="left" w:pos="420"/>
          <w:tab w:val="left" w:pos="540"/>
        </w:tabs>
        <w:spacing w:line="360" w:lineRule="auto"/>
        <w:rPr>
          <w:rFonts w:ascii="宋体" w:hAnsi="宋体" w:cs="宋体"/>
          <w:color w:val="auto"/>
          <w:sz w:val="22"/>
          <w:szCs w:val="22"/>
          <w:highlight w:val="none"/>
        </w:rPr>
      </w:pPr>
      <w:bookmarkStart w:id="128" w:name="_Toc241404202"/>
      <w:bookmarkStart w:id="129" w:name="_Toc251592737"/>
      <w:bookmarkStart w:id="130" w:name="_Toc245191314"/>
      <w:bookmarkStart w:id="131" w:name="_Toc28415"/>
      <w:bookmarkStart w:id="132" w:name="_Toc251325214"/>
      <w:bookmarkStart w:id="133" w:name="_Toc222114879"/>
      <w:bookmarkStart w:id="134" w:name="_Toc221356951"/>
      <w:bookmarkStart w:id="135" w:name="_Toc223715998"/>
      <w:bookmarkStart w:id="136" w:name="_Toc221423619"/>
      <w:bookmarkStart w:id="137" w:name="_Toc252194852"/>
      <w:bookmarkStart w:id="138" w:name="_Toc245722281"/>
      <w:bookmarkStart w:id="139" w:name="_Toc12648"/>
      <w:bookmarkStart w:id="140" w:name="_Toc221374626"/>
      <w:bookmarkStart w:id="141" w:name="_Toc239145354"/>
      <w:bookmarkStart w:id="142" w:name="_Toc221356887"/>
      <w:bookmarkStart w:id="143" w:name="_Toc246261265"/>
      <w:r>
        <w:rPr>
          <w:rFonts w:hint="eastAsia" w:ascii="宋体" w:hAnsi="宋体" w:cs="宋体"/>
          <w:color w:val="auto"/>
          <w:sz w:val="22"/>
          <w:szCs w:val="22"/>
          <w:highlight w:val="none"/>
        </w:rPr>
        <w:t>15. 投标文件的签章、形式及份数</w:t>
      </w:r>
    </w:p>
    <w:p w14:paraId="28DEC030">
      <w:pPr>
        <w:numPr>
          <w:ilvl w:val="1"/>
          <w:numId w:val="12"/>
        </w:numPr>
        <w:tabs>
          <w:tab w:val="left" w:pos="642"/>
          <w:tab w:val="clear" w:pos="992"/>
        </w:tabs>
        <w:overflowPunct w:val="0"/>
        <w:spacing w:line="360" w:lineRule="auto"/>
        <w:ind w:left="642" w:hanging="642"/>
        <w:rPr>
          <w:rFonts w:ascii="宋体" w:hAnsi="宋体" w:cs="宋体"/>
          <w:color w:val="auto"/>
          <w:sz w:val="22"/>
          <w:szCs w:val="22"/>
          <w:highlight w:val="none"/>
        </w:rPr>
      </w:pPr>
      <w:r>
        <w:rPr>
          <w:rFonts w:hint="eastAsia" w:ascii="宋体" w:hAnsi="宋体" w:cs="宋体"/>
          <w:b/>
          <w:bCs/>
          <w:color w:val="auto"/>
          <w:sz w:val="22"/>
          <w:szCs w:val="22"/>
          <w:highlight w:val="none"/>
        </w:rPr>
        <w:t>投标文件的签章、形式及份数:详见《投标供应商须知前附表》规定。</w:t>
      </w:r>
    </w:p>
    <w:p w14:paraId="380FB48C">
      <w:pPr>
        <w:overflowPunct w:val="0"/>
        <w:spacing w:before="100" w:beforeAutospacing="1" w:after="100" w:afterAutospacing="1" w:line="360" w:lineRule="auto"/>
        <w:jc w:val="center"/>
        <w:outlineLvl w:val="0"/>
        <w:rPr>
          <w:rFonts w:ascii="宋体" w:hAnsi="宋体" w:cs="宋体"/>
          <w:b/>
          <w:bCs/>
          <w:color w:val="auto"/>
          <w:sz w:val="22"/>
          <w:szCs w:val="22"/>
          <w:highlight w:val="none"/>
        </w:rPr>
      </w:pPr>
      <w:bookmarkStart w:id="144" w:name="_Toc16902"/>
      <w:bookmarkStart w:id="145" w:name="_Toc19920"/>
      <w:bookmarkStart w:id="146" w:name="_Toc142923324"/>
      <w:bookmarkStart w:id="147" w:name="_Toc7736"/>
      <w:bookmarkStart w:id="148" w:name="_Toc29196"/>
      <w:r>
        <w:rPr>
          <w:rFonts w:hint="eastAsia" w:ascii="宋体" w:hAnsi="宋体" w:cs="宋体"/>
          <w:b/>
          <w:bCs/>
          <w:color w:val="auto"/>
          <w:sz w:val="24"/>
          <w:szCs w:val="24"/>
          <w:highlight w:val="none"/>
        </w:rPr>
        <w:t>四、 投标文件的递交</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CD51E0A">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16. 投标文件的上传和递交</w:t>
      </w:r>
    </w:p>
    <w:p w14:paraId="32CC06AE">
      <w:pPr>
        <w:numPr>
          <w:ilvl w:val="1"/>
          <w:numId w:val="13"/>
        </w:numPr>
        <w:tabs>
          <w:tab w:val="left" w:pos="535"/>
          <w:tab w:val="clear" w:pos="992"/>
        </w:tabs>
        <w:overflowPunct w:val="0"/>
        <w:spacing w:line="360" w:lineRule="auto"/>
        <w:ind w:left="535" w:hanging="535"/>
        <w:rPr>
          <w:rFonts w:ascii="宋体" w:hAnsi="宋体" w:cs="宋体"/>
          <w:color w:val="auto"/>
          <w:sz w:val="22"/>
          <w:szCs w:val="22"/>
          <w:highlight w:val="none"/>
        </w:rPr>
      </w:pPr>
      <w:r>
        <w:rPr>
          <w:rFonts w:hint="eastAsia" w:ascii="宋体" w:hAnsi="宋体" w:cs="宋体"/>
          <w:color w:val="auto"/>
          <w:sz w:val="22"/>
          <w:szCs w:val="22"/>
          <w:highlight w:val="none"/>
        </w:rPr>
        <w:t>投标文件的上传和递交：见《投标供应商须知前附表》。</w:t>
      </w:r>
    </w:p>
    <w:p w14:paraId="25CE9996">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17. 投标文件的修改和撤回</w:t>
      </w:r>
    </w:p>
    <w:p w14:paraId="448742D0">
      <w:pPr>
        <w:numPr>
          <w:ilvl w:val="1"/>
          <w:numId w:val="14"/>
        </w:numPr>
        <w:tabs>
          <w:tab w:val="left" w:pos="535"/>
          <w:tab w:val="clear" w:pos="992"/>
        </w:tabs>
        <w:overflowPunct w:val="0"/>
        <w:spacing w:line="360" w:lineRule="auto"/>
        <w:ind w:left="535" w:hanging="535"/>
        <w:rPr>
          <w:rFonts w:ascii="宋体" w:hAnsi="宋体" w:cs="宋体"/>
          <w:b/>
          <w:bCs/>
          <w:color w:val="auto"/>
          <w:sz w:val="22"/>
          <w:szCs w:val="22"/>
          <w:highlight w:val="none"/>
        </w:rPr>
      </w:pPr>
      <w:r>
        <w:rPr>
          <w:rFonts w:hint="eastAsia" w:ascii="宋体" w:hAnsi="宋体" w:cs="宋体"/>
          <w:b/>
          <w:color w:val="auto"/>
          <w:sz w:val="22"/>
          <w:szCs w:val="22"/>
          <w:highlight w:val="none"/>
        </w:rPr>
        <w:t>投标文件应当在投标截止时间前完成投标文件的上传、递交，并可以补充、修改或者撤回投标文件。补充或者修改投标文件的，应当先行撤回原文件，补充、修改后重新上传、递交。投标截止时间后递交的投标文件，“政府采购云平台”将予以拒收。</w:t>
      </w:r>
    </w:p>
    <w:p w14:paraId="6068D8D4">
      <w:pPr>
        <w:numPr>
          <w:ilvl w:val="1"/>
          <w:numId w:val="14"/>
        </w:numPr>
        <w:tabs>
          <w:tab w:val="left" w:pos="540"/>
          <w:tab w:val="clear" w:pos="992"/>
        </w:tabs>
        <w:overflowPunct w:val="0"/>
        <w:spacing w:line="360" w:lineRule="auto"/>
        <w:ind w:left="540" w:hanging="540"/>
        <w:rPr>
          <w:rFonts w:ascii="宋体" w:hAnsi="宋体" w:cs="宋体"/>
          <w:color w:val="auto"/>
          <w:sz w:val="22"/>
          <w:szCs w:val="22"/>
          <w:highlight w:val="none"/>
        </w:rPr>
      </w:pPr>
      <w:r>
        <w:rPr>
          <w:rFonts w:hint="eastAsia" w:ascii="宋体" w:hAnsi="宋体" w:cs="宋体"/>
          <w:bCs/>
          <w:color w:val="auto"/>
          <w:sz w:val="22"/>
          <w:szCs w:val="22"/>
          <w:highlight w:val="none"/>
        </w:rPr>
        <w:t>从投标截止日期起至投标有效期满这段时间内，投标供应商不得撤回其投标文件，投标供应商强行撤回其投标文件的，应按采购预算金额的2%赔偿对采购组织机构造成的损失</w:t>
      </w:r>
      <w:r>
        <w:rPr>
          <w:rFonts w:hint="eastAsia" w:ascii="宋体" w:hAnsi="宋体" w:cs="宋体"/>
          <w:color w:val="auto"/>
          <w:sz w:val="22"/>
          <w:szCs w:val="22"/>
          <w:highlight w:val="none"/>
        </w:rPr>
        <w:t>。</w:t>
      </w:r>
    </w:p>
    <w:p w14:paraId="09DE819B">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18.▲</w:t>
      </w:r>
      <w:r>
        <w:rPr>
          <w:rFonts w:hint="eastAsia" w:ascii="宋体" w:hAnsi="宋体" w:cs="宋体"/>
          <w:color w:val="auto"/>
          <w:sz w:val="22"/>
          <w:szCs w:val="22"/>
          <w:highlight w:val="none"/>
          <w:u w:val="single"/>
        </w:rPr>
        <w:t>发生下列情况之一的投标文件将拒收</w:t>
      </w:r>
      <w:r>
        <w:rPr>
          <w:rFonts w:hint="eastAsia" w:ascii="宋体" w:hAnsi="宋体" w:cs="宋体"/>
          <w:color w:val="auto"/>
          <w:sz w:val="22"/>
          <w:szCs w:val="22"/>
          <w:highlight w:val="none"/>
        </w:rPr>
        <w:t>：</w:t>
      </w:r>
    </w:p>
    <w:p w14:paraId="62454843">
      <w:pPr>
        <w:numPr>
          <w:ilvl w:val="1"/>
          <w:numId w:val="15"/>
        </w:numPr>
        <w:tabs>
          <w:tab w:val="left" w:pos="535"/>
          <w:tab w:val="clear" w:pos="992"/>
        </w:tabs>
        <w:overflowPunct w:val="0"/>
        <w:spacing w:line="360" w:lineRule="auto"/>
        <w:ind w:left="535" w:hanging="535"/>
        <w:rPr>
          <w:rFonts w:ascii="宋体" w:hAnsi="宋体" w:cs="宋体"/>
          <w:color w:val="auto"/>
          <w:sz w:val="22"/>
          <w:szCs w:val="22"/>
          <w:highlight w:val="none"/>
        </w:rPr>
      </w:pPr>
      <w:r>
        <w:rPr>
          <w:rFonts w:hint="eastAsia" w:ascii="宋体" w:hAnsi="宋体" w:cs="宋体"/>
          <w:color w:val="auto"/>
          <w:sz w:val="22"/>
          <w:szCs w:val="22"/>
          <w:highlight w:val="none"/>
        </w:rPr>
        <w:t>在投标截止时间以后未上传成功的投标文件；</w:t>
      </w:r>
    </w:p>
    <w:p w14:paraId="649FD737">
      <w:pPr>
        <w:pStyle w:val="4"/>
        <w:spacing w:line="360" w:lineRule="auto"/>
        <w:ind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18.2在投标截止时间以后递交的备份投标文件。</w:t>
      </w:r>
    </w:p>
    <w:p w14:paraId="1DC1404E">
      <w:pPr>
        <w:tabs>
          <w:tab w:val="left" w:pos="360"/>
          <w:tab w:val="left" w:pos="540"/>
          <w:tab w:val="left" w:pos="1260"/>
        </w:tabs>
        <w:overflowPunct w:val="0"/>
        <w:spacing w:before="100" w:beforeAutospacing="1" w:after="100" w:afterAutospacing="1" w:line="360" w:lineRule="auto"/>
        <w:ind w:left="777" w:hanging="848" w:hangingChars="352"/>
        <w:jc w:val="center"/>
        <w:outlineLvl w:val="0"/>
        <w:rPr>
          <w:rFonts w:ascii="宋体" w:hAnsi="宋体" w:cs="宋体"/>
          <w:color w:val="auto"/>
          <w:sz w:val="24"/>
          <w:szCs w:val="24"/>
          <w:highlight w:val="none"/>
        </w:rPr>
      </w:pPr>
      <w:bookmarkStart w:id="149" w:name="_Toc241404203"/>
      <w:bookmarkStart w:id="150" w:name="_Toc239145355"/>
      <w:bookmarkStart w:id="151" w:name="_Toc222114880"/>
      <w:bookmarkStart w:id="152" w:name="_Toc17846"/>
      <w:bookmarkStart w:id="153" w:name="_Toc221356888"/>
      <w:bookmarkStart w:id="154" w:name="_Toc221356952"/>
      <w:bookmarkStart w:id="155" w:name="_Toc246261266"/>
      <w:bookmarkStart w:id="156" w:name="_Toc251592738"/>
      <w:bookmarkStart w:id="157" w:name="_Toc10204"/>
      <w:bookmarkStart w:id="158" w:name="_Toc245722282"/>
      <w:bookmarkStart w:id="159" w:name="_Toc142923325"/>
      <w:bookmarkStart w:id="160" w:name="_Toc32538"/>
      <w:bookmarkStart w:id="161" w:name="_Toc252194853"/>
      <w:bookmarkStart w:id="162" w:name="_Toc221374627"/>
      <w:bookmarkStart w:id="163" w:name="_Toc251325215"/>
      <w:bookmarkStart w:id="164" w:name="_Toc223715999"/>
      <w:bookmarkStart w:id="165" w:name="_Toc245191315"/>
      <w:bookmarkStart w:id="166" w:name="_Toc7169"/>
      <w:bookmarkStart w:id="167" w:name="_Toc221423620"/>
      <w:bookmarkStart w:id="168" w:name="_Toc28296"/>
      <w:bookmarkStart w:id="169" w:name="_Toc2634"/>
      <w:r>
        <w:rPr>
          <w:rFonts w:hint="eastAsia" w:ascii="宋体" w:hAnsi="宋体" w:cs="宋体"/>
          <w:b/>
          <w:bCs/>
          <w:color w:val="auto"/>
          <w:sz w:val="24"/>
          <w:szCs w:val="24"/>
          <w:highlight w:val="none"/>
        </w:rPr>
        <w:t>五、 开标和评标</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ADC6320">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19. 评标委员会</w:t>
      </w:r>
    </w:p>
    <w:p w14:paraId="26EB0F23">
      <w:pPr>
        <w:tabs>
          <w:tab w:val="left" w:pos="540"/>
          <w:tab w:val="left" w:pos="6986"/>
        </w:tabs>
        <w:overflowPunct w:val="0"/>
        <w:spacing w:line="360" w:lineRule="auto"/>
        <w:ind w:left="550" w:hanging="550" w:hangingChars="250"/>
        <w:rPr>
          <w:rFonts w:ascii="宋体" w:hAnsi="宋体" w:cs="宋体"/>
          <w:bCs/>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评标委员会成员按</w:t>
      </w:r>
      <w:r>
        <w:rPr>
          <w:rFonts w:hint="eastAsia" w:ascii="宋体" w:hAnsi="宋体" w:cs="宋体"/>
          <w:bCs/>
          <w:color w:val="auto"/>
          <w:sz w:val="22"/>
          <w:szCs w:val="22"/>
          <w:highlight w:val="none"/>
        </w:rPr>
        <w:t>《投标供应商须知前附表》规定组建。</w:t>
      </w:r>
      <w:r>
        <w:rPr>
          <w:rFonts w:hint="eastAsia" w:ascii="宋体" w:hAnsi="宋体" w:cs="宋体"/>
          <w:bCs/>
          <w:color w:val="auto"/>
          <w:sz w:val="22"/>
          <w:szCs w:val="22"/>
          <w:highlight w:val="none"/>
        </w:rPr>
        <w:tab/>
      </w:r>
    </w:p>
    <w:p w14:paraId="044EC43C">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20. 评标过程的保密性</w:t>
      </w:r>
    </w:p>
    <w:p w14:paraId="748F94E7">
      <w:pPr>
        <w:overflowPunct w:val="0"/>
        <w:spacing w:line="360" w:lineRule="auto"/>
        <w:ind w:left="617" w:leftChars="257"/>
        <w:rPr>
          <w:rFonts w:ascii="宋体" w:hAnsi="宋体" w:cs="宋体"/>
          <w:b/>
          <w:bCs/>
          <w:color w:val="auto"/>
          <w:sz w:val="22"/>
          <w:szCs w:val="22"/>
          <w:highlight w:val="none"/>
          <w:u w:val="single"/>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凡与评审有关的资料均不得向投标供应商及与评标无关人员透露。如果投标供应商在评标过程中试图向采购人、采购代理机构或评标委员会成员施加影响，其投标将被拒绝。</w:t>
      </w:r>
    </w:p>
    <w:p w14:paraId="4A987E95">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21. 开标、评标 </w:t>
      </w:r>
    </w:p>
    <w:p w14:paraId="7B3A59EA">
      <w:pPr>
        <w:numPr>
          <w:ilvl w:val="1"/>
          <w:numId w:val="16"/>
        </w:numPr>
        <w:tabs>
          <w:tab w:val="left" w:pos="535"/>
          <w:tab w:val="left" w:pos="992"/>
        </w:tabs>
        <w:overflowPunct w:val="0"/>
        <w:spacing w:line="360" w:lineRule="auto"/>
        <w:ind w:left="535" w:hanging="535"/>
        <w:rPr>
          <w:rFonts w:ascii="宋体" w:hAnsi="宋体" w:cs="宋体"/>
          <w:bCs/>
          <w:color w:val="auto"/>
          <w:sz w:val="22"/>
          <w:szCs w:val="22"/>
          <w:highlight w:val="none"/>
        </w:rPr>
      </w:pPr>
      <w:r>
        <w:rPr>
          <w:rFonts w:hint="eastAsia" w:ascii="宋体" w:hAnsi="宋体" w:cs="宋体"/>
          <w:bCs/>
          <w:color w:val="auto"/>
          <w:sz w:val="22"/>
          <w:szCs w:val="22"/>
          <w:highlight w:val="none"/>
        </w:rPr>
        <w:t>开标第一阶段</w:t>
      </w:r>
    </w:p>
    <w:p w14:paraId="5943FB45">
      <w:pPr>
        <w:tabs>
          <w:tab w:val="left" w:pos="426"/>
          <w:tab w:val="left" w:pos="992"/>
        </w:tabs>
        <w:overflowPunct w:val="0"/>
        <w:spacing w:line="360" w:lineRule="auto"/>
        <w:ind w:left="485" w:leftChars="202"/>
        <w:rPr>
          <w:rFonts w:ascii="宋体" w:hAnsi="宋体" w:cs="宋体"/>
          <w:bCs/>
          <w:color w:val="auto"/>
          <w:sz w:val="22"/>
          <w:szCs w:val="22"/>
          <w:highlight w:val="none"/>
        </w:rPr>
      </w:pPr>
      <w:r>
        <w:rPr>
          <w:rFonts w:hint="eastAsia" w:ascii="宋体" w:hAnsi="宋体" w:cs="宋体"/>
          <w:bCs/>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33A7DAF">
      <w:pPr>
        <w:tabs>
          <w:tab w:val="left" w:pos="426"/>
          <w:tab w:val="left" w:pos="992"/>
        </w:tabs>
        <w:overflowPunct w:val="0"/>
        <w:spacing w:line="360" w:lineRule="auto"/>
        <w:ind w:left="485" w:leftChars="202"/>
        <w:rPr>
          <w:rFonts w:ascii="宋体" w:hAnsi="宋体" w:cs="宋体"/>
          <w:bCs/>
          <w:color w:val="auto"/>
          <w:sz w:val="22"/>
          <w:szCs w:val="22"/>
          <w:highlight w:val="none"/>
        </w:rPr>
      </w:pPr>
      <w:r>
        <w:rPr>
          <w:rFonts w:hint="eastAsia" w:ascii="宋体" w:hAnsi="宋体" w:cs="宋体"/>
          <w:bCs/>
          <w:color w:val="auto"/>
          <w:sz w:val="22"/>
          <w:szCs w:val="22"/>
          <w:highlight w:val="none"/>
        </w:rPr>
        <w:t>（2）</w:t>
      </w:r>
      <w:r>
        <w:rPr>
          <w:rFonts w:hint="eastAsia" w:ascii="宋体" w:hAnsi="宋体" w:cs="宋体"/>
          <w:b/>
          <w:bCs/>
          <w:color w:val="auto"/>
          <w:kern w:val="0"/>
          <w:sz w:val="22"/>
          <w:szCs w:val="22"/>
          <w:highlight w:val="none"/>
        </w:rPr>
        <w:t>开标现场组织人员在政府采购云平台在线公布投标文件解密情况并组织签署《国企采购活动现场确认声明书》（投标文件解密结束后，采购代理机构将以 E-mail电子邮件形式统一向所有成功解密投标文件的投标供应商送达“要求签署和提交《国企采购活动现场确认声明书》的通知”。投标供应商需在送达通知后尽快完成确认书的提交（扫描后发送至采购代理机构邮箱：</w:t>
      </w:r>
      <w:r>
        <w:rPr>
          <w:rFonts w:hint="eastAsia" w:ascii="宋体" w:hAnsi="宋体" w:cs="宋体"/>
          <w:b/>
          <w:bCs/>
          <w:color w:val="auto"/>
          <w:kern w:val="0"/>
          <w:sz w:val="22"/>
          <w:szCs w:val="22"/>
          <w:highlight w:val="none"/>
          <w:lang w:eastAsia="zh-CN"/>
        </w:rPr>
        <w:t>323117011@qq.com</w:t>
      </w:r>
      <w:r>
        <w:rPr>
          <w:rFonts w:hint="eastAsia" w:ascii="宋体" w:hAnsi="宋体" w:cs="宋体"/>
          <w:b/>
          <w:bCs/>
          <w:color w:val="auto"/>
          <w:kern w:val="0"/>
          <w:sz w:val="22"/>
          <w:szCs w:val="22"/>
          <w:highlight w:val="none"/>
        </w:rPr>
        <w:t>）</w:t>
      </w:r>
      <w:r>
        <w:rPr>
          <w:rFonts w:hint="eastAsia" w:ascii="宋体" w:hAnsi="宋体" w:cs="宋体"/>
          <w:bCs/>
          <w:color w:val="auto"/>
          <w:sz w:val="22"/>
          <w:szCs w:val="22"/>
          <w:highlight w:val="none"/>
        </w:rPr>
        <w:t>；</w:t>
      </w:r>
    </w:p>
    <w:p w14:paraId="1A58B040">
      <w:pPr>
        <w:tabs>
          <w:tab w:val="left" w:pos="426"/>
          <w:tab w:val="left" w:pos="992"/>
        </w:tabs>
        <w:overflowPunct w:val="0"/>
        <w:spacing w:line="360" w:lineRule="auto"/>
        <w:ind w:left="485" w:leftChars="202"/>
        <w:rPr>
          <w:rFonts w:ascii="宋体" w:hAnsi="宋体" w:cs="宋体"/>
          <w:bCs/>
          <w:color w:val="auto"/>
          <w:sz w:val="22"/>
          <w:szCs w:val="22"/>
          <w:highlight w:val="none"/>
        </w:rPr>
      </w:pPr>
      <w:r>
        <w:rPr>
          <w:rFonts w:hint="eastAsia" w:ascii="宋体" w:hAnsi="宋体" w:cs="宋体"/>
          <w:bCs/>
          <w:color w:val="auto"/>
          <w:sz w:val="22"/>
          <w:szCs w:val="22"/>
          <w:highlight w:val="none"/>
        </w:rPr>
        <w:t>（3）开启资格文件和商务技术文件，进入资格审查；</w:t>
      </w:r>
    </w:p>
    <w:p w14:paraId="6E2F9E3C">
      <w:pPr>
        <w:tabs>
          <w:tab w:val="left" w:pos="426"/>
          <w:tab w:val="left" w:pos="992"/>
        </w:tabs>
        <w:overflowPunct w:val="0"/>
        <w:spacing w:line="360" w:lineRule="auto"/>
        <w:ind w:left="485" w:leftChars="202"/>
        <w:rPr>
          <w:rFonts w:ascii="宋体" w:hAnsi="宋体" w:cs="宋体"/>
          <w:bCs/>
          <w:color w:val="auto"/>
          <w:sz w:val="22"/>
          <w:szCs w:val="22"/>
          <w:highlight w:val="none"/>
        </w:rPr>
      </w:pPr>
      <w:r>
        <w:rPr>
          <w:rFonts w:hint="eastAsia" w:ascii="宋体" w:hAnsi="宋体" w:cs="宋体"/>
          <w:bCs/>
          <w:color w:val="auto"/>
          <w:sz w:val="22"/>
          <w:szCs w:val="22"/>
          <w:highlight w:val="none"/>
        </w:rPr>
        <w:t>（4）资格审查通过的投标供应商的商务技术文件进入符合性审查、商务技术评审；</w:t>
      </w:r>
    </w:p>
    <w:p w14:paraId="6CA9899E">
      <w:pPr>
        <w:tabs>
          <w:tab w:val="left" w:pos="426"/>
          <w:tab w:val="left" w:pos="992"/>
        </w:tabs>
        <w:overflowPunct w:val="0"/>
        <w:spacing w:line="360" w:lineRule="auto"/>
        <w:ind w:left="485" w:leftChars="202"/>
        <w:rPr>
          <w:rFonts w:ascii="宋体" w:hAnsi="宋体" w:cs="宋体"/>
          <w:bCs/>
          <w:color w:val="auto"/>
          <w:sz w:val="22"/>
          <w:szCs w:val="22"/>
          <w:highlight w:val="none"/>
        </w:rPr>
      </w:pPr>
      <w:r>
        <w:rPr>
          <w:rFonts w:hint="eastAsia" w:ascii="宋体" w:hAnsi="宋体" w:cs="宋体"/>
          <w:bCs/>
          <w:color w:val="auto"/>
          <w:sz w:val="22"/>
          <w:szCs w:val="22"/>
          <w:highlight w:val="none"/>
        </w:rPr>
        <w:t>（5）第一阶段开标结束。</w:t>
      </w:r>
    </w:p>
    <w:p w14:paraId="7BD5ABA3">
      <w:pPr>
        <w:tabs>
          <w:tab w:val="left" w:pos="426"/>
          <w:tab w:val="left" w:pos="992"/>
        </w:tabs>
        <w:overflowPunct w:val="0"/>
        <w:spacing w:line="360" w:lineRule="auto"/>
        <w:ind w:left="485" w:leftChars="202"/>
        <w:rPr>
          <w:rFonts w:ascii="宋体" w:hAnsi="宋体" w:cs="宋体"/>
          <w:bCs/>
          <w:color w:val="auto"/>
          <w:sz w:val="22"/>
          <w:szCs w:val="22"/>
          <w:highlight w:val="none"/>
        </w:rPr>
      </w:pPr>
      <w:r>
        <w:rPr>
          <w:rFonts w:hint="eastAsia" w:ascii="宋体" w:hAnsi="宋体" w:cs="宋体"/>
          <w:bCs/>
          <w:color w:val="auto"/>
          <w:sz w:val="22"/>
          <w:szCs w:val="22"/>
          <w:highlight w:val="none"/>
        </w:rPr>
        <w:t>特别说明：如遇“政府采购云平台”电子化开标或评审程序调整的，按调整后程序执行。文件中规定所需发送给供应商相关资料的，可通过</w:t>
      </w:r>
      <w:r>
        <w:rPr>
          <w:rFonts w:hint="eastAsia" w:ascii="宋体" w:hAnsi="宋体" w:cs="宋体"/>
          <w:color w:val="auto"/>
          <w:sz w:val="22"/>
          <w:szCs w:val="22"/>
          <w:highlight w:val="none"/>
        </w:rPr>
        <w:t>政府采购云平台</w:t>
      </w:r>
      <w:r>
        <w:rPr>
          <w:rFonts w:hint="eastAsia" w:ascii="宋体" w:hAnsi="宋体" w:cs="宋体"/>
          <w:bCs/>
          <w:color w:val="auto"/>
          <w:sz w:val="22"/>
          <w:szCs w:val="22"/>
          <w:highlight w:val="none"/>
        </w:rPr>
        <w:t>或通过邮件、传真等其他有效形式以询标函形式提供。</w:t>
      </w:r>
    </w:p>
    <w:p w14:paraId="1B2D0C46">
      <w:pPr>
        <w:numPr>
          <w:ilvl w:val="1"/>
          <w:numId w:val="16"/>
        </w:numPr>
        <w:tabs>
          <w:tab w:val="left" w:pos="535"/>
          <w:tab w:val="left" w:pos="992"/>
        </w:tabs>
        <w:overflowPunct w:val="0"/>
        <w:spacing w:line="360" w:lineRule="auto"/>
        <w:ind w:left="535" w:hanging="535"/>
        <w:rPr>
          <w:rFonts w:ascii="宋体" w:hAnsi="宋体" w:cs="宋体"/>
          <w:bCs/>
          <w:color w:val="auto"/>
          <w:sz w:val="22"/>
          <w:szCs w:val="22"/>
          <w:highlight w:val="none"/>
        </w:rPr>
      </w:pPr>
      <w:r>
        <w:rPr>
          <w:rFonts w:hint="eastAsia" w:ascii="宋体" w:hAnsi="宋体" w:cs="宋体"/>
          <w:bCs/>
          <w:color w:val="auto"/>
          <w:sz w:val="22"/>
          <w:szCs w:val="22"/>
          <w:highlight w:val="none"/>
        </w:rPr>
        <w:t>投标文件的初审。初审分为资格审查和符合性审查。</w:t>
      </w:r>
    </w:p>
    <w:p w14:paraId="5B2A4BAA">
      <w:pPr>
        <w:tabs>
          <w:tab w:val="left" w:pos="860"/>
          <w:tab w:val="left" w:pos="1070"/>
          <w:tab w:val="left" w:pos="1284"/>
        </w:tabs>
        <w:overflowPunct w:val="0"/>
        <w:spacing w:line="360" w:lineRule="auto"/>
        <w:ind w:left="420"/>
        <w:rPr>
          <w:rFonts w:ascii="宋体" w:hAnsi="宋体" w:cs="宋体"/>
          <w:bCs/>
          <w:color w:val="auto"/>
          <w:sz w:val="22"/>
          <w:szCs w:val="22"/>
          <w:highlight w:val="none"/>
        </w:rPr>
      </w:pPr>
      <w:r>
        <w:rPr>
          <w:rFonts w:hint="eastAsia" w:ascii="宋体" w:hAnsi="宋体" w:cs="宋体"/>
          <w:bCs/>
          <w:color w:val="auto"/>
          <w:sz w:val="22"/>
          <w:szCs w:val="22"/>
          <w:highlight w:val="none"/>
        </w:rPr>
        <w:t>（1）资格审查。采购人授权评标委员会对各投标供应商进行资格审查，资格审查内容包括但不仅限于投标文件所提交证明材料是否能证明符合本项目对合格投标供应商的实质性要求。通过资格审查视作具备投标资格，</w:t>
      </w:r>
      <w:r>
        <w:rPr>
          <w:rFonts w:hint="eastAsia" w:ascii="宋体" w:hAnsi="宋体" w:cs="宋体"/>
          <w:color w:val="auto"/>
          <w:spacing w:val="-3"/>
          <w:sz w:val="22"/>
          <w:szCs w:val="22"/>
          <w:highlight w:val="none"/>
        </w:rPr>
        <w:t>审查不合格的投标文件将不进入后续详细评审</w:t>
      </w:r>
      <w:r>
        <w:rPr>
          <w:rFonts w:hint="eastAsia" w:ascii="宋体" w:hAnsi="宋体" w:cs="宋体"/>
          <w:bCs/>
          <w:color w:val="auto"/>
          <w:sz w:val="22"/>
          <w:szCs w:val="22"/>
          <w:highlight w:val="none"/>
        </w:rPr>
        <w:t>。</w:t>
      </w:r>
    </w:p>
    <w:p w14:paraId="5ACD0162">
      <w:pPr>
        <w:tabs>
          <w:tab w:val="left" w:pos="860"/>
          <w:tab w:val="left" w:pos="1070"/>
          <w:tab w:val="left" w:pos="1284"/>
        </w:tabs>
        <w:overflowPunct w:val="0"/>
        <w:spacing w:line="360" w:lineRule="auto"/>
        <w:ind w:left="420"/>
        <w:rPr>
          <w:rFonts w:ascii="宋体" w:hAnsi="宋体" w:cs="宋体"/>
          <w:bCs/>
          <w:color w:val="auto"/>
          <w:sz w:val="22"/>
          <w:szCs w:val="22"/>
          <w:highlight w:val="none"/>
        </w:rPr>
      </w:pPr>
      <w:r>
        <w:rPr>
          <w:rFonts w:hint="eastAsia" w:ascii="宋体" w:hAnsi="宋体" w:cs="宋体"/>
          <w:bCs/>
          <w:color w:val="auto"/>
          <w:sz w:val="22"/>
          <w:szCs w:val="22"/>
          <w:highlight w:val="none"/>
        </w:rPr>
        <w:t>（2）符合性审查。评标委员会依据采购文件的规定，从投标文件中的有效性、完整性和对采购文件的响应程度进行审查，以确定是否对采购文件的实质性要求作出响应。</w:t>
      </w:r>
    </w:p>
    <w:p w14:paraId="638DC086">
      <w:pPr>
        <w:tabs>
          <w:tab w:val="left" w:pos="860"/>
          <w:tab w:val="left" w:pos="1070"/>
          <w:tab w:val="left" w:pos="1284"/>
        </w:tabs>
        <w:overflowPunct w:val="0"/>
        <w:spacing w:line="360" w:lineRule="auto"/>
        <w:ind w:left="420"/>
        <w:rPr>
          <w:rFonts w:ascii="宋体" w:hAnsi="宋体" w:cs="宋体"/>
          <w:bCs/>
          <w:color w:val="auto"/>
          <w:sz w:val="22"/>
          <w:szCs w:val="22"/>
          <w:highlight w:val="none"/>
        </w:rPr>
      </w:pPr>
      <w:r>
        <w:rPr>
          <w:rFonts w:hint="eastAsia" w:ascii="宋体" w:hAnsi="宋体" w:cs="宋体"/>
          <w:bCs/>
          <w:color w:val="auto"/>
          <w:sz w:val="22"/>
          <w:szCs w:val="22"/>
          <w:highlight w:val="none"/>
        </w:rPr>
        <w:t>（3）进入商务技术评审。</w:t>
      </w:r>
    </w:p>
    <w:p w14:paraId="4B562CF5">
      <w:pPr>
        <w:numPr>
          <w:ilvl w:val="1"/>
          <w:numId w:val="16"/>
        </w:numPr>
        <w:tabs>
          <w:tab w:val="left" w:pos="540"/>
          <w:tab w:val="left" w:pos="992"/>
        </w:tabs>
        <w:overflowPunct w:val="0"/>
        <w:spacing w:line="360" w:lineRule="auto"/>
        <w:ind w:left="540" w:hanging="540"/>
        <w:rPr>
          <w:rFonts w:ascii="宋体" w:hAnsi="宋体" w:cs="宋体"/>
          <w:b/>
          <w:bCs/>
          <w:color w:val="auto"/>
          <w:sz w:val="22"/>
          <w:szCs w:val="22"/>
          <w:highlight w:val="none"/>
        </w:rPr>
      </w:pPr>
      <w:r>
        <w:rPr>
          <w:rFonts w:hint="eastAsia" w:ascii="宋体" w:hAnsi="宋体" w:cs="宋体"/>
          <w:b/>
          <w:bCs/>
          <w:color w:val="auto"/>
          <w:sz w:val="22"/>
          <w:szCs w:val="22"/>
          <w:highlight w:val="none"/>
          <w:u w:val="single"/>
        </w:rPr>
        <w:t>▲在对各投标供应商的投标文件进行综合评审时，投标文件有下列情况之一的，经评标委员会认定后按无效标处理</w:t>
      </w:r>
      <w:r>
        <w:rPr>
          <w:rFonts w:hint="eastAsia" w:ascii="宋体" w:hAnsi="宋体" w:cs="宋体"/>
          <w:b/>
          <w:bCs/>
          <w:color w:val="auto"/>
          <w:sz w:val="22"/>
          <w:szCs w:val="22"/>
          <w:highlight w:val="none"/>
        </w:rPr>
        <w:t>：</w:t>
      </w:r>
    </w:p>
    <w:p w14:paraId="5009156F">
      <w:pPr>
        <w:numPr>
          <w:ilvl w:val="0"/>
          <w:numId w:val="17"/>
        </w:numPr>
        <w:tabs>
          <w:tab w:val="left" w:pos="860"/>
          <w:tab w:val="left" w:pos="1070"/>
          <w:tab w:val="left" w:pos="1284"/>
        </w:tabs>
        <w:overflowPunct w:val="0"/>
        <w:spacing w:line="360" w:lineRule="auto"/>
        <w:rPr>
          <w:rFonts w:ascii="宋体" w:hAnsi="宋体" w:cs="宋体"/>
          <w:b/>
          <w:color w:val="auto"/>
          <w:sz w:val="22"/>
          <w:szCs w:val="22"/>
          <w:highlight w:val="none"/>
          <w:u w:val="single"/>
        </w:rPr>
      </w:pPr>
      <w:bookmarkStart w:id="170" w:name="_Hlk4057614"/>
      <w:r>
        <w:rPr>
          <w:rFonts w:hint="eastAsia" w:ascii="宋体" w:hAnsi="宋体" w:cs="宋体"/>
          <w:b/>
          <w:color w:val="auto"/>
          <w:sz w:val="22"/>
          <w:szCs w:val="22"/>
          <w:highlight w:val="none"/>
          <w:u w:val="single"/>
        </w:rPr>
        <w:t>投标供应商未按采购文件的要求（非实质性条款除外）加盖投标供应商公章，或投标供应商的法定代表人（或单位负责人）或其授权代表未按采购文件要求签字或盖章的，或授权代表无有效的委托授权书的；</w:t>
      </w:r>
    </w:p>
    <w:p w14:paraId="49E24341">
      <w:pPr>
        <w:numPr>
          <w:ilvl w:val="0"/>
          <w:numId w:val="17"/>
        </w:numPr>
        <w:tabs>
          <w:tab w:val="left" w:pos="860"/>
          <w:tab w:val="left" w:pos="1070"/>
          <w:tab w:val="left" w:pos="1284"/>
        </w:tabs>
        <w:overflowPunct w:val="0"/>
        <w:spacing w:line="360" w:lineRule="auto"/>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 xml:space="preserve">明显不符合采购文件中主要技术规格、商务技术标准或服务要求或采购文件中标注“▲”且加下划线的实质性要求和条件，存在负偏离的； </w:t>
      </w:r>
    </w:p>
    <w:p w14:paraId="44F587BE">
      <w:pPr>
        <w:numPr>
          <w:ilvl w:val="0"/>
          <w:numId w:val="17"/>
        </w:numPr>
        <w:tabs>
          <w:tab w:val="left" w:pos="860"/>
          <w:tab w:val="left" w:pos="1070"/>
          <w:tab w:val="left" w:pos="1284"/>
        </w:tabs>
        <w:overflowPunct w:val="0"/>
        <w:spacing w:line="360" w:lineRule="auto"/>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投标报价超过采购预算（最高投标限价）或评标委员会认为投标供应商的报价明显低于其他通过符合性审查投标供应商的报价且无法证明报价的合理性；</w:t>
      </w:r>
    </w:p>
    <w:p w14:paraId="34025335">
      <w:pPr>
        <w:numPr>
          <w:ilvl w:val="0"/>
          <w:numId w:val="17"/>
        </w:numPr>
        <w:tabs>
          <w:tab w:val="left" w:pos="860"/>
          <w:tab w:val="left" w:pos="1070"/>
          <w:tab w:val="left" w:pos="1284"/>
        </w:tabs>
        <w:overflowPunct w:val="0"/>
        <w:spacing w:line="360" w:lineRule="auto"/>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投标文件附有采购人不能接受的条件；</w:t>
      </w:r>
    </w:p>
    <w:p w14:paraId="4F2D971A">
      <w:pPr>
        <w:numPr>
          <w:ilvl w:val="0"/>
          <w:numId w:val="17"/>
        </w:numPr>
        <w:tabs>
          <w:tab w:val="left" w:pos="860"/>
          <w:tab w:val="left" w:pos="1070"/>
          <w:tab w:val="left" w:pos="1284"/>
        </w:tabs>
        <w:overflowPunct w:val="0"/>
        <w:spacing w:line="360" w:lineRule="auto"/>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修改《报价一览表》中的主要内容的；</w:t>
      </w:r>
    </w:p>
    <w:p w14:paraId="4F066CB8">
      <w:pPr>
        <w:numPr>
          <w:ilvl w:val="0"/>
          <w:numId w:val="17"/>
        </w:numPr>
        <w:tabs>
          <w:tab w:val="left" w:pos="860"/>
          <w:tab w:val="left" w:pos="1070"/>
          <w:tab w:val="left" w:pos="1284"/>
        </w:tabs>
        <w:overflowPunct w:val="0"/>
        <w:spacing w:line="360" w:lineRule="auto"/>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投标文件未按采购文件要求编制或关键字迹模糊无法辨认的；</w:t>
      </w:r>
    </w:p>
    <w:p w14:paraId="599BCB76">
      <w:pPr>
        <w:numPr>
          <w:ilvl w:val="0"/>
          <w:numId w:val="17"/>
        </w:numPr>
        <w:tabs>
          <w:tab w:val="left" w:pos="860"/>
          <w:tab w:val="left" w:pos="1070"/>
          <w:tab w:val="left" w:pos="1284"/>
        </w:tabs>
        <w:overflowPunct w:val="0"/>
        <w:spacing w:line="360" w:lineRule="auto"/>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存在不符合法律、法规和采购文件中规定的其他实质性要求的。</w:t>
      </w:r>
    </w:p>
    <w:p w14:paraId="6B78E24A">
      <w:pPr>
        <w:tabs>
          <w:tab w:val="left" w:pos="860"/>
          <w:tab w:val="left" w:pos="1070"/>
          <w:tab w:val="left" w:pos="1284"/>
        </w:tabs>
        <w:overflowPunct w:val="0"/>
        <w:spacing w:line="360" w:lineRule="auto"/>
        <w:ind w:left="42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如有争议，评标委员会投票表决，按少数服从多数原则认定。</w:t>
      </w:r>
    </w:p>
    <w:bookmarkEnd w:id="170"/>
    <w:p w14:paraId="769E020F">
      <w:pPr>
        <w:numPr>
          <w:ilvl w:val="1"/>
          <w:numId w:val="16"/>
        </w:numPr>
        <w:tabs>
          <w:tab w:val="left" w:pos="540"/>
          <w:tab w:val="left" w:pos="992"/>
        </w:tabs>
        <w:overflowPunct w:val="0"/>
        <w:spacing w:line="360" w:lineRule="auto"/>
        <w:ind w:left="540" w:hanging="540"/>
        <w:rPr>
          <w:rFonts w:ascii="宋体" w:hAnsi="宋体" w:cs="宋体"/>
          <w:bCs/>
          <w:color w:val="auto"/>
          <w:sz w:val="22"/>
          <w:szCs w:val="22"/>
          <w:highlight w:val="none"/>
        </w:rPr>
      </w:pPr>
      <w:r>
        <w:rPr>
          <w:rFonts w:hint="eastAsia" w:ascii="宋体" w:hAnsi="宋体" w:cs="宋体"/>
          <w:color w:val="auto"/>
          <w:sz w:val="22"/>
          <w:szCs w:val="22"/>
          <w:highlight w:val="none"/>
        </w:rPr>
        <w:t>开标第二阶段</w:t>
      </w:r>
    </w:p>
    <w:p w14:paraId="38329CFE">
      <w:pPr>
        <w:tabs>
          <w:tab w:val="left" w:pos="540"/>
          <w:tab w:val="left" w:pos="567"/>
        </w:tabs>
        <w:overflowPunct w:val="0"/>
        <w:spacing w:line="360" w:lineRule="auto"/>
        <w:ind w:left="485" w:leftChars="202"/>
        <w:rPr>
          <w:rFonts w:ascii="宋体" w:hAnsi="宋体" w:cs="宋体"/>
          <w:color w:val="auto"/>
          <w:sz w:val="22"/>
          <w:szCs w:val="22"/>
          <w:highlight w:val="none"/>
        </w:rPr>
      </w:pPr>
      <w:r>
        <w:rPr>
          <w:rFonts w:hint="eastAsia" w:ascii="宋体" w:hAnsi="宋体" w:cs="宋体"/>
          <w:color w:val="auto"/>
          <w:sz w:val="22"/>
          <w:szCs w:val="22"/>
          <w:highlight w:val="none"/>
        </w:rPr>
        <w:t>（1）符合性审查、商务技术评审结束后，举行开标大会第二阶段会议。首先公布符合性审查、商务技术评审无效投标供应商名称及理由；公布经商务技术评审后有效投标供应商的名单，同时公布其商务技术部分得分情况。</w:t>
      </w:r>
    </w:p>
    <w:p w14:paraId="3C61F309">
      <w:pPr>
        <w:tabs>
          <w:tab w:val="left" w:pos="540"/>
          <w:tab w:val="left" w:pos="567"/>
        </w:tabs>
        <w:overflowPunct w:val="0"/>
        <w:spacing w:line="360" w:lineRule="auto"/>
        <w:ind w:left="485" w:leftChars="202"/>
        <w:rPr>
          <w:rFonts w:ascii="宋体" w:hAnsi="宋体" w:cs="宋体"/>
          <w:color w:val="auto"/>
          <w:sz w:val="22"/>
          <w:szCs w:val="22"/>
          <w:highlight w:val="none"/>
        </w:rPr>
      </w:pPr>
      <w:r>
        <w:rPr>
          <w:rFonts w:hint="eastAsia" w:ascii="宋体" w:hAnsi="宋体" w:cs="宋体"/>
          <w:color w:val="auto"/>
          <w:sz w:val="22"/>
          <w:szCs w:val="22"/>
          <w:highlight w:val="none"/>
        </w:rPr>
        <w:t>（2）开启报价文件，公布符合性审查、商务技术评审有效的投标供应商报价文件《报价一览表》等有关内容，同时当场制作开标记录表。由评标委员会对报价的合理性、准确性等进行审查核实。</w:t>
      </w:r>
    </w:p>
    <w:p w14:paraId="51FA2DE7">
      <w:pPr>
        <w:tabs>
          <w:tab w:val="left" w:pos="540"/>
          <w:tab w:val="left" w:pos="567"/>
        </w:tabs>
        <w:overflowPunct w:val="0"/>
        <w:spacing w:line="360" w:lineRule="auto"/>
        <w:ind w:left="485" w:leftChars="202"/>
        <w:rPr>
          <w:rFonts w:ascii="宋体" w:hAnsi="宋体" w:cs="宋体"/>
          <w:color w:val="auto"/>
          <w:sz w:val="22"/>
          <w:szCs w:val="22"/>
          <w:highlight w:val="none"/>
        </w:rPr>
      </w:pPr>
      <w:r>
        <w:rPr>
          <w:rFonts w:hint="eastAsia" w:ascii="宋体" w:hAnsi="宋体" w:cs="宋体"/>
          <w:color w:val="auto"/>
          <w:sz w:val="22"/>
          <w:szCs w:val="22"/>
          <w:highlight w:val="none"/>
        </w:rPr>
        <w:t>（3）评审结束后，公布中标候选人名单，具体公布内容以政府采购云平台系统为准。</w:t>
      </w:r>
    </w:p>
    <w:p w14:paraId="084E9BE5">
      <w:pPr>
        <w:numPr>
          <w:ilvl w:val="1"/>
          <w:numId w:val="16"/>
        </w:numPr>
        <w:tabs>
          <w:tab w:val="left" w:pos="540"/>
          <w:tab w:val="left" w:pos="992"/>
        </w:tabs>
        <w:overflowPunct w:val="0"/>
        <w:spacing w:line="360" w:lineRule="auto"/>
        <w:ind w:left="540" w:hanging="540"/>
        <w:rPr>
          <w:rFonts w:ascii="宋体" w:hAnsi="宋体" w:cs="宋体"/>
          <w:b/>
          <w:bCs/>
          <w:color w:val="auto"/>
          <w:sz w:val="22"/>
          <w:szCs w:val="22"/>
          <w:highlight w:val="none"/>
        </w:rPr>
      </w:pPr>
      <w:r>
        <w:rPr>
          <w:rFonts w:hint="eastAsia" w:ascii="宋体" w:hAnsi="宋体" w:cs="宋体"/>
          <w:bCs/>
          <w:color w:val="auto"/>
          <w:sz w:val="22"/>
          <w:szCs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cs="宋体"/>
          <w:color w:val="auto"/>
          <w:sz w:val="22"/>
          <w:szCs w:val="22"/>
          <w:highlight w:val="none"/>
        </w:rPr>
        <w:t>评标委员会决定投标的响应性只根据投标文件本身的内容，而不寻求外部的证据。</w:t>
      </w:r>
    </w:p>
    <w:p w14:paraId="2ED560AD">
      <w:pPr>
        <w:tabs>
          <w:tab w:val="left" w:pos="540"/>
          <w:tab w:val="left" w:pos="992"/>
        </w:tabs>
        <w:overflowPunct w:val="0"/>
        <w:spacing w:line="360" w:lineRule="auto"/>
        <w:ind w:left="54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由评标委员会对各投标供应商的商务报价进行核查，如出现投标文件中《报价一览表》内容与政府采购云平台系统显示的电子《报价一览表》相应内容不一致的，以扫描上传政府采购云平台系统并已签章的《报价一览表》为准，若投标供应商不接受对其价格进行修正，其投标无效。 </w:t>
      </w:r>
    </w:p>
    <w:p w14:paraId="7D018616">
      <w:pPr>
        <w:numPr>
          <w:ilvl w:val="1"/>
          <w:numId w:val="16"/>
        </w:numPr>
        <w:tabs>
          <w:tab w:val="left" w:pos="540"/>
          <w:tab w:val="left" w:pos="992"/>
        </w:tabs>
        <w:overflowPunct w:val="0"/>
        <w:spacing w:line="360" w:lineRule="auto"/>
        <w:ind w:left="540" w:hanging="540"/>
        <w:rPr>
          <w:rFonts w:ascii="宋体" w:hAnsi="宋体" w:cs="宋体"/>
          <w:bCs/>
          <w:color w:val="auto"/>
          <w:sz w:val="22"/>
          <w:szCs w:val="22"/>
          <w:highlight w:val="none"/>
        </w:rPr>
      </w:pPr>
      <w:r>
        <w:rPr>
          <w:rFonts w:hint="eastAsia" w:ascii="宋体" w:hAnsi="宋体" w:cs="宋体"/>
          <w:color w:val="auto"/>
          <w:sz w:val="22"/>
          <w:szCs w:val="22"/>
          <w:highlight w:val="none"/>
        </w:rPr>
        <w:t>实质上没有响应采购文件要求的投标将被拒绝，</w:t>
      </w:r>
      <w:r>
        <w:rPr>
          <w:rFonts w:hint="eastAsia" w:ascii="宋体" w:hAnsi="宋体" w:cs="宋体"/>
          <w:bCs/>
          <w:color w:val="auto"/>
          <w:sz w:val="22"/>
          <w:szCs w:val="22"/>
          <w:highlight w:val="none"/>
        </w:rPr>
        <w:t>投标供应商不得通过修正或撤消不合要求的偏离或保留从而使其投标成为实质上响应的投标。</w:t>
      </w:r>
    </w:p>
    <w:p w14:paraId="182FDFE4">
      <w:pPr>
        <w:numPr>
          <w:ilvl w:val="1"/>
          <w:numId w:val="16"/>
        </w:numPr>
        <w:tabs>
          <w:tab w:val="left" w:pos="540"/>
          <w:tab w:val="left" w:pos="992"/>
        </w:tabs>
        <w:overflowPunct w:val="0"/>
        <w:spacing w:line="360" w:lineRule="auto"/>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评标委员会对审查合格的投标文件按照采购文件中制订的评标方法进行综合评定打分。</w:t>
      </w:r>
    </w:p>
    <w:p w14:paraId="10541B7A">
      <w:pPr>
        <w:numPr>
          <w:ilvl w:val="1"/>
          <w:numId w:val="16"/>
        </w:numPr>
        <w:tabs>
          <w:tab w:val="left" w:pos="540"/>
          <w:tab w:val="left" w:pos="992"/>
        </w:tabs>
        <w:overflowPunct w:val="0"/>
        <w:spacing w:line="360" w:lineRule="auto"/>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评标过程中遇到特殊情况，由评标委员会遵循公开、公正原则，采取投票方式按照少数服从多数原则决定。</w:t>
      </w:r>
    </w:p>
    <w:p w14:paraId="7625A820">
      <w:pPr>
        <w:numPr>
          <w:ilvl w:val="1"/>
          <w:numId w:val="16"/>
        </w:numPr>
        <w:tabs>
          <w:tab w:val="left" w:pos="540"/>
          <w:tab w:val="left" w:pos="567"/>
          <w:tab w:val="clear" w:pos="850"/>
        </w:tabs>
        <w:overflowPunct w:val="0"/>
        <w:spacing w:line="360" w:lineRule="auto"/>
        <w:ind w:left="540" w:hanging="54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▲投标文件递交截止时间止或评审期间有效投标供应商少于3家，则本项目废标，重新组织采购。</w:t>
      </w:r>
    </w:p>
    <w:p w14:paraId="09709107">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22. 投标文件的澄清</w:t>
      </w:r>
    </w:p>
    <w:p w14:paraId="067FDB67">
      <w:pPr>
        <w:numPr>
          <w:ilvl w:val="1"/>
          <w:numId w:val="18"/>
        </w:numPr>
        <w:overflowPunct w:val="0"/>
        <w:spacing w:line="360" w:lineRule="auto"/>
        <w:ind w:left="567" w:hanging="567"/>
        <w:rPr>
          <w:rFonts w:ascii="宋体" w:hAnsi="宋体" w:cs="宋体"/>
          <w:color w:val="auto"/>
          <w:sz w:val="22"/>
          <w:szCs w:val="22"/>
          <w:highlight w:val="none"/>
        </w:rPr>
      </w:pPr>
      <w:r>
        <w:rPr>
          <w:rFonts w:hint="eastAsia" w:ascii="宋体" w:hAnsi="宋体" w:cs="宋体"/>
          <w:color w:val="auto"/>
          <w:sz w:val="22"/>
          <w:szCs w:val="22"/>
          <w:highlight w:val="none"/>
        </w:rPr>
        <w:t>在评标期间，评标委员会可以书面方式要求投标供应商对投标文件中含义不明确、对同类问题表述不一致或者有明显文字和计算错误的内容作必要的澄清、说明或补正。澄清、说明或补正应以书面或电子邮件等其他有效形式提交{加盖投标供应商公章，并由法定代表人（或单位负责人）或其授权代表签署（签字或盖章）</w:t>
      </w:r>
      <w:r>
        <w:rPr>
          <w:rFonts w:ascii="宋体" w:hAnsi="宋体" w:cs="宋体"/>
          <w:color w:val="auto"/>
          <w:sz w:val="22"/>
          <w:szCs w:val="22"/>
          <w:highlight w:val="none"/>
        </w:rPr>
        <w:t>}，但澄清内容不得超出投标文件的范围或者改变投标文件的实质性内容。拒不按要求对其投标文件进行澄清，说明或补正的投标供应商，</w:t>
      </w:r>
      <w:r>
        <w:rPr>
          <w:rFonts w:hint="eastAsia" w:ascii="宋体" w:hAnsi="宋体" w:cs="宋体"/>
          <w:color w:val="auto"/>
          <w:sz w:val="22"/>
          <w:szCs w:val="22"/>
          <w:highlight w:val="none"/>
        </w:rPr>
        <w:t>评标委员会应当将其作为无效投标处理。</w:t>
      </w:r>
    </w:p>
    <w:p w14:paraId="0F8685CC">
      <w:pPr>
        <w:numPr>
          <w:ilvl w:val="1"/>
          <w:numId w:val="18"/>
        </w:numPr>
        <w:overflowPunct w:val="0"/>
        <w:spacing w:line="360" w:lineRule="auto"/>
        <w:ind w:left="567" w:hanging="567"/>
        <w:rPr>
          <w:rFonts w:ascii="宋体" w:hAnsi="宋体" w:cs="宋体"/>
          <w:b/>
          <w:color w:val="auto"/>
          <w:sz w:val="22"/>
          <w:szCs w:val="22"/>
          <w:highlight w:val="none"/>
        </w:rPr>
      </w:pPr>
      <w:r>
        <w:rPr>
          <w:rFonts w:hint="eastAsia" w:ascii="宋体" w:hAnsi="宋体" w:cs="宋体"/>
          <w:b/>
          <w:color w:val="auto"/>
          <w:sz w:val="22"/>
          <w:szCs w:val="22"/>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637BB845">
      <w:pPr>
        <w:numPr>
          <w:ilvl w:val="1"/>
          <w:numId w:val="18"/>
        </w:numPr>
        <w:overflowPunct w:val="0"/>
        <w:spacing w:line="360" w:lineRule="auto"/>
        <w:ind w:left="567" w:hanging="567"/>
        <w:rPr>
          <w:rFonts w:ascii="宋体" w:hAnsi="宋体" w:cs="宋体"/>
          <w:b/>
          <w:color w:val="auto"/>
          <w:sz w:val="22"/>
          <w:szCs w:val="22"/>
          <w:highlight w:val="none"/>
        </w:rPr>
      </w:pPr>
      <w:r>
        <w:rPr>
          <w:rFonts w:hint="eastAsia" w:ascii="宋体" w:hAnsi="宋体" w:cs="宋体"/>
          <w:b/>
          <w:color w:val="auto"/>
          <w:sz w:val="22"/>
          <w:szCs w:val="22"/>
          <w:highlight w:val="none"/>
        </w:rPr>
        <w:t>经澄清后，若偏差仍存在，且不可接受，投标供应商则被认为是“没有实质性响应采购文件要求”，评标委员会应当将其作为无效投标处理。</w:t>
      </w:r>
    </w:p>
    <w:p w14:paraId="114E0F0B">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23. 确定中标候选人</w:t>
      </w:r>
    </w:p>
    <w:p w14:paraId="317F67BE">
      <w:pPr>
        <w:numPr>
          <w:ilvl w:val="1"/>
          <w:numId w:val="19"/>
        </w:numPr>
        <w:overflowPunct w:val="0"/>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确定中标候选人细则详见采购文件第五部分“</w:t>
      </w:r>
      <w:r>
        <w:rPr>
          <w:rFonts w:hint="eastAsia" w:ascii="宋体" w:hAnsi="宋体" w:cs="宋体"/>
          <w:b/>
          <w:bCs/>
          <w:color w:val="auto"/>
          <w:sz w:val="22"/>
          <w:szCs w:val="22"/>
          <w:highlight w:val="none"/>
        </w:rPr>
        <w:t>评标原则及方法</w:t>
      </w:r>
      <w:r>
        <w:rPr>
          <w:rFonts w:hint="eastAsia" w:ascii="宋体" w:hAnsi="宋体" w:cs="宋体"/>
          <w:bCs/>
          <w:color w:val="auto"/>
          <w:sz w:val="22"/>
          <w:szCs w:val="22"/>
          <w:highlight w:val="none"/>
        </w:rPr>
        <w:t>”</w:t>
      </w:r>
    </w:p>
    <w:p w14:paraId="401E8468">
      <w:pPr>
        <w:numPr>
          <w:ilvl w:val="1"/>
          <w:numId w:val="19"/>
        </w:numPr>
        <w:overflowPunct w:val="0"/>
        <w:spacing w:line="360" w:lineRule="auto"/>
        <w:rPr>
          <w:rFonts w:ascii="宋体" w:hAnsi="宋体" w:cs="宋体"/>
          <w:bCs/>
          <w:color w:val="auto"/>
          <w:sz w:val="22"/>
          <w:szCs w:val="22"/>
          <w:highlight w:val="none"/>
        </w:rPr>
      </w:pPr>
      <w:r>
        <w:rPr>
          <w:rFonts w:hint="eastAsia" w:ascii="宋体" w:hAnsi="宋体" w:cs="宋体"/>
          <w:color w:val="auto"/>
          <w:sz w:val="22"/>
          <w:szCs w:val="22"/>
          <w:highlight w:val="none"/>
        </w:rPr>
        <w:t>采购人、采购代理机构及评标委员会不向落标的投标供应商解释落标原因，也不公布评标过程中的相关细节</w:t>
      </w:r>
      <w:r>
        <w:rPr>
          <w:rFonts w:hint="eastAsia" w:ascii="宋体" w:hAnsi="宋体" w:cs="宋体"/>
          <w:bCs/>
          <w:color w:val="auto"/>
          <w:sz w:val="22"/>
          <w:szCs w:val="22"/>
          <w:highlight w:val="none"/>
        </w:rPr>
        <w:t>。</w:t>
      </w:r>
    </w:p>
    <w:p w14:paraId="685A05B7">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24.评标细则详见</w:t>
      </w:r>
      <w:r>
        <w:rPr>
          <w:rFonts w:hint="eastAsia" w:ascii="宋体" w:hAnsi="宋体" w:cs="宋体"/>
          <w:bCs/>
          <w:color w:val="auto"/>
          <w:sz w:val="22"/>
          <w:szCs w:val="22"/>
          <w:highlight w:val="none"/>
        </w:rPr>
        <w:t>第五部分</w:t>
      </w:r>
      <w:r>
        <w:rPr>
          <w:rFonts w:hint="eastAsia" w:ascii="宋体" w:hAnsi="宋体" w:cs="宋体"/>
          <w:b/>
          <w:bCs/>
          <w:color w:val="auto"/>
          <w:sz w:val="22"/>
          <w:szCs w:val="22"/>
          <w:highlight w:val="none"/>
        </w:rPr>
        <w:t>“评标原则及方法”</w:t>
      </w:r>
      <w:r>
        <w:rPr>
          <w:rFonts w:hint="eastAsia" w:ascii="宋体" w:hAnsi="宋体" w:cs="宋体"/>
          <w:color w:val="auto"/>
          <w:sz w:val="22"/>
          <w:szCs w:val="22"/>
          <w:highlight w:val="none"/>
        </w:rPr>
        <w:t>。</w:t>
      </w:r>
    </w:p>
    <w:p w14:paraId="1BFDFC1E">
      <w:pPr>
        <w:overflowPunct w:val="0"/>
        <w:spacing w:before="100" w:beforeAutospacing="1" w:after="100" w:afterAutospacing="1" w:line="360" w:lineRule="auto"/>
        <w:ind w:left="-6"/>
        <w:jc w:val="center"/>
        <w:outlineLvl w:val="0"/>
        <w:rPr>
          <w:rFonts w:ascii="宋体" w:hAnsi="宋体" w:cs="宋体"/>
          <w:b/>
          <w:bCs/>
          <w:color w:val="auto"/>
          <w:sz w:val="24"/>
          <w:szCs w:val="24"/>
          <w:highlight w:val="none"/>
        </w:rPr>
      </w:pPr>
      <w:bookmarkStart w:id="171" w:name="_Toc239145356"/>
      <w:bookmarkStart w:id="172" w:name="_Toc251592739"/>
      <w:bookmarkStart w:id="173" w:name="_Toc16671"/>
      <w:bookmarkStart w:id="174" w:name="_Toc222114881"/>
      <w:bookmarkStart w:id="175" w:name="_Toc223716000"/>
      <w:bookmarkStart w:id="176" w:name="_Toc9002"/>
      <w:bookmarkStart w:id="177" w:name="_Toc245191316"/>
      <w:bookmarkStart w:id="178" w:name="_Toc221374628"/>
      <w:bookmarkStart w:id="179" w:name="_Toc246261267"/>
      <w:bookmarkStart w:id="180" w:name="_Toc142923326"/>
      <w:bookmarkStart w:id="181" w:name="_Toc245722283"/>
      <w:bookmarkStart w:id="182" w:name="_Toc4181"/>
      <w:bookmarkStart w:id="183" w:name="_Toc221356953"/>
      <w:bookmarkStart w:id="184" w:name="_Toc252194854"/>
      <w:bookmarkStart w:id="185" w:name="_Toc241404204"/>
      <w:bookmarkStart w:id="186" w:name="_Toc221356889"/>
      <w:bookmarkStart w:id="187" w:name="_Toc251325216"/>
      <w:bookmarkStart w:id="188" w:name="_Toc221423621"/>
      <w:bookmarkStart w:id="189" w:name="_Toc15318"/>
      <w:bookmarkStart w:id="190" w:name="_Toc9719"/>
      <w:bookmarkStart w:id="191" w:name="_Toc6499"/>
      <w:r>
        <w:rPr>
          <w:rFonts w:hint="eastAsia" w:ascii="宋体" w:hAnsi="宋体" w:cs="宋体"/>
          <w:b/>
          <w:bCs/>
          <w:color w:val="auto"/>
          <w:sz w:val="24"/>
          <w:szCs w:val="24"/>
          <w:highlight w:val="none"/>
        </w:rPr>
        <w:t>六、 授予合同</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06D667E">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25.确定中标人</w:t>
      </w:r>
    </w:p>
    <w:p w14:paraId="3AE430C7">
      <w:pPr>
        <w:tabs>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25.1采购人自收到评标报告之日起5个工作日内，在评标报告确定的中标候选人名单中按顺序确定中标人。</w:t>
      </w:r>
    </w:p>
    <w:p w14:paraId="5F43E337">
      <w:pPr>
        <w:tabs>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25.2中标人确定之日起2个工作日内，在指定媒介上公告中标结果，中标公告期限为1个工作日；</w:t>
      </w:r>
    </w:p>
    <w:p w14:paraId="01E43B0E">
      <w:pPr>
        <w:tabs>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25.3中标公示期限结束后，采购人或采购代理机构向中标人发出中标通知书。</w:t>
      </w:r>
    </w:p>
    <w:p w14:paraId="3A96A587">
      <w:pPr>
        <w:tabs>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25.4中标通知书发出后，采购人不得违法改变中标结果，中标人无正当理由不得放弃中标。</w:t>
      </w:r>
    </w:p>
    <w:p w14:paraId="4382B22F">
      <w:pPr>
        <w:tabs>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25.5各投标供应商对中标结果如有质疑，可在中标公告期限届满之日起7个工作日内以书面形式向采购人或者采购代理机构提出质疑，但需对质疑内容的真实性承担法律责任。</w:t>
      </w:r>
    </w:p>
    <w:p w14:paraId="16C7AEDC">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26. 签订合同</w:t>
      </w:r>
    </w:p>
    <w:p w14:paraId="4A95292F">
      <w:pPr>
        <w:tabs>
          <w:tab w:val="left" w:pos="540"/>
        </w:tabs>
        <w:overflowPunct w:val="0"/>
        <w:spacing w:line="360" w:lineRule="auto"/>
        <w:rPr>
          <w:rFonts w:ascii="宋体" w:hAnsi="宋体" w:cs="宋体"/>
          <w:b/>
          <w:color w:val="auto"/>
          <w:spacing w:val="6"/>
          <w:sz w:val="22"/>
          <w:szCs w:val="22"/>
          <w:highlight w:val="none"/>
        </w:rPr>
      </w:pPr>
      <w:r>
        <w:rPr>
          <w:rFonts w:hint="eastAsia" w:ascii="宋体" w:hAnsi="宋体" w:cs="宋体"/>
          <w:color w:val="auto"/>
          <w:sz w:val="22"/>
          <w:szCs w:val="22"/>
          <w:highlight w:val="none"/>
        </w:rPr>
        <w:t>26.1中标人应按中标通知书规定的时间、地点与采购人签订合同。</w:t>
      </w:r>
    </w:p>
    <w:p w14:paraId="643435B7">
      <w:pPr>
        <w:tabs>
          <w:tab w:val="left" w:pos="540"/>
        </w:tabs>
        <w:overflowPunct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26.2采购文件、中标人的投标文件、投标修改文件、评标过程中的澄清文件以及询标纪要和中标通知书一起构成合同文件。</w:t>
      </w:r>
    </w:p>
    <w:p w14:paraId="1DCC7351">
      <w:pPr>
        <w:tabs>
          <w:tab w:val="left" w:pos="540"/>
        </w:tabs>
        <w:overflowPunct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26.3拒签合同的违约责任：</w:t>
      </w:r>
    </w:p>
    <w:p w14:paraId="18F1E700">
      <w:pPr>
        <w:tabs>
          <w:tab w:val="left" w:pos="420"/>
          <w:tab w:val="left" w:pos="5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中标人接到中标通知书后，在规定时间内借故否认已经承诺的条件而拒签合同的，以投标违约处理，应按采购预算金额的2%赔偿对采购组织机构造成的损失；采购人重新组织采购的，所需费用由该中标人承担。</w:t>
      </w:r>
    </w:p>
    <w:p w14:paraId="0EA7BC46">
      <w:pPr>
        <w:tabs>
          <w:tab w:val="left" w:pos="540"/>
        </w:tabs>
        <w:overflowPunct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27  中标人应在合同签订后5个工作日内提交一份合同文本扫描件报采购代理机构备案。 </w:t>
      </w:r>
    </w:p>
    <w:p w14:paraId="159B5CDD">
      <w:pPr>
        <w:tabs>
          <w:tab w:val="left" w:pos="420"/>
          <w:tab w:val="left" w:pos="540"/>
        </w:tabs>
        <w:spacing w:line="360" w:lineRule="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28. 采购代理服务费</w:t>
      </w:r>
    </w:p>
    <w:p w14:paraId="12A48D69">
      <w:pPr>
        <w:numPr>
          <w:ilvl w:val="1"/>
          <w:numId w:val="20"/>
        </w:numPr>
        <w:tabs>
          <w:tab w:val="left" w:pos="540"/>
        </w:tabs>
        <w:spacing w:line="360" w:lineRule="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收费依据</w:t>
      </w:r>
      <w:r>
        <w:rPr>
          <w:rFonts w:hint="eastAsia" w:ascii="宋体" w:hAnsi="宋体" w:cs="宋体"/>
          <w:b w:val="0"/>
          <w:bCs w:val="0"/>
          <w:color w:val="auto"/>
          <w:sz w:val="22"/>
          <w:szCs w:val="22"/>
          <w:highlight w:val="none"/>
        </w:rPr>
        <w:t>“计价格[2002]1980号”</w:t>
      </w:r>
      <w:r>
        <w:rPr>
          <w:rFonts w:hint="eastAsia" w:ascii="宋体" w:hAnsi="宋体" w:cs="宋体"/>
          <w:b w:val="0"/>
          <w:bCs w:val="0"/>
          <w:color w:val="auto"/>
          <w:sz w:val="22"/>
          <w:szCs w:val="22"/>
          <w:highlight w:val="none"/>
          <w:lang w:val="en-US" w:eastAsia="zh-CN"/>
        </w:rPr>
        <w:t>文</w:t>
      </w:r>
      <w:r>
        <w:rPr>
          <w:rFonts w:hint="eastAsia" w:ascii="宋体" w:hAnsi="宋体" w:cs="宋体"/>
          <w:b w:val="0"/>
          <w:bCs w:val="0"/>
          <w:color w:val="auto"/>
          <w:sz w:val="22"/>
          <w:szCs w:val="22"/>
          <w:highlight w:val="none"/>
        </w:rPr>
        <w:t>，本项目</w:t>
      </w:r>
      <w:r>
        <w:rPr>
          <w:rFonts w:hint="eastAsia" w:ascii="宋体" w:hAnsi="宋体" w:cs="宋体"/>
          <w:b w:val="0"/>
          <w:bCs w:val="0"/>
          <w:color w:val="auto"/>
          <w:sz w:val="22"/>
          <w:szCs w:val="22"/>
          <w:highlight w:val="none"/>
          <w:lang w:val="en-US" w:eastAsia="zh-CN"/>
        </w:rPr>
        <w:t>按照12000元计取，</w:t>
      </w:r>
      <w:r>
        <w:rPr>
          <w:rFonts w:hint="eastAsia" w:ascii="宋体" w:hAnsi="宋体" w:cs="宋体"/>
          <w:b w:val="0"/>
          <w:bCs w:val="0"/>
          <w:color w:val="auto"/>
          <w:sz w:val="22"/>
          <w:szCs w:val="22"/>
          <w:highlight w:val="none"/>
        </w:rPr>
        <w:t>专家费</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论证、评审、验收</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rPr>
        <w:t>参照浙江省评标专家标准</w:t>
      </w:r>
      <w:r>
        <w:rPr>
          <w:rFonts w:hint="eastAsia" w:ascii="宋体" w:hAnsi="宋体" w:cs="宋体"/>
          <w:b w:val="0"/>
          <w:bCs w:val="0"/>
          <w:color w:val="auto"/>
          <w:sz w:val="22"/>
          <w:szCs w:val="22"/>
          <w:highlight w:val="none"/>
          <w:lang w:val="en-US" w:eastAsia="zh-CN"/>
        </w:rPr>
        <w:t>支付</w:t>
      </w:r>
      <w:r>
        <w:rPr>
          <w:rFonts w:hint="eastAsia" w:ascii="宋体" w:hAnsi="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投标人在报价时应综合考虑，包干由中标单位在领取中标通知书之前一次性支付给招标代理机构，计入投标报价内。</w:t>
      </w:r>
    </w:p>
    <w:p w14:paraId="761A2D39">
      <w:pPr>
        <w:numPr>
          <w:ilvl w:val="1"/>
          <w:numId w:val="20"/>
        </w:numPr>
        <w:tabs>
          <w:tab w:val="left" w:pos="540"/>
        </w:tabs>
        <w:spacing w:line="360" w:lineRule="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采购代理服务费可以是现金、支票或汇票，采购代理机构开具增值税普通发票。</w:t>
      </w:r>
    </w:p>
    <w:p w14:paraId="49D64747">
      <w:pPr>
        <w:tabs>
          <w:tab w:val="left" w:pos="420"/>
          <w:tab w:val="left" w:pos="540"/>
        </w:tabs>
        <w:spacing w:line="360" w:lineRule="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29．乐采云技术服务费</w:t>
      </w:r>
    </w:p>
    <w:p w14:paraId="1070B53E">
      <w:pPr>
        <w:spacing w:line="360" w:lineRule="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29.1乐采云国企采购平台项目采购收费标准(温州市市属国企区）收费标准：</w:t>
      </w:r>
    </w:p>
    <w:p w14:paraId="68288E3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一、(一)不涉及具体金额的采购项目，技术服务费800元/件</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rPr>
        <w:t>(二) 涉及具体金额的采购项目，根据标的额，按照以下比例收取技术服务费中标价100万元以下 (含100万元的) 按800元收取</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rPr>
        <w:t>中标价超过100万元的</w:t>
      </w:r>
      <w:r>
        <w:rPr>
          <w:rFonts w:hint="eastAsia" w:ascii="宋体" w:hAnsi="宋体" w:cs="宋体"/>
          <w:b w:val="0"/>
          <w:bCs w:val="0"/>
          <w:color w:val="auto"/>
          <w:sz w:val="22"/>
          <w:szCs w:val="22"/>
          <w:highlight w:val="none"/>
          <w:lang w:val="en-US" w:eastAsia="zh-CN"/>
        </w:rPr>
        <w:t>按</w:t>
      </w:r>
      <w:r>
        <w:rPr>
          <w:rFonts w:hint="eastAsia" w:ascii="宋体" w:hAnsi="宋体" w:cs="宋体"/>
          <w:b w:val="0"/>
          <w:bCs w:val="0"/>
          <w:color w:val="auto"/>
          <w:sz w:val="22"/>
          <w:szCs w:val="22"/>
          <w:highlight w:val="none"/>
        </w:rPr>
        <w:t>中标价的千分之(0.1%) ，以30000元封顶。</w:t>
      </w:r>
    </w:p>
    <w:p w14:paraId="2A635B2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二、收费对象</w:t>
      </w:r>
    </w:p>
    <w:p w14:paraId="597ABAA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中标供应商</w:t>
      </w:r>
    </w:p>
    <w:p w14:paraId="15CA4F4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三、缴款内容</w:t>
      </w:r>
    </w:p>
    <w:p w14:paraId="6C0F372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各供应商于每次中标结果公示后支付该项目的技术服务费。</w:t>
      </w:r>
    </w:p>
    <w:p w14:paraId="06F5732E">
      <w:pPr>
        <w:pStyle w:val="4"/>
        <w:ind w:firstLine="210"/>
        <w:rPr>
          <w:rFonts w:ascii="宋体" w:hAnsi="宋体" w:cs="宋体"/>
          <w:color w:val="auto"/>
          <w:highlight w:val="none"/>
        </w:rPr>
      </w:pPr>
      <w:r>
        <w:rPr>
          <w:rFonts w:hint="eastAsia" w:ascii="宋体" w:hAnsi="宋体" w:cs="宋体"/>
          <w:color w:val="auto"/>
          <w:highlight w:val="none"/>
        </w:rPr>
        <w:br w:type="page"/>
      </w:r>
    </w:p>
    <w:p w14:paraId="41A262B4">
      <w:pPr>
        <w:numPr>
          <w:ilvl w:val="0"/>
          <w:numId w:val="21"/>
        </w:numPr>
        <w:spacing w:before="100" w:beforeAutospacing="1" w:after="100" w:afterAutospacing="1" w:line="440" w:lineRule="exact"/>
        <w:jc w:val="center"/>
        <w:outlineLvl w:val="0"/>
        <w:rPr>
          <w:rFonts w:ascii="宋体" w:hAnsi="宋体" w:cs="宋体"/>
          <w:b/>
          <w:bCs/>
          <w:color w:val="auto"/>
          <w:sz w:val="36"/>
          <w:szCs w:val="36"/>
          <w:highlight w:val="none"/>
        </w:rPr>
      </w:pPr>
      <w:bookmarkStart w:id="192" w:name="_Toc6114"/>
      <w:bookmarkStart w:id="193" w:name="_Toc142923327"/>
      <w:bookmarkStart w:id="194" w:name="_Toc223716002"/>
      <w:bookmarkStart w:id="195" w:name="_Toc478047991"/>
      <w:bookmarkStart w:id="196" w:name="_Toc221356891"/>
      <w:bookmarkStart w:id="197" w:name="_Toc245722285"/>
      <w:bookmarkStart w:id="198" w:name="_Toc239145358"/>
      <w:bookmarkStart w:id="199" w:name="_Toc241404206"/>
      <w:bookmarkStart w:id="200" w:name="_Toc222114883"/>
      <w:bookmarkStart w:id="201" w:name="_Toc221356955"/>
      <w:bookmarkStart w:id="202" w:name="_Toc221374630"/>
      <w:bookmarkStart w:id="203" w:name="_Toc245191318"/>
      <w:bookmarkStart w:id="204" w:name="_Toc246261269"/>
      <w:bookmarkStart w:id="205" w:name="_Toc221423623"/>
      <w:bookmarkStart w:id="206" w:name="_Toc251592741"/>
      <w:bookmarkStart w:id="207" w:name="_Toc252194856"/>
      <w:bookmarkStart w:id="208" w:name="_Toc251325218"/>
      <w:r>
        <w:rPr>
          <w:rFonts w:hint="eastAsia" w:ascii="宋体" w:hAnsi="宋体" w:cs="宋体"/>
          <w:color w:val="auto"/>
          <w:sz w:val="36"/>
          <w:szCs w:val="36"/>
          <w:highlight w:val="none"/>
        </w:rPr>
        <w:t xml:space="preserve">   </w:t>
      </w:r>
      <w:bookmarkStart w:id="209" w:name="_Toc29529"/>
      <w:bookmarkStart w:id="210" w:name="_Toc8120"/>
      <w:bookmarkStart w:id="211" w:name="_Toc25451"/>
      <w:r>
        <w:rPr>
          <w:rFonts w:hint="eastAsia" w:ascii="宋体" w:hAnsi="宋体" w:cs="宋体"/>
          <w:b/>
          <w:bCs/>
          <w:color w:val="auto"/>
          <w:sz w:val="36"/>
          <w:szCs w:val="36"/>
          <w:highlight w:val="none"/>
        </w:rPr>
        <w:t>合同主要条款</w:t>
      </w:r>
      <w:bookmarkEnd w:id="192"/>
      <w:bookmarkEnd w:id="193"/>
      <w:bookmarkEnd w:id="209"/>
      <w:bookmarkEnd w:id="210"/>
      <w:bookmarkEnd w:id="211"/>
    </w:p>
    <w:p w14:paraId="2B8CBDFF">
      <w:pPr>
        <w:pStyle w:val="46"/>
        <w:rPr>
          <w:color w:val="auto"/>
          <w:highlight w:val="none"/>
        </w:rPr>
      </w:pPr>
      <w:bookmarkStart w:id="212" w:name="_Toc20492"/>
      <w:bookmarkStart w:id="213" w:name="_Toc14055"/>
    </w:p>
    <w:p w14:paraId="4A16B8DB">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line="440" w:lineRule="exact"/>
        <w:jc w:val="center"/>
        <w:rPr>
          <w:rFonts w:ascii="宋体" w:hAnsi="宋体" w:cs="宋体"/>
          <w:b/>
          <w:bCs/>
          <w:color w:val="auto"/>
          <w:kern w:val="1"/>
          <w:sz w:val="36"/>
          <w:szCs w:val="36"/>
          <w:highlight w:val="none"/>
        </w:rPr>
      </w:pPr>
      <w:r>
        <w:rPr>
          <w:rFonts w:hint="eastAsia" w:ascii="宋体" w:hAnsi="宋体" w:cs="宋体"/>
          <w:b/>
          <w:bCs/>
          <w:color w:val="auto"/>
          <w:kern w:val="1"/>
          <w:sz w:val="36"/>
          <w:szCs w:val="36"/>
          <w:highlight w:val="none"/>
        </w:rPr>
        <w:t>合同协议书</w:t>
      </w:r>
    </w:p>
    <w:p w14:paraId="49F4EB12">
      <w:pPr>
        <w:pBdr>
          <w:top w:val="none" w:color="000000" w:sz="0" w:space="0"/>
          <w:left w:val="none" w:color="000000" w:sz="0" w:space="0"/>
          <w:bottom w:val="none" w:color="000000" w:sz="0" w:space="0"/>
          <w:right w:val="none" w:color="000000" w:sz="0" w:space="0"/>
          <w:between w:val="none" w:color="000000" w:sz="0" w:space="0"/>
        </w:pBdr>
        <w:spacing w:line="400" w:lineRule="exact"/>
        <w:rPr>
          <w:rFonts w:hint="eastAsia" w:ascii="宋体" w:hAnsi="宋体" w:eastAsia="宋体" w:cs="宋体"/>
          <w:color w:val="auto"/>
          <w:kern w:val="1"/>
          <w:sz w:val="22"/>
          <w:szCs w:val="22"/>
          <w:highlight w:val="none"/>
          <w:lang w:eastAsia="zh-CN"/>
        </w:rPr>
      </w:pPr>
      <w:r>
        <w:rPr>
          <w:rFonts w:hint="eastAsia" w:ascii="宋体" w:hAnsi="宋体" w:cs="宋体"/>
          <w:color w:val="auto"/>
          <w:kern w:val="1"/>
          <w:sz w:val="22"/>
          <w:szCs w:val="22"/>
          <w:highlight w:val="none"/>
        </w:rPr>
        <w:t>甲</w:t>
      </w:r>
      <w:r>
        <w:rPr>
          <w:rFonts w:hint="eastAsia" w:ascii="宋体" w:hAnsi="宋体" w:cs="宋体"/>
          <w:color w:val="auto"/>
          <w:kern w:val="1"/>
          <w:sz w:val="22"/>
          <w:szCs w:val="22"/>
          <w:highlight w:val="none"/>
          <w:lang w:val="en-US" w:eastAsia="zh-CN"/>
        </w:rPr>
        <w:t xml:space="preserve"> </w:t>
      </w:r>
      <w:r>
        <w:rPr>
          <w:rFonts w:hint="eastAsia" w:ascii="宋体" w:hAnsi="宋体" w:cs="宋体"/>
          <w:color w:val="auto"/>
          <w:kern w:val="1"/>
          <w:sz w:val="22"/>
          <w:szCs w:val="22"/>
          <w:highlight w:val="none"/>
        </w:rPr>
        <w:t>方：</w:t>
      </w:r>
      <w:r>
        <w:rPr>
          <w:rFonts w:hint="eastAsia" w:ascii="宋体" w:hAnsi="宋体" w:cs="宋体"/>
          <w:color w:val="auto"/>
          <w:kern w:val="1"/>
          <w:sz w:val="22"/>
          <w:szCs w:val="22"/>
          <w:highlight w:val="none"/>
          <w:lang w:eastAsia="zh-CN"/>
        </w:rPr>
        <w:t>温州市交通发展集团有限公司</w:t>
      </w:r>
    </w:p>
    <w:p w14:paraId="2860CD72">
      <w:pPr>
        <w:pBdr>
          <w:top w:val="none" w:color="000000" w:sz="0" w:space="0"/>
          <w:left w:val="none" w:color="000000" w:sz="0" w:space="0"/>
          <w:bottom w:val="none" w:color="000000" w:sz="0" w:space="0"/>
          <w:right w:val="none" w:color="000000" w:sz="0" w:space="0"/>
          <w:between w:val="none" w:color="000000" w:sz="0" w:space="0"/>
        </w:pBdr>
        <w:spacing w:line="400" w:lineRule="exact"/>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乙 方：                                      </w:t>
      </w:r>
    </w:p>
    <w:p w14:paraId="46A66EF7">
      <w:pPr>
        <w:pBdr>
          <w:top w:val="none" w:color="000000" w:sz="0" w:space="0"/>
          <w:left w:val="none" w:color="000000" w:sz="0" w:space="0"/>
          <w:bottom w:val="none" w:color="000000" w:sz="0" w:space="0"/>
          <w:right w:val="none" w:color="000000" w:sz="0" w:space="0"/>
          <w:between w:val="none" w:color="000000" w:sz="0" w:space="0"/>
        </w:pBdr>
        <w:spacing w:line="400" w:lineRule="exact"/>
        <w:rPr>
          <w:rFonts w:ascii="宋体" w:hAnsi="宋体" w:cs="宋体"/>
          <w:color w:val="auto"/>
          <w:kern w:val="1"/>
          <w:sz w:val="22"/>
          <w:szCs w:val="22"/>
          <w:highlight w:val="none"/>
        </w:rPr>
      </w:pPr>
    </w:p>
    <w:p w14:paraId="0F10B911">
      <w:pPr>
        <w:pStyle w:val="16"/>
        <w:rPr>
          <w:color w:val="auto"/>
          <w:highlight w:val="none"/>
        </w:rPr>
      </w:pPr>
    </w:p>
    <w:p w14:paraId="67D0D40F">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经过平等协商，在真实、充分地表达各自意愿的基础上，根据《中华人民共和国民法典》的规定，达成如下协议，并由</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共同恪守。</w:t>
      </w:r>
    </w:p>
    <w:p w14:paraId="3E5F9E00">
      <w:pPr>
        <w:numPr>
          <w:ilvl w:val="0"/>
          <w:numId w:val="0"/>
        </w:numPr>
        <w:pBdr>
          <w:top w:val="none" w:color="000000" w:sz="0" w:space="0"/>
          <w:left w:val="none" w:color="000000" w:sz="0" w:space="0"/>
          <w:bottom w:val="none" w:color="000000" w:sz="0" w:space="0"/>
          <w:right w:val="none" w:color="000000" w:sz="0" w:space="0"/>
          <w:between w:val="none" w:color="000000" w:sz="0" w:space="0"/>
        </w:pBdr>
        <w:spacing w:line="360" w:lineRule="auto"/>
        <w:ind w:firstLine="442" w:firstLineChars="200"/>
        <w:rPr>
          <w:rFonts w:ascii="宋体" w:hAnsi="宋体" w:cs="宋体"/>
          <w:color w:val="auto"/>
          <w:kern w:val="1"/>
          <w:sz w:val="22"/>
          <w:szCs w:val="22"/>
          <w:highlight w:val="none"/>
        </w:rPr>
      </w:pPr>
      <w:r>
        <w:rPr>
          <w:rFonts w:hint="eastAsia" w:ascii="宋体" w:hAnsi="宋体" w:cs="宋体"/>
          <w:b/>
          <w:bCs/>
          <w:color w:val="auto"/>
          <w:kern w:val="1"/>
          <w:sz w:val="22"/>
          <w:szCs w:val="22"/>
          <w:highlight w:val="none"/>
          <w:lang w:val="en-US" w:eastAsia="zh-CN"/>
        </w:rPr>
        <w:t>一、</w:t>
      </w:r>
      <w:r>
        <w:rPr>
          <w:rFonts w:hint="eastAsia" w:ascii="宋体" w:hAnsi="宋体" w:cs="宋体"/>
          <w:b/>
          <w:bCs/>
          <w:color w:val="auto"/>
          <w:kern w:val="1"/>
          <w:sz w:val="22"/>
          <w:szCs w:val="22"/>
          <w:highlight w:val="none"/>
        </w:rPr>
        <w:t>项目概况：</w:t>
      </w:r>
      <w:r>
        <w:rPr>
          <w:rFonts w:hint="eastAsia" w:ascii="宋体" w:hAnsi="宋体" w:cs="宋体"/>
          <w:color w:val="auto"/>
          <w:kern w:val="1"/>
          <w:sz w:val="22"/>
          <w:szCs w:val="22"/>
          <w:highlight w:val="none"/>
          <w:lang w:eastAsia="zh-CN"/>
        </w:rPr>
        <w:t>温州市交发集团OA系统信创改造</w:t>
      </w:r>
      <w:r>
        <w:rPr>
          <w:rFonts w:hint="eastAsia" w:ascii="宋体" w:hAnsi="宋体" w:cs="宋体"/>
          <w:color w:val="auto"/>
          <w:kern w:val="1"/>
          <w:sz w:val="22"/>
          <w:szCs w:val="22"/>
          <w:highlight w:val="none"/>
        </w:rPr>
        <w:t>。</w:t>
      </w:r>
    </w:p>
    <w:p w14:paraId="7B2ABCD8">
      <w:pPr>
        <w:numPr>
          <w:ilvl w:val="0"/>
          <w:numId w:val="0"/>
        </w:numPr>
        <w:pBdr>
          <w:top w:val="none" w:color="000000" w:sz="0" w:space="0"/>
          <w:left w:val="none" w:color="000000" w:sz="0" w:space="0"/>
          <w:bottom w:val="none" w:color="000000" w:sz="0" w:space="0"/>
          <w:right w:val="none" w:color="000000" w:sz="0" w:space="0"/>
          <w:between w:val="none" w:color="000000" w:sz="0" w:space="0"/>
        </w:pBdr>
        <w:spacing w:line="360" w:lineRule="auto"/>
        <w:ind w:firstLine="442" w:firstLineChars="200"/>
        <w:rPr>
          <w:rFonts w:ascii="宋体" w:hAnsi="宋体" w:cs="宋体"/>
          <w:b/>
          <w:bCs/>
          <w:color w:val="auto"/>
          <w:kern w:val="1"/>
          <w:sz w:val="22"/>
          <w:szCs w:val="22"/>
          <w:highlight w:val="none"/>
        </w:rPr>
      </w:pPr>
      <w:r>
        <w:rPr>
          <w:rFonts w:hint="eastAsia" w:ascii="宋体" w:hAnsi="宋体" w:cs="宋体"/>
          <w:b/>
          <w:bCs/>
          <w:color w:val="auto"/>
          <w:kern w:val="1"/>
          <w:sz w:val="22"/>
          <w:szCs w:val="22"/>
          <w:highlight w:val="none"/>
        </w:rPr>
        <w:t>二、合同范围</w:t>
      </w:r>
    </w:p>
    <w:p w14:paraId="397F7E66">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本项目服务范围涵盖集团实现</w:t>
      </w:r>
      <w:r>
        <w:rPr>
          <w:rFonts w:hint="eastAsia" w:ascii="宋体" w:hAnsi="宋体" w:cs="宋体"/>
          <w:color w:val="auto"/>
          <w:kern w:val="1"/>
          <w:sz w:val="22"/>
          <w:szCs w:val="22"/>
          <w:highlight w:val="none"/>
          <w:lang w:val="en-US" w:eastAsia="zh-CN"/>
        </w:rPr>
        <w:t>信创OA</w:t>
      </w:r>
      <w:r>
        <w:rPr>
          <w:rFonts w:hint="eastAsia" w:ascii="宋体" w:hAnsi="宋体" w:cs="宋体"/>
          <w:color w:val="auto"/>
          <w:kern w:val="1"/>
          <w:sz w:val="22"/>
          <w:szCs w:val="22"/>
          <w:highlight w:val="none"/>
        </w:rPr>
        <w:t>系统的自主可控和信息安全。通过新搭建一套基于国产化平台的综合办公系统，信息化系统软件、运行环境资源和用户终端均为全栈国产化，全面保证集团日常办公业务安全可控、稳定可靠，具体采购内容及求详见采购文件第四部分《采购内容及技术要求》。</w:t>
      </w:r>
    </w:p>
    <w:p w14:paraId="23EB511F">
      <w:pPr>
        <w:pBdr>
          <w:top w:val="none" w:color="000000" w:sz="0" w:space="0"/>
          <w:left w:val="none" w:color="000000" w:sz="0" w:space="0"/>
          <w:bottom w:val="none" w:color="000000" w:sz="0" w:space="0"/>
          <w:right w:val="none" w:color="000000" w:sz="0" w:space="0"/>
          <w:between w:val="none" w:color="000000" w:sz="0" w:space="0"/>
        </w:pBdr>
        <w:spacing w:line="360" w:lineRule="auto"/>
        <w:ind w:firstLine="442" w:firstLineChars="200"/>
        <w:rPr>
          <w:rFonts w:ascii="宋体" w:hAnsi="宋体" w:cs="宋体"/>
          <w:b/>
          <w:bCs/>
          <w:color w:val="auto"/>
          <w:kern w:val="1"/>
          <w:sz w:val="22"/>
          <w:szCs w:val="22"/>
          <w:highlight w:val="none"/>
        </w:rPr>
      </w:pPr>
      <w:r>
        <w:rPr>
          <w:rFonts w:hint="eastAsia" w:ascii="宋体" w:hAnsi="宋体" w:cs="宋体"/>
          <w:b/>
          <w:bCs/>
          <w:color w:val="auto"/>
          <w:kern w:val="1"/>
          <w:sz w:val="22"/>
          <w:szCs w:val="22"/>
          <w:highlight w:val="none"/>
        </w:rPr>
        <w:t>三、服务期及要求</w:t>
      </w:r>
    </w:p>
    <w:p w14:paraId="3FBDB82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1）</w:t>
      </w:r>
      <w:r>
        <w:rPr>
          <w:rFonts w:hint="eastAsia" w:ascii="宋体" w:hAnsi="宋体" w:cs="宋体"/>
          <w:color w:val="auto"/>
          <w:kern w:val="1"/>
          <w:sz w:val="22"/>
          <w:szCs w:val="22"/>
          <w:highlight w:val="none"/>
          <w:lang w:val="en-US" w:eastAsia="zh-CN"/>
        </w:rPr>
        <w:t>项目服务期</w:t>
      </w:r>
      <w:r>
        <w:rPr>
          <w:rFonts w:hint="eastAsia" w:ascii="宋体" w:hAnsi="宋体" w:cs="宋体"/>
          <w:color w:val="auto"/>
          <w:kern w:val="1"/>
          <w:sz w:val="22"/>
          <w:szCs w:val="22"/>
          <w:highlight w:val="none"/>
        </w:rPr>
        <w:t>：</w:t>
      </w:r>
      <w:r>
        <w:rPr>
          <w:rFonts w:hint="eastAsia" w:ascii="宋体" w:hAnsi="宋体" w:cs="宋体"/>
          <w:b w:val="0"/>
          <w:bCs w:val="0"/>
          <w:color w:val="auto"/>
          <w:kern w:val="1"/>
          <w:sz w:val="22"/>
          <w:szCs w:val="22"/>
          <w:highlight w:val="none"/>
          <w:lang w:val="en-US" w:eastAsia="zh-CN"/>
        </w:rPr>
        <w:t>自合同签订之日起至</w:t>
      </w:r>
      <w:r>
        <w:rPr>
          <w:rFonts w:ascii="微软雅黑" w:hAnsi="微软雅黑" w:eastAsia="微软雅黑" w:cs="微软雅黑"/>
          <w:i w:val="0"/>
          <w:caps w:val="0"/>
          <w:color w:val="auto"/>
          <w:spacing w:val="0"/>
          <w:sz w:val="21"/>
          <w:szCs w:val="21"/>
          <w:highlight w:val="none"/>
          <w:shd w:val="clear" w:fill="C9E7FF"/>
        </w:rPr>
        <w:t>项目验收后三年</w:t>
      </w:r>
      <w:r>
        <w:rPr>
          <w:rFonts w:hint="eastAsia" w:ascii="宋体" w:hAnsi="宋体" w:cs="宋体"/>
          <w:b w:val="0"/>
          <w:bCs w:val="0"/>
          <w:color w:val="auto"/>
          <w:kern w:val="1"/>
          <w:sz w:val="22"/>
          <w:szCs w:val="22"/>
          <w:highlight w:val="none"/>
          <w:lang w:val="en-US" w:eastAsia="zh-CN"/>
        </w:rPr>
        <w:t>服务期满止</w:t>
      </w:r>
      <w:r>
        <w:rPr>
          <w:rFonts w:hint="eastAsia" w:ascii="宋体" w:hAnsi="宋体" w:cs="宋体"/>
          <w:b w:val="0"/>
          <w:bCs w:val="0"/>
          <w:color w:val="auto"/>
          <w:kern w:val="1"/>
          <w:sz w:val="22"/>
          <w:szCs w:val="22"/>
          <w:highlight w:val="none"/>
        </w:rPr>
        <w:t>。</w:t>
      </w:r>
    </w:p>
    <w:p w14:paraId="65B530F3">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val="en-US" w:eastAsia="zh-CN"/>
        </w:rPr>
        <w:t>2</w:t>
      </w:r>
      <w:r>
        <w:rPr>
          <w:rFonts w:hint="eastAsia" w:ascii="宋体" w:hAnsi="宋体" w:cs="宋体"/>
          <w:color w:val="auto"/>
          <w:kern w:val="1"/>
          <w:sz w:val="22"/>
          <w:szCs w:val="22"/>
          <w:highlight w:val="none"/>
        </w:rPr>
        <w:t>）合同期内其它需求：在合同服务期内，</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须服从甲有关规章制度及安排。</w:t>
      </w:r>
    </w:p>
    <w:p w14:paraId="73F4AE8D">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lang w:val="en-US" w:eastAsia="zh-CN"/>
        </w:rPr>
        <w:t>3</w:t>
      </w:r>
      <w:r>
        <w:rPr>
          <w:rFonts w:hint="eastAsia" w:ascii="宋体" w:hAnsi="宋体" w:cs="宋体"/>
          <w:color w:val="auto"/>
          <w:kern w:val="1"/>
          <w:sz w:val="22"/>
          <w:szCs w:val="22"/>
          <w:highlight w:val="none"/>
        </w:rPr>
        <w:t>）</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保证按照合同约定向</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提供服务。</w:t>
      </w:r>
    </w:p>
    <w:p w14:paraId="13A6E18F">
      <w:pPr>
        <w:pBdr>
          <w:top w:val="none" w:color="000000" w:sz="0" w:space="0"/>
          <w:left w:val="none" w:color="000000" w:sz="0" w:space="0"/>
          <w:bottom w:val="none" w:color="000000" w:sz="0" w:space="0"/>
          <w:right w:val="none" w:color="000000" w:sz="0" w:space="0"/>
          <w:between w:val="none" w:color="000000" w:sz="0" w:space="0"/>
        </w:pBdr>
        <w:spacing w:line="360" w:lineRule="auto"/>
        <w:ind w:firstLine="442" w:firstLineChars="200"/>
        <w:rPr>
          <w:rFonts w:hint="eastAsia" w:ascii="宋体" w:hAnsi="宋体" w:eastAsia="宋体" w:cs="宋体"/>
          <w:b/>
          <w:bCs/>
          <w:color w:val="auto"/>
          <w:kern w:val="1"/>
          <w:sz w:val="22"/>
          <w:szCs w:val="22"/>
          <w:highlight w:val="none"/>
          <w:lang w:eastAsia="zh-CN"/>
        </w:rPr>
      </w:pPr>
      <w:r>
        <w:rPr>
          <w:rFonts w:hint="eastAsia" w:ascii="宋体" w:hAnsi="宋体" w:cs="宋体"/>
          <w:b/>
          <w:bCs/>
          <w:color w:val="auto"/>
          <w:kern w:val="1"/>
          <w:sz w:val="22"/>
          <w:szCs w:val="22"/>
          <w:highlight w:val="none"/>
        </w:rPr>
        <w:t>四、</w:t>
      </w:r>
      <w:r>
        <w:rPr>
          <w:rFonts w:hint="eastAsia" w:ascii="宋体" w:hAnsi="宋体" w:cs="宋体"/>
          <w:b/>
          <w:bCs/>
          <w:color w:val="auto"/>
          <w:kern w:val="1"/>
          <w:sz w:val="22"/>
          <w:szCs w:val="22"/>
          <w:highlight w:val="none"/>
          <w:lang w:eastAsia="zh-CN"/>
        </w:rPr>
        <w:t>合同价</w:t>
      </w:r>
    </w:p>
    <w:p w14:paraId="7BA79235">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hint="eastAsia" w:ascii="宋体" w:hAnsi="宋体" w:eastAsia="宋体" w:cs="宋体"/>
          <w:color w:val="auto"/>
          <w:kern w:val="1"/>
          <w:sz w:val="22"/>
          <w:szCs w:val="22"/>
          <w:highlight w:val="none"/>
          <w:lang w:eastAsia="zh-CN"/>
        </w:rPr>
      </w:pPr>
      <w:r>
        <w:rPr>
          <w:rFonts w:hint="eastAsia" w:ascii="宋体" w:hAnsi="宋体" w:cs="宋体"/>
          <w:color w:val="auto"/>
          <w:kern w:val="1"/>
          <w:sz w:val="22"/>
          <w:szCs w:val="22"/>
          <w:highlight w:val="none"/>
        </w:rPr>
        <w:t>（含税）：</w:t>
      </w:r>
      <w:r>
        <w:rPr>
          <w:rFonts w:hint="eastAsia" w:ascii="宋体" w:hAnsi="宋体" w:cs="宋体"/>
          <w:b/>
          <w:color w:val="auto"/>
          <w:kern w:val="1"/>
          <w:sz w:val="22"/>
          <w:szCs w:val="22"/>
          <w:highlight w:val="none"/>
        </w:rPr>
        <w:t>人民币（大写）</w:t>
      </w:r>
      <w:r>
        <w:rPr>
          <w:rFonts w:hint="eastAsia" w:ascii="宋体" w:hAnsi="宋体" w:cs="宋体"/>
          <w:b/>
          <w:color w:val="auto"/>
          <w:kern w:val="1"/>
          <w:sz w:val="22"/>
          <w:szCs w:val="22"/>
          <w:highlight w:val="none"/>
          <w:u w:val="single"/>
        </w:rPr>
        <w:t xml:space="preserve">         </w:t>
      </w:r>
      <w:r>
        <w:rPr>
          <w:rFonts w:hint="eastAsia" w:ascii="宋体" w:hAnsi="宋体" w:cs="宋体"/>
          <w:b/>
          <w:color w:val="auto"/>
          <w:kern w:val="1"/>
          <w:sz w:val="22"/>
          <w:szCs w:val="22"/>
          <w:highlight w:val="none"/>
        </w:rPr>
        <w:t>元整（小写：¥</w:t>
      </w:r>
      <w:r>
        <w:rPr>
          <w:rFonts w:hint="eastAsia" w:ascii="宋体" w:hAnsi="宋体" w:cs="宋体"/>
          <w:b/>
          <w:color w:val="auto"/>
          <w:kern w:val="1"/>
          <w:sz w:val="22"/>
          <w:szCs w:val="22"/>
          <w:highlight w:val="none"/>
          <w:u w:val="single"/>
        </w:rPr>
        <w:t xml:space="preserve">      </w:t>
      </w:r>
      <w:r>
        <w:rPr>
          <w:rFonts w:hint="eastAsia" w:ascii="宋体" w:hAnsi="宋体" w:cs="宋体"/>
          <w:b/>
          <w:color w:val="auto"/>
          <w:kern w:val="1"/>
          <w:sz w:val="22"/>
          <w:szCs w:val="22"/>
          <w:highlight w:val="none"/>
        </w:rPr>
        <w:t>）</w:t>
      </w:r>
      <w:r>
        <w:rPr>
          <w:rFonts w:hint="eastAsia" w:ascii="宋体" w:hAnsi="宋体" w:cs="宋体"/>
          <w:b/>
          <w:color w:val="auto"/>
          <w:kern w:val="1"/>
          <w:sz w:val="22"/>
          <w:szCs w:val="22"/>
          <w:highlight w:val="none"/>
          <w:lang w:eastAsia="zh-CN"/>
        </w:rPr>
        <w:t>；</w:t>
      </w:r>
    </w:p>
    <w:p w14:paraId="01C1AA3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（不含税）：</w:t>
      </w:r>
      <w:r>
        <w:rPr>
          <w:rFonts w:hint="eastAsia" w:ascii="宋体" w:hAnsi="宋体" w:cs="宋体"/>
          <w:b/>
          <w:color w:val="auto"/>
          <w:kern w:val="1"/>
          <w:sz w:val="22"/>
          <w:szCs w:val="22"/>
          <w:highlight w:val="none"/>
        </w:rPr>
        <w:t>人民币（大写）</w:t>
      </w:r>
      <w:r>
        <w:rPr>
          <w:rFonts w:hint="eastAsia" w:ascii="宋体" w:hAnsi="宋体" w:cs="宋体"/>
          <w:b/>
          <w:color w:val="auto"/>
          <w:kern w:val="1"/>
          <w:sz w:val="22"/>
          <w:szCs w:val="22"/>
          <w:highlight w:val="none"/>
          <w:u w:val="single"/>
        </w:rPr>
        <w:t xml:space="preserve">        </w:t>
      </w:r>
      <w:r>
        <w:rPr>
          <w:rFonts w:hint="eastAsia" w:ascii="宋体" w:hAnsi="宋体" w:cs="宋体"/>
          <w:b/>
          <w:color w:val="auto"/>
          <w:kern w:val="1"/>
          <w:sz w:val="22"/>
          <w:szCs w:val="22"/>
          <w:highlight w:val="none"/>
        </w:rPr>
        <w:t>元整（小写：¥</w:t>
      </w:r>
      <w:r>
        <w:rPr>
          <w:rFonts w:hint="eastAsia" w:ascii="宋体" w:hAnsi="宋体" w:cs="宋体"/>
          <w:b/>
          <w:color w:val="auto"/>
          <w:kern w:val="1"/>
          <w:sz w:val="22"/>
          <w:szCs w:val="22"/>
          <w:highlight w:val="none"/>
          <w:u w:val="single"/>
        </w:rPr>
        <w:t xml:space="preserve">    </w:t>
      </w:r>
      <w:r>
        <w:rPr>
          <w:rFonts w:hint="eastAsia" w:ascii="宋体" w:hAnsi="宋体" w:cs="宋体"/>
          <w:b/>
          <w:color w:val="auto"/>
          <w:kern w:val="1"/>
          <w:sz w:val="22"/>
          <w:szCs w:val="22"/>
          <w:highlight w:val="none"/>
          <w:u w:val="single"/>
          <w:lang w:val="en-US" w:eastAsia="zh-CN"/>
        </w:rPr>
        <w:t xml:space="preserve">   </w:t>
      </w:r>
      <w:r>
        <w:rPr>
          <w:rFonts w:hint="eastAsia" w:ascii="宋体" w:hAnsi="宋体" w:cs="宋体"/>
          <w:b/>
          <w:color w:val="auto"/>
          <w:kern w:val="1"/>
          <w:sz w:val="22"/>
          <w:szCs w:val="22"/>
          <w:highlight w:val="none"/>
        </w:rPr>
        <w:t>）</w:t>
      </w:r>
      <w:r>
        <w:rPr>
          <w:rFonts w:hint="eastAsia" w:ascii="宋体" w:hAnsi="宋体" w:cs="宋体"/>
          <w:color w:val="auto"/>
          <w:kern w:val="1"/>
          <w:sz w:val="22"/>
          <w:szCs w:val="22"/>
          <w:highlight w:val="none"/>
        </w:rPr>
        <w:t>。</w:t>
      </w:r>
    </w:p>
    <w:p w14:paraId="5BB60608">
      <w:pPr>
        <w:pBdr>
          <w:top w:val="none" w:color="000000" w:sz="0" w:space="0"/>
          <w:left w:val="none" w:color="000000" w:sz="0" w:space="0"/>
          <w:bottom w:val="none" w:color="000000" w:sz="0" w:space="0"/>
          <w:right w:val="none" w:color="000000" w:sz="0" w:space="0"/>
          <w:between w:val="none" w:color="000000" w:sz="0" w:space="0"/>
        </w:pBdr>
        <w:spacing w:line="360" w:lineRule="auto"/>
        <w:ind w:firstLine="442" w:firstLineChars="200"/>
        <w:rPr>
          <w:rFonts w:ascii="宋体" w:hAnsi="宋体" w:cs="宋体"/>
          <w:b/>
          <w:bCs/>
          <w:color w:val="auto"/>
          <w:kern w:val="1"/>
          <w:sz w:val="22"/>
          <w:szCs w:val="22"/>
          <w:highlight w:val="none"/>
        </w:rPr>
      </w:pPr>
      <w:r>
        <w:rPr>
          <w:rFonts w:hint="eastAsia" w:ascii="宋体" w:hAnsi="宋体" w:cs="宋体"/>
          <w:b/>
          <w:bCs/>
          <w:color w:val="auto"/>
          <w:kern w:val="1"/>
          <w:sz w:val="22"/>
          <w:szCs w:val="22"/>
          <w:highlight w:val="none"/>
        </w:rPr>
        <w:t>五、其他</w:t>
      </w:r>
    </w:p>
    <w:p w14:paraId="107F13E3">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1）本合同涉及的甲方权利义务（除“支付”条款外）均由甲方</w:t>
      </w:r>
      <w:r>
        <w:rPr>
          <w:rFonts w:hint="eastAsia" w:ascii="宋体" w:hAnsi="宋体" w:cs="宋体"/>
          <w:color w:val="auto"/>
          <w:kern w:val="1"/>
          <w:sz w:val="22"/>
          <w:szCs w:val="22"/>
          <w:highlight w:val="none"/>
          <w:lang w:eastAsia="zh-CN"/>
        </w:rPr>
        <w:t>温州市交通发展集团有限公司</w:t>
      </w:r>
      <w:r>
        <w:rPr>
          <w:rFonts w:hint="eastAsia" w:ascii="宋体" w:hAnsi="宋体" w:cs="宋体"/>
          <w:color w:val="auto"/>
          <w:kern w:val="1"/>
          <w:sz w:val="22"/>
          <w:szCs w:val="22"/>
          <w:highlight w:val="none"/>
        </w:rPr>
        <w:t>承担。合同中所列“甲方”如无特别说明，均指</w:t>
      </w:r>
      <w:r>
        <w:rPr>
          <w:rFonts w:hint="eastAsia" w:ascii="宋体" w:hAnsi="宋体" w:cs="宋体"/>
          <w:color w:val="auto"/>
          <w:kern w:val="1"/>
          <w:sz w:val="22"/>
          <w:szCs w:val="22"/>
          <w:highlight w:val="none"/>
          <w:lang w:eastAsia="zh-CN"/>
        </w:rPr>
        <w:t>温州市交通发展集团有限公司</w:t>
      </w:r>
      <w:r>
        <w:rPr>
          <w:rFonts w:hint="eastAsia" w:ascii="宋体" w:hAnsi="宋体" w:cs="宋体"/>
          <w:color w:val="auto"/>
          <w:kern w:val="1"/>
          <w:sz w:val="22"/>
          <w:szCs w:val="22"/>
          <w:highlight w:val="none"/>
        </w:rPr>
        <w:t>。</w:t>
      </w:r>
    </w:p>
    <w:p w14:paraId="0DEC613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2）合同</w:t>
      </w:r>
      <w:r>
        <w:rPr>
          <w:rFonts w:hint="eastAsia" w:ascii="宋体" w:hAnsi="宋体" w:cs="宋体"/>
          <w:color w:val="auto"/>
          <w:kern w:val="1"/>
          <w:sz w:val="22"/>
          <w:szCs w:val="22"/>
          <w:highlight w:val="none"/>
          <w:lang w:val="en-US" w:eastAsia="zh-CN"/>
        </w:rPr>
        <w:t>价</w:t>
      </w:r>
      <w:r>
        <w:rPr>
          <w:rFonts w:hint="eastAsia" w:ascii="宋体" w:hAnsi="宋体" w:cs="宋体"/>
          <w:color w:val="auto"/>
          <w:kern w:val="1"/>
          <w:sz w:val="22"/>
          <w:szCs w:val="22"/>
          <w:highlight w:val="none"/>
        </w:rPr>
        <w:t>包括</w:t>
      </w:r>
      <w:r>
        <w:rPr>
          <w:rFonts w:hint="eastAsia" w:ascii="宋体" w:hAnsi="宋体" w:cs="宋体"/>
          <w:color w:val="auto"/>
          <w:kern w:val="1"/>
          <w:sz w:val="22"/>
          <w:szCs w:val="22"/>
          <w:highlight w:val="none"/>
          <w:lang w:val="en-US" w:eastAsia="zh-CN"/>
        </w:rPr>
        <w:t>乙方</w:t>
      </w:r>
      <w:r>
        <w:rPr>
          <w:rFonts w:hint="eastAsia" w:ascii="宋体" w:hAnsi="宋体" w:cs="宋体"/>
          <w:color w:val="auto"/>
          <w:kern w:val="1"/>
          <w:sz w:val="22"/>
          <w:szCs w:val="22"/>
          <w:highlight w:val="none"/>
        </w:rPr>
        <w:t>为完成本合同所有服务的全部费用，如遇国家增值税税率调整，合同不含税价保持不变，含税价按最新政策执行调整。</w:t>
      </w:r>
    </w:p>
    <w:p w14:paraId="4A247BD5">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3）本合同中词语和术语的含义与下文合同条款中的定义相同。</w:t>
      </w:r>
    </w:p>
    <w:p w14:paraId="0DCBFCE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4）本合同书在</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提供履约担保并经</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签字并盖章后生效。</w:t>
      </w:r>
    </w:p>
    <w:p w14:paraId="6532FDE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5）本合同一式</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rPr>
        <w:t>份，甲方执</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rPr>
        <w:t>份，</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执</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rPr>
        <w:t>份，均具有同等的法律效力。</w:t>
      </w:r>
    </w:p>
    <w:p w14:paraId="672919C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6）本合同签约地为温州市</w:t>
      </w:r>
      <w:r>
        <w:rPr>
          <w:rFonts w:hint="eastAsia" w:ascii="宋体" w:hAnsi="宋体" w:cs="宋体"/>
          <w:color w:val="auto"/>
          <w:kern w:val="1"/>
          <w:sz w:val="22"/>
          <w:szCs w:val="22"/>
          <w:highlight w:val="none"/>
          <w:lang w:val="en-US" w:eastAsia="zh-CN"/>
        </w:rPr>
        <w:t>鹿城区</w:t>
      </w:r>
      <w:r>
        <w:rPr>
          <w:rFonts w:hint="eastAsia" w:ascii="宋体" w:hAnsi="宋体" w:cs="宋体"/>
          <w:color w:val="auto"/>
          <w:kern w:val="1"/>
          <w:sz w:val="22"/>
          <w:szCs w:val="22"/>
          <w:highlight w:val="none"/>
        </w:rPr>
        <w:t>，签约日期为</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rPr>
        <w:t>年</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rPr>
        <w:t>月</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rPr>
        <w:t>日。</w:t>
      </w:r>
    </w:p>
    <w:p w14:paraId="24432F8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7）未尽事宜经</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协商一致，另行签订补充协议。</w:t>
      </w:r>
    </w:p>
    <w:p w14:paraId="634C7B5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val="en-US" w:eastAsia="zh-CN"/>
        </w:rPr>
        <w:t>8</w:t>
      </w:r>
      <w:r>
        <w:rPr>
          <w:rFonts w:hint="eastAsia" w:ascii="宋体" w:hAnsi="宋体" w:cs="宋体"/>
          <w:color w:val="auto"/>
          <w:kern w:val="1"/>
          <w:sz w:val="22"/>
          <w:szCs w:val="22"/>
          <w:highlight w:val="none"/>
        </w:rPr>
        <w:t>）</w:t>
      </w:r>
      <w:r>
        <w:rPr>
          <w:rFonts w:hint="eastAsia" w:ascii="宋体" w:hAnsi="宋体" w:cs="宋体"/>
          <w:color w:val="auto"/>
          <w:kern w:val="1"/>
          <w:sz w:val="22"/>
          <w:szCs w:val="22"/>
          <w:highlight w:val="none"/>
          <w:lang w:val="en-US" w:eastAsia="zh-CN"/>
        </w:rPr>
        <w:t>本合同附录一、二、三、四与合同具有同等法律效力</w:t>
      </w:r>
      <w:r>
        <w:rPr>
          <w:rFonts w:hint="eastAsia" w:ascii="宋体" w:hAnsi="宋体" w:cs="宋体"/>
          <w:color w:val="auto"/>
          <w:kern w:val="1"/>
          <w:sz w:val="22"/>
          <w:szCs w:val="22"/>
          <w:highlight w:val="none"/>
        </w:rPr>
        <w:t>。</w:t>
      </w:r>
    </w:p>
    <w:p w14:paraId="3330804B">
      <w:pPr>
        <w:pBdr>
          <w:top w:val="none" w:color="000000" w:sz="0" w:space="0"/>
          <w:left w:val="none" w:color="000000" w:sz="0" w:space="0"/>
          <w:bottom w:val="none" w:color="000000" w:sz="0" w:space="0"/>
          <w:right w:val="none" w:color="000000" w:sz="0" w:space="0"/>
          <w:between w:val="none" w:color="000000" w:sz="0" w:space="0"/>
        </w:pBdr>
        <w:spacing w:line="360" w:lineRule="auto"/>
        <w:ind w:firstLine="42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甲方（盖章）：                                          </w:t>
      </w:r>
    </w:p>
    <w:p w14:paraId="2EAF0946">
      <w:pPr>
        <w:pBdr>
          <w:top w:val="none" w:color="000000" w:sz="0" w:space="0"/>
          <w:left w:val="none" w:color="000000" w:sz="0" w:space="0"/>
          <w:bottom w:val="none" w:color="000000" w:sz="0" w:space="0"/>
          <w:right w:val="none" w:color="000000" w:sz="0" w:space="0"/>
          <w:between w:val="none" w:color="000000" w:sz="0" w:space="0"/>
        </w:pBdr>
        <w:spacing w:line="360" w:lineRule="auto"/>
        <w:ind w:firstLine="42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法定代表人或授权代表：（签字或盖章）                      </w:t>
      </w:r>
    </w:p>
    <w:p w14:paraId="39A6096E">
      <w:pPr>
        <w:pBdr>
          <w:top w:val="none" w:color="000000" w:sz="0" w:space="0"/>
          <w:left w:val="none" w:color="000000" w:sz="0" w:space="0"/>
          <w:bottom w:val="none" w:color="000000" w:sz="0" w:space="0"/>
          <w:right w:val="none" w:color="000000" w:sz="0" w:space="0"/>
          <w:between w:val="none" w:color="000000" w:sz="0" w:space="0"/>
        </w:pBdr>
        <w:spacing w:line="360" w:lineRule="auto"/>
        <w:ind w:firstLine="42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开户银行：                                      </w:t>
      </w:r>
    </w:p>
    <w:p w14:paraId="63BE97D8">
      <w:pPr>
        <w:pBdr>
          <w:top w:val="none" w:color="000000" w:sz="0" w:space="0"/>
          <w:left w:val="none" w:color="000000" w:sz="0" w:space="0"/>
          <w:bottom w:val="none" w:color="000000" w:sz="0" w:space="0"/>
          <w:right w:val="none" w:color="000000" w:sz="0" w:space="0"/>
          <w:between w:val="none" w:color="000000" w:sz="0" w:space="0"/>
        </w:pBdr>
        <w:spacing w:line="360" w:lineRule="auto"/>
        <w:ind w:firstLine="42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帐号：                                          </w:t>
      </w:r>
    </w:p>
    <w:p w14:paraId="193D5D08">
      <w:pPr>
        <w:pBdr>
          <w:top w:val="none" w:color="000000" w:sz="0" w:space="0"/>
          <w:left w:val="none" w:color="000000" w:sz="0" w:space="0"/>
          <w:bottom w:val="none" w:color="000000" w:sz="0" w:space="0"/>
          <w:right w:val="none" w:color="000000" w:sz="0" w:space="0"/>
          <w:between w:val="none" w:color="000000" w:sz="0" w:space="0"/>
        </w:pBdr>
        <w:spacing w:line="360" w:lineRule="auto"/>
        <w:ind w:firstLine="42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地址：                                          </w:t>
      </w:r>
    </w:p>
    <w:p w14:paraId="7040A685">
      <w:pPr>
        <w:pBdr>
          <w:top w:val="none" w:color="000000" w:sz="0" w:space="0"/>
          <w:left w:val="none" w:color="000000" w:sz="0" w:space="0"/>
          <w:bottom w:val="none" w:color="000000" w:sz="0" w:space="0"/>
          <w:right w:val="none" w:color="000000" w:sz="0" w:space="0"/>
          <w:between w:val="none" w:color="000000" w:sz="0" w:space="0"/>
        </w:pBdr>
        <w:spacing w:line="360" w:lineRule="auto"/>
        <w:ind w:firstLine="42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联系电话：                                      </w:t>
      </w:r>
    </w:p>
    <w:p w14:paraId="066B3514">
      <w:pPr>
        <w:spacing w:line="360" w:lineRule="auto"/>
        <w:ind w:firstLine="480" w:firstLineChars="200"/>
        <w:rPr>
          <w:rFonts w:ascii="Calibri" w:hAnsi="Calibri"/>
          <w:color w:val="auto"/>
          <w:szCs w:val="22"/>
          <w:highlight w:val="none"/>
        </w:rPr>
      </w:pPr>
    </w:p>
    <w:p w14:paraId="078CEC2D">
      <w:pPr>
        <w:spacing w:line="360" w:lineRule="auto"/>
        <w:ind w:firstLine="480" w:firstLineChars="200"/>
        <w:rPr>
          <w:rFonts w:ascii="Calibri" w:hAnsi="Calibri"/>
          <w:color w:val="auto"/>
          <w:szCs w:val="22"/>
          <w:highlight w:val="none"/>
        </w:rPr>
      </w:pPr>
      <w:r>
        <w:rPr>
          <w:rFonts w:hint="eastAsia" w:ascii="Calibri" w:hAnsi="Calibri"/>
          <w:color w:val="auto"/>
          <w:szCs w:val="22"/>
          <w:highlight w:val="none"/>
        </w:rPr>
        <w:t xml:space="preserve">             </w:t>
      </w:r>
    </w:p>
    <w:p w14:paraId="1DB488BD">
      <w:pPr>
        <w:spacing w:line="360" w:lineRule="auto"/>
        <w:ind w:firstLine="440" w:firstLineChars="200"/>
        <w:rPr>
          <w:rFonts w:ascii="宋体" w:hAnsi="宋体" w:cs="宋体"/>
          <w:color w:val="auto"/>
          <w:kern w:val="1"/>
          <w:sz w:val="22"/>
          <w:szCs w:val="22"/>
          <w:highlight w:val="none"/>
        </w:rPr>
      </w:pPr>
    </w:p>
    <w:p w14:paraId="1C57B324">
      <w:pP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 xml:space="preserve">（盖章）：                                          </w:t>
      </w:r>
    </w:p>
    <w:p w14:paraId="57A8EB7C">
      <w:pP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法定代表人或授权代表：（签字或盖章）                      </w:t>
      </w:r>
    </w:p>
    <w:p w14:paraId="49819D81">
      <w:pP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开户银行：                                      </w:t>
      </w:r>
    </w:p>
    <w:p w14:paraId="093BED48">
      <w:pP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帐号：                                          </w:t>
      </w:r>
    </w:p>
    <w:p w14:paraId="01CD2283">
      <w:pP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地址：                                          </w:t>
      </w:r>
    </w:p>
    <w:p w14:paraId="543AF4DB">
      <w:pPr>
        <w:spacing w:line="360" w:lineRule="auto"/>
        <w:ind w:firstLine="440" w:firstLineChars="200"/>
        <w:rPr>
          <w:rFonts w:ascii="Calibri" w:hAnsi="Calibri"/>
          <w:color w:val="auto"/>
          <w:szCs w:val="22"/>
          <w:highlight w:val="none"/>
        </w:rPr>
      </w:pPr>
      <w:r>
        <w:rPr>
          <w:rFonts w:hint="eastAsia" w:ascii="宋体" w:hAnsi="宋体" w:cs="宋体"/>
          <w:color w:val="auto"/>
          <w:kern w:val="1"/>
          <w:sz w:val="22"/>
          <w:szCs w:val="22"/>
          <w:highlight w:val="none"/>
        </w:rPr>
        <w:t xml:space="preserve">联系电话：                                      </w:t>
      </w:r>
    </w:p>
    <w:p w14:paraId="6B3BFA15">
      <w:pPr>
        <w:ind w:firstLine="440" w:firstLineChars="200"/>
        <w:jc w:val="left"/>
        <w:rPr>
          <w:rFonts w:ascii="宋体" w:hAnsi="宋体" w:cs="宋体"/>
          <w:color w:val="auto"/>
          <w:kern w:val="1"/>
          <w:sz w:val="22"/>
          <w:szCs w:val="22"/>
          <w:highlight w:val="none"/>
        </w:rPr>
      </w:pPr>
    </w:p>
    <w:p w14:paraId="6855D6BF">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line="440" w:lineRule="exact"/>
        <w:jc w:val="center"/>
        <w:rPr>
          <w:rFonts w:ascii="宋体" w:hAnsi="宋体" w:cs="宋体"/>
          <w:b/>
          <w:bCs/>
          <w:color w:val="auto"/>
          <w:kern w:val="1"/>
          <w:sz w:val="36"/>
          <w:szCs w:val="36"/>
          <w:highlight w:val="none"/>
        </w:rPr>
      </w:pPr>
    </w:p>
    <w:p w14:paraId="39420FDB">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line="440" w:lineRule="exact"/>
        <w:jc w:val="center"/>
        <w:rPr>
          <w:rFonts w:ascii="宋体" w:hAnsi="宋体" w:cs="宋体"/>
          <w:b/>
          <w:bCs/>
          <w:color w:val="auto"/>
          <w:kern w:val="1"/>
          <w:sz w:val="36"/>
          <w:szCs w:val="36"/>
          <w:highlight w:val="none"/>
        </w:rPr>
      </w:pPr>
    </w:p>
    <w:p w14:paraId="424E00D1">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line="440" w:lineRule="exact"/>
        <w:jc w:val="center"/>
        <w:rPr>
          <w:rFonts w:ascii="宋体" w:hAnsi="宋体" w:cs="宋体"/>
          <w:b/>
          <w:bCs/>
          <w:color w:val="auto"/>
          <w:kern w:val="1"/>
          <w:sz w:val="36"/>
          <w:szCs w:val="36"/>
          <w:highlight w:val="none"/>
        </w:rPr>
      </w:pPr>
      <w:r>
        <w:rPr>
          <w:rFonts w:hint="eastAsia" w:ascii="宋体" w:hAnsi="宋体" w:cs="宋体"/>
          <w:b/>
          <w:bCs/>
          <w:color w:val="auto"/>
          <w:kern w:val="1"/>
          <w:sz w:val="36"/>
          <w:szCs w:val="36"/>
          <w:highlight w:val="none"/>
        </w:rPr>
        <w:br w:type="page"/>
      </w:r>
      <w:r>
        <w:rPr>
          <w:rFonts w:hint="eastAsia" w:ascii="宋体" w:hAnsi="宋体" w:cs="宋体"/>
          <w:b/>
          <w:bCs/>
          <w:color w:val="auto"/>
          <w:kern w:val="1"/>
          <w:sz w:val="36"/>
          <w:szCs w:val="36"/>
          <w:highlight w:val="none"/>
        </w:rPr>
        <w:t>合同条款</w:t>
      </w:r>
    </w:p>
    <w:p w14:paraId="64DA9E6A">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1、一般约定</w:t>
      </w:r>
    </w:p>
    <w:p w14:paraId="1C73ADBA">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1.1词语定义</w:t>
      </w:r>
    </w:p>
    <w:p w14:paraId="7A1F0356">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1.1.1“合同”或称“合同书”系指</w:t>
      </w:r>
      <w:r>
        <w:rPr>
          <w:rFonts w:hint="eastAsia" w:ascii="宋体" w:hAnsi="宋体" w:cs="宋体"/>
          <w:color w:val="auto"/>
          <w:kern w:val="1"/>
          <w:sz w:val="22"/>
          <w:szCs w:val="22"/>
          <w:highlight w:val="none"/>
          <w:lang w:eastAsia="zh-CN"/>
        </w:rPr>
        <w:t>甲、乙双方</w:t>
      </w:r>
      <w:r>
        <w:rPr>
          <w:rFonts w:hint="eastAsia" w:ascii="宋体" w:hAnsi="宋体" w:cs="宋体"/>
          <w:color w:val="auto"/>
          <w:kern w:val="1"/>
          <w:sz w:val="22"/>
          <w:szCs w:val="22"/>
          <w:highlight w:val="none"/>
        </w:rPr>
        <w:t>达成并签署的协议，包括合同协议书、合同条款及构成合同的所有文件。</w:t>
      </w:r>
    </w:p>
    <w:p w14:paraId="6ADC24E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1.1.2“服务”系指合同规定</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提供的服务；</w:t>
      </w:r>
    </w:p>
    <w:p w14:paraId="36EDB3F3">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1.1.3“甲方”系指</w:t>
      </w:r>
      <w:r>
        <w:rPr>
          <w:rFonts w:hint="eastAsia" w:ascii="宋体" w:hAnsi="宋体" w:cs="宋体"/>
          <w:b/>
          <w:bCs/>
          <w:color w:val="auto"/>
          <w:kern w:val="1"/>
          <w:sz w:val="22"/>
          <w:szCs w:val="22"/>
          <w:highlight w:val="none"/>
          <w:u w:val="single"/>
          <w:lang w:eastAsia="zh-CN"/>
        </w:rPr>
        <w:t>温州市交通发展集团有限公司</w:t>
      </w:r>
      <w:r>
        <w:rPr>
          <w:rFonts w:hint="eastAsia" w:ascii="宋体" w:hAnsi="宋体" w:cs="宋体"/>
          <w:color w:val="auto"/>
          <w:kern w:val="1"/>
          <w:sz w:val="22"/>
          <w:szCs w:val="22"/>
          <w:highlight w:val="none"/>
        </w:rPr>
        <w:t>。</w:t>
      </w:r>
    </w:p>
    <w:p w14:paraId="72051C1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1.1.4“乙方”系指</w:t>
      </w:r>
      <w:r>
        <w:rPr>
          <w:rFonts w:hint="eastAsia" w:ascii="宋体" w:hAnsi="宋体" w:cs="宋体"/>
          <w:b/>
          <w:bCs/>
          <w:i/>
          <w:iCs/>
          <w:color w:val="auto"/>
          <w:kern w:val="1"/>
          <w:sz w:val="22"/>
          <w:szCs w:val="22"/>
          <w:highlight w:val="none"/>
          <w:u w:val="single"/>
          <w:lang w:val="en-US" w:eastAsia="zh-CN"/>
        </w:rPr>
        <w:t>中标供应商</w:t>
      </w:r>
      <w:r>
        <w:rPr>
          <w:rFonts w:hint="eastAsia" w:ascii="宋体" w:hAnsi="宋体" w:cs="宋体"/>
          <w:color w:val="auto"/>
          <w:kern w:val="1"/>
          <w:sz w:val="22"/>
          <w:szCs w:val="22"/>
          <w:highlight w:val="none"/>
        </w:rPr>
        <w:t>。</w:t>
      </w:r>
    </w:p>
    <w:p w14:paraId="334F499B">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color w:val="auto"/>
          <w:sz w:val="22"/>
          <w:szCs w:val="22"/>
          <w:highlight w:val="none"/>
        </w:rPr>
      </w:pPr>
      <w:r>
        <w:rPr>
          <w:rFonts w:hint="eastAsia" w:ascii="宋体" w:hAnsi="宋体" w:cs="宋体"/>
          <w:color w:val="auto"/>
          <w:kern w:val="1"/>
          <w:sz w:val="22"/>
          <w:szCs w:val="22"/>
          <w:highlight w:val="none"/>
        </w:rPr>
        <w:t>1.1.</w:t>
      </w:r>
      <w:r>
        <w:rPr>
          <w:rFonts w:hint="eastAsia" w:ascii="宋体" w:hAnsi="宋体" w:cs="宋体"/>
          <w:color w:val="auto"/>
          <w:kern w:val="1"/>
          <w:sz w:val="22"/>
          <w:szCs w:val="22"/>
          <w:highlight w:val="none"/>
          <w:lang w:val="en-US" w:eastAsia="zh-CN"/>
        </w:rPr>
        <w:t>5</w:t>
      </w:r>
      <w:r>
        <w:rPr>
          <w:rFonts w:hint="eastAsia" w:ascii="宋体" w:hAnsi="宋体" w:cs="宋体"/>
          <w:color w:val="auto"/>
          <w:kern w:val="1"/>
          <w:sz w:val="22"/>
          <w:szCs w:val="22"/>
          <w:highlight w:val="none"/>
        </w:rPr>
        <w:t>“</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”系指甲方和</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w:t>
      </w:r>
    </w:p>
    <w:p w14:paraId="6DC5CB4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w:t>
      </w:r>
      <w:r>
        <w:rPr>
          <w:rFonts w:hint="eastAsia" w:ascii="宋体" w:hAnsi="宋体" w:cs="宋体"/>
          <w:color w:val="auto"/>
          <w:kern w:val="1"/>
          <w:sz w:val="22"/>
          <w:szCs w:val="22"/>
          <w:highlight w:val="none"/>
          <w:lang w:val="en-US" w:eastAsia="zh-CN"/>
        </w:rPr>
        <w:t>6</w:t>
      </w:r>
      <w:r>
        <w:rPr>
          <w:rFonts w:hint="eastAsia" w:ascii="宋体" w:hAnsi="宋体" w:cs="宋体"/>
          <w:color w:val="auto"/>
          <w:kern w:val="1"/>
          <w:sz w:val="22"/>
          <w:szCs w:val="22"/>
          <w:highlight w:val="none"/>
        </w:rPr>
        <w:t>“不可抗力”系指合同条款第1</w:t>
      </w:r>
      <w:r>
        <w:rPr>
          <w:rFonts w:hint="eastAsia" w:ascii="宋体" w:hAnsi="宋体" w:cs="宋体"/>
          <w:color w:val="auto"/>
          <w:kern w:val="1"/>
          <w:sz w:val="22"/>
          <w:szCs w:val="22"/>
          <w:highlight w:val="none"/>
          <w:lang w:val="en-US" w:eastAsia="zh-CN"/>
        </w:rPr>
        <w:t>3</w:t>
      </w:r>
      <w:r>
        <w:rPr>
          <w:rFonts w:hint="eastAsia" w:ascii="宋体" w:hAnsi="宋体" w:cs="宋体"/>
          <w:color w:val="auto"/>
          <w:kern w:val="1"/>
          <w:sz w:val="22"/>
          <w:szCs w:val="22"/>
          <w:highlight w:val="none"/>
        </w:rPr>
        <w:t>条赋予的含义。</w:t>
      </w:r>
    </w:p>
    <w:p w14:paraId="403C12A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w:t>
      </w:r>
      <w:r>
        <w:rPr>
          <w:rFonts w:hint="eastAsia" w:ascii="宋体" w:hAnsi="宋体" w:cs="宋体"/>
          <w:color w:val="auto"/>
          <w:kern w:val="1"/>
          <w:sz w:val="22"/>
          <w:szCs w:val="22"/>
          <w:highlight w:val="none"/>
          <w:lang w:val="en-US" w:eastAsia="zh-CN"/>
        </w:rPr>
        <w:t>7</w:t>
      </w:r>
      <w:r>
        <w:rPr>
          <w:rFonts w:hint="eastAsia" w:ascii="宋体" w:hAnsi="宋体" w:cs="宋体"/>
          <w:color w:val="auto"/>
          <w:kern w:val="1"/>
          <w:sz w:val="22"/>
          <w:szCs w:val="22"/>
          <w:highlight w:val="none"/>
        </w:rPr>
        <w:t>“考核”系指甲方依据技术标准规定和合同服务的程序和条件对</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服务进行考核。</w:t>
      </w:r>
    </w:p>
    <w:p w14:paraId="60D3CE9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1.2解释</w:t>
      </w:r>
    </w:p>
    <w:p w14:paraId="1DEA993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1.2.1除非文件另作要求，凡提及一方、对方或</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，均包括其合法承继人。</w:t>
      </w:r>
    </w:p>
    <w:p w14:paraId="273FEC5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1.2.2凡合同中规定的“书面的”或“用书面形式”，这是指任何手写的、打印的或印刷的盖有公章的纸质文件。</w:t>
      </w:r>
    </w:p>
    <w:p w14:paraId="095E06B4">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1.2.3凡合同规定任何人发出通知、同意、批准或确认时，该通知、同意、批准或确认不得被无故扣押，除非另有规定；该通知、同意、批准或确认应是书面形式。</w:t>
      </w:r>
    </w:p>
    <w:p w14:paraId="6873672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1.3语言文字</w:t>
      </w:r>
    </w:p>
    <w:p w14:paraId="4A9C75FA">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除专用术语外，合同使用的语言文字为中文。专用术语应附有中文注释。</w:t>
      </w:r>
    </w:p>
    <w:p w14:paraId="179946D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1.4法律</w:t>
      </w:r>
    </w:p>
    <w:p w14:paraId="1449DBFA">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本合同适用于中华人民共和国法律、行政法规、部门规章，以及项目所在地的地方法律法规、条例、规章等。</w:t>
      </w:r>
    </w:p>
    <w:p w14:paraId="0B631CA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1.5适用性</w:t>
      </w:r>
    </w:p>
    <w:p w14:paraId="25787437">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本合同条款适用于没有被本合同其他部分的条款所取代的范围。</w:t>
      </w:r>
    </w:p>
    <w:p w14:paraId="4EEF5F7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1.6标准</w:t>
      </w:r>
    </w:p>
    <w:p w14:paraId="3EF6CAA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1.6.1服务应符合合同约定的标准和《采购内容及技术要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5D7B700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1.6.2除非合同中另有规定，计量单位均采用中华人民共和国法定计量单位。</w:t>
      </w:r>
    </w:p>
    <w:p w14:paraId="3D94661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1.7项目管理</w:t>
      </w:r>
    </w:p>
    <w:p w14:paraId="5EA1024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必须接受</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的管理和协调，并执行</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有关项目管理办法和规定。</w:t>
      </w:r>
    </w:p>
    <w:p w14:paraId="0F94A17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bCs/>
          <w:color w:val="auto"/>
          <w:kern w:val="1"/>
          <w:sz w:val="22"/>
          <w:szCs w:val="22"/>
          <w:highlight w:val="none"/>
        </w:rPr>
      </w:pPr>
      <w:r>
        <w:rPr>
          <w:rFonts w:hint="eastAsia" w:ascii="宋体" w:hAnsi="宋体" w:cs="宋体"/>
          <w:bCs/>
          <w:color w:val="auto"/>
          <w:kern w:val="1"/>
          <w:sz w:val="22"/>
          <w:szCs w:val="22"/>
          <w:highlight w:val="none"/>
        </w:rPr>
        <w:t>1.8合同文件组成及优先顺序</w:t>
      </w:r>
    </w:p>
    <w:p w14:paraId="75A33B2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hint="eastAsia" w:ascii="宋体" w:hAnsi="宋体" w:eastAsia="宋体" w:cs="宋体"/>
          <w:color w:val="auto"/>
          <w:kern w:val="1"/>
          <w:sz w:val="22"/>
          <w:szCs w:val="22"/>
          <w:highlight w:val="none"/>
          <w:lang w:eastAsia="zh-CN"/>
        </w:rPr>
      </w:pPr>
      <w:r>
        <w:rPr>
          <w:rFonts w:hint="eastAsia" w:ascii="宋体" w:hAnsi="宋体" w:cs="宋体"/>
          <w:color w:val="auto"/>
          <w:kern w:val="1"/>
          <w:sz w:val="22"/>
          <w:szCs w:val="22"/>
          <w:highlight w:val="none"/>
          <w:lang w:val="en-US" w:eastAsia="zh-CN"/>
        </w:rPr>
        <w:t>1）</w:t>
      </w:r>
      <w:r>
        <w:rPr>
          <w:rFonts w:hint="eastAsia" w:ascii="宋体" w:hAnsi="宋体" w:cs="宋体"/>
          <w:color w:val="auto"/>
          <w:kern w:val="1"/>
          <w:sz w:val="22"/>
          <w:szCs w:val="22"/>
          <w:highlight w:val="none"/>
        </w:rPr>
        <w:t>补充协议</w:t>
      </w:r>
      <w:r>
        <w:rPr>
          <w:rFonts w:hint="eastAsia" w:ascii="宋体" w:hAnsi="宋体" w:cs="宋体"/>
          <w:color w:val="auto"/>
          <w:kern w:val="1"/>
          <w:sz w:val="22"/>
          <w:szCs w:val="22"/>
          <w:highlight w:val="none"/>
          <w:lang w:eastAsia="zh-CN"/>
        </w:rPr>
        <w:t>（</w:t>
      </w:r>
      <w:r>
        <w:rPr>
          <w:rFonts w:hint="eastAsia" w:ascii="宋体" w:hAnsi="宋体" w:cs="宋体"/>
          <w:color w:val="auto"/>
          <w:kern w:val="1"/>
          <w:sz w:val="22"/>
          <w:szCs w:val="22"/>
          <w:highlight w:val="none"/>
          <w:lang w:val="en-US" w:eastAsia="zh-CN"/>
        </w:rPr>
        <w:t>如有</w:t>
      </w:r>
      <w:r>
        <w:rPr>
          <w:rFonts w:hint="eastAsia" w:ascii="宋体" w:hAnsi="宋体" w:cs="宋体"/>
          <w:color w:val="auto"/>
          <w:kern w:val="1"/>
          <w:sz w:val="22"/>
          <w:szCs w:val="22"/>
          <w:highlight w:val="none"/>
          <w:lang w:eastAsia="zh-CN"/>
        </w:rPr>
        <w:t>）</w:t>
      </w:r>
    </w:p>
    <w:p w14:paraId="07E256B9">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lang w:val="en-US" w:eastAsia="zh-CN"/>
        </w:rPr>
        <w:t>2）</w:t>
      </w:r>
      <w:r>
        <w:rPr>
          <w:rFonts w:hint="eastAsia" w:ascii="宋体" w:hAnsi="宋体" w:cs="宋体"/>
          <w:color w:val="auto"/>
          <w:kern w:val="1"/>
          <w:sz w:val="22"/>
          <w:szCs w:val="22"/>
          <w:highlight w:val="none"/>
        </w:rPr>
        <w:t>合同协议书及其附件</w:t>
      </w:r>
    </w:p>
    <w:p w14:paraId="324F8CD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val="en-US" w:eastAsia="zh-CN"/>
        </w:rPr>
        <w:t>3）</w:t>
      </w:r>
      <w:r>
        <w:rPr>
          <w:rFonts w:hint="eastAsia" w:ascii="宋体" w:hAnsi="宋体" w:cs="宋体"/>
          <w:color w:val="auto"/>
          <w:kern w:val="1"/>
          <w:sz w:val="22"/>
          <w:szCs w:val="22"/>
          <w:highlight w:val="none"/>
        </w:rPr>
        <w:t>合同条款</w:t>
      </w:r>
    </w:p>
    <w:p w14:paraId="498BF004">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hint="eastAsia" w:ascii="宋体" w:hAnsi="宋体" w:eastAsia="宋体" w:cs="宋体"/>
          <w:color w:val="auto"/>
          <w:kern w:val="1"/>
          <w:sz w:val="22"/>
          <w:szCs w:val="22"/>
          <w:highlight w:val="none"/>
          <w:lang w:eastAsia="zh-CN"/>
        </w:rPr>
      </w:pPr>
      <w:r>
        <w:rPr>
          <w:rFonts w:hint="eastAsia" w:ascii="宋体" w:hAnsi="宋体" w:cs="宋体"/>
          <w:color w:val="auto"/>
          <w:kern w:val="1"/>
          <w:sz w:val="22"/>
          <w:szCs w:val="22"/>
          <w:highlight w:val="none"/>
          <w:lang w:val="en-US" w:eastAsia="zh-CN"/>
        </w:rPr>
        <w:t>4）</w:t>
      </w:r>
      <w:r>
        <w:rPr>
          <w:rFonts w:hint="eastAsia" w:ascii="宋体" w:hAnsi="宋体" w:cs="宋体"/>
          <w:color w:val="auto"/>
          <w:kern w:val="1"/>
          <w:sz w:val="22"/>
          <w:szCs w:val="22"/>
          <w:highlight w:val="none"/>
        </w:rPr>
        <w:t>技术</w:t>
      </w:r>
      <w:r>
        <w:rPr>
          <w:rFonts w:hint="eastAsia" w:ascii="宋体" w:hAnsi="宋体" w:cs="宋体"/>
          <w:color w:val="auto"/>
          <w:kern w:val="1"/>
          <w:sz w:val="22"/>
          <w:szCs w:val="22"/>
          <w:highlight w:val="none"/>
          <w:lang w:val="en-US" w:eastAsia="zh-CN"/>
        </w:rPr>
        <w:t>规格书</w:t>
      </w:r>
    </w:p>
    <w:p w14:paraId="76127355">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val="en-US" w:eastAsia="zh-CN"/>
        </w:rPr>
        <w:t>5）</w:t>
      </w:r>
      <w:r>
        <w:rPr>
          <w:rFonts w:hint="eastAsia" w:ascii="宋体" w:hAnsi="宋体" w:cs="宋体"/>
          <w:color w:val="auto"/>
          <w:kern w:val="1"/>
          <w:sz w:val="22"/>
          <w:szCs w:val="22"/>
          <w:highlight w:val="none"/>
        </w:rPr>
        <w:t>中标（成交）通知书</w:t>
      </w:r>
    </w:p>
    <w:p w14:paraId="68224186">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val="en-US" w:eastAsia="zh-CN"/>
        </w:rPr>
        <w:t>6）</w:t>
      </w:r>
      <w:r>
        <w:rPr>
          <w:rFonts w:hint="eastAsia" w:ascii="宋体" w:hAnsi="宋体" w:cs="宋体"/>
          <w:color w:val="auto"/>
          <w:kern w:val="1"/>
          <w:sz w:val="22"/>
          <w:szCs w:val="22"/>
          <w:highlight w:val="none"/>
        </w:rPr>
        <w:t>投标文件</w:t>
      </w:r>
    </w:p>
    <w:p w14:paraId="1D708574">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hint="eastAsia" w:ascii="宋体" w:hAnsi="宋体" w:eastAsia="宋体" w:cs="宋体"/>
          <w:color w:val="auto"/>
          <w:kern w:val="1"/>
          <w:sz w:val="22"/>
          <w:szCs w:val="22"/>
          <w:highlight w:val="none"/>
          <w:lang w:eastAsia="zh-CN"/>
        </w:rPr>
      </w:pPr>
      <w:r>
        <w:rPr>
          <w:rFonts w:hint="eastAsia" w:ascii="宋体" w:hAnsi="宋体" w:cs="宋体"/>
          <w:color w:val="auto"/>
          <w:kern w:val="1"/>
          <w:sz w:val="22"/>
          <w:szCs w:val="22"/>
          <w:highlight w:val="none"/>
          <w:lang w:val="en-US" w:eastAsia="zh-CN"/>
        </w:rPr>
        <w:t>7）</w:t>
      </w:r>
      <w:r>
        <w:rPr>
          <w:rFonts w:hint="eastAsia" w:ascii="宋体" w:hAnsi="宋体" w:cs="宋体"/>
          <w:color w:val="auto"/>
          <w:kern w:val="1"/>
          <w:sz w:val="22"/>
          <w:szCs w:val="22"/>
          <w:highlight w:val="none"/>
        </w:rPr>
        <w:t>询标纪要和承诺书</w:t>
      </w:r>
      <w:r>
        <w:rPr>
          <w:rFonts w:hint="eastAsia" w:ascii="宋体" w:hAnsi="宋体" w:cs="宋体"/>
          <w:color w:val="auto"/>
          <w:kern w:val="1"/>
          <w:sz w:val="22"/>
          <w:szCs w:val="22"/>
          <w:highlight w:val="none"/>
          <w:lang w:eastAsia="zh-CN"/>
        </w:rPr>
        <w:t>（</w:t>
      </w:r>
      <w:r>
        <w:rPr>
          <w:rFonts w:hint="eastAsia" w:ascii="宋体" w:hAnsi="宋体" w:cs="宋体"/>
          <w:color w:val="auto"/>
          <w:kern w:val="1"/>
          <w:sz w:val="22"/>
          <w:szCs w:val="22"/>
          <w:highlight w:val="none"/>
          <w:lang w:val="en-US" w:eastAsia="zh-CN"/>
        </w:rPr>
        <w:t>如有</w:t>
      </w:r>
      <w:r>
        <w:rPr>
          <w:rFonts w:hint="eastAsia" w:ascii="宋体" w:hAnsi="宋体" w:cs="宋体"/>
          <w:color w:val="auto"/>
          <w:kern w:val="1"/>
          <w:sz w:val="22"/>
          <w:szCs w:val="22"/>
          <w:highlight w:val="none"/>
          <w:lang w:eastAsia="zh-CN"/>
        </w:rPr>
        <w:t>）</w:t>
      </w:r>
    </w:p>
    <w:p w14:paraId="0F26BE99">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val="en-US" w:eastAsia="zh-CN"/>
        </w:rPr>
        <w:t>8）</w:t>
      </w:r>
      <w:r>
        <w:rPr>
          <w:rFonts w:hint="eastAsia" w:ascii="宋体" w:hAnsi="宋体" w:cs="宋体"/>
          <w:color w:val="auto"/>
          <w:kern w:val="1"/>
          <w:sz w:val="22"/>
          <w:szCs w:val="22"/>
          <w:highlight w:val="none"/>
        </w:rPr>
        <w:t>采购文件</w:t>
      </w:r>
    </w:p>
    <w:p w14:paraId="05EF627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上述文件互相补充和解释，如有不明确或不一致之处，以上述次序在先者为准。</w:t>
      </w:r>
    </w:p>
    <w:p w14:paraId="706E893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2、价格</w:t>
      </w:r>
    </w:p>
    <w:p w14:paraId="10816A56">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2.1本</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为完成本合同范围内的所有工作及服务以及与本合同相关的一切费用和税费，无任何附加费用。</w:t>
      </w:r>
    </w:p>
    <w:p w14:paraId="03D08EA1">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2.2在合同执行期间</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不作调整</w:t>
      </w:r>
      <w:r>
        <w:rPr>
          <w:rFonts w:hint="eastAsia" w:ascii="宋体" w:hAnsi="宋体" w:cs="宋体"/>
          <w:color w:val="auto"/>
          <w:kern w:val="1"/>
          <w:sz w:val="22"/>
          <w:szCs w:val="22"/>
          <w:highlight w:val="none"/>
          <w:lang w:eastAsia="zh-CN"/>
        </w:rPr>
        <w:t>，</w:t>
      </w:r>
      <w:r>
        <w:rPr>
          <w:rFonts w:hint="eastAsia" w:ascii="宋体" w:hAnsi="宋体" w:cs="宋体"/>
          <w:color w:val="auto"/>
          <w:kern w:val="1"/>
          <w:sz w:val="22"/>
          <w:szCs w:val="22"/>
          <w:highlight w:val="none"/>
          <w:lang w:val="en-US" w:eastAsia="zh-CN"/>
        </w:rPr>
        <w:t>除非甲方提出采购需求的变更</w:t>
      </w:r>
      <w:r>
        <w:rPr>
          <w:rFonts w:hint="eastAsia" w:ascii="宋体" w:hAnsi="宋体" w:cs="宋体"/>
          <w:color w:val="auto"/>
          <w:kern w:val="1"/>
          <w:sz w:val="22"/>
          <w:szCs w:val="22"/>
          <w:highlight w:val="none"/>
        </w:rPr>
        <w:t>。</w:t>
      </w:r>
    </w:p>
    <w:p w14:paraId="05DE620F">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2.3</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已彻底查清，并在合同价中充分考虑到了以下事项：</w:t>
      </w:r>
    </w:p>
    <w:p w14:paraId="206CE35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1）影响</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的全部条件情况；</w:t>
      </w:r>
    </w:p>
    <w:p w14:paraId="4A324913">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2）完成合同所述服务的所有可能性。</w:t>
      </w:r>
    </w:p>
    <w:p w14:paraId="74EF21FA">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3、服务</w:t>
      </w:r>
    </w:p>
    <w:p w14:paraId="380218D4">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3.1按本合同要求的时间和地点服务。</w:t>
      </w:r>
    </w:p>
    <w:p w14:paraId="4C4A9C75">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3.2</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须按</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的要求和计划按时进行服务。</w:t>
      </w:r>
    </w:p>
    <w:p w14:paraId="34A7B921">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4、支付</w:t>
      </w:r>
    </w:p>
    <w:p w14:paraId="475C669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4.1合同项下所有付款均采用合同货币即人民币付款。</w:t>
      </w:r>
    </w:p>
    <w:p w14:paraId="06B6AAF5">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4.2合同金额的支付</w:t>
      </w:r>
    </w:p>
    <w:p w14:paraId="70263A24">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4.2.1本项目由甲方出资，每次付款乙方应预先提出申请付款并出具发票。</w:t>
      </w:r>
    </w:p>
    <w:p w14:paraId="75CF8D8B">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4.2.2首付款</w:t>
      </w:r>
    </w:p>
    <w:p w14:paraId="65EE1181">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合同生效后，甲方收到乙方提交的下列单据并确认无误后三十（30）天内，甲方应向乙方支付</w:t>
      </w:r>
      <w:r>
        <w:rPr>
          <w:rFonts w:hint="eastAsia" w:ascii="宋体" w:hAnsi="宋体" w:eastAsia="宋体" w:cs="宋体"/>
          <w:i w:val="0"/>
          <w:iCs w:val="0"/>
          <w:caps w:val="0"/>
          <w:color w:val="auto"/>
          <w:spacing w:val="0"/>
          <w:sz w:val="22"/>
          <w:szCs w:val="22"/>
          <w:highlight w:val="none"/>
          <w:shd w:val="clear" w:color="auto" w:fill="FFFFFF"/>
          <w:lang w:val="en-US" w:eastAsia="zh-CN"/>
        </w:rPr>
        <w:t>合同价</w:t>
      </w:r>
      <w:r>
        <w:rPr>
          <w:rFonts w:hint="eastAsia" w:ascii="宋体" w:hAnsi="宋体" w:eastAsia="宋体" w:cs="宋体"/>
          <w:i w:val="0"/>
          <w:iCs w:val="0"/>
          <w:caps w:val="0"/>
          <w:color w:val="auto"/>
          <w:spacing w:val="0"/>
          <w:sz w:val="22"/>
          <w:szCs w:val="22"/>
          <w:highlight w:val="none"/>
          <w:shd w:val="clear" w:color="auto" w:fill="FFFFFF"/>
        </w:rPr>
        <w:t>百分之十（1</w:t>
      </w:r>
      <w:r>
        <w:rPr>
          <w:rFonts w:hint="eastAsia" w:ascii="宋体" w:hAnsi="宋体" w:eastAsia="宋体" w:cs="宋体"/>
          <w:i w:val="0"/>
          <w:iCs w:val="0"/>
          <w:caps w:val="0"/>
          <w:color w:val="auto"/>
          <w:spacing w:val="0"/>
          <w:sz w:val="22"/>
          <w:szCs w:val="22"/>
          <w:highlight w:val="none"/>
          <w:shd w:val="clear" w:color="auto" w:fill="FFFFFF"/>
          <w:lang w:val="en-US" w:eastAsia="zh-CN"/>
        </w:rPr>
        <w:t>0</w:t>
      </w: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rPr>
        <w:t>的首付款。</w:t>
      </w:r>
    </w:p>
    <w:p w14:paraId="5E2F5CF3">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（1）乙方出具的本次支付申请正本二份；</w:t>
      </w:r>
    </w:p>
    <w:p w14:paraId="6F2E5E9C">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（2）乙方按本次</w:t>
      </w:r>
      <w:r>
        <w:rPr>
          <w:rFonts w:hint="eastAsia" w:ascii="宋体" w:hAnsi="宋体" w:eastAsia="宋体" w:cs="宋体"/>
          <w:i w:val="0"/>
          <w:iCs w:val="0"/>
          <w:caps w:val="0"/>
          <w:color w:val="auto"/>
          <w:spacing w:val="0"/>
          <w:sz w:val="22"/>
          <w:szCs w:val="22"/>
          <w:highlight w:val="none"/>
          <w:shd w:val="clear" w:color="auto" w:fill="FFFFFF"/>
          <w:lang w:val="en-US" w:eastAsia="zh-CN"/>
        </w:rPr>
        <w:t>应付</w:t>
      </w:r>
      <w:r>
        <w:rPr>
          <w:rFonts w:hint="eastAsia" w:ascii="宋体" w:hAnsi="宋体" w:eastAsia="宋体" w:cs="宋体"/>
          <w:i w:val="0"/>
          <w:iCs w:val="0"/>
          <w:caps w:val="0"/>
          <w:color w:val="auto"/>
          <w:spacing w:val="0"/>
          <w:sz w:val="22"/>
          <w:szCs w:val="22"/>
          <w:highlight w:val="none"/>
          <w:shd w:val="clear" w:color="auto" w:fill="FFFFFF"/>
        </w:rPr>
        <w:t>金额</w:t>
      </w:r>
      <w:r>
        <w:rPr>
          <w:rFonts w:hint="eastAsia" w:ascii="宋体" w:hAnsi="宋体" w:eastAsia="宋体" w:cs="宋体"/>
          <w:i w:val="0"/>
          <w:iCs w:val="0"/>
          <w:caps w:val="0"/>
          <w:color w:val="auto"/>
          <w:spacing w:val="0"/>
          <w:sz w:val="22"/>
          <w:szCs w:val="22"/>
          <w:highlight w:val="none"/>
          <w:shd w:val="clear" w:color="auto" w:fill="FFFFFF"/>
          <w:lang w:val="en-US" w:eastAsia="zh-CN"/>
        </w:rPr>
        <w:t>100%</w:t>
      </w:r>
      <w:r>
        <w:rPr>
          <w:rFonts w:hint="eastAsia" w:ascii="宋体" w:hAnsi="宋体" w:eastAsia="宋体" w:cs="宋体"/>
          <w:i w:val="0"/>
          <w:iCs w:val="0"/>
          <w:caps w:val="0"/>
          <w:color w:val="auto"/>
          <w:spacing w:val="0"/>
          <w:sz w:val="22"/>
          <w:szCs w:val="22"/>
          <w:highlight w:val="none"/>
          <w:shd w:val="clear" w:color="auto" w:fill="FFFFFF"/>
        </w:rPr>
        <w:t>出具的</w:t>
      </w:r>
      <w:r>
        <w:rPr>
          <w:rFonts w:hint="eastAsia" w:ascii="宋体" w:hAnsi="宋体" w:eastAsia="宋体" w:cs="宋体"/>
          <w:i w:val="0"/>
          <w:iCs w:val="0"/>
          <w:caps w:val="0"/>
          <w:color w:val="auto"/>
          <w:spacing w:val="0"/>
          <w:sz w:val="22"/>
          <w:szCs w:val="22"/>
          <w:highlight w:val="none"/>
          <w:shd w:val="clear" w:color="auto" w:fill="FFFFFF"/>
          <w:lang w:val="en-US" w:eastAsia="zh-CN"/>
        </w:rPr>
        <w:t>增值税专用发票</w:t>
      </w:r>
      <w:r>
        <w:rPr>
          <w:rFonts w:hint="eastAsia" w:ascii="宋体" w:hAnsi="宋体" w:eastAsia="宋体" w:cs="宋体"/>
          <w:i w:val="0"/>
          <w:iCs w:val="0"/>
          <w:caps w:val="0"/>
          <w:color w:val="auto"/>
          <w:spacing w:val="0"/>
          <w:sz w:val="22"/>
          <w:szCs w:val="22"/>
          <w:highlight w:val="none"/>
          <w:shd w:val="clear" w:color="auto" w:fill="FFFFFF"/>
        </w:rPr>
        <w:t>一份。</w:t>
      </w:r>
    </w:p>
    <w:p w14:paraId="4675F271">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4.2.3取得信创认证付款</w:t>
      </w:r>
    </w:p>
    <w:p w14:paraId="083CA6EF">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乙方完成系统信创改造适配且取得信创认证，甲方收到乙方提交的下列单据并确认无误后三十（30）天之内，甲方应向乙方支付</w:t>
      </w:r>
      <w:r>
        <w:rPr>
          <w:rFonts w:hint="eastAsia" w:ascii="宋体" w:hAnsi="宋体" w:eastAsia="宋体" w:cs="宋体"/>
          <w:i w:val="0"/>
          <w:iCs w:val="0"/>
          <w:caps w:val="0"/>
          <w:color w:val="auto"/>
          <w:spacing w:val="0"/>
          <w:sz w:val="22"/>
          <w:szCs w:val="22"/>
          <w:highlight w:val="none"/>
          <w:shd w:val="clear" w:color="auto" w:fill="FFFFFF"/>
          <w:lang w:val="en-US" w:eastAsia="zh-CN"/>
        </w:rPr>
        <w:t>合同价</w:t>
      </w:r>
      <w:r>
        <w:rPr>
          <w:rFonts w:hint="eastAsia" w:ascii="宋体" w:hAnsi="宋体" w:eastAsia="宋体" w:cs="宋体"/>
          <w:i w:val="0"/>
          <w:iCs w:val="0"/>
          <w:caps w:val="0"/>
          <w:color w:val="auto"/>
          <w:spacing w:val="0"/>
          <w:sz w:val="22"/>
          <w:szCs w:val="22"/>
          <w:highlight w:val="none"/>
          <w:shd w:val="clear" w:color="auto" w:fill="FFFFFF"/>
        </w:rPr>
        <w:t>百分之</w:t>
      </w:r>
      <w:r>
        <w:rPr>
          <w:rFonts w:hint="eastAsia" w:ascii="宋体" w:hAnsi="宋体" w:cs="宋体"/>
          <w:i w:val="0"/>
          <w:iCs w:val="0"/>
          <w:caps w:val="0"/>
          <w:color w:val="auto"/>
          <w:spacing w:val="0"/>
          <w:sz w:val="22"/>
          <w:szCs w:val="22"/>
          <w:highlight w:val="none"/>
          <w:shd w:val="clear" w:color="auto" w:fill="FFFFFF"/>
          <w:lang w:val="en-US" w:eastAsia="zh-CN"/>
        </w:rPr>
        <w:t>三</w:t>
      </w:r>
      <w:r>
        <w:rPr>
          <w:rFonts w:hint="eastAsia" w:ascii="宋体" w:hAnsi="宋体" w:eastAsia="宋体" w:cs="宋体"/>
          <w:i w:val="0"/>
          <w:iCs w:val="0"/>
          <w:caps w:val="0"/>
          <w:color w:val="auto"/>
          <w:spacing w:val="0"/>
          <w:sz w:val="22"/>
          <w:szCs w:val="22"/>
          <w:highlight w:val="none"/>
          <w:shd w:val="clear" w:color="auto" w:fill="FFFFFF"/>
        </w:rPr>
        <w:t>十（</w:t>
      </w:r>
      <w:r>
        <w:rPr>
          <w:rFonts w:hint="eastAsia" w:ascii="宋体" w:hAnsi="宋体" w:cs="宋体"/>
          <w:i w:val="0"/>
          <w:iCs w:val="0"/>
          <w:caps w:val="0"/>
          <w:color w:val="auto"/>
          <w:spacing w:val="0"/>
          <w:sz w:val="22"/>
          <w:szCs w:val="22"/>
          <w:highlight w:val="none"/>
          <w:shd w:val="clear" w:color="auto" w:fill="FFFFFF"/>
          <w:lang w:val="en-US" w:eastAsia="zh-CN"/>
        </w:rPr>
        <w:t>30</w:t>
      </w: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rPr>
        <w:t>的款项。</w:t>
      </w:r>
    </w:p>
    <w:p w14:paraId="1786E94A">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（1）乙方出具的本次支付申请正本二份；</w:t>
      </w:r>
    </w:p>
    <w:p w14:paraId="554F2B31">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（2）信创认证报告</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43D47DB8">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firstLine="440" w:firstLineChars="200"/>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3）乙方按本次</w:t>
      </w:r>
      <w:r>
        <w:rPr>
          <w:rFonts w:hint="eastAsia" w:ascii="宋体" w:hAnsi="宋体" w:eastAsia="宋体" w:cs="宋体"/>
          <w:i w:val="0"/>
          <w:iCs w:val="0"/>
          <w:caps w:val="0"/>
          <w:color w:val="auto"/>
          <w:spacing w:val="0"/>
          <w:sz w:val="22"/>
          <w:szCs w:val="22"/>
          <w:highlight w:val="none"/>
          <w:shd w:val="clear" w:color="auto" w:fill="FFFFFF"/>
          <w:lang w:val="en-US" w:eastAsia="zh-CN"/>
        </w:rPr>
        <w:t>应付</w:t>
      </w:r>
      <w:r>
        <w:rPr>
          <w:rFonts w:hint="eastAsia" w:ascii="宋体" w:hAnsi="宋体" w:eastAsia="宋体" w:cs="宋体"/>
          <w:i w:val="0"/>
          <w:iCs w:val="0"/>
          <w:caps w:val="0"/>
          <w:color w:val="auto"/>
          <w:spacing w:val="0"/>
          <w:sz w:val="22"/>
          <w:szCs w:val="22"/>
          <w:highlight w:val="none"/>
          <w:shd w:val="clear" w:color="auto" w:fill="FFFFFF"/>
        </w:rPr>
        <w:t>金额</w:t>
      </w:r>
      <w:r>
        <w:rPr>
          <w:rFonts w:hint="eastAsia" w:ascii="宋体" w:hAnsi="宋体" w:eastAsia="宋体" w:cs="宋体"/>
          <w:i w:val="0"/>
          <w:iCs w:val="0"/>
          <w:caps w:val="0"/>
          <w:color w:val="auto"/>
          <w:spacing w:val="0"/>
          <w:sz w:val="22"/>
          <w:szCs w:val="22"/>
          <w:highlight w:val="none"/>
          <w:shd w:val="clear" w:color="auto" w:fill="FFFFFF"/>
          <w:lang w:val="en-US" w:eastAsia="zh-CN"/>
        </w:rPr>
        <w:t>100%</w:t>
      </w:r>
      <w:r>
        <w:rPr>
          <w:rFonts w:hint="eastAsia" w:ascii="宋体" w:hAnsi="宋体" w:eastAsia="宋体" w:cs="宋体"/>
          <w:i w:val="0"/>
          <w:iCs w:val="0"/>
          <w:caps w:val="0"/>
          <w:color w:val="auto"/>
          <w:spacing w:val="0"/>
          <w:sz w:val="22"/>
          <w:szCs w:val="22"/>
          <w:highlight w:val="none"/>
          <w:shd w:val="clear" w:color="auto" w:fill="FFFFFF"/>
        </w:rPr>
        <w:t>出具的</w:t>
      </w:r>
      <w:r>
        <w:rPr>
          <w:rFonts w:hint="eastAsia" w:ascii="宋体" w:hAnsi="宋体" w:eastAsia="宋体" w:cs="宋体"/>
          <w:i w:val="0"/>
          <w:iCs w:val="0"/>
          <w:caps w:val="0"/>
          <w:color w:val="auto"/>
          <w:spacing w:val="0"/>
          <w:sz w:val="22"/>
          <w:szCs w:val="22"/>
          <w:highlight w:val="none"/>
          <w:shd w:val="clear" w:color="auto" w:fill="FFFFFF"/>
          <w:lang w:val="en-US" w:eastAsia="zh-CN"/>
        </w:rPr>
        <w:t>增值税专用发票</w:t>
      </w:r>
      <w:r>
        <w:rPr>
          <w:rFonts w:hint="eastAsia" w:ascii="宋体" w:hAnsi="宋体" w:eastAsia="宋体" w:cs="宋体"/>
          <w:i w:val="0"/>
          <w:iCs w:val="0"/>
          <w:caps w:val="0"/>
          <w:color w:val="auto"/>
          <w:spacing w:val="0"/>
          <w:sz w:val="22"/>
          <w:szCs w:val="22"/>
          <w:highlight w:val="none"/>
          <w:shd w:val="clear" w:color="auto" w:fill="FFFFFF"/>
        </w:rPr>
        <w:t>一份。</w:t>
      </w:r>
    </w:p>
    <w:p w14:paraId="63888301">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4.2.4通过专家论证</w:t>
      </w:r>
      <w:r>
        <w:rPr>
          <w:rFonts w:hint="eastAsia" w:ascii="宋体" w:hAnsi="宋体" w:cs="宋体"/>
          <w:i w:val="0"/>
          <w:iCs w:val="0"/>
          <w:caps w:val="0"/>
          <w:color w:val="auto"/>
          <w:spacing w:val="0"/>
          <w:sz w:val="22"/>
          <w:szCs w:val="22"/>
          <w:highlight w:val="none"/>
          <w:shd w:val="clear" w:color="auto" w:fill="FFFFFF"/>
          <w:lang w:val="en-US" w:eastAsia="zh-CN"/>
        </w:rPr>
        <w:t>验收</w:t>
      </w:r>
      <w:r>
        <w:rPr>
          <w:rFonts w:hint="eastAsia" w:ascii="宋体" w:hAnsi="宋体" w:eastAsia="宋体" w:cs="宋体"/>
          <w:i w:val="0"/>
          <w:iCs w:val="0"/>
          <w:caps w:val="0"/>
          <w:color w:val="auto"/>
          <w:spacing w:val="0"/>
          <w:sz w:val="22"/>
          <w:szCs w:val="22"/>
          <w:highlight w:val="none"/>
          <w:shd w:val="clear" w:color="auto" w:fill="FFFFFF"/>
        </w:rPr>
        <w:t>付款</w:t>
      </w:r>
    </w:p>
    <w:p w14:paraId="43D05839">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信创改造成果经专家论证通过</w:t>
      </w:r>
      <w:r>
        <w:rPr>
          <w:rFonts w:hint="eastAsia" w:ascii="宋体" w:hAnsi="宋体" w:cs="宋体"/>
          <w:i w:val="0"/>
          <w:iCs w:val="0"/>
          <w:caps w:val="0"/>
          <w:color w:val="auto"/>
          <w:spacing w:val="0"/>
          <w:sz w:val="22"/>
          <w:szCs w:val="22"/>
          <w:highlight w:val="none"/>
          <w:shd w:val="clear" w:color="auto" w:fill="FFFFFF"/>
          <w:lang w:val="en-US" w:eastAsia="zh-CN"/>
        </w:rPr>
        <w:t>验收</w:t>
      </w:r>
      <w:r>
        <w:rPr>
          <w:rFonts w:hint="eastAsia" w:ascii="宋体" w:hAnsi="宋体" w:eastAsia="宋体" w:cs="宋体"/>
          <w:i w:val="0"/>
          <w:iCs w:val="0"/>
          <w:caps w:val="0"/>
          <w:color w:val="auto"/>
          <w:spacing w:val="0"/>
          <w:sz w:val="22"/>
          <w:szCs w:val="22"/>
          <w:highlight w:val="none"/>
          <w:shd w:val="clear" w:color="auto" w:fill="FFFFFF"/>
        </w:rPr>
        <w:t>后，甲方收到乙方提交的下列单据并确认无误后三十（30）天内，甲方向乙方支付</w:t>
      </w:r>
      <w:r>
        <w:rPr>
          <w:rFonts w:hint="eastAsia" w:ascii="宋体" w:hAnsi="宋体" w:eastAsia="宋体" w:cs="宋体"/>
          <w:i w:val="0"/>
          <w:iCs w:val="0"/>
          <w:caps w:val="0"/>
          <w:color w:val="auto"/>
          <w:spacing w:val="0"/>
          <w:sz w:val="22"/>
          <w:szCs w:val="22"/>
          <w:highlight w:val="none"/>
          <w:shd w:val="clear" w:color="auto" w:fill="FFFFFF"/>
          <w:lang w:val="en-US" w:eastAsia="zh-CN"/>
        </w:rPr>
        <w:t>合同价</w:t>
      </w:r>
      <w:r>
        <w:rPr>
          <w:rFonts w:hint="eastAsia" w:ascii="宋体" w:hAnsi="宋体" w:eastAsia="宋体" w:cs="宋体"/>
          <w:i w:val="0"/>
          <w:iCs w:val="0"/>
          <w:caps w:val="0"/>
          <w:color w:val="auto"/>
          <w:spacing w:val="0"/>
          <w:sz w:val="22"/>
          <w:szCs w:val="22"/>
          <w:highlight w:val="none"/>
          <w:shd w:val="clear" w:color="auto" w:fill="FFFFFF"/>
        </w:rPr>
        <w:t>的</w:t>
      </w:r>
      <w:r>
        <w:rPr>
          <w:rFonts w:hint="eastAsia" w:ascii="宋体" w:hAnsi="宋体" w:eastAsia="宋体" w:cs="宋体"/>
          <w:b w:val="0"/>
          <w:bCs w:val="0"/>
          <w:i w:val="0"/>
          <w:iCs w:val="0"/>
          <w:caps w:val="0"/>
          <w:color w:val="auto"/>
          <w:spacing w:val="0"/>
          <w:sz w:val="22"/>
          <w:szCs w:val="22"/>
          <w:highlight w:val="none"/>
          <w:shd w:val="clear" w:color="auto" w:fill="FFFFFF"/>
        </w:rPr>
        <w:t>百分之</w:t>
      </w:r>
      <w:r>
        <w:rPr>
          <w:rFonts w:hint="eastAsia" w:ascii="宋体" w:hAnsi="宋体" w:cs="宋体"/>
          <w:b w:val="0"/>
          <w:bCs w:val="0"/>
          <w:i w:val="0"/>
          <w:iCs w:val="0"/>
          <w:caps w:val="0"/>
          <w:color w:val="auto"/>
          <w:spacing w:val="0"/>
          <w:sz w:val="22"/>
          <w:szCs w:val="22"/>
          <w:highlight w:val="none"/>
          <w:shd w:val="clear" w:color="auto" w:fill="FFFFFF"/>
          <w:lang w:val="en-US" w:eastAsia="zh-CN"/>
        </w:rPr>
        <w:t>五</w:t>
      </w:r>
      <w:r>
        <w:rPr>
          <w:rFonts w:hint="eastAsia" w:ascii="宋体" w:hAnsi="宋体" w:eastAsia="宋体" w:cs="宋体"/>
          <w:b w:val="0"/>
          <w:bCs w:val="0"/>
          <w:i w:val="0"/>
          <w:iCs w:val="0"/>
          <w:caps w:val="0"/>
          <w:color w:val="auto"/>
          <w:spacing w:val="0"/>
          <w:sz w:val="22"/>
          <w:szCs w:val="22"/>
          <w:highlight w:val="none"/>
          <w:shd w:val="clear" w:color="auto" w:fill="FFFFFF"/>
        </w:rPr>
        <w:t>十（</w:t>
      </w:r>
      <w:r>
        <w:rPr>
          <w:rFonts w:hint="eastAsia" w:ascii="宋体" w:hAnsi="宋体" w:cs="宋体"/>
          <w:b w:val="0"/>
          <w:bCs w:val="0"/>
          <w:i w:val="0"/>
          <w:iCs w:val="0"/>
          <w:caps w:val="0"/>
          <w:color w:val="auto"/>
          <w:spacing w:val="0"/>
          <w:sz w:val="22"/>
          <w:szCs w:val="22"/>
          <w:highlight w:val="none"/>
          <w:shd w:val="clear" w:color="auto" w:fill="FFFFFF"/>
          <w:lang w:val="en-US" w:eastAsia="zh-CN"/>
        </w:rPr>
        <w:t>5</w:t>
      </w:r>
      <w:r>
        <w:rPr>
          <w:rFonts w:hint="eastAsia" w:ascii="宋体" w:hAnsi="宋体" w:eastAsia="宋体" w:cs="宋体"/>
          <w:b w:val="0"/>
          <w:bCs w:val="0"/>
          <w:i w:val="0"/>
          <w:iCs w:val="0"/>
          <w:caps w:val="0"/>
          <w:color w:val="auto"/>
          <w:spacing w:val="0"/>
          <w:sz w:val="22"/>
          <w:szCs w:val="22"/>
          <w:highlight w:val="none"/>
          <w:shd w:val="clear" w:color="auto" w:fill="FFFFFF"/>
        </w:rPr>
        <w:t>0%）</w:t>
      </w:r>
      <w:r>
        <w:rPr>
          <w:rFonts w:hint="eastAsia" w:ascii="宋体" w:hAnsi="宋体" w:eastAsia="宋体" w:cs="宋体"/>
          <w:i w:val="0"/>
          <w:iCs w:val="0"/>
          <w:caps w:val="0"/>
          <w:color w:val="auto"/>
          <w:spacing w:val="0"/>
          <w:sz w:val="22"/>
          <w:szCs w:val="22"/>
          <w:highlight w:val="none"/>
          <w:shd w:val="clear" w:color="auto" w:fill="FFFFFF"/>
        </w:rPr>
        <w:t>的款项。</w:t>
      </w:r>
    </w:p>
    <w:p w14:paraId="245FC35E">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（1）乙方出具的本次支付申请正本二份；</w:t>
      </w:r>
    </w:p>
    <w:p w14:paraId="59122B59">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（2）专家评审报告</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029A7C34">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（3）乙方按</w:t>
      </w:r>
      <w:r>
        <w:rPr>
          <w:rFonts w:hint="eastAsia" w:ascii="宋体" w:hAnsi="宋体" w:eastAsia="宋体" w:cs="宋体"/>
          <w:i w:val="0"/>
          <w:iCs w:val="0"/>
          <w:caps w:val="0"/>
          <w:color w:val="auto"/>
          <w:spacing w:val="0"/>
          <w:sz w:val="22"/>
          <w:szCs w:val="22"/>
          <w:highlight w:val="none"/>
          <w:shd w:val="clear" w:color="auto" w:fill="FFFFFF"/>
          <w:lang w:val="en-US" w:eastAsia="zh-CN"/>
        </w:rPr>
        <w:t>应付</w:t>
      </w:r>
      <w:r>
        <w:rPr>
          <w:rFonts w:hint="eastAsia" w:ascii="宋体" w:hAnsi="宋体" w:eastAsia="宋体" w:cs="宋体"/>
          <w:i w:val="0"/>
          <w:iCs w:val="0"/>
          <w:caps w:val="0"/>
          <w:color w:val="auto"/>
          <w:spacing w:val="0"/>
          <w:sz w:val="22"/>
          <w:szCs w:val="22"/>
          <w:highlight w:val="none"/>
          <w:shd w:val="clear" w:color="auto" w:fill="FFFFFF"/>
        </w:rPr>
        <w:t>支付金额</w:t>
      </w:r>
      <w:r>
        <w:rPr>
          <w:rFonts w:hint="eastAsia" w:ascii="宋体" w:hAnsi="宋体" w:eastAsia="宋体" w:cs="宋体"/>
          <w:i w:val="0"/>
          <w:iCs w:val="0"/>
          <w:caps w:val="0"/>
          <w:color w:val="auto"/>
          <w:spacing w:val="0"/>
          <w:sz w:val="22"/>
          <w:szCs w:val="22"/>
          <w:highlight w:val="none"/>
          <w:shd w:val="clear" w:color="auto" w:fill="FFFFFF"/>
          <w:lang w:val="en-US" w:eastAsia="zh-CN"/>
        </w:rPr>
        <w:t>100%</w:t>
      </w:r>
      <w:r>
        <w:rPr>
          <w:rFonts w:hint="eastAsia" w:ascii="宋体" w:hAnsi="宋体" w:eastAsia="宋体" w:cs="宋体"/>
          <w:i w:val="0"/>
          <w:iCs w:val="0"/>
          <w:caps w:val="0"/>
          <w:color w:val="auto"/>
          <w:spacing w:val="0"/>
          <w:sz w:val="22"/>
          <w:szCs w:val="22"/>
          <w:highlight w:val="none"/>
          <w:shd w:val="clear" w:color="auto" w:fill="FFFFFF"/>
        </w:rPr>
        <w:t>出具的</w:t>
      </w:r>
      <w:r>
        <w:rPr>
          <w:rFonts w:hint="eastAsia" w:ascii="宋体" w:hAnsi="宋体" w:eastAsia="宋体" w:cs="宋体"/>
          <w:i w:val="0"/>
          <w:iCs w:val="0"/>
          <w:caps w:val="0"/>
          <w:color w:val="auto"/>
          <w:spacing w:val="0"/>
          <w:sz w:val="22"/>
          <w:szCs w:val="22"/>
          <w:highlight w:val="none"/>
          <w:shd w:val="clear" w:color="auto" w:fill="FFFFFF"/>
          <w:lang w:val="en-US" w:eastAsia="zh-CN"/>
        </w:rPr>
        <w:t>增值税专用发票</w:t>
      </w:r>
      <w:r>
        <w:rPr>
          <w:rFonts w:hint="eastAsia" w:ascii="宋体" w:hAnsi="宋体" w:eastAsia="宋体" w:cs="宋体"/>
          <w:i w:val="0"/>
          <w:iCs w:val="0"/>
          <w:caps w:val="0"/>
          <w:color w:val="auto"/>
          <w:spacing w:val="0"/>
          <w:sz w:val="22"/>
          <w:szCs w:val="22"/>
          <w:highlight w:val="none"/>
          <w:shd w:val="clear" w:color="auto" w:fill="FFFFFF"/>
        </w:rPr>
        <w:t>一份。</w:t>
      </w:r>
    </w:p>
    <w:p w14:paraId="7AA2F4B7">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4.2.5最终付款</w:t>
      </w:r>
    </w:p>
    <w:p w14:paraId="4B53CFB0">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项目服务期满后，甲方对考核期内乙方提供的服务进行考核，</w:t>
      </w:r>
      <w:r>
        <w:rPr>
          <w:rFonts w:hint="eastAsia" w:ascii="宋体" w:hAnsi="宋体" w:eastAsia="宋体" w:cs="宋体"/>
          <w:i w:val="0"/>
          <w:iCs w:val="0"/>
          <w:caps w:val="0"/>
          <w:color w:val="auto"/>
          <w:spacing w:val="0"/>
          <w:sz w:val="22"/>
          <w:szCs w:val="22"/>
          <w:highlight w:val="none"/>
          <w:shd w:val="clear" w:color="auto" w:fill="FFFFFF"/>
        </w:rPr>
        <w:t>并根据考核结果付款，</w:t>
      </w:r>
      <w:r>
        <w:rPr>
          <w:rFonts w:hint="eastAsia" w:ascii="宋体" w:hAnsi="宋体" w:eastAsia="宋体" w:cs="宋体"/>
          <w:i w:val="0"/>
          <w:iCs w:val="0"/>
          <w:caps w:val="0"/>
          <w:color w:val="auto"/>
          <w:spacing w:val="0"/>
          <w:sz w:val="22"/>
          <w:szCs w:val="22"/>
          <w:highlight w:val="none"/>
          <w:shd w:val="clear" w:color="auto" w:fill="FFFFFF"/>
          <w:lang w:val="en-US" w:eastAsia="zh-CN"/>
        </w:rPr>
        <w:t>合同价</w:t>
      </w:r>
      <w:r>
        <w:rPr>
          <w:rFonts w:hint="eastAsia" w:ascii="宋体" w:hAnsi="宋体" w:eastAsia="宋体" w:cs="宋体"/>
          <w:i w:val="0"/>
          <w:iCs w:val="0"/>
          <w:caps w:val="0"/>
          <w:color w:val="auto"/>
          <w:spacing w:val="0"/>
          <w:sz w:val="22"/>
          <w:szCs w:val="22"/>
          <w:highlight w:val="none"/>
          <w:shd w:val="clear" w:color="auto" w:fill="FFFFFF"/>
        </w:rPr>
        <w:t>的</w:t>
      </w:r>
      <w:r>
        <w:rPr>
          <w:rFonts w:hint="eastAsia" w:ascii="宋体" w:hAnsi="宋体" w:eastAsia="宋体" w:cs="宋体"/>
          <w:i w:val="0"/>
          <w:iCs w:val="0"/>
          <w:caps w:val="0"/>
          <w:color w:val="auto"/>
          <w:spacing w:val="0"/>
          <w:sz w:val="22"/>
          <w:szCs w:val="22"/>
          <w:highlight w:val="none"/>
          <w:shd w:val="clear" w:color="auto" w:fill="FFFFFF"/>
        </w:rPr>
        <w:t>百分之十（</w:t>
      </w:r>
      <w:r>
        <w:rPr>
          <w:rFonts w:hint="eastAsia" w:ascii="宋体" w:hAnsi="宋体" w:cs="宋体"/>
          <w:i w:val="0"/>
          <w:iCs w:val="0"/>
          <w:caps w:val="0"/>
          <w:color w:val="auto"/>
          <w:spacing w:val="0"/>
          <w:sz w:val="22"/>
          <w:szCs w:val="22"/>
          <w:highlight w:val="none"/>
          <w:shd w:val="clear" w:color="auto" w:fill="FFFFFF"/>
          <w:lang w:val="en-US" w:eastAsia="zh-CN"/>
        </w:rPr>
        <w:t>10</w:t>
      </w: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rPr>
        <w:t>为考核金。考核细则详见采购文件第四部分《采购内容及技术要求》。若考核得分≥80，不扣除考核金；若70≤考核得分&lt;80，扣除考核金20%；若60≤考核得分&lt;70，扣除考核金40%；若考核得分&lt;60，扣除全部考核金。甲方收到乙方提交的下列单据并确认无误后三十（30）天内，甲方向乙方支付剩余考核金，甲方有权在支付时根据考核结果扣除相应的金额。</w:t>
      </w:r>
    </w:p>
    <w:p w14:paraId="79186A09">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（1）乙方出具的本次支付申请正本二份；</w:t>
      </w:r>
    </w:p>
    <w:p w14:paraId="019ADDCE">
      <w:pPr>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（2）甲方确认的的服务期考核评价材料</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54477044">
      <w:pPr>
        <w:numPr>
          <w:ilvl w:val="0"/>
          <w:numId w:val="0"/>
        </w:numPr>
        <w:pBdr>
          <w:top w:val="none" w:color="000000" w:sz="0" w:space="0"/>
          <w:left w:val="none" w:color="000000" w:sz="0" w:space="0"/>
          <w:bottom w:val="none" w:color="000000" w:sz="0" w:space="0"/>
          <w:right w:val="none" w:color="000000" w:sz="0" w:space="0"/>
          <w:between w:val="none" w:color="000000" w:sz="0" w:space="0"/>
        </w:pBdr>
        <w:spacing w:beforeLines="0" w:line="360" w:lineRule="auto"/>
        <w:ind w:left="480" w:leftChars="200" w:firstLine="0" w:firstLineChars="0"/>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（3）乙方按本次</w:t>
      </w:r>
      <w:r>
        <w:rPr>
          <w:rFonts w:hint="eastAsia" w:ascii="宋体" w:hAnsi="宋体" w:eastAsia="宋体" w:cs="宋体"/>
          <w:i w:val="0"/>
          <w:iCs w:val="0"/>
          <w:caps w:val="0"/>
          <w:color w:val="auto"/>
          <w:spacing w:val="0"/>
          <w:sz w:val="22"/>
          <w:szCs w:val="22"/>
          <w:highlight w:val="none"/>
          <w:shd w:val="clear" w:color="auto" w:fill="FFFFFF"/>
          <w:lang w:val="en-US" w:eastAsia="zh-CN"/>
        </w:rPr>
        <w:t>应付</w:t>
      </w:r>
      <w:r>
        <w:rPr>
          <w:rFonts w:hint="eastAsia" w:ascii="宋体" w:hAnsi="宋体" w:eastAsia="宋体" w:cs="宋体"/>
          <w:i w:val="0"/>
          <w:iCs w:val="0"/>
          <w:caps w:val="0"/>
          <w:color w:val="auto"/>
          <w:spacing w:val="0"/>
          <w:sz w:val="22"/>
          <w:szCs w:val="22"/>
          <w:highlight w:val="none"/>
          <w:shd w:val="clear" w:color="auto" w:fill="FFFFFF"/>
        </w:rPr>
        <w:t>金额</w:t>
      </w:r>
      <w:r>
        <w:rPr>
          <w:rFonts w:hint="eastAsia" w:ascii="宋体" w:hAnsi="宋体" w:eastAsia="宋体" w:cs="宋体"/>
          <w:i w:val="0"/>
          <w:iCs w:val="0"/>
          <w:caps w:val="0"/>
          <w:color w:val="auto"/>
          <w:spacing w:val="0"/>
          <w:sz w:val="22"/>
          <w:szCs w:val="22"/>
          <w:highlight w:val="none"/>
          <w:shd w:val="clear" w:color="auto" w:fill="FFFFFF"/>
          <w:lang w:val="en-US" w:eastAsia="zh-CN"/>
        </w:rPr>
        <w:t>100%</w:t>
      </w:r>
      <w:r>
        <w:rPr>
          <w:rFonts w:hint="eastAsia" w:ascii="宋体" w:hAnsi="宋体" w:eastAsia="宋体" w:cs="宋体"/>
          <w:i w:val="0"/>
          <w:iCs w:val="0"/>
          <w:caps w:val="0"/>
          <w:color w:val="auto"/>
          <w:spacing w:val="0"/>
          <w:sz w:val="22"/>
          <w:szCs w:val="22"/>
          <w:highlight w:val="none"/>
          <w:shd w:val="clear" w:color="auto" w:fill="FFFFFF"/>
        </w:rPr>
        <w:t>出具的</w:t>
      </w:r>
      <w:r>
        <w:rPr>
          <w:rFonts w:hint="eastAsia" w:ascii="宋体" w:hAnsi="宋体" w:eastAsia="宋体" w:cs="宋体"/>
          <w:i w:val="0"/>
          <w:iCs w:val="0"/>
          <w:caps w:val="0"/>
          <w:color w:val="auto"/>
          <w:spacing w:val="0"/>
          <w:sz w:val="22"/>
          <w:szCs w:val="22"/>
          <w:highlight w:val="none"/>
          <w:shd w:val="clear" w:color="auto" w:fill="FFFFFF"/>
          <w:lang w:val="en-US" w:eastAsia="zh-CN"/>
        </w:rPr>
        <w:t>增值税专用发票</w:t>
      </w:r>
      <w:r>
        <w:rPr>
          <w:rFonts w:hint="eastAsia" w:ascii="宋体" w:hAnsi="宋体" w:eastAsia="宋体" w:cs="宋体"/>
          <w:i w:val="0"/>
          <w:iCs w:val="0"/>
          <w:caps w:val="0"/>
          <w:color w:val="auto"/>
          <w:spacing w:val="0"/>
          <w:sz w:val="22"/>
          <w:szCs w:val="22"/>
          <w:highlight w:val="none"/>
          <w:shd w:val="clear" w:color="auto" w:fill="FFFFFF"/>
        </w:rPr>
        <w:t>一份。</w:t>
      </w:r>
    </w:p>
    <w:p w14:paraId="462C0415">
      <w:pPr>
        <w:numPr>
          <w:ilvl w:val="0"/>
          <w:numId w:val="0"/>
        </w:numPr>
        <w:pBdr>
          <w:top w:val="none" w:color="000000" w:sz="0" w:space="0"/>
          <w:left w:val="none" w:color="000000" w:sz="0" w:space="0"/>
          <w:bottom w:val="none" w:color="000000" w:sz="0" w:space="0"/>
          <w:right w:val="none" w:color="000000" w:sz="0" w:space="0"/>
          <w:between w:val="none" w:color="000000" w:sz="0" w:space="0"/>
        </w:pBdr>
        <w:spacing w:beforeLines="0" w:line="360" w:lineRule="auto"/>
        <w:ind w:left="480" w:leftChars="200" w:firstLine="0" w:firstLineChars="0"/>
        <w:rPr>
          <w:rFonts w:ascii="宋体" w:hAnsi="宋体" w:cs="宋体"/>
          <w:color w:val="auto"/>
          <w:kern w:val="1"/>
          <w:sz w:val="22"/>
          <w:szCs w:val="22"/>
          <w:highlight w:val="none"/>
        </w:rPr>
      </w:pPr>
      <w:r>
        <w:rPr>
          <w:rFonts w:hint="eastAsia" w:ascii="宋体" w:hAnsi="宋体" w:cs="宋体"/>
          <w:color w:val="auto"/>
          <w:kern w:val="1"/>
          <w:sz w:val="22"/>
          <w:szCs w:val="22"/>
          <w:highlight w:val="none"/>
        </w:rPr>
        <w:t>4.3因</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原因无法提供付款申请资料而导致</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延迟付款所造成的后果由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自行承担。</w:t>
      </w:r>
    </w:p>
    <w:p w14:paraId="4F80A80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5、保险 </w:t>
      </w:r>
    </w:p>
    <w:p w14:paraId="382FC84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5.1</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购买雇员保险，并处理与之有关的所有保险索赔及其他一切事项。与本项目有关的索赔等事项，以及</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未购或未足额购保险导致的索赔，概由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承担全部的赔偿责任。</w:t>
      </w:r>
    </w:p>
    <w:p w14:paraId="21E76C4A">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5.2 本项目所需的全部保险费均已包含在合同价中，</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不另行支付。</w:t>
      </w:r>
    </w:p>
    <w:p w14:paraId="1A3BFDF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6、侵权和保密</w:t>
      </w:r>
    </w:p>
    <w:p w14:paraId="3C312E8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6.1</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应保证</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免受第三方因</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服务存在的瑕疵而提出的侵权诉讼及索赔。任何第三方如因</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服务提出侵权指控，</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须与第三方交涉并承担由此而引起的一切法律责任和费用。如</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因此承担费用或造成其他经营损失的，概由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负责赔偿。</w:t>
      </w:r>
    </w:p>
    <w:p w14:paraId="578B7A2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6.2</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对在工作过程中接触到的</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的任何资料、文件、数据（无论是书面的还是电子的），以及对为</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服务形成的任何交付物，负有为</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保密责任。</w:t>
      </w:r>
    </w:p>
    <w:p w14:paraId="535461D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6.3未经</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事先书面同意，</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不得以任何形式将本协议内容（包括但不限于合同条款、各种资料成果等）以及</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提供的资料文件等提供给与履行本协议无关的任何第三方或挪作本合同约定用途外使用。若</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违反本款约定，因此产生的一切不利后果和损害赔偿责任概由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承担，且</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应赔偿</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的全部损失。</w:t>
      </w:r>
    </w:p>
    <w:p w14:paraId="26D3B53B">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7、联络</w:t>
      </w:r>
    </w:p>
    <w:p w14:paraId="41B583D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本协议项下重要事项的联络应以书面方式进行。紧急事项可用</w:t>
      </w:r>
      <w:r>
        <w:rPr>
          <w:rFonts w:hint="eastAsia" w:ascii="宋体" w:hAnsi="宋体" w:cs="宋体"/>
          <w:color w:val="auto"/>
          <w:kern w:val="1"/>
          <w:sz w:val="22"/>
          <w:szCs w:val="22"/>
          <w:highlight w:val="none"/>
          <w:lang w:eastAsia="zh-CN"/>
        </w:rPr>
        <w:t>录音</w:t>
      </w:r>
      <w:r>
        <w:rPr>
          <w:rFonts w:hint="eastAsia" w:ascii="宋体" w:hAnsi="宋体" w:cs="宋体"/>
          <w:color w:val="auto"/>
          <w:kern w:val="1"/>
          <w:sz w:val="22"/>
          <w:szCs w:val="22"/>
          <w:highlight w:val="none"/>
        </w:rPr>
        <w:t>电话联系，但事后须立即以书面方式确认</w:t>
      </w:r>
      <w:r>
        <w:rPr>
          <w:rFonts w:hint="eastAsia" w:ascii="宋体" w:hAnsi="宋体" w:cs="宋体"/>
          <w:color w:val="auto"/>
          <w:kern w:val="1"/>
          <w:sz w:val="22"/>
          <w:szCs w:val="22"/>
          <w:highlight w:val="none"/>
          <w:lang w:eastAsia="zh-CN"/>
        </w:rPr>
        <w:t>，书面确认结果与反馈与录音电话不一致的，以录音电话内容为准</w:t>
      </w:r>
      <w:r>
        <w:rPr>
          <w:rFonts w:hint="eastAsia" w:ascii="宋体" w:hAnsi="宋体" w:cs="宋体"/>
          <w:color w:val="auto"/>
          <w:kern w:val="1"/>
          <w:sz w:val="22"/>
          <w:szCs w:val="22"/>
          <w:highlight w:val="none"/>
        </w:rPr>
        <w:t>。</w:t>
      </w:r>
    </w:p>
    <w:p w14:paraId="52209A36">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8、质量保证</w:t>
      </w:r>
    </w:p>
    <w:p w14:paraId="200969A9">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8.1</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应确保提供优质的服务，如果</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提供的服务不符合合同约定或</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要求，甲方有权要求</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更换人员和增减人员或采取其他措施予以改进，</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应无条件予以接受。</w:t>
      </w:r>
    </w:p>
    <w:p w14:paraId="47B8BFF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8.2</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对</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的服务考核见（详见采购文件第四部分《采购内容及技术要求》中的“服务考核指标”）。</w:t>
      </w:r>
    </w:p>
    <w:p w14:paraId="4EBE008F">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ascii="宋体" w:hAnsi="宋体" w:cs="宋体"/>
          <w:color w:val="auto"/>
          <w:kern w:val="1"/>
          <w:sz w:val="22"/>
          <w:szCs w:val="22"/>
          <w:highlight w:val="none"/>
        </w:rPr>
        <w:t>9、</w:t>
      </w:r>
      <w:r>
        <w:rPr>
          <w:rFonts w:hint="eastAsia" w:ascii="宋体" w:hAnsi="宋体" w:cs="宋体"/>
          <w:color w:val="auto"/>
          <w:kern w:val="1"/>
          <w:sz w:val="22"/>
          <w:szCs w:val="22"/>
          <w:highlight w:val="none"/>
        </w:rPr>
        <w:t>项目验收</w:t>
      </w:r>
    </w:p>
    <w:p w14:paraId="3C93052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hint="eastAsia" w:ascii="宋体" w:hAnsi="宋体" w:eastAsia="宋体" w:cs="宋体"/>
          <w:b w:val="0"/>
          <w:bCs w:val="0"/>
          <w:color w:val="auto"/>
          <w:kern w:val="1"/>
          <w:sz w:val="22"/>
          <w:szCs w:val="22"/>
          <w:highlight w:val="none"/>
        </w:rPr>
      </w:pPr>
      <w:r>
        <w:rPr>
          <w:rFonts w:hint="eastAsia" w:ascii="宋体" w:hAnsi="宋体" w:eastAsia="宋体" w:cs="宋体"/>
          <w:b w:val="0"/>
          <w:bCs w:val="0"/>
          <w:color w:val="auto"/>
          <w:kern w:val="1"/>
          <w:sz w:val="22"/>
          <w:szCs w:val="22"/>
          <w:highlight w:val="none"/>
        </w:rPr>
        <w:t>参照《</w:t>
      </w:r>
      <w:r>
        <w:rPr>
          <w:rStyle w:val="27"/>
          <w:rFonts w:hint="eastAsia" w:ascii="宋体" w:hAnsi="宋体" w:eastAsia="宋体" w:cs="宋体"/>
          <w:b w:val="0"/>
          <w:bCs w:val="0"/>
          <w:i w:val="0"/>
          <w:iCs w:val="0"/>
          <w:caps w:val="0"/>
          <w:color w:val="auto"/>
          <w:spacing w:val="0"/>
          <w:sz w:val="22"/>
          <w:szCs w:val="22"/>
          <w:highlight w:val="none"/>
        </w:rPr>
        <w:t>温州市市本级党政机关信息化项目验收实施细则（暂行）</w:t>
      </w:r>
      <w:r>
        <w:rPr>
          <w:rFonts w:hint="eastAsia" w:ascii="宋体" w:hAnsi="宋体" w:eastAsia="宋体" w:cs="宋体"/>
          <w:b w:val="0"/>
          <w:bCs w:val="0"/>
          <w:color w:val="auto"/>
          <w:kern w:val="1"/>
          <w:sz w:val="22"/>
          <w:szCs w:val="22"/>
          <w:highlight w:val="none"/>
        </w:rPr>
        <w:t>》</w:t>
      </w:r>
      <w:r>
        <w:rPr>
          <w:rFonts w:hint="eastAsia" w:ascii="宋体" w:hAnsi="宋体" w:eastAsia="宋体" w:cs="宋体"/>
          <w:b w:val="0"/>
          <w:bCs w:val="0"/>
          <w:color w:val="auto"/>
          <w:kern w:val="1"/>
          <w:sz w:val="22"/>
          <w:szCs w:val="22"/>
          <w:highlight w:val="none"/>
          <w:lang w:val="en-US" w:eastAsia="zh-CN"/>
        </w:rPr>
        <w:t>文件</w:t>
      </w:r>
      <w:r>
        <w:rPr>
          <w:rFonts w:hint="eastAsia" w:ascii="宋体" w:hAnsi="宋体" w:eastAsia="宋体" w:cs="宋体"/>
          <w:b w:val="0"/>
          <w:bCs w:val="0"/>
          <w:color w:val="auto"/>
          <w:kern w:val="1"/>
          <w:sz w:val="22"/>
          <w:szCs w:val="22"/>
          <w:highlight w:val="none"/>
        </w:rPr>
        <w:t>执行。</w:t>
      </w:r>
    </w:p>
    <w:p w14:paraId="381AB4E6">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10、索赔</w:t>
      </w:r>
    </w:p>
    <w:p w14:paraId="0502CB2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10.1如果</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提供的服务不符合合同要求，</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应在</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要求的时限内完成整改；如整改后仍无法满足合同要求且超出</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的要求时限，甲方有权解除合同，同时不支付服务费，要求</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赔偿</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的所有损失并向甲方支付</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20%的违约金。</w:t>
      </w:r>
    </w:p>
    <w:p w14:paraId="6697CABD">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10.2对于10.1款所列的索赔，</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有权从以下途径获得：</w:t>
      </w:r>
    </w:p>
    <w:p w14:paraId="70B9275E">
      <w:pPr>
        <w:numPr>
          <w:ilvl w:val="0"/>
          <w:numId w:val="22"/>
        </w:num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从应支付给</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的金额中扣除；</w:t>
      </w:r>
    </w:p>
    <w:p w14:paraId="44293B29">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2）从履约担保中扣减；</w:t>
      </w:r>
    </w:p>
    <w:p w14:paraId="42BB592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3）另行主张要求</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向</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支付偿还。</w:t>
      </w:r>
    </w:p>
    <w:p w14:paraId="676BDAB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11、合同终止</w:t>
      </w:r>
    </w:p>
    <w:p w14:paraId="3342DA8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11.1合同自然终止</w:t>
      </w:r>
    </w:p>
    <w:p w14:paraId="754ED21D">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服务期满且</w:t>
      </w:r>
      <w:r>
        <w:rPr>
          <w:rFonts w:hint="eastAsia" w:ascii="宋体" w:hAnsi="宋体" w:cs="宋体"/>
          <w:color w:val="auto"/>
          <w:kern w:val="1"/>
          <w:sz w:val="22"/>
          <w:szCs w:val="22"/>
          <w:highlight w:val="none"/>
          <w:lang w:eastAsia="zh-CN"/>
        </w:rPr>
        <w:t>甲、乙双方</w:t>
      </w:r>
      <w:r>
        <w:rPr>
          <w:rFonts w:hint="eastAsia" w:ascii="宋体" w:hAnsi="宋体" w:cs="宋体"/>
          <w:color w:val="auto"/>
          <w:kern w:val="1"/>
          <w:sz w:val="22"/>
          <w:szCs w:val="22"/>
          <w:highlight w:val="none"/>
        </w:rPr>
        <w:t>各自完成合同规定的责任和义务后，合同自然终止。</w:t>
      </w:r>
    </w:p>
    <w:p w14:paraId="10A730A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11.2违约违规解除合同</w:t>
      </w:r>
    </w:p>
    <w:p w14:paraId="4A5E197A">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11.2.1在合同服务期内，如因</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违约行为导致甲方解除合同的，</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须向甲方支付</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20%的违约金，并赔偿</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的一切损失。</w:t>
      </w:r>
    </w:p>
    <w:p w14:paraId="15B2E1CA">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11.2.2根据以上规定合同解除后，</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不再支付其他任何费用。同时</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有权寻找任何其他承包商完成本合同项目，且</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有权要求</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支付</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为完成本合同项目所</w:t>
      </w:r>
      <w:r>
        <w:rPr>
          <w:rFonts w:hint="eastAsia" w:ascii="宋体" w:hAnsi="宋体" w:cs="宋体"/>
          <w:color w:val="auto"/>
          <w:kern w:val="1"/>
          <w:sz w:val="22"/>
          <w:szCs w:val="22"/>
          <w:highlight w:val="none"/>
          <w:lang w:eastAsia="zh-CN"/>
        </w:rPr>
        <w:t>产生</w:t>
      </w:r>
      <w:r>
        <w:rPr>
          <w:rFonts w:hint="eastAsia" w:ascii="宋体" w:hAnsi="宋体" w:cs="宋体"/>
          <w:color w:val="auto"/>
          <w:kern w:val="1"/>
          <w:sz w:val="22"/>
          <w:szCs w:val="22"/>
          <w:highlight w:val="none"/>
        </w:rPr>
        <w:t>的所有额外费用。</w:t>
      </w:r>
    </w:p>
    <w:p w14:paraId="3B0F85AD">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11.3根据本合同或其它规定，需要或可以解除合同的情形。</w:t>
      </w:r>
    </w:p>
    <w:p w14:paraId="44CDF74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11.4因破产而终止合同</w:t>
      </w:r>
    </w:p>
    <w:p w14:paraId="7CD96E05">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如果</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破产或明确表示实际无能力继续为</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提供服务，</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有权在任何时候以书面形式通知</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，提出解除合同且不支付</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合同费用。该解除合同将不损害或影响</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已经采取或将要采取的任何行动或补救措施的权利。</w:t>
      </w:r>
    </w:p>
    <w:p w14:paraId="6FA37183">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11.5</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单方提出解除合同或不履行合同的，应提前一个月书面通知</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，经</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书面确认同意后本合同可以解除。在合同解除前的这一个月内，</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人员不得撤离，并要配合</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做好相应的交接工作，</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不支付剩余合同款，且</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应赔偿</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的所有损失并向甲方支付</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20%的违约金。</w:t>
      </w:r>
    </w:p>
    <w:p w14:paraId="484AA1BD">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12、转让和分包</w:t>
      </w:r>
    </w:p>
    <w:p w14:paraId="763FBC67">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12.1除经甲方事先书面同意，</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不得将其合同权利、责任和义务部分转让或全部转让或转移给第三方。否则甲方有权解除合同，要求</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支付甲方</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20%的违约金并赔偿甲方、乙方因此造成的全部损失，且</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应就分包项目与分包人向</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承担连带责任。</w:t>
      </w:r>
    </w:p>
    <w:p w14:paraId="3038916D">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12.2</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应将任何分包商及其代理人或雇员的行为、违约或疏忽，均视为与</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及其代理人或雇员的行为、违约或疏忽一样，并由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完全负责。</w:t>
      </w:r>
    </w:p>
    <w:p w14:paraId="0D914AF5">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13、不可抗力</w:t>
      </w:r>
    </w:p>
    <w:p w14:paraId="109E0C7B">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13.1不可抗力事件</w:t>
      </w:r>
    </w:p>
    <w:p w14:paraId="5817A9EB">
      <w:pPr>
        <w:numPr>
          <w:ilvl w:val="0"/>
          <w:numId w:val="0"/>
        </w:num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不可抗力事件系指</w:t>
      </w:r>
      <w:r>
        <w:rPr>
          <w:rFonts w:hint="eastAsia" w:ascii="宋体" w:hAnsi="宋体" w:cs="宋体"/>
          <w:color w:val="auto"/>
          <w:kern w:val="1"/>
          <w:sz w:val="22"/>
          <w:szCs w:val="22"/>
          <w:highlight w:val="none"/>
          <w:lang w:eastAsia="zh-CN"/>
        </w:rPr>
        <w:t>甲、乙双方</w:t>
      </w:r>
      <w:r>
        <w:rPr>
          <w:rFonts w:hint="eastAsia" w:ascii="宋体" w:hAnsi="宋体" w:cs="宋体"/>
          <w:color w:val="auto"/>
          <w:kern w:val="1"/>
          <w:sz w:val="22"/>
          <w:szCs w:val="22"/>
          <w:highlight w:val="none"/>
        </w:rPr>
        <w:t>在缔结合同时所不可预见的，并且它的发生及其后果是无法避免和无法克服的事件，包括但不限于：</w:t>
      </w:r>
    </w:p>
    <w:p w14:paraId="1A6BA4B4">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1）政府行为，如征收、征用；</w:t>
      </w:r>
    </w:p>
    <w:p w14:paraId="669753EB">
      <w:pPr>
        <w:numPr>
          <w:ilvl w:val="0"/>
          <w:numId w:val="0"/>
        </w:num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2）火灾、地震、火山爆发、山崩、滑坡、洪水、暴风雨、海啸、台风或龙卷风；</w:t>
      </w:r>
    </w:p>
    <w:p w14:paraId="5C87E8CB">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3）特别重大突发公共卫生事件；</w:t>
      </w:r>
    </w:p>
    <w:p w14:paraId="52F4AC61">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4）战争行为（无论是否宣战）、入侵、武装冲突或外敌行为、封锁或军事力量的使用、暴乱或民众骚乱、恐怖行为。</w:t>
      </w:r>
    </w:p>
    <w:p w14:paraId="3824B407">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13.2不可抗力事件处理</w:t>
      </w:r>
    </w:p>
    <w:p w14:paraId="2986AAF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受阻一方应在不可抗力事件发生后应立即电话通知对方，尽快用传真或邮件确认，并于事件发生后7天内将有关当局出具的证明文件书面呈递或特快专递或挂号信寄给对方审阅确认。一旦不可抗力事件的影响持续15天以上，</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应通过友好协商在合理的时间内达成进一步履行合同的协议。</w:t>
      </w:r>
    </w:p>
    <w:p w14:paraId="39B32B30">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受不可抗力事件影响的一方应尽合理的努力减少不可抗力事件的影响，包括根据上述措施可能产生的结果支付合理的金额。</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应协商制定并实施补救计划及合理的替代措施以消除不可抗力事件带来的影响，并决定为尽量减少不可抗力事件的影响给每一方带来的损失应采取的合理的手段。</w:t>
      </w:r>
    </w:p>
    <w:p w14:paraId="0BBAD911">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声称受到不可抗力事件不利影响的一方在不可抗力事件消除之后应尽快恢复履行本合同下的义务。</w:t>
      </w:r>
    </w:p>
    <w:p w14:paraId="6DDA593B">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13.3不可抗力事件造成的终止</w:t>
      </w:r>
    </w:p>
    <w:p w14:paraId="0C426329">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如</w:t>
      </w:r>
      <w:r>
        <w:rPr>
          <w:rFonts w:hint="eastAsia" w:ascii="宋体" w:hAnsi="宋体" w:cs="宋体"/>
          <w:color w:val="auto"/>
          <w:kern w:val="1"/>
          <w:sz w:val="22"/>
          <w:szCs w:val="22"/>
          <w:highlight w:val="none"/>
          <w:lang w:eastAsia="zh-CN"/>
        </w:rPr>
        <w:t>甲、乙双方</w:t>
      </w:r>
      <w:r>
        <w:rPr>
          <w:rFonts w:hint="eastAsia" w:ascii="宋体" w:hAnsi="宋体" w:cs="宋体"/>
          <w:color w:val="auto"/>
          <w:kern w:val="1"/>
          <w:sz w:val="22"/>
          <w:szCs w:val="22"/>
          <w:highlight w:val="none"/>
        </w:rPr>
        <w:t>就如何恢复履行本合同的义务达成一致，则</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应遵守达成一致的处理办法。</w:t>
      </w:r>
    </w:p>
    <w:p w14:paraId="6FD89CB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除上述情况外，如果任何不可抗力事件阻止一方履行其义务的时间自该不可抗力事件发生日起连续超过15天，</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应协商决定继续履行本合同的条件。</w:t>
      </w:r>
    </w:p>
    <w:p w14:paraId="1DE5ECB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如果自不可抗力事件发生后30天之内</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不能就继续履行的条件或提前终止达成一致意见，任何一方有权向另一方</w:t>
      </w:r>
      <w:r>
        <w:rPr>
          <w:rFonts w:hint="eastAsia" w:ascii="宋体" w:hAnsi="宋体" w:cs="宋体"/>
          <w:color w:val="auto"/>
          <w:kern w:val="1"/>
          <w:sz w:val="22"/>
          <w:szCs w:val="22"/>
          <w:highlight w:val="none"/>
          <w:lang w:val="en-US" w:eastAsia="zh-CN"/>
        </w:rPr>
        <w:t>发</w:t>
      </w:r>
      <w:r>
        <w:rPr>
          <w:rFonts w:hint="eastAsia" w:ascii="宋体" w:hAnsi="宋体" w:cs="宋体"/>
          <w:color w:val="auto"/>
          <w:kern w:val="1"/>
          <w:sz w:val="22"/>
          <w:szCs w:val="22"/>
          <w:highlight w:val="none"/>
        </w:rPr>
        <w:t>出终止通知，终止合同</w:t>
      </w:r>
      <w:r>
        <w:rPr>
          <w:rFonts w:hint="eastAsia" w:ascii="宋体" w:hAnsi="宋体" w:cs="宋体"/>
          <w:color w:val="auto"/>
          <w:kern w:val="1"/>
          <w:sz w:val="22"/>
          <w:szCs w:val="22"/>
          <w:highlight w:val="none"/>
          <w:lang w:eastAsia="zh-CN"/>
        </w:rPr>
        <w:t>，合同自通知到达对方之日即行终止</w:t>
      </w:r>
      <w:r>
        <w:rPr>
          <w:rFonts w:hint="eastAsia" w:ascii="宋体" w:hAnsi="宋体" w:cs="宋体"/>
          <w:color w:val="auto"/>
          <w:kern w:val="1"/>
          <w:sz w:val="22"/>
          <w:szCs w:val="22"/>
          <w:highlight w:val="none"/>
        </w:rPr>
        <w:t>。</w:t>
      </w:r>
    </w:p>
    <w:p w14:paraId="08B2CFB3">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14、</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的权利和义务</w:t>
      </w:r>
    </w:p>
    <w:p w14:paraId="07693623">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14.1</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的权利</w:t>
      </w:r>
    </w:p>
    <w:p w14:paraId="130084C3">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14.1.1</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有权否定任何在本项目中</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做出损害</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的决定和行为，并有权向</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索赔。</w:t>
      </w:r>
    </w:p>
    <w:p w14:paraId="48BC1169">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14.1.2</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有权对本项目的服务工作进行监督、监控、协调、考核等管理。</w:t>
      </w:r>
    </w:p>
    <w:p w14:paraId="10158674">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14.1.3</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有权对不符合合同要求或</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管理要求的工作进行制止并要求</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整改，</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必须立即整改并承担因此产生的全部费用及责任。</w:t>
      </w:r>
    </w:p>
    <w:p w14:paraId="5A87E347">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14.1.4组织对服务质量检查，具体包括不定期抽查、服务质量考核等。</w:t>
      </w:r>
    </w:p>
    <w:p w14:paraId="234AFCF4">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14.1.5对</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工作的服务组织过程及结果实施监管。</w:t>
      </w:r>
    </w:p>
    <w:p w14:paraId="39343FBE">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14.1.6对</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的人员素质、专业和服务进行审核，对不符合要求的</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人员，甲方有权要求</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无条件更换。</w:t>
      </w:r>
    </w:p>
    <w:p w14:paraId="6D27E52E">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14.1.7对</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人员的工作进行考核，对不能胜任合同要求、不服从</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监管、发生过责任事故等的</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人员，甲方有权要求</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无条件更换。</w:t>
      </w:r>
    </w:p>
    <w:p w14:paraId="47700099">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14.1.8对</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人员在工作中的违章违纪行为进行制止，当其行为危及人身或设备安全时，有权立即终止其工作。</w:t>
      </w:r>
    </w:p>
    <w:p w14:paraId="638DDE4C">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14.1.9当</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或</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人员发生责任事故时，</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有权追究</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的责任。</w:t>
      </w:r>
    </w:p>
    <w:p w14:paraId="614311B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14.2</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的义务</w:t>
      </w:r>
    </w:p>
    <w:p w14:paraId="3C69593E">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14.2.1向</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提供与项目有关的资料和必要信息。</w:t>
      </w:r>
    </w:p>
    <w:p w14:paraId="7013A8E7">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14.2.2负责协调与</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lang w:val="en-US" w:eastAsia="zh-CN"/>
        </w:rPr>
        <w:t>服务</w:t>
      </w:r>
      <w:r>
        <w:rPr>
          <w:rFonts w:hint="eastAsia" w:ascii="宋体" w:hAnsi="宋体" w:cs="宋体"/>
          <w:color w:val="auto"/>
          <w:sz w:val="22"/>
          <w:szCs w:val="22"/>
          <w:highlight w:val="none"/>
        </w:rPr>
        <w:t>相关第三方的沟通。</w:t>
      </w:r>
    </w:p>
    <w:p w14:paraId="793C5690">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14.2.3按合同约定支付服务费用。</w:t>
      </w:r>
    </w:p>
    <w:p w14:paraId="6FF9D511">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的权利和义务：</w:t>
      </w:r>
    </w:p>
    <w:p w14:paraId="2CC25843">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15.1</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的权利</w:t>
      </w:r>
    </w:p>
    <w:p w14:paraId="38B82AA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15.1.1有权按合同有关条款规定获得所完成的服务工作的报酬。</w:t>
      </w:r>
    </w:p>
    <w:p w14:paraId="270249E1">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15.1.2为了更好、更安全地完成服务工作，</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有权获得</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的工作协调，有权向</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提出合理化建议。</w:t>
      </w:r>
    </w:p>
    <w:p w14:paraId="7E278CA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的义务</w:t>
      </w:r>
    </w:p>
    <w:p w14:paraId="2590CF85">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15.2.1服从和遵守</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制定各项安全制度、考核制度及其他现行的规章制度。</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的服务人员应熟悉</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的有关规章制度和管理规定，熟悉有关的安全规定、安全标准、维保规程和标准，严格按照</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规定的工作规范、标准、程序和权限开展工作。</w:t>
      </w:r>
    </w:p>
    <w:p w14:paraId="187CEBE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15.2.2</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服务人员在服务过程中导致的甲、</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或第三方人身伤亡、财产损害等安全事故的，一切不利后果和损害赔偿责任由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自行负责和承担；由此而给</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造成的损失，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须予全部赔偿。</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人员的工资、福利、奖金、社保、工伤、工亡等均由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自行负责，若</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因此承担责任或垫付相关费用的，有权向</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追偿。</w:t>
      </w:r>
    </w:p>
    <w:p w14:paraId="1A0A53BF">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15.2.3对于国家、地方的法律法规或</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要求必须持证上岗的岗位，</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必须按照规定及</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要求配置具有相应上岗证的人员上岗操作，严禁违规操作。</w:t>
      </w:r>
    </w:p>
    <w:p w14:paraId="38547E1B">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15.2.4</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应对所有参与该项目的人员加强保密性教育，未经</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同意不得外传</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任何文件及规章制度。</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必须严格保密</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的生产信息等，坚决杜绝无事生非，造谣生事现象的出现。由于</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原因给</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造成的损失由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赔偿，同时</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有权追究</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相应责任。</w:t>
      </w:r>
    </w:p>
    <w:p w14:paraId="5DCECC8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15.2.5对由于</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未及时按</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约定的要求响应</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的要求进行紧急维修、抢险等，所造成的系统故障等，</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应赔偿</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全部损失，并被视为</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违约，须承担相应违约责任。</w:t>
      </w:r>
    </w:p>
    <w:p w14:paraId="3919760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15.2.6</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应杜绝发生安全生产事故，对发生的安全生产事故应按规定及时向</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报告，并提交相关的事故信息资料，积极配合调查、处理。由于</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原因给</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造成的损失由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赔偿，同时</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有权追究</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相应责任。</w:t>
      </w:r>
    </w:p>
    <w:p w14:paraId="6132B567">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15.2.7</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须加强自身人员管理，避免发生各类违纪、违法事件。若发生上述事件，由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自行负责。</w:t>
      </w:r>
    </w:p>
    <w:p w14:paraId="369C5BE2">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15.2.8</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保证本合同项下提供的服务及相关工具或其任何一部分不受第三方提出侵犯专利权、商标权或著作权等知识产权方面的指控和追索。如果任何第三方提出侵权指控，</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须与第三方交涉并承担可能发生的一切法律责任和费用，并赔偿</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因此造成的一切直接和间接损失。</w:t>
      </w:r>
    </w:p>
    <w:p w14:paraId="190C2E0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15.2.9因</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责任对</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设备、设施造成损失的，</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负有赔偿责任。</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对</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提供的设备、工器具、仪器仪表和备件等设备物资，因</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原因造成损坏或丢失的，由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负责修复或赔偿。</w:t>
      </w:r>
    </w:p>
    <w:p w14:paraId="78182239">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15.2.10</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负责完成标准化作业文件修订、修编、验证等工作。</w:t>
      </w:r>
    </w:p>
    <w:p w14:paraId="3D8C9F3D">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16、考核管理要求</w:t>
      </w:r>
    </w:p>
    <w:p w14:paraId="2BE3BDCA">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为保证本合同顺利执行，提高服务质量，确保</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各项工作指标的顺利完成，</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lang w:val="en-US" w:eastAsia="zh-CN"/>
        </w:rPr>
        <w:t>服务</w:t>
      </w:r>
      <w:r>
        <w:rPr>
          <w:rFonts w:hint="eastAsia" w:ascii="宋体" w:hAnsi="宋体" w:cs="宋体"/>
          <w:color w:val="auto"/>
          <w:kern w:val="1"/>
          <w:sz w:val="22"/>
          <w:szCs w:val="22"/>
          <w:highlight w:val="none"/>
        </w:rPr>
        <w:t>工作须服从</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的监管及考核。</w:t>
      </w:r>
    </w:p>
    <w:p w14:paraId="61CC8A31">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16.1</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有权根据考核管理要求（详见采购文件第四部分《采购内容及技术要求》中的“服务考核指标”）对</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进行考核，</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按照</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要求提交相关报表及佐证材料，</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审核各项</w:t>
      </w:r>
      <w:r>
        <w:rPr>
          <w:rFonts w:hint="eastAsia" w:ascii="宋体" w:hAnsi="宋体" w:cs="宋体"/>
          <w:color w:val="auto"/>
          <w:kern w:val="1"/>
          <w:sz w:val="22"/>
          <w:szCs w:val="22"/>
          <w:highlight w:val="none"/>
          <w:lang w:val="en-US" w:eastAsia="zh-CN"/>
        </w:rPr>
        <w:t>服务</w:t>
      </w:r>
      <w:r>
        <w:rPr>
          <w:rFonts w:hint="eastAsia" w:ascii="宋体" w:hAnsi="宋体" w:cs="宋体"/>
          <w:color w:val="auto"/>
          <w:kern w:val="1"/>
          <w:sz w:val="22"/>
          <w:szCs w:val="22"/>
          <w:highlight w:val="none"/>
        </w:rPr>
        <w:t>指标的完成情况。</w:t>
      </w:r>
    </w:p>
    <w:p w14:paraId="2CDE60E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16.2以客观事实为依据,本着公平、公正、公开的原则进行考核。</w:t>
      </w:r>
    </w:p>
    <w:p w14:paraId="6F268F34">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16.3同一事件将按照最高影响进行考核,不进行重复考核。</w:t>
      </w:r>
    </w:p>
    <w:p w14:paraId="6499717F">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17、合同违约处理</w:t>
      </w:r>
    </w:p>
    <w:p w14:paraId="55EDB2C5">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除合同条款已有约定的违约条款外，合同</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应按以下约定承担违约责任。因</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违约产生的违约金、赔偿金等，</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有权从履约担保或应付合同款中直接扣除。</w:t>
      </w:r>
    </w:p>
    <w:p w14:paraId="6BCA1141">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17.1人员更换</w:t>
      </w:r>
    </w:p>
    <w:p w14:paraId="6AB1E1DF">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17.1.1</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不得更换项目负责人，如需更换的，则须经甲方书面同意且更换后的项目负责人不得低于原投标承诺人员所具有的资格条件，同时</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应向甲方支付5万元违约金。未经甲方书面同意擅自更换项目负责人的，</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应向甲方支付10万元的违约金，同时甲方有权解除合同。</w:t>
      </w:r>
    </w:p>
    <w:p w14:paraId="0168667B">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17.1.2甲方认为</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项目负责人无法履行职责的，有权要求</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无条件更换项目负责人，且</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更换后的人员资质不得低于原投标承诺人员所具有的资格条件，同时</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应向甲方支付5万元违约金。</w:t>
      </w:r>
    </w:p>
    <w:p w14:paraId="4CA74973">
      <w:pPr>
        <w:spacing w:line="360" w:lineRule="auto"/>
        <w:ind w:firstLine="440" w:firstLineChars="200"/>
        <w:rPr>
          <w:rFonts w:ascii="宋体" w:hAnsi="宋体" w:cs="宋体"/>
          <w:color w:val="auto"/>
          <w:sz w:val="22"/>
          <w:szCs w:val="22"/>
          <w:highlight w:val="none"/>
        </w:rPr>
      </w:pPr>
      <w:r>
        <w:rPr>
          <w:rFonts w:hint="eastAsia" w:ascii="宋体" w:hAnsi="宋体" w:cs="宋体"/>
          <w:color w:val="auto"/>
          <w:kern w:val="1"/>
          <w:sz w:val="22"/>
          <w:szCs w:val="22"/>
          <w:highlight w:val="none"/>
        </w:rPr>
        <w:t>17.1.3在合同履行期间，因无法胜任工作被甲方要求更换，或因</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主动提出人员更换且经过甲方同意的，</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可更换人员，更换后的人员资质均不得低于原投标承诺人员所具有的资格条件，且更换次数不得超过3次，任一岗位更换超过3次的，</w:t>
      </w:r>
      <w:r>
        <w:rPr>
          <w:rFonts w:hint="eastAsia" w:ascii="宋体" w:hAnsi="宋体" w:cs="宋体"/>
          <w:color w:val="auto"/>
          <w:kern w:val="1"/>
          <w:sz w:val="22"/>
          <w:szCs w:val="22"/>
          <w:highlight w:val="none"/>
          <w:lang w:val="en-US" w:eastAsia="zh-CN"/>
        </w:rPr>
        <w:t>甲方有权解除合同</w:t>
      </w:r>
      <w:r>
        <w:rPr>
          <w:rFonts w:hint="eastAsia" w:ascii="宋体" w:hAnsi="宋体" w:cs="宋体"/>
          <w:color w:val="auto"/>
          <w:kern w:val="1"/>
          <w:sz w:val="22"/>
          <w:szCs w:val="22"/>
          <w:highlight w:val="none"/>
        </w:rPr>
        <w:t>。</w:t>
      </w:r>
    </w:p>
    <w:p w14:paraId="285EAC0E">
      <w:pPr>
        <w:spacing w:after="12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17.2</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在甲方现场必须保证相应的人员充足，若出现以下情况，视为</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违约，</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应按以下标准向甲方支付违约金：</w:t>
      </w:r>
    </w:p>
    <w:p w14:paraId="05811176">
      <w:pPr>
        <w:spacing w:after="12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（1）项目负责人无故缺席项目例会等重要会议，违约金标准为2000元/人次；</w:t>
      </w:r>
    </w:p>
    <w:p w14:paraId="359293D7">
      <w:pPr>
        <w:kinsoku w:val="0"/>
        <w:overflowPunct w:val="0"/>
        <w:autoSpaceDE w:val="0"/>
        <w:autoSpaceDN w:val="0"/>
        <w:spacing w:after="12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（2）必须出席的</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项目团队成员无故缺席项目例会等重要会议，违约金标准为1000元/人次；</w:t>
      </w:r>
    </w:p>
    <w:p w14:paraId="6E638FE6">
      <w:pPr>
        <w:spacing w:after="12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服务</w:t>
      </w:r>
      <w:r>
        <w:rPr>
          <w:rFonts w:hint="eastAsia" w:ascii="宋体" w:hAnsi="宋体" w:cs="宋体"/>
          <w:color w:val="auto"/>
          <w:sz w:val="22"/>
          <w:szCs w:val="22"/>
          <w:highlight w:val="none"/>
        </w:rPr>
        <w:t>期常驻人员未经甲方允许私自离开甲方现场的，违约金标准为500元/人次。</w:t>
      </w:r>
    </w:p>
    <w:p w14:paraId="45EDD572">
      <w:pPr>
        <w:spacing w:after="120" w:line="360" w:lineRule="auto"/>
        <w:ind w:firstLine="440" w:firstLineChars="200"/>
        <w:rPr>
          <w:rFonts w:ascii="宋体" w:hAnsi="宋体" w:cs="宋体"/>
          <w:color w:val="auto"/>
          <w:kern w:val="1"/>
          <w:sz w:val="22"/>
          <w:szCs w:val="22"/>
          <w:highlight w:val="none"/>
        </w:rPr>
      </w:pPr>
      <w:r>
        <w:rPr>
          <w:rFonts w:hint="eastAsia" w:ascii="宋体" w:hAnsi="宋体" w:cs="宋体"/>
          <w:color w:val="auto"/>
          <w:sz w:val="22"/>
          <w:szCs w:val="22"/>
          <w:highlight w:val="none"/>
        </w:rPr>
        <w:t>17.3由于乙方原因造成乙方服务的设备或系统中断、停止或无法正常使用，应按甲方要求在故障响应时间内响应</w:t>
      </w:r>
      <w:r>
        <w:rPr>
          <w:rFonts w:hint="eastAsia" w:ascii="宋体" w:hAnsi="宋体" w:cs="宋体"/>
          <w:color w:val="auto"/>
          <w:sz w:val="22"/>
          <w:szCs w:val="22"/>
          <w:highlight w:val="none"/>
          <w:lang w:val="en-US" w:eastAsia="zh-CN"/>
        </w:rPr>
        <w:t>并</w:t>
      </w:r>
      <w:r>
        <w:rPr>
          <w:rFonts w:hint="eastAsia" w:ascii="宋体" w:hAnsi="宋体" w:cs="宋体"/>
          <w:color w:val="auto"/>
          <w:sz w:val="22"/>
          <w:szCs w:val="22"/>
          <w:highlight w:val="none"/>
        </w:rPr>
        <w:t>及时解决，并承担甲方、乙方因此造成的全部损失。</w:t>
      </w:r>
    </w:p>
    <w:p w14:paraId="7C9702E1">
      <w:pPr>
        <w:spacing w:after="120"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17.4</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在甲方提出需求的一个工作日内未作出响应，应按照1万元/天</w:t>
      </w:r>
      <w:r>
        <w:rPr>
          <w:rFonts w:hint="eastAsia" w:ascii="宋体" w:hAnsi="宋体" w:cs="宋体"/>
          <w:color w:val="auto"/>
          <w:kern w:val="1"/>
          <w:sz w:val="22"/>
          <w:szCs w:val="22"/>
          <w:highlight w:val="none"/>
          <w:lang w:eastAsia="zh-CN"/>
        </w:rPr>
        <w:t>（</w:t>
      </w:r>
      <w:r>
        <w:rPr>
          <w:rFonts w:hint="eastAsia" w:ascii="宋体" w:hAnsi="宋体" w:cs="宋体"/>
          <w:color w:val="auto"/>
          <w:kern w:val="1"/>
          <w:sz w:val="22"/>
          <w:szCs w:val="22"/>
          <w:highlight w:val="none"/>
          <w:lang w:val="en-US" w:eastAsia="zh-CN"/>
        </w:rPr>
        <w:t>含提出需求当日</w:t>
      </w:r>
      <w:r>
        <w:rPr>
          <w:rFonts w:hint="eastAsia" w:ascii="宋体" w:hAnsi="宋体" w:cs="宋体"/>
          <w:color w:val="auto"/>
          <w:kern w:val="1"/>
          <w:sz w:val="22"/>
          <w:szCs w:val="22"/>
          <w:highlight w:val="none"/>
          <w:lang w:eastAsia="zh-CN"/>
        </w:rPr>
        <w:t>）</w:t>
      </w:r>
      <w:r>
        <w:rPr>
          <w:rFonts w:hint="eastAsia" w:ascii="宋体" w:hAnsi="宋体" w:cs="宋体"/>
          <w:color w:val="auto"/>
          <w:kern w:val="1"/>
          <w:sz w:val="22"/>
          <w:szCs w:val="22"/>
          <w:highlight w:val="none"/>
        </w:rPr>
        <w:t>向甲方支付违约金，具体时长由甲方认定</w:t>
      </w:r>
      <w:r>
        <w:rPr>
          <w:rFonts w:hint="eastAsia" w:ascii="宋体" w:hAnsi="宋体" w:cs="宋体"/>
          <w:color w:val="auto"/>
          <w:sz w:val="22"/>
          <w:szCs w:val="22"/>
          <w:highlight w:val="none"/>
        </w:rPr>
        <w:t>，并</w:t>
      </w:r>
      <w:r>
        <w:rPr>
          <w:rFonts w:hint="eastAsia" w:ascii="宋体" w:hAnsi="宋体" w:cs="宋体"/>
          <w:color w:val="auto"/>
          <w:sz w:val="22"/>
          <w:szCs w:val="22"/>
          <w:highlight w:val="none"/>
          <w:lang w:val="en-US" w:eastAsia="zh-CN"/>
        </w:rPr>
        <w:t>承担</w:t>
      </w:r>
      <w:r>
        <w:rPr>
          <w:rFonts w:hint="eastAsia" w:ascii="宋体" w:hAnsi="宋体" w:cs="宋体"/>
          <w:color w:val="auto"/>
          <w:sz w:val="22"/>
          <w:szCs w:val="22"/>
          <w:highlight w:val="none"/>
        </w:rPr>
        <w:t>甲方、乙方因此造成的全部损失</w:t>
      </w:r>
      <w:r>
        <w:rPr>
          <w:rFonts w:hint="eastAsia" w:ascii="宋体" w:hAnsi="宋体" w:cs="宋体"/>
          <w:color w:val="auto"/>
          <w:kern w:val="1"/>
          <w:sz w:val="22"/>
          <w:szCs w:val="22"/>
          <w:highlight w:val="none"/>
        </w:rPr>
        <w:t>。</w:t>
      </w:r>
    </w:p>
    <w:p w14:paraId="21CB63C1">
      <w:pPr>
        <w:spacing w:after="120" w:line="360" w:lineRule="auto"/>
        <w:ind w:firstLine="440" w:firstLineChars="200"/>
        <w:rPr>
          <w:rFonts w:hint="eastAsia" w:ascii="宋体" w:hAnsi="宋体" w:cs="宋体"/>
          <w:color w:val="auto"/>
          <w:kern w:val="1"/>
          <w:sz w:val="22"/>
          <w:szCs w:val="22"/>
          <w:highlight w:val="none"/>
          <w:lang w:val="en-US" w:eastAsia="zh-CN"/>
        </w:rPr>
      </w:pPr>
      <w:r>
        <w:rPr>
          <w:rFonts w:hint="eastAsia" w:ascii="宋体" w:hAnsi="宋体" w:cs="宋体"/>
          <w:color w:val="auto"/>
          <w:kern w:val="1"/>
          <w:sz w:val="22"/>
          <w:szCs w:val="22"/>
          <w:highlight w:val="none"/>
          <w:lang w:val="en-US" w:eastAsia="zh-CN"/>
        </w:rPr>
        <w:t>17.5 乙方在服务期内未按要求完成</w:t>
      </w:r>
      <w:r>
        <w:rPr>
          <w:rFonts w:hint="eastAsia" w:ascii="宋体" w:hAnsi="宋体" w:cs="宋体"/>
          <w:color w:val="auto"/>
          <w:kern w:val="1"/>
          <w:sz w:val="22"/>
          <w:szCs w:val="22"/>
          <w:highlight w:val="none"/>
        </w:rPr>
        <w:t>（详见采购文件第四部分《采购内容及技术要求》中的“</w:t>
      </w:r>
      <w:r>
        <w:rPr>
          <w:rFonts w:hint="eastAsia" w:ascii="宋体" w:hAnsi="宋体" w:cs="宋体"/>
          <w:b w:val="0"/>
          <w:bCs w:val="0"/>
          <w:color w:val="auto"/>
          <w:kern w:val="1"/>
          <w:sz w:val="22"/>
          <w:szCs w:val="22"/>
          <w:highlight w:val="none"/>
          <w:lang w:val="en-US" w:eastAsia="zh-CN"/>
        </w:rPr>
        <w:t>技术要求</w:t>
      </w:r>
      <w:r>
        <w:rPr>
          <w:rFonts w:hint="eastAsia" w:ascii="宋体" w:hAnsi="宋体" w:cs="宋体"/>
          <w:color w:val="auto"/>
          <w:kern w:val="1"/>
          <w:sz w:val="22"/>
          <w:szCs w:val="22"/>
          <w:highlight w:val="none"/>
        </w:rPr>
        <w:t>”）</w:t>
      </w:r>
      <w:r>
        <w:rPr>
          <w:rFonts w:hint="eastAsia" w:ascii="宋体" w:hAnsi="宋体" w:cs="宋体"/>
          <w:color w:val="auto"/>
          <w:kern w:val="1"/>
          <w:sz w:val="22"/>
          <w:szCs w:val="22"/>
          <w:highlight w:val="none"/>
          <w:lang w:val="en-US" w:eastAsia="zh-CN"/>
        </w:rPr>
        <w:t>每一项</w:t>
      </w:r>
      <w:r>
        <w:rPr>
          <w:rFonts w:hint="eastAsia" w:ascii="宋体" w:hAnsi="宋体" w:cs="宋体"/>
          <w:color w:val="auto"/>
          <w:kern w:val="1"/>
          <w:sz w:val="22"/>
          <w:szCs w:val="22"/>
          <w:highlight w:val="none"/>
          <w:lang w:eastAsia="zh-CN"/>
        </w:rPr>
        <w:t>，</w:t>
      </w:r>
      <w:r>
        <w:rPr>
          <w:rFonts w:hint="eastAsia" w:ascii="宋体" w:hAnsi="宋体" w:cs="宋体"/>
          <w:color w:val="auto"/>
          <w:kern w:val="1"/>
          <w:sz w:val="22"/>
          <w:szCs w:val="22"/>
          <w:highlight w:val="none"/>
          <w:lang w:val="en-US" w:eastAsia="zh-CN"/>
        </w:rPr>
        <w:t>应向甲方支付违约金2万元，未完成</w:t>
      </w:r>
      <w:r>
        <w:rPr>
          <w:rFonts w:hint="eastAsia" w:ascii="宋体" w:hAnsi="宋体" w:cs="宋体"/>
          <w:color w:val="auto"/>
          <w:sz w:val="22"/>
          <w:szCs w:val="22"/>
          <w:highlight w:val="none"/>
          <w:lang w:val="en-US" w:eastAsia="zh-CN"/>
        </w:rPr>
        <w:t>项内容造成项目无法实施的，</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应当按照</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的20%向甲方支付违约金，甲方有权即时解除合同，同时</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有权追究</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相应责任。</w:t>
      </w:r>
    </w:p>
    <w:p w14:paraId="78A60BBC">
      <w:pPr>
        <w:spacing w:after="120"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17.</w:t>
      </w:r>
      <w:r>
        <w:rPr>
          <w:rFonts w:hint="eastAsia" w:ascii="宋体" w:hAnsi="宋体" w:cs="宋体"/>
          <w:color w:val="auto"/>
          <w:kern w:val="1"/>
          <w:sz w:val="22"/>
          <w:szCs w:val="22"/>
          <w:highlight w:val="none"/>
          <w:lang w:val="en-US" w:eastAsia="zh-CN"/>
        </w:rPr>
        <w:t>6</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未经甲方同意擅自将项目拆解分包或转包，</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应当按照</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的20%向甲方支付违约金，甲方有权即时解除合同，同时</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有权追究</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相应责任。</w:t>
      </w:r>
    </w:p>
    <w:p w14:paraId="39B08281">
      <w:pPr>
        <w:pStyle w:val="16"/>
        <w:spacing w:line="360" w:lineRule="auto"/>
        <w:ind w:left="0" w:firstLine="444" w:firstLineChars="202"/>
        <w:rPr>
          <w:rFonts w:ascii="宋体" w:hAnsi="宋体" w:cs="宋体"/>
          <w:color w:val="auto"/>
          <w:kern w:val="1"/>
          <w:sz w:val="22"/>
          <w:szCs w:val="22"/>
          <w:highlight w:val="none"/>
        </w:rPr>
      </w:pPr>
      <w:r>
        <w:rPr>
          <w:rFonts w:ascii="宋体" w:hAnsi="宋体" w:cs="宋体"/>
          <w:color w:val="auto"/>
          <w:sz w:val="22"/>
          <w:szCs w:val="22"/>
          <w:highlight w:val="none"/>
        </w:rPr>
        <w:t>17.</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 xml:space="preserve"> </w:t>
      </w:r>
      <w:r>
        <w:rPr>
          <w:rFonts w:hint="eastAsia" w:ascii="宋体" w:hAnsi="宋体" w:cs="宋体"/>
          <w:color w:val="auto"/>
          <w:kern w:val="1"/>
          <w:sz w:val="22"/>
          <w:szCs w:val="22"/>
          <w:highlight w:val="none"/>
        </w:rPr>
        <w:t>未经甲方书面许可，</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不得将项目有关数据与资料提供给任何第三方。如发生信息泄密事件，考核得分清零。如造成严重后果及恶劣影响的，甲方有权解除合同，同时</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有权追究</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相应责任。</w:t>
      </w:r>
    </w:p>
    <w:p w14:paraId="31F5C6EC">
      <w:pPr>
        <w:pStyle w:val="16"/>
        <w:spacing w:line="360" w:lineRule="auto"/>
        <w:ind w:left="0" w:firstLine="444" w:firstLineChars="202"/>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17.</w:t>
      </w:r>
      <w:r>
        <w:rPr>
          <w:rFonts w:hint="eastAsia" w:ascii="宋体" w:hAnsi="宋体" w:cs="宋体"/>
          <w:color w:val="auto"/>
          <w:kern w:val="1"/>
          <w:sz w:val="22"/>
          <w:szCs w:val="22"/>
          <w:highlight w:val="none"/>
          <w:lang w:val="en-US" w:eastAsia="zh-CN"/>
        </w:rPr>
        <w:t>8</w:t>
      </w:r>
      <w:r>
        <w:rPr>
          <w:rFonts w:hint="eastAsia" w:ascii="宋体" w:hAnsi="宋体" w:cs="宋体"/>
          <w:color w:val="auto"/>
          <w:kern w:val="1"/>
          <w:sz w:val="22"/>
          <w:szCs w:val="22"/>
          <w:highlight w:val="none"/>
        </w:rPr>
        <w:t xml:space="preserve"> </w:t>
      </w:r>
      <w:r>
        <w:rPr>
          <w:rFonts w:hint="eastAsia" w:ascii="宋体" w:hAnsi="宋体" w:cs="宋体"/>
          <w:color w:val="auto"/>
          <w:kern w:val="1"/>
          <w:sz w:val="22"/>
          <w:szCs w:val="22"/>
          <w:highlight w:val="none"/>
          <w:lang w:val="en-US" w:eastAsia="zh-CN"/>
        </w:rPr>
        <w:t>服务期内因网络安全隐患被相关部门通报，乙方应在收到通知后24小时内完成整改，如整改超时或同一隐患2次以上（含2次）被通报，乙方应按照市级部门通报（1万元/次）、省级部门通报（2万元/次）向甲方支付违约金。</w:t>
      </w:r>
    </w:p>
    <w:p w14:paraId="78FDD851">
      <w:pPr>
        <w:pStyle w:val="16"/>
        <w:spacing w:line="360" w:lineRule="auto"/>
        <w:ind w:left="0" w:firstLine="444" w:firstLineChars="202"/>
        <w:rPr>
          <w:rFonts w:hint="eastAsia" w:ascii="宋体" w:hAnsi="宋体" w:cs="宋体"/>
          <w:color w:val="auto"/>
          <w:kern w:val="1"/>
          <w:sz w:val="22"/>
          <w:szCs w:val="22"/>
          <w:highlight w:val="none"/>
          <w:lang w:val="en-US" w:eastAsia="zh-CN"/>
        </w:rPr>
      </w:pPr>
      <w:r>
        <w:rPr>
          <w:rFonts w:hint="eastAsia" w:ascii="宋体" w:hAnsi="宋体" w:cs="宋体"/>
          <w:color w:val="auto"/>
          <w:kern w:val="1"/>
          <w:sz w:val="22"/>
          <w:szCs w:val="22"/>
          <w:highlight w:val="none"/>
          <w:lang w:val="en-US" w:eastAsia="zh-CN"/>
        </w:rPr>
        <w:t>17.9 如</w:t>
      </w:r>
      <w:r>
        <w:rPr>
          <w:rFonts w:hint="eastAsia" w:ascii="宋体" w:hAnsi="宋体" w:cs="宋体"/>
          <w:b w:val="0"/>
          <w:bCs w:val="0"/>
          <w:color w:val="auto"/>
          <w:sz w:val="22"/>
          <w:szCs w:val="22"/>
          <w:highlight w:val="none"/>
          <w:lang w:val="en-US" w:eastAsia="zh-CN"/>
        </w:rPr>
        <w:t>在</w:t>
      </w:r>
      <w:r>
        <w:rPr>
          <w:rFonts w:hint="eastAsia" w:ascii="宋体" w:hAnsi="宋体" w:cs="宋体"/>
          <w:b/>
          <w:bCs/>
          <w:color w:val="auto"/>
          <w:sz w:val="22"/>
          <w:szCs w:val="22"/>
          <w:highlight w:val="none"/>
          <w:lang w:val="en-US" w:eastAsia="zh-CN"/>
        </w:rPr>
        <w:t>9月25日前未取得信创实验室测评认证，</w:t>
      </w:r>
      <w:r>
        <w:rPr>
          <w:rFonts w:hint="eastAsia" w:ascii="宋体" w:hAnsi="宋体" w:cs="宋体"/>
          <w:b w:val="0"/>
          <w:bCs w:val="0"/>
          <w:color w:val="auto"/>
          <w:kern w:val="1"/>
          <w:sz w:val="22"/>
          <w:szCs w:val="22"/>
          <w:highlight w:val="none"/>
          <w:lang w:eastAsia="zh-CN"/>
        </w:rPr>
        <w:t>乙方</w:t>
      </w:r>
      <w:r>
        <w:rPr>
          <w:rFonts w:hint="eastAsia" w:ascii="宋体" w:hAnsi="宋体" w:cs="宋体"/>
          <w:b w:val="0"/>
          <w:bCs w:val="0"/>
          <w:color w:val="auto"/>
          <w:kern w:val="1"/>
          <w:sz w:val="22"/>
          <w:szCs w:val="22"/>
          <w:highlight w:val="none"/>
        </w:rPr>
        <w:t>应当按照</w:t>
      </w:r>
      <w:r>
        <w:rPr>
          <w:rFonts w:hint="eastAsia" w:ascii="宋体" w:hAnsi="宋体" w:cs="宋体"/>
          <w:b w:val="0"/>
          <w:bCs w:val="0"/>
          <w:color w:val="auto"/>
          <w:sz w:val="22"/>
          <w:szCs w:val="22"/>
          <w:highlight w:val="none"/>
          <w:lang w:val="en-US" w:eastAsia="zh-CN"/>
        </w:rPr>
        <w:t>延迟（1万元/天）的标准</w:t>
      </w:r>
      <w:r>
        <w:rPr>
          <w:rFonts w:hint="eastAsia" w:ascii="宋体" w:hAnsi="宋体" w:cs="宋体"/>
          <w:b w:val="0"/>
          <w:bCs w:val="0"/>
          <w:color w:val="auto"/>
          <w:kern w:val="1"/>
          <w:sz w:val="22"/>
          <w:szCs w:val="22"/>
          <w:highlight w:val="none"/>
        </w:rPr>
        <w:t>向甲方支付违约金</w:t>
      </w:r>
      <w:r>
        <w:rPr>
          <w:rFonts w:hint="eastAsia" w:ascii="宋体" w:hAnsi="宋体" w:eastAsia="宋体" w:cs="宋体"/>
          <w:b w:val="0"/>
          <w:bCs w:val="0"/>
          <w:color w:val="auto"/>
          <w:sz w:val="22"/>
          <w:szCs w:val="22"/>
          <w:highlight w:val="none"/>
        </w:rPr>
        <w:t>。</w:t>
      </w:r>
    </w:p>
    <w:p w14:paraId="77407629">
      <w:pPr>
        <w:pStyle w:val="16"/>
        <w:spacing w:line="360" w:lineRule="auto"/>
        <w:ind w:left="0" w:firstLine="444" w:firstLineChars="202"/>
        <w:rPr>
          <w:rFonts w:ascii="宋体" w:hAnsi="宋体" w:cs="宋体"/>
          <w:color w:val="auto"/>
          <w:kern w:val="1"/>
          <w:sz w:val="22"/>
          <w:szCs w:val="22"/>
          <w:highlight w:val="none"/>
        </w:rPr>
      </w:pPr>
      <w:r>
        <w:rPr>
          <w:rFonts w:hint="eastAsia" w:ascii="宋体" w:hAnsi="宋体" w:cs="宋体"/>
          <w:color w:val="auto"/>
          <w:kern w:val="1"/>
          <w:sz w:val="22"/>
          <w:szCs w:val="22"/>
          <w:highlight w:val="none"/>
          <w:lang w:val="en-US" w:eastAsia="zh-CN"/>
        </w:rPr>
        <w:t xml:space="preserve">17.10 </w:t>
      </w:r>
      <w:r>
        <w:rPr>
          <w:rFonts w:hint="eastAsia" w:ascii="宋体" w:hAnsi="宋体" w:cs="宋体"/>
          <w:color w:val="auto"/>
          <w:kern w:val="1"/>
          <w:sz w:val="22"/>
          <w:szCs w:val="22"/>
          <w:highlight w:val="none"/>
        </w:rPr>
        <w:t>服务期内如由于</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原因造成网络或数据安全事故，如造成严重后果及恶劣影响的，甲方有权解除合同，同时</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有权追究</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相应责任。</w:t>
      </w:r>
    </w:p>
    <w:p w14:paraId="5840078D">
      <w:pPr>
        <w:spacing w:after="120"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17.</w:t>
      </w:r>
      <w:r>
        <w:rPr>
          <w:rFonts w:hint="eastAsia" w:ascii="宋体" w:hAnsi="宋体" w:cs="宋体"/>
          <w:color w:val="auto"/>
          <w:kern w:val="1"/>
          <w:sz w:val="22"/>
          <w:szCs w:val="22"/>
          <w:highlight w:val="none"/>
          <w:lang w:val="en-US" w:eastAsia="zh-CN"/>
        </w:rPr>
        <w:t xml:space="preserve">11 </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针对</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履行合同中的任何确认、认可、要求、监督检查、审查、验收、建议等均不会减轻或免除</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按本合同应当履行的义务及违反合同义务所应承担的违约责任。</w:t>
      </w:r>
    </w:p>
    <w:p w14:paraId="6786F481">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18、争议解决</w:t>
      </w:r>
    </w:p>
    <w:p w14:paraId="150F24FC">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本协议或与协议有关的一切争议应通过</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协商解决。如果协商不能解决的，应向温州仲裁委员会申请仲裁。</w:t>
      </w:r>
    </w:p>
    <w:p w14:paraId="598EEE6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19、履约担保</w:t>
      </w:r>
    </w:p>
    <w:p w14:paraId="1D5EE675">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是否提供履约担保：</w:t>
      </w:r>
      <w:r>
        <w:rPr>
          <w:rFonts w:hint="eastAsia" w:ascii="宋体" w:hAnsi="宋体" w:cs="宋体"/>
          <w:color w:val="auto"/>
          <w:kern w:val="1"/>
          <w:sz w:val="22"/>
          <w:szCs w:val="22"/>
          <w:highlight w:val="none"/>
          <w:u w:val="single"/>
        </w:rPr>
        <w:t>是</w:t>
      </w:r>
      <w:r>
        <w:rPr>
          <w:rFonts w:hint="eastAsia" w:ascii="宋体" w:hAnsi="宋体" w:cs="宋体"/>
          <w:color w:val="auto"/>
          <w:kern w:val="1"/>
          <w:sz w:val="22"/>
          <w:szCs w:val="22"/>
          <w:highlight w:val="none"/>
        </w:rPr>
        <w:t>。</w:t>
      </w:r>
    </w:p>
    <w:p w14:paraId="53C9498F">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提供履约担保的形式、金额及期限：</w:t>
      </w:r>
      <w:r>
        <w:rPr>
          <w:rFonts w:hint="eastAsia" w:ascii="宋体" w:hAnsi="宋体" w:cs="宋体"/>
          <w:color w:val="auto"/>
          <w:kern w:val="1"/>
          <w:sz w:val="22"/>
          <w:szCs w:val="22"/>
          <w:highlight w:val="none"/>
          <w:u w:val="single"/>
        </w:rPr>
        <w:t xml:space="preserve">履约担保形式为 </w:t>
      </w:r>
      <w:r>
        <w:rPr>
          <w:rFonts w:hint="eastAsia" w:ascii="宋体" w:hAnsi="宋体" w:cs="宋体"/>
          <w:color w:val="auto"/>
          <w:kern w:val="1"/>
          <w:sz w:val="22"/>
          <w:szCs w:val="22"/>
          <w:highlight w:val="none"/>
          <w:u w:val="single"/>
          <w:lang w:val="en-US" w:eastAsia="zh-CN"/>
        </w:rPr>
        <w:t>履约保函</w:t>
      </w:r>
      <w:r>
        <w:rPr>
          <w:rFonts w:hint="eastAsia" w:ascii="宋体" w:hAnsi="宋体" w:cs="宋体"/>
          <w:color w:val="auto"/>
          <w:kern w:val="1"/>
          <w:sz w:val="22"/>
          <w:szCs w:val="22"/>
          <w:highlight w:val="none"/>
          <w:u w:val="single"/>
        </w:rPr>
        <w:t xml:space="preserve"> ，金额为</w:t>
      </w:r>
      <w:r>
        <w:rPr>
          <w:rFonts w:hint="eastAsia" w:ascii="宋体" w:hAnsi="宋体" w:cs="宋体"/>
          <w:color w:val="auto"/>
          <w:kern w:val="1"/>
          <w:sz w:val="22"/>
          <w:szCs w:val="22"/>
          <w:highlight w:val="none"/>
          <w:u w:val="single"/>
          <w:lang w:eastAsia="zh-CN"/>
        </w:rPr>
        <w:t>合同价</w:t>
      </w:r>
      <w:r>
        <w:rPr>
          <w:rFonts w:hint="eastAsia" w:ascii="宋体" w:hAnsi="宋体" w:cs="宋体"/>
          <w:color w:val="auto"/>
          <w:kern w:val="1"/>
          <w:sz w:val="22"/>
          <w:szCs w:val="22"/>
          <w:highlight w:val="none"/>
          <w:u w:val="single"/>
        </w:rPr>
        <w:t>的</w:t>
      </w:r>
      <w:r>
        <w:rPr>
          <w:rFonts w:hint="eastAsia" w:ascii="宋体" w:hAnsi="宋体" w:cs="宋体"/>
          <w:color w:val="auto"/>
          <w:kern w:val="1"/>
          <w:sz w:val="22"/>
          <w:szCs w:val="22"/>
          <w:highlight w:val="none"/>
          <w:u w:val="single"/>
          <w:lang w:val="en-US" w:eastAsia="zh-CN"/>
        </w:rPr>
        <w:t>5</w:t>
      </w:r>
      <w:r>
        <w:rPr>
          <w:rFonts w:hint="eastAsia" w:ascii="宋体" w:hAnsi="宋体" w:cs="宋体"/>
          <w:color w:val="auto"/>
          <w:kern w:val="1"/>
          <w:sz w:val="22"/>
          <w:szCs w:val="22"/>
          <w:highlight w:val="none"/>
          <w:u w:val="single"/>
        </w:rPr>
        <w:t>%</w:t>
      </w:r>
      <w:r>
        <w:rPr>
          <w:rFonts w:hint="eastAsia" w:ascii="宋体" w:hAnsi="宋体" w:cs="宋体"/>
          <w:color w:val="auto"/>
          <w:kern w:val="1"/>
          <w:sz w:val="22"/>
          <w:szCs w:val="22"/>
          <w:highlight w:val="none"/>
        </w:rPr>
        <w:t>（精确到元，小数点后四舍五入）</w:t>
      </w:r>
      <w:r>
        <w:rPr>
          <w:rFonts w:hint="eastAsia" w:ascii="宋体" w:hAnsi="宋体" w:cs="宋体"/>
          <w:color w:val="auto"/>
          <w:kern w:val="1"/>
          <w:sz w:val="22"/>
          <w:szCs w:val="22"/>
          <w:highlight w:val="none"/>
          <w:u w:val="single"/>
        </w:rPr>
        <w:t>，</w:t>
      </w:r>
      <w:r>
        <w:rPr>
          <w:rFonts w:hint="eastAsia" w:ascii="宋体" w:hAnsi="宋体" w:cs="宋体"/>
          <w:color w:val="auto"/>
          <w:kern w:val="1"/>
          <w:sz w:val="22"/>
          <w:szCs w:val="22"/>
          <w:highlight w:val="none"/>
          <w:u w:val="single"/>
          <w:lang w:eastAsia="zh-CN"/>
        </w:rPr>
        <w:t>乙方</w:t>
      </w:r>
      <w:r>
        <w:rPr>
          <w:rFonts w:hint="eastAsia" w:ascii="宋体" w:hAnsi="宋体" w:cs="宋体"/>
          <w:color w:val="auto"/>
          <w:kern w:val="1"/>
          <w:sz w:val="22"/>
          <w:szCs w:val="22"/>
          <w:highlight w:val="none"/>
          <w:u w:val="single"/>
        </w:rPr>
        <w:t>应在签订合同协议书之前向甲方提交履约担保，履约担保期限自出具之日起至</w:t>
      </w:r>
      <w:r>
        <w:rPr>
          <w:rFonts w:hint="eastAsia" w:ascii="宋体" w:hAnsi="宋体" w:cs="宋体"/>
          <w:color w:val="auto"/>
          <w:kern w:val="1"/>
          <w:sz w:val="22"/>
          <w:szCs w:val="22"/>
          <w:highlight w:val="none"/>
          <w:u w:val="single"/>
          <w:lang w:eastAsia="zh-CN"/>
        </w:rPr>
        <w:t>服务期满</w:t>
      </w:r>
      <w:r>
        <w:rPr>
          <w:rFonts w:hint="eastAsia" w:ascii="宋体" w:hAnsi="宋体" w:cs="宋体"/>
          <w:color w:val="auto"/>
          <w:kern w:val="1"/>
          <w:sz w:val="22"/>
          <w:szCs w:val="22"/>
          <w:highlight w:val="none"/>
          <w:u w:val="single"/>
        </w:rPr>
        <w:t>之日止一直有效。</w:t>
      </w:r>
      <w:r>
        <w:rPr>
          <w:rFonts w:hint="eastAsia" w:ascii="宋体" w:hAnsi="宋体" w:cs="宋体"/>
          <w:color w:val="auto"/>
          <w:kern w:val="1"/>
          <w:sz w:val="22"/>
          <w:szCs w:val="22"/>
          <w:highlight w:val="none"/>
          <w:u w:val="single"/>
          <w:lang w:eastAsia="zh-CN"/>
        </w:rPr>
        <w:t>乙方</w:t>
      </w:r>
      <w:r>
        <w:rPr>
          <w:rFonts w:hint="eastAsia" w:ascii="宋体" w:hAnsi="宋体" w:cs="宋体"/>
          <w:color w:val="auto"/>
          <w:kern w:val="1"/>
          <w:sz w:val="22"/>
          <w:szCs w:val="22"/>
          <w:highlight w:val="none"/>
          <w:u w:val="single"/>
        </w:rPr>
        <w:t>提供履约保函的，甲方应在</w:t>
      </w:r>
      <w:r>
        <w:rPr>
          <w:rFonts w:hint="eastAsia" w:ascii="宋体" w:hAnsi="宋体" w:cs="宋体"/>
          <w:color w:val="auto"/>
          <w:kern w:val="1"/>
          <w:sz w:val="22"/>
          <w:szCs w:val="22"/>
          <w:highlight w:val="none"/>
          <w:u w:val="single"/>
          <w:lang w:eastAsia="zh-CN"/>
        </w:rPr>
        <w:t>服务期满</w:t>
      </w:r>
      <w:r>
        <w:rPr>
          <w:rFonts w:hint="eastAsia" w:ascii="宋体" w:hAnsi="宋体" w:cs="宋体"/>
          <w:color w:val="auto"/>
          <w:kern w:val="1"/>
          <w:sz w:val="22"/>
          <w:szCs w:val="22"/>
          <w:highlight w:val="none"/>
          <w:u w:val="single"/>
        </w:rPr>
        <w:t>后30天内把履约保函退还给</w:t>
      </w:r>
      <w:r>
        <w:rPr>
          <w:rFonts w:hint="eastAsia" w:ascii="宋体" w:hAnsi="宋体" w:cs="宋体"/>
          <w:color w:val="auto"/>
          <w:kern w:val="1"/>
          <w:sz w:val="22"/>
          <w:szCs w:val="22"/>
          <w:highlight w:val="none"/>
          <w:u w:val="single"/>
          <w:lang w:eastAsia="zh-CN"/>
        </w:rPr>
        <w:t>乙方</w:t>
      </w:r>
      <w:r>
        <w:rPr>
          <w:rFonts w:hint="eastAsia" w:ascii="宋体" w:hAnsi="宋体" w:cs="宋体"/>
          <w:color w:val="auto"/>
          <w:kern w:val="1"/>
          <w:sz w:val="22"/>
          <w:szCs w:val="22"/>
          <w:highlight w:val="none"/>
          <w:u w:val="single"/>
        </w:rPr>
        <w:t>。如合同期间需办理履约保函续保手续的，因办理履约保函续保所产生的所有费用由</w:t>
      </w:r>
      <w:r>
        <w:rPr>
          <w:rFonts w:hint="eastAsia" w:ascii="宋体" w:hAnsi="宋体" w:cs="宋体"/>
          <w:color w:val="auto"/>
          <w:kern w:val="1"/>
          <w:sz w:val="22"/>
          <w:szCs w:val="22"/>
          <w:highlight w:val="none"/>
          <w:u w:val="single"/>
          <w:lang w:eastAsia="zh-CN"/>
        </w:rPr>
        <w:t>乙方</w:t>
      </w:r>
      <w:r>
        <w:rPr>
          <w:rFonts w:hint="eastAsia" w:ascii="宋体" w:hAnsi="宋体" w:cs="宋体"/>
          <w:color w:val="auto"/>
          <w:kern w:val="1"/>
          <w:sz w:val="22"/>
          <w:szCs w:val="22"/>
          <w:highlight w:val="none"/>
          <w:u w:val="single"/>
        </w:rPr>
        <w:t>承担；</w:t>
      </w:r>
      <w:r>
        <w:rPr>
          <w:rFonts w:hint="eastAsia" w:ascii="宋体" w:hAnsi="宋体" w:cs="宋体"/>
          <w:color w:val="auto"/>
          <w:kern w:val="1"/>
          <w:sz w:val="22"/>
          <w:szCs w:val="22"/>
          <w:highlight w:val="none"/>
          <w:u w:val="single"/>
          <w:lang w:eastAsia="zh-CN"/>
        </w:rPr>
        <w:t>乙方</w:t>
      </w:r>
      <w:r>
        <w:rPr>
          <w:rFonts w:hint="eastAsia" w:ascii="宋体" w:hAnsi="宋体" w:cs="宋体"/>
          <w:color w:val="auto"/>
          <w:kern w:val="1"/>
          <w:sz w:val="22"/>
          <w:szCs w:val="22"/>
          <w:highlight w:val="none"/>
          <w:u w:val="single"/>
        </w:rPr>
        <w:t>未予办理的，甲方有权直接在应付款项中扣留相应金额作为履约保证金</w:t>
      </w:r>
      <w:r>
        <w:rPr>
          <w:rFonts w:hint="eastAsia" w:ascii="宋体" w:hAnsi="宋体" w:cs="宋体"/>
          <w:color w:val="auto"/>
          <w:kern w:val="1"/>
          <w:sz w:val="22"/>
          <w:szCs w:val="22"/>
          <w:highlight w:val="none"/>
        </w:rPr>
        <w:t>。</w:t>
      </w:r>
    </w:p>
    <w:p w14:paraId="640BCE9E">
      <w:pPr>
        <w:pBdr>
          <w:top w:val="none" w:color="000000" w:sz="0" w:space="3"/>
          <w:left w:val="none" w:color="000000" w:sz="0" w:space="3"/>
          <w:bottom w:val="none" w:color="000000" w:sz="0" w:space="3"/>
          <w:right w:val="none" w:color="000000" w:sz="0" w:space="3"/>
          <w:between w:val="none" w:color="000000" w:sz="0" w:space="0"/>
        </w:pBdr>
        <w:spacing w:line="360" w:lineRule="auto"/>
        <w:ind w:firstLine="440" w:firstLineChars="200"/>
        <w:rPr>
          <w:rFonts w:hint="default" w:ascii="宋体" w:hAnsi="宋体" w:eastAsia="宋体" w:cs="宋体"/>
          <w:color w:val="auto"/>
          <w:kern w:val="1"/>
          <w:sz w:val="22"/>
          <w:szCs w:val="22"/>
          <w:highlight w:val="none"/>
          <w:lang w:val="en-US" w:eastAsia="zh-CN"/>
        </w:rPr>
      </w:pPr>
      <w:r>
        <w:rPr>
          <w:rFonts w:hint="eastAsia" w:ascii="宋体" w:hAnsi="宋体" w:cs="宋体"/>
          <w:color w:val="auto"/>
          <w:kern w:val="1"/>
          <w:sz w:val="22"/>
          <w:szCs w:val="22"/>
          <w:highlight w:val="none"/>
          <w:u w:val="single"/>
        </w:rPr>
        <w:t>扣除违约金、赔偿金后履约担保不足</w:t>
      </w:r>
      <w:r>
        <w:rPr>
          <w:rFonts w:hint="eastAsia" w:ascii="宋体" w:hAnsi="宋体" w:cs="宋体"/>
          <w:color w:val="auto"/>
          <w:kern w:val="1"/>
          <w:sz w:val="22"/>
          <w:szCs w:val="22"/>
          <w:highlight w:val="none"/>
          <w:u w:val="single"/>
          <w:lang w:eastAsia="zh-CN"/>
        </w:rPr>
        <w:t>合同价</w:t>
      </w:r>
      <w:r>
        <w:rPr>
          <w:rFonts w:hint="eastAsia" w:ascii="宋体" w:hAnsi="宋体" w:cs="宋体"/>
          <w:color w:val="auto"/>
          <w:kern w:val="1"/>
          <w:sz w:val="22"/>
          <w:szCs w:val="22"/>
          <w:highlight w:val="none"/>
          <w:u w:val="single"/>
        </w:rPr>
        <w:t>的</w:t>
      </w:r>
      <w:r>
        <w:rPr>
          <w:rFonts w:hint="eastAsia" w:ascii="宋体" w:hAnsi="宋体" w:cs="宋体"/>
          <w:color w:val="auto"/>
          <w:kern w:val="1"/>
          <w:sz w:val="22"/>
          <w:szCs w:val="22"/>
          <w:highlight w:val="none"/>
          <w:u w:val="single"/>
          <w:lang w:val="en-US" w:eastAsia="zh-CN"/>
        </w:rPr>
        <w:t>5</w:t>
      </w:r>
      <w:r>
        <w:rPr>
          <w:rFonts w:hint="eastAsia" w:ascii="宋体" w:hAnsi="宋体" w:cs="宋体"/>
          <w:color w:val="auto"/>
          <w:kern w:val="1"/>
          <w:sz w:val="22"/>
          <w:szCs w:val="22"/>
          <w:highlight w:val="none"/>
          <w:u w:val="single"/>
        </w:rPr>
        <w:t>%的，甲方有权要求乙方补足履约担保</w:t>
      </w:r>
      <w:r>
        <w:rPr>
          <w:rFonts w:hint="eastAsia" w:ascii="宋体" w:hAnsi="宋体" w:cs="宋体"/>
          <w:color w:val="auto"/>
          <w:kern w:val="1"/>
          <w:sz w:val="22"/>
          <w:szCs w:val="22"/>
          <w:highlight w:val="none"/>
          <w:u w:val="single"/>
          <w:lang w:val="en-US" w:eastAsia="zh-CN"/>
        </w:rPr>
        <w:t>。</w:t>
      </w:r>
      <w:r>
        <w:rPr>
          <w:rFonts w:hint="default" w:ascii="宋体" w:hAnsi="宋体" w:cs="宋体"/>
          <w:color w:val="auto"/>
          <w:kern w:val="1"/>
          <w:sz w:val="22"/>
          <w:szCs w:val="22"/>
          <w:highlight w:val="none"/>
          <w:lang w:val="en-US" w:eastAsia="zh-CN"/>
        </w:rPr>
        <w:t>如应付价款、履约</w:t>
      </w:r>
      <w:r>
        <w:rPr>
          <w:rFonts w:hint="eastAsia" w:ascii="宋体" w:hAnsi="宋体" w:cs="宋体"/>
          <w:color w:val="auto"/>
          <w:kern w:val="1"/>
          <w:sz w:val="22"/>
          <w:szCs w:val="22"/>
          <w:highlight w:val="none"/>
          <w:lang w:val="en-US" w:eastAsia="zh-CN"/>
        </w:rPr>
        <w:t>担保</w:t>
      </w:r>
      <w:r>
        <w:rPr>
          <w:rFonts w:hint="default" w:ascii="宋体" w:hAnsi="宋体" w:cs="宋体"/>
          <w:color w:val="auto"/>
          <w:kern w:val="1"/>
          <w:sz w:val="22"/>
          <w:szCs w:val="22"/>
          <w:highlight w:val="none"/>
          <w:lang w:val="en-US" w:eastAsia="zh-CN"/>
        </w:rPr>
        <w:t>不足以弥补</w:t>
      </w:r>
      <w:r>
        <w:rPr>
          <w:rFonts w:hint="eastAsia" w:ascii="宋体" w:hAnsi="宋体" w:cs="宋体"/>
          <w:color w:val="auto"/>
          <w:kern w:val="1"/>
          <w:sz w:val="22"/>
          <w:szCs w:val="22"/>
          <w:highlight w:val="none"/>
          <w:lang w:val="en-US" w:eastAsia="zh-CN"/>
        </w:rPr>
        <w:t>甲</w:t>
      </w:r>
      <w:r>
        <w:rPr>
          <w:rFonts w:hint="default" w:ascii="宋体" w:hAnsi="宋体" w:cs="宋体"/>
          <w:color w:val="auto"/>
          <w:kern w:val="1"/>
          <w:sz w:val="22"/>
          <w:szCs w:val="22"/>
          <w:highlight w:val="none"/>
          <w:lang w:val="en-US" w:eastAsia="zh-CN"/>
        </w:rPr>
        <w:t>方损失的，</w:t>
      </w:r>
      <w:r>
        <w:rPr>
          <w:rFonts w:hint="eastAsia" w:ascii="宋体" w:hAnsi="宋体" w:cs="宋体"/>
          <w:color w:val="auto"/>
          <w:kern w:val="1"/>
          <w:sz w:val="22"/>
          <w:szCs w:val="22"/>
          <w:highlight w:val="none"/>
          <w:lang w:val="en-US" w:eastAsia="zh-CN"/>
        </w:rPr>
        <w:t>甲</w:t>
      </w:r>
      <w:r>
        <w:rPr>
          <w:rFonts w:hint="default" w:ascii="宋体" w:hAnsi="宋体" w:cs="宋体"/>
          <w:color w:val="auto"/>
          <w:kern w:val="1"/>
          <w:sz w:val="22"/>
          <w:szCs w:val="22"/>
          <w:highlight w:val="none"/>
          <w:lang w:val="en-US" w:eastAsia="zh-CN"/>
        </w:rPr>
        <w:t>方有权向</w:t>
      </w:r>
      <w:r>
        <w:rPr>
          <w:rFonts w:hint="eastAsia" w:ascii="宋体" w:hAnsi="宋体" w:cs="宋体"/>
          <w:color w:val="auto"/>
          <w:kern w:val="1"/>
          <w:sz w:val="22"/>
          <w:szCs w:val="22"/>
          <w:highlight w:val="none"/>
          <w:lang w:val="en-US" w:eastAsia="zh-CN"/>
        </w:rPr>
        <w:t>乙</w:t>
      </w:r>
      <w:r>
        <w:rPr>
          <w:rFonts w:hint="default" w:ascii="宋体" w:hAnsi="宋体" w:cs="宋体"/>
          <w:color w:val="auto"/>
          <w:kern w:val="1"/>
          <w:sz w:val="22"/>
          <w:szCs w:val="22"/>
          <w:highlight w:val="none"/>
          <w:lang w:val="en-US" w:eastAsia="zh-CN"/>
        </w:rPr>
        <w:t>方继续追偿。</w:t>
      </w:r>
    </w:p>
    <w:p w14:paraId="48D744F9">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20、税费</w:t>
      </w:r>
    </w:p>
    <w:p w14:paraId="44D119F8">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20.1中国政府根据现行税法对</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征收的与本合同有关的一切税费均应由</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负担。</w:t>
      </w:r>
    </w:p>
    <w:p w14:paraId="2994ABE4">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20.2中国政府根据现行税法规定对</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或其雇员征收的与本合同有关的一切税费均由</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负担，并已包含在</w:t>
      </w:r>
      <w:r>
        <w:rPr>
          <w:rFonts w:hint="eastAsia" w:ascii="宋体" w:hAnsi="宋体" w:cs="宋体"/>
          <w:color w:val="auto"/>
          <w:kern w:val="1"/>
          <w:sz w:val="22"/>
          <w:szCs w:val="22"/>
          <w:highlight w:val="none"/>
          <w:lang w:eastAsia="zh-CN"/>
        </w:rPr>
        <w:t>合同价</w:t>
      </w:r>
      <w:r>
        <w:rPr>
          <w:rFonts w:hint="eastAsia" w:ascii="宋体" w:hAnsi="宋体" w:cs="宋体"/>
          <w:color w:val="auto"/>
          <w:kern w:val="1"/>
          <w:sz w:val="22"/>
          <w:szCs w:val="22"/>
          <w:highlight w:val="none"/>
        </w:rPr>
        <w:t>中。</w:t>
      </w:r>
    </w:p>
    <w:p w14:paraId="751AB6BF">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21、其他</w:t>
      </w:r>
    </w:p>
    <w:p w14:paraId="593ED10E">
      <w:pPr>
        <w:pBdr>
          <w:top w:val="none" w:color="000000" w:sz="0" w:space="0"/>
          <w:left w:val="none" w:color="000000" w:sz="0" w:space="0"/>
          <w:bottom w:val="none" w:color="000000" w:sz="0" w:space="0"/>
          <w:right w:val="none" w:color="000000" w:sz="0" w:space="0"/>
          <w:between w:val="none" w:color="000000" w:sz="0" w:space="0"/>
        </w:pBd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21.1本协议经</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法定代表人或法人授权代表签字并盖章后生效。</w:t>
      </w:r>
    </w:p>
    <w:p w14:paraId="06964FEA">
      <w:pPr>
        <w:pBdr>
          <w:top w:val="none" w:color="000000" w:sz="0" w:space="0"/>
          <w:left w:val="none" w:color="000000" w:sz="0" w:space="0"/>
          <w:bottom w:val="none" w:color="000000" w:sz="0" w:space="0"/>
          <w:right w:val="none" w:color="000000" w:sz="0" w:space="0"/>
          <w:between w:val="none" w:color="000000" w:sz="0" w:space="0"/>
        </w:pBdr>
        <w:spacing w:line="360" w:lineRule="auto"/>
        <w:ind w:firstLine="420"/>
        <w:rPr>
          <w:rFonts w:ascii="宋体" w:hAnsi="宋体" w:cs="宋体"/>
          <w:color w:val="auto"/>
          <w:kern w:val="1"/>
          <w:sz w:val="22"/>
          <w:szCs w:val="22"/>
          <w:highlight w:val="none"/>
        </w:rPr>
      </w:pPr>
      <w:r>
        <w:rPr>
          <w:rFonts w:hint="eastAsia" w:ascii="宋体" w:hAnsi="宋体" w:cs="宋体"/>
          <w:color w:val="auto"/>
          <w:kern w:val="1"/>
          <w:sz w:val="22"/>
          <w:szCs w:val="22"/>
          <w:highlight w:val="none"/>
        </w:rPr>
        <w:t>21.2本协议的规定如与国家颁布的新的法律或规定相矛盾，以国家法律规定为准，</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由此所受到的损失由</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各自承担。</w:t>
      </w:r>
    </w:p>
    <w:p w14:paraId="7BAA7627">
      <w:pPr>
        <w:rPr>
          <w:rFonts w:ascii="宋体" w:hAnsi="宋体" w:cs="宋体"/>
          <w:bCs/>
          <w:color w:val="auto"/>
          <w:kern w:val="0"/>
          <w:sz w:val="28"/>
          <w:szCs w:val="28"/>
          <w:highlight w:val="none"/>
        </w:rPr>
      </w:pPr>
      <w:r>
        <w:rPr>
          <w:rFonts w:hint="eastAsia" w:ascii="宋体" w:hAnsi="宋体" w:cs="宋体"/>
          <w:bCs/>
          <w:color w:val="auto"/>
          <w:kern w:val="0"/>
          <w:sz w:val="22"/>
          <w:szCs w:val="22"/>
          <w:highlight w:val="none"/>
        </w:rPr>
        <w:br w:type="page"/>
      </w:r>
      <w:bookmarkStart w:id="214" w:name="_Toc2699"/>
      <w:bookmarkStart w:id="215" w:name="_Toc20129"/>
      <w:bookmarkStart w:id="216" w:name="_Toc19552"/>
      <w:bookmarkStart w:id="217" w:name="_Toc642"/>
      <w:bookmarkStart w:id="218" w:name="_Toc4657"/>
      <w:bookmarkStart w:id="219" w:name="_Toc15955"/>
      <w:bookmarkStart w:id="220" w:name="_Toc142923328"/>
      <w:bookmarkStart w:id="221" w:name="_Toc7767"/>
      <w:r>
        <w:rPr>
          <w:rFonts w:hint="eastAsia" w:ascii="宋体" w:hAnsi="宋体" w:cs="宋体"/>
          <w:b/>
          <w:bCs w:val="0"/>
          <w:color w:val="auto"/>
          <w:kern w:val="0"/>
          <w:sz w:val="24"/>
          <w:szCs w:val="24"/>
          <w:highlight w:val="none"/>
        </w:rPr>
        <w:t>附录一：国企采购项目廉政责任书</w:t>
      </w:r>
      <w:bookmarkEnd w:id="214"/>
      <w:bookmarkEnd w:id="215"/>
      <w:bookmarkEnd w:id="216"/>
      <w:bookmarkEnd w:id="217"/>
      <w:bookmarkEnd w:id="218"/>
      <w:bookmarkEnd w:id="219"/>
      <w:bookmarkEnd w:id="220"/>
      <w:bookmarkEnd w:id="221"/>
    </w:p>
    <w:p w14:paraId="21E517BC">
      <w:pPr>
        <w:pBdr>
          <w:top w:val="none" w:color="000000" w:sz="0" w:space="0"/>
          <w:left w:val="none" w:color="000000" w:sz="0" w:space="0"/>
          <w:bottom w:val="none" w:color="000000" w:sz="0" w:space="0"/>
          <w:right w:val="none" w:color="000000" w:sz="0" w:space="0"/>
          <w:between w:val="none" w:color="000000" w:sz="0" w:space="0"/>
        </w:pBdr>
        <w:autoSpaceDE w:val="0"/>
        <w:autoSpaceDN w:val="0"/>
        <w:adjustRightInd w:val="0"/>
        <w:jc w:val="center"/>
        <w:rPr>
          <w:rFonts w:ascii="宋体" w:hAnsi="宋体" w:cs="宋体"/>
          <w:b/>
          <w:bCs/>
          <w:color w:val="auto"/>
          <w:kern w:val="0"/>
          <w:sz w:val="28"/>
          <w:szCs w:val="28"/>
          <w:highlight w:val="none"/>
        </w:rPr>
      </w:pPr>
      <w:bookmarkStart w:id="222" w:name="_Toc11133_WPSOffice_Level2"/>
      <w:r>
        <w:rPr>
          <w:rFonts w:hint="eastAsia" w:ascii="宋体" w:hAnsi="宋体" w:cs="宋体"/>
          <w:b/>
          <w:bCs/>
          <w:color w:val="auto"/>
          <w:kern w:val="0"/>
          <w:sz w:val="28"/>
          <w:szCs w:val="28"/>
          <w:highlight w:val="none"/>
        </w:rPr>
        <w:t>国企采购项目廉政责任书</w:t>
      </w:r>
      <w:bookmarkEnd w:id="222"/>
    </w:p>
    <w:p w14:paraId="14C8EF60">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采购项目名称：</w:t>
      </w:r>
      <w:r>
        <w:rPr>
          <w:rFonts w:hint="eastAsia" w:ascii="宋体" w:hAnsi="宋体" w:cs="宋体"/>
          <w:color w:val="auto"/>
          <w:kern w:val="1"/>
          <w:sz w:val="22"/>
          <w:szCs w:val="22"/>
          <w:highlight w:val="none"/>
          <w:lang w:eastAsia="zh-CN"/>
        </w:rPr>
        <w:t>温州市交发集团OA系统信创改造</w:t>
      </w:r>
      <w:r>
        <w:rPr>
          <w:rFonts w:hint="eastAsia" w:ascii="宋体" w:hAnsi="宋体" w:cs="宋体"/>
          <w:color w:val="auto"/>
          <w:kern w:val="1"/>
          <w:sz w:val="22"/>
          <w:szCs w:val="22"/>
          <w:highlight w:val="none"/>
        </w:rPr>
        <w:t xml:space="preserve">  </w:t>
      </w:r>
    </w:p>
    <w:p w14:paraId="4642250C">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hint="eastAsia" w:ascii="宋体" w:hAnsi="宋体" w:eastAsia="宋体" w:cs="宋体"/>
          <w:color w:val="auto"/>
          <w:kern w:val="1"/>
          <w:sz w:val="22"/>
          <w:szCs w:val="22"/>
          <w:highlight w:val="none"/>
          <w:lang w:eastAsia="zh-CN"/>
        </w:rPr>
      </w:pPr>
      <w:r>
        <w:rPr>
          <w:rFonts w:hint="eastAsia" w:ascii="宋体" w:hAnsi="宋体" w:cs="宋体"/>
          <w:color w:val="auto"/>
          <w:kern w:val="1"/>
          <w:sz w:val="22"/>
          <w:szCs w:val="22"/>
          <w:highlight w:val="none"/>
        </w:rPr>
        <w:t>甲方：</w:t>
      </w:r>
      <w:r>
        <w:rPr>
          <w:rFonts w:hint="eastAsia" w:ascii="宋体" w:hAnsi="宋体" w:cs="宋体"/>
          <w:color w:val="auto"/>
          <w:kern w:val="1"/>
          <w:sz w:val="22"/>
          <w:szCs w:val="22"/>
          <w:highlight w:val="none"/>
          <w:lang w:eastAsia="zh-CN"/>
        </w:rPr>
        <w:t>温州市交通发展集团有限公司</w:t>
      </w:r>
    </w:p>
    <w:p w14:paraId="48F90EE3">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乙方：                                      </w:t>
      </w:r>
    </w:p>
    <w:p w14:paraId="27BB6617">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为加强采购活动中的廉政建设，规范采购项目供需</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的各项活动，防止发生各种谋取不正当利益的违法违纪行为，保护国家、集体和当事人的合法权益，根据国家有关采购的法律法规和廉政建设责任制规定，特订立本廉政责任书。</w:t>
      </w:r>
    </w:p>
    <w:p w14:paraId="2E90E407">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cs="宋体"/>
          <w:b/>
          <w:bCs/>
          <w:color w:val="auto"/>
          <w:kern w:val="1"/>
          <w:sz w:val="22"/>
          <w:szCs w:val="22"/>
          <w:highlight w:val="none"/>
        </w:rPr>
      </w:pPr>
      <w:r>
        <w:rPr>
          <w:rFonts w:hint="eastAsia" w:ascii="宋体" w:hAnsi="宋体" w:cs="宋体"/>
          <w:color w:val="auto"/>
          <w:kern w:val="1"/>
          <w:sz w:val="22"/>
          <w:szCs w:val="22"/>
          <w:highlight w:val="none"/>
        </w:rPr>
        <w:t xml:space="preserve">    </w:t>
      </w:r>
      <w:r>
        <w:rPr>
          <w:rFonts w:hint="eastAsia" w:ascii="宋体" w:hAnsi="宋体" w:cs="宋体"/>
          <w:b/>
          <w:bCs/>
          <w:color w:val="auto"/>
          <w:kern w:val="1"/>
          <w:sz w:val="22"/>
          <w:szCs w:val="22"/>
          <w:highlight w:val="none"/>
        </w:rPr>
        <w:t xml:space="preserve">第一条  </w:t>
      </w:r>
      <w:r>
        <w:rPr>
          <w:rFonts w:hint="eastAsia" w:ascii="宋体" w:hAnsi="宋体" w:cs="宋体"/>
          <w:b/>
          <w:bCs/>
          <w:color w:val="auto"/>
          <w:kern w:val="1"/>
          <w:sz w:val="22"/>
          <w:szCs w:val="22"/>
          <w:highlight w:val="none"/>
          <w:lang w:eastAsia="zh-CN"/>
        </w:rPr>
        <w:t>甲、乙双方</w:t>
      </w:r>
      <w:r>
        <w:rPr>
          <w:rFonts w:hint="eastAsia" w:ascii="宋体" w:hAnsi="宋体" w:cs="宋体"/>
          <w:b/>
          <w:bCs/>
          <w:color w:val="auto"/>
          <w:kern w:val="1"/>
          <w:sz w:val="22"/>
          <w:szCs w:val="22"/>
          <w:highlight w:val="none"/>
        </w:rPr>
        <w:t>的责任</w:t>
      </w:r>
    </w:p>
    <w:p w14:paraId="16CC1CB5">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(一)应严格遵守国家关于市场准入、项目招标投标、工程建设、施工安装和市场活动等有关法律、法规，相关政策，以及廉政建设的各项规定。 </w:t>
      </w:r>
    </w:p>
    <w:p w14:paraId="4253FE24">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(二)严格执行采购项目合同文件，自觉按合同办事。</w:t>
      </w:r>
    </w:p>
    <w:p w14:paraId="7298FD58">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(三)业务活动必须坚持公开、公平、公正、诚信、透明的原则（除法律法规另有规定者外），不得为获取不正当的利益，损害国家、集体和对方利益，不得违反采购活动、供货安装的规章制度。</w:t>
      </w:r>
    </w:p>
    <w:p w14:paraId="32D94293">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(四)发现对方在业务活动中有违规、违纪、违法行为的，应及时提醒对方，情节严重的，应向其上级主管部门或纪检监察、司法等有关机关举报。</w:t>
      </w:r>
    </w:p>
    <w:p w14:paraId="5F9FFF4E">
      <w:pPr>
        <w:pBdr>
          <w:top w:val="none" w:color="000000" w:sz="0" w:space="0"/>
          <w:left w:val="none" w:color="000000" w:sz="0" w:space="0"/>
          <w:bottom w:val="none" w:color="000000" w:sz="0" w:space="0"/>
          <w:right w:val="none" w:color="000000" w:sz="0" w:space="0"/>
          <w:between w:val="none" w:color="000000" w:sz="0" w:space="0"/>
        </w:pBdr>
        <w:spacing w:line="360" w:lineRule="auto"/>
        <w:ind w:firstLine="435"/>
        <w:rPr>
          <w:rFonts w:ascii="宋体" w:hAnsi="宋体" w:cs="宋体"/>
          <w:b/>
          <w:bCs/>
          <w:color w:val="auto"/>
          <w:kern w:val="1"/>
          <w:sz w:val="22"/>
          <w:szCs w:val="22"/>
          <w:highlight w:val="none"/>
        </w:rPr>
      </w:pPr>
      <w:r>
        <w:rPr>
          <w:rFonts w:hint="eastAsia" w:ascii="宋体" w:hAnsi="宋体" w:cs="宋体"/>
          <w:b/>
          <w:bCs/>
          <w:color w:val="auto"/>
          <w:kern w:val="1"/>
          <w:sz w:val="22"/>
          <w:szCs w:val="22"/>
          <w:highlight w:val="none"/>
        </w:rPr>
        <w:t xml:space="preserve">第二条  </w:t>
      </w:r>
      <w:r>
        <w:rPr>
          <w:rFonts w:hint="eastAsia" w:ascii="宋体" w:hAnsi="宋体" w:cs="宋体"/>
          <w:b/>
          <w:bCs/>
          <w:color w:val="auto"/>
          <w:kern w:val="1"/>
          <w:sz w:val="22"/>
          <w:szCs w:val="22"/>
          <w:highlight w:val="none"/>
          <w:lang w:eastAsia="zh-CN"/>
        </w:rPr>
        <w:t>甲方</w:t>
      </w:r>
      <w:r>
        <w:rPr>
          <w:rFonts w:hint="eastAsia" w:ascii="宋体" w:hAnsi="宋体" w:cs="宋体"/>
          <w:b/>
          <w:bCs/>
          <w:color w:val="auto"/>
          <w:kern w:val="1"/>
          <w:sz w:val="22"/>
          <w:szCs w:val="22"/>
          <w:highlight w:val="none"/>
        </w:rPr>
        <w:t>的责任</w:t>
      </w:r>
    </w:p>
    <w:p w14:paraId="177BBC7A">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的领导和从事该采购项目的工作人员，在采购活动的事前、事中、事后应遵守以下规定：</w:t>
      </w:r>
    </w:p>
    <w:p w14:paraId="62B32CB3">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(一)不准向</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和相关单位索要或接受回扣、礼金、有价证券、贵重物品和好处费、感谢费等。</w:t>
      </w:r>
    </w:p>
    <w:p w14:paraId="6284EE33">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(二)不准在</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和相关单位报销任何应由</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或个人支付的费用。</w:t>
      </w:r>
    </w:p>
    <w:p w14:paraId="46AFBBA3">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(三)不准要求、暗示和接受</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和相关单位为个人装修住房、婚丧嫁娶、配偶子女的工作安排以及出国（境）、旅游等提供方便。</w:t>
      </w:r>
    </w:p>
    <w:p w14:paraId="79F63D09">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(四)不准参加有可能影响公正执行公务的</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和相关单位的宴请和健身、娱乐等活动。</w:t>
      </w:r>
    </w:p>
    <w:p w14:paraId="1B3945B9">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(五)不准向</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介绍或为配偶、子女、亲属参与同</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采购项目供货合同有关的设备、材料、分包、劳务等经济活动。不得以任何理由向</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和相关单位推荐分包单位和要求</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购买采购项目合同规定以外的材料、设备、服务等。</w:t>
      </w:r>
    </w:p>
    <w:p w14:paraId="79EE07AC">
      <w:pPr>
        <w:pBdr>
          <w:top w:val="none" w:color="000000" w:sz="0" w:space="0"/>
          <w:left w:val="none" w:color="000000" w:sz="0" w:space="0"/>
          <w:bottom w:val="none" w:color="000000" w:sz="0" w:space="0"/>
          <w:right w:val="none" w:color="000000" w:sz="0" w:space="0"/>
          <w:between w:val="none" w:color="000000" w:sz="0" w:space="0"/>
        </w:pBdr>
        <w:spacing w:line="360" w:lineRule="auto"/>
        <w:ind w:firstLine="435"/>
        <w:rPr>
          <w:rFonts w:ascii="宋体" w:hAnsi="宋体" w:cs="宋体"/>
          <w:b/>
          <w:bCs/>
          <w:color w:val="auto"/>
          <w:kern w:val="1"/>
          <w:sz w:val="22"/>
          <w:szCs w:val="22"/>
          <w:highlight w:val="none"/>
        </w:rPr>
      </w:pPr>
      <w:r>
        <w:rPr>
          <w:rFonts w:hint="eastAsia" w:ascii="宋体" w:hAnsi="宋体" w:cs="宋体"/>
          <w:b/>
          <w:bCs/>
          <w:color w:val="auto"/>
          <w:kern w:val="1"/>
          <w:sz w:val="22"/>
          <w:szCs w:val="22"/>
          <w:highlight w:val="none"/>
        </w:rPr>
        <w:t xml:space="preserve">第三条  </w:t>
      </w:r>
      <w:r>
        <w:rPr>
          <w:rFonts w:hint="eastAsia" w:ascii="宋体" w:hAnsi="宋体" w:cs="宋体"/>
          <w:b/>
          <w:bCs/>
          <w:color w:val="auto"/>
          <w:kern w:val="1"/>
          <w:sz w:val="22"/>
          <w:szCs w:val="22"/>
          <w:highlight w:val="none"/>
          <w:lang w:eastAsia="zh-CN"/>
        </w:rPr>
        <w:t>乙方</w:t>
      </w:r>
      <w:r>
        <w:rPr>
          <w:rFonts w:hint="eastAsia" w:ascii="宋体" w:hAnsi="宋体" w:cs="宋体"/>
          <w:b/>
          <w:bCs/>
          <w:color w:val="auto"/>
          <w:kern w:val="1"/>
          <w:sz w:val="22"/>
          <w:szCs w:val="22"/>
          <w:highlight w:val="none"/>
        </w:rPr>
        <w:t>的责任</w:t>
      </w:r>
    </w:p>
    <w:p w14:paraId="12F080CA">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应与</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保持正常的业务交往，按照有关法律法规和程序开展业务工作，严格执行采购活动的有关方针、政策，尤其是有关国企采购活动的强制性标准和规范，并遵守以下规定：</w:t>
      </w:r>
    </w:p>
    <w:p w14:paraId="26341109">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(一)不准以任何理由向</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、相关单位及其工作人员索要、接受或赠送礼金，有价证券贵重物品和回扣、好处费、感谢费等。</w:t>
      </w:r>
    </w:p>
    <w:p w14:paraId="3FCDF833">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(二)不准以任何理由为</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和相关单位报销应由对方或个人支付的费用。</w:t>
      </w:r>
    </w:p>
    <w:p w14:paraId="586CEA39">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(三)不准接受或暗示为</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、相关单位或个人装修住房、婚丧嫁娶、配偶子女的工作安排以及出国（境）、旅游等提供方便。</w:t>
      </w:r>
    </w:p>
    <w:p w14:paraId="22319238">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(四)不准以及任何理由为</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、相关单位或个人组织有可能影响公正执行公务的宴请、健身、娱乐等活动。</w:t>
      </w:r>
    </w:p>
    <w:p w14:paraId="4ECBB2E9">
      <w:pPr>
        <w:pBdr>
          <w:top w:val="none" w:color="000000" w:sz="0" w:space="0"/>
          <w:left w:val="none" w:color="000000" w:sz="0" w:space="0"/>
          <w:bottom w:val="none" w:color="000000" w:sz="0" w:space="0"/>
          <w:right w:val="none" w:color="000000" w:sz="0" w:space="0"/>
          <w:between w:val="none" w:color="000000" w:sz="0" w:space="0"/>
        </w:pBdr>
        <w:spacing w:line="360" w:lineRule="auto"/>
        <w:ind w:left="497" w:leftChars="207" w:firstLine="108" w:firstLineChars="49"/>
        <w:rPr>
          <w:rFonts w:ascii="宋体" w:hAnsi="宋体" w:cs="宋体"/>
          <w:b/>
          <w:bCs/>
          <w:color w:val="auto"/>
          <w:kern w:val="1"/>
          <w:sz w:val="22"/>
          <w:szCs w:val="22"/>
          <w:highlight w:val="none"/>
        </w:rPr>
      </w:pPr>
      <w:r>
        <w:rPr>
          <w:rFonts w:hint="eastAsia" w:ascii="宋体" w:hAnsi="宋体" w:cs="宋体"/>
          <w:b/>
          <w:bCs/>
          <w:color w:val="auto"/>
          <w:kern w:val="1"/>
          <w:sz w:val="22"/>
          <w:szCs w:val="22"/>
          <w:highlight w:val="none"/>
        </w:rPr>
        <w:t>第四条  违约责任</w:t>
      </w:r>
    </w:p>
    <w:p w14:paraId="0939A133">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(一)</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工作人员有违反本责任书第一、二条责任行为的，按照管理权限，依据有关法律法规和规定给予党纪、政纪处分或组织处理；涉嫌犯罪的，移交司法机关追究刑事责任；给</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单位造成经济损失的，应予以赔偿。</w:t>
      </w:r>
    </w:p>
    <w:p w14:paraId="7BD3FC28">
      <w:pPr>
        <w:pBdr>
          <w:top w:val="none" w:color="000000" w:sz="0" w:space="0"/>
          <w:left w:val="none" w:color="000000" w:sz="0" w:space="0"/>
          <w:bottom w:val="none" w:color="000000" w:sz="0" w:space="0"/>
          <w:right w:val="none" w:color="000000" w:sz="0" w:space="0"/>
          <w:between w:val="none" w:color="000000" w:sz="0" w:space="0"/>
        </w:pBdr>
        <w:adjustRightInd w:val="0"/>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(二)</w:t>
      </w: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工作人员有违反本责任书第一、三条责任行为的，按照管理权限，依据有关法律法规和规定给予党纪、政纪处分或组织处理；涉嫌犯罪的，移交司法机关追究刑事责任；给</w:t>
      </w:r>
      <w:r>
        <w:rPr>
          <w:rFonts w:hint="eastAsia" w:ascii="宋体" w:hAnsi="宋体" w:cs="宋体"/>
          <w:color w:val="auto"/>
          <w:kern w:val="1"/>
          <w:sz w:val="22"/>
          <w:szCs w:val="22"/>
          <w:highlight w:val="none"/>
          <w:lang w:eastAsia="zh-CN"/>
        </w:rPr>
        <w:t>甲方</w:t>
      </w:r>
      <w:r>
        <w:rPr>
          <w:rFonts w:hint="eastAsia" w:ascii="宋体" w:hAnsi="宋体" w:cs="宋体"/>
          <w:color w:val="auto"/>
          <w:kern w:val="1"/>
          <w:sz w:val="22"/>
          <w:szCs w:val="22"/>
          <w:highlight w:val="none"/>
        </w:rPr>
        <w:t>单位造成经济损失的，应予以赔偿。</w:t>
      </w:r>
    </w:p>
    <w:p w14:paraId="3986EA9C">
      <w:pPr>
        <w:pBdr>
          <w:top w:val="none" w:color="000000" w:sz="0" w:space="0"/>
          <w:left w:val="none" w:color="000000" w:sz="0" w:space="0"/>
          <w:bottom w:val="none" w:color="000000" w:sz="0" w:space="0"/>
          <w:right w:val="none" w:color="000000" w:sz="0" w:space="0"/>
          <w:between w:val="none" w:color="000000" w:sz="0" w:space="0"/>
        </w:pBdr>
        <w:spacing w:line="360" w:lineRule="auto"/>
        <w:ind w:firstLine="433" w:firstLineChars="196"/>
        <w:rPr>
          <w:rFonts w:ascii="宋体" w:hAnsi="宋体" w:cs="宋体"/>
          <w:color w:val="auto"/>
          <w:kern w:val="1"/>
          <w:sz w:val="22"/>
          <w:szCs w:val="22"/>
          <w:highlight w:val="none"/>
        </w:rPr>
      </w:pPr>
      <w:r>
        <w:rPr>
          <w:rFonts w:hint="eastAsia" w:ascii="宋体" w:hAnsi="宋体" w:cs="宋体"/>
          <w:b/>
          <w:bCs/>
          <w:color w:val="auto"/>
          <w:kern w:val="1"/>
          <w:sz w:val="22"/>
          <w:szCs w:val="22"/>
          <w:highlight w:val="none"/>
        </w:rPr>
        <w:t xml:space="preserve">第五条 </w:t>
      </w:r>
      <w:r>
        <w:rPr>
          <w:rFonts w:hint="eastAsia" w:ascii="宋体" w:hAnsi="宋体" w:cs="宋体"/>
          <w:color w:val="auto"/>
          <w:kern w:val="1"/>
          <w:sz w:val="22"/>
          <w:szCs w:val="22"/>
          <w:highlight w:val="none"/>
        </w:rPr>
        <w:t>本责任书作为采购项目合同的附件，与采购项目合同具有同等法律效力。经签署后立即生效。</w:t>
      </w:r>
    </w:p>
    <w:p w14:paraId="34A94F93">
      <w:pPr>
        <w:pBdr>
          <w:top w:val="none" w:color="000000" w:sz="0" w:space="0"/>
          <w:left w:val="none" w:color="000000" w:sz="0" w:space="0"/>
          <w:bottom w:val="none" w:color="000000" w:sz="0" w:space="0"/>
          <w:right w:val="none" w:color="000000" w:sz="0" w:space="0"/>
          <w:between w:val="none" w:color="000000" w:sz="0" w:space="0"/>
        </w:pBdr>
        <w:spacing w:line="360" w:lineRule="auto"/>
        <w:ind w:left="435"/>
        <w:rPr>
          <w:rFonts w:ascii="宋体" w:hAnsi="宋体" w:cs="宋体"/>
          <w:color w:val="auto"/>
          <w:kern w:val="1"/>
          <w:sz w:val="22"/>
          <w:szCs w:val="22"/>
          <w:highlight w:val="none"/>
        </w:rPr>
      </w:pPr>
      <w:r>
        <w:rPr>
          <w:rFonts w:hint="eastAsia" w:ascii="宋体" w:hAnsi="宋体" w:cs="宋体"/>
          <w:b/>
          <w:bCs/>
          <w:color w:val="auto"/>
          <w:kern w:val="1"/>
          <w:sz w:val="22"/>
          <w:szCs w:val="22"/>
          <w:highlight w:val="none"/>
        </w:rPr>
        <w:t>第六条</w:t>
      </w:r>
      <w:r>
        <w:rPr>
          <w:rFonts w:hint="eastAsia" w:ascii="宋体" w:hAnsi="宋体" w:cs="宋体"/>
          <w:color w:val="auto"/>
          <w:kern w:val="1"/>
          <w:sz w:val="22"/>
          <w:szCs w:val="22"/>
          <w:highlight w:val="none"/>
        </w:rPr>
        <w:t xml:space="preserve"> 本责任书的有效期为</w:t>
      </w:r>
      <w:r>
        <w:rPr>
          <w:rFonts w:hint="eastAsia" w:ascii="宋体" w:hAnsi="宋体" w:cs="宋体"/>
          <w:color w:val="auto"/>
          <w:kern w:val="1"/>
          <w:sz w:val="22"/>
          <w:szCs w:val="22"/>
          <w:highlight w:val="none"/>
          <w:lang w:eastAsia="zh-CN"/>
        </w:rPr>
        <w:t>双方</w:t>
      </w:r>
      <w:r>
        <w:rPr>
          <w:rFonts w:hint="eastAsia" w:ascii="宋体" w:hAnsi="宋体" w:cs="宋体"/>
          <w:color w:val="auto"/>
          <w:kern w:val="1"/>
          <w:sz w:val="22"/>
          <w:szCs w:val="22"/>
          <w:highlight w:val="none"/>
        </w:rPr>
        <w:t>签署之日起至该采购</w:t>
      </w:r>
      <w:r>
        <w:rPr>
          <w:rFonts w:hint="eastAsia" w:ascii="宋体" w:hAnsi="宋体" w:cs="宋体"/>
          <w:color w:val="auto"/>
          <w:kern w:val="1"/>
          <w:sz w:val="22"/>
          <w:szCs w:val="22"/>
          <w:highlight w:val="none"/>
          <w:lang w:eastAsia="zh-CN"/>
        </w:rPr>
        <w:t>服务期满</w:t>
      </w:r>
      <w:r>
        <w:rPr>
          <w:rFonts w:hint="eastAsia" w:ascii="宋体" w:hAnsi="宋体" w:cs="宋体"/>
          <w:color w:val="auto"/>
          <w:kern w:val="1"/>
          <w:sz w:val="22"/>
          <w:szCs w:val="22"/>
          <w:highlight w:val="none"/>
        </w:rPr>
        <w:t>为止。</w:t>
      </w:r>
    </w:p>
    <w:p w14:paraId="0ADD3682">
      <w:pPr>
        <w:pBdr>
          <w:top w:val="none" w:color="000000" w:sz="0" w:space="0"/>
          <w:left w:val="none" w:color="000000" w:sz="0" w:space="0"/>
          <w:bottom w:val="none" w:color="000000" w:sz="0" w:space="0"/>
          <w:right w:val="none" w:color="000000" w:sz="0" w:space="0"/>
          <w:between w:val="none" w:color="000000" w:sz="0" w:space="0"/>
        </w:pBdr>
        <w:spacing w:line="400" w:lineRule="exact"/>
        <w:ind w:left="435"/>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 </w:t>
      </w:r>
    </w:p>
    <w:p w14:paraId="6FC4D50B">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甲方（盖章）：                               </w:t>
      </w:r>
    </w:p>
    <w:p w14:paraId="74DD362F">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 </w:t>
      </w:r>
    </w:p>
    <w:p w14:paraId="7B7A1CBC">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法定代表人或授权代表人 ： （签字或盖章）                             </w:t>
      </w:r>
    </w:p>
    <w:p w14:paraId="3C80256F">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   </w:t>
      </w:r>
    </w:p>
    <w:p w14:paraId="3AC420A5">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年  月  日                               </w:t>
      </w:r>
    </w:p>
    <w:p w14:paraId="006B9751">
      <w:pPr>
        <w:pBdr>
          <w:top w:val="none" w:color="000000" w:sz="0" w:space="0"/>
          <w:left w:val="none" w:color="000000" w:sz="0" w:space="0"/>
          <w:bottom w:val="none" w:color="000000" w:sz="0" w:space="0"/>
          <w:right w:val="none" w:color="000000" w:sz="0" w:space="0"/>
          <w:between w:val="none" w:color="000000" w:sz="0" w:space="0"/>
        </w:pBdr>
        <w:spacing w:line="400" w:lineRule="exact"/>
        <w:rPr>
          <w:rFonts w:ascii="宋体" w:hAnsi="宋体" w:cs="宋体"/>
          <w:color w:val="auto"/>
          <w:kern w:val="1"/>
          <w:sz w:val="22"/>
          <w:szCs w:val="22"/>
          <w:highlight w:val="none"/>
        </w:rPr>
      </w:pPr>
    </w:p>
    <w:p w14:paraId="3B5529C3">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p>
    <w:p w14:paraId="612F321F">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乙方</w:t>
      </w:r>
      <w:r>
        <w:rPr>
          <w:rFonts w:hint="eastAsia" w:ascii="宋体" w:hAnsi="宋体" w:cs="宋体"/>
          <w:color w:val="auto"/>
          <w:kern w:val="1"/>
          <w:sz w:val="22"/>
          <w:szCs w:val="22"/>
          <w:highlight w:val="none"/>
        </w:rPr>
        <w:t xml:space="preserve">（盖章）：                              </w:t>
      </w:r>
    </w:p>
    <w:p w14:paraId="225399EB">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 </w:t>
      </w:r>
    </w:p>
    <w:p w14:paraId="342B662A">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法定代表人或授权代表人 ：  （签字或盖章）                            </w:t>
      </w:r>
    </w:p>
    <w:p w14:paraId="71378C73">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   </w:t>
      </w:r>
    </w:p>
    <w:p w14:paraId="3EE36D7F">
      <w:pPr>
        <w:pBdr>
          <w:top w:val="none" w:color="000000" w:sz="0" w:space="0"/>
          <w:left w:val="none" w:color="000000" w:sz="0" w:space="0"/>
          <w:bottom w:val="none" w:color="000000" w:sz="0" w:space="0"/>
          <w:right w:val="none" w:color="000000" w:sz="0" w:space="0"/>
          <w:between w:val="none" w:color="000000" w:sz="0" w:space="0"/>
        </w:pBdr>
        <w:spacing w:line="400" w:lineRule="exact"/>
        <w:ind w:left="6860" w:leftChars="200" w:hanging="6380" w:hangingChars="2900"/>
        <w:rPr>
          <w:rFonts w:ascii="宋体" w:hAnsi="宋体" w:cs="宋体"/>
          <w:color w:val="auto"/>
          <w:kern w:val="1"/>
          <w:sz w:val="22"/>
          <w:szCs w:val="22"/>
          <w:highlight w:val="none"/>
        </w:rPr>
      </w:pPr>
      <w:r>
        <w:rPr>
          <w:rFonts w:hint="eastAsia" w:ascii="宋体" w:hAnsi="宋体" w:cs="宋体"/>
          <w:color w:val="auto"/>
          <w:kern w:val="1"/>
          <w:sz w:val="22"/>
          <w:szCs w:val="22"/>
          <w:highlight w:val="none"/>
        </w:rPr>
        <w:t xml:space="preserve">年  月  日                              </w:t>
      </w:r>
    </w:p>
    <w:p w14:paraId="3AA7A4F8">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color w:val="auto"/>
          <w:kern w:val="1"/>
          <w:sz w:val="24"/>
          <w:szCs w:val="22"/>
          <w:highlight w:val="none"/>
        </w:rPr>
      </w:pPr>
      <w:r>
        <w:rPr>
          <w:rFonts w:hint="eastAsia" w:ascii="宋体" w:hAnsi="宋体" w:cs="宋体"/>
          <w:b/>
          <w:color w:val="auto"/>
          <w:kern w:val="1"/>
          <w:sz w:val="24"/>
          <w:szCs w:val="22"/>
          <w:highlight w:val="none"/>
        </w:rPr>
        <w:br w:type="page"/>
      </w:r>
      <w:r>
        <w:rPr>
          <w:rFonts w:hint="eastAsia" w:ascii="宋体" w:hAnsi="宋体" w:cs="宋体"/>
          <w:b/>
          <w:color w:val="auto"/>
          <w:kern w:val="1"/>
          <w:sz w:val="24"/>
          <w:szCs w:val="22"/>
          <w:highlight w:val="none"/>
        </w:rPr>
        <w:t>附录二：履约保函</w:t>
      </w:r>
    </w:p>
    <w:p w14:paraId="3DCC1419">
      <w:pPr>
        <w:pBdr>
          <w:top w:val="none" w:color="000000" w:sz="0" w:space="0"/>
          <w:left w:val="none" w:color="000000" w:sz="0" w:space="0"/>
          <w:bottom w:val="none" w:color="000000" w:sz="0" w:space="0"/>
          <w:right w:val="none" w:color="000000" w:sz="0" w:space="0"/>
          <w:between w:val="none" w:color="000000" w:sz="0" w:space="0"/>
        </w:pBdr>
        <w:snapToGrid w:val="0"/>
        <w:spacing w:after="156" w:afterLines="50" w:line="360" w:lineRule="auto"/>
        <w:jc w:val="center"/>
        <w:rPr>
          <w:rFonts w:hint="eastAsia" w:ascii="宋体" w:hAnsi="宋体" w:cs="宋体"/>
          <w:b/>
          <w:color w:val="auto"/>
          <w:kern w:val="1"/>
          <w:sz w:val="32"/>
          <w:szCs w:val="32"/>
          <w:highlight w:val="none"/>
        </w:rPr>
      </w:pPr>
    </w:p>
    <w:p w14:paraId="2C6DBF7F">
      <w:pPr>
        <w:pBdr>
          <w:top w:val="none" w:color="000000" w:sz="0" w:space="0"/>
          <w:left w:val="none" w:color="000000" w:sz="0" w:space="0"/>
          <w:bottom w:val="none" w:color="000000" w:sz="0" w:space="0"/>
          <w:right w:val="none" w:color="000000" w:sz="0" w:space="0"/>
          <w:between w:val="none" w:color="000000" w:sz="0" w:space="0"/>
        </w:pBdr>
        <w:snapToGrid w:val="0"/>
        <w:spacing w:after="156" w:afterLines="50" w:line="360" w:lineRule="auto"/>
        <w:jc w:val="center"/>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履约保函(格式)</w:t>
      </w:r>
    </w:p>
    <w:p w14:paraId="258A9E63">
      <w:pPr>
        <w:pStyle w:val="47"/>
        <w:autoSpaceDE w:val="0"/>
        <w:autoSpaceDN w:val="0"/>
        <w:adjustRightInd w:val="0"/>
        <w:spacing w:line="360" w:lineRule="auto"/>
        <w:ind w:firstLine="5940" w:firstLineChars="2700"/>
        <w:jc w:val="left"/>
        <w:rPr>
          <w:rFonts w:hint="eastAsia"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rPr>
        <w:t>保函编号：</w:t>
      </w:r>
      <w:r>
        <w:rPr>
          <w:rFonts w:hint="eastAsia" w:ascii="宋体" w:hAnsi="宋体" w:eastAsia="宋体" w:cs="宋体"/>
          <w:color w:val="auto"/>
          <w:kern w:val="0"/>
          <w:sz w:val="22"/>
          <w:szCs w:val="22"/>
          <w:highlight w:val="none"/>
          <w:u w:val="single"/>
          <w:lang w:val="en-US" w:eastAsia="zh-CN"/>
        </w:rPr>
        <w:t xml:space="preserve">                   </w:t>
      </w:r>
    </w:p>
    <w:p w14:paraId="4E1FBD6D">
      <w:pPr>
        <w:pStyle w:val="47"/>
        <w:autoSpaceDE w:val="0"/>
        <w:autoSpaceDN w:val="0"/>
        <w:adjustRightInd w:val="0"/>
        <w:spacing w:line="360" w:lineRule="auto"/>
        <w:jc w:val="left"/>
        <w:rPr>
          <w:rFonts w:hint="eastAsia" w:ascii="宋体" w:hAnsi="宋体" w:eastAsia="宋体" w:cs="宋体"/>
          <w:color w:val="auto"/>
          <w:kern w:val="0"/>
          <w:sz w:val="22"/>
          <w:szCs w:val="22"/>
          <w:highlight w:val="none"/>
          <w:u w:val="single"/>
          <w:lang w:eastAsia="zh-CN"/>
        </w:rPr>
      </w:pPr>
      <w:r>
        <w:rPr>
          <w:rFonts w:hint="eastAsia" w:ascii="宋体" w:hAnsi="宋体" w:eastAsia="宋体" w:cs="宋体"/>
          <w:color w:val="auto"/>
          <w:kern w:val="0"/>
          <w:sz w:val="22"/>
          <w:szCs w:val="22"/>
          <w:highlight w:val="none"/>
        </w:rPr>
        <w:t>致：</w:t>
      </w:r>
      <w:r>
        <w:rPr>
          <w:rFonts w:hint="eastAsia" w:ascii="宋体" w:hAnsi="宋体" w:eastAsia="宋体" w:cs="宋体"/>
          <w:color w:val="auto"/>
          <w:sz w:val="22"/>
          <w:szCs w:val="22"/>
          <w:highlight w:val="none"/>
          <w:u w:val="single"/>
          <w:lang w:eastAsia="zh-CN"/>
        </w:rPr>
        <w:t>温州市交通发展集团有限公司</w:t>
      </w:r>
    </w:p>
    <w:p w14:paraId="47C73033">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 w:val="22"/>
          <w:szCs w:val="22"/>
          <w:highlight w:val="none"/>
        </w:rPr>
      </w:pPr>
    </w:p>
    <w:p w14:paraId="74AAB814">
      <w:pPr>
        <w:pStyle w:val="47"/>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鉴于</w:t>
      </w:r>
      <w:r>
        <w:rPr>
          <w:rFonts w:hint="eastAsia" w:ascii="宋体" w:hAnsi="宋体" w:eastAsia="宋体" w:cs="宋体"/>
          <w:b/>
          <w:bCs/>
          <w:color w:val="auto"/>
          <w:sz w:val="22"/>
          <w:szCs w:val="22"/>
          <w:highlight w:val="none"/>
          <w:u w:val="single"/>
          <w:lang w:eastAsia="zh-CN"/>
        </w:rPr>
        <w:t>温州市交通发展集团有限公司</w:t>
      </w:r>
      <w:r>
        <w:rPr>
          <w:rFonts w:hint="eastAsia" w:ascii="宋体" w:hAnsi="宋体" w:eastAsia="宋体" w:cs="宋体"/>
          <w:color w:val="auto"/>
          <w:kern w:val="0"/>
          <w:sz w:val="22"/>
          <w:szCs w:val="22"/>
          <w:highlight w:val="none"/>
        </w:rPr>
        <w:t>（以下简称“</w:t>
      </w:r>
      <w:r>
        <w:rPr>
          <w:rFonts w:hint="eastAsia" w:ascii="宋体" w:hAnsi="宋体" w:eastAsia="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”）接受</w:t>
      </w:r>
      <w:r>
        <w:rPr>
          <w:rFonts w:hint="eastAsia" w:ascii="宋体" w:hAnsi="宋体" w:eastAsia="宋体" w:cs="宋体"/>
          <w:color w:val="auto"/>
          <w:kern w:val="0"/>
          <w:sz w:val="22"/>
          <w:szCs w:val="22"/>
          <w:highlight w:val="none"/>
          <w:u w:val="single"/>
          <w:lang w:eastAsia="zh-CN"/>
        </w:rPr>
        <w:t>中标人</w:t>
      </w:r>
      <w:r>
        <w:rPr>
          <w:rFonts w:hint="eastAsia" w:ascii="宋体" w:hAnsi="宋体" w:eastAsia="宋体" w:cs="宋体"/>
          <w:color w:val="auto"/>
          <w:kern w:val="0"/>
          <w:sz w:val="22"/>
          <w:szCs w:val="22"/>
          <w:highlight w:val="none"/>
          <w:u w:val="single"/>
        </w:rPr>
        <w:t>名称</w:t>
      </w:r>
      <w:r>
        <w:rPr>
          <w:rFonts w:hint="eastAsia" w:ascii="宋体" w:hAnsi="宋体" w:eastAsia="宋体" w:cs="宋体"/>
          <w:color w:val="auto"/>
          <w:kern w:val="0"/>
          <w:sz w:val="22"/>
          <w:szCs w:val="22"/>
          <w:highlight w:val="none"/>
        </w:rPr>
        <w:t>（以下称“</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en-US" w:eastAsia="zh-CN"/>
        </w:rPr>
        <w:t>项目</w:t>
      </w:r>
      <w:r>
        <w:rPr>
          <w:rFonts w:hint="eastAsia" w:ascii="宋体" w:hAnsi="宋体" w:eastAsia="宋体" w:cs="宋体"/>
          <w:color w:val="auto"/>
          <w:kern w:val="0"/>
          <w:sz w:val="22"/>
          <w:szCs w:val="22"/>
          <w:highlight w:val="none"/>
        </w:rPr>
        <w:t>的投标。我方愿意无条件地、不可撤销地就</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履行与你方订立的合同，向你方提供担保。</w:t>
      </w:r>
    </w:p>
    <w:p w14:paraId="00AE7EC6">
      <w:pPr>
        <w:pStyle w:val="47"/>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鉴于你方在上述合同中要求</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向你方提交下述金额的、经认可银行开具的保函，作为</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能完全履行本合同责任的担保。</w:t>
      </w:r>
    </w:p>
    <w:p w14:paraId="38DC0FBA">
      <w:pPr>
        <w:pStyle w:val="47"/>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本行同意为</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出具保函，本行在此代表</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向你方承担支付</w:t>
      </w:r>
      <w:r>
        <w:rPr>
          <w:rFonts w:hint="eastAsia" w:ascii="宋体" w:hAnsi="宋体" w:eastAsia="宋体" w:cs="宋体"/>
          <w:color w:val="auto"/>
          <w:sz w:val="22"/>
          <w:szCs w:val="28"/>
          <w:highlight w:val="none"/>
          <w:lang w:bidi="ar"/>
        </w:rPr>
        <w:t xml:space="preserve">人民币大写 </w:t>
      </w:r>
      <w:r>
        <w:rPr>
          <w:rFonts w:hint="eastAsia" w:ascii="宋体" w:hAnsi="宋体" w:eastAsia="宋体" w:cs="宋体"/>
          <w:color w:val="auto"/>
          <w:sz w:val="22"/>
          <w:szCs w:val="28"/>
          <w:highlight w:val="none"/>
          <w:u w:val="single"/>
          <w:lang w:bidi="ar"/>
        </w:rPr>
        <w:t xml:space="preserve">    元</w:t>
      </w:r>
      <w:r>
        <w:rPr>
          <w:rFonts w:hint="eastAsia" w:ascii="宋体" w:hAnsi="宋体" w:eastAsia="宋体" w:cs="宋体"/>
          <w:color w:val="auto"/>
          <w:sz w:val="22"/>
          <w:szCs w:val="28"/>
          <w:highlight w:val="none"/>
          <w:lang w:bidi="ar"/>
        </w:rPr>
        <w:t xml:space="preserve">（¥ </w:t>
      </w:r>
      <w:r>
        <w:rPr>
          <w:rFonts w:hint="eastAsia" w:ascii="宋体" w:hAnsi="宋体" w:eastAsia="宋体" w:cs="宋体"/>
          <w:color w:val="auto"/>
          <w:sz w:val="22"/>
          <w:szCs w:val="28"/>
          <w:highlight w:val="none"/>
          <w:u w:val="single"/>
          <w:lang w:bidi="ar"/>
        </w:rPr>
        <w:t xml:space="preserve">      </w:t>
      </w:r>
      <w:r>
        <w:rPr>
          <w:rFonts w:hint="eastAsia" w:ascii="宋体" w:hAnsi="宋体" w:eastAsia="宋体" w:cs="宋体"/>
          <w:color w:val="auto"/>
          <w:sz w:val="22"/>
          <w:szCs w:val="28"/>
          <w:highlight w:val="none"/>
          <w:lang w:bidi="ar"/>
        </w:rPr>
        <w:t xml:space="preserve"> ）</w:t>
      </w:r>
      <w:r>
        <w:rPr>
          <w:rFonts w:hint="eastAsia" w:ascii="宋体" w:hAnsi="宋体" w:eastAsia="宋体" w:cs="宋体"/>
          <w:color w:val="auto"/>
          <w:kern w:val="0"/>
          <w:sz w:val="22"/>
          <w:szCs w:val="22"/>
          <w:highlight w:val="none"/>
        </w:rPr>
        <w:t>（合同价格的</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%）的责任，</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在履行合同中，由于非不可抗力的一切原因给你方造成经济损失时，在你方以书面形式提出要求得到上述金额内的任何付款时，</w:t>
      </w:r>
      <w:r>
        <w:rPr>
          <w:rFonts w:hint="eastAsia" w:ascii="宋体" w:hAnsi="宋体" w:eastAsia="宋体" w:cs="宋体"/>
          <w:color w:val="auto"/>
          <w:kern w:val="0"/>
          <w:sz w:val="22"/>
          <w:szCs w:val="22"/>
          <w:highlight w:val="none"/>
          <w:lang w:eastAsia="zh-CN"/>
        </w:rPr>
        <w:t>本行</w:t>
      </w:r>
      <w:r>
        <w:rPr>
          <w:rFonts w:hint="eastAsia" w:ascii="宋体" w:hAnsi="宋体" w:eastAsia="宋体" w:cs="宋体"/>
          <w:color w:val="auto"/>
          <w:kern w:val="0"/>
          <w:sz w:val="22"/>
          <w:szCs w:val="22"/>
          <w:highlight w:val="none"/>
        </w:rPr>
        <w:t>即予以支付，不挑剔、不争辩，也不要求你方出具证明或说明背景、理由。</w:t>
      </w:r>
    </w:p>
    <w:p w14:paraId="28336E2F">
      <w:pPr>
        <w:pStyle w:val="47"/>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本行</w:t>
      </w:r>
      <w:r>
        <w:rPr>
          <w:rFonts w:hint="eastAsia" w:ascii="宋体" w:hAnsi="宋体" w:eastAsia="宋体" w:cs="宋体"/>
          <w:color w:val="auto"/>
          <w:kern w:val="0"/>
          <w:sz w:val="22"/>
          <w:szCs w:val="22"/>
          <w:highlight w:val="none"/>
        </w:rPr>
        <w:t>放弃你方应先向</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要求赔偿上述金额然后再向</w:t>
      </w:r>
      <w:r>
        <w:rPr>
          <w:rFonts w:hint="eastAsia" w:ascii="宋体" w:hAnsi="宋体" w:eastAsia="宋体" w:cs="宋体"/>
          <w:color w:val="auto"/>
          <w:kern w:val="0"/>
          <w:sz w:val="22"/>
          <w:szCs w:val="22"/>
          <w:highlight w:val="none"/>
          <w:lang w:eastAsia="zh-CN"/>
        </w:rPr>
        <w:t>本行</w:t>
      </w:r>
      <w:r>
        <w:rPr>
          <w:rFonts w:hint="eastAsia" w:ascii="宋体" w:hAnsi="宋体" w:eastAsia="宋体" w:cs="宋体"/>
          <w:color w:val="auto"/>
          <w:kern w:val="0"/>
          <w:sz w:val="22"/>
          <w:szCs w:val="22"/>
          <w:highlight w:val="none"/>
        </w:rPr>
        <w:t>提出要求的权利。</w:t>
      </w:r>
    </w:p>
    <w:p w14:paraId="6B7AEC22">
      <w:pPr>
        <w:pStyle w:val="47"/>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本行</w:t>
      </w:r>
      <w:r>
        <w:rPr>
          <w:rFonts w:hint="eastAsia" w:ascii="宋体" w:hAnsi="宋体" w:eastAsia="宋体" w:cs="宋体"/>
          <w:color w:val="auto"/>
          <w:kern w:val="0"/>
          <w:sz w:val="22"/>
          <w:szCs w:val="22"/>
          <w:highlight w:val="none"/>
        </w:rPr>
        <w:t>进一步同意在你方和</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之间的合同条件、合同条款或合同发生变化或修改后，</w:t>
      </w:r>
      <w:r>
        <w:rPr>
          <w:rFonts w:hint="eastAsia" w:ascii="宋体" w:hAnsi="宋体" w:eastAsia="宋体" w:cs="宋体"/>
          <w:color w:val="auto"/>
          <w:kern w:val="0"/>
          <w:sz w:val="22"/>
          <w:szCs w:val="22"/>
          <w:highlight w:val="none"/>
          <w:lang w:eastAsia="zh-CN"/>
        </w:rPr>
        <w:t>本行</w:t>
      </w:r>
      <w:r>
        <w:rPr>
          <w:rFonts w:hint="eastAsia" w:ascii="宋体" w:hAnsi="宋体" w:eastAsia="宋体" w:cs="宋体"/>
          <w:color w:val="auto"/>
          <w:kern w:val="0"/>
          <w:sz w:val="22"/>
          <w:szCs w:val="22"/>
          <w:highlight w:val="none"/>
        </w:rPr>
        <w:t>承担本保函的责任也不改变，有关上述变化、补充和修改也无须通知</w:t>
      </w:r>
      <w:r>
        <w:rPr>
          <w:rFonts w:hint="eastAsia" w:ascii="宋体" w:hAnsi="宋体" w:eastAsia="宋体" w:cs="宋体"/>
          <w:color w:val="auto"/>
          <w:kern w:val="0"/>
          <w:sz w:val="22"/>
          <w:szCs w:val="22"/>
          <w:highlight w:val="none"/>
          <w:lang w:eastAsia="zh-CN"/>
        </w:rPr>
        <w:t>本行</w:t>
      </w:r>
      <w:r>
        <w:rPr>
          <w:rFonts w:hint="eastAsia" w:ascii="宋体" w:hAnsi="宋体" w:eastAsia="宋体" w:cs="宋体"/>
          <w:color w:val="auto"/>
          <w:kern w:val="0"/>
          <w:sz w:val="22"/>
          <w:szCs w:val="22"/>
          <w:highlight w:val="none"/>
        </w:rPr>
        <w:t>。</w:t>
      </w:r>
    </w:p>
    <w:p w14:paraId="20ED92AD">
      <w:pPr>
        <w:pStyle w:val="47"/>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本保函有效期自出具之日起，至本项目</w:t>
      </w:r>
      <w:r>
        <w:rPr>
          <w:rFonts w:hint="eastAsia" w:ascii="宋体" w:hAnsi="宋体" w:eastAsia="宋体" w:cs="宋体"/>
          <w:color w:val="auto"/>
          <w:kern w:val="0"/>
          <w:sz w:val="22"/>
          <w:szCs w:val="22"/>
          <w:highlight w:val="none"/>
          <w:lang w:eastAsia="zh-CN"/>
        </w:rPr>
        <w:t>服务期满</w:t>
      </w:r>
      <w:r>
        <w:rPr>
          <w:rFonts w:hint="eastAsia" w:ascii="宋体" w:hAnsi="宋体" w:eastAsia="宋体" w:cs="宋体"/>
          <w:color w:val="auto"/>
          <w:kern w:val="0"/>
          <w:sz w:val="22"/>
          <w:szCs w:val="22"/>
          <w:highlight w:val="none"/>
        </w:rPr>
        <w:t>止。</w:t>
      </w:r>
    </w:p>
    <w:p w14:paraId="48497B9E">
      <w:pPr>
        <w:pStyle w:val="47"/>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本保函以及与本保函有关的一切争议，由各方协商解决；协商不成的，提交温州仲裁委员会仲裁。</w:t>
      </w:r>
    </w:p>
    <w:p w14:paraId="4349F01E">
      <w:pPr>
        <w:pStyle w:val="47"/>
        <w:autoSpaceDE w:val="0"/>
        <w:autoSpaceDN w:val="0"/>
        <w:adjustRightInd w:val="0"/>
        <w:spacing w:line="400" w:lineRule="exact"/>
        <w:ind w:firstLine="5643" w:firstLineChars="2565"/>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出具保函银行名称</w:t>
      </w:r>
    </w:p>
    <w:p w14:paraId="41CC65F6">
      <w:pPr>
        <w:pStyle w:val="47"/>
        <w:autoSpaceDE w:val="0"/>
        <w:autoSpaceDN w:val="0"/>
        <w:adjustRightInd w:val="0"/>
        <w:spacing w:line="400" w:lineRule="exact"/>
        <w:ind w:firstLine="5643" w:firstLineChars="2565"/>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签字人姓名和职务（印刷字体）</w:t>
      </w:r>
    </w:p>
    <w:p w14:paraId="6F61BBD7">
      <w:pPr>
        <w:pStyle w:val="47"/>
        <w:autoSpaceDE w:val="0"/>
        <w:autoSpaceDN w:val="0"/>
        <w:adjustRightInd w:val="0"/>
        <w:spacing w:line="400" w:lineRule="exact"/>
        <w:ind w:firstLine="5643" w:firstLineChars="2565"/>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签 字 人 签 名</w:t>
      </w:r>
    </w:p>
    <w:p w14:paraId="58544328">
      <w:pPr>
        <w:pStyle w:val="47"/>
        <w:pBdr>
          <w:top w:val="none" w:color="000000" w:sz="0" w:space="0"/>
          <w:left w:val="none" w:color="000000" w:sz="0" w:space="0"/>
          <w:bottom w:val="none" w:color="000000" w:sz="0" w:space="0"/>
          <w:right w:val="none" w:color="000000" w:sz="0" w:space="0"/>
          <w:between w:val="none" w:color="000000" w:sz="0" w:space="0"/>
        </w:pBdr>
        <w:autoSpaceDE w:val="0"/>
        <w:autoSpaceDN w:val="0"/>
        <w:adjustRightInd w:val="0"/>
        <w:snapToGrid w:val="0"/>
        <w:spacing w:line="400" w:lineRule="exact"/>
        <w:ind w:firstLine="5643" w:firstLineChars="2565"/>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盖         章</w:t>
      </w:r>
    </w:p>
    <w:p w14:paraId="63BF334D">
      <w:pPr>
        <w:pStyle w:val="47"/>
        <w:pBdr>
          <w:top w:val="none" w:color="000000" w:sz="0" w:space="0"/>
          <w:left w:val="none" w:color="000000" w:sz="0" w:space="0"/>
          <w:bottom w:val="none" w:color="000000" w:sz="0" w:space="0"/>
          <w:right w:val="none" w:color="000000" w:sz="0" w:space="0"/>
          <w:between w:val="none" w:color="000000" w:sz="0" w:space="0"/>
        </w:pBdr>
        <w:autoSpaceDE w:val="0"/>
        <w:autoSpaceDN w:val="0"/>
        <w:adjustRightInd w:val="0"/>
        <w:snapToGrid w:val="0"/>
        <w:spacing w:line="400" w:lineRule="exact"/>
        <w:ind w:firstLine="5643" w:firstLineChars="2565"/>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         期 </w:t>
      </w:r>
    </w:p>
    <w:p w14:paraId="71C8A60D">
      <w:pPr>
        <w:pStyle w:val="47"/>
        <w:pBdr>
          <w:top w:val="none" w:color="000000" w:sz="0" w:space="0"/>
          <w:left w:val="none" w:color="000000" w:sz="0" w:space="0"/>
          <w:bottom w:val="none" w:color="000000" w:sz="0" w:space="0"/>
          <w:right w:val="none" w:color="000000" w:sz="0" w:space="0"/>
          <w:between w:val="none" w:color="000000" w:sz="0" w:space="0"/>
        </w:pBdr>
        <w:autoSpaceDE w:val="0"/>
        <w:autoSpaceDN w:val="0"/>
        <w:adjustRightInd w:val="0"/>
        <w:spacing w:line="400" w:lineRule="exact"/>
        <w:ind w:firstLine="5643" w:firstLineChars="2565"/>
        <w:rPr>
          <w:rFonts w:ascii="宋体" w:hAnsi="宋体" w:cs="宋体"/>
          <w:color w:val="auto"/>
          <w:kern w:val="1"/>
          <w:sz w:val="22"/>
          <w:szCs w:val="22"/>
          <w:highlight w:val="none"/>
        </w:rPr>
        <w:sectPr>
          <w:footerReference r:id="rId6" w:type="default"/>
          <w:pgSz w:w="11906" w:h="16838"/>
          <w:pgMar w:top="1247" w:right="1247" w:bottom="1247" w:left="1417" w:header="851" w:footer="850" w:gutter="0"/>
          <w:pgBorders>
            <w:top w:val="none" w:sz="0" w:space="0"/>
            <w:left w:val="none" w:sz="0" w:space="0"/>
            <w:bottom w:val="none" w:sz="0" w:space="0"/>
            <w:right w:val="none" w:sz="0" w:space="0"/>
          </w:pgBorders>
          <w:pgNumType w:fmt="decimal" w:start="1"/>
          <w:cols w:space="720" w:num="1"/>
          <w:rtlGutter w:val="0"/>
          <w:docGrid w:type="lines" w:linePitch="318" w:charSpace="0"/>
        </w:sectPr>
      </w:pPr>
    </w:p>
    <w:p w14:paraId="37A72BB6">
      <w:pPr>
        <w:pBdr>
          <w:top w:val="none" w:color="000000" w:sz="0" w:space="0"/>
          <w:left w:val="none" w:color="000000" w:sz="0" w:space="0"/>
          <w:bottom w:val="none" w:color="000000" w:sz="0" w:space="0"/>
          <w:right w:val="none" w:color="000000" w:sz="0" w:space="0"/>
          <w:between w:val="none" w:color="000000" w:sz="0" w:space="0"/>
        </w:pBdr>
        <w:spacing w:before="156" w:beforeLines="50" w:line="360" w:lineRule="auto"/>
        <w:rPr>
          <w:rFonts w:ascii="宋体" w:hAnsi="宋体" w:cs="宋体"/>
          <w:b/>
          <w:color w:val="auto"/>
          <w:kern w:val="1"/>
          <w:sz w:val="24"/>
          <w:szCs w:val="22"/>
          <w:highlight w:val="none"/>
        </w:rPr>
      </w:pPr>
      <w:r>
        <w:rPr>
          <w:rFonts w:hint="eastAsia" w:ascii="宋体" w:hAnsi="宋体" w:cs="宋体"/>
          <w:b/>
          <w:color w:val="auto"/>
          <w:kern w:val="1"/>
          <w:sz w:val="24"/>
          <w:szCs w:val="22"/>
          <w:highlight w:val="none"/>
        </w:rPr>
        <w:t>附录三：履约保函续保承诺书</w:t>
      </w:r>
    </w:p>
    <w:p w14:paraId="77CB2489">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cs="宋体"/>
          <w:b/>
          <w:color w:val="auto"/>
          <w:kern w:val="1"/>
          <w:sz w:val="30"/>
          <w:szCs w:val="30"/>
          <w:highlight w:val="none"/>
        </w:rPr>
      </w:pPr>
    </w:p>
    <w:p w14:paraId="2FF883AB">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履约保函续保承诺书</w:t>
      </w:r>
    </w:p>
    <w:p w14:paraId="4A066C74">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cs="宋体"/>
          <w:b/>
          <w:color w:val="auto"/>
          <w:kern w:val="1"/>
          <w:szCs w:val="21"/>
          <w:highlight w:val="none"/>
        </w:rPr>
      </w:pPr>
    </w:p>
    <w:p w14:paraId="3B12B0FC">
      <w:pPr>
        <w:pBdr>
          <w:top w:val="none" w:color="000000" w:sz="0" w:space="0"/>
          <w:left w:val="none" w:color="000000" w:sz="0" w:space="0"/>
          <w:bottom w:val="none" w:color="000000" w:sz="0" w:space="0"/>
          <w:right w:val="none" w:color="000000" w:sz="0" w:space="0"/>
          <w:between w:val="none" w:color="000000" w:sz="0" w:space="0"/>
        </w:pBdr>
        <w:spacing w:before="156" w:beforeLines="50"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我方承诺为</w:t>
      </w:r>
      <w:r>
        <w:rPr>
          <w:rFonts w:hint="eastAsia" w:ascii="宋体" w:hAnsi="宋体" w:cs="宋体"/>
          <w:color w:val="auto"/>
          <w:kern w:val="1"/>
          <w:sz w:val="22"/>
          <w:szCs w:val="22"/>
          <w:highlight w:val="none"/>
          <w:u w:val="single"/>
          <w:lang w:eastAsia="zh-CN"/>
        </w:rPr>
        <w:t>温州市交发集团OA系统信创改造</w:t>
      </w:r>
      <w:r>
        <w:rPr>
          <w:rFonts w:hint="eastAsia" w:ascii="宋体" w:hAnsi="宋体" w:cs="宋体"/>
          <w:color w:val="auto"/>
          <w:kern w:val="1"/>
          <w:sz w:val="22"/>
          <w:szCs w:val="22"/>
          <w:highlight w:val="none"/>
        </w:rPr>
        <w:t>提供的履约保函有效期为履约保函出具之日起至本项目</w:t>
      </w:r>
      <w:r>
        <w:rPr>
          <w:rFonts w:hint="eastAsia" w:ascii="宋体" w:hAnsi="宋体" w:cs="宋体"/>
          <w:color w:val="auto"/>
          <w:kern w:val="1"/>
          <w:sz w:val="22"/>
          <w:szCs w:val="22"/>
          <w:highlight w:val="none"/>
          <w:u w:val="single"/>
          <w:lang w:eastAsia="zh-CN"/>
        </w:rPr>
        <w:t>服务期满</w:t>
      </w:r>
      <w:r>
        <w:rPr>
          <w:rFonts w:hint="eastAsia" w:ascii="宋体" w:hAnsi="宋体" w:cs="宋体"/>
          <w:color w:val="auto"/>
          <w:kern w:val="1"/>
          <w:sz w:val="22"/>
          <w:szCs w:val="22"/>
          <w:highlight w:val="none"/>
          <w:u w:val="single"/>
        </w:rPr>
        <w:t>止</w:t>
      </w:r>
      <w:r>
        <w:rPr>
          <w:rFonts w:hint="eastAsia" w:ascii="宋体" w:hAnsi="宋体" w:cs="宋体"/>
          <w:color w:val="auto"/>
          <w:kern w:val="1"/>
          <w:sz w:val="22"/>
          <w:szCs w:val="22"/>
          <w:highlight w:val="none"/>
        </w:rPr>
        <w:t>一直有效，如预计在履约保函时间截止时，本项目的服务工作还未履行完毕，我方在履约保函到期前2个月办理并提交履约保函续保文件，有效期直至本项目</w:t>
      </w:r>
      <w:r>
        <w:rPr>
          <w:rFonts w:hint="eastAsia" w:ascii="宋体" w:hAnsi="宋体" w:cs="宋体"/>
          <w:color w:val="auto"/>
          <w:kern w:val="1"/>
          <w:sz w:val="22"/>
          <w:szCs w:val="22"/>
          <w:highlight w:val="none"/>
          <w:u w:val="single"/>
          <w:lang w:eastAsia="zh-CN"/>
        </w:rPr>
        <w:t>服务期满</w:t>
      </w:r>
      <w:r>
        <w:rPr>
          <w:rFonts w:hint="eastAsia" w:ascii="宋体" w:hAnsi="宋体" w:cs="宋体"/>
          <w:color w:val="auto"/>
          <w:kern w:val="1"/>
          <w:sz w:val="22"/>
          <w:szCs w:val="22"/>
          <w:highlight w:val="none"/>
          <w:u w:val="single"/>
        </w:rPr>
        <w:t>止</w:t>
      </w:r>
      <w:r>
        <w:rPr>
          <w:rFonts w:hint="eastAsia" w:ascii="宋体" w:hAnsi="宋体" w:cs="宋体"/>
          <w:color w:val="auto"/>
          <w:kern w:val="1"/>
          <w:sz w:val="22"/>
          <w:szCs w:val="22"/>
          <w:highlight w:val="none"/>
        </w:rPr>
        <w:t>。如不按期办理，你方有权从应付款中直接扣留相应金额作为履约保证金。</w:t>
      </w:r>
    </w:p>
    <w:p w14:paraId="2644E9C4">
      <w:pPr>
        <w:pBdr>
          <w:top w:val="none" w:color="000000" w:sz="0" w:space="0"/>
          <w:left w:val="none" w:color="000000" w:sz="0" w:space="0"/>
          <w:bottom w:val="none" w:color="000000" w:sz="0" w:space="0"/>
          <w:right w:val="none" w:color="000000" w:sz="0" w:space="0"/>
          <w:between w:val="none" w:color="000000" w:sz="0" w:space="0"/>
        </w:pBdr>
        <w:spacing w:before="156" w:beforeLines="50"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1"/>
          <w:sz w:val="22"/>
          <w:szCs w:val="22"/>
          <w:highlight w:val="none"/>
        </w:rPr>
        <w:t>我方进一步承诺，因办理履约保函续保文件所产生的所有费用均由我方承担。</w:t>
      </w:r>
    </w:p>
    <w:p w14:paraId="72838B69">
      <w:pPr>
        <w:pBdr>
          <w:top w:val="none" w:color="000000" w:sz="0" w:space="0"/>
          <w:left w:val="none" w:color="000000" w:sz="0" w:space="0"/>
          <w:bottom w:val="none" w:color="000000" w:sz="0" w:space="0"/>
          <w:right w:val="none" w:color="000000" w:sz="0" w:space="0"/>
          <w:between w:val="none" w:color="000000" w:sz="0" w:space="0"/>
        </w:pBdr>
        <w:spacing w:before="156" w:beforeLines="50" w:line="360" w:lineRule="auto"/>
        <w:rPr>
          <w:rFonts w:ascii="宋体" w:hAnsi="宋体" w:cs="宋体"/>
          <w:color w:val="auto"/>
          <w:kern w:val="1"/>
          <w:sz w:val="22"/>
          <w:szCs w:val="22"/>
          <w:highlight w:val="none"/>
        </w:rPr>
      </w:pPr>
    </w:p>
    <w:p w14:paraId="7FE6D506">
      <w:pPr>
        <w:pBdr>
          <w:top w:val="none" w:color="000000" w:sz="0" w:space="0"/>
          <w:left w:val="none" w:color="000000" w:sz="0" w:space="0"/>
          <w:bottom w:val="none" w:color="000000" w:sz="0" w:space="0"/>
          <w:right w:val="none" w:color="000000" w:sz="0" w:space="0"/>
          <w:between w:val="none" w:color="000000" w:sz="0" w:space="0"/>
        </w:pBdr>
        <w:spacing w:before="156" w:beforeLines="50" w:line="360" w:lineRule="auto"/>
        <w:ind w:left="641" w:leftChars="267" w:firstLine="301" w:firstLineChars="137"/>
        <w:rPr>
          <w:rFonts w:ascii="宋体" w:hAnsi="宋体" w:cs="宋体"/>
          <w:color w:val="auto"/>
          <w:kern w:val="1"/>
          <w:sz w:val="22"/>
          <w:szCs w:val="22"/>
          <w:highlight w:val="none"/>
        </w:rPr>
      </w:pPr>
    </w:p>
    <w:p w14:paraId="231ED370">
      <w:pPr>
        <w:pBdr>
          <w:top w:val="none" w:color="000000" w:sz="0" w:space="0"/>
          <w:left w:val="none" w:color="000000" w:sz="0" w:space="0"/>
          <w:bottom w:val="none" w:color="000000" w:sz="0" w:space="0"/>
          <w:right w:val="none" w:color="000000" w:sz="0" w:space="0"/>
          <w:between w:val="none" w:color="000000" w:sz="0" w:space="0"/>
        </w:pBdr>
        <w:spacing w:before="156" w:beforeLines="50" w:line="360" w:lineRule="auto"/>
        <w:ind w:right="442" w:firstLine="6050" w:firstLineChars="2750"/>
        <w:rPr>
          <w:rFonts w:ascii="宋体" w:hAnsi="宋体" w:cs="宋体"/>
          <w:color w:val="auto"/>
          <w:kern w:val="1"/>
          <w:sz w:val="22"/>
          <w:szCs w:val="22"/>
          <w:highlight w:val="none"/>
        </w:rPr>
      </w:pPr>
      <w:bookmarkStart w:id="223" w:name="_Toc205638708"/>
      <w:bookmarkStart w:id="224" w:name="_Toc212458339"/>
      <w:r>
        <w:rPr>
          <w:rFonts w:hint="eastAsia" w:ascii="宋体" w:hAnsi="宋体" w:cs="宋体"/>
          <w:color w:val="auto"/>
          <w:kern w:val="1"/>
          <w:sz w:val="22"/>
          <w:szCs w:val="22"/>
          <w:highlight w:val="none"/>
        </w:rPr>
        <w:t>单位全称(盖章)：</w:t>
      </w:r>
      <w:bookmarkEnd w:id="223"/>
      <w:bookmarkEnd w:id="224"/>
      <w:r>
        <w:rPr>
          <w:rFonts w:hint="eastAsia" w:ascii="宋体" w:hAnsi="宋体" w:cs="宋体"/>
          <w:color w:val="auto"/>
          <w:kern w:val="1"/>
          <w:sz w:val="22"/>
          <w:szCs w:val="22"/>
          <w:highlight w:val="none"/>
        </w:rPr>
        <w:t xml:space="preserve">  </w:t>
      </w:r>
    </w:p>
    <w:p w14:paraId="06EB9AF7">
      <w:pPr>
        <w:pBdr>
          <w:top w:val="none" w:color="000000" w:sz="0" w:space="0"/>
          <w:left w:val="none" w:color="000000" w:sz="0" w:space="0"/>
          <w:bottom w:val="none" w:color="000000" w:sz="0" w:space="0"/>
          <w:right w:val="none" w:color="000000" w:sz="0" w:space="0"/>
          <w:between w:val="none" w:color="000000" w:sz="0" w:space="0"/>
        </w:pBdr>
        <w:wordWrap w:val="0"/>
        <w:spacing w:before="156" w:beforeLines="50" w:line="360" w:lineRule="auto"/>
        <w:jc w:val="right"/>
        <w:rPr>
          <w:rFonts w:ascii="宋体" w:hAnsi="宋体" w:cs="宋体"/>
          <w:color w:val="auto"/>
          <w:kern w:val="1"/>
          <w:sz w:val="22"/>
          <w:szCs w:val="22"/>
          <w:highlight w:val="none"/>
        </w:rPr>
      </w:pPr>
      <w:bookmarkStart w:id="225" w:name="_Toc212458340"/>
      <w:bookmarkStart w:id="226" w:name="_Toc205638709"/>
      <w:r>
        <w:rPr>
          <w:rFonts w:hint="eastAsia" w:ascii="宋体" w:hAnsi="宋体" w:cs="宋体"/>
          <w:color w:val="auto"/>
          <w:kern w:val="1"/>
          <w:sz w:val="22"/>
          <w:szCs w:val="22"/>
          <w:highlight w:val="none"/>
        </w:rPr>
        <w:t xml:space="preserve"> 法定代表人或其授权代表(签字或盖章)：</w:t>
      </w:r>
      <w:bookmarkEnd w:id="225"/>
      <w:bookmarkEnd w:id="226"/>
      <w:r>
        <w:rPr>
          <w:rFonts w:hint="eastAsia" w:ascii="宋体" w:hAnsi="宋体" w:cs="宋体"/>
          <w:color w:val="auto"/>
          <w:kern w:val="1"/>
          <w:sz w:val="22"/>
          <w:szCs w:val="22"/>
          <w:highlight w:val="none"/>
        </w:rPr>
        <w:t xml:space="preserve">    </w:t>
      </w:r>
    </w:p>
    <w:p w14:paraId="7F79D3A3">
      <w:pPr>
        <w:pBdr>
          <w:top w:val="none" w:color="000000" w:sz="0" w:space="0"/>
          <w:left w:val="none" w:color="000000" w:sz="0" w:space="0"/>
          <w:bottom w:val="none" w:color="000000" w:sz="0" w:space="0"/>
          <w:right w:val="none" w:color="000000" w:sz="0" w:space="0"/>
          <w:between w:val="none" w:color="000000" w:sz="0" w:space="0"/>
        </w:pBdr>
        <w:spacing w:before="156" w:beforeLines="50" w:line="360" w:lineRule="auto"/>
        <w:ind w:right="480" w:firstLine="6380" w:firstLineChars="2900"/>
        <w:rPr>
          <w:rFonts w:ascii="宋体" w:hAnsi="宋体" w:cs="宋体"/>
          <w:color w:val="auto"/>
          <w:kern w:val="1"/>
          <w:sz w:val="22"/>
          <w:szCs w:val="22"/>
          <w:highlight w:val="none"/>
        </w:rPr>
      </w:pPr>
      <w:bookmarkStart w:id="227" w:name="_Toc205638710"/>
      <w:bookmarkStart w:id="228" w:name="_Toc212458341"/>
      <w:r>
        <w:rPr>
          <w:rFonts w:hint="eastAsia" w:ascii="宋体" w:hAnsi="宋体" w:cs="宋体"/>
          <w:color w:val="auto"/>
          <w:kern w:val="1"/>
          <w:sz w:val="22"/>
          <w:szCs w:val="22"/>
          <w:highlight w:val="none"/>
        </w:rPr>
        <w:t>日  期：</w:t>
      </w:r>
      <w:bookmarkEnd w:id="227"/>
      <w:bookmarkEnd w:id="228"/>
    </w:p>
    <w:p w14:paraId="5324967C">
      <w:pPr>
        <w:spacing w:before="156" w:after="156" w:line="360" w:lineRule="auto"/>
        <w:ind w:firstLine="2692" w:firstLineChars="745"/>
        <w:rPr>
          <w:rFonts w:ascii="宋体" w:hAnsi="宋体" w:cs="宋体"/>
          <w:b/>
          <w:bCs/>
          <w:color w:val="auto"/>
          <w:sz w:val="36"/>
          <w:szCs w:val="36"/>
          <w:highlight w:val="none"/>
        </w:rPr>
      </w:pPr>
    </w:p>
    <w:p w14:paraId="7EC75F15">
      <w:pPr>
        <w:spacing w:before="156" w:after="156" w:line="360" w:lineRule="auto"/>
        <w:ind w:firstLine="2692" w:firstLineChars="745"/>
        <w:rPr>
          <w:rFonts w:ascii="宋体" w:hAnsi="宋体" w:cs="宋体"/>
          <w:b/>
          <w:bCs/>
          <w:color w:val="auto"/>
          <w:sz w:val="36"/>
          <w:szCs w:val="36"/>
          <w:highlight w:val="none"/>
        </w:rPr>
      </w:pPr>
    </w:p>
    <w:p w14:paraId="56B0B5CA">
      <w:pPr>
        <w:spacing w:before="156" w:after="156" w:line="360" w:lineRule="auto"/>
        <w:ind w:firstLine="2692" w:firstLineChars="745"/>
        <w:rPr>
          <w:rFonts w:ascii="宋体" w:hAnsi="宋体" w:cs="宋体"/>
          <w:b/>
          <w:bCs/>
          <w:color w:val="auto"/>
          <w:sz w:val="36"/>
          <w:szCs w:val="36"/>
          <w:highlight w:val="none"/>
        </w:rPr>
      </w:pPr>
    </w:p>
    <w:p w14:paraId="1D9141E1">
      <w:pPr>
        <w:spacing w:before="156" w:after="156" w:line="360" w:lineRule="auto"/>
        <w:ind w:firstLine="2692" w:firstLineChars="745"/>
        <w:rPr>
          <w:rFonts w:ascii="宋体" w:hAnsi="宋体" w:cs="宋体"/>
          <w:b/>
          <w:bCs/>
          <w:color w:val="auto"/>
          <w:sz w:val="36"/>
          <w:szCs w:val="36"/>
          <w:highlight w:val="none"/>
        </w:rPr>
      </w:pPr>
    </w:p>
    <w:p w14:paraId="56F2446A">
      <w:pPr>
        <w:spacing w:before="156" w:after="156" w:line="360" w:lineRule="auto"/>
        <w:ind w:firstLine="2692" w:firstLineChars="745"/>
        <w:rPr>
          <w:rFonts w:ascii="宋体" w:hAnsi="宋体" w:cs="宋体"/>
          <w:b/>
          <w:bCs/>
          <w:color w:val="auto"/>
          <w:sz w:val="36"/>
          <w:szCs w:val="36"/>
          <w:highlight w:val="none"/>
        </w:rPr>
      </w:pPr>
    </w:p>
    <w:p w14:paraId="31A681DE">
      <w:pPr>
        <w:spacing w:before="156" w:after="156" w:line="360" w:lineRule="auto"/>
        <w:rPr>
          <w:rFonts w:ascii="宋体" w:hAnsi="宋体" w:cs="宋体"/>
          <w:b/>
          <w:bCs/>
          <w:color w:val="auto"/>
          <w:sz w:val="36"/>
          <w:szCs w:val="36"/>
          <w:highlight w:val="none"/>
        </w:rPr>
      </w:pPr>
    </w:p>
    <w:p w14:paraId="554E8E4C">
      <w:pPr>
        <w:pStyle w:val="4"/>
        <w:ind w:firstLine="210"/>
        <w:rPr>
          <w:color w:val="auto"/>
          <w:highlight w:val="none"/>
        </w:rPr>
      </w:pPr>
    </w:p>
    <w:p w14:paraId="7E236CCC">
      <w:pPr>
        <w:pBdr>
          <w:top w:val="none" w:color="000000" w:sz="0" w:space="0"/>
          <w:left w:val="none" w:color="000000" w:sz="0" w:space="0"/>
          <w:bottom w:val="none" w:color="000000" w:sz="0" w:space="0"/>
          <w:right w:val="none" w:color="000000" w:sz="0" w:space="0"/>
          <w:between w:val="none" w:color="000000" w:sz="0" w:space="0"/>
        </w:pBdr>
        <w:spacing w:before="156" w:beforeLines="50" w:line="360" w:lineRule="auto"/>
        <w:rPr>
          <w:rFonts w:ascii="宋体" w:hAnsi="宋体" w:cs="宋体"/>
          <w:b/>
          <w:color w:val="auto"/>
          <w:kern w:val="1"/>
          <w:sz w:val="24"/>
          <w:szCs w:val="22"/>
          <w:highlight w:val="none"/>
        </w:rPr>
      </w:pPr>
      <w:r>
        <w:rPr>
          <w:rFonts w:hint="eastAsia" w:ascii="宋体" w:hAnsi="宋体" w:cs="宋体"/>
          <w:b/>
          <w:color w:val="auto"/>
          <w:kern w:val="1"/>
          <w:sz w:val="24"/>
          <w:szCs w:val="22"/>
          <w:highlight w:val="none"/>
        </w:rPr>
        <w:br w:type="page"/>
      </w:r>
      <w:r>
        <w:rPr>
          <w:rFonts w:hint="eastAsia" w:ascii="宋体" w:hAnsi="宋体" w:cs="宋体"/>
          <w:b/>
          <w:color w:val="auto"/>
          <w:kern w:val="1"/>
          <w:sz w:val="24"/>
          <w:szCs w:val="22"/>
          <w:highlight w:val="none"/>
        </w:rPr>
        <w:t>附录四：保密协议</w:t>
      </w:r>
    </w:p>
    <w:p w14:paraId="768BFF9E">
      <w:pPr>
        <w:pStyle w:val="48"/>
        <w:autoSpaceDE w:val="0"/>
        <w:autoSpaceDN w:val="0"/>
        <w:adjustRightInd w:val="0"/>
        <w:spacing w:line="360" w:lineRule="auto"/>
        <w:jc w:val="center"/>
        <w:rPr>
          <w:rFonts w:ascii="宋体" w:hAnsi="宋体" w:cs="宋体"/>
          <w:b/>
          <w:bCs/>
          <w:color w:val="auto"/>
          <w:kern w:val="0"/>
          <w:sz w:val="36"/>
          <w:szCs w:val="36"/>
          <w:highlight w:val="none"/>
        </w:rPr>
      </w:pPr>
    </w:p>
    <w:p w14:paraId="589D11D0">
      <w:pPr>
        <w:pStyle w:val="48"/>
        <w:autoSpaceDE w:val="0"/>
        <w:autoSpaceDN w:val="0"/>
        <w:adjustRightInd w:val="0"/>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保密协议</w:t>
      </w:r>
    </w:p>
    <w:p w14:paraId="4D70A8D4">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采购项目名称：</w:t>
      </w:r>
      <w:r>
        <w:rPr>
          <w:rFonts w:hint="eastAsia" w:ascii="宋体" w:hAnsi="宋体" w:cs="宋体"/>
          <w:color w:val="auto"/>
          <w:sz w:val="22"/>
          <w:szCs w:val="22"/>
          <w:highlight w:val="none"/>
          <w:lang w:eastAsia="zh-CN"/>
        </w:rPr>
        <w:t>温州市交发集团OA系统信创改造</w:t>
      </w:r>
    </w:p>
    <w:p w14:paraId="26D14B8E">
      <w:pPr>
        <w:pStyle w:val="48"/>
        <w:adjustRightIn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lang w:eastAsia="zh-CN"/>
        </w:rPr>
        <w:t>温州市交通发展集团有限公司</w:t>
      </w:r>
    </w:p>
    <w:p w14:paraId="21B984D6">
      <w:pPr>
        <w:pStyle w:val="48"/>
        <w:adjustRightInd w:val="0"/>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乙方：</w:t>
      </w:r>
    </w:p>
    <w:p w14:paraId="4745D718">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鉴于</w:t>
      </w:r>
      <w:r>
        <w:rPr>
          <w:rFonts w:hint="eastAsia" w:ascii="宋体" w:hAnsi="宋体"/>
          <w:color w:val="auto"/>
          <w:sz w:val="22"/>
          <w:szCs w:val="22"/>
          <w:highlight w:val="none"/>
          <w:lang w:eastAsia="zh-CN"/>
        </w:rPr>
        <w:t>温州市交发集团OA系统信创改造</w:t>
      </w:r>
      <w:r>
        <w:rPr>
          <w:rFonts w:hint="eastAsia" w:ascii="宋体" w:hAnsi="宋体"/>
          <w:color w:val="auto"/>
          <w:sz w:val="22"/>
          <w:szCs w:val="22"/>
          <w:highlight w:val="none"/>
        </w:rPr>
        <w:t>的特殊性，为明确</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的保密义务和维护双方合法权益，</w:t>
      </w:r>
      <w:r>
        <w:rPr>
          <w:rFonts w:hint="eastAsia" w:ascii="宋体" w:hAnsi="宋体"/>
          <w:color w:val="auto"/>
          <w:sz w:val="22"/>
          <w:szCs w:val="22"/>
          <w:highlight w:val="none"/>
          <w:lang w:eastAsia="zh-CN"/>
        </w:rPr>
        <w:t>甲、乙双方</w:t>
      </w:r>
      <w:r>
        <w:rPr>
          <w:rFonts w:hint="eastAsia" w:ascii="宋体" w:hAnsi="宋体"/>
          <w:color w:val="auto"/>
          <w:sz w:val="22"/>
          <w:szCs w:val="22"/>
          <w:highlight w:val="none"/>
        </w:rPr>
        <w:t>就有关合同履行中所涉及的保密事宜进行了友好协商，达成如下协议。</w:t>
      </w:r>
    </w:p>
    <w:p w14:paraId="12124B3C">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 xml:space="preserve">第一条 保密资料的定义 </w:t>
      </w:r>
    </w:p>
    <w:p w14:paraId="4191B5A1">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本协议所称的保密内容包括</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在</w:t>
      </w:r>
      <w:r>
        <w:rPr>
          <w:rFonts w:hint="eastAsia" w:ascii="宋体" w:hAnsi="宋体"/>
          <w:color w:val="auto"/>
          <w:sz w:val="22"/>
          <w:szCs w:val="22"/>
          <w:highlight w:val="none"/>
          <w:lang w:eastAsia="zh-CN"/>
        </w:rPr>
        <w:t>温州市交发集团OA系统信创改造</w:t>
      </w:r>
      <w:r>
        <w:rPr>
          <w:rFonts w:hint="eastAsia" w:ascii="宋体" w:hAnsi="宋体"/>
          <w:color w:val="auto"/>
          <w:sz w:val="22"/>
          <w:szCs w:val="22"/>
          <w:highlight w:val="none"/>
        </w:rPr>
        <w:t>服务全过程中，所获知的有关各类信息、文件、图纸、数据和相关工作承担者之间往来的传真、信函、微信、短信、电子邮件（包括电子档与纸质文件等）等。</w:t>
      </w:r>
    </w:p>
    <w:p w14:paraId="2270EDC1">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 xml:space="preserve">第二条 </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责任</w:t>
      </w:r>
    </w:p>
    <w:p w14:paraId="28B00864">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 xml:space="preserve">2.1 </w:t>
      </w:r>
      <w:r>
        <w:rPr>
          <w:rFonts w:hint="eastAsia" w:ascii="宋体" w:hAnsi="宋体"/>
          <w:color w:val="auto"/>
          <w:sz w:val="22"/>
          <w:szCs w:val="22"/>
          <w:highlight w:val="none"/>
          <w:lang w:eastAsia="zh-CN"/>
        </w:rPr>
        <w:t>甲方为保密资料的提供方，乙方及其关联公司、员工或可能因乙方原因接触到保密资料的相关人员为保密资料的接受方，乙方负有保密义务、承担保密责任</w:t>
      </w:r>
      <w:r>
        <w:rPr>
          <w:rFonts w:hint="eastAsia" w:ascii="宋体" w:hAnsi="宋体"/>
          <w:color w:val="auto"/>
          <w:sz w:val="22"/>
          <w:szCs w:val="22"/>
          <w:highlight w:val="none"/>
        </w:rPr>
        <w:t>。</w:t>
      </w:r>
    </w:p>
    <w:p w14:paraId="01D85A48">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2.2 未经</w:t>
      </w:r>
      <w:r>
        <w:rPr>
          <w:rFonts w:hint="eastAsia" w:ascii="宋体" w:hAnsi="宋体"/>
          <w:color w:val="auto"/>
          <w:sz w:val="22"/>
          <w:szCs w:val="22"/>
          <w:highlight w:val="none"/>
          <w:lang w:eastAsia="zh-CN"/>
        </w:rPr>
        <w:t>甲方</w:t>
      </w:r>
      <w:r>
        <w:rPr>
          <w:rFonts w:hint="eastAsia" w:ascii="宋体" w:hAnsi="宋体"/>
          <w:color w:val="auto"/>
          <w:sz w:val="22"/>
          <w:szCs w:val="22"/>
          <w:highlight w:val="none"/>
        </w:rPr>
        <w:t>书面同意，</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不得获取与服务内容无关的数据和资料，不得向第三人公开和披露任何保密资料或以其他方式为合作项目以外的其他目的使用保密资料。但依据相关法律、法规或者监管部门要求对相关的保密信息进行必要披露的除外。</w:t>
      </w:r>
    </w:p>
    <w:p w14:paraId="26F63990">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 xml:space="preserve">2.3 </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须把保密资料的接触范围严格限制在本项目规定的需接触保密资料的各自负责任的人员的范围内。</w:t>
      </w:r>
    </w:p>
    <w:p w14:paraId="7F56A1B3">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2.4 如果合作项目不再继续进行或其中</w:t>
      </w:r>
      <w:r>
        <w:rPr>
          <w:rFonts w:hint="eastAsia" w:ascii="宋体" w:hAnsi="宋体"/>
          <w:color w:val="auto"/>
          <w:sz w:val="22"/>
          <w:szCs w:val="22"/>
          <w:highlight w:val="none"/>
          <w:lang w:eastAsia="zh-CN"/>
        </w:rPr>
        <w:t>甲、乙双方</w:t>
      </w:r>
      <w:r>
        <w:rPr>
          <w:rFonts w:hint="eastAsia" w:ascii="宋体" w:hAnsi="宋体"/>
          <w:color w:val="auto"/>
          <w:sz w:val="22"/>
          <w:szCs w:val="22"/>
          <w:highlight w:val="none"/>
        </w:rPr>
        <w:t>中一方因故退出合作项目或合同履行完毕，经</w:t>
      </w:r>
      <w:r>
        <w:rPr>
          <w:rFonts w:hint="eastAsia" w:ascii="宋体" w:hAnsi="宋体"/>
          <w:color w:val="auto"/>
          <w:sz w:val="22"/>
          <w:szCs w:val="22"/>
          <w:highlight w:val="none"/>
          <w:lang w:eastAsia="zh-CN"/>
        </w:rPr>
        <w:t>甲方</w:t>
      </w:r>
      <w:r>
        <w:rPr>
          <w:rFonts w:hint="eastAsia" w:ascii="宋体" w:hAnsi="宋体"/>
          <w:color w:val="auto"/>
          <w:sz w:val="22"/>
          <w:szCs w:val="22"/>
          <w:highlight w:val="none"/>
        </w:rPr>
        <w:t>在任何时候提出书面要求，</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应促使其人员在五个工作日内销毁或向</w:t>
      </w:r>
      <w:r>
        <w:rPr>
          <w:rFonts w:hint="eastAsia" w:ascii="宋体" w:hAnsi="宋体"/>
          <w:color w:val="auto"/>
          <w:sz w:val="22"/>
          <w:szCs w:val="22"/>
          <w:highlight w:val="none"/>
          <w:lang w:eastAsia="zh-CN"/>
        </w:rPr>
        <w:t>甲方</w:t>
      </w:r>
      <w:r>
        <w:rPr>
          <w:rFonts w:hint="eastAsia" w:ascii="宋体" w:hAnsi="宋体"/>
          <w:color w:val="auto"/>
          <w:sz w:val="22"/>
          <w:szCs w:val="22"/>
          <w:highlight w:val="none"/>
        </w:rPr>
        <w:t>返还其占有的或控制的全部保密资料以及包含或体现了保密资料的全部文件和其它材料并连同全部副本。</w:t>
      </w:r>
    </w:p>
    <w:p w14:paraId="456E9670">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第三条 知识产权</w:t>
      </w:r>
    </w:p>
    <w:p w14:paraId="067717E8">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lang w:eastAsia="zh-CN"/>
        </w:rPr>
        <w:t>甲方</w:t>
      </w:r>
      <w:r>
        <w:rPr>
          <w:rFonts w:hint="eastAsia" w:ascii="宋体" w:hAnsi="宋体"/>
          <w:color w:val="auto"/>
          <w:sz w:val="22"/>
          <w:szCs w:val="22"/>
          <w:highlight w:val="none"/>
        </w:rPr>
        <w:t>向</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披露保密资料并不构成向</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的转让或授予</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对其商业秘密、商标、专利、技术秘密或任何其它知识产权拥有的权益，也不构成向</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转让或向</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授予</w:t>
      </w:r>
      <w:r>
        <w:rPr>
          <w:rFonts w:hint="eastAsia" w:ascii="宋体" w:hAnsi="宋体"/>
          <w:color w:val="auto"/>
          <w:sz w:val="22"/>
          <w:szCs w:val="22"/>
          <w:highlight w:val="none"/>
          <w:lang w:eastAsia="zh-CN"/>
        </w:rPr>
        <w:t>甲方</w:t>
      </w:r>
      <w:r>
        <w:rPr>
          <w:rFonts w:hint="eastAsia" w:ascii="宋体" w:hAnsi="宋体"/>
          <w:color w:val="auto"/>
          <w:sz w:val="22"/>
          <w:szCs w:val="22"/>
          <w:highlight w:val="none"/>
        </w:rPr>
        <w:t>受第三人许可使用的商业秘密、商标、专利、技术秘密或任何其他知识产权的有关权益。</w:t>
      </w:r>
    </w:p>
    <w:p w14:paraId="79CB8D5E">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第四条 违约责任</w:t>
      </w:r>
    </w:p>
    <w:p w14:paraId="34A8CD5D">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 xml:space="preserve">4.1 </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违反其保密义务，应承担由此给</w:t>
      </w:r>
      <w:r>
        <w:rPr>
          <w:rFonts w:hint="eastAsia" w:ascii="宋体" w:hAnsi="宋体"/>
          <w:color w:val="auto"/>
          <w:sz w:val="22"/>
          <w:szCs w:val="22"/>
          <w:highlight w:val="none"/>
          <w:lang w:eastAsia="zh-CN"/>
        </w:rPr>
        <w:t>甲方</w:t>
      </w:r>
      <w:r>
        <w:rPr>
          <w:rFonts w:hint="eastAsia" w:ascii="宋体" w:hAnsi="宋体"/>
          <w:color w:val="auto"/>
          <w:sz w:val="22"/>
          <w:szCs w:val="22"/>
          <w:highlight w:val="none"/>
        </w:rPr>
        <w:t>造成的一切损失。</w:t>
      </w:r>
    </w:p>
    <w:p w14:paraId="62B90E4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kern w:val="52"/>
          <w:sz w:val="22"/>
          <w:szCs w:val="22"/>
          <w:highlight w:val="none"/>
        </w:rPr>
      </w:pPr>
      <w:r>
        <w:rPr>
          <w:rFonts w:hint="eastAsia" w:ascii="宋体" w:hAnsi="宋体"/>
          <w:color w:val="auto"/>
          <w:kern w:val="52"/>
          <w:sz w:val="22"/>
          <w:szCs w:val="22"/>
          <w:highlight w:val="none"/>
        </w:rPr>
        <w:t>4.2</w:t>
      </w:r>
      <w:r>
        <w:rPr>
          <w:rFonts w:hint="eastAsia" w:ascii="宋体" w:hAnsi="宋体"/>
          <w:color w:val="auto"/>
          <w:kern w:val="52"/>
          <w:sz w:val="22"/>
          <w:szCs w:val="22"/>
          <w:highlight w:val="none"/>
          <w:lang w:eastAsia="zh-CN"/>
        </w:rPr>
        <w:t>乙方</w:t>
      </w:r>
      <w:r>
        <w:rPr>
          <w:rFonts w:hint="eastAsia" w:ascii="宋体" w:hAnsi="宋体"/>
          <w:color w:val="auto"/>
          <w:kern w:val="52"/>
          <w:sz w:val="22"/>
          <w:szCs w:val="22"/>
          <w:highlight w:val="none"/>
        </w:rPr>
        <w:t>未经</w:t>
      </w:r>
      <w:r>
        <w:rPr>
          <w:rFonts w:hint="eastAsia" w:ascii="宋体" w:hAnsi="宋体"/>
          <w:color w:val="auto"/>
          <w:kern w:val="52"/>
          <w:sz w:val="22"/>
          <w:szCs w:val="22"/>
          <w:highlight w:val="none"/>
          <w:lang w:eastAsia="zh-CN"/>
        </w:rPr>
        <w:t>甲方</w:t>
      </w:r>
      <w:r>
        <w:rPr>
          <w:rFonts w:hint="eastAsia" w:ascii="宋体" w:hAnsi="宋体"/>
          <w:color w:val="auto"/>
          <w:kern w:val="52"/>
          <w:sz w:val="22"/>
          <w:szCs w:val="22"/>
          <w:highlight w:val="none"/>
        </w:rPr>
        <w:t>同意向任何第三方泄露本项目技术资料及项目内容，或违反保密条款擅自对外转让、使用本项目数据信息的，应当按照本项目合同价的20%向</w:t>
      </w:r>
      <w:r>
        <w:rPr>
          <w:rFonts w:hint="eastAsia" w:ascii="宋体" w:hAnsi="宋体"/>
          <w:color w:val="auto"/>
          <w:kern w:val="52"/>
          <w:sz w:val="22"/>
          <w:szCs w:val="22"/>
          <w:highlight w:val="none"/>
          <w:lang w:eastAsia="zh-CN"/>
        </w:rPr>
        <w:t>甲方</w:t>
      </w:r>
      <w:r>
        <w:rPr>
          <w:rFonts w:hint="eastAsia" w:ascii="宋体" w:hAnsi="宋体"/>
          <w:color w:val="auto"/>
          <w:kern w:val="52"/>
          <w:sz w:val="22"/>
          <w:szCs w:val="22"/>
          <w:highlight w:val="none"/>
        </w:rPr>
        <w:t>支付违约金，并赔偿</w:t>
      </w:r>
      <w:r>
        <w:rPr>
          <w:rFonts w:hint="eastAsia" w:ascii="宋体" w:hAnsi="宋体"/>
          <w:color w:val="auto"/>
          <w:kern w:val="52"/>
          <w:sz w:val="22"/>
          <w:szCs w:val="22"/>
          <w:highlight w:val="none"/>
          <w:lang w:eastAsia="zh-CN"/>
        </w:rPr>
        <w:t>甲方</w:t>
      </w:r>
      <w:r>
        <w:rPr>
          <w:rFonts w:hint="eastAsia" w:ascii="宋体" w:hAnsi="宋体"/>
          <w:color w:val="auto"/>
          <w:kern w:val="52"/>
          <w:sz w:val="22"/>
          <w:szCs w:val="22"/>
          <w:highlight w:val="none"/>
        </w:rPr>
        <w:t>的全部损失。</w:t>
      </w:r>
    </w:p>
    <w:p w14:paraId="0B3462A8">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 xml:space="preserve">4.3 </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违反本协议规定的保密义务给参与合作项目实施的第三人造成损失，由此导致</w:t>
      </w:r>
      <w:r>
        <w:rPr>
          <w:rFonts w:hint="eastAsia" w:ascii="宋体" w:hAnsi="宋体"/>
          <w:color w:val="auto"/>
          <w:sz w:val="22"/>
          <w:szCs w:val="22"/>
          <w:highlight w:val="none"/>
          <w:lang w:eastAsia="zh-CN"/>
        </w:rPr>
        <w:t>甲方</w:t>
      </w:r>
      <w:r>
        <w:rPr>
          <w:rFonts w:hint="eastAsia" w:ascii="宋体" w:hAnsi="宋体"/>
          <w:color w:val="auto"/>
          <w:sz w:val="22"/>
          <w:szCs w:val="22"/>
          <w:highlight w:val="none"/>
        </w:rPr>
        <w:t>对第三人承担赔偿等责任的，</w:t>
      </w:r>
      <w:r>
        <w:rPr>
          <w:rFonts w:hint="eastAsia" w:ascii="宋体" w:hAnsi="宋体"/>
          <w:color w:val="auto"/>
          <w:sz w:val="22"/>
          <w:szCs w:val="22"/>
          <w:highlight w:val="none"/>
          <w:lang w:eastAsia="zh-CN"/>
        </w:rPr>
        <w:t>甲方</w:t>
      </w:r>
      <w:r>
        <w:rPr>
          <w:rFonts w:hint="eastAsia" w:ascii="宋体" w:hAnsi="宋体"/>
          <w:color w:val="auto"/>
          <w:sz w:val="22"/>
          <w:szCs w:val="22"/>
          <w:highlight w:val="none"/>
        </w:rPr>
        <w:t>有权就对第三人承担的赔偿等责任向</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全额追偿。</w:t>
      </w:r>
    </w:p>
    <w:p w14:paraId="035F8045">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第五条 争议解决和适用法律</w:t>
      </w:r>
    </w:p>
    <w:p w14:paraId="786EAF31">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ascii="宋体" w:hAnsi="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page">
                  <wp:posOffset>7381875</wp:posOffset>
                </wp:positionH>
                <wp:positionV relativeFrom="paragraph">
                  <wp:posOffset>168910</wp:posOffset>
                </wp:positionV>
                <wp:extent cx="108585" cy="26924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08585" cy="269240"/>
                        </a:xfrm>
                        <a:prstGeom prst="rect">
                          <a:avLst/>
                        </a:prstGeom>
                        <a:noFill/>
                        <a:ln>
                          <a:noFill/>
                        </a:ln>
                        <a:effectLst/>
                      </wps:spPr>
                      <wps:txbx>
                        <w:txbxContent>
                          <w:p w14:paraId="7DCF05E4">
                            <w:pPr>
                              <w:spacing w:line="144" w:lineRule="auto"/>
                              <w:ind w:left="20"/>
                              <w:jc w:val="left"/>
                              <w:rPr>
                                <w:rFonts w:ascii="宋体" w:hAnsi="宋体" w:cs="宋体"/>
                                <w:sz w:val="13"/>
                                <w:szCs w:val="13"/>
                              </w:rPr>
                            </w:pPr>
                            <w:r>
                              <w:rPr>
                                <w:rFonts w:ascii="宋体" w:hAnsi="宋体" w:cs="宋体"/>
                                <w:color w:val="F797A5"/>
                                <w:sz w:val="10"/>
                                <w:szCs w:val="10"/>
                              </w:rPr>
                              <w:t xml:space="preserve">4 </w:t>
                            </w:r>
                            <w:r>
                              <w:rPr>
                                <w:rFonts w:ascii="宋体" w:hAnsi="宋体" w:cs="宋体"/>
                                <w:color w:val="F797A5"/>
                                <w:spacing w:val="-8"/>
                                <w:sz w:val="10"/>
                                <w:szCs w:val="10"/>
                              </w:rPr>
                              <w:t xml:space="preserve"> </w:t>
                            </w:r>
                            <w:r>
                              <w:rPr>
                                <w:rFonts w:ascii="宋体" w:hAnsi="宋体" w:cs="宋体"/>
                                <w:color w:val="F797A5"/>
                                <w:spacing w:val="-69"/>
                                <w:sz w:val="13"/>
                                <w:szCs w:val="13"/>
                              </w:rPr>
                              <w:t>＼</w:t>
                            </w:r>
                            <w:r>
                              <w:rPr>
                                <w:rFonts w:ascii="宋体" w:hAnsi="宋体" w:cs="宋体"/>
                                <w:color w:val="F797A5"/>
                                <w:sz w:val="13"/>
                                <w:szCs w:val="13"/>
                              </w:rPr>
                              <w:t>『</w:t>
                            </w:r>
                          </w:p>
                        </w:txbxContent>
                      </wps:txbx>
                      <wps:bodyPr vert="eaVert" wrap="square" lIns="0" tIns="0" rIns="0" bIns="0" anchor="t" anchorCtr="0" upright="1"/>
                    </wps:wsp>
                  </a:graphicData>
                </a:graphic>
              </wp:anchor>
            </w:drawing>
          </mc:Choice>
          <mc:Fallback>
            <w:pict>
              <v:shape id="_x0000_s1026" o:spid="_x0000_s1026" o:spt="202" type="#_x0000_t202" style="position:absolute;left:0pt;margin-left:581.25pt;margin-top:13.3pt;height:21.2pt;width:8.55pt;mso-position-horizontal-relative:page;z-index:251659264;mso-width-relative:page;mso-height-relative:page;" filled="f" stroked="f" coordsize="21600,21600" o:gfxdata="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Wtzz9cAAAALAQAADwAA&#10;AAAAAAABACAAAAAiAAAAZHJzL2Rvd25yZXYueG1sUEsBAhQAFAAAAAgAh07iQIIS69feAQAAtgMA&#10;AA4AAAAAAAAAAQAgAAAAJgEAAGRycy9lMm9Eb2MueG1sUEsFBgAAAAAGAAYAWQEAAHYFAAAAAA==&#10;">
                <v:fill on="f" focussize="0,0"/>
                <v:stroke on="f"/>
                <v:imagedata o:title=""/>
                <o:lock v:ext="edit" aspectratio="f"/>
                <v:textbox inset="0mm,0mm,0mm,0mm" style="layout-flow:vertical-ideographic;">
                  <w:txbxContent>
                    <w:p w14:paraId="7DCF05E4">
                      <w:pPr>
                        <w:spacing w:line="144" w:lineRule="auto"/>
                        <w:ind w:left="20"/>
                        <w:jc w:val="left"/>
                        <w:rPr>
                          <w:rFonts w:ascii="宋体" w:hAnsi="宋体" w:cs="宋体"/>
                          <w:sz w:val="13"/>
                          <w:szCs w:val="13"/>
                        </w:rPr>
                      </w:pPr>
                      <w:r>
                        <w:rPr>
                          <w:rFonts w:ascii="宋体" w:hAnsi="宋体" w:cs="宋体"/>
                          <w:color w:val="F797A5"/>
                          <w:sz w:val="10"/>
                          <w:szCs w:val="10"/>
                        </w:rPr>
                        <w:t xml:space="preserve">4 </w:t>
                      </w:r>
                      <w:r>
                        <w:rPr>
                          <w:rFonts w:ascii="宋体" w:hAnsi="宋体" w:cs="宋体"/>
                          <w:color w:val="F797A5"/>
                          <w:spacing w:val="-8"/>
                          <w:sz w:val="10"/>
                          <w:szCs w:val="10"/>
                        </w:rPr>
                        <w:t xml:space="preserve"> </w:t>
                      </w:r>
                      <w:r>
                        <w:rPr>
                          <w:rFonts w:ascii="宋体" w:hAnsi="宋体" w:cs="宋体"/>
                          <w:color w:val="F797A5"/>
                          <w:spacing w:val="-69"/>
                          <w:sz w:val="13"/>
                          <w:szCs w:val="13"/>
                        </w:rPr>
                        <w:t>＼</w:t>
                      </w:r>
                      <w:r>
                        <w:rPr>
                          <w:rFonts w:ascii="宋体" w:hAnsi="宋体" w:cs="宋体"/>
                          <w:color w:val="F797A5"/>
                          <w:sz w:val="13"/>
                          <w:szCs w:val="13"/>
                        </w:rPr>
                        <w:t>『</w:t>
                      </w:r>
                    </w:p>
                  </w:txbxContent>
                </v:textbox>
              </v:shape>
            </w:pict>
          </mc:Fallback>
        </mc:AlternateContent>
      </w:r>
      <w:r>
        <w:rPr>
          <w:rFonts w:hint="eastAsia" w:ascii="宋体" w:hAnsi="宋体"/>
          <w:color w:val="auto"/>
          <w:sz w:val="22"/>
          <w:szCs w:val="22"/>
          <w:highlight w:val="none"/>
        </w:rPr>
        <w:t>本协议受中华人民共和国法律管辖并按中华人民共和国法律解释。对因本协议或本协议</w:t>
      </w:r>
      <w:r>
        <w:rPr>
          <w:rFonts w:hint="eastAsia" w:ascii="宋体" w:hAnsi="宋体"/>
          <w:color w:val="auto"/>
          <w:sz w:val="22"/>
          <w:szCs w:val="22"/>
          <w:highlight w:val="none"/>
          <w:lang w:eastAsia="zh-CN"/>
        </w:rPr>
        <w:t>双方</w:t>
      </w:r>
      <w:r>
        <w:rPr>
          <w:rFonts w:hint="eastAsia" w:ascii="宋体" w:hAnsi="宋体"/>
          <w:color w:val="auto"/>
          <w:sz w:val="22"/>
          <w:szCs w:val="22"/>
          <w:highlight w:val="none"/>
        </w:rPr>
        <w:t>的权利和义务而发生的或与之有关的任何争议，本协议</w:t>
      </w:r>
      <w:r>
        <w:rPr>
          <w:rFonts w:hint="eastAsia" w:ascii="宋体" w:hAnsi="宋体"/>
          <w:color w:val="auto"/>
          <w:sz w:val="22"/>
          <w:szCs w:val="22"/>
          <w:highlight w:val="none"/>
          <w:lang w:eastAsia="zh-CN"/>
        </w:rPr>
        <w:t>甲、乙双方</w:t>
      </w:r>
      <w:r>
        <w:rPr>
          <w:rFonts w:hint="eastAsia" w:ascii="宋体" w:hAnsi="宋体"/>
          <w:color w:val="auto"/>
          <w:sz w:val="22"/>
          <w:szCs w:val="22"/>
          <w:highlight w:val="none"/>
        </w:rPr>
        <w:t>可</w:t>
      </w:r>
      <w:r>
        <w:rPr>
          <w:rFonts w:hint="eastAsia" w:ascii="宋体" w:hAnsi="宋体"/>
          <w:color w:val="auto"/>
          <w:kern w:val="52"/>
          <w:sz w:val="22"/>
          <w:szCs w:val="22"/>
          <w:highlight w:val="none"/>
        </w:rPr>
        <w:t>提请温州仲裁委员会仲裁</w:t>
      </w:r>
      <w:r>
        <w:rPr>
          <w:rFonts w:hint="eastAsia" w:ascii="宋体" w:hAnsi="宋体"/>
          <w:color w:val="auto"/>
          <w:sz w:val="22"/>
          <w:szCs w:val="22"/>
          <w:highlight w:val="none"/>
        </w:rPr>
        <w:t>。</w:t>
      </w:r>
    </w:p>
    <w:p w14:paraId="230910E5">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第六条 其他</w:t>
      </w:r>
    </w:p>
    <w:p w14:paraId="35DA8A3C">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6.1本协议自</w:t>
      </w:r>
      <w:r>
        <w:rPr>
          <w:rFonts w:hint="eastAsia" w:ascii="宋体" w:hAnsi="宋体"/>
          <w:color w:val="auto"/>
          <w:sz w:val="22"/>
          <w:szCs w:val="22"/>
          <w:highlight w:val="none"/>
          <w:lang w:eastAsia="zh-CN"/>
        </w:rPr>
        <w:t>甲、乙双方</w:t>
      </w:r>
      <w:r>
        <w:rPr>
          <w:rFonts w:hint="eastAsia" w:ascii="宋体" w:hAnsi="宋体"/>
          <w:color w:val="auto"/>
          <w:sz w:val="22"/>
          <w:szCs w:val="22"/>
          <w:highlight w:val="none"/>
        </w:rPr>
        <w:t>法定代表人或授权代理人签字盖章之日起生效。无论本协议所指合作事项届满或终止，</w:t>
      </w: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的保密义务应继续有效。</w:t>
      </w:r>
    </w:p>
    <w:p w14:paraId="1C8D0C19">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color w:val="auto"/>
          <w:sz w:val="22"/>
          <w:szCs w:val="22"/>
          <w:highlight w:val="none"/>
        </w:rPr>
      </w:pPr>
      <w:r>
        <w:rPr>
          <w:rFonts w:hint="eastAsia" w:ascii="宋体" w:hAnsi="宋体"/>
          <w:color w:val="auto"/>
          <w:sz w:val="22"/>
          <w:szCs w:val="22"/>
          <w:highlight w:val="none"/>
        </w:rPr>
        <w:t>6.2本协议未尽事宜，</w:t>
      </w:r>
      <w:r>
        <w:rPr>
          <w:rFonts w:hint="eastAsia" w:ascii="宋体" w:hAnsi="宋体"/>
          <w:color w:val="auto"/>
          <w:sz w:val="22"/>
          <w:szCs w:val="22"/>
          <w:highlight w:val="none"/>
          <w:lang w:eastAsia="zh-CN"/>
        </w:rPr>
        <w:t>甲、乙双方</w:t>
      </w:r>
      <w:r>
        <w:rPr>
          <w:rFonts w:hint="eastAsia" w:ascii="宋体" w:hAnsi="宋体"/>
          <w:color w:val="auto"/>
          <w:sz w:val="22"/>
          <w:szCs w:val="22"/>
          <w:highlight w:val="none"/>
        </w:rPr>
        <w:t>可协商制订补充条款，补充条款与本协议具有同等法律效力。</w:t>
      </w:r>
    </w:p>
    <w:p w14:paraId="163D4E05">
      <w:pPr>
        <w:pStyle w:val="48"/>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ascii="宋体" w:hAnsi="宋体"/>
          <w:strike/>
          <w:color w:val="auto"/>
          <w:sz w:val="22"/>
          <w:szCs w:val="22"/>
          <w:highlight w:val="none"/>
        </w:rPr>
      </w:pPr>
    </w:p>
    <w:p w14:paraId="2A03CB66">
      <w:pPr>
        <w:pStyle w:val="48"/>
        <w:adjustRightInd w:val="0"/>
        <w:spacing w:line="360" w:lineRule="auto"/>
        <w:ind w:firstLine="440" w:firstLineChars="200"/>
        <w:rPr>
          <w:rFonts w:ascii="宋体" w:hAnsi="宋体"/>
          <w:color w:val="auto"/>
          <w:sz w:val="22"/>
          <w:szCs w:val="22"/>
          <w:highlight w:val="none"/>
        </w:rPr>
      </w:pPr>
    </w:p>
    <w:p w14:paraId="21C03BF3">
      <w:pPr>
        <w:pStyle w:val="48"/>
        <w:adjustRightInd w:val="0"/>
        <w:spacing w:line="360" w:lineRule="auto"/>
        <w:ind w:firstLine="440" w:firstLineChars="200"/>
        <w:rPr>
          <w:rFonts w:ascii="宋体" w:hAnsi="宋体"/>
          <w:color w:val="auto"/>
          <w:sz w:val="22"/>
          <w:szCs w:val="22"/>
          <w:highlight w:val="none"/>
        </w:rPr>
      </w:pPr>
    </w:p>
    <w:p w14:paraId="604CE397">
      <w:pPr>
        <w:spacing w:before="156" w:after="156" w:line="360" w:lineRule="auto"/>
        <w:rPr>
          <w:rFonts w:ascii="宋体" w:hAnsi="宋体"/>
          <w:color w:val="auto"/>
          <w:sz w:val="22"/>
          <w:szCs w:val="22"/>
          <w:highlight w:val="none"/>
        </w:rPr>
      </w:pPr>
    </w:p>
    <w:p w14:paraId="4557FFEF">
      <w:pPr>
        <w:spacing w:before="156" w:after="156" w:line="360" w:lineRule="auto"/>
        <w:rPr>
          <w:rFonts w:ascii="宋体" w:hAnsi="宋体"/>
          <w:color w:val="auto"/>
          <w:sz w:val="22"/>
          <w:szCs w:val="22"/>
          <w:highlight w:val="none"/>
        </w:rPr>
      </w:pPr>
      <w:r>
        <w:rPr>
          <w:rFonts w:hint="eastAsia" w:ascii="宋体" w:hAnsi="宋体"/>
          <w:color w:val="auto"/>
          <w:sz w:val="22"/>
          <w:szCs w:val="22"/>
          <w:highlight w:val="none"/>
        </w:rPr>
        <w:t xml:space="preserve">甲方（盖章）：                               </w:t>
      </w:r>
    </w:p>
    <w:p w14:paraId="011762EC">
      <w:pPr>
        <w:spacing w:before="156" w:after="156" w:line="360" w:lineRule="auto"/>
        <w:rPr>
          <w:rFonts w:ascii="宋体" w:hAnsi="宋体"/>
          <w:color w:val="auto"/>
          <w:sz w:val="22"/>
          <w:szCs w:val="22"/>
          <w:highlight w:val="none"/>
        </w:rPr>
      </w:pPr>
      <w:r>
        <w:rPr>
          <w:rFonts w:hint="eastAsia" w:ascii="宋体" w:hAnsi="宋体"/>
          <w:color w:val="auto"/>
          <w:sz w:val="22"/>
          <w:szCs w:val="22"/>
          <w:highlight w:val="none"/>
        </w:rPr>
        <w:t xml:space="preserve">法定代表人或授权代表人 ： （签章）                             </w:t>
      </w:r>
    </w:p>
    <w:p w14:paraId="17C7AD95">
      <w:pPr>
        <w:spacing w:before="156" w:after="156" w:line="360" w:lineRule="auto"/>
        <w:rPr>
          <w:rFonts w:ascii="宋体" w:hAnsi="宋体"/>
          <w:color w:val="auto"/>
          <w:sz w:val="22"/>
          <w:szCs w:val="22"/>
          <w:highlight w:val="none"/>
        </w:rPr>
      </w:pPr>
      <w:r>
        <w:rPr>
          <w:rFonts w:hint="eastAsia" w:ascii="宋体" w:hAnsi="宋体" w:cs="宋体"/>
          <w:color w:val="auto"/>
          <w:kern w:val="1"/>
          <w:sz w:val="22"/>
          <w:szCs w:val="22"/>
          <w:highlight w:val="none"/>
        </w:rPr>
        <w:t xml:space="preserve">年  月  日 </w:t>
      </w:r>
      <w:r>
        <w:rPr>
          <w:rFonts w:hint="eastAsia" w:ascii="宋体" w:hAnsi="宋体"/>
          <w:color w:val="auto"/>
          <w:sz w:val="22"/>
          <w:szCs w:val="22"/>
          <w:highlight w:val="none"/>
        </w:rPr>
        <w:t xml:space="preserve">                               </w:t>
      </w:r>
    </w:p>
    <w:p w14:paraId="5FA833D0">
      <w:pPr>
        <w:spacing w:before="156" w:after="156" w:line="360" w:lineRule="auto"/>
        <w:rPr>
          <w:rFonts w:ascii="宋体" w:hAnsi="宋体"/>
          <w:color w:val="auto"/>
          <w:sz w:val="22"/>
          <w:szCs w:val="22"/>
          <w:highlight w:val="none"/>
        </w:rPr>
      </w:pPr>
    </w:p>
    <w:p w14:paraId="47C02E39">
      <w:pPr>
        <w:spacing w:before="156" w:after="156" w:line="360" w:lineRule="auto"/>
        <w:rPr>
          <w:rFonts w:ascii="宋体" w:hAnsi="宋体"/>
          <w:color w:val="auto"/>
          <w:sz w:val="22"/>
          <w:szCs w:val="22"/>
          <w:highlight w:val="none"/>
        </w:rPr>
      </w:pPr>
      <w:r>
        <w:rPr>
          <w:rFonts w:hint="eastAsia" w:ascii="宋体" w:hAnsi="宋体"/>
          <w:color w:val="auto"/>
          <w:sz w:val="22"/>
          <w:szCs w:val="22"/>
          <w:highlight w:val="none"/>
          <w:lang w:eastAsia="zh-CN"/>
        </w:rPr>
        <w:t>乙方</w:t>
      </w:r>
      <w:r>
        <w:rPr>
          <w:rFonts w:hint="eastAsia" w:ascii="宋体" w:hAnsi="宋体"/>
          <w:color w:val="auto"/>
          <w:sz w:val="22"/>
          <w:szCs w:val="22"/>
          <w:highlight w:val="none"/>
        </w:rPr>
        <w:t xml:space="preserve">（盖章）：                              </w:t>
      </w:r>
    </w:p>
    <w:p w14:paraId="13AED777">
      <w:pPr>
        <w:spacing w:before="156" w:after="156" w:line="360" w:lineRule="auto"/>
        <w:rPr>
          <w:rFonts w:ascii="宋体" w:hAnsi="宋体"/>
          <w:color w:val="auto"/>
          <w:sz w:val="22"/>
          <w:szCs w:val="22"/>
          <w:highlight w:val="none"/>
        </w:rPr>
      </w:pPr>
      <w:r>
        <w:rPr>
          <w:rFonts w:hint="eastAsia" w:ascii="宋体" w:hAnsi="宋体"/>
          <w:color w:val="auto"/>
          <w:sz w:val="22"/>
          <w:szCs w:val="22"/>
          <w:highlight w:val="none"/>
        </w:rPr>
        <w:t xml:space="preserve">法定代表人或授权代表人 ：  （签章）                             </w:t>
      </w:r>
    </w:p>
    <w:p w14:paraId="51939B11">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年  月  日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12"/>
      <w:bookmarkEnd w:id="213"/>
    </w:p>
    <w:p w14:paraId="73DACAA9">
      <w:pPr>
        <w:pStyle w:val="2"/>
        <w:rPr>
          <w:rFonts w:hint="eastAsia" w:ascii="宋体" w:hAnsi="宋体"/>
          <w:color w:val="auto"/>
          <w:sz w:val="22"/>
          <w:szCs w:val="22"/>
          <w:highlight w:val="none"/>
        </w:rPr>
      </w:pPr>
    </w:p>
    <w:p w14:paraId="4BF2F755">
      <w:pPr>
        <w:pStyle w:val="3"/>
        <w:rPr>
          <w:rFonts w:hint="eastAsia" w:ascii="宋体" w:hAnsi="宋体"/>
          <w:color w:val="auto"/>
          <w:sz w:val="22"/>
          <w:szCs w:val="22"/>
          <w:highlight w:val="none"/>
        </w:rPr>
      </w:pPr>
    </w:p>
    <w:p w14:paraId="6379A656">
      <w:pPr>
        <w:pStyle w:val="4"/>
        <w:rPr>
          <w:rFonts w:hint="eastAsia" w:ascii="宋体" w:hAnsi="宋体"/>
          <w:color w:val="auto"/>
          <w:sz w:val="22"/>
          <w:szCs w:val="22"/>
          <w:highlight w:val="none"/>
        </w:rPr>
      </w:pPr>
    </w:p>
    <w:p w14:paraId="3F7F42AA">
      <w:pPr>
        <w:pStyle w:val="5"/>
        <w:ind w:left="0" w:leftChars="0" w:firstLine="0" w:firstLineChars="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br w:type="page"/>
      </w:r>
      <w:r>
        <w:rPr>
          <w:rFonts w:hint="eastAsia" w:ascii="宋体" w:hAnsi="宋体" w:eastAsia="宋体" w:cs="宋体"/>
          <w:b/>
          <w:color w:val="auto"/>
          <w:kern w:val="1"/>
          <w:sz w:val="24"/>
          <w:szCs w:val="22"/>
          <w:highlight w:val="none"/>
          <w:lang w:val="en-US" w:eastAsia="zh-CN" w:bidi="ar-SA"/>
        </w:rPr>
        <w:t>附录五</w:t>
      </w:r>
    </w:p>
    <w:p w14:paraId="18D9BC24">
      <w:pPr>
        <w:pStyle w:val="48"/>
        <w:autoSpaceDE w:val="0"/>
        <w:autoSpaceDN w:val="0"/>
        <w:adjustRightInd w:val="0"/>
        <w:spacing w:line="360" w:lineRule="auto"/>
        <w:jc w:val="center"/>
        <w:rPr>
          <w:rFonts w:hint="eastAsia" w:ascii="宋体" w:hAnsi="宋体" w:cs="宋体"/>
          <w:b/>
          <w:bCs/>
          <w:color w:val="auto"/>
          <w:kern w:val="0"/>
          <w:sz w:val="36"/>
          <w:szCs w:val="36"/>
          <w:highlight w:val="none"/>
          <w:lang w:val="en-US" w:eastAsia="zh-CN"/>
        </w:rPr>
      </w:pPr>
      <w:r>
        <w:rPr>
          <w:rFonts w:hint="eastAsia" w:ascii="宋体" w:hAnsi="宋体" w:cs="宋体"/>
          <w:b/>
          <w:bCs/>
          <w:color w:val="auto"/>
          <w:kern w:val="0"/>
          <w:sz w:val="36"/>
          <w:szCs w:val="36"/>
          <w:highlight w:val="none"/>
          <w:lang w:val="en-US" w:eastAsia="zh-CN"/>
        </w:rPr>
        <w:t>温州市交通发展集团有限公司</w:t>
      </w:r>
    </w:p>
    <w:p w14:paraId="794AD327">
      <w:pPr>
        <w:pStyle w:val="48"/>
        <w:autoSpaceDE w:val="0"/>
        <w:autoSpaceDN w:val="0"/>
        <w:adjustRightInd w:val="0"/>
        <w:spacing w:line="360" w:lineRule="auto"/>
        <w:jc w:val="center"/>
        <w:rPr>
          <w:rFonts w:hint="eastAsia" w:ascii="宋体" w:hAnsi="宋体" w:cs="宋体"/>
          <w:b/>
          <w:bCs/>
          <w:color w:val="auto"/>
          <w:kern w:val="0"/>
          <w:sz w:val="36"/>
          <w:szCs w:val="36"/>
          <w:highlight w:val="none"/>
          <w:lang w:val="en-US" w:eastAsia="zh-CN"/>
        </w:rPr>
      </w:pPr>
      <w:r>
        <w:rPr>
          <w:rFonts w:hint="eastAsia" w:ascii="宋体" w:hAnsi="宋体" w:cs="宋体"/>
          <w:b/>
          <w:bCs/>
          <w:color w:val="auto"/>
          <w:kern w:val="0"/>
          <w:sz w:val="36"/>
          <w:szCs w:val="36"/>
          <w:highlight w:val="none"/>
          <w:lang w:val="en-US" w:eastAsia="zh-CN"/>
        </w:rPr>
        <w:t>网络和数据安全协议</w:t>
      </w:r>
    </w:p>
    <w:p w14:paraId="5C11AE21">
      <w:pPr>
        <w:pStyle w:val="5"/>
        <w:ind w:left="0"/>
        <w:rPr>
          <w:rFonts w:hint="eastAsia" w:ascii="宋体" w:hAnsi="宋体"/>
          <w:color w:val="auto"/>
          <w:sz w:val="22"/>
          <w:szCs w:val="22"/>
          <w:highlight w:val="none"/>
          <w:lang w:val="en-US" w:eastAsia="zh-CN"/>
        </w:rPr>
      </w:pPr>
    </w:p>
    <w:p w14:paraId="7FA16F7C">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 xml:space="preserve">甲方： </w:t>
      </w:r>
    </w:p>
    <w:p w14:paraId="1C22E345">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乙方：</w:t>
      </w:r>
    </w:p>
    <w:p w14:paraId="36066BCD">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乙方受甲方委托实施信息化项目，开展改造服务工作,因工作中能够接触到网络信息与敏感数据，根据国家有关规定，甲、乙双方本着平等、自愿、公平和诚实信用的原则，订立本协议。</w:t>
      </w:r>
    </w:p>
    <w:p w14:paraId="32A4A8AA">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甲乙双方共同自觉遵守国家有关网络和数据安全的各项法律法规，遵守各项规章制度。</w:t>
      </w:r>
    </w:p>
    <w:p w14:paraId="49900E1B">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乙方不得为任何第三方提供任何形式的业务数据，不利用工作之便或个人关系为第三方提供信息数据便利。</w:t>
      </w:r>
    </w:p>
    <w:p w14:paraId="32CA125A">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对于甲方向乙方提供的系统登录用户名和密码，乙方仅能用于维护使用，不得擅自做其他用途或泄露给第三方。</w:t>
      </w:r>
    </w:p>
    <w:p w14:paraId="1F8E27E9">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乙方不得利用甲方提供电脑和网络系统，私自连接外网，发送垃圾邮件、攻击网络和计算机系统，不得私自使用外来移动硬盘、U盘等移动存储介质，防止计算机病毒传播，危害网络和数据安全。</w:t>
      </w:r>
    </w:p>
    <w:p w14:paraId="30759665">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乙方不得在运行的信息系统上私自开发、挂靠与业务无关的软件或系统，不得私自发布通知或广告。</w:t>
      </w:r>
    </w:p>
    <w:p w14:paraId="70D2DC39">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乙方未征得甲方管理人员的允许前，不得私自开展数据处理活动，包括不限于收集、存储、使用、修改、加工、传输、提供、公开、删除等活动。</w:t>
      </w:r>
    </w:p>
    <w:p w14:paraId="59ECFCB8">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甲乙双方因故不能实施本项目，或因工作原因离岗（职）的，甲方有权收回所有项目资料和信息资源，乙方任何人员不得私自保管或带走，且有义务保守甲方商业秘密。</w:t>
      </w:r>
    </w:p>
    <w:p w14:paraId="01053F0A">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乙方任何人员违反本协议条款的行为即构成违约，将按合同有关条款执行，给甲方造成损失的甲方有权追究其法律责任并要求赔偿相应损失，构成犯罪的，移交司法机关追究其刑事责任。</w:t>
      </w:r>
    </w:p>
    <w:p w14:paraId="1139DAC5">
      <w:pPr>
        <w:pStyle w:val="48"/>
        <w:spacing w:line="360" w:lineRule="auto"/>
        <w:ind w:firstLine="440" w:firstLineChars="200"/>
        <w:jc w:val="both"/>
        <w:rPr>
          <w:rFonts w:hint="eastAsia" w:ascii="宋体" w:hAnsi="宋体"/>
          <w:color w:val="auto"/>
          <w:sz w:val="22"/>
          <w:szCs w:val="22"/>
          <w:highlight w:val="none"/>
          <w:lang w:val="en-US" w:eastAsia="zh-CN"/>
        </w:rPr>
      </w:pPr>
    </w:p>
    <w:p w14:paraId="31655DBE">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甲方代表（签字）：                  乙方（签字）：</w:t>
      </w:r>
    </w:p>
    <w:p w14:paraId="4598C150">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甲方（盖章）：                      身份证号码：</w:t>
      </w:r>
    </w:p>
    <w:p w14:paraId="736C4C23">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 xml:space="preserve">                                    乙方单位：</w:t>
      </w:r>
    </w:p>
    <w:p w14:paraId="6CFB7805">
      <w:pPr>
        <w:pStyle w:val="48"/>
        <w:spacing w:line="360" w:lineRule="auto"/>
        <w:ind w:firstLine="440" w:firstLineChars="200"/>
        <w:jc w:val="both"/>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 xml:space="preserve">                                    联系号码：</w:t>
      </w:r>
    </w:p>
    <w:p w14:paraId="369016F6">
      <w:pPr>
        <w:pStyle w:val="6"/>
        <w:keepNext/>
        <w:keepLines w:val="0"/>
        <w:pageBreakBefore w:val="0"/>
        <w:widowControl w:val="0"/>
        <w:numPr>
          <w:ilvl w:val="0"/>
          <w:numId w:val="0"/>
        </w:numPr>
        <w:kinsoku/>
        <w:wordWrap/>
        <w:overflowPunct/>
        <w:topLinePunct w:val="0"/>
        <w:autoSpaceDE/>
        <w:autoSpaceDN/>
        <w:bidi w:val="0"/>
        <w:adjustRightInd/>
        <w:snapToGrid/>
        <w:spacing w:before="156" w:after="156" w:line="360" w:lineRule="auto"/>
        <w:ind w:leftChars="0"/>
        <w:jc w:val="center"/>
        <w:textAlignment w:val="auto"/>
        <w:rPr>
          <w:rFonts w:ascii="宋体" w:hAnsi="宋体" w:cs="宋体"/>
          <w:color w:val="auto"/>
          <w:sz w:val="36"/>
          <w:szCs w:val="36"/>
          <w:highlight w:val="none"/>
        </w:rPr>
      </w:pPr>
      <w:r>
        <w:rPr>
          <w:rFonts w:ascii="宋体" w:hAnsi="宋体" w:cs="宋体"/>
          <w:color w:val="auto"/>
          <w:highlight w:val="none"/>
        </w:rPr>
        <w:br w:type="page"/>
      </w:r>
      <w:bookmarkStart w:id="229" w:name="_Toc21084"/>
      <w:bookmarkStart w:id="230" w:name="_Toc11988"/>
      <w:bookmarkStart w:id="231" w:name="_Toc31039"/>
      <w:bookmarkStart w:id="232" w:name="_Toc25154"/>
      <w:r>
        <w:rPr>
          <w:rFonts w:hint="eastAsia" w:ascii="宋体" w:hAnsi="宋体" w:cs="宋体"/>
          <w:color w:val="auto"/>
          <w:sz w:val="36"/>
          <w:szCs w:val="36"/>
          <w:highlight w:val="none"/>
        </w:rPr>
        <w:t>第三部分   附件</w:t>
      </w:r>
      <w:bookmarkEnd w:id="229"/>
      <w:bookmarkEnd w:id="230"/>
      <w:bookmarkEnd w:id="231"/>
      <w:bookmarkEnd w:id="232"/>
    </w:p>
    <w:p w14:paraId="08E0B2E2">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附件一</w:t>
      </w:r>
    </w:p>
    <w:p w14:paraId="3DA27EF3">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资格证明文件</w:t>
      </w:r>
    </w:p>
    <w:p w14:paraId="6B468095">
      <w:pPr>
        <w:spacing w:line="460" w:lineRule="exact"/>
        <w:rPr>
          <w:rFonts w:ascii="宋体" w:hAnsi="宋体" w:cs="宋体"/>
          <w:b/>
          <w:bCs/>
          <w:color w:val="auto"/>
          <w:sz w:val="32"/>
          <w:szCs w:val="32"/>
          <w:highlight w:val="none"/>
        </w:rPr>
      </w:pPr>
    </w:p>
    <w:p w14:paraId="6D6B7D0A">
      <w:pPr>
        <w:spacing w:line="460" w:lineRule="exact"/>
        <w:rPr>
          <w:rFonts w:ascii="宋体" w:hAnsi="宋体" w:cs="宋体"/>
          <w:b/>
          <w:color w:val="auto"/>
          <w:sz w:val="22"/>
          <w:szCs w:val="22"/>
          <w:highlight w:val="none"/>
        </w:rPr>
      </w:pPr>
      <w:r>
        <w:rPr>
          <w:rFonts w:hint="eastAsia" w:ascii="宋体" w:hAnsi="宋体" w:cs="宋体"/>
          <w:b/>
          <w:color w:val="auto"/>
          <w:sz w:val="22"/>
          <w:szCs w:val="22"/>
          <w:highlight w:val="none"/>
        </w:rPr>
        <w:t>（1）有效的营业执照（或法人登记证书）</w:t>
      </w:r>
      <w:r>
        <w:rPr>
          <w:rFonts w:hint="eastAsia" w:ascii="宋体" w:hAnsi="宋体" w:cs="宋体"/>
          <w:b/>
          <w:bCs/>
          <w:color w:val="auto"/>
          <w:sz w:val="22"/>
          <w:szCs w:val="22"/>
          <w:highlight w:val="none"/>
        </w:rPr>
        <w:t>复制件加盖公章</w:t>
      </w:r>
      <w:r>
        <w:rPr>
          <w:rFonts w:hint="eastAsia" w:ascii="宋体" w:hAnsi="宋体" w:cs="宋体"/>
          <w:b/>
          <w:color w:val="auto"/>
          <w:sz w:val="22"/>
          <w:szCs w:val="22"/>
          <w:highlight w:val="none"/>
        </w:rPr>
        <w:t>；</w:t>
      </w:r>
    </w:p>
    <w:p w14:paraId="06FF6428">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5DA4D699">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w:t>
      </w:r>
      <w:r>
        <w:rPr>
          <w:rFonts w:hint="eastAsia" w:ascii="宋体" w:hAnsi="宋体" w:cs="宋体"/>
          <w:b/>
          <w:color w:val="auto"/>
          <w:sz w:val="22"/>
          <w:szCs w:val="22"/>
          <w:highlight w:val="none"/>
        </w:rPr>
        <w:t>符合参加国企采购活动应当具备的条件的承诺函</w:t>
      </w:r>
      <w:r>
        <w:rPr>
          <w:rFonts w:hint="eastAsia" w:ascii="宋体" w:hAnsi="宋体" w:cs="宋体"/>
          <w:b/>
          <w:bCs/>
          <w:color w:val="auto"/>
          <w:sz w:val="22"/>
          <w:szCs w:val="22"/>
          <w:highlight w:val="none"/>
        </w:rPr>
        <w:t>;</w:t>
      </w:r>
    </w:p>
    <w:p w14:paraId="72BAEDDE">
      <w:pPr>
        <w:spacing w:line="460" w:lineRule="exact"/>
        <w:rPr>
          <w:rFonts w:ascii="宋体" w:hAnsi="宋体" w:cs="宋体"/>
          <w:b/>
          <w:bCs/>
          <w:color w:val="auto"/>
          <w:sz w:val="22"/>
          <w:szCs w:val="22"/>
          <w:highlight w:val="none"/>
          <w:u w:val="single"/>
        </w:rPr>
      </w:pPr>
    </w:p>
    <w:p w14:paraId="16CC9F0C">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u w:val="single"/>
          <w:lang w:eastAsia="zh-CN"/>
        </w:rPr>
        <w:t>温州市交通发展集团有限公司</w:t>
      </w:r>
      <w:r>
        <w:rPr>
          <w:rFonts w:hint="eastAsia" w:ascii="宋体" w:hAnsi="宋体" w:cs="宋体"/>
          <w:b/>
          <w:bCs/>
          <w:color w:val="auto"/>
          <w:sz w:val="22"/>
          <w:szCs w:val="22"/>
          <w:highlight w:val="none"/>
        </w:rPr>
        <w:t>：</w:t>
      </w:r>
    </w:p>
    <w:p w14:paraId="6288F05D">
      <w:pPr>
        <w:snapToGrid w:val="0"/>
        <w:spacing w:line="360" w:lineRule="auto"/>
        <w:ind w:firstLine="440" w:firstLineChars="200"/>
        <w:rPr>
          <w:rFonts w:ascii="宋体" w:hAnsi="宋体" w:cs="宋体"/>
          <w:color w:val="auto"/>
          <w:sz w:val="22"/>
          <w:szCs w:val="22"/>
          <w:highlight w:val="none"/>
        </w:rPr>
      </w:pPr>
    </w:p>
    <w:p w14:paraId="4F2A5D49">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【项目编号：</w:t>
      </w:r>
      <w:r>
        <w:rPr>
          <w:color w:val="auto"/>
          <w:highlight w:val="none"/>
        </w:rPr>
        <w:fldChar w:fldCharType="begin"/>
      </w:r>
      <w:r>
        <w:rPr>
          <w:color w:val="auto"/>
          <w:highlight w:val="none"/>
        </w:rPr>
        <w:instrText xml:space="preserve"> HYPERLINK "https://ep-purchaseplan.zhengcaiyun.cn/ep-purchaseplan-index/" \l "/plan/list/detail?id=1000000000007283652" </w:instrText>
      </w:r>
      <w:r>
        <w:rPr>
          <w:color w:val="auto"/>
          <w:highlight w:val="none"/>
        </w:rPr>
        <w:fldChar w:fldCharType="separate"/>
      </w:r>
      <w:r>
        <w:rPr>
          <w:color w:val="auto"/>
          <w:highlight w:val="none"/>
        </w:rPr>
        <w:fldChar w:fldCharType="end"/>
      </w:r>
      <w:r>
        <w:rPr>
          <w:rFonts w:hint="eastAsia" w:ascii="宋体" w:hAnsi="宋体" w:cs="宋体"/>
          <w:color w:val="auto"/>
          <w:spacing w:val="30"/>
          <w:sz w:val="30"/>
          <w:highlight w:val="none"/>
          <w:u w:val="single"/>
        </w:rPr>
        <w:t xml:space="preserve">        </w:t>
      </w:r>
      <w:r>
        <w:rPr>
          <w:rFonts w:hint="eastAsia" w:ascii="宋体" w:hAnsi="宋体" w:cs="宋体"/>
          <w:color w:val="auto"/>
          <w:sz w:val="22"/>
          <w:szCs w:val="22"/>
          <w:highlight w:val="none"/>
        </w:rPr>
        <w:t>】国企采购活动，郑重承诺：</w:t>
      </w:r>
    </w:p>
    <w:p w14:paraId="27CD26AD">
      <w:pPr>
        <w:snapToGrid w:val="0"/>
        <w:spacing w:line="360" w:lineRule="auto"/>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（一）我方具备</w:t>
      </w:r>
      <w:r>
        <w:rPr>
          <w:rFonts w:hint="eastAsia" w:ascii="宋体" w:hAnsi="宋体" w:cs="宋体"/>
          <w:color w:val="auto"/>
          <w:kern w:val="0"/>
          <w:sz w:val="22"/>
          <w:szCs w:val="22"/>
          <w:highlight w:val="none"/>
        </w:rPr>
        <w:t>符合《温州市市属国有企业采购管理办法（试行）》第十五条对供应商参加温州市国有企业采购活动应当具备的条件</w:t>
      </w:r>
      <w:r>
        <w:rPr>
          <w:rFonts w:hint="eastAsia" w:ascii="宋体" w:hAnsi="宋体" w:cs="宋体"/>
          <w:color w:val="auto"/>
          <w:sz w:val="22"/>
          <w:szCs w:val="22"/>
          <w:highlight w:val="none"/>
        </w:rPr>
        <w:t>：</w:t>
      </w:r>
    </w:p>
    <w:p w14:paraId="3A570FE6">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36934207">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2、具有良好的商业信誉和健全的财务会计制度； </w:t>
      </w:r>
    </w:p>
    <w:p w14:paraId="6A3DDBCF">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3、具有履行合同所必需的设备和专业技术能力、售后保障等能力；</w:t>
      </w:r>
    </w:p>
    <w:p w14:paraId="1BC4ABAC">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4、有依法缴纳税收和社会保障资金的良好记录；</w:t>
      </w:r>
    </w:p>
    <w:p w14:paraId="1F58C00E">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5、参加采购、招投标等活动前三年内，在经营活动中没有重大违法记录、严重失信记录和行贿记录；</w:t>
      </w:r>
    </w:p>
    <w:p w14:paraId="518F7DD5">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6、具有法律、行政法规规定的其他条件。</w:t>
      </w:r>
    </w:p>
    <w:p w14:paraId="41843D4F">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25544CBA">
      <w:pPr>
        <w:spacing w:line="460" w:lineRule="exact"/>
        <w:rPr>
          <w:rFonts w:ascii="宋体" w:hAnsi="宋体" w:cs="宋体"/>
          <w:color w:val="auto"/>
          <w:sz w:val="22"/>
          <w:szCs w:val="22"/>
          <w:highlight w:val="none"/>
        </w:rPr>
      </w:pPr>
    </w:p>
    <w:p w14:paraId="373FA3B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 ：</w:t>
      </w:r>
    </w:p>
    <w:p w14:paraId="19A60F9B">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法定代表人（或单位负责人）或授权代表（签字或盖章）：</w:t>
      </w:r>
    </w:p>
    <w:p w14:paraId="5A7D15C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1CAE130">
      <w:pPr>
        <w:spacing w:line="460" w:lineRule="exact"/>
        <w:rPr>
          <w:rFonts w:ascii="宋体" w:hAnsi="宋体" w:cs="宋体"/>
          <w:b/>
          <w:bCs/>
          <w:color w:val="auto"/>
          <w:sz w:val="22"/>
          <w:szCs w:val="22"/>
          <w:highlight w:val="none"/>
        </w:rPr>
      </w:pPr>
    </w:p>
    <w:p w14:paraId="4667BB98">
      <w:pPr>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（3）单位负责人为同一人或者存在直接控股、管理关系的不同供应商，不得参加同一合同项下的国企采购活动承诺函</w:t>
      </w:r>
    </w:p>
    <w:p w14:paraId="13A1681D">
      <w:pPr>
        <w:spacing w:line="460" w:lineRule="exact"/>
        <w:rPr>
          <w:rFonts w:ascii="宋体" w:hAnsi="宋体" w:cs="宋体"/>
          <w:color w:val="auto"/>
          <w:sz w:val="22"/>
          <w:szCs w:val="22"/>
          <w:highlight w:val="none"/>
          <w:u w:val="single"/>
        </w:rPr>
      </w:pPr>
      <w:r>
        <w:rPr>
          <w:rFonts w:hint="eastAsia" w:ascii="宋体" w:hAnsi="宋体" w:cs="宋体"/>
          <w:b/>
          <w:bCs/>
          <w:color w:val="auto"/>
          <w:sz w:val="22"/>
          <w:szCs w:val="22"/>
          <w:highlight w:val="none"/>
          <w:u w:val="single"/>
          <w:lang w:eastAsia="zh-CN"/>
        </w:rPr>
        <w:t>温州市交通发展集团有限公司</w:t>
      </w:r>
      <w:r>
        <w:rPr>
          <w:rFonts w:hint="eastAsia" w:ascii="宋体" w:hAnsi="宋体" w:cs="宋体"/>
          <w:color w:val="auto"/>
          <w:sz w:val="22"/>
          <w:szCs w:val="22"/>
          <w:highlight w:val="none"/>
        </w:rPr>
        <w:t>：</w:t>
      </w:r>
    </w:p>
    <w:p w14:paraId="66E3992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我方郑重承诺，我方此次参加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项目的投标，与参加本次项目同一合同项下国企采购活动的其他供应商不存在单位负责人为同一人或者直接控股、管理关系。如有虚假或隐瞒，愿意承担一切后果。</w:t>
      </w:r>
    </w:p>
    <w:p w14:paraId="25CA18A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特此承诺！</w:t>
      </w:r>
    </w:p>
    <w:p w14:paraId="32980BCC">
      <w:pPr>
        <w:spacing w:line="460" w:lineRule="exact"/>
        <w:rPr>
          <w:rFonts w:ascii="宋体" w:hAnsi="宋体" w:cs="宋体"/>
          <w:color w:val="auto"/>
          <w:sz w:val="22"/>
          <w:szCs w:val="22"/>
          <w:highlight w:val="none"/>
        </w:rPr>
      </w:pPr>
    </w:p>
    <w:p w14:paraId="691A5FC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 ：</w:t>
      </w:r>
    </w:p>
    <w:p w14:paraId="140E507B">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法定代表人（或单位负责人）或授权代表（签字或盖章）：</w:t>
      </w:r>
    </w:p>
    <w:p w14:paraId="14C2E12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6ABE1D8">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b/>
          <w:color w:val="auto"/>
          <w:sz w:val="22"/>
          <w:szCs w:val="22"/>
          <w:highlight w:val="none"/>
        </w:rPr>
        <w:t>投标供应商为联合体的，则</w:t>
      </w:r>
      <w:r>
        <w:rPr>
          <w:rFonts w:hint="eastAsia" w:ascii="宋体" w:hAnsi="宋体" w:cs="宋体"/>
          <w:b/>
          <w:bCs/>
          <w:color w:val="auto"/>
          <w:sz w:val="22"/>
          <w:szCs w:val="22"/>
          <w:highlight w:val="none"/>
        </w:rPr>
        <w:t>联合体各方均须提供。</w:t>
      </w:r>
    </w:p>
    <w:p w14:paraId="2FA5BF32">
      <w:pPr>
        <w:spacing w:line="460" w:lineRule="exact"/>
        <w:jc w:val="center"/>
        <w:rPr>
          <w:rFonts w:ascii="宋体" w:hAnsi="宋体" w:cs="宋体"/>
          <w:b/>
          <w:bCs/>
          <w:color w:val="auto"/>
          <w:sz w:val="22"/>
          <w:szCs w:val="22"/>
          <w:highlight w:val="none"/>
        </w:rPr>
      </w:pPr>
    </w:p>
    <w:p w14:paraId="6C34560D">
      <w:pPr>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（4）投标供应商没有失信记录承诺函</w:t>
      </w:r>
    </w:p>
    <w:p w14:paraId="5E0528A5">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u w:val="single"/>
          <w:lang w:eastAsia="zh-CN"/>
        </w:rPr>
        <w:t>温州市交通发展集团有限公司</w:t>
      </w:r>
      <w:r>
        <w:rPr>
          <w:rFonts w:hint="eastAsia" w:ascii="宋体" w:hAnsi="宋体" w:cs="宋体"/>
          <w:color w:val="auto"/>
          <w:sz w:val="22"/>
          <w:szCs w:val="22"/>
          <w:highlight w:val="none"/>
        </w:rPr>
        <w:t>：</w:t>
      </w:r>
    </w:p>
    <w:p w14:paraId="41A4E8AE">
      <w:pPr>
        <w:spacing w:line="46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5C3BA2F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特此承诺！</w:t>
      </w:r>
    </w:p>
    <w:p w14:paraId="4EE1CA02">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 ：</w:t>
      </w:r>
    </w:p>
    <w:p w14:paraId="570EAB28">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法定代表人（或单位负责人）或授权代表（签字或盖章）：</w:t>
      </w:r>
    </w:p>
    <w:p w14:paraId="4B726054">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CE5E9F8">
      <w:pPr>
        <w:pStyle w:val="16"/>
        <w:spacing w:line="360" w:lineRule="auto"/>
        <w:ind w:left="442" w:hanging="442"/>
        <w:rPr>
          <w:rFonts w:ascii="宋体" w:hAnsi="宋体" w:cs="宋体"/>
          <w:b/>
          <w:bCs/>
          <w:color w:val="auto"/>
          <w:sz w:val="22"/>
          <w:szCs w:val="22"/>
          <w:highlight w:val="none"/>
        </w:rPr>
      </w:pPr>
    </w:p>
    <w:p w14:paraId="0CD77AEA">
      <w:pPr>
        <w:widowControl/>
        <w:spacing w:line="360" w:lineRule="auto"/>
        <w:jc w:val="left"/>
        <w:rPr>
          <w:rFonts w:ascii="宋体" w:hAnsi="宋体" w:cs="宋体"/>
          <w:color w:val="auto"/>
          <w:kern w:val="0"/>
          <w:sz w:val="22"/>
          <w:szCs w:val="22"/>
          <w:highlight w:val="none"/>
        </w:rPr>
      </w:pPr>
    </w:p>
    <w:p w14:paraId="7E75D1F0">
      <w:pPr>
        <w:widowControl/>
        <w:spacing w:line="360" w:lineRule="auto"/>
        <w:jc w:val="left"/>
        <w:rPr>
          <w:rFonts w:ascii="宋体" w:hAnsi="宋体" w:cs="宋体"/>
          <w:color w:val="auto"/>
          <w:kern w:val="0"/>
          <w:sz w:val="22"/>
          <w:szCs w:val="22"/>
          <w:highlight w:val="none"/>
        </w:rPr>
      </w:pPr>
    </w:p>
    <w:p w14:paraId="5B0EDFCD">
      <w:pPr>
        <w:widowControl/>
        <w:spacing w:line="360" w:lineRule="auto"/>
        <w:jc w:val="left"/>
        <w:rPr>
          <w:rFonts w:ascii="宋体" w:hAnsi="宋体" w:cs="宋体"/>
          <w:color w:val="auto"/>
          <w:kern w:val="0"/>
          <w:sz w:val="22"/>
          <w:szCs w:val="22"/>
          <w:highlight w:val="none"/>
        </w:rPr>
      </w:pPr>
    </w:p>
    <w:p w14:paraId="607759EE">
      <w:pPr>
        <w:widowControl/>
        <w:spacing w:line="360" w:lineRule="auto"/>
        <w:jc w:val="left"/>
        <w:rPr>
          <w:rFonts w:ascii="宋体" w:hAnsi="宋体" w:cs="宋体"/>
          <w:color w:val="auto"/>
          <w:kern w:val="0"/>
          <w:sz w:val="22"/>
          <w:szCs w:val="22"/>
          <w:highlight w:val="none"/>
        </w:rPr>
      </w:pPr>
    </w:p>
    <w:p w14:paraId="2F5E856C">
      <w:pPr>
        <w:widowControl/>
        <w:spacing w:line="360" w:lineRule="auto"/>
        <w:jc w:val="left"/>
        <w:rPr>
          <w:rFonts w:ascii="宋体" w:hAnsi="宋体" w:cs="宋体"/>
          <w:color w:val="auto"/>
          <w:kern w:val="0"/>
          <w:sz w:val="22"/>
          <w:szCs w:val="22"/>
          <w:highlight w:val="none"/>
        </w:rPr>
      </w:pPr>
    </w:p>
    <w:p w14:paraId="2786273B">
      <w:pPr>
        <w:widowControl/>
        <w:spacing w:line="360" w:lineRule="auto"/>
        <w:jc w:val="left"/>
        <w:rPr>
          <w:rFonts w:ascii="宋体" w:hAnsi="宋体" w:cs="宋体"/>
          <w:color w:val="auto"/>
          <w:kern w:val="0"/>
          <w:sz w:val="22"/>
          <w:szCs w:val="22"/>
          <w:highlight w:val="none"/>
        </w:rPr>
      </w:pPr>
    </w:p>
    <w:p w14:paraId="2351280D">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 xml:space="preserve">附件二             </w:t>
      </w:r>
    </w:p>
    <w:p w14:paraId="290E9148">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报价一览表</w:t>
      </w:r>
    </w:p>
    <w:p w14:paraId="3C1EF7F3">
      <w:pPr>
        <w:rPr>
          <w:rFonts w:ascii="宋体" w:hAnsi="宋体" w:cs="宋体"/>
          <w:color w:val="auto"/>
          <w:sz w:val="22"/>
          <w:szCs w:val="22"/>
          <w:highlight w:val="none"/>
        </w:rPr>
      </w:pPr>
    </w:p>
    <w:p w14:paraId="68F69B9C">
      <w:pPr>
        <w:pStyle w:val="4"/>
        <w:ind w:left="0" w:leftChars="0" w:firstLine="0" w:firstLineChars="0"/>
        <w:rPr>
          <w:rFonts w:hint="eastAsia" w:ascii="宋体" w:hAnsi="宋体" w:cs="宋体"/>
          <w:b/>
          <w:color w:val="auto"/>
          <w:sz w:val="22"/>
          <w:szCs w:val="22"/>
          <w:highlight w:val="none"/>
        </w:rPr>
      </w:pPr>
    </w:p>
    <w:p w14:paraId="1D23FD7F">
      <w:pPr>
        <w:pStyle w:val="4"/>
        <w:ind w:left="0" w:leftChars="0" w:firstLine="0" w:firstLineChars="0"/>
        <w:rPr>
          <w:rFonts w:ascii="宋体" w:hAnsi="宋体" w:cs="宋体"/>
          <w:color w:val="auto"/>
          <w:sz w:val="22"/>
          <w:szCs w:val="22"/>
          <w:highlight w:val="none"/>
        </w:rPr>
      </w:pPr>
      <w:r>
        <w:rPr>
          <w:rFonts w:hint="eastAsia" w:ascii="宋体" w:hAnsi="宋体" w:cs="宋体"/>
          <w:b/>
          <w:color w:val="auto"/>
          <w:sz w:val="22"/>
          <w:szCs w:val="22"/>
          <w:highlight w:val="none"/>
        </w:rPr>
        <w:t>项目名称：                              项目编号：</w:t>
      </w:r>
    </w:p>
    <w:tbl>
      <w:tblPr>
        <w:tblStyle w:val="24"/>
        <w:tblW w:w="9245" w:type="dxa"/>
        <w:tblInd w:w="1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63"/>
        <w:gridCol w:w="3103"/>
        <w:gridCol w:w="3028"/>
      </w:tblGrid>
      <w:tr w14:paraId="21F42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051" w:type="dxa"/>
            <w:tcBorders>
              <w:tl2br w:val="nil"/>
              <w:tr2bl w:val="nil"/>
            </w:tcBorders>
            <w:noWrap w:val="0"/>
            <w:vAlign w:val="center"/>
          </w:tcPr>
          <w:p w14:paraId="345EA4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063" w:type="dxa"/>
            <w:tcBorders>
              <w:tl2br w:val="nil"/>
              <w:tr2bl w:val="nil"/>
            </w:tcBorders>
            <w:noWrap w:val="0"/>
            <w:vAlign w:val="center"/>
          </w:tcPr>
          <w:p w14:paraId="5C5634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3103" w:type="dxa"/>
            <w:tcBorders>
              <w:tl2br w:val="nil"/>
              <w:tr2bl w:val="nil"/>
            </w:tcBorders>
            <w:noWrap w:val="0"/>
            <w:vAlign w:val="center"/>
          </w:tcPr>
          <w:p w14:paraId="660A41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2"/>
                <w:szCs w:val="22"/>
                <w:highlight w:val="none"/>
              </w:rPr>
            </w:pPr>
            <w:r>
              <w:rPr>
                <w:rFonts w:hint="eastAsia"/>
                <w:b/>
                <w:bCs/>
                <w:color w:val="auto"/>
                <w:sz w:val="22"/>
                <w:szCs w:val="22"/>
                <w:highlight w:val="none"/>
              </w:rPr>
              <w:t>投标报价</w:t>
            </w:r>
          </w:p>
          <w:p w14:paraId="463B68AF">
            <w:pPr>
              <w:pStyle w:val="16"/>
              <w:keepNext w:val="0"/>
              <w:keepLines w:val="0"/>
              <w:pageBreakBefore w:val="0"/>
              <w:widowControl w:val="0"/>
              <w:kinsoku/>
              <w:wordWrap/>
              <w:overflowPunct/>
              <w:topLinePunct w:val="0"/>
              <w:autoSpaceDE/>
              <w:autoSpaceDN/>
              <w:bidi w:val="0"/>
              <w:adjustRightInd/>
              <w:snapToGrid/>
              <w:spacing w:line="240" w:lineRule="auto"/>
              <w:ind w:left="442" w:hanging="442"/>
              <w:jc w:val="center"/>
              <w:textAlignment w:val="auto"/>
              <w:rPr>
                <w:b/>
                <w:bCs/>
                <w:color w:val="auto"/>
                <w:sz w:val="22"/>
                <w:szCs w:val="22"/>
                <w:highlight w:val="none"/>
              </w:rPr>
            </w:pPr>
            <w:r>
              <w:rPr>
                <w:rFonts w:hint="eastAsia" w:ascii="宋体" w:hAnsi="宋体" w:cs="宋体"/>
                <w:b/>
                <w:bCs/>
                <w:color w:val="auto"/>
                <w:sz w:val="22"/>
                <w:szCs w:val="22"/>
                <w:highlight w:val="none"/>
              </w:rPr>
              <w:t>（元）</w:t>
            </w:r>
          </w:p>
        </w:tc>
        <w:tc>
          <w:tcPr>
            <w:tcW w:w="3028" w:type="dxa"/>
            <w:tcBorders>
              <w:tl2br w:val="nil"/>
              <w:tr2bl w:val="nil"/>
            </w:tcBorders>
            <w:noWrap w:val="0"/>
            <w:vAlign w:val="center"/>
          </w:tcPr>
          <w:p w14:paraId="15C2E0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2"/>
                <w:szCs w:val="22"/>
                <w:highlight w:val="none"/>
              </w:rPr>
            </w:pPr>
            <w:r>
              <w:rPr>
                <w:rFonts w:hint="eastAsia"/>
                <w:b/>
                <w:bCs/>
                <w:color w:val="auto"/>
                <w:sz w:val="22"/>
                <w:szCs w:val="22"/>
                <w:highlight w:val="none"/>
              </w:rPr>
              <w:t>备注</w:t>
            </w:r>
          </w:p>
        </w:tc>
      </w:tr>
      <w:tr w14:paraId="66FA3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1051" w:type="dxa"/>
            <w:tcBorders>
              <w:tl2br w:val="nil"/>
              <w:tr2bl w:val="nil"/>
            </w:tcBorders>
            <w:noWrap w:val="0"/>
            <w:vAlign w:val="center"/>
          </w:tcPr>
          <w:p w14:paraId="1A4243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1</w:t>
            </w:r>
          </w:p>
        </w:tc>
        <w:tc>
          <w:tcPr>
            <w:tcW w:w="2063" w:type="dxa"/>
            <w:tcBorders>
              <w:tl2br w:val="nil"/>
              <w:tr2bl w:val="nil"/>
            </w:tcBorders>
            <w:noWrap w:val="0"/>
            <w:vAlign w:val="center"/>
          </w:tcPr>
          <w:p w14:paraId="4D739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2"/>
                <w:szCs w:val="22"/>
                <w:highlight w:val="none"/>
              </w:rPr>
            </w:pPr>
          </w:p>
        </w:tc>
        <w:tc>
          <w:tcPr>
            <w:tcW w:w="3103" w:type="dxa"/>
            <w:tcBorders>
              <w:tl2br w:val="nil"/>
              <w:tr2bl w:val="nil"/>
            </w:tcBorders>
            <w:noWrap w:val="0"/>
            <w:vAlign w:val="center"/>
          </w:tcPr>
          <w:p w14:paraId="703CC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2"/>
                <w:szCs w:val="22"/>
                <w:highlight w:val="none"/>
                <w:u w:val="single"/>
              </w:rPr>
            </w:pPr>
          </w:p>
        </w:tc>
        <w:tc>
          <w:tcPr>
            <w:tcW w:w="3028" w:type="dxa"/>
            <w:tcBorders>
              <w:tl2br w:val="nil"/>
              <w:tr2bl w:val="nil"/>
            </w:tcBorders>
            <w:noWrap w:val="0"/>
            <w:vAlign w:val="center"/>
          </w:tcPr>
          <w:p w14:paraId="73C126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2"/>
                <w:szCs w:val="22"/>
                <w:highlight w:val="none"/>
              </w:rPr>
            </w:pPr>
            <w:r>
              <w:rPr>
                <w:rFonts w:hint="eastAsia" w:ascii="宋体" w:hAnsi="宋体" w:cs="宋体"/>
                <w:b/>
                <w:bCs/>
                <w:color w:val="auto"/>
                <w:sz w:val="22"/>
                <w:szCs w:val="22"/>
                <w:highlight w:val="none"/>
              </w:rPr>
              <w:t>超过采购预算（最高投标限价）的，作无效标处理。</w:t>
            </w:r>
          </w:p>
        </w:tc>
      </w:tr>
    </w:tbl>
    <w:p w14:paraId="7826B35A">
      <w:pPr>
        <w:ind w:left="649" w:hanging="649" w:hangingChars="294"/>
        <w:rPr>
          <w:rFonts w:ascii="宋体" w:hAnsi="宋体" w:cs="宋体"/>
          <w:b/>
          <w:color w:val="auto"/>
          <w:sz w:val="22"/>
          <w:szCs w:val="22"/>
          <w:highlight w:val="none"/>
        </w:rPr>
      </w:pPr>
      <w:r>
        <w:rPr>
          <w:rFonts w:hint="eastAsia" w:ascii="宋体" w:hAnsi="宋体" w:cs="宋体"/>
          <w:b/>
          <w:color w:val="auto"/>
          <w:sz w:val="22"/>
          <w:szCs w:val="22"/>
          <w:highlight w:val="none"/>
        </w:rPr>
        <w:t>注：</w:t>
      </w:r>
    </w:p>
    <w:p w14:paraId="5CBA0A4E">
      <w:pPr>
        <w:tabs>
          <w:tab w:val="left" w:pos="540"/>
        </w:tabs>
        <w:overflowPunct w:val="0"/>
        <w:spacing w:line="360" w:lineRule="auto"/>
        <w:rPr>
          <w:rFonts w:ascii="宋体" w:hAnsi="宋体" w:cs="宋体"/>
          <w:b/>
          <w:bCs/>
          <w:iCs/>
          <w:color w:val="auto"/>
          <w:sz w:val="22"/>
          <w:szCs w:val="22"/>
          <w:highlight w:val="none"/>
          <w:u w:val="single"/>
        </w:rPr>
      </w:pPr>
      <w:r>
        <w:rPr>
          <w:rFonts w:ascii="宋体" w:hAnsi="宋体" w:cs="宋体"/>
          <w:color w:val="auto"/>
          <w:kern w:val="1"/>
          <w:sz w:val="22"/>
          <w:szCs w:val="22"/>
          <w:highlight w:val="none"/>
        </w:rPr>
        <w:t>1.</w:t>
      </w:r>
      <w:r>
        <w:rPr>
          <w:rFonts w:hint="eastAsia" w:ascii="宋体" w:hAnsi="宋体" w:cs="宋体"/>
          <w:b/>
          <w:color w:val="auto"/>
          <w:kern w:val="1"/>
          <w:sz w:val="22"/>
          <w:szCs w:val="22"/>
          <w:highlight w:val="none"/>
        </w:rPr>
        <w:t>投标报价采用总价形式，是指为完成本合同范围内的所有工作及服务以及与本合同相关的一切费用和税费，无任何附加费用</w:t>
      </w:r>
      <w:r>
        <w:rPr>
          <w:rFonts w:hint="eastAsia" w:ascii="宋体" w:hAnsi="宋体" w:cs="宋体"/>
          <w:b/>
          <w:bCs/>
          <w:iCs/>
          <w:color w:val="auto"/>
          <w:sz w:val="22"/>
          <w:szCs w:val="22"/>
          <w:highlight w:val="none"/>
        </w:rPr>
        <w:t>。</w:t>
      </w:r>
    </w:p>
    <w:p w14:paraId="56CDAD18">
      <w:pPr>
        <w:tabs>
          <w:tab w:val="left" w:pos="540"/>
        </w:tabs>
        <w:overflowPunct w:val="0"/>
        <w:spacing w:line="360" w:lineRule="auto"/>
        <w:rPr>
          <w:rFonts w:ascii="宋体" w:hAnsi="宋体" w:cs="宋体"/>
          <w:b/>
          <w:bCs/>
          <w:iCs/>
          <w:color w:val="auto"/>
          <w:sz w:val="22"/>
          <w:szCs w:val="22"/>
          <w:highlight w:val="none"/>
          <w:u w:val="single"/>
        </w:rPr>
      </w:pPr>
      <w:r>
        <w:rPr>
          <w:rFonts w:hint="eastAsia" w:ascii="宋体" w:hAnsi="宋体" w:cs="宋体"/>
          <w:b/>
          <w:bCs/>
          <w:iCs/>
          <w:color w:val="auto"/>
          <w:sz w:val="22"/>
          <w:szCs w:val="22"/>
          <w:highlight w:val="none"/>
          <w:u w:val="single"/>
        </w:rPr>
        <w:t>2.▲此表不得自行增减内容，不提供此表格将被视为没有实质性响应采购文件, 作无效标处理。</w:t>
      </w:r>
    </w:p>
    <w:p w14:paraId="428577B0">
      <w:pPr>
        <w:tabs>
          <w:tab w:val="left" w:pos="540"/>
        </w:tabs>
        <w:overflowPunct w:val="0"/>
        <w:spacing w:line="360" w:lineRule="auto"/>
        <w:rPr>
          <w:rFonts w:ascii="宋体" w:hAnsi="宋体" w:cs="宋体"/>
          <w:b/>
          <w:bCs/>
          <w:i/>
          <w:color w:val="auto"/>
          <w:sz w:val="22"/>
          <w:szCs w:val="22"/>
          <w:highlight w:val="none"/>
          <w:u w:val="single"/>
        </w:rPr>
      </w:pPr>
      <w:r>
        <w:rPr>
          <w:rFonts w:hint="eastAsia" w:ascii="宋体" w:hAnsi="宋体" w:cs="宋体"/>
          <w:b/>
          <w:bCs/>
          <w:iCs/>
          <w:color w:val="auto"/>
          <w:sz w:val="22"/>
          <w:szCs w:val="22"/>
          <w:highlight w:val="none"/>
          <w:u w:val="single"/>
        </w:rPr>
        <w:t>3.▲此表内投标报价应与附件三“投标分项报价表”中总价相一致；</w:t>
      </w:r>
    </w:p>
    <w:p w14:paraId="0E4C82F9">
      <w:pPr>
        <w:tabs>
          <w:tab w:val="left" w:pos="540"/>
        </w:tabs>
        <w:overflowPunct w:val="0"/>
        <w:spacing w:line="460" w:lineRule="exact"/>
        <w:rPr>
          <w:rFonts w:ascii="宋体" w:hAnsi="宋体" w:cs="宋体"/>
          <w:b/>
          <w:bCs/>
          <w:i/>
          <w:color w:val="auto"/>
          <w:sz w:val="22"/>
          <w:szCs w:val="22"/>
          <w:highlight w:val="none"/>
          <w:u w:val="single"/>
        </w:rPr>
      </w:pPr>
    </w:p>
    <w:p w14:paraId="78B13C7B">
      <w:pPr>
        <w:pStyle w:val="4"/>
        <w:tabs>
          <w:tab w:val="left" w:pos="-180"/>
          <w:tab w:val="left" w:pos="180"/>
          <w:tab w:val="left" w:pos="360"/>
        </w:tabs>
        <w:ind w:firstLine="220"/>
        <w:rPr>
          <w:rFonts w:ascii="宋体" w:hAnsi="宋体" w:cs="宋体"/>
          <w:color w:val="auto"/>
          <w:sz w:val="22"/>
          <w:szCs w:val="22"/>
          <w:highlight w:val="none"/>
        </w:rPr>
      </w:pPr>
    </w:p>
    <w:p w14:paraId="77BACA32">
      <w:pPr>
        <w:pStyle w:val="4"/>
        <w:tabs>
          <w:tab w:val="left" w:pos="-180"/>
          <w:tab w:val="left" w:pos="180"/>
          <w:tab w:val="left" w:pos="360"/>
        </w:tabs>
        <w:ind w:firstLine="220"/>
        <w:rPr>
          <w:rFonts w:ascii="宋体" w:hAnsi="宋体" w:cs="宋体"/>
          <w:color w:val="auto"/>
          <w:sz w:val="22"/>
          <w:szCs w:val="22"/>
          <w:highlight w:val="none"/>
        </w:rPr>
      </w:pPr>
    </w:p>
    <w:p w14:paraId="497E6EFD">
      <w:pPr>
        <w:rPr>
          <w:rFonts w:ascii="宋体" w:hAnsi="宋体" w:cs="宋体"/>
          <w:color w:val="auto"/>
          <w:sz w:val="22"/>
          <w:szCs w:val="22"/>
          <w:highlight w:val="none"/>
        </w:rPr>
      </w:pPr>
    </w:p>
    <w:p w14:paraId="1FEDF0DB">
      <w:pPr>
        <w:pStyle w:val="18"/>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投标供应商全称（盖章）：</w:t>
      </w:r>
    </w:p>
    <w:p w14:paraId="5AE88C43">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法定代表人（或单位负责人）或授权代表（签字或盖章）：</w:t>
      </w:r>
    </w:p>
    <w:p w14:paraId="3F967EB8">
      <w:pPr>
        <w:spacing w:line="5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279467E8">
      <w:pPr>
        <w:rPr>
          <w:rFonts w:ascii="宋体" w:hAnsi="宋体" w:cs="宋体"/>
          <w:color w:val="auto"/>
          <w:sz w:val="22"/>
          <w:szCs w:val="22"/>
          <w:highlight w:val="none"/>
        </w:rPr>
      </w:pPr>
    </w:p>
    <w:p w14:paraId="79D645DE">
      <w:pPr>
        <w:ind w:right="-24" w:rightChars="-10"/>
        <w:rPr>
          <w:rFonts w:ascii="宋体" w:hAnsi="宋体" w:cs="宋体"/>
          <w:color w:val="auto"/>
          <w:sz w:val="22"/>
          <w:szCs w:val="22"/>
          <w:highlight w:val="none"/>
        </w:rPr>
        <w:sectPr>
          <w:footerReference r:id="rId7" w:type="default"/>
          <w:pgSz w:w="11906" w:h="16838"/>
          <w:pgMar w:top="1247" w:right="1247" w:bottom="1247" w:left="1417" w:header="851" w:footer="850" w:gutter="0"/>
          <w:pgBorders>
            <w:top w:val="none" w:sz="0" w:space="0"/>
            <w:left w:val="none" w:sz="0" w:space="0"/>
            <w:bottom w:val="none" w:sz="0" w:space="0"/>
            <w:right w:val="none" w:sz="0" w:space="0"/>
          </w:pgBorders>
          <w:pgNumType w:fmt="decimal"/>
          <w:cols w:space="720" w:num="1"/>
          <w:rtlGutter w:val="0"/>
          <w:docGrid w:type="lines" w:linePitch="318" w:charSpace="0"/>
        </w:sectPr>
      </w:pPr>
      <w:r>
        <w:rPr>
          <w:rFonts w:hint="eastAsia" w:ascii="宋体" w:hAnsi="宋体" w:cs="宋体"/>
          <w:color w:val="auto"/>
          <w:sz w:val="22"/>
          <w:szCs w:val="22"/>
          <w:highlight w:val="none"/>
        </w:rPr>
        <w:t xml:space="preserve"> </w:t>
      </w:r>
    </w:p>
    <w:p w14:paraId="52598C50">
      <w:pPr>
        <w:ind w:right="-24" w:rightChars="-10"/>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p>
    <w:p w14:paraId="0FA7A319">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投标分项报价表</w:t>
      </w:r>
    </w:p>
    <w:p w14:paraId="762C9D34">
      <w:pPr>
        <w:pStyle w:val="2"/>
        <w:rPr>
          <w:rFonts w:hint="eastAsia"/>
          <w:color w:val="auto"/>
          <w:highlight w:val="none"/>
        </w:rPr>
      </w:pPr>
    </w:p>
    <w:tbl>
      <w:tblPr>
        <w:tblStyle w:val="24"/>
        <w:tblpPr w:leftFromText="180" w:rightFromText="180" w:vertAnchor="text" w:horzAnchor="page" w:tblpX="1528" w:tblpY="476"/>
        <w:tblOverlap w:val="never"/>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781"/>
        <w:gridCol w:w="806"/>
        <w:gridCol w:w="800"/>
        <w:gridCol w:w="1188"/>
        <w:gridCol w:w="1231"/>
        <w:gridCol w:w="694"/>
      </w:tblGrid>
      <w:tr w14:paraId="7EE3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44" w:type="dxa"/>
            <w:noWrap w:val="0"/>
            <w:vAlign w:val="center"/>
          </w:tcPr>
          <w:p w14:paraId="717549D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序号</w:t>
            </w:r>
          </w:p>
        </w:tc>
        <w:tc>
          <w:tcPr>
            <w:tcW w:w="3781" w:type="dxa"/>
            <w:noWrap w:val="0"/>
            <w:vAlign w:val="center"/>
          </w:tcPr>
          <w:p w14:paraId="0E160F5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采购内容</w:t>
            </w:r>
          </w:p>
        </w:tc>
        <w:tc>
          <w:tcPr>
            <w:tcW w:w="806" w:type="dxa"/>
            <w:noWrap/>
            <w:vAlign w:val="center"/>
          </w:tcPr>
          <w:p w14:paraId="24AE1E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单位</w:t>
            </w:r>
          </w:p>
        </w:tc>
        <w:tc>
          <w:tcPr>
            <w:tcW w:w="800" w:type="dxa"/>
            <w:noWrap w:val="0"/>
            <w:vAlign w:val="center"/>
          </w:tcPr>
          <w:p w14:paraId="5373EB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数量</w:t>
            </w:r>
          </w:p>
        </w:tc>
        <w:tc>
          <w:tcPr>
            <w:tcW w:w="1188" w:type="dxa"/>
            <w:noWrap w:val="0"/>
            <w:vAlign w:val="center"/>
          </w:tcPr>
          <w:p w14:paraId="517AE5E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bCs/>
                <w:color w:val="auto"/>
                <w:sz w:val="22"/>
                <w:szCs w:val="22"/>
                <w:highlight w:val="none"/>
                <w:lang w:val="en-US" w:eastAsia="zh-CN"/>
              </w:rPr>
            </w:pPr>
            <w:r>
              <w:rPr>
                <w:rFonts w:hint="eastAsia"/>
                <w:b/>
                <w:bCs/>
                <w:color w:val="auto"/>
                <w:sz w:val="22"/>
                <w:szCs w:val="22"/>
                <w:highlight w:val="none"/>
              </w:rPr>
              <w:t>单价（元）</w:t>
            </w:r>
          </w:p>
        </w:tc>
        <w:tc>
          <w:tcPr>
            <w:tcW w:w="1231" w:type="dxa"/>
            <w:noWrap w:val="0"/>
            <w:vAlign w:val="center"/>
          </w:tcPr>
          <w:p w14:paraId="2D02E7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r>
              <w:rPr>
                <w:rFonts w:hint="eastAsia"/>
                <w:b/>
                <w:bCs/>
                <w:color w:val="auto"/>
                <w:sz w:val="22"/>
                <w:szCs w:val="22"/>
                <w:highlight w:val="none"/>
              </w:rPr>
              <w:t>合价（元）</w:t>
            </w:r>
          </w:p>
        </w:tc>
        <w:tc>
          <w:tcPr>
            <w:tcW w:w="694" w:type="dxa"/>
            <w:noWrap w:val="0"/>
            <w:vAlign w:val="center"/>
          </w:tcPr>
          <w:p w14:paraId="61E7A01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备注</w:t>
            </w:r>
          </w:p>
        </w:tc>
      </w:tr>
      <w:tr w14:paraId="62C7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297B38D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bCs/>
                <w:color w:val="auto"/>
                <w:sz w:val="22"/>
                <w:szCs w:val="22"/>
                <w:highlight w:val="none"/>
                <w:lang w:val="en-US" w:eastAsia="zh-CN"/>
              </w:rPr>
            </w:pPr>
            <w:r>
              <w:rPr>
                <w:rFonts w:hint="eastAsia" w:ascii="黑体" w:hAnsi="黑体" w:eastAsia="黑体" w:cs="黑体"/>
                <w:b/>
                <w:bCs/>
                <w:color w:val="auto"/>
                <w:sz w:val="22"/>
                <w:szCs w:val="22"/>
                <w:highlight w:val="none"/>
                <w:lang w:val="en-US" w:eastAsia="zh-CN"/>
              </w:rPr>
              <w:t>1</w:t>
            </w:r>
          </w:p>
        </w:tc>
        <w:tc>
          <w:tcPr>
            <w:tcW w:w="8500" w:type="dxa"/>
            <w:gridSpan w:val="6"/>
            <w:noWrap w:val="0"/>
            <w:vAlign w:val="center"/>
          </w:tcPr>
          <w:p w14:paraId="7DA4C1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2"/>
                <w:szCs w:val="22"/>
                <w:highlight w:val="none"/>
                <w:lang w:val="en-US" w:eastAsia="zh-CN"/>
              </w:rPr>
            </w:pPr>
            <w:r>
              <w:rPr>
                <w:rFonts w:hint="eastAsia" w:ascii="黑体" w:hAnsi="黑体" w:eastAsia="黑体" w:cs="黑体"/>
                <w:b/>
                <w:bCs/>
                <w:color w:val="auto"/>
                <w:sz w:val="22"/>
                <w:szCs w:val="22"/>
                <w:highlight w:val="none"/>
                <w:lang w:val="en-US" w:eastAsia="zh-CN"/>
              </w:rPr>
              <w:t>信创基础环境建设</w:t>
            </w:r>
          </w:p>
        </w:tc>
      </w:tr>
      <w:tr w14:paraId="16A2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348E10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3781" w:type="dxa"/>
            <w:noWrap w:val="0"/>
            <w:vAlign w:val="center"/>
          </w:tcPr>
          <w:p w14:paraId="6610E0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国产化超融合一体机</w:t>
            </w:r>
          </w:p>
        </w:tc>
        <w:tc>
          <w:tcPr>
            <w:tcW w:w="806" w:type="dxa"/>
            <w:noWrap/>
            <w:vAlign w:val="center"/>
          </w:tcPr>
          <w:p w14:paraId="1B1F51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800" w:type="dxa"/>
            <w:noWrap w:val="0"/>
            <w:vAlign w:val="center"/>
          </w:tcPr>
          <w:p w14:paraId="612BFB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188" w:type="dxa"/>
            <w:noWrap w:val="0"/>
            <w:vAlign w:val="center"/>
          </w:tcPr>
          <w:p w14:paraId="6B216F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p>
        </w:tc>
        <w:tc>
          <w:tcPr>
            <w:tcW w:w="1231" w:type="dxa"/>
            <w:noWrap w:val="0"/>
            <w:vAlign w:val="center"/>
          </w:tcPr>
          <w:p w14:paraId="2208C4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67CA6F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p>
        </w:tc>
      </w:tr>
      <w:tr w14:paraId="204B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58EC1B5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3781" w:type="dxa"/>
            <w:noWrap w:val="0"/>
            <w:vAlign w:val="center"/>
          </w:tcPr>
          <w:p w14:paraId="4C1801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24口万兆交换机（12个万兆+12千兆）</w:t>
            </w:r>
          </w:p>
        </w:tc>
        <w:tc>
          <w:tcPr>
            <w:tcW w:w="806" w:type="dxa"/>
            <w:noWrap/>
            <w:vAlign w:val="center"/>
          </w:tcPr>
          <w:p w14:paraId="6177D5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800" w:type="dxa"/>
            <w:noWrap w:val="0"/>
            <w:vAlign w:val="center"/>
          </w:tcPr>
          <w:p w14:paraId="5385362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188" w:type="dxa"/>
            <w:noWrap w:val="0"/>
            <w:vAlign w:val="center"/>
          </w:tcPr>
          <w:p w14:paraId="691CA41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p>
        </w:tc>
        <w:tc>
          <w:tcPr>
            <w:tcW w:w="1231" w:type="dxa"/>
            <w:noWrap w:val="0"/>
            <w:vAlign w:val="center"/>
          </w:tcPr>
          <w:p w14:paraId="76EBF6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134303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p>
        </w:tc>
      </w:tr>
      <w:tr w14:paraId="6543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3849B0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bCs/>
                <w:color w:val="auto"/>
                <w:sz w:val="22"/>
                <w:szCs w:val="22"/>
                <w:highlight w:val="none"/>
                <w:lang w:val="en-US" w:eastAsia="zh-CN"/>
              </w:rPr>
            </w:pPr>
            <w:r>
              <w:rPr>
                <w:rFonts w:hint="eastAsia" w:ascii="黑体" w:hAnsi="黑体" w:eastAsia="黑体" w:cs="黑体"/>
                <w:b/>
                <w:bCs/>
                <w:color w:val="auto"/>
                <w:sz w:val="22"/>
                <w:szCs w:val="22"/>
                <w:highlight w:val="none"/>
                <w:lang w:val="en-US" w:eastAsia="zh-CN"/>
              </w:rPr>
              <w:t>2</w:t>
            </w:r>
          </w:p>
        </w:tc>
        <w:tc>
          <w:tcPr>
            <w:tcW w:w="3781" w:type="dxa"/>
            <w:noWrap w:val="0"/>
            <w:vAlign w:val="center"/>
          </w:tcPr>
          <w:p w14:paraId="1C2462C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2"/>
                <w:szCs w:val="22"/>
                <w:highlight w:val="none"/>
                <w:lang w:val="en-US" w:eastAsia="zh-CN"/>
              </w:rPr>
            </w:pPr>
            <w:r>
              <w:rPr>
                <w:rFonts w:hint="eastAsia" w:ascii="黑体" w:hAnsi="黑体" w:eastAsia="黑体" w:cs="黑体"/>
                <w:b/>
                <w:bCs/>
                <w:color w:val="auto"/>
                <w:sz w:val="22"/>
                <w:szCs w:val="22"/>
                <w:highlight w:val="none"/>
                <w:lang w:val="en-US" w:eastAsia="zh-CN"/>
              </w:rPr>
              <w:t>系统改造</w:t>
            </w:r>
          </w:p>
        </w:tc>
        <w:tc>
          <w:tcPr>
            <w:tcW w:w="806" w:type="dxa"/>
            <w:noWrap/>
            <w:vAlign w:val="center"/>
          </w:tcPr>
          <w:p w14:paraId="32D677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p>
        </w:tc>
        <w:tc>
          <w:tcPr>
            <w:tcW w:w="800" w:type="dxa"/>
            <w:noWrap w:val="0"/>
            <w:vAlign w:val="center"/>
          </w:tcPr>
          <w:p w14:paraId="524C59E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p>
        </w:tc>
        <w:tc>
          <w:tcPr>
            <w:tcW w:w="1188" w:type="dxa"/>
            <w:noWrap w:val="0"/>
            <w:vAlign w:val="center"/>
          </w:tcPr>
          <w:p w14:paraId="59127D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p>
        </w:tc>
        <w:tc>
          <w:tcPr>
            <w:tcW w:w="1231" w:type="dxa"/>
            <w:noWrap w:val="0"/>
            <w:vAlign w:val="center"/>
          </w:tcPr>
          <w:p w14:paraId="465DE7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p>
        </w:tc>
        <w:tc>
          <w:tcPr>
            <w:tcW w:w="694" w:type="dxa"/>
            <w:noWrap w:val="0"/>
            <w:vAlign w:val="center"/>
          </w:tcPr>
          <w:p w14:paraId="2C9CF9A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color w:val="auto"/>
                <w:sz w:val="22"/>
                <w:szCs w:val="22"/>
                <w:highlight w:val="none"/>
                <w:lang w:val="en-US" w:eastAsia="zh-CN"/>
              </w:rPr>
            </w:pPr>
          </w:p>
        </w:tc>
      </w:tr>
      <w:tr w14:paraId="3DF9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4198A0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w:t>
            </w:r>
          </w:p>
        </w:tc>
        <w:tc>
          <w:tcPr>
            <w:tcW w:w="3781" w:type="dxa"/>
            <w:noWrap w:val="0"/>
            <w:vAlign w:val="center"/>
          </w:tcPr>
          <w:p w14:paraId="31D07F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数字中台信创改造</w:t>
            </w:r>
            <w:r>
              <w:rPr>
                <w:rFonts w:hint="eastAsia" w:ascii="宋体" w:hAnsi="宋体" w:cs="宋体"/>
                <w:color w:val="auto"/>
                <w:sz w:val="22"/>
                <w:szCs w:val="22"/>
                <w:highlight w:val="none"/>
                <w:lang w:val="en-US" w:eastAsia="zh-CN"/>
              </w:rPr>
              <w:t>及数据</w:t>
            </w:r>
            <w:r>
              <w:rPr>
                <w:rFonts w:hint="eastAsia" w:ascii="宋体" w:hAnsi="宋体" w:eastAsia="宋体" w:cs="宋体"/>
                <w:color w:val="auto"/>
                <w:sz w:val="22"/>
                <w:szCs w:val="22"/>
                <w:highlight w:val="none"/>
                <w:lang w:val="en-US" w:eastAsia="zh-CN"/>
              </w:rPr>
              <w:t>迁移</w:t>
            </w:r>
          </w:p>
        </w:tc>
        <w:tc>
          <w:tcPr>
            <w:tcW w:w="806" w:type="dxa"/>
            <w:noWrap/>
            <w:vAlign w:val="center"/>
          </w:tcPr>
          <w:p w14:paraId="749107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800" w:type="dxa"/>
            <w:noWrap w:val="0"/>
            <w:vAlign w:val="center"/>
          </w:tcPr>
          <w:p w14:paraId="59E984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188" w:type="dxa"/>
            <w:noWrap w:val="0"/>
            <w:vAlign w:val="center"/>
          </w:tcPr>
          <w:p w14:paraId="789DCDC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p>
        </w:tc>
        <w:tc>
          <w:tcPr>
            <w:tcW w:w="1231" w:type="dxa"/>
            <w:noWrap w:val="0"/>
            <w:vAlign w:val="center"/>
          </w:tcPr>
          <w:p w14:paraId="1A446B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p>
        </w:tc>
        <w:tc>
          <w:tcPr>
            <w:tcW w:w="694" w:type="dxa"/>
            <w:noWrap w:val="0"/>
            <w:vAlign w:val="center"/>
          </w:tcPr>
          <w:p w14:paraId="3484CF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2"/>
                <w:szCs w:val="22"/>
                <w:highlight w:val="none"/>
                <w:lang w:val="en-US" w:eastAsia="zh-CN"/>
              </w:rPr>
            </w:pPr>
          </w:p>
        </w:tc>
      </w:tr>
      <w:tr w14:paraId="474A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2AC117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color w:val="auto"/>
                <w:kern w:val="2"/>
                <w:sz w:val="22"/>
                <w:szCs w:val="22"/>
                <w:highlight w:val="none"/>
                <w:lang w:val="en-US" w:eastAsia="zh-CN" w:bidi="ar-SA"/>
              </w:rPr>
            </w:pPr>
            <w:r>
              <w:rPr>
                <w:rFonts w:hint="eastAsia" w:ascii="黑体" w:hAnsi="黑体" w:eastAsia="黑体" w:cs="黑体"/>
                <w:b/>
                <w:bCs/>
                <w:color w:val="auto"/>
                <w:kern w:val="2"/>
                <w:sz w:val="22"/>
                <w:szCs w:val="22"/>
                <w:highlight w:val="none"/>
                <w:lang w:val="en-US" w:eastAsia="zh-CN" w:bidi="ar-SA"/>
              </w:rPr>
              <w:t>3</w:t>
            </w:r>
          </w:p>
        </w:tc>
        <w:tc>
          <w:tcPr>
            <w:tcW w:w="8500" w:type="dxa"/>
            <w:gridSpan w:val="6"/>
            <w:noWrap w:val="0"/>
            <w:vAlign w:val="center"/>
          </w:tcPr>
          <w:p w14:paraId="02CF84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color w:val="auto"/>
                <w:kern w:val="2"/>
                <w:sz w:val="22"/>
                <w:szCs w:val="22"/>
                <w:highlight w:val="none"/>
                <w:lang w:val="en-US" w:eastAsia="zh-CN" w:bidi="ar-SA"/>
              </w:rPr>
            </w:pPr>
            <w:r>
              <w:rPr>
                <w:rFonts w:hint="eastAsia" w:ascii="黑体" w:hAnsi="黑体" w:eastAsia="黑体" w:cs="黑体"/>
                <w:b/>
                <w:bCs/>
                <w:color w:val="auto"/>
                <w:kern w:val="2"/>
                <w:sz w:val="22"/>
                <w:szCs w:val="22"/>
                <w:highlight w:val="none"/>
                <w:lang w:val="en-US" w:eastAsia="zh-CN" w:bidi="ar-SA"/>
              </w:rPr>
              <w:t>第三方商业软件</w:t>
            </w:r>
          </w:p>
        </w:tc>
      </w:tr>
      <w:tr w14:paraId="4720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54BBBF8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3.1</w:t>
            </w:r>
          </w:p>
        </w:tc>
        <w:tc>
          <w:tcPr>
            <w:tcW w:w="3781" w:type="dxa"/>
            <w:noWrap w:val="0"/>
            <w:vAlign w:val="center"/>
          </w:tcPr>
          <w:p w14:paraId="6C0C94CE">
            <w:pPr>
              <w:keepNext w:val="0"/>
              <w:keepLines w:val="0"/>
              <w:widowControl/>
              <w:suppressLineNumbers w:val="0"/>
              <w:spacing w:line="240" w:lineRule="auto"/>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国产Web中间件</w:t>
            </w:r>
          </w:p>
        </w:tc>
        <w:tc>
          <w:tcPr>
            <w:tcW w:w="806" w:type="dxa"/>
            <w:noWrap w:val="0"/>
            <w:vAlign w:val="center"/>
          </w:tcPr>
          <w:p w14:paraId="4B98B7B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套</w:t>
            </w:r>
          </w:p>
        </w:tc>
        <w:tc>
          <w:tcPr>
            <w:tcW w:w="800" w:type="dxa"/>
            <w:noWrap/>
            <w:vAlign w:val="center"/>
          </w:tcPr>
          <w:p w14:paraId="3CC82DA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w:t>
            </w:r>
          </w:p>
        </w:tc>
        <w:tc>
          <w:tcPr>
            <w:tcW w:w="1188" w:type="dxa"/>
            <w:noWrap w:val="0"/>
            <w:vAlign w:val="center"/>
          </w:tcPr>
          <w:p w14:paraId="44F3395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47843AC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219A9D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58D9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7B839B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3.2</w:t>
            </w:r>
          </w:p>
        </w:tc>
        <w:tc>
          <w:tcPr>
            <w:tcW w:w="3781" w:type="dxa"/>
            <w:noWrap w:val="0"/>
            <w:vAlign w:val="center"/>
          </w:tcPr>
          <w:p w14:paraId="3187FB9B">
            <w:pPr>
              <w:keepNext w:val="0"/>
              <w:keepLines w:val="0"/>
              <w:widowControl/>
              <w:suppressLineNumbers w:val="0"/>
              <w:spacing w:line="240" w:lineRule="auto"/>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国产数据库系统</w:t>
            </w:r>
          </w:p>
        </w:tc>
        <w:tc>
          <w:tcPr>
            <w:tcW w:w="806" w:type="dxa"/>
            <w:noWrap w:val="0"/>
            <w:vAlign w:val="center"/>
          </w:tcPr>
          <w:p w14:paraId="1B74B55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套</w:t>
            </w:r>
          </w:p>
        </w:tc>
        <w:tc>
          <w:tcPr>
            <w:tcW w:w="800" w:type="dxa"/>
            <w:noWrap w:val="0"/>
            <w:vAlign w:val="center"/>
          </w:tcPr>
          <w:p w14:paraId="0379DB9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p>
        </w:tc>
        <w:tc>
          <w:tcPr>
            <w:tcW w:w="1188" w:type="dxa"/>
            <w:noWrap w:val="0"/>
            <w:vAlign w:val="center"/>
          </w:tcPr>
          <w:p w14:paraId="73E00AE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4539AF8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3AEA16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266E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053B8E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3.3</w:t>
            </w:r>
          </w:p>
        </w:tc>
        <w:tc>
          <w:tcPr>
            <w:tcW w:w="3781" w:type="dxa"/>
            <w:noWrap w:val="0"/>
            <w:vAlign w:val="center"/>
          </w:tcPr>
          <w:p w14:paraId="1B01277D">
            <w:pPr>
              <w:keepNext w:val="0"/>
              <w:keepLines w:val="0"/>
              <w:widowControl/>
              <w:suppressLineNumbers w:val="0"/>
              <w:spacing w:line="240" w:lineRule="auto"/>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国产操作系统</w:t>
            </w:r>
          </w:p>
        </w:tc>
        <w:tc>
          <w:tcPr>
            <w:tcW w:w="806" w:type="dxa"/>
            <w:noWrap w:val="0"/>
            <w:vAlign w:val="center"/>
          </w:tcPr>
          <w:p w14:paraId="19D868C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套</w:t>
            </w:r>
          </w:p>
        </w:tc>
        <w:tc>
          <w:tcPr>
            <w:tcW w:w="800" w:type="dxa"/>
            <w:noWrap w:val="0"/>
            <w:vAlign w:val="center"/>
          </w:tcPr>
          <w:p w14:paraId="3C241E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p>
        </w:tc>
        <w:tc>
          <w:tcPr>
            <w:tcW w:w="1188" w:type="dxa"/>
            <w:noWrap w:val="0"/>
            <w:vAlign w:val="center"/>
          </w:tcPr>
          <w:p w14:paraId="5534524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6EC4DE1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4B82E6F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4177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1320D6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3.4</w:t>
            </w:r>
          </w:p>
        </w:tc>
        <w:tc>
          <w:tcPr>
            <w:tcW w:w="3781" w:type="dxa"/>
            <w:noWrap w:val="0"/>
            <w:vAlign w:val="center"/>
          </w:tcPr>
          <w:p w14:paraId="04E6CA50">
            <w:pPr>
              <w:keepNext w:val="0"/>
              <w:keepLines w:val="0"/>
              <w:widowControl/>
              <w:suppressLineNumbers w:val="0"/>
              <w:spacing w:line="24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国产在线预览系统</w:t>
            </w:r>
          </w:p>
        </w:tc>
        <w:tc>
          <w:tcPr>
            <w:tcW w:w="806" w:type="dxa"/>
            <w:noWrap w:val="0"/>
            <w:vAlign w:val="center"/>
          </w:tcPr>
          <w:p w14:paraId="6D5871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套</w:t>
            </w:r>
          </w:p>
        </w:tc>
        <w:tc>
          <w:tcPr>
            <w:tcW w:w="800" w:type="dxa"/>
            <w:noWrap w:val="0"/>
            <w:vAlign w:val="center"/>
          </w:tcPr>
          <w:p w14:paraId="18E184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3E5DD3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506C2A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38F373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35CB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20A26E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3.5</w:t>
            </w:r>
          </w:p>
        </w:tc>
        <w:tc>
          <w:tcPr>
            <w:tcW w:w="3781" w:type="dxa"/>
            <w:noWrap w:val="0"/>
            <w:vAlign w:val="center"/>
          </w:tcPr>
          <w:p w14:paraId="149D18D7">
            <w:pPr>
              <w:keepNext w:val="0"/>
              <w:keepLines w:val="0"/>
              <w:widowControl/>
              <w:suppressLineNumbers w:val="0"/>
              <w:spacing w:line="24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国产在线编辑</w:t>
            </w:r>
          </w:p>
        </w:tc>
        <w:tc>
          <w:tcPr>
            <w:tcW w:w="806" w:type="dxa"/>
            <w:noWrap w:val="0"/>
            <w:vAlign w:val="center"/>
          </w:tcPr>
          <w:p w14:paraId="0D20ED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套</w:t>
            </w:r>
          </w:p>
        </w:tc>
        <w:tc>
          <w:tcPr>
            <w:tcW w:w="800" w:type="dxa"/>
            <w:noWrap w:val="0"/>
            <w:vAlign w:val="center"/>
          </w:tcPr>
          <w:p w14:paraId="1A319C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6C5651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2B3F41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1A085D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5D1F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1C1FEE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bCs/>
                <w:color w:val="auto"/>
                <w:kern w:val="2"/>
                <w:sz w:val="22"/>
                <w:szCs w:val="22"/>
                <w:highlight w:val="none"/>
                <w:lang w:val="en-US" w:eastAsia="zh-CN" w:bidi="ar-SA"/>
              </w:rPr>
            </w:pPr>
            <w:r>
              <w:rPr>
                <w:rFonts w:hint="eastAsia" w:ascii="黑体" w:hAnsi="黑体" w:eastAsia="黑体" w:cs="黑体"/>
                <w:b/>
                <w:bCs/>
                <w:color w:val="auto"/>
                <w:kern w:val="2"/>
                <w:sz w:val="22"/>
                <w:szCs w:val="22"/>
                <w:highlight w:val="none"/>
                <w:lang w:val="en-US" w:eastAsia="zh-CN" w:bidi="ar-SA"/>
              </w:rPr>
              <w:t>4</w:t>
            </w:r>
          </w:p>
        </w:tc>
        <w:tc>
          <w:tcPr>
            <w:tcW w:w="8500" w:type="dxa"/>
            <w:gridSpan w:val="6"/>
            <w:noWrap w:val="0"/>
            <w:vAlign w:val="center"/>
          </w:tcPr>
          <w:p w14:paraId="0701BF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kern w:val="2"/>
                <w:sz w:val="22"/>
                <w:szCs w:val="22"/>
                <w:highlight w:val="none"/>
                <w:lang w:val="en-US" w:eastAsia="zh-CN" w:bidi="ar-SA"/>
              </w:rPr>
            </w:pPr>
            <w:r>
              <w:rPr>
                <w:rFonts w:hint="eastAsia" w:ascii="黑体" w:hAnsi="黑体" w:eastAsia="黑体" w:cs="黑体"/>
                <w:b/>
                <w:bCs/>
                <w:i w:val="0"/>
                <w:iCs w:val="0"/>
                <w:color w:val="auto"/>
                <w:kern w:val="0"/>
                <w:sz w:val="22"/>
                <w:szCs w:val="22"/>
                <w:highlight w:val="none"/>
                <w:u w:val="none"/>
                <w:lang w:val="en-US" w:eastAsia="zh-CN" w:bidi="ar"/>
              </w:rPr>
              <w:t>安全配套建设</w:t>
            </w:r>
          </w:p>
        </w:tc>
      </w:tr>
      <w:tr w14:paraId="33BF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1BD69B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4.1</w:t>
            </w:r>
          </w:p>
        </w:tc>
        <w:tc>
          <w:tcPr>
            <w:tcW w:w="3781" w:type="dxa"/>
            <w:noWrap w:val="0"/>
            <w:vAlign w:val="center"/>
          </w:tcPr>
          <w:p w14:paraId="26BA10D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WAF（1个一级域名和10个二级域名）</w:t>
            </w:r>
          </w:p>
        </w:tc>
        <w:tc>
          <w:tcPr>
            <w:tcW w:w="806" w:type="dxa"/>
            <w:noWrap w:val="0"/>
            <w:vAlign w:val="center"/>
          </w:tcPr>
          <w:p w14:paraId="72E7DE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1A0649A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5DCC79F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5E8ADD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188403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5C67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1D18154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4.2</w:t>
            </w:r>
          </w:p>
        </w:tc>
        <w:tc>
          <w:tcPr>
            <w:tcW w:w="3781" w:type="dxa"/>
            <w:noWrap w:val="0"/>
            <w:vAlign w:val="center"/>
          </w:tcPr>
          <w:p w14:paraId="7920720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运维堡垒机（20个资产管理）</w:t>
            </w:r>
          </w:p>
        </w:tc>
        <w:tc>
          <w:tcPr>
            <w:tcW w:w="806" w:type="dxa"/>
            <w:noWrap w:val="0"/>
            <w:vAlign w:val="center"/>
          </w:tcPr>
          <w:p w14:paraId="40199F0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79C3C6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398D9E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1C82541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0EB8801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6C13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221354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4.3</w:t>
            </w:r>
          </w:p>
        </w:tc>
        <w:tc>
          <w:tcPr>
            <w:tcW w:w="3781" w:type="dxa"/>
            <w:noWrap w:val="0"/>
            <w:vAlign w:val="center"/>
          </w:tcPr>
          <w:p w14:paraId="592D9FC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主机防护EDR（6个资产主机防护）</w:t>
            </w:r>
          </w:p>
        </w:tc>
        <w:tc>
          <w:tcPr>
            <w:tcW w:w="806" w:type="dxa"/>
            <w:noWrap w:val="0"/>
            <w:vAlign w:val="center"/>
          </w:tcPr>
          <w:p w14:paraId="3AF94D4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5AF2F24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1F6D1EF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79172A0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73A9D7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4DFD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3B5C04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4.4</w:t>
            </w:r>
          </w:p>
        </w:tc>
        <w:tc>
          <w:tcPr>
            <w:tcW w:w="3781" w:type="dxa"/>
            <w:noWrap w:val="0"/>
            <w:vAlign w:val="center"/>
          </w:tcPr>
          <w:p w14:paraId="2857258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云下一代防火墙（500M吞吐量）</w:t>
            </w:r>
          </w:p>
        </w:tc>
        <w:tc>
          <w:tcPr>
            <w:tcW w:w="806" w:type="dxa"/>
            <w:noWrap w:val="0"/>
            <w:vAlign w:val="center"/>
          </w:tcPr>
          <w:p w14:paraId="67469E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571E88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6CD8D45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45DF7BC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44EF1C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0A30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359C5D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4.5</w:t>
            </w:r>
          </w:p>
        </w:tc>
        <w:tc>
          <w:tcPr>
            <w:tcW w:w="3781" w:type="dxa"/>
            <w:noWrap w:val="0"/>
            <w:vAlign w:val="center"/>
          </w:tcPr>
          <w:p w14:paraId="5ABBAD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网页防篡改（1个网站）</w:t>
            </w:r>
          </w:p>
        </w:tc>
        <w:tc>
          <w:tcPr>
            <w:tcW w:w="806" w:type="dxa"/>
            <w:noWrap w:val="0"/>
            <w:vAlign w:val="center"/>
          </w:tcPr>
          <w:p w14:paraId="47AF2AA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5DD52B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71023D5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52BFA6B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41C2DC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198B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037B24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4.6</w:t>
            </w:r>
          </w:p>
        </w:tc>
        <w:tc>
          <w:tcPr>
            <w:tcW w:w="3781" w:type="dxa"/>
            <w:noWrap w:val="0"/>
            <w:vAlign w:val="center"/>
          </w:tcPr>
          <w:p w14:paraId="59FB699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日志审计（10个日志源）</w:t>
            </w:r>
          </w:p>
        </w:tc>
        <w:tc>
          <w:tcPr>
            <w:tcW w:w="806" w:type="dxa"/>
            <w:noWrap w:val="0"/>
            <w:vAlign w:val="center"/>
          </w:tcPr>
          <w:p w14:paraId="36E17C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5832CB0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5CCA7F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7FDE796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1D78CD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138E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32BE55E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bCs/>
                <w:color w:val="auto"/>
                <w:kern w:val="2"/>
                <w:sz w:val="22"/>
                <w:szCs w:val="22"/>
                <w:highlight w:val="none"/>
                <w:lang w:val="en-US" w:eastAsia="zh-CN" w:bidi="ar-SA"/>
              </w:rPr>
            </w:pPr>
            <w:r>
              <w:rPr>
                <w:rFonts w:hint="eastAsia" w:ascii="黑体" w:hAnsi="黑体" w:eastAsia="黑体" w:cs="黑体"/>
                <w:b/>
                <w:bCs/>
                <w:color w:val="auto"/>
                <w:kern w:val="2"/>
                <w:sz w:val="22"/>
                <w:szCs w:val="22"/>
                <w:highlight w:val="none"/>
                <w:lang w:val="en-US" w:eastAsia="zh-CN" w:bidi="ar-SA"/>
              </w:rPr>
              <w:t>5</w:t>
            </w:r>
          </w:p>
        </w:tc>
        <w:tc>
          <w:tcPr>
            <w:tcW w:w="8500" w:type="dxa"/>
            <w:gridSpan w:val="6"/>
            <w:noWrap w:val="0"/>
            <w:vAlign w:val="center"/>
          </w:tcPr>
          <w:p w14:paraId="136A5B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color w:val="auto"/>
                <w:kern w:val="2"/>
                <w:sz w:val="22"/>
                <w:szCs w:val="22"/>
                <w:highlight w:val="none"/>
                <w:lang w:val="en-US" w:eastAsia="zh-CN" w:bidi="ar-SA"/>
              </w:rPr>
            </w:pPr>
            <w:r>
              <w:rPr>
                <w:rFonts w:hint="eastAsia" w:ascii="黑体" w:hAnsi="黑体" w:eastAsia="黑体" w:cs="黑体"/>
                <w:b/>
                <w:bCs/>
                <w:i w:val="0"/>
                <w:iCs w:val="0"/>
                <w:color w:val="auto"/>
                <w:kern w:val="0"/>
                <w:sz w:val="22"/>
                <w:szCs w:val="22"/>
                <w:highlight w:val="none"/>
                <w:u w:val="none"/>
                <w:lang w:val="en-US" w:eastAsia="zh-CN" w:bidi="ar"/>
              </w:rPr>
              <w:t>其他配套环境建设</w:t>
            </w:r>
          </w:p>
        </w:tc>
      </w:tr>
      <w:tr w14:paraId="3CCC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5CE6159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5.1</w:t>
            </w:r>
          </w:p>
        </w:tc>
        <w:tc>
          <w:tcPr>
            <w:tcW w:w="3781" w:type="dxa"/>
            <w:noWrap w:val="0"/>
            <w:vAlign w:val="center"/>
          </w:tcPr>
          <w:p w14:paraId="1845A24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托管服务（含IDC机柜和出口带宽）</w:t>
            </w:r>
          </w:p>
        </w:tc>
        <w:tc>
          <w:tcPr>
            <w:tcW w:w="806" w:type="dxa"/>
            <w:noWrap w:val="0"/>
            <w:vAlign w:val="center"/>
          </w:tcPr>
          <w:p w14:paraId="6A8058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2011CD8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397872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55F5EB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49CDD69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269D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365D80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5.2</w:t>
            </w:r>
          </w:p>
        </w:tc>
        <w:tc>
          <w:tcPr>
            <w:tcW w:w="3781" w:type="dxa"/>
            <w:noWrap w:val="0"/>
            <w:vAlign w:val="center"/>
          </w:tcPr>
          <w:p w14:paraId="07CB0137">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等保测评</w:t>
            </w:r>
            <w:r>
              <w:rPr>
                <w:rFonts w:hint="eastAsia" w:ascii="宋体" w:hAnsi="宋体" w:cs="宋体"/>
                <w:i w:val="0"/>
                <w:iCs w:val="0"/>
                <w:color w:val="auto"/>
                <w:kern w:val="0"/>
                <w:sz w:val="22"/>
                <w:szCs w:val="22"/>
                <w:highlight w:val="none"/>
                <w:u w:val="none"/>
                <w:lang w:val="en-US" w:eastAsia="zh-CN" w:bidi="ar"/>
              </w:rPr>
              <w:t>(含OA办公系统、网站）</w:t>
            </w:r>
          </w:p>
        </w:tc>
        <w:tc>
          <w:tcPr>
            <w:tcW w:w="806" w:type="dxa"/>
            <w:noWrap w:val="0"/>
            <w:vAlign w:val="center"/>
          </w:tcPr>
          <w:p w14:paraId="4A0780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4D2B5B7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4562BB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1E7832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378317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7241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3E84B3A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5.3</w:t>
            </w:r>
          </w:p>
        </w:tc>
        <w:tc>
          <w:tcPr>
            <w:tcW w:w="3781" w:type="dxa"/>
            <w:noWrap w:val="0"/>
            <w:vAlign w:val="center"/>
          </w:tcPr>
          <w:p w14:paraId="655B9EC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信创实验室测评</w:t>
            </w:r>
            <w:r>
              <w:rPr>
                <w:rFonts w:hint="eastAsia" w:ascii="宋体" w:hAnsi="宋体" w:cs="宋体"/>
                <w:i w:val="0"/>
                <w:iCs w:val="0"/>
                <w:color w:val="auto"/>
                <w:kern w:val="0"/>
                <w:sz w:val="22"/>
                <w:szCs w:val="22"/>
                <w:highlight w:val="none"/>
                <w:u w:val="none"/>
                <w:lang w:val="en-US" w:eastAsia="zh-CN" w:bidi="ar"/>
              </w:rPr>
              <w:t>(含OA办公系统、网站）</w:t>
            </w:r>
          </w:p>
        </w:tc>
        <w:tc>
          <w:tcPr>
            <w:tcW w:w="806" w:type="dxa"/>
            <w:noWrap w:val="0"/>
            <w:vAlign w:val="center"/>
          </w:tcPr>
          <w:p w14:paraId="5BA766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32C981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676489A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1A57D2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4BF5AFB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14C1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351957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5.4</w:t>
            </w:r>
          </w:p>
        </w:tc>
        <w:tc>
          <w:tcPr>
            <w:tcW w:w="3781" w:type="dxa"/>
            <w:noWrap w:val="0"/>
            <w:vAlign w:val="center"/>
          </w:tcPr>
          <w:p w14:paraId="09D9FAA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人员费用</w:t>
            </w:r>
          </w:p>
        </w:tc>
        <w:tc>
          <w:tcPr>
            <w:tcW w:w="806" w:type="dxa"/>
            <w:noWrap w:val="0"/>
            <w:vAlign w:val="center"/>
          </w:tcPr>
          <w:p w14:paraId="5776AD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0AA610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555440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3FBAE59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71721A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1729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3A42C5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5.5</w:t>
            </w:r>
          </w:p>
        </w:tc>
        <w:tc>
          <w:tcPr>
            <w:tcW w:w="3781" w:type="dxa"/>
            <w:noWrap w:val="0"/>
            <w:vAlign w:val="center"/>
          </w:tcPr>
          <w:p w14:paraId="608DFA77">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税金</w:t>
            </w:r>
          </w:p>
        </w:tc>
        <w:tc>
          <w:tcPr>
            <w:tcW w:w="806" w:type="dxa"/>
            <w:noWrap w:val="0"/>
            <w:vAlign w:val="center"/>
          </w:tcPr>
          <w:p w14:paraId="626AD41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3A83534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0DF25D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49389E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3077D1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6EBE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44A24D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5.6</w:t>
            </w:r>
          </w:p>
        </w:tc>
        <w:tc>
          <w:tcPr>
            <w:tcW w:w="3781" w:type="dxa"/>
            <w:noWrap w:val="0"/>
            <w:vAlign w:val="center"/>
          </w:tcPr>
          <w:p w14:paraId="65ACF35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w:t>
            </w:r>
          </w:p>
        </w:tc>
        <w:tc>
          <w:tcPr>
            <w:tcW w:w="806" w:type="dxa"/>
            <w:noWrap w:val="0"/>
            <w:vAlign w:val="center"/>
          </w:tcPr>
          <w:p w14:paraId="117023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800" w:type="dxa"/>
            <w:noWrap w:val="0"/>
            <w:vAlign w:val="center"/>
          </w:tcPr>
          <w:p w14:paraId="01318D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188" w:type="dxa"/>
            <w:noWrap w:val="0"/>
            <w:vAlign w:val="center"/>
          </w:tcPr>
          <w:p w14:paraId="6B5FCF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31" w:type="dxa"/>
            <w:noWrap w:val="0"/>
            <w:vAlign w:val="center"/>
          </w:tcPr>
          <w:p w14:paraId="6927EE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94" w:type="dxa"/>
            <w:noWrap w:val="0"/>
            <w:vAlign w:val="center"/>
          </w:tcPr>
          <w:p w14:paraId="05E288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r>
      <w:tr w14:paraId="413E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noWrap w:val="0"/>
            <w:vAlign w:val="center"/>
          </w:tcPr>
          <w:p w14:paraId="77AC38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5.7</w:t>
            </w:r>
          </w:p>
        </w:tc>
        <w:tc>
          <w:tcPr>
            <w:tcW w:w="3781" w:type="dxa"/>
            <w:noWrap w:val="0"/>
            <w:vAlign w:val="center"/>
          </w:tcPr>
          <w:p w14:paraId="32CB54D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采购代理</w:t>
            </w:r>
            <w:r>
              <w:rPr>
                <w:rFonts w:hint="eastAsia" w:ascii="宋体" w:hAnsi="宋体" w:cs="宋体"/>
                <w:i w:val="0"/>
                <w:iCs w:val="0"/>
                <w:color w:val="auto"/>
                <w:kern w:val="0"/>
                <w:sz w:val="22"/>
                <w:szCs w:val="22"/>
                <w:highlight w:val="none"/>
                <w:u w:val="none"/>
                <w:lang w:val="en-US" w:eastAsia="zh-CN" w:bidi="ar"/>
              </w:rPr>
              <w:t>等</w:t>
            </w:r>
            <w:r>
              <w:rPr>
                <w:rFonts w:hint="eastAsia" w:ascii="宋体" w:hAnsi="宋体" w:eastAsia="宋体" w:cs="宋体"/>
                <w:i w:val="0"/>
                <w:iCs w:val="0"/>
                <w:color w:val="auto"/>
                <w:kern w:val="0"/>
                <w:sz w:val="22"/>
                <w:szCs w:val="22"/>
                <w:highlight w:val="none"/>
                <w:u w:val="none"/>
                <w:lang w:val="en-US" w:eastAsia="zh-CN" w:bidi="ar"/>
              </w:rPr>
              <w:t>服务费</w:t>
            </w:r>
          </w:p>
        </w:tc>
        <w:tc>
          <w:tcPr>
            <w:tcW w:w="4719" w:type="dxa"/>
            <w:gridSpan w:val="5"/>
            <w:noWrap w:val="0"/>
            <w:vAlign w:val="center"/>
          </w:tcPr>
          <w:p w14:paraId="0BA874C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含</w:t>
            </w:r>
          </w:p>
        </w:tc>
      </w:tr>
      <w:tr w14:paraId="0CD2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4" w:type="dxa"/>
            <w:gridSpan w:val="7"/>
            <w:noWrap w:val="0"/>
            <w:vAlign w:val="center"/>
          </w:tcPr>
          <w:p w14:paraId="53D79F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总价：大写</w:t>
            </w:r>
            <w:r>
              <w:rPr>
                <w:rFonts w:hint="eastAsia" w:ascii="宋体" w:hAnsi="宋体" w:cs="宋体"/>
                <w:i w:val="0"/>
                <w:iCs w:val="0"/>
                <w:color w:val="auto"/>
                <w:kern w:val="0"/>
                <w:sz w:val="22"/>
                <w:szCs w:val="22"/>
                <w:highlight w:val="none"/>
                <w:u w:val="single"/>
                <w:lang w:val="en-US" w:eastAsia="zh-CN" w:bidi="ar"/>
              </w:rPr>
              <w:t xml:space="preserve">                                 </w:t>
            </w:r>
            <w:r>
              <w:rPr>
                <w:rFonts w:hint="eastAsia" w:ascii="宋体" w:hAnsi="宋体" w:cs="宋体"/>
                <w:i w:val="0"/>
                <w:iCs w:val="0"/>
                <w:color w:val="auto"/>
                <w:kern w:val="0"/>
                <w:sz w:val="22"/>
                <w:szCs w:val="22"/>
                <w:highlight w:val="none"/>
                <w:u w:val="none"/>
                <w:lang w:val="en-US" w:eastAsia="zh-CN" w:bidi="ar"/>
              </w:rPr>
              <w:t>，小写</w:t>
            </w:r>
            <w:r>
              <w:rPr>
                <w:rFonts w:hint="eastAsia" w:ascii="宋体" w:hAnsi="宋体" w:cs="宋体"/>
                <w:i w:val="0"/>
                <w:iCs w:val="0"/>
                <w:color w:val="auto"/>
                <w:kern w:val="0"/>
                <w:sz w:val="22"/>
                <w:szCs w:val="22"/>
                <w:highlight w:val="none"/>
                <w:u w:val="single"/>
                <w:lang w:val="en-US" w:eastAsia="zh-CN" w:bidi="ar"/>
              </w:rPr>
              <w:t xml:space="preserve">                           </w:t>
            </w:r>
            <w:r>
              <w:rPr>
                <w:rFonts w:hint="eastAsia" w:ascii="宋体" w:hAnsi="宋体" w:cs="宋体"/>
                <w:i w:val="0"/>
                <w:iCs w:val="0"/>
                <w:color w:val="auto"/>
                <w:kern w:val="0"/>
                <w:sz w:val="22"/>
                <w:szCs w:val="22"/>
                <w:highlight w:val="none"/>
                <w:u w:val="none"/>
                <w:lang w:val="en-US" w:eastAsia="zh-CN" w:bidi="ar"/>
              </w:rPr>
              <w:t xml:space="preserve"> 。</w:t>
            </w:r>
          </w:p>
        </w:tc>
      </w:tr>
    </w:tbl>
    <w:p w14:paraId="4C4E44A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采购项目名称：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b/>
          <w:bCs/>
          <w:color w:val="auto"/>
          <w:sz w:val="22"/>
          <w:szCs w:val="22"/>
          <w:highlight w:val="none"/>
        </w:rPr>
        <w:t xml:space="preserve"> 项目编号：</w:t>
      </w:r>
    </w:p>
    <w:p w14:paraId="38BD52FF">
      <w:pPr>
        <w:spacing w:line="24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r>
        <w:rPr>
          <w:rFonts w:hint="eastAsia" w:ascii="宋体" w:hAnsi="宋体" w:cs="宋体"/>
          <w:bCs/>
          <w:color w:val="auto"/>
          <w:sz w:val="22"/>
          <w:szCs w:val="22"/>
          <w:highlight w:val="none"/>
        </w:rPr>
        <w:t>▲</w:t>
      </w:r>
      <w:r>
        <w:rPr>
          <w:rFonts w:hint="eastAsia" w:ascii="宋体" w:hAnsi="宋体" w:cs="宋体"/>
          <w:b/>
          <w:color w:val="auto"/>
          <w:sz w:val="22"/>
          <w:szCs w:val="22"/>
          <w:highlight w:val="none"/>
        </w:rPr>
        <w:t xml:space="preserve">总价应与附件二“报价一览表”中投标报价一致。 </w:t>
      </w:r>
    </w:p>
    <w:p w14:paraId="7C2B26E2">
      <w:pPr>
        <w:spacing w:line="360" w:lineRule="auto"/>
        <w:rPr>
          <w:rFonts w:hint="eastAsia" w:ascii="宋体" w:hAnsi="宋体" w:cs="宋体"/>
          <w:color w:val="auto"/>
          <w:sz w:val="22"/>
          <w:szCs w:val="22"/>
          <w:highlight w:val="none"/>
        </w:rPr>
      </w:pPr>
    </w:p>
    <w:p w14:paraId="7628F9FD">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投标供应商全称（公章）：</w:t>
      </w:r>
    </w:p>
    <w:p w14:paraId="0767FB08">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法定代表人（或单位负责人）或授权代表（签字或盖章）：</w:t>
      </w:r>
    </w:p>
    <w:p w14:paraId="2A7893C5">
      <w:pPr>
        <w:spacing w:line="360" w:lineRule="auto"/>
        <w:ind w:right="-24" w:rightChars="-10"/>
        <w:rPr>
          <w:rFonts w:ascii="宋体" w:hAnsi="宋体" w:cs="宋体"/>
          <w:color w:val="auto"/>
          <w:sz w:val="22"/>
          <w:szCs w:val="22"/>
          <w:highlight w:val="none"/>
        </w:rPr>
      </w:pPr>
      <w:r>
        <w:rPr>
          <w:rFonts w:hint="eastAsia" w:ascii="宋体" w:hAnsi="宋体" w:cs="宋体"/>
          <w:color w:val="auto"/>
          <w:sz w:val="22"/>
          <w:szCs w:val="22"/>
          <w:highlight w:val="none"/>
        </w:rPr>
        <w:t xml:space="preserve">日 期：       年      月     </w:t>
      </w:r>
    </w:p>
    <w:p w14:paraId="3195239C">
      <w:pPr>
        <w:ind w:right="-24" w:rightChars="-10"/>
        <w:rPr>
          <w:rFonts w:ascii="宋体" w:hAnsi="宋体" w:cs="宋体"/>
          <w:b/>
          <w:bCs/>
          <w:color w:val="auto"/>
          <w:sz w:val="22"/>
          <w:szCs w:val="22"/>
          <w:highlight w:val="none"/>
        </w:rPr>
      </w:pPr>
      <w:r>
        <w:rPr>
          <w:rFonts w:hint="eastAsia" w:ascii="宋体" w:hAnsi="宋体" w:cs="宋体"/>
          <w:b/>
          <w:bCs/>
          <w:color w:val="auto"/>
          <w:sz w:val="22"/>
          <w:szCs w:val="22"/>
          <w:highlight w:val="none"/>
        </w:rPr>
        <w:t>附件四</w:t>
      </w:r>
    </w:p>
    <w:p w14:paraId="68A07B68">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函</w:t>
      </w:r>
    </w:p>
    <w:p w14:paraId="4C8724AD">
      <w:pPr>
        <w:spacing w:line="400" w:lineRule="exact"/>
        <w:rPr>
          <w:rFonts w:ascii="宋体" w:hAnsi="宋体" w:cs="宋体"/>
          <w:color w:val="auto"/>
          <w:sz w:val="22"/>
          <w:szCs w:val="22"/>
          <w:highlight w:val="none"/>
        </w:rPr>
      </w:pPr>
      <w:r>
        <w:rPr>
          <w:rFonts w:hint="eastAsia" w:ascii="宋体" w:hAnsi="宋体" w:cs="宋体"/>
          <w:color w:val="auto"/>
          <w:spacing w:val="-2"/>
          <w:sz w:val="22"/>
          <w:szCs w:val="22"/>
          <w:highlight w:val="none"/>
          <w:u w:val="single"/>
          <w:lang w:eastAsia="zh-CN"/>
        </w:rPr>
        <w:t>温州市交通发展集团有限公司</w:t>
      </w:r>
      <w:r>
        <w:rPr>
          <w:rFonts w:hint="eastAsia" w:ascii="宋体" w:hAnsi="宋体" w:cs="宋体"/>
          <w:color w:val="auto"/>
          <w:sz w:val="22"/>
          <w:szCs w:val="22"/>
          <w:highlight w:val="none"/>
        </w:rPr>
        <w:t>：</w:t>
      </w:r>
    </w:p>
    <w:p w14:paraId="70A27E40">
      <w:pPr>
        <w:spacing w:line="400" w:lineRule="exact"/>
        <w:ind w:firstLine="552" w:firstLineChars="250"/>
        <w:rPr>
          <w:rFonts w:ascii="宋体" w:hAnsi="宋体" w:cs="宋体"/>
          <w:b/>
          <w:bCs/>
          <w:color w:val="auto"/>
          <w:sz w:val="22"/>
          <w:szCs w:val="22"/>
          <w:highlight w:val="none"/>
        </w:rPr>
      </w:pPr>
    </w:p>
    <w:p w14:paraId="745F3DF0">
      <w:pPr>
        <w:overflowPunct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（投标供应商全称）正式授权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（授权代表姓名）为授权代表，参加贵方组织的     </w:t>
      </w:r>
      <w:r>
        <w:rPr>
          <w:rFonts w:hint="eastAsia" w:ascii="宋体" w:hAnsi="宋体" w:cs="宋体"/>
          <w:color w:val="auto"/>
          <w:sz w:val="22"/>
          <w:szCs w:val="22"/>
          <w:highlight w:val="none"/>
          <w:u w:val="single"/>
        </w:rPr>
        <w:t xml:space="preserve">   </w:t>
      </w:r>
      <w:r>
        <w:rPr>
          <w:rFonts w:hint="eastAsia" w:ascii="宋体" w:hAnsi="宋体" w:cs="宋体"/>
          <w:b/>
          <w:bCs/>
          <w:i/>
          <w:iCs/>
          <w:color w:val="auto"/>
          <w:sz w:val="22"/>
          <w:szCs w:val="22"/>
          <w:highlight w:val="none"/>
          <w:u w:val="single"/>
        </w:rPr>
        <w:t xml:space="preserve">（采购项目名称） </w:t>
      </w:r>
      <w:r>
        <w:rPr>
          <w:rFonts w:hint="eastAsia" w:ascii="宋体" w:hAnsi="宋体" w:cs="宋体"/>
          <w:color w:val="auto"/>
          <w:sz w:val="22"/>
          <w:szCs w:val="22"/>
          <w:highlight w:val="none"/>
          <w:u w:val="single"/>
        </w:rPr>
        <w:t>（</w:t>
      </w:r>
      <w:r>
        <w:rPr>
          <w:rFonts w:hint="eastAsia" w:ascii="宋体" w:hAnsi="宋体" w:cs="宋体"/>
          <w:b/>
          <w:bCs/>
          <w:i/>
          <w:iCs/>
          <w:color w:val="auto"/>
          <w:sz w:val="22"/>
          <w:szCs w:val="22"/>
          <w:highlight w:val="none"/>
          <w:u w:val="single"/>
        </w:rPr>
        <w:t xml:space="preserve">项目编号：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采购的有关活动，并对该项目进行投标。</w:t>
      </w:r>
    </w:p>
    <w:p w14:paraId="2E369F47">
      <w:pPr>
        <w:pStyle w:val="15"/>
        <w:spacing w:line="400" w:lineRule="exact"/>
        <w:ind w:firstLine="440"/>
        <w:rPr>
          <w:rFonts w:ascii="宋体" w:hAnsi="宋体" w:eastAsia="宋体" w:cs="宋体"/>
          <w:color w:val="auto"/>
          <w:sz w:val="22"/>
          <w:highlight w:val="none"/>
        </w:rPr>
      </w:pPr>
      <w:r>
        <w:rPr>
          <w:rFonts w:hint="eastAsia" w:ascii="宋体" w:hAnsi="宋体" w:eastAsia="宋体" w:cs="宋体"/>
          <w:color w:val="auto"/>
          <w:sz w:val="22"/>
          <w:highlight w:val="none"/>
        </w:rPr>
        <w:t>在此提交的投标文件中，包括如下内容：</w:t>
      </w:r>
    </w:p>
    <w:p w14:paraId="288B9F85">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（—）按《投标供应商须知前附表》要求编制的投标文件商务技术文件。</w:t>
      </w:r>
    </w:p>
    <w:p w14:paraId="0BEDFCB8">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（二）按《投标供应商须知前附表》要求编制的投标文件报价文件。</w:t>
      </w:r>
    </w:p>
    <w:p w14:paraId="20A0DF2D">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（三）按《投标供应商须知前附表》要求编制的投标文件资格文件。</w:t>
      </w:r>
    </w:p>
    <w:p w14:paraId="74DD65A8">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我方己完全明白采购文件的所有条款要求，并重申以下几点：</w:t>
      </w:r>
    </w:p>
    <w:p w14:paraId="1D7534CE">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（一）本投标文件的有效期按《投标供应商须知前附表》规定要求，如中标，有效期将延至本项目发行完毕为止；</w:t>
      </w:r>
    </w:p>
    <w:p w14:paraId="1BEAEB25">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（二）我方已详细研究了采购文件的所有内容包括修改书（如有）和所有已提供的参考资料以及有关附件，我方完全理解并同意放弃在此方面提出含糊意见或误解的一切权力；</w:t>
      </w:r>
    </w:p>
    <w:p w14:paraId="08ABFC71">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（三）我方明白并愿意在规定的开标时间之后，我方在投标有效期内撤回投标，</w:t>
      </w:r>
      <w:r>
        <w:rPr>
          <w:rFonts w:hint="eastAsia" w:ascii="宋体" w:hAnsi="宋体" w:cs="宋体"/>
          <w:color w:val="auto"/>
          <w:sz w:val="22"/>
          <w:highlight w:val="none"/>
        </w:rPr>
        <w:t>承诺按采购预算金额的2%赔偿对本项目采购组织机构造成的损失</w:t>
      </w:r>
      <w:r>
        <w:rPr>
          <w:rFonts w:hint="eastAsia" w:ascii="宋体" w:hAnsi="宋体" w:cs="宋体"/>
          <w:color w:val="auto"/>
          <w:sz w:val="22"/>
          <w:szCs w:val="22"/>
          <w:highlight w:val="none"/>
        </w:rPr>
        <w:t>；</w:t>
      </w:r>
    </w:p>
    <w:p w14:paraId="3C5557F9">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（四）我方同意提供按照贵方可能要求的与投标有关的一切数据或资料；</w:t>
      </w:r>
    </w:p>
    <w:p w14:paraId="4CCE7908">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（五）我方理解贵方不一定接受最低报价。</w:t>
      </w:r>
    </w:p>
    <w:p w14:paraId="318D2AAC">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（六）我方如果中标，将保证履行采购文件以及采购文件修改书（如有）中的全部责任和义务，按质、按量、按期完成合同文件中的全部任务。</w:t>
      </w:r>
    </w:p>
    <w:p w14:paraId="5A4AFF73">
      <w:pPr>
        <w:spacing w:line="400" w:lineRule="exact"/>
        <w:ind w:left="1070"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（七）中标或者成交后，按采购文件规定的采购代理服务费标准，承诺在领取中标通知书前向采购代理机构支付采购代理服务费。</w:t>
      </w:r>
    </w:p>
    <w:p w14:paraId="13531E71">
      <w:pPr>
        <w:spacing w:line="400" w:lineRule="exact"/>
        <w:ind w:firstLine="435"/>
        <w:rPr>
          <w:rFonts w:ascii="宋体" w:hAnsi="宋体" w:cs="宋体"/>
          <w:color w:val="auto"/>
          <w:sz w:val="22"/>
          <w:szCs w:val="22"/>
          <w:highlight w:val="none"/>
          <w:u w:val="single"/>
        </w:rPr>
      </w:pPr>
    </w:p>
    <w:p w14:paraId="1B3022A8">
      <w:pPr>
        <w:pStyle w:val="18"/>
        <w:spacing w:line="400" w:lineRule="atLeast"/>
        <w:rPr>
          <w:rFonts w:ascii="宋体" w:hAnsi="宋体" w:eastAsia="宋体" w:cs="宋体"/>
          <w:color w:val="auto"/>
          <w:sz w:val="22"/>
          <w:highlight w:val="none"/>
        </w:rPr>
      </w:pPr>
      <w:r>
        <w:rPr>
          <w:rFonts w:hint="eastAsia" w:ascii="宋体" w:hAnsi="宋体" w:eastAsia="宋体" w:cs="宋体"/>
          <w:color w:val="auto"/>
          <w:sz w:val="22"/>
          <w:highlight w:val="none"/>
        </w:rPr>
        <w:t>投标供应商全称（盖章）：</w:t>
      </w:r>
    </w:p>
    <w:p w14:paraId="750E9A02">
      <w:pPr>
        <w:pStyle w:val="18"/>
        <w:spacing w:line="400" w:lineRule="atLeast"/>
        <w:ind w:left="660" w:hanging="663" w:hangingChars="300"/>
        <w:rPr>
          <w:rFonts w:ascii="宋体" w:hAnsi="宋体" w:eastAsia="宋体" w:cs="宋体"/>
          <w:color w:val="auto"/>
          <w:sz w:val="22"/>
          <w:highlight w:val="none"/>
        </w:rPr>
      </w:pPr>
      <w:r>
        <w:rPr>
          <w:rFonts w:hint="eastAsia" w:ascii="宋体" w:hAnsi="宋体" w:eastAsia="宋体" w:cs="宋体"/>
          <w:color w:val="auto"/>
          <w:sz w:val="22"/>
          <w:szCs w:val="22"/>
          <w:highlight w:val="none"/>
        </w:rPr>
        <w:t>法定代表人（或单位负责人）或其授权代表（签字或盖章）</w:t>
      </w:r>
      <w:r>
        <w:rPr>
          <w:rFonts w:hint="eastAsia" w:ascii="宋体" w:hAnsi="宋体" w:eastAsia="宋体" w:cs="宋体"/>
          <w:color w:val="auto"/>
          <w:sz w:val="22"/>
          <w:highlight w:val="none"/>
        </w:rPr>
        <w:t>：</w:t>
      </w:r>
    </w:p>
    <w:p w14:paraId="21CC1058">
      <w:pPr>
        <w:spacing w:line="5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485F735D">
      <w:pPr>
        <w:overflowPunct w:val="0"/>
        <w:spacing w:line="400" w:lineRule="exact"/>
        <w:ind w:firstLine="440" w:firstLineChars="200"/>
        <w:rPr>
          <w:rFonts w:ascii="宋体" w:hAnsi="宋体" w:cs="宋体"/>
          <w:color w:val="auto"/>
          <w:sz w:val="22"/>
          <w:szCs w:val="22"/>
          <w:highlight w:val="none"/>
        </w:rPr>
      </w:pPr>
    </w:p>
    <w:p w14:paraId="2D3867D5">
      <w:pPr>
        <w:overflowPunct w:val="0"/>
        <w:spacing w:line="400" w:lineRule="exact"/>
        <w:ind w:firstLine="440" w:firstLineChars="200"/>
        <w:rPr>
          <w:rFonts w:ascii="宋体" w:hAnsi="宋体" w:cs="宋体"/>
          <w:color w:val="auto"/>
          <w:sz w:val="22"/>
          <w:szCs w:val="22"/>
          <w:highlight w:val="none"/>
        </w:rPr>
      </w:pPr>
    </w:p>
    <w:p w14:paraId="1AFE8A29">
      <w:pPr>
        <w:overflowPunct w:val="0"/>
        <w:spacing w:line="380" w:lineRule="exact"/>
        <w:rPr>
          <w:rFonts w:ascii="宋体" w:hAnsi="宋体" w:cs="宋体"/>
          <w:b/>
          <w:bCs/>
          <w:color w:val="auto"/>
          <w:sz w:val="22"/>
          <w:szCs w:val="22"/>
          <w:highlight w:val="none"/>
        </w:rPr>
      </w:pPr>
    </w:p>
    <w:p w14:paraId="02204F49">
      <w:pPr>
        <w:spacing w:line="360" w:lineRule="auto"/>
        <w:rPr>
          <w:rFonts w:ascii="宋体" w:hAnsi="宋体" w:cs="宋体"/>
          <w:b/>
          <w:color w:val="auto"/>
          <w:sz w:val="22"/>
          <w:szCs w:val="22"/>
          <w:highlight w:val="none"/>
          <w:u w:val="single"/>
        </w:rPr>
      </w:pPr>
      <w:r>
        <w:rPr>
          <w:rFonts w:hint="eastAsia" w:ascii="宋体" w:hAnsi="宋体" w:cs="宋体"/>
          <w:b/>
          <w:color w:val="auto"/>
          <w:sz w:val="22"/>
          <w:szCs w:val="22"/>
          <w:highlight w:val="none"/>
        </w:rPr>
        <w:t>注：</w:t>
      </w:r>
      <w:r>
        <w:rPr>
          <w:rFonts w:hint="eastAsia" w:ascii="宋体" w:hAnsi="宋体" w:cs="宋体"/>
          <w:b/>
          <w:color w:val="auto"/>
          <w:sz w:val="22"/>
          <w:szCs w:val="22"/>
          <w:highlight w:val="none"/>
          <w:u w:val="single"/>
        </w:rPr>
        <w:t>▲不提供此函将被视为没有实质性响应采购文件要求, 作无效标处理。</w:t>
      </w:r>
    </w:p>
    <w:p w14:paraId="17B4BE0E">
      <w:pPr>
        <w:rPr>
          <w:rFonts w:ascii="宋体" w:hAnsi="宋体" w:cs="宋体"/>
          <w:b/>
          <w:bCs/>
          <w:color w:val="auto"/>
          <w:sz w:val="22"/>
          <w:szCs w:val="22"/>
          <w:highlight w:val="none"/>
        </w:rPr>
      </w:pPr>
    </w:p>
    <w:p w14:paraId="23AE6357">
      <w:pPr>
        <w:ind w:right="-24" w:rightChars="-10"/>
        <w:rPr>
          <w:rFonts w:ascii="宋体" w:hAnsi="宋体" w:cs="宋体"/>
          <w:b/>
          <w:bCs/>
          <w:color w:val="auto"/>
          <w:sz w:val="22"/>
          <w:szCs w:val="22"/>
          <w:highlight w:val="none"/>
        </w:rPr>
      </w:pPr>
    </w:p>
    <w:p w14:paraId="064FB8A3">
      <w:pPr>
        <w:pStyle w:val="4"/>
        <w:ind w:firstLine="221"/>
        <w:rPr>
          <w:rFonts w:ascii="宋体" w:hAnsi="宋体" w:cs="宋体"/>
          <w:b/>
          <w:bCs/>
          <w:color w:val="auto"/>
          <w:sz w:val="22"/>
          <w:szCs w:val="22"/>
          <w:highlight w:val="none"/>
        </w:rPr>
      </w:pPr>
    </w:p>
    <w:p w14:paraId="569DE843">
      <w:pPr>
        <w:ind w:right="-24" w:rightChars="-10"/>
        <w:rPr>
          <w:rFonts w:ascii="宋体" w:hAnsi="宋体" w:cs="宋体"/>
          <w:b/>
          <w:bCs/>
          <w:color w:val="auto"/>
          <w:sz w:val="22"/>
          <w:szCs w:val="22"/>
          <w:highlight w:val="none"/>
        </w:rPr>
      </w:pPr>
      <w:r>
        <w:rPr>
          <w:rFonts w:hint="eastAsia" w:ascii="宋体" w:hAnsi="宋体" w:cs="宋体"/>
          <w:b/>
          <w:bCs/>
          <w:color w:val="auto"/>
          <w:sz w:val="22"/>
          <w:szCs w:val="22"/>
          <w:highlight w:val="none"/>
        </w:rPr>
        <w:t>附件五</w:t>
      </w:r>
    </w:p>
    <w:p w14:paraId="2CB7FDCC">
      <w:pPr>
        <w:spacing w:line="38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（1）法定代表人（或单位负责人）身份证明</w:t>
      </w:r>
    </w:p>
    <w:p w14:paraId="4DD8B313">
      <w:pPr>
        <w:autoSpaceDE w:val="0"/>
        <w:autoSpaceDN w:val="0"/>
        <w:adjustRightInd w:val="0"/>
        <w:rPr>
          <w:rFonts w:ascii="宋体" w:hAnsi="宋体" w:cs="宋体"/>
          <w:color w:val="auto"/>
          <w:kern w:val="0"/>
          <w:sz w:val="22"/>
          <w:szCs w:val="22"/>
          <w:highlight w:val="none"/>
        </w:rPr>
      </w:pPr>
    </w:p>
    <w:p w14:paraId="434F8BDB">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投标供应商全称：</w:t>
      </w:r>
      <w:r>
        <w:rPr>
          <w:rFonts w:hint="eastAsia" w:ascii="宋体" w:hAnsi="宋体" w:cs="宋体"/>
          <w:color w:val="auto"/>
          <w:kern w:val="0"/>
          <w:sz w:val="22"/>
          <w:szCs w:val="22"/>
          <w:highlight w:val="none"/>
          <w:u w:val="single"/>
        </w:rPr>
        <w:t xml:space="preserve">                            </w:t>
      </w:r>
    </w:p>
    <w:p w14:paraId="75B89627">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单位性质： </w:t>
      </w:r>
      <w:r>
        <w:rPr>
          <w:rFonts w:hint="eastAsia" w:ascii="宋体" w:hAnsi="宋体" w:cs="宋体"/>
          <w:color w:val="auto"/>
          <w:kern w:val="0"/>
          <w:sz w:val="22"/>
          <w:szCs w:val="22"/>
          <w:highlight w:val="none"/>
          <w:u w:val="single"/>
        </w:rPr>
        <w:t xml:space="preserve">                                 </w:t>
      </w:r>
    </w:p>
    <w:p w14:paraId="2A380EC6">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    址：</w:t>
      </w:r>
      <w:r>
        <w:rPr>
          <w:rFonts w:hint="eastAsia" w:ascii="宋体" w:hAnsi="宋体" w:cs="宋体"/>
          <w:color w:val="auto"/>
          <w:kern w:val="0"/>
          <w:sz w:val="22"/>
          <w:szCs w:val="22"/>
          <w:highlight w:val="none"/>
          <w:u w:val="single"/>
        </w:rPr>
        <w:t xml:space="preserve">                                  </w:t>
      </w:r>
    </w:p>
    <w:p w14:paraId="0F117100">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成立时间：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rPr>
        <w:tab/>
      </w:r>
    </w:p>
    <w:p w14:paraId="407683E2">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经营期限：</w:t>
      </w:r>
      <w:r>
        <w:rPr>
          <w:rFonts w:hint="eastAsia" w:ascii="宋体" w:hAnsi="宋体" w:cs="宋体"/>
          <w:color w:val="auto"/>
          <w:kern w:val="0"/>
          <w:sz w:val="22"/>
          <w:szCs w:val="22"/>
          <w:highlight w:val="none"/>
          <w:u w:val="single"/>
        </w:rPr>
        <w:t xml:space="preserve">                                   </w:t>
      </w:r>
    </w:p>
    <w:p w14:paraId="36159EC4">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姓    名：</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性别：</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职务：</w:t>
      </w:r>
      <w:r>
        <w:rPr>
          <w:rFonts w:hint="eastAsia" w:ascii="宋体" w:hAnsi="宋体" w:cs="宋体"/>
          <w:color w:val="auto"/>
          <w:kern w:val="0"/>
          <w:sz w:val="22"/>
          <w:szCs w:val="22"/>
          <w:highlight w:val="none"/>
          <w:u w:val="single"/>
        </w:rPr>
        <w:t xml:space="preserve">         </w:t>
      </w:r>
    </w:p>
    <w:p w14:paraId="2444D82A">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（投标供应商全称）的法定代表人（或单位负责人）</w:t>
      </w:r>
    </w:p>
    <w:p w14:paraId="1F099FA4">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特此证明</w:t>
      </w:r>
    </w:p>
    <w:p w14:paraId="6DC0ACC6">
      <w:pPr>
        <w:autoSpaceDE w:val="0"/>
        <w:autoSpaceDN w:val="0"/>
        <w:adjustRightInd w:val="0"/>
        <w:spacing w:line="440" w:lineRule="exact"/>
        <w:rPr>
          <w:rFonts w:ascii="宋体" w:hAnsi="宋体" w:cs="宋体"/>
          <w:color w:val="auto"/>
          <w:kern w:val="0"/>
          <w:sz w:val="22"/>
          <w:szCs w:val="22"/>
          <w:highlight w:val="none"/>
        </w:rPr>
      </w:pPr>
    </w:p>
    <w:p w14:paraId="5529D01D">
      <w:pPr>
        <w:autoSpaceDE w:val="0"/>
        <w:autoSpaceDN w:val="0"/>
        <w:adjustRightInd w:val="0"/>
        <w:spacing w:line="440" w:lineRule="exact"/>
        <w:rPr>
          <w:rFonts w:ascii="宋体" w:hAnsi="宋体" w:cs="宋体"/>
          <w:color w:val="auto"/>
          <w:kern w:val="0"/>
          <w:sz w:val="22"/>
          <w:szCs w:val="22"/>
          <w:highlight w:val="none"/>
        </w:rPr>
      </w:pPr>
    </w:p>
    <w:p w14:paraId="75D7F61B">
      <w:pPr>
        <w:autoSpaceDE w:val="0"/>
        <w:autoSpaceDN w:val="0"/>
        <w:adjustRightInd w:val="0"/>
        <w:spacing w:line="440" w:lineRule="exact"/>
        <w:rPr>
          <w:rFonts w:ascii="宋体" w:hAnsi="宋体" w:cs="宋体"/>
          <w:color w:val="auto"/>
          <w:kern w:val="0"/>
          <w:sz w:val="22"/>
          <w:szCs w:val="22"/>
          <w:highlight w:val="none"/>
        </w:rPr>
      </w:pPr>
    </w:p>
    <w:p w14:paraId="66935427">
      <w:pPr>
        <w:autoSpaceDE w:val="0"/>
        <w:autoSpaceDN w:val="0"/>
        <w:adjustRightInd w:val="0"/>
        <w:spacing w:line="440" w:lineRule="exact"/>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投标供应商全称：</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（盖章）</w:t>
      </w:r>
    </w:p>
    <w:p w14:paraId="778BE93E">
      <w:pPr>
        <w:wordWrap w:val="0"/>
        <w:autoSpaceDE w:val="0"/>
        <w:autoSpaceDN w:val="0"/>
        <w:adjustRightInd w:val="0"/>
        <w:spacing w:line="440" w:lineRule="exact"/>
        <w:ind w:firstLine="1650" w:firstLineChars="750"/>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CD5EB0C">
      <w:pPr>
        <w:autoSpaceDE w:val="0"/>
        <w:autoSpaceDN w:val="0"/>
        <w:adjustRightInd w:val="0"/>
        <w:jc w:val="left"/>
        <w:rPr>
          <w:rFonts w:ascii="宋体" w:hAnsi="宋体" w:cs="宋体"/>
          <w:color w:val="auto"/>
          <w:kern w:val="0"/>
          <w:sz w:val="22"/>
          <w:szCs w:val="22"/>
          <w:highlight w:val="none"/>
        </w:rPr>
      </w:pPr>
    </w:p>
    <w:p w14:paraId="09D4F731">
      <w:pPr>
        <w:spacing w:line="380" w:lineRule="exact"/>
        <w:jc w:val="center"/>
        <w:rPr>
          <w:rFonts w:ascii="宋体" w:hAnsi="宋体" w:cs="宋体"/>
          <w:b/>
          <w:color w:val="auto"/>
          <w:sz w:val="24"/>
          <w:highlight w:val="none"/>
        </w:rPr>
      </w:pPr>
    </w:p>
    <w:p w14:paraId="28EA94AF">
      <w:pPr>
        <w:spacing w:line="380" w:lineRule="exact"/>
        <w:rPr>
          <w:rFonts w:ascii="宋体" w:hAnsi="宋体" w:cs="宋体"/>
          <w:b/>
          <w:color w:val="auto"/>
          <w:sz w:val="24"/>
          <w:highlight w:val="none"/>
        </w:rPr>
      </w:pPr>
      <w:r>
        <w:rPr>
          <w:rFonts w:hint="eastAsia" w:ascii="宋体" w:hAnsi="宋体" w:cs="宋体"/>
          <w:b/>
          <w:color w:val="auto"/>
          <w:sz w:val="24"/>
          <w:highlight w:val="none"/>
        </w:rPr>
        <w:t>附：法定代表人（或单位负责人）身份证明</w:t>
      </w:r>
    </w:p>
    <w:p w14:paraId="4C5D9EF5">
      <w:pPr>
        <w:spacing w:line="380" w:lineRule="exact"/>
        <w:rPr>
          <w:rFonts w:ascii="宋体" w:hAnsi="宋体" w:cs="宋体"/>
          <w:b/>
          <w:color w:val="auto"/>
          <w:sz w:val="24"/>
          <w:highlight w:val="none"/>
        </w:rPr>
      </w:pPr>
    </w:p>
    <w:tbl>
      <w:tblPr>
        <w:tblStyle w:val="24"/>
        <w:tblpPr w:leftFromText="180" w:rightFromText="180" w:vertAnchor="text" w:horzAnchor="margin" w:tblpX="139" w:tblpY="1004"/>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8"/>
      </w:tblGrid>
      <w:tr w14:paraId="3DF1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208" w:type="dxa"/>
            <w:noWrap w:val="0"/>
            <w:vAlign w:val="top"/>
          </w:tcPr>
          <w:p w14:paraId="6CA8A37B">
            <w:pPr>
              <w:spacing w:line="440" w:lineRule="exact"/>
              <w:rPr>
                <w:rFonts w:ascii="宋体" w:hAnsi="宋体" w:cs="宋体"/>
                <w:color w:val="auto"/>
                <w:sz w:val="22"/>
                <w:szCs w:val="22"/>
                <w:highlight w:val="none"/>
              </w:rPr>
            </w:pPr>
          </w:p>
          <w:p w14:paraId="5F74CBFD">
            <w:pPr>
              <w:spacing w:line="440" w:lineRule="exact"/>
              <w:rPr>
                <w:rFonts w:ascii="宋体" w:hAnsi="宋体" w:cs="宋体"/>
                <w:color w:val="auto"/>
                <w:sz w:val="22"/>
                <w:szCs w:val="22"/>
                <w:highlight w:val="none"/>
              </w:rPr>
            </w:pPr>
          </w:p>
          <w:p w14:paraId="7A27CAFA">
            <w:pPr>
              <w:spacing w:line="440" w:lineRule="exact"/>
              <w:jc w:val="center"/>
              <w:rPr>
                <w:rFonts w:ascii="宋体" w:hAnsi="宋体" w:cs="宋体"/>
                <w:color w:val="auto"/>
                <w:sz w:val="22"/>
                <w:szCs w:val="22"/>
                <w:highlight w:val="none"/>
              </w:rPr>
            </w:pPr>
          </w:p>
          <w:p w14:paraId="79D54A0F">
            <w:pPr>
              <w:tabs>
                <w:tab w:val="left" w:pos="8560"/>
              </w:tabs>
              <w:overflowPunct w:val="0"/>
              <w:spacing w:line="38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投标供应商法定代表人（或单位负责人）身份证正反面复制件</w:t>
            </w:r>
          </w:p>
          <w:p w14:paraId="6DFEDE2D">
            <w:pPr>
              <w:spacing w:line="440" w:lineRule="exact"/>
              <w:jc w:val="center"/>
              <w:rPr>
                <w:rFonts w:ascii="宋体" w:hAnsi="宋体" w:cs="宋体"/>
                <w:color w:val="auto"/>
                <w:sz w:val="22"/>
                <w:szCs w:val="22"/>
                <w:highlight w:val="none"/>
              </w:rPr>
            </w:pPr>
            <w:r>
              <w:rPr>
                <w:rFonts w:hint="eastAsia" w:ascii="宋体" w:hAnsi="宋体" w:cs="宋体"/>
                <w:bCs/>
                <w:color w:val="auto"/>
                <w:sz w:val="28"/>
                <w:szCs w:val="28"/>
                <w:highlight w:val="none"/>
              </w:rPr>
              <w:t>（粘贴处）或附后</w:t>
            </w:r>
          </w:p>
        </w:tc>
      </w:tr>
    </w:tbl>
    <w:p w14:paraId="193916CB">
      <w:pPr>
        <w:overflowPunct w:val="0"/>
        <w:spacing w:line="400" w:lineRule="exact"/>
        <w:jc w:val="center"/>
        <w:rPr>
          <w:rFonts w:ascii="宋体" w:hAnsi="宋体" w:cs="宋体"/>
          <w:bCs/>
          <w:color w:val="auto"/>
          <w:sz w:val="30"/>
          <w:szCs w:val="30"/>
          <w:highlight w:val="none"/>
        </w:rPr>
      </w:pPr>
      <w:r>
        <w:rPr>
          <w:rFonts w:hint="eastAsia" w:ascii="宋体" w:hAnsi="宋体" w:cs="宋体"/>
          <w:b/>
          <w:color w:val="auto"/>
          <w:sz w:val="24"/>
          <w:highlight w:val="none"/>
        </w:rPr>
        <w:br w:type="page"/>
      </w:r>
    </w:p>
    <w:p w14:paraId="55EE5142">
      <w:pPr>
        <w:spacing w:line="3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（2）法定代表人（或单位负责人）授权书</w:t>
      </w:r>
    </w:p>
    <w:p w14:paraId="6D9B98ED">
      <w:pPr>
        <w:overflowPunct w:val="0"/>
        <w:spacing w:line="420" w:lineRule="exact"/>
        <w:rPr>
          <w:rFonts w:ascii="宋体" w:hAnsi="宋体" w:cs="宋体"/>
          <w:color w:val="auto"/>
          <w:sz w:val="22"/>
          <w:highlight w:val="none"/>
        </w:rPr>
      </w:pPr>
    </w:p>
    <w:p w14:paraId="74F25334">
      <w:pPr>
        <w:overflowPunct w:val="0"/>
        <w:spacing w:line="420" w:lineRule="exact"/>
        <w:rPr>
          <w:rFonts w:ascii="宋体" w:hAnsi="宋体" w:cs="宋体"/>
          <w:bCs/>
          <w:iCs/>
          <w:color w:val="auto"/>
          <w:sz w:val="22"/>
          <w:highlight w:val="none"/>
          <w:u w:val="single"/>
        </w:rPr>
      </w:pPr>
      <w:r>
        <w:rPr>
          <w:rFonts w:hint="eastAsia" w:ascii="宋体" w:hAnsi="宋体" w:cs="宋体"/>
          <w:bCs/>
          <w:iCs/>
          <w:color w:val="auto"/>
          <w:sz w:val="22"/>
          <w:highlight w:val="none"/>
          <w:u w:val="single"/>
          <w:lang w:eastAsia="zh-CN"/>
        </w:rPr>
        <w:t>温州市交通发展集团有限公司</w:t>
      </w:r>
      <w:r>
        <w:rPr>
          <w:rFonts w:hint="eastAsia" w:ascii="宋体" w:hAnsi="宋体" w:cs="宋体"/>
          <w:bCs/>
          <w:iCs/>
          <w:color w:val="auto"/>
          <w:sz w:val="22"/>
          <w:highlight w:val="none"/>
        </w:rPr>
        <w:t>：</w:t>
      </w:r>
    </w:p>
    <w:p w14:paraId="7998B778">
      <w:pPr>
        <w:overflowPunct w:val="0"/>
        <w:spacing w:line="420" w:lineRule="exact"/>
        <w:rPr>
          <w:rFonts w:ascii="宋体" w:hAnsi="宋体" w:cs="宋体"/>
          <w:bCs/>
          <w:iCs/>
          <w:color w:val="auto"/>
          <w:sz w:val="22"/>
          <w:szCs w:val="22"/>
          <w:highlight w:val="none"/>
          <w:u w:val="single"/>
        </w:rPr>
      </w:pPr>
      <w:r>
        <w:rPr>
          <w:rFonts w:hint="eastAsia" w:ascii="宋体" w:hAnsi="宋体" w:cs="宋体"/>
          <w:bCs/>
          <w:iCs/>
          <w:color w:val="auto"/>
          <w:sz w:val="22"/>
          <w:szCs w:val="22"/>
          <w:highlight w:val="none"/>
          <w:u w:val="single"/>
          <w:lang w:eastAsia="zh-CN"/>
        </w:rPr>
        <w:t>浙江工汇项目管理有限公司</w:t>
      </w:r>
      <w:r>
        <w:rPr>
          <w:rFonts w:hint="eastAsia" w:ascii="宋体" w:hAnsi="宋体" w:cs="宋体"/>
          <w:bCs/>
          <w:iCs/>
          <w:color w:val="auto"/>
          <w:sz w:val="22"/>
          <w:szCs w:val="22"/>
          <w:highlight w:val="none"/>
        </w:rPr>
        <w:t>：</w:t>
      </w:r>
    </w:p>
    <w:p w14:paraId="4D8888AC">
      <w:pPr>
        <w:overflowPunct w:val="0"/>
        <w:spacing w:line="460" w:lineRule="exact"/>
        <w:rPr>
          <w:rFonts w:ascii="宋体" w:hAnsi="宋体" w:cs="宋体"/>
          <w:color w:val="auto"/>
          <w:sz w:val="22"/>
          <w:szCs w:val="22"/>
          <w:highlight w:val="none"/>
          <w:u w:val="single"/>
        </w:rPr>
      </w:pPr>
    </w:p>
    <w:p w14:paraId="784BEB2B">
      <w:pPr>
        <w:overflowPunct w:val="0"/>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（投标供应商全称）法定代表人（或单位负责人）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（授权代表姓名）为全权代表，参加贵单位组织的 </w:t>
      </w:r>
      <w:r>
        <w:rPr>
          <w:rFonts w:hint="eastAsia" w:ascii="宋体" w:hAnsi="宋体" w:cs="宋体"/>
          <w:b/>
          <w:bCs/>
          <w:color w:val="auto"/>
          <w:sz w:val="22"/>
          <w:szCs w:val="22"/>
          <w:highlight w:val="none"/>
          <w:u w:val="single"/>
        </w:rPr>
        <w:t xml:space="preserve"> （采购项目名称）    </w:t>
      </w:r>
      <w:r>
        <w:rPr>
          <w:rFonts w:hint="eastAsia" w:ascii="宋体" w:hAnsi="宋体" w:cs="宋体"/>
          <w:color w:val="auto"/>
          <w:sz w:val="22"/>
          <w:szCs w:val="22"/>
          <w:highlight w:val="none"/>
          <w:u w:val="single"/>
        </w:rPr>
        <w:t xml:space="preserve"> </w:t>
      </w:r>
      <w:r>
        <w:rPr>
          <w:rFonts w:hint="eastAsia" w:ascii="宋体" w:hAnsi="宋体" w:cs="宋体"/>
          <w:b/>
          <w:bCs/>
          <w:color w:val="auto"/>
          <w:sz w:val="22"/>
          <w:szCs w:val="22"/>
          <w:highlight w:val="none"/>
          <w:u w:val="single"/>
        </w:rPr>
        <w:t xml:space="preserve">（项目编号 ：             </w:t>
      </w:r>
      <w:r>
        <w:rPr>
          <w:rFonts w:hint="eastAsia" w:ascii="宋体" w:hAnsi="宋体" w:cs="宋体"/>
          <w:b/>
          <w:bCs/>
          <w:color w:val="auto"/>
          <w:sz w:val="22"/>
          <w:szCs w:val="22"/>
          <w:highlight w:val="none"/>
        </w:rPr>
        <w:t>）</w:t>
      </w:r>
      <w:r>
        <w:rPr>
          <w:rFonts w:hint="eastAsia" w:ascii="宋体" w:hAnsi="宋体" w:cs="宋体"/>
          <w:color w:val="auto"/>
          <w:sz w:val="22"/>
          <w:szCs w:val="22"/>
          <w:highlight w:val="none"/>
        </w:rPr>
        <w:t>的采购活动，全权代表我方处理采购活动中的一切事宜。</w:t>
      </w:r>
    </w:p>
    <w:p w14:paraId="24FB2C73">
      <w:pPr>
        <w:overflowPunct w:val="0"/>
        <w:spacing w:line="460" w:lineRule="exact"/>
        <w:ind w:firstLine="2955"/>
        <w:rPr>
          <w:rFonts w:ascii="宋体" w:hAnsi="宋体" w:cs="宋体"/>
          <w:color w:val="auto"/>
          <w:sz w:val="22"/>
          <w:szCs w:val="22"/>
          <w:highlight w:val="none"/>
        </w:rPr>
      </w:pPr>
    </w:p>
    <w:p w14:paraId="31F947B3">
      <w:pPr>
        <w:overflowPunct w:val="0"/>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62AF36C">
      <w:pPr>
        <w:overflowPunct w:val="0"/>
        <w:spacing w:line="460" w:lineRule="exact"/>
        <w:ind w:firstLine="3987" w:firstLineChars="1805"/>
        <w:rPr>
          <w:rFonts w:ascii="宋体" w:hAnsi="宋体" w:cs="宋体"/>
          <w:color w:val="auto"/>
          <w:sz w:val="22"/>
          <w:szCs w:val="22"/>
          <w:highlight w:val="none"/>
        </w:rPr>
      </w:pPr>
      <w:r>
        <w:rPr>
          <w:rFonts w:hint="eastAsia" w:ascii="宋体" w:hAnsi="宋体" w:cs="宋体"/>
          <w:b/>
          <w:bCs/>
          <w:color w:val="auto"/>
          <w:sz w:val="22"/>
          <w:szCs w:val="22"/>
          <w:highlight w:val="none"/>
        </w:rPr>
        <w:t>法定代表人（或单位负责人） (签字或盖章)</w:t>
      </w:r>
      <w:r>
        <w:rPr>
          <w:rFonts w:hint="eastAsia" w:ascii="宋体" w:hAnsi="宋体" w:cs="宋体"/>
          <w:color w:val="auto"/>
          <w:sz w:val="22"/>
          <w:szCs w:val="22"/>
          <w:highlight w:val="none"/>
        </w:rPr>
        <w:t>：</w:t>
      </w:r>
    </w:p>
    <w:p w14:paraId="4FF5DADC">
      <w:pPr>
        <w:overflowPunct w:val="0"/>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投标供应商全称（盖章）：</w:t>
      </w:r>
    </w:p>
    <w:p w14:paraId="6A688D73">
      <w:pPr>
        <w:overflowPunct w:val="0"/>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02E54F04">
      <w:pPr>
        <w:overflowPunct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63FACC4E">
      <w:pPr>
        <w:overflowPunct w:val="0"/>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14:paraId="4FDDFE84">
      <w:pPr>
        <w:overflowPunct w:val="0"/>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41D9D4DA">
      <w:pPr>
        <w:overflowPunct w:val="0"/>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详细通讯地址：</w:t>
      </w:r>
    </w:p>
    <w:p w14:paraId="02E005AA">
      <w:pPr>
        <w:overflowPunct w:val="0"/>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电话：</w:t>
      </w:r>
    </w:p>
    <w:p w14:paraId="4F604982">
      <w:pPr>
        <w:overflowPunct w:val="0"/>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传真：</w:t>
      </w:r>
    </w:p>
    <w:p w14:paraId="4B21513F">
      <w:pPr>
        <w:overflowPunct w:val="0"/>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24"/>
        <w:tblW w:w="9233" w:type="dxa"/>
        <w:tblInd w:w="113"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33"/>
      </w:tblGrid>
      <w:tr w14:paraId="6FDA812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717" w:hRule="atLeast"/>
        </w:trPr>
        <w:tc>
          <w:tcPr>
            <w:tcW w:w="9233" w:type="dxa"/>
            <w:tcBorders>
              <w:tl2br w:val="nil"/>
              <w:tr2bl w:val="nil"/>
            </w:tcBorders>
            <w:noWrap w:val="0"/>
            <w:vAlign w:val="center"/>
          </w:tcPr>
          <w:p w14:paraId="00DB7A83">
            <w:pPr>
              <w:tabs>
                <w:tab w:val="left" w:pos="8560"/>
              </w:tabs>
              <w:overflowPunct w:val="0"/>
              <w:spacing w:line="38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投标供应商授权代表身份证正反面复制件</w:t>
            </w:r>
          </w:p>
          <w:p w14:paraId="11F1A401">
            <w:pPr>
              <w:overflowPunct w:val="0"/>
              <w:spacing w:line="380" w:lineRule="exact"/>
              <w:jc w:val="center"/>
              <w:rPr>
                <w:rFonts w:ascii="宋体" w:hAnsi="宋体" w:cs="宋体"/>
                <w:b/>
                <w:bCs/>
                <w:color w:val="auto"/>
                <w:sz w:val="28"/>
                <w:highlight w:val="none"/>
              </w:rPr>
            </w:pPr>
            <w:r>
              <w:rPr>
                <w:rFonts w:hint="eastAsia" w:ascii="宋体" w:hAnsi="宋体" w:cs="宋体"/>
                <w:bCs/>
                <w:color w:val="auto"/>
                <w:sz w:val="28"/>
                <w:szCs w:val="28"/>
                <w:highlight w:val="none"/>
              </w:rPr>
              <w:t>（粘贴处）或附后</w:t>
            </w:r>
          </w:p>
        </w:tc>
      </w:tr>
    </w:tbl>
    <w:p w14:paraId="3BF8C5AC">
      <w:pPr>
        <w:overflowPunct w:val="0"/>
        <w:spacing w:line="460" w:lineRule="exact"/>
        <w:jc w:val="center"/>
        <w:rPr>
          <w:rFonts w:ascii="宋体" w:hAnsi="宋体" w:cs="宋体"/>
          <w:b/>
          <w:color w:val="auto"/>
          <w:sz w:val="28"/>
          <w:highlight w:val="none"/>
        </w:rPr>
      </w:pPr>
    </w:p>
    <w:p w14:paraId="0FDC53EC">
      <w:pPr>
        <w:spacing w:after="100" w:afterAutospacing="1"/>
        <w:jc w:val="left"/>
        <w:rPr>
          <w:rFonts w:ascii="宋体" w:hAnsi="宋体" w:cs="宋体"/>
          <w:b/>
          <w:color w:val="auto"/>
          <w:sz w:val="28"/>
          <w:highlight w:val="none"/>
        </w:rPr>
      </w:pPr>
    </w:p>
    <w:p w14:paraId="5792D802">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附件六</w:t>
      </w:r>
    </w:p>
    <w:p w14:paraId="665F991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技术条款偏离表</w:t>
      </w:r>
    </w:p>
    <w:p w14:paraId="71585652">
      <w:pPr>
        <w:spacing w:line="360" w:lineRule="auto"/>
        <w:ind w:firstLine="435"/>
        <w:jc w:val="center"/>
        <w:rPr>
          <w:rFonts w:ascii="宋体" w:hAnsi="宋体" w:cs="宋体"/>
          <w:b/>
          <w:color w:val="auto"/>
          <w:sz w:val="44"/>
          <w:highlight w:val="none"/>
        </w:rPr>
      </w:pPr>
    </w:p>
    <w:p w14:paraId="0241D8DB">
      <w:pPr>
        <w:overflowPunct w:val="0"/>
        <w:spacing w:line="360" w:lineRule="auto"/>
        <w:rPr>
          <w:rFonts w:ascii="宋体" w:hAnsi="宋体" w:cs="宋体"/>
          <w:b/>
          <w:bCs w:val="0"/>
          <w:color w:val="auto"/>
          <w:sz w:val="22"/>
          <w:szCs w:val="22"/>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bCs w:val="0"/>
          <w:color w:val="auto"/>
          <w:sz w:val="22"/>
          <w:szCs w:val="22"/>
          <w:highlight w:val="none"/>
        </w:rPr>
        <w:t>采购项目名称：                                      项目编号：</w:t>
      </w:r>
    </w:p>
    <w:tbl>
      <w:tblPr>
        <w:tblStyle w:val="24"/>
        <w:tblW w:w="9208"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538"/>
        <w:gridCol w:w="2326"/>
        <w:gridCol w:w="2115"/>
        <w:gridCol w:w="1381"/>
      </w:tblGrid>
      <w:tr w14:paraId="2C068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48" w:type="dxa"/>
            <w:tcBorders>
              <w:tl2br w:val="nil"/>
              <w:tr2bl w:val="nil"/>
            </w:tcBorders>
            <w:noWrap w:val="0"/>
            <w:vAlign w:val="center"/>
          </w:tcPr>
          <w:p w14:paraId="6541A9CD">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tcBorders>
              <w:tl2br w:val="nil"/>
              <w:tr2bl w:val="nil"/>
            </w:tcBorders>
            <w:noWrap w:val="0"/>
            <w:vAlign w:val="center"/>
          </w:tcPr>
          <w:p w14:paraId="5CA1A976">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采购文件技术规格</w:t>
            </w:r>
          </w:p>
        </w:tc>
        <w:tc>
          <w:tcPr>
            <w:tcW w:w="2326" w:type="dxa"/>
            <w:tcBorders>
              <w:tl2br w:val="nil"/>
              <w:tr2bl w:val="nil"/>
            </w:tcBorders>
            <w:noWrap w:val="0"/>
            <w:vAlign w:val="center"/>
          </w:tcPr>
          <w:p w14:paraId="1FD7E42A">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实际技术规格</w:t>
            </w:r>
          </w:p>
        </w:tc>
        <w:tc>
          <w:tcPr>
            <w:tcW w:w="2115" w:type="dxa"/>
            <w:tcBorders>
              <w:tl2br w:val="nil"/>
              <w:tr2bl w:val="nil"/>
            </w:tcBorders>
            <w:noWrap w:val="0"/>
            <w:vAlign w:val="center"/>
          </w:tcPr>
          <w:p w14:paraId="49C52E06">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1381" w:type="dxa"/>
            <w:tcBorders>
              <w:tl2br w:val="nil"/>
              <w:tr2bl w:val="nil"/>
            </w:tcBorders>
            <w:noWrap w:val="0"/>
            <w:vAlign w:val="center"/>
          </w:tcPr>
          <w:p w14:paraId="514A2D51">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说  明</w:t>
            </w:r>
          </w:p>
        </w:tc>
      </w:tr>
      <w:tr w14:paraId="171E4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48" w:type="dxa"/>
            <w:tcBorders>
              <w:tl2br w:val="nil"/>
              <w:tr2bl w:val="nil"/>
            </w:tcBorders>
            <w:noWrap w:val="0"/>
            <w:vAlign w:val="center"/>
          </w:tcPr>
          <w:p w14:paraId="01319CA3">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538" w:type="dxa"/>
            <w:tcBorders>
              <w:tl2br w:val="nil"/>
              <w:tr2bl w:val="nil"/>
            </w:tcBorders>
            <w:noWrap w:val="0"/>
            <w:vAlign w:val="center"/>
          </w:tcPr>
          <w:p w14:paraId="6383361B">
            <w:pPr>
              <w:spacing w:line="360" w:lineRule="auto"/>
              <w:jc w:val="center"/>
              <w:rPr>
                <w:rFonts w:ascii="宋体" w:hAnsi="宋体" w:cs="宋体"/>
                <w:color w:val="auto"/>
                <w:sz w:val="22"/>
                <w:szCs w:val="22"/>
                <w:highlight w:val="none"/>
              </w:rPr>
            </w:pPr>
          </w:p>
        </w:tc>
        <w:tc>
          <w:tcPr>
            <w:tcW w:w="2326" w:type="dxa"/>
            <w:tcBorders>
              <w:tl2br w:val="nil"/>
              <w:tr2bl w:val="nil"/>
            </w:tcBorders>
            <w:noWrap w:val="0"/>
            <w:vAlign w:val="center"/>
          </w:tcPr>
          <w:p w14:paraId="50910248">
            <w:pPr>
              <w:spacing w:line="360" w:lineRule="auto"/>
              <w:jc w:val="center"/>
              <w:rPr>
                <w:rFonts w:ascii="宋体" w:hAnsi="宋体" w:cs="宋体"/>
                <w:color w:val="auto"/>
                <w:sz w:val="22"/>
                <w:szCs w:val="22"/>
                <w:highlight w:val="none"/>
              </w:rPr>
            </w:pPr>
          </w:p>
        </w:tc>
        <w:tc>
          <w:tcPr>
            <w:tcW w:w="2115" w:type="dxa"/>
            <w:tcBorders>
              <w:tl2br w:val="nil"/>
              <w:tr2bl w:val="nil"/>
            </w:tcBorders>
            <w:noWrap w:val="0"/>
            <w:vAlign w:val="center"/>
          </w:tcPr>
          <w:p w14:paraId="7DFB4FB5">
            <w:pPr>
              <w:spacing w:line="360" w:lineRule="auto"/>
              <w:jc w:val="center"/>
              <w:rPr>
                <w:rFonts w:ascii="宋体" w:hAnsi="宋体" w:cs="宋体"/>
                <w:color w:val="auto"/>
                <w:sz w:val="22"/>
                <w:szCs w:val="22"/>
                <w:highlight w:val="none"/>
              </w:rPr>
            </w:pPr>
          </w:p>
        </w:tc>
        <w:tc>
          <w:tcPr>
            <w:tcW w:w="1381" w:type="dxa"/>
            <w:tcBorders>
              <w:tl2br w:val="nil"/>
              <w:tr2bl w:val="nil"/>
            </w:tcBorders>
            <w:noWrap w:val="0"/>
            <w:vAlign w:val="center"/>
          </w:tcPr>
          <w:p w14:paraId="6BFE9D72">
            <w:pPr>
              <w:spacing w:line="360" w:lineRule="auto"/>
              <w:jc w:val="center"/>
              <w:rPr>
                <w:rFonts w:ascii="宋体" w:hAnsi="宋体" w:cs="宋体"/>
                <w:color w:val="auto"/>
                <w:sz w:val="22"/>
                <w:szCs w:val="22"/>
                <w:highlight w:val="none"/>
              </w:rPr>
            </w:pPr>
          </w:p>
        </w:tc>
      </w:tr>
      <w:tr w14:paraId="4FD68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tcBorders>
              <w:tl2br w:val="nil"/>
              <w:tr2bl w:val="nil"/>
            </w:tcBorders>
            <w:noWrap w:val="0"/>
            <w:vAlign w:val="center"/>
          </w:tcPr>
          <w:p w14:paraId="592D99EE">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2538" w:type="dxa"/>
            <w:tcBorders>
              <w:tl2br w:val="nil"/>
              <w:tr2bl w:val="nil"/>
            </w:tcBorders>
            <w:noWrap w:val="0"/>
            <w:vAlign w:val="center"/>
          </w:tcPr>
          <w:p w14:paraId="462E86E6">
            <w:pPr>
              <w:spacing w:line="360" w:lineRule="auto"/>
              <w:jc w:val="center"/>
              <w:rPr>
                <w:rFonts w:ascii="宋体" w:hAnsi="宋体" w:cs="宋体"/>
                <w:color w:val="auto"/>
                <w:sz w:val="22"/>
                <w:szCs w:val="22"/>
                <w:highlight w:val="none"/>
              </w:rPr>
            </w:pPr>
          </w:p>
        </w:tc>
        <w:tc>
          <w:tcPr>
            <w:tcW w:w="2326" w:type="dxa"/>
            <w:tcBorders>
              <w:tl2br w:val="nil"/>
              <w:tr2bl w:val="nil"/>
            </w:tcBorders>
            <w:noWrap w:val="0"/>
            <w:vAlign w:val="center"/>
          </w:tcPr>
          <w:p w14:paraId="71A061DD">
            <w:pPr>
              <w:spacing w:line="360" w:lineRule="auto"/>
              <w:jc w:val="center"/>
              <w:rPr>
                <w:rFonts w:ascii="宋体" w:hAnsi="宋体" w:cs="宋体"/>
                <w:color w:val="auto"/>
                <w:sz w:val="22"/>
                <w:szCs w:val="22"/>
                <w:highlight w:val="none"/>
              </w:rPr>
            </w:pPr>
          </w:p>
        </w:tc>
        <w:tc>
          <w:tcPr>
            <w:tcW w:w="2115" w:type="dxa"/>
            <w:tcBorders>
              <w:tl2br w:val="nil"/>
              <w:tr2bl w:val="nil"/>
            </w:tcBorders>
            <w:noWrap w:val="0"/>
            <w:vAlign w:val="center"/>
          </w:tcPr>
          <w:p w14:paraId="6534E2D0">
            <w:pPr>
              <w:spacing w:line="360" w:lineRule="auto"/>
              <w:jc w:val="center"/>
              <w:rPr>
                <w:rFonts w:ascii="宋体" w:hAnsi="宋体" w:cs="宋体"/>
                <w:color w:val="auto"/>
                <w:sz w:val="22"/>
                <w:szCs w:val="22"/>
                <w:highlight w:val="none"/>
              </w:rPr>
            </w:pPr>
          </w:p>
        </w:tc>
        <w:tc>
          <w:tcPr>
            <w:tcW w:w="1381" w:type="dxa"/>
            <w:tcBorders>
              <w:tl2br w:val="nil"/>
              <w:tr2bl w:val="nil"/>
            </w:tcBorders>
            <w:noWrap w:val="0"/>
            <w:vAlign w:val="center"/>
          </w:tcPr>
          <w:p w14:paraId="0FA2BCFC">
            <w:pPr>
              <w:spacing w:line="360" w:lineRule="auto"/>
              <w:jc w:val="center"/>
              <w:rPr>
                <w:rFonts w:ascii="宋体" w:hAnsi="宋体" w:cs="宋体"/>
                <w:color w:val="auto"/>
                <w:sz w:val="22"/>
                <w:szCs w:val="22"/>
                <w:highlight w:val="none"/>
              </w:rPr>
            </w:pPr>
          </w:p>
        </w:tc>
      </w:tr>
      <w:tr w14:paraId="698FE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tcBorders>
              <w:tl2br w:val="nil"/>
              <w:tr2bl w:val="nil"/>
            </w:tcBorders>
            <w:noWrap w:val="0"/>
            <w:vAlign w:val="center"/>
          </w:tcPr>
          <w:p w14:paraId="5D34BFAC">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2538" w:type="dxa"/>
            <w:tcBorders>
              <w:tl2br w:val="nil"/>
              <w:tr2bl w:val="nil"/>
            </w:tcBorders>
            <w:noWrap w:val="0"/>
            <w:vAlign w:val="center"/>
          </w:tcPr>
          <w:p w14:paraId="28D10BFC">
            <w:pPr>
              <w:spacing w:line="360" w:lineRule="auto"/>
              <w:jc w:val="center"/>
              <w:rPr>
                <w:rFonts w:ascii="宋体" w:hAnsi="宋体" w:cs="宋体"/>
                <w:color w:val="auto"/>
                <w:sz w:val="22"/>
                <w:szCs w:val="22"/>
                <w:highlight w:val="none"/>
              </w:rPr>
            </w:pPr>
          </w:p>
        </w:tc>
        <w:tc>
          <w:tcPr>
            <w:tcW w:w="2326" w:type="dxa"/>
            <w:tcBorders>
              <w:tl2br w:val="nil"/>
              <w:tr2bl w:val="nil"/>
            </w:tcBorders>
            <w:noWrap w:val="0"/>
            <w:vAlign w:val="center"/>
          </w:tcPr>
          <w:p w14:paraId="4972492F">
            <w:pPr>
              <w:spacing w:line="360" w:lineRule="auto"/>
              <w:jc w:val="center"/>
              <w:rPr>
                <w:rFonts w:ascii="宋体" w:hAnsi="宋体" w:cs="宋体"/>
                <w:color w:val="auto"/>
                <w:sz w:val="22"/>
                <w:szCs w:val="22"/>
                <w:highlight w:val="none"/>
              </w:rPr>
            </w:pPr>
          </w:p>
        </w:tc>
        <w:tc>
          <w:tcPr>
            <w:tcW w:w="2115" w:type="dxa"/>
            <w:tcBorders>
              <w:tl2br w:val="nil"/>
              <w:tr2bl w:val="nil"/>
            </w:tcBorders>
            <w:noWrap w:val="0"/>
            <w:vAlign w:val="center"/>
          </w:tcPr>
          <w:p w14:paraId="515868A8">
            <w:pPr>
              <w:spacing w:line="360" w:lineRule="auto"/>
              <w:jc w:val="center"/>
              <w:rPr>
                <w:rFonts w:ascii="宋体" w:hAnsi="宋体" w:cs="宋体"/>
                <w:color w:val="auto"/>
                <w:sz w:val="22"/>
                <w:szCs w:val="22"/>
                <w:highlight w:val="none"/>
              </w:rPr>
            </w:pPr>
          </w:p>
        </w:tc>
        <w:tc>
          <w:tcPr>
            <w:tcW w:w="1381" w:type="dxa"/>
            <w:tcBorders>
              <w:tl2br w:val="nil"/>
              <w:tr2bl w:val="nil"/>
            </w:tcBorders>
            <w:noWrap w:val="0"/>
            <w:vAlign w:val="center"/>
          </w:tcPr>
          <w:p w14:paraId="6F4EFB27">
            <w:pPr>
              <w:spacing w:line="360" w:lineRule="auto"/>
              <w:jc w:val="center"/>
              <w:rPr>
                <w:rFonts w:ascii="宋体" w:hAnsi="宋体" w:cs="宋体"/>
                <w:color w:val="auto"/>
                <w:sz w:val="22"/>
                <w:szCs w:val="22"/>
                <w:highlight w:val="none"/>
              </w:rPr>
            </w:pPr>
          </w:p>
        </w:tc>
      </w:tr>
      <w:tr w14:paraId="0338E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tcBorders>
              <w:tl2br w:val="nil"/>
              <w:tr2bl w:val="nil"/>
            </w:tcBorders>
            <w:noWrap w:val="0"/>
            <w:vAlign w:val="center"/>
          </w:tcPr>
          <w:p w14:paraId="64C421D2">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2538" w:type="dxa"/>
            <w:tcBorders>
              <w:tl2br w:val="nil"/>
              <w:tr2bl w:val="nil"/>
            </w:tcBorders>
            <w:noWrap w:val="0"/>
            <w:vAlign w:val="center"/>
          </w:tcPr>
          <w:p w14:paraId="283BAC23">
            <w:pPr>
              <w:spacing w:line="360" w:lineRule="auto"/>
              <w:jc w:val="center"/>
              <w:rPr>
                <w:rFonts w:ascii="宋体" w:hAnsi="宋体" w:cs="宋体"/>
                <w:color w:val="auto"/>
                <w:sz w:val="22"/>
                <w:szCs w:val="22"/>
                <w:highlight w:val="none"/>
              </w:rPr>
            </w:pPr>
          </w:p>
        </w:tc>
        <w:tc>
          <w:tcPr>
            <w:tcW w:w="2326" w:type="dxa"/>
            <w:tcBorders>
              <w:tl2br w:val="nil"/>
              <w:tr2bl w:val="nil"/>
            </w:tcBorders>
            <w:noWrap w:val="0"/>
            <w:vAlign w:val="center"/>
          </w:tcPr>
          <w:p w14:paraId="6E2412F5">
            <w:pPr>
              <w:spacing w:line="360" w:lineRule="auto"/>
              <w:jc w:val="center"/>
              <w:rPr>
                <w:rFonts w:ascii="宋体" w:hAnsi="宋体" w:cs="宋体"/>
                <w:color w:val="auto"/>
                <w:sz w:val="22"/>
                <w:szCs w:val="22"/>
                <w:highlight w:val="none"/>
              </w:rPr>
            </w:pPr>
          </w:p>
        </w:tc>
        <w:tc>
          <w:tcPr>
            <w:tcW w:w="2115" w:type="dxa"/>
            <w:tcBorders>
              <w:tl2br w:val="nil"/>
              <w:tr2bl w:val="nil"/>
            </w:tcBorders>
            <w:noWrap w:val="0"/>
            <w:vAlign w:val="center"/>
          </w:tcPr>
          <w:p w14:paraId="50344620">
            <w:pPr>
              <w:spacing w:line="360" w:lineRule="auto"/>
              <w:jc w:val="center"/>
              <w:rPr>
                <w:rFonts w:ascii="宋体" w:hAnsi="宋体" w:cs="宋体"/>
                <w:color w:val="auto"/>
                <w:sz w:val="22"/>
                <w:szCs w:val="22"/>
                <w:highlight w:val="none"/>
              </w:rPr>
            </w:pPr>
          </w:p>
        </w:tc>
        <w:tc>
          <w:tcPr>
            <w:tcW w:w="1381" w:type="dxa"/>
            <w:tcBorders>
              <w:tl2br w:val="nil"/>
              <w:tr2bl w:val="nil"/>
            </w:tcBorders>
            <w:noWrap w:val="0"/>
            <w:vAlign w:val="center"/>
          </w:tcPr>
          <w:p w14:paraId="138E639A">
            <w:pPr>
              <w:spacing w:line="360" w:lineRule="auto"/>
              <w:jc w:val="center"/>
              <w:rPr>
                <w:rFonts w:ascii="宋体" w:hAnsi="宋体" w:cs="宋体"/>
                <w:color w:val="auto"/>
                <w:sz w:val="22"/>
                <w:szCs w:val="22"/>
                <w:highlight w:val="none"/>
              </w:rPr>
            </w:pPr>
          </w:p>
        </w:tc>
      </w:tr>
      <w:tr w14:paraId="46A0D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tcBorders>
              <w:tl2br w:val="nil"/>
              <w:tr2bl w:val="nil"/>
            </w:tcBorders>
            <w:noWrap w:val="0"/>
            <w:vAlign w:val="center"/>
          </w:tcPr>
          <w:p w14:paraId="09293FAA">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2538" w:type="dxa"/>
            <w:tcBorders>
              <w:tl2br w:val="nil"/>
              <w:tr2bl w:val="nil"/>
            </w:tcBorders>
            <w:noWrap w:val="0"/>
            <w:vAlign w:val="center"/>
          </w:tcPr>
          <w:p w14:paraId="41B5EFD7">
            <w:pPr>
              <w:spacing w:line="360" w:lineRule="auto"/>
              <w:jc w:val="center"/>
              <w:rPr>
                <w:rFonts w:ascii="宋体" w:hAnsi="宋体" w:cs="宋体"/>
                <w:color w:val="auto"/>
                <w:sz w:val="22"/>
                <w:szCs w:val="22"/>
                <w:highlight w:val="none"/>
              </w:rPr>
            </w:pPr>
          </w:p>
        </w:tc>
        <w:tc>
          <w:tcPr>
            <w:tcW w:w="2326" w:type="dxa"/>
            <w:tcBorders>
              <w:tl2br w:val="nil"/>
              <w:tr2bl w:val="nil"/>
            </w:tcBorders>
            <w:noWrap w:val="0"/>
            <w:vAlign w:val="center"/>
          </w:tcPr>
          <w:p w14:paraId="7E3D4EDA">
            <w:pPr>
              <w:spacing w:line="360" w:lineRule="auto"/>
              <w:jc w:val="center"/>
              <w:rPr>
                <w:rFonts w:ascii="宋体" w:hAnsi="宋体" w:cs="宋体"/>
                <w:color w:val="auto"/>
                <w:sz w:val="22"/>
                <w:szCs w:val="22"/>
                <w:highlight w:val="none"/>
              </w:rPr>
            </w:pPr>
          </w:p>
        </w:tc>
        <w:tc>
          <w:tcPr>
            <w:tcW w:w="2115" w:type="dxa"/>
            <w:tcBorders>
              <w:tl2br w:val="nil"/>
              <w:tr2bl w:val="nil"/>
            </w:tcBorders>
            <w:noWrap w:val="0"/>
            <w:vAlign w:val="center"/>
          </w:tcPr>
          <w:p w14:paraId="623AAE50">
            <w:pPr>
              <w:spacing w:line="360" w:lineRule="auto"/>
              <w:jc w:val="center"/>
              <w:rPr>
                <w:rFonts w:ascii="宋体" w:hAnsi="宋体" w:cs="宋体"/>
                <w:color w:val="auto"/>
                <w:sz w:val="22"/>
                <w:szCs w:val="22"/>
                <w:highlight w:val="none"/>
              </w:rPr>
            </w:pPr>
          </w:p>
        </w:tc>
        <w:tc>
          <w:tcPr>
            <w:tcW w:w="1381" w:type="dxa"/>
            <w:tcBorders>
              <w:tl2br w:val="nil"/>
              <w:tr2bl w:val="nil"/>
            </w:tcBorders>
            <w:noWrap w:val="0"/>
            <w:vAlign w:val="center"/>
          </w:tcPr>
          <w:p w14:paraId="14E7836D">
            <w:pPr>
              <w:spacing w:line="360" w:lineRule="auto"/>
              <w:jc w:val="center"/>
              <w:rPr>
                <w:rFonts w:ascii="宋体" w:hAnsi="宋体" w:cs="宋体"/>
                <w:color w:val="auto"/>
                <w:sz w:val="22"/>
                <w:szCs w:val="22"/>
                <w:highlight w:val="none"/>
              </w:rPr>
            </w:pPr>
          </w:p>
        </w:tc>
      </w:tr>
      <w:tr w14:paraId="51FDD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tcBorders>
              <w:tl2br w:val="nil"/>
              <w:tr2bl w:val="nil"/>
            </w:tcBorders>
            <w:noWrap w:val="0"/>
            <w:vAlign w:val="center"/>
          </w:tcPr>
          <w:p w14:paraId="5DD11FE1">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2538" w:type="dxa"/>
            <w:tcBorders>
              <w:tl2br w:val="nil"/>
              <w:tr2bl w:val="nil"/>
            </w:tcBorders>
            <w:noWrap w:val="0"/>
            <w:vAlign w:val="center"/>
          </w:tcPr>
          <w:p w14:paraId="74597016">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2326" w:type="dxa"/>
            <w:tcBorders>
              <w:tl2br w:val="nil"/>
              <w:tr2bl w:val="nil"/>
            </w:tcBorders>
            <w:noWrap w:val="0"/>
            <w:vAlign w:val="center"/>
          </w:tcPr>
          <w:p w14:paraId="3DFF629B">
            <w:pPr>
              <w:spacing w:line="360" w:lineRule="auto"/>
              <w:jc w:val="center"/>
              <w:rPr>
                <w:rFonts w:ascii="宋体" w:hAnsi="宋体" w:cs="宋体"/>
                <w:color w:val="auto"/>
                <w:sz w:val="22"/>
                <w:szCs w:val="22"/>
                <w:highlight w:val="none"/>
              </w:rPr>
            </w:pPr>
          </w:p>
        </w:tc>
        <w:tc>
          <w:tcPr>
            <w:tcW w:w="2115" w:type="dxa"/>
            <w:tcBorders>
              <w:tl2br w:val="nil"/>
              <w:tr2bl w:val="nil"/>
            </w:tcBorders>
            <w:noWrap w:val="0"/>
            <w:vAlign w:val="center"/>
          </w:tcPr>
          <w:p w14:paraId="326CFA55">
            <w:pPr>
              <w:spacing w:line="360" w:lineRule="auto"/>
              <w:jc w:val="center"/>
              <w:rPr>
                <w:rFonts w:ascii="宋体" w:hAnsi="宋体" w:cs="宋体"/>
                <w:color w:val="auto"/>
                <w:sz w:val="22"/>
                <w:szCs w:val="22"/>
                <w:highlight w:val="none"/>
              </w:rPr>
            </w:pPr>
          </w:p>
        </w:tc>
        <w:tc>
          <w:tcPr>
            <w:tcW w:w="1381" w:type="dxa"/>
            <w:tcBorders>
              <w:tl2br w:val="nil"/>
              <w:tr2bl w:val="nil"/>
            </w:tcBorders>
            <w:noWrap w:val="0"/>
            <w:vAlign w:val="center"/>
          </w:tcPr>
          <w:p w14:paraId="0150F408">
            <w:pPr>
              <w:spacing w:line="360" w:lineRule="auto"/>
              <w:jc w:val="center"/>
              <w:rPr>
                <w:rFonts w:ascii="宋体" w:hAnsi="宋体" w:cs="宋体"/>
                <w:color w:val="auto"/>
                <w:sz w:val="22"/>
                <w:szCs w:val="22"/>
                <w:highlight w:val="none"/>
              </w:rPr>
            </w:pPr>
          </w:p>
        </w:tc>
      </w:tr>
    </w:tbl>
    <w:p w14:paraId="1FAC7D8E">
      <w:pPr>
        <w:spacing w:line="360" w:lineRule="auto"/>
        <w:ind w:left="250" w:leftChars="104"/>
        <w:rPr>
          <w:rFonts w:ascii="宋体" w:hAnsi="宋体" w:cs="宋体"/>
          <w:color w:val="auto"/>
          <w:sz w:val="22"/>
          <w:szCs w:val="22"/>
          <w:highlight w:val="none"/>
        </w:rPr>
      </w:pPr>
      <w:r>
        <w:rPr>
          <w:rFonts w:hint="eastAsia" w:ascii="宋体" w:hAnsi="宋体" w:cs="宋体"/>
          <w:color w:val="auto"/>
          <w:sz w:val="22"/>
          <w:szCs w:val="22"/>
          <w:highlight w:val="none"/>
        </w:rPr>
        <w:t>说明：如不填写偏离情况，视为完全响应采购文件要求。</w:t>
      </w:r>
    </w:p>
    <w:p w14:paraId="0104154E">
      <w:pPr>
        <w:spacing w:line="360" w:lineRule="auto"/>
        <w:rPr>
          <w:rFonts w:ascii="宋体" w:hAnsi="宋体" w:cs="宋体"/>
          <w:color w:val="auto"/>
          <w:sz w:val="22"/>
          <w:szCs w:val="22"/>
          <w:highlight w:val="none"/>
        </w:rPr>
      </w:pPr>
    </w:p>
    <w:p w14:paraId="3063F9BB">
      <w:pPr>
        <w:spacing w:line="360" w:lineRule="auto"/>
        <w:rPr>
          <w:rFonts w:ascii="宋体" w:hAnsi="宋体" w:cs="宋体"/>
          <w:color w:val="auto"/>
          <w:sz w:val="22"/>
          <w:szCs w:val="22"/>
          <w:highlight w:val="none"/>
        </w:rPr>
      </w:pPr>
    </w:p>
    <w:p w14:paraId="0C3CB651">
      <w:pPr>
        <w:spacing w:line="360" w:lineRule="auto"/>
        <w:rPr>
          <w:rFonts w:ascii="宋体" w:hAnsi="宋体" w:cs="宋体"/>
          <w:color w:val="auto"/>
          <w:sz w:val="22"/>
          <w:szCs w:val="22"/>
          <w:highlight w:val="none"/>
        </w:rPr>
      </w:pPr>
    </w:p>
    <w:p w14:paraId="0E24C794">
      <w:pPr>
        <w:spacing w:line="360" w:lineRule="auto"/>
        <w:rPr>
          <w:rFonts w:ascii="宋体" w:hAnsi="宋体" w:cs="宋体"/>
          <w:color w:val="auto"/>
          <w:sz w:val="22"/>
          <w:szCs w:val="22"/>
          <w:highlight w:val="none"/>
        </w:rPr>
      </w:pPr>
    </w:p>
    <w:p w14:paraId="02E74BDF">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投标供应商名称（盖单位公章）：</w:t>
      </w:r>
    </w:p>
    <w:p w14:paraId="5AD833DC">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法定代表人（或单位负责人）或其授权代表（签字或盖章）：</w:t>
      </w:r>
    </w:p>
    <w:p w14:paraId="597BC818">
      <w:pPr>
        <w:spacing w:line="360" w:lineRule="auto"/>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1143F1EA">
      <w:pPr>
        <w:spacing w:line="360" w:lineRule="auto"/>
        <w:jc w:val="left"/>
        <w:rPr>
          <w:rFonts w:ascii="宋体" w:hAnsi="宋体" w:cs="宋体"/>
          <w:b/>
          <w:bCs/>
          <w:color w:val="auto"/>
          <w:sz w:val="22"/>
          <w:szCs w:val="22"/>
          <w:highlight w:val="none"/>
        </w:rPr>
      </w:pPr>
    </w:p>
    <w:p w14:paraId="6520FEEA">
      <w:pPr>
        <w:spacing w:line="360" w:lineRule="auto"/>
        <w:jc w:val="left"/>
        <w:rPr>
          <w:rFonts w:ascii="宋体" w:hAnsi="宋体" w:cs="宋体"/>
          <w:b/>
          <w:bCs/>
          <w:color w:val="auto"/>
          <w:sz w:val="22"/>
          <w:szCs w:val="22"/>
          <w:highlight w:val="none"/>
        </w:rPr>
      </w:pPr>
    </w:p>
    <w:p w14:paraId="4CFE3F82">
      <w:pPr>
        <w:spacing w:line="360" w:lineRule="auto"/>
        <w:jc w:val="left"/>
        <w:rPr>
          <w:rFonts w:ascii="宋体" w:hAnsi="宋体" w:cs="宋体"/>
          <w:b/>
          <w:bCs/>
          <w:color w:val="auto"/>
          <w:sz w:val="22"/>
          <w:szCs w:val="22"/>
          <w:highlight w:val="none"/>
        </w:rPr>
      </w:pPr>
    </w:p>
    <w:p w14:paraId="127BD41B">
      <w:pPr>
        <w:spacing w:line="360" w:lineRule="auto"/>
        <w:jc w:val="left"/>
        <w:rPr>
          <w:rFonts w:ascii="宋体" w:hAnsi="宋体" w:cs="宋体"/>
          <w:b/>
          <w:bCs/>
          <w:color w:val="auto"/>
          <w:sz w:val="22"/>
          <w:szCs w:val="22"/>
          <w:highlight w:val="none"/>
        </w:rPr>
      </w:pPr>
    </w:p>
    <w:p w14:paraId="288D2DE7">
      <w:pPr>
        <w:spacing w:line="360" w:lineRule="auto"/>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附件七</w:t>
      </w:r>
    </w:p>
    <w:p w14:paraId="0FC110F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商务条款偏离表</w:t>
      </w:r>
    </w:p>
    <w:p w14:paraId="72B4515F">
      <w:pPr>
        <w:spacing w:line="360" w:lineRule="auto"/>
        <w:ind w:firstLine="435"/>
        <w:jc w:val="center"/>
        <w:rPr>
          <w:rFonts w:ascii="宋体" w:hAnsi="宋体" w:cs="宋体"/>
          <w:b/>
          <w:color w:val="auto"/>
          <w:sz w:val="44"/>
          <w:highlight w:val="none"/>
        </w:rPr>
      </w:pPr>
    </w:p>
    <w:p w14:paraId="4AA401D8">
      <w:pPr>
        <w:overflowPunct w:val="0"/>
        <w:spacing w:line="360" w:lineRule="auto"/>
        <w:rPr>
          <w:rFonts w:ascii="宋体" w:hAnsi="宋体" w:cs="宋体"/>
          <w:b/>
          <w:bCs w:val="0"/>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b/>
          <w:bCs w:val="0"/>
          <w:color w:val="auto"/>
          <w:sz w:val="22"/>
          <w:szCs w:val="22"/>
          <w:highlight w:val="none"/>
        </w:rPr>
        <w:t>采购项目名称：                                      项目编号：</w:t>
      </w:r>
    </w:p>
    <w:tbl>
      <w:tblPr>
        <w:tblStyle w:val="24"/>
        <w:tblW w:w="9245"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559"/>
        <w:gridCol w:w="2460"/>
        <w:gridCol w:w="2450"/>
        <w:gridCol w:w="876"/>
        <w:gridCol w:w="1104"/>
      </w:tblGrid>
      <w:tr w14:paraId="0DD55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96" w:type="dxa"/>
            <w:tcBorders>
              <w:tl2br w:val="nil"/>
              <w:tr2bl w:val="nil"/>
            </w:tcBorders>
            <w:noWrap w:val="0"/>
            <w:vAlign w:val="center"/>
          </w:tcPr>
          <w:p w14:paraId="27CE674A">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tcBorders>
              <w:tl2br w:val="nil"/>
              <w:tr2bl w:val="nil"/>
            </w:tcBorders>
            <w:noWrap w:val="0"/>
            <w:vAlign w:val="center"/>
          </w:tcPr>
          <w:p w14:paraId="18192670">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460" w:type="dxa"/>
            <w:tcBorders>
              <w:tl2br w:val="nil"/>
              <w:tr2bl w:val="nil"/>
            </w:tcBorders>
            <w:noWrap w:val="0"/>
            <w:vAlign w:val="center"/>
          </w:tcPr>
          <w:p w14:paraId="48F3AFA9">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50" w:type="dxa"/>
            <w:tcBorders>
              <w:tl2br w:val="nil"/>
              <w:tr2bl w:val="nil"/>
            </w:tcBorders>
            <w:noWrap w:val="0"/>
            <w:vAlign w:val="center"/>
          </w:tcPr>
          <w:p w14:paraId="56AB0487">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采购响应文件商务条款</w:t>
            </w:r>
          </w:p>
        </w:tc>
        <w:tc>
          <w:tcPr>
            <w:tcW w:w="876" w:type="dxa"/>
            <w:tcBorders>
              <w:tl2br w:val="nil"/>
              <w:tr2bl w:val="nil"/>
            </w:tcBorders>
            <w:noWrap w:val="0"/>
            <w:vAlign w:val="center"/>
          </w:tcPr>
          <w:p w14:paraId="2CDDD8E9">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1104" w:type="dxa"/>
            <w:tcBorders>
              <w:tl2br w:val="nil"/>
              <w:tr2bl w:val="nil"/>
            </w:tcBorders>
            <w:noWrap w:val="0"/>
            <w:vAlign w:val="center"/>
          </w:tcPr>
          <w:p w14:paraId="0E2EEDA3">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说   明</w:t>
            </w:r>
          </w:p>
        </w:tc>
      </w:tr>
      <w:tr w14:paraId="47F6B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6" w:type="dxa"/>
            <w:tcBorders>
              <w:tl2br w:val="nil"/>
              <w:tr2bl w:val="nil"/>
            </w:tcBorders>
            <w:noWrap w:val="0"/>
            <w:vAlign w:val="center"/>
          </w:tcPr>
          <w:p w14:paraId="13B01A46">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tcBorders>
              <w:tl2br w:val="nil"/>
              <w:tr2bl w:val="nil"/>
            </w:tcBorders>
            <w:noWrap w:val="0"/>
            <w:vAlign w:val="center"/>
          </w:tcPr>
          <w:p w14:paraId="6B848647">
            <w:pPr>
              <w:spacing w:line="360" w:lineRule="auto"/>
              <w:jc w:val="center"/>
              <w:rPr>
                <w:rFonts w:ascii="宋体" w:hAnsi="宋体" w:cs="宋体"/>
                <w:color w:val="auto"/>
                <w:sz w:val="22"/>
                <w:szCs w:val="22"/>
                <w:highlight w:val="none"/>
              </w:rPr>
            </w:pPr>
          </w:p>
        </w:tc>
        <w:tc>
          <w:tcPr>
            <w:tcW w:w="2460" w:type="dxa"/>
            <w:tcBorders>
              <w:tl2br w:val="nil"/>
              <w:tr2bl w:val="nil"/>
            </w:tcBorders>
            <w:noWrap w:val="0"/>
            <w:vAlign w:val="center"/>
          </w:tcPr>
          <w:p w14:paraId="7E79B99B">
            <w:pPr>
              <w:spacing w:line="360" w:lineRule="auto"/>
              <w:jc w:val="center"/>
              <w:rPr>
                <w:rFonts w:ascii="宋体" w:hAnsi="宋体" w:cs="宋体"/>
                <w:color w:val="auto"/>
                <w:sz w:val="22"/>
                <w:szCs w:val="22"/>
                <w:highlight w:val="none"/>
              </w:rPr>
            </w:pPr>
          </w:p>
        </w:tc>
        <w:tc>
          <w:tcPr>
            <w:tcW w:w="2450" w:type="dxa"/>
            <w:tcBorders>
              <w:tl2br w:val="nil"/>
              <w:tr2bl w:val="nil"/>
            </w:tcBorders>
            <w:noWrap w:val="0"/>
            <w:vAlign w:val="center"/>
          </w:tcPr>
          <w:p w14:paraId="7D298989">
            <w:pPr>
              <w:spacing w:line="360" w:lineRule="auto"/>
              <w:jc w:val="center"/>
              <w:rPr>
                <w:rFonts w:ascii="宋体" w:hAnsi="宋体" w:cs="宋体"/>
                <w:color w:val="auto"/>
                <w:sz w:val="22"/>
                <w:szCs w:val="22"/>
                <w:highlight w:val="none"/>
              </w:rPr>
            </w:pPr>
          </w:p>
        </w:tc>
        <w:tc>
          <w:tcPr>
            <w:tcW w:w="876" w:type="dxa"/>
            <w:tcBorders>
              <w:tl2br w:val="nil"/>
              <w:tr2bl w:val="nil"/>
            </w:tcBorders>
            <w:noWrap w:val="0"/>
            <w:vAlign w:val="center"/>
          </w:tcPr>
          <w:p w14:paraId="08B21569">
            <w:pPr>
              <w:spacing w:line="360" w:lineRule="auto"/>
              <w:jc w:val="center"/>
              <w:rPr>
                <w:rFonts w:ascii="宋体" w:hAnsi="宋体" w:cs="宋体"/>
                <w:color w:val="auto"/>
                <w:sz w:val="22"/>
                <w:szCs w:val="22"/>
                <w:highlight w:val="none"/>
              </w:rPr>
            </w:pPr>
          </w:p>
        </w:tc>
        <w:tc>
          <w:tcPr>
            <w:tcW w:w="1104" w:type="dxa"/>
            <w:tcBorders>
              <w:tl2br w:val="nil"/>
              <w:tr2bl w:val="nil"/>
            </w:tcBorders>
            <w:noWrap w:val="0"/>
            <w:vAlign w:val="center"/>
          </w:tcPr>
          <w:p w14:paraId="1C7B28E8">
            <w:pPr>
              <w:spacing w:line="360" w:lineRule="auto"/>
              <w:jc w:val="center"/>
              <w:rPr>
                <w:rFonts w:ascii="宋体" w:hAnsi="宋体" w:cs="宋体"/>
                <w:color w:val="auto"/>
                <w:sz w:val="22"/>
                <w:szCs w:val="22"/>
                <w:highlight w:val="none"/>
              </w:rPr>
            </w:pPr>
          </w:p>
        </w:tc>
      </w:tr>
      <w:tr w14:paraId="0A47F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96" w:type="dxa"/>
            <w:tcBorders>
              <w:tl2br w:val="nil"/>
              <w:tr2bl w:val="nil"/>
            </w:tcBorders>
            <w:noWrap w:val="0"/>
            <w:vAlign w:val="center"/>
          </w:tcPr>
          <w:p w14:paraId="7F860284">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tcBorders>
              <w:tl2br w:val="nil"/>
              <w:tr2bl w:val="nil"/>
            </w:tcBorders>
            <w:noWrap w:val="0"/>
            <w:vAlign w:val="center"/>
          </w:tcPr>
          <w:p w14:paraId="66AE842E">
            <w:pPr>
              <w:spacing w:line="360" w:lineRule="auto"/>
              <w:jc w:val="center"/>
              <w:rPr>
                <w:rFonts w:ascii="宋体" w:hAnsi="宋体" w:cs="宋体"/>
                <w:color w:val="auto"/>
                <w:sz w:val="22"/>
                <w:szCs w:val="22"/>
                <w:highlight w:val="none"/>
              </w:rPr>
            </w:pPr>
          </w:p>
        </w:tc>
        <w:tc>
          <w:tcPr>
            <w:tcW w:w="2460" w:type="dxa"/>
            <w:tcBorders>
              <w:tl2br w:val="nil"/>
              <w:tr2bl w:val="nil"/>
            </w:tcBorders>
            <w:noWrap w:val="0"/>
            <w:vAlign w:val="center"/>
          </w:tcPr>
          <w:p w14:paraId="6A1D13BD">
            <w:pPr>
              <w:spacing w:line="360" w:lineRule="auto"/>
              <w:jc w:val="center"/>
              <w:rPr>
                <w:rFonts w:ascii="宋体" w:hAnsi="宋体" w:cs="宋体"/>
                <w:color w:val="auto"/>
                <w:sz w:val="22"/>
                <w:szCs w:val="22"/>
                <w:highlight w:val="none"/>
              </w:rPr>
            </w:pPr>
          </w:p>
        </w:tc>
        <w:tc>
          <w:tcPr>
            <w:tcW w:w="2450" w:type="dxa"/>
            <w:tcBorders>
              <w:tl2br w:val="nil"/>
              <w:tr2bl w:val="nil"/>
            </w:tcBorders>
            <w:noWrap w:val="0"/>
            <w:vAlign w:val="center"/>
          </w:tcPr>
          <w:p w14:paraId="227C7FB8">
            <w:pPr>
              <w:spacing w:line="360" w:lineRule="auto"/>
              <w:jc w:val="center"/>
              <w:rPr>
                <w:rFonts w:ascii="宋体" w:hAnsi="宋体" w:cs="宋体"/>
                <w:color w:val="auto"/>
                <w:sz w:val="22"/>
                <w:szCs w:val="22"/>
                <w:highlight w:val="none"/>
              </w:rPr>
            </w:pPr>
          </w:p>
        </w:tc>
        <w:tc>
          <w:tcPr>
            <w:tcW w:w="876" w:type="dxa"/>
            <w:tcBorders>
              <w:tl2br w:val="nil"/>
              <w:tr2bl w:val="nil"/>
            </w:tcBorders>
            <w:noWrap w:val="0"/>
            <w:vAlign w:val="center"/>
          </w:tcPr>
          <w:p w14:paraId="107AA195">
            <w:pPr>
              <w:spacing w:line="360" w:lineRule="auto"/>
              <w:jc w:val="center"/>
              <w:rPr>
                <w:rFonts w:ascii="宋体" w:hAnsi="宋体" w:cs="宋体"/>
                <w:color w:val="auto"/>
                <w:sz w:val="22"/>
                <w:szCs w:val="22"/>
                <w:highlight w:val="none"/>
              </w:rPr>
            </w:pPr>
          </w:p>
        </w:tc>
        <w:tc>
          <w:tcPr>
            <w:tcW w:w="1104" w:type="dxa"/>
            <w:tcBorders>
              <w:tl2br w:val="nil"/>
              <w:tr2bl w:val="nil"/>
            </w:tcBorders>
            <w:noWrap w:val="0"/>
            <w:vAlign w:val="center"/>
          </w:tcPr>
          <w:p w14:paraId="6FCB3728">
            <w:pPr>
              <w:spacing w:line="360" w:lineRule="auto"/>
              <w:jc w:val="center"/>
              <w:rPr>
                <w:rFonts w:ascii="宋体" w:hAnsi="宋体" w:cs="宋体"/>
                <w:color w:val="auto"/>
                <w:sz w:val="22"/>
                <w:szCs w:val="22"/>
                <w:highlight w:val="none"/>
              </w:rPr>
            </w:pPr>
          </w:p>
        </w:tc>
      </w:tr>
      <w:tr w14:paraId="1E1BB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96" w:type="dxa"/>
            <w:tcBorders>
              <w:tl2br w:val="nil"/>
              <w:tr2bl w:val="nil"/>
            </w:tcBorders>
            <w:noWrap w:val="0"/>
            <w:vAlign w:val="center"/>
          </w:tcPr>
          <w:p w14:paraId="5CA26F48">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tcBorders>
              <w:tl2br w:val="nil"/>
              <w:tr2bl w:val="nil"/>
            </w:tcBorders>
            <w:noWrap w:val="0"/>
            <w:vAlign w:val="center"/>
          </w:tcPr>
          <w:p w14:paraId="02810105">
            <w:pPr>
              <w:spacing w:line="360" w:lineRule="auto"/>
              <w:jc w:val="center"/>
              <w:rPr>
                <w:rFonts w:ascii="宋体" w:hAnsi="宋体" w:cs="宋体"/>
                <w:color w:val="auto"/>
                <w:sz w:val="22"/>
                <w:szCs w:val="22"/>
                <w:highlight w:val="none"/>
              </w:rPr>
            </w:pPr>
          </w:p>
        </w:tc>
        <w:tc>
          <w:tcPr>
            <w:tcW w:w="2460" w:type="dxa"/>
            <w:tcBorders>
              <w:tl2br w:val="nil"/>
              <w:tr2bl w:val="nil"/>
            </w:tcBorders>
            <w:noWrap w:val="0"/>
            <w:vAlign w:val="center"/>
          </w:tcPr>
          <w:p w14:paraId="4D903A62">
            <w:pPr>
              <w:spacing w:line="360" w:lineRule="auto"/>
              <w:jc w:val="center"/>
              <w:rPr>
                <w:rFonts w:ascii="宋体" w:hAnsi="宋体" w:cs="宋体"/>
                <w:color w:val="auto"/>
                <w:sz w:val="22"/>
                <w:szCs w:val="22"/>
                <w:highlight w:val="none"/>
              </w:rPr>
            </w:pPr>
          </w:p>
        </w:tc>
        <w:tc>
          <w:tcPr>
            <w:tcW w:w="2450" w:type="dxa"/>
            <w:tcBorders>
              <w:tl2br w:val="nil"/>
              <w:tr2bl w:val="nil"/>
            </w:tcBorders>
            <w:noWrap w:val="0"/>
            <w:vAlign w:val="center"/>
          </w:tcPr>
          <w:p w14:paraId="3545C381">
            <w:pPr>
              <w:spacing w:line="360" w:lineRule="auto"/>
              <w:jc w:val="center"/>
              <w:rPr>
                <w:rFonts w:ascii="宋体" w:hAnsi="宋体" w:cs="宋体"/>
                <w:color w:val="auto"/>
                <w:sz w:val="22"/>
                <w:szCs w:val="22"/>
                <w:highlight w:val="none"/>
              </w:rPr>
            </w:pPr>
          </w:p>
        </w:tc>
        <w:tc>
          <w:tcPr>
            <w:tcW w:w="876" w:type="dxa"/>
            <w:tcBorders>
              <w:tl2br w:val="nil"/>
              <w:tr2bl w:val="nil"/>
            </w:tcBorders>
            <w:noWrap w:val="0"/>
            <w:vAlign w:val="center"/>
          </w:tcPr>
          <w:p w14:paraId="60515E41">
            <w:pPr>
              <w:spacing w:line="360" w:lineRule="auto"/>
              <w:jc w:val="center"/>
              <w:rPr>
                <w:rFonts w:ascii="宋体" w:hAnsi="宋体" w:cs="宋体"/>
                <w:color w:val="auto"/>
                <w:sz w:val="22"/>
                <w:szCs w:val="22"/>
                <w:highlight w:val="none"/>
              </w:rPr>
            </w:pPr>
          </w:p>
        </w:tc>
        <w:tc>
          <w:tcPr>
            <w:tcW w:w="1104" w:type="dxa"/>
            <w:tcBorders>
              <w:tl2br w:val="nil"/>
              <w:tr2bl w:val="nil"/>
            </w:tcBorders>
            <w:noWrap w:val="0"/>
            <w:vAlign w:val="center"/>
          </w:tcPr>
          <w:p w14:paraId="2F1BE1BB">
            <w:pPr>
              <w:spacing w:line="360" w:lineRule="auto"/>
              <w:jc w:val="center"/>
              <w:rPr>
                <w:rFonts w:ascii="宋体" w:hAnsi="宋体" w:cs="宋体"/>
                <w:color w:val="auto"/>
                <w:sz w:val="22"/>
                <w:szCs w:val="22"/>
                <w:highlight w:val="none"/>
              </w:rPr>
            </w:pPr>
          </w:p>
        </w:tc>
      </w:tr>
      <w:tr w14:paraId="742ED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96" w:type="dxa"/>
            <w:tcBorders>
              <w:tl2br w:val="nil"/>
              <w:tr2bl w:val="nil"/>
            </w:tcBorders>
            <w:noWrap w:val="0"/>
            <w:vAlign w:val="center"/>
          </w:tcPr>
          <w:p w14:paraId="463D4962">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tcBorders>
              <w:tl2br w:val="nil"/>
              <w:tr2bl w:val="nil"/>
            </w:tcBorders>
            <w:noWrap w:val="0"/>
            <w:vAlign w:val="center"/>
          </w:tcPr>
          <w:p w14:paraId="2EE395DC">
            <w:pPr>
              <w:spacing w:line="360" w:lineRule="auto"/>
              <w:jc w:val="center"/>
              <w:rPr>
                <w:rFonts w:ascii="宋体" w:hAnsi="宋体" w:cs="宋体"/>
                <w:color w:val="auto"/>
                <w:sz w:val="22"/>
                <w:szCs w:val="22"/>
                <w:highlight w:val="none"/>
              </w:rPr>
            </w:pPr>
          </w:p>
        </w:tc>
        <w:tc>
          <w:tcPr>
            <w:tcW w:w="2460" w:type="dxa"/>
            <w:tcBorders>
              <w:tl2br w:val="nil"/>
              <w:tr2bl w:val="nil"/>
            </w:tcBorders>
            <w:noWrap w:val="0"/>
            <w:vAlign w:val="center"/>
          </w:tcPr>
          <w:p w14:paraId="36014E2A">
            <w:pPr>
              <w:spacing w:line="360" w:lineRule="auto"/>
              <w:jc w:val="center"/>
              <w:rPr>
                <w:rFonts w:ascii="宋体" w:hAnsi="宋体" w:cs="宋体"/>
                <w:color w:val="auto"/>
                <w:sz w:val="22"/>
                <w:szCs w:val="22"/>
                <w:highlight w:val="none"/>
              </w:rPr>
            </w:pPr>
          </w:p>
        </w:tc>
        <w:tc>
          <w:tcPr>
            <w:tcW w:w="2450" w:type="dxa"/>
            <w:tcBorders>
              <w:tl2br w:val="nil"/>
              <w:tr2bl w:val="nil"/>
            </w:tcBorders>
            <w:noWrap w:val="0"/>
            <w:vAlign w:val="center"/>
          </w:tcPr>
          <w:p w14:paraId="74387439">
            <w:pPr>
              <w:spacing w:line="360" w:lineRule="auto"/>
              <w:jc w:val="center"/>
              <w:rPr>
                <w:rFonts w:ascii="宋体" w:hAnsi="宋体" w:cs="宋体"/>
                <w:color w:val="auto"/>
                <w:sz w:val="22"/>
                <w:szCs w:val="22"/>
                <w:highlight w:val="none"/>
              </w:rPr>
            </w:pPr>
          </w:p>
        </w:tc>
        <w:tc>
          <w:tcPr>
            <w:tcW w:w="876" w:type="dxa"/>
            <w:tcBorders>
              <w:tl2br w:val="nil"/>
              <w:tr2bl w:val="nil"/>
            </w:tcBorders>
            <w:noWrap w:val="0"/>
            <w:vAlign w:val="center"/>
          </w:tcPr>
          <w:p w14:paraId="78C5F78E">
            <w:pPr>
              <w:spacing w:line="360" w:lineRule="auto"/>
              <w:jc w:val="center"/>
              <w:rPr>
                <w:rFonts w:ascii="宋体" w:hAnsi="宋体" w:cs="宋体"/>
                <w:color w:val="auto"/>
                <w:sz w:val="22"/>
                <w:szCs w:val="22"/>
                <w:highlight w:val="none"/>
              </w:rPr>
            </w:pPr>
          </w:p>
        </w:tc>
        <w:tc>
          <w:tcPr>
            <w:tcW w:w="1104" w:type="dxa"/>
            <w:tcBorders>
              <w:tl2br w:val="nil"/>
              <w:tr2bl w:val="nil"/>
            </w:tcBorders>
            <w:noWrap w:val="0"/>
            <w:vAlign w:val="center"/>
          </w:tcPr>
          <w:p w14:paraId="3C5C7474">
            <w:pPr>
              <w:spacing w:line="360" w:lineRule="auto"/>
              <w:jc w:val="center"/>
              <w:rPr>
                <w:rFonts w:ascii="宋体" w:hAnsi="宋体" w:cs="宋体"/>
                <w:color w:val="auto"/>
                <w:sz w:val="22"/>
                <w:szCs w:val="22"/>
                <w:highlight w:val="none"/>
              </w:rPr>
            </w:pPr>
          </w:p>
        </w:tc>
      </w:tr>
      <w:tr w14:paraId="35B1F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96" w:type="dxa"/>
            <w:tcBorders>
              <w:tl2br w:val="nil"/>
              <w:tr2bl w:val="nil"/>
            </w:tcBorders>
            <w:noWrap w:val="0"/>
            <w:vAlign w:val="center"/>
          </w:tcPr>
          <w:p w14:paraId="2965774A">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tcBorders>
              <w:tl2br w:val="nil"/>
              <w:tr2bl w:val="nil"/>
            </w:tcBorders>
            <w:noWrap w:val="0"/>
            <w:vAlign w:val="center"/>
          </w:tcPr>
          <w:p w14:paraId="1CE69318">
            <w:pPr>
              <w:spacing w:line="360" w:lineRule="auto"/>
              <w:jc w:val="center"/>
              <w:rPr>
                <w:rFonts w:ascii="宋体" w:hAnsi="宋体" w:cs="宋体"/>
                <w:color w:val="auto"/>
                <w:sz w:val="22"/>
                <w:szCs w:val="22"/>
                <w:highlight w:val="none"/>
              </w:rPr>
            </w:pPr>
          </w:p>
        </w:tc>
        <w:tc>
          <w:tcPr>
            <w:tcW w:w="2460" w:type="dxa"/>
            <w:tcBorders>
              <w:tl2br w:val="nil"/>
              <w:tr2bl w:val="nil"/>
            </w:tcBorders>
            <w:noWrap w:val="0"/>
            <w:vAlign w:val="center"/>
          </w:tcPr>
          <w:p w14:paraId="22A46D15">
            <w:pPr>
              <w:spacing w:line="360" w:lineRule="auto"/>
              <w:jc w:val="center"/>
              <w:rPr>
                <w:rFonts w:ascii="宋体" w:hAnsi="宋体" w:cs="宋体"/>
                <w:color w:val="auto"/>
                <w:sz w:val="22"/>
                <w:szCs w:val="22"/>
                <w:highlight w:val="none"/>
              </w:rPr>
            </w:pPr>
          </w:p>
        </w:tc>
        <w:tc>
          <w:tcPr>
            <w:tcW w:w="2450" w:type="dxa"/>
            <w:tcBorders>
              <w:tl2br w:val="nil"/>
              <w:tr2bl w:val="nil"/>
            </w:tcBorders>
            <w:noWrap w:val="0"/>
            <w:vAlign w:val="center"/>
          </w:tcPr>
          <w:p w14:paraId="32C84722">
            <w:pPr>
              <w:spacing w:line="360" w:lineRule="auto"/>
              <w:jc w:val="center"/>
              <w:rPr>
                <w:rFonts w:ascii="宋体" w:hAnsi="宋体" w:cs="宋体"/>
                <w:color w:val="auto"/>
                <w:sz w:val="22"/>
                <w:szCs w:val="22"/>
                <w:highlight w:val="none"/>
              </w:rPr>
            </w:pPr>
          </w:p>
        </w:tc>
        <w:tc>
          <w:tcPr>
            <w:tcW w:w="876" w:type="dxa"/>
            <w:tcBorders>
              <w:tl2br w:val="nil"/>
              <w:tr2bl w:val="nil"/>
            </w:tcBorders>
            <w:noWrap w:val="0"/>
            <w:vAlign w:val="center"/>
          </w:tcPr>
          <w:p w14:paraId="7E6AD952">
            <w:pPr>
              <w:spacing w:line="360" w:lineRule="auto"/>
              <w:jc w:val="center"/>
              <w:rPr>
                <w:rFonts w:ascii="宋体" w:hAnsi="宋体" w:cs="宋体"/>
                <w:color w:val="auto"/>
                <w:sz w:val="22"/>
                <w:szCs w:val="22"/>
                <w:highlight w:val="none"/>
              </w:rPr>
            </w:pPr>
          </w:p>
        </w:tc>
        <w:tc>
          <w:tcPr>
            <w:tcW w:w="1104" w:type="dxa"/>
            <w:tcBorders>
              <w:tl2br w:val="nil"/>
              <w:tr2bl w:val="nil"/>
            </w:tcBorders>
            <w:noWrap w:val="0"/>
            <w:vAlign w:val="center"/>
          </w:tcPr>
          <w:p w14:paraId="60CD02C5">
            <w:pPr>
              <w:spacing w:line="360" w:lineRule="auto"/>
              <w:jc w:val="center"/>
              <w:rPr>
                <w:rFonts w:ascii="宋体" w:hAnsi="宋体" w:cs="宋体"/>
                <w:color w:val="auto"/>
                <w:sz w:val="22"/>
                <w:szCs w:val="22"/>
                <w:highlight w:val="none"/>
              </w:rPr>
            </w:pPr>
          </w:p>
        </w:tc>
      </w:tr>
      <w:tr w14:paraId="40C3E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96" w:type="dxa"/>
            <w:tcBorders>
              <w:tl2br w:val="nil"/>
              <w:tr2bl w:val="nil"/>
            </w:tcBorders>
            <w:noWrap w:val="0"/>
            <w:vAlign w:val="center"/>
          </w:tcPr>
          <w:p w14:paraId="5803D61E">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tcBorders>
              <w:tl2br w:val="nil"/>
              <w:tr2bl w:val="nil"/>
            </w:tcBorders>
            <w:noWrap w:val="0"/>
            <w:vAlign w:val="center"/>
          </w:tcPr>
          <w:p w14:paraId="42A7CDE0">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2460" w:type="dxa"/>
            <w:tcBorders>
              <w:tl2br w:val="nil"/>
              <w:tr2bl w:val="nil"/>
            </w:tcBorders>
            <w:noWrap w:val="0"/>
            <w:vAlign w:val="center"/>
          </w:tcPr>
          <w:p w14:paraId="723D8C6E">
            <w:pPr>
              <w:spacing w:line="360" w:lineRule="auto"/>
              <w:jc w:val="center"/>
              <w:rPr>
                <w:rFonts w:ascii="宋体" w:hAnsi="宋体" w:cs="宋体"/>
                <w:color w:val="auto"/>
                <w:sz w:val="22"/>
                <w:szCs w:val="22"/>
                <w:highlight w:val="none"/>
              </w:rPr>
            </w:pPr>
          </w:p>
        </w:tc>
        <w:tc>
          <w:tcPr>
            <w:tcW w:w="2450" w:type="dxa"/>
            <w:tcBorders>
              <w:tl2br w:val="nil"/>
              <w:tr2bl w:val="nil"/>
            </w:tcBorders>
            <w:noWrap w:val="0"/>
            <w:vAlign w:val="center"/>
          </w:tcPr>
          <w:p w14:paraId="7508206A">
            <w:pPr>
              <w:spacing w:line="360" w:lineRule="auto"/>
              <w:jc w:val="center"/>
              <w:rPr>
                <w:rFonts w:ascii="宋体" w:hAnsi="宋体" w:cs="宋体"/>
                <w:color w:val="auto"/>
                <w:sz w:val="22"/>
                <w:szCs w:val="22"/>
                <w:highlight w:val="none"/>
              </w:rPr>
            </w:pPr>
          </w:p>
        </w:tc>
        <w:tc>
          <w:tcPr>
            <w:tcW w:w="876" w:type="dxa"/>
            <w:tcBorders>
              <w:tl2br w:val="nil"/>
              <w:tr2bl w:val="nil"/>
            </w:tcBorders>
            <w:noWrap w:val="0"/>
            <w:vAlign w:val="center"/>
          </w:tcPr>
          <w:p w14:paraId="282A1E0C">
            <w:pPr>
              <w:spacing w:line="360" w:lineRule="auto"/>
              <w:jc w:val="center"/>
              <w:rPr>
                <w:rFonts w:ascii="宋体" w:hAnsi="宋体" w:cs="宋体"/>
                <w:color w:val="auto"/>
                <w:sz w:val="22"/>
                <w:szCs w:val="22"/>
                <w:highlight w:val="none"/>
              </w:rPr>
            </w:pPr>
          </w:p>
        </w:tc>
        <w:tc>
          <w:tcPr>
            <w:tcW w:w="1104" w:type="dxa"/>
            <w:tcBorders>
              <w:tl2br w:val="nil"/>
              <w:tr2bl w:val="nil"/>
            </w:tcBorders>
            <w:noWrap w:val="0"/>
            <w:vAlign w:val="center"/>
          </w:tcPr>
          <w:p w14:paraId="6313D01A">
            <w:pPr>
              <w:spacing w:line="360" w:lineRule="auto"/>
              <w:jc w:val="center"/>
              <w:rPr>
                <w:rFonts w:ascii="宋体" w:hAnsi="宋体" w:cs="宋体"/>
                <w:color w:val="auto"/>
                <w:sz w:val="22"/>
                <w:szCs w:val="22"/>
                <w:highlight w:val="none"/>
              </w:rPr>
            </w:pPr>
          </w:p>
        </w:tc>
      </w:tr>
    </w:tbl>
    <w:p w14:paraId="77CA7D62">
      <w:pPr>
        <w:spacing w:line="360" w:lineRule="auto"/>
        <w:ind w:left="250" w:leftChars="104"/>
        <w:rPr>
          <w:rFonts w:ascii="宋体" w:hAnsi="宋体" w:cs="宋体"/>
          <w:color w:val="auto"/>
          <w:sz w:val="22"/>
          <w:szCs w:val="22"/>
          <w:highlight w:val="none"/>
        </w:rPr>
      </w:pPr>
      <w:r>
        <w:rPr>
          <w:rFonts w:hint="eastAsia" w:ascii="宋体" w:hAnsi="宋体" w:cs="宋体"/>
          <w:color w:val="auto"/>
          <w:sz w:val="22"/>
          <w:szCs w:val="22"/>
          <w:highlight w:val="none"/>
        </w:rPr>
        <w:t>说明：如不填写偏离情况，视为完全响应采购文件要求。</w:t>
      </w:r>
    </w:p>
    <w:p w14:paraId="71B18345">
      <w:pPr>
        <w:spacing w:line="360" w:lineRule="auto"/>
        <w:ind w:firstLine="4800" w:firstLineChars="2000"/>
        <w:rPr>
          <w:rFonts w:ascii="宋体" w:hAnsi="宋体" w:cs="宋体"/>
          <w:color w:val="auto"/>
          <w:sz w:val="24"/>
          <w:highlight w:val="none"/>
        </w:rPr>
      </w:pPr>
    </w:p>
    <w:p w14:paraId="48CC1B7F">
      <w:pPr>
        <w:spacing w:line="360" w:lineRule="auto"/>
        <w:ind w:firstLine="4400" w:firstLineChars="2000"/>
        <w:rPr>
          <w:rFonts w:ascii="宋体" w:hAnsi="宋体" w:cs="宋体"/>
          <w:color w:val="auto"/>
          <w:sz w:val="22"/>
          <w:szCs w:val="22"/>
          <w:highlight w:val="none"/>
        </w:rPr>
      </w:pPr>
    </w:p>
    <w:p w14:paraId="6F0A540E">
      <w:pPr>
        <w:spacing w:line="360" w:lineRule="auto"/>
        <w:ind w:firstLine="4400" w:firstLineChars="2000"/>
        <w:rPr>
          <w:rFonts w:ascii="宋体" w:hAnsi="宋体" w:cs="宋体"/>
          <w:color w:val="auto"/>
          <w:sz w:val="22"/>
          <w:szCs w:val="22"/>
          <w:highlight w:val="none"/>
        </w:rPr>
      </w:pPr>
    </w:p>
    <w:p w14:paraId="422FF6EA">
      <w:pPr>
        <w:spacing w:line="360" w:lineRule="auto"/>
        <w:ind w:firstLine="4400" w:firstLineChars="2000"/>
        <w:rPr>
          <w:rFonts w:ascii="宋体" w:hAnsi="宋体" w:cs="宋体"/>
          <w:color w:val="auto"/>
          <w:sz w:val="22"/>
          <w:szCs w:val="22"/>
          <w:highlight w:val="none"/>
        </w:rPr>
      </w:pPr>
    </w:p>
    <w:p w14:paraId="40892E70">
      <w:pPr>
        <w:spacing w:line="360" w:lineRule="auto"/>
        <w:ind w:firstLine="4400" w:firstLineChars="2000"/>
        <w:rPr>
          <w:rFonts w:ascii="宋体" w:hAnsi="宋体" w:cs="宋体"/>
          <w:color w:val="auto"/>
          <w:sz w:val="22"/>
          <w:szCs w:val="22"/>
          <w:highlight w:val="none"/>
        </w:rPr>
      </w:pPr>
    </w:p>
    <w:p w14:paraId="0F52FE10">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投标供应商名称（盖单位公章）：</w:t>
      </w:r>
    </w:p>
    <w:p w14:paraId="0AF331D8">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法定代表人（或单位负责人）或其授权代表（签字或盖章）：</w:t>
      </w:r>
    </w:p>
    <w:p w14:paraId="30B55FF6">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0E08E885">
      <w:pPr>
        <w:spacing w:line="360" w:lineRule="auto"/>
        <w:rPr>
          <w:rFonts w:ascii="宋体" w:hAnsi="宋体" w:cs="宋体"/>
          <w:color w:val="auto"/>
          <w:szCs w:val="21"/>
          <w:highlight w:val="none"/>
        </w:rPr>
      </w:pPr>
    </w:p>
    <w:p w14:paraId="7F8E76DF">
      <w:pPr>
        <w:autoSpaceDE w:val="0"/>
        <w:autoSpaceDN w:val="0"/>
        <w:adjustRightInd w:val="0"/>
        <w:snapToGrid w:val="0"/>
        <w:spacing w:line="360" w:lineRule="auto"/>
        <w:rPr>
          <w:rFonts w:ascii="宋体" w:hAnsi="宋体" w:cs="宋体"/>
          <w:b/>
          <w:color w:val="auto"/>
          <w:sz w:val="30"/>
          <w:szCs w:val="30"/>
          <w:highlight w:val="none"/>
        </w:rPr>
      </w:pPr>
    </w:p>
    <w:p w14:paraId="104606A6">
      <w:pPr>
        <w:autoSpaceDE w:val="0"/>
        <w:autoSpaceDN w:val="0"/>
        <w:adjustRightInd w:val="0"/>
        <w:snapToGrid w:val="0"/>
        <w:spacing w:line="360" w:lineRule="auto"/>
        <w:rPr>
          <w:rFonts w:ascii="宋体" w:hAnsi="宋体" w:cs="宋体"/>
          <w:b/>
          <w:color w:val="auto"/>
          <w:sz w:val="30"/>
          <w:szCs w:val="30"/>
          <w:highlight w:val="none"/>
        </w:rPr>
      </w:pPr>
    </w:p>
    <w:p w14:paraId="03540CB6">
      <w:pPr>
        <w:autoSpaceDE w:val="0"/>
        <w:autoSpaceDN w:val="0"/>
        <w:adjustRightInd w:val="0"/>
        <w:snapToGrid w:val="0"/>
        <w:spacing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附件八</w:t>
      </w:r>
    </w:p>
    <w:p w14:paraId="44B39441">
      <w:pPr>
        <w:spacing w:line="360" w:lineRule="auto"/>
        <w:jc w:val="center"/>
        <w:rPr>
          <w:rFonts w:ascii="宋体" w:hAnsi="宋体" w:cs="宋体"/>
          <w:b/>
          <w:bCs/>
          <w:color w:val="auto"/>
          <w:sz w:val="32"/>
          <w:szCs w:val="32"/>
          <w:highlight w:val="none"/>
        </w:rPr>
      </w:pPr>
    </w:p>
    <w:p w14:paraId="1BE914A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类似服务业绩一览表</w:t>
      </w:r>
    </w:p>
    <w:p w14:paraId="3441E191">
      <w:pPr>
        <w:spacing w:line="360" w:lineRule="auto"/>
        <w:ind w:left="-408" w:leftChars="-170" w:firstLine="215" w:firstLineChars="98"/>
        <w:rPr>
          <w:rFonts w:ascii="宋体" w:hAnsi="宋体" w:cs="宋体"/>
          <w:color w:val="auto"/>
          <w:sz w:val="22"/>
          <w:szCs w:val="22"/>
          <w:highlight w:val="none"/>
        </w:rPr>
      </w:pPr>
    </w:p>
    <w:p w14:paraId="7F44479D">
      <w:pPr>
        <w:spacing w:line="360" w:lineRule="auto"/>
        <w:ind w:left="-408" w:leftChars="-170" w:firstLine="437" w:firstLineChars="198"/>
        <w:rPr>
          <w:rFonts w:ascii="宋体" w:hAnsi="宋体" w:cs="宋体"/>
          <w:b/>
          <w:bCs/>
          <w:color w:val="auto"/>
          <w:sz w:val="22"/>
          <w:szCs w:val="22"/>
          <w:highlight w:val="none"/>
        </w:rPr>
      </w:pPr>
      <w:r>
        <w:rPr>
          <w:rFonts w:hint="eastAsia" w:ascii="宋体" w:hAnsi="宋体" w:cs="宋体"/>
          <w:b/>
          <w:bCs/>
          <w:color w:val="auto"/>
          <w:sz w:val="22"/>
          <w:szCs w:val="22"/>
          <w:highlight w:val="none"/>
        </w:rPr>
        <w:t>采购项目名称：                                                  项目编号：</w:t>
      </w:r>
    </w:p>
    <w:tbl>
      <w:tblPr>
        <w:tblStyle w:val="24"/>
        <w:tblW w:w="9221"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14"/>
        <w:gridCol w:w="1575"/>
        <w:gridCol w:w="1212"/>
        <w:gridCol w:w="1294"/>
        <w:gridCol w:w="2405"/>
      </w:tblGrid>
      <w:tr w14:paraId="24AD6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2DB205E4">
            <w:pPr>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914" w:type="dxa"/>
            <w:tcBorders>
              <w:tl2br w:val="nil"/>
              <w:tr2bl w:val="nil"/>
            </w:tcBorders>
            <w:noWrap w:val="0"/>
            <w:vAlign w:val="center"/>
          </w:tcPr>
          <w:p w14:paraId="4BC5FC1D">
            <w:pPr>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575" w:type="dxa"/>
            <w:tcBorders>
              <w:tl2br w:val="nil"/>
              <w:tr2bl w:val="nil"/>
            </w:tcBorders>
            <w:noWrap w:val="0"/>
            <w:vAlign w:val="center"/>
          </w:tcPr>
          <w:p w14:paraId="5F2FB743">
            <w:pPr>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12" w:type="dxa"/>
            <w:tcBorders>
              <w:tl2br w:val="nil"/>
              <w:tr2bl w:val="nil"/>
            </w:tcBorders>
            <w:noWrap w:val="0"/>
            <w:vAlign w:val="center"/>
          </w:tcPr>
          <w:p w14:paraId="08F02BEE">
            <w:pPr>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294" w:type="dxa"/>
            <w:tcBorders>
              <w:tl2br w:val="nil"/>
              <w:tr2bl w:val="nil"/>
            </w:tcBorders>
            <w:noWrap w:val="0"/>
            <w:vAlign w:val="center"/>
          </w:tcPr>
          <w:p w14:paraId="1AF59FCC">
            <w:pPr>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实施时间</w:t>
            </w:r>
          </w:p>
        </w:tc>
        <w:tc>
          <w:tcPr>
            <w:tcW w:w="2405" w:type="dxa"/>
            <w:tcBorders>
              <w:tl2br w:val="nil"/>
              <w:tr2bl w:val="nil"/>
            </w:tcBorders>
            <w:noWrap w:val="0"/>
            <w:vAlign w:val="center"/>
          </w:tcPr>
          <w:p w14:paraId="36233823">
            <w:pPr>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263F6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75E81412">
            <w:pPr>
              <w:spacing w:line="360" w:lineRule="auto"/>
              <w:jc w:val="center"/>
              <w:rPr>
                <w:rFonts w:ascii="宋体" w:hAnsi="宋体" w:cs="宋体"/>
                <w:b/>
                <w:bCs/>
                <w:color w:val="auto"/>
                <w:sz w:val="22"/>
                <w:szCs w:val="22"/>
                <w:highlight w:val="none"/>
              </w:rPr>
            </w:pPr>
          </w:p>
        </w:tc>
        <w:tc>
          <w:tcPr>
            <w:tcW w:w="1914" w:type="dxa"/>
            <w:tcBorders>
              <w:tl2br w:val="nil"/>
              <w:tr2bl w:val="nil"/>
            </w:tcBorders>
            <w:noWrap w:val="0"/>
            <w:vAlign w:val="center"/>
          </w:tcPr>
          <w:p w14:paraId="0B8BF0A5">
            <w:pPr>
              <w:spacing w:line="360" w:lineRule="auto"/>
              <w:jc w:val="center"/>
              <w:rPr>
                <w:rFonts w:ascii="宋体" w:hAnsi="宋体" w:cs="宋体"/>
                <w:b/>
                <w:bCs/>
                <w:color w:val="auto"/>
                <w:sz w:val="22"/>
                <w:szCs w:val="22"/>
                <w:highlight w:val="none"/>
              </w:rPr>
            </w:pPr>
          </w:p>
        </w:tc>
        <w:tc>
          <w:tcPr>
            <w:tcW w:w="1575" w:type="dxa"/>
            <w:tcBorders>
              <w:tl2br w:val="nil"/>
              <w:tr2bl w:val="nil"/>
            </w:tcBorders>
            <w:noWrap w:val="0"/>
            <w:vAlign w:val="center"/>
          </w:tcPr>
          <w:p w14:paraId="49BDA274">
            <w:pPr>
              <w:spacing w:line="360" w:lineRule="auto"/>
              <w:jc w:val="center"/>
              <w:rPr>
                <w:rFonts w:ascii="宋体" w:hAnsi="宋体" w:cs="宋体"/>
                <w:b/>
                <w:bCs/>
                <w:color w:val="auto"/>
                <w:sz w:val="22"/>
                <w:szCs w:val="22"/>
                <w:highlight w:val="none"/>
              </w:rPr>
            </w:pPr>
          </w:p>
        </w:tc>
        <w:tc>
          <w:tcPr>
            <w:tcW w:w="1212" w:type="dxa"/>
            <w:tcBorders>
              <w:tl2br w:val="nil"/>
              <w:tr2bl w:val="nil"/>
            </w:tcBorders>
            <w:noWrap w:val="0"/>
            <w:vAlign w:val="center"/>
          </w:tcPr>
          <w:p w14:paraId="535CC6C7">
            <w:pPr>
              <w:spacing w:line="360" w:lineRule="auto"/>
              <w:jc w:val="center"/>
              <w:rPr>
                <w:rFonts w:ascii="宋体" w:hAnsi="宋体" w:cs="宋体"/>
                <w:b/>
                <w:bCs/>
                <w:color w:val="auto"/>
                <w:sz w:val="22"/>
                <w:szCs w:val="22"/>
                <w:highlight w:val="none"/>
              </w:rPr>
            </w:pPr>
          </w:p>
        </w:tc>
        <w:tc>
          <w:tcPr>
            <w:tcW w:w="1294" w:type="dxa"/>
            <w:tcBorders>
              <w:tl2br w:val="nil"/>
              <w:tr2bl w:val="nil"/>
            </w:tcBorders>
            <w:noWrap w:val="0"/>
            <w:vAlign w:val="center"/>
          </w:tcPr>
          <w:p w14:paraId="09B59185">
            <w:pPr>
              <w:spacing w:line="360" w:lineRule="auto"/>
              <w:jc w:val="center"/>
              <w:rPr>
                <w:rFonts w:ascii="宋体" w:hAnsi="宋体" w:cs="宋体"/>
                <w:b/>
                <w:bCs/>
                <w:color w:val="auto"/>
                <w:sz w:val="22"/>
                <w:szCs w:val="22"/>
                <w:highlight w:val="none"/>
              </w:rPr>
            </w:pPr>
          </w:p>
        </w:tc>
        <w:tc>
          <w:tcPr>
            <w:tcW w:w="2405" w:type="dxa"/>
            <w:tcBorders>
              <w:tl2br w:val="nil"/>
              <w:tr2bl w:val="nil"/>
            </w:tcBorders>
            <w:noWrap w:val="0"/>
            <w:vAlign w:val="center"/>
          </w:tcPr>
          <w:p w14:paraId="0C42A6D6">
            <w:pPr>
              <w:spacing w:line="360" w:lineRule="auto"/>
              <w:jc w:val="center"/>
              <w:rPr>
                <w:rFonts w:ascii="宋体" w:hAnsi="宋体" w:cs="宋体"/>
                <w:b/>
                <w:bCs/>
                <w:color w:val="auto"/>
                <w:sz w:val="22"/>
                <w:szCs w:val="22"/>
                <w:highlight w:val="none"/>
              </w:rPr>
            </w:pPr>
          </w:p>
        </w:tc>
      </w:tr>
      <w:tr w14:paraId="234A3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2973FCED">
            <w:pPr>
              <w:spacing w:line="360" w:lineRule="auto"/>
              <w:jc w:val="center"/>
              <w:rPr>
                <w:rFonts w:ascii="宋体" w:hAnsi="宋体" w:cs="宋体"/>
                <w:b/>
                <w:bCs/>
                <w:color w:val="auto"/>
                <w:sz w:val="22"/>
                <w:szCs w:val="22"/>
                <w:highlight w:val="none"/>
              </w:rPr>
            </w:pPr>
          </w:p>
        </w:tc>
        <w:tc>
          <w:tcPr>
            <w:tcW w:w="1914" w:type="dxa"/>
            <w:tcBorders>
              <w:tl2br w:val="nil"/>
              <w:tr2bl w:val="nil"/>
            </w:tcBorders>
            <w:noWrap w:val="0"/>
            <w:vAlign w:val="center"/>
          </w:tcPr>
          <w:p w14:paraId="5487697E">
            <w:pPr>
              <w:spacing w:line="360" w:lineRule="auto"/>
              <w:jc w:val="center"/>
              <w:rPr>
                <w:rFonts w:ascii="宋体" w:hAnsi="宋体" w:cs="宋体"/>
                <w:b/>
                <w:bCs/>
                <w:color w:val="auto"/>
                <w:sz w:val="22"/>
                <w:szCs w:val="22"/>
                <w:highlight w:val="none"/>
              </w:rPr>
            </w:pPr>
          </w:p>
        </w:tc>
        <w:tc>
          <w:tcPr>
            <w:tcW w:w="1575" w:type="dxa"/>
            <w:tcBorders>
              <w:tl2br w:val="nil"/>
              <w:tr2bl w:val="nil"/>
            </w:tcBorders>
            <w:noWrap w:val="0"/>
            <w:vAlign w:val="center"/>
          </w:tcPr>
          <w:p w14:paraId="09B2A15C">
            <w:pPr>
              <w:spacing w:line="360" w:lineRule="auto"/>
              <w:jc w:val="center"/>
              <w:rPr>
                <w:rFonts w:ascii="宋体" w:hAnsi="宋体" w:cs="宋体"/>
                <w:b/>
                <w:bCs/>
                <w:color w:val="auto"/>
                <w:sz w:val="22"/>
                <w:szCs w:val="22"/>
                <w:highlight w:val="none"/>
              </w:rPr>
            </w:pPr>
          </w:p>
        </w:tc>
        <w:tc>
          <w:tcPr>
            <w:tcW w:w="1212" w:type="dxa"/>
            <w:tcBorders>
              <w:tl2br w:val="nil"/>
              <w:tr2bl w:val="nil"/>
            </w:tcBorders>
            <w:noWrap w:val="0"/>
            <w:vAlign w:val="center"/>
          </w:tcPr>
          <w:p w14:paraId="39D8748D">
            <w:pPr>
              <w:spacing w:line="360" w:lineRule="auto"/>
              <w:jc w:val="center"/>
              <w:rPr>
                <w:rFonts w:ascii="宋体" w:hAnsi="宋体" w:cs="宋体"/>
                <w:b/>
                <w:bCs/>
                <w:color w:val="auto"/>
                <w:sz w:val="22"/>
                <w:szCs w:val="22"/>
                <w:highlight w:val="none"/>
              </w:rPr>
            </w:pPr>
          </w:p>
        </w:tc>
        <w:tc>
          <w:tcPr>
            <w:tcW w:w="1294" w:type="dxa"/>
            <w:tcBorders>
              <w:tl2br w:val="nil"/>
              <w:tr2bl w:val="nil"/>
            </w:tcBorders>
            <w:noWrap w:val="0"/>
            <w:vAlign w:val="center"/>
          </w:tcPr>
          <w:p w14:paraId="0923CB5B">
            <w:pPr>
              <w:spacing w:line="360" w:lineRule="auto"/>
              <w:jc w:val="center"/>
              <w:rPr>
                <w:rFonts w:ascii="宋体" w:hAnsi="宋体" w:cs="宋体"/>
                <w:b/>
                <w:bCs/>
                <w:color w:val="auto"/>
                <w:sz w:val="22"/>
                <w:szCs w:val="22"/>
                <w:highlight w:val="none"/>
              </w:rPr>
            </w:pPr>
          </w:p>
        </w:tc>
        <w:tc>
          <w:tcPr>
            <w:tcW w:w="2405" w:type="dxa"/>
            <w:tcBorders>
              <w:tl2br w:val="nil"/>
              <w:tr2bl w:val="nil"/>
            </w:tcBorders>
            <w:noWrap w:val="0"/>
            <w:vAlign w:val="center"/>
          </w:tcPr>
          <w:p w14:paraId="29D2B26C">
            <w:pPr>
              <w:spacing w:line="360" w:lineRule="auto"/>
              <w:jc w:val="center"/>
              <w:rPr>
                <w:rFonts w:ascii="宋体" w:hAnsi="宋体" w:cs="宋体"/>
                <w:b/>
                <w:bCs/>
                <w:color w:val="auto"/>
                <w:sz w:val="22"/>
                <w:szCs w:val="22"/>
                <w:highlight w:val="none"/>
              </w:rPr>
            </w:pPr>
          </w:p>
        </w:tc>
      </w:tr>
      <w:tr w14:paraId="243E9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4EE5ADAB">
            <w:pPr>
              <w:spacing w:line="360" w:lineRule="auto"/>
              <w:jc w:val="center"/>
              <w:rPr>
                <w:rFonts w:ascii="宋体" w:hAnsi="宋体" w:cs="宋体"/>
                <w:b/>
                <w:bCs/>
                <w:color w:val="auto"/>
                <w:sz w:val="22"/>
                <w:szCs w:val="22"/>
                <w:highlight w:val="none"/>
              </w:rPr>
            </w:pPr>
          </w:p>
        </w:tc>
        <w:tc>
          <w:tcPr>
            <w:tcW w:w="1914" w:type="dxa"/>
            <w:tcBorders>
              <w:tl2br w:val="nil"/>
              <w:tr2bl w:val="nil"/>
            </w:tcBorders>
            <w:noWrap w:val="0"/>
            <w:vAlign w:val="center"/>
          </w:tcPr>
          <w:p w14:paraId="37A0A05B">
            <w:pPr>
              <w:spacing w:line="360" w:lineRule="auto"/>
              <w:jc w:val="center"/>
              <w:rPr>
                <w:rFonts w:ascii="宋体" w:hAnsi="宋体" w:cs="宋体"/>
                <w:b/>
                <w:bCs/>
                <w:color w:val="auto"/>
                <w:sz w:val="22"/>
                <w:szCs w:val="22"/>
                <w:highlight w:val="none"/>
              </w:rPr>
            </w:pPr>
          </w:p>
        </w:tc>
        <w:tc>
          <w:tcPr>
            <w:tcW w:w="1575" w:type="dxa"/>
            <w:tcBorders>
              <w:tl2br w:val="nil"/>
              <w:tr2bl w:val="nil"/>
            </w:tcBorders>
            <w:noWrap w:val="0"/>
            <w:vAlign w:val="center"/>
          </w:tcPr>
          <w:p w14:paraId="13A7A75E">
            <w:pPr>
              <w:spacing w:line="360" w:lineRule="auto"/>
              <w:jc w:val="center"/>
              <w:rPr>
                <w:rFonts w:ascii="宋体" w:hAnsi="宋体" w:cs="宋体"/>
                <w:b/>
                <w:bCs/>
                <w:color w:val="auto"/>
                <w:sz w:val="22"/>
                <w:szCs w:val="22"/>
                <w:highlight w:val="none"/>
              </w:rPr>
            </w:pPr>
          </w:p>
        </w:tc>
        <w:tc>
          <w:tcPr>
            <w:tcW w:w="1212" w:type="dxa"/>
            <w:tcBorders>
              <w:tl2br w:val="nil"/>
              <w:tr2bl w:val="nil"/>
            </w:tcBorders>
            <w:noWrap w:val="0"/>
            <w:vAlign w:val="center"/>
          </w:tcPr>
          <w:p w14:paraId="4BF76CE5">
            <w:pPr>
              <w:spacing w:line="360" w:lineRule="auto"/>
              <w:jc w:val="center"/>
              <w:rPr>
                <w:rFonts w:ascii="宋体" w:hAnsi="宋体" w:cs="宋体"/>
                <w:b/>
                <w:bCs/>
                <w:color w:val="auto"/>
                <w:sz w:val="22"/>
                <w:szCs w:val="22"/>
                <w:highlight w:val="none"/>
              </w:rPr>
            </w:pPr>
          </w:p>
        </w:tc>
        <w:tc>
          <w:tcPr>
            <w:tcW w:w="1294" w:type="dxa"/>
            <w:tcBorders>
              <w:tl2br w:val="nil"/>
              <w:tr2bl w:val="nil"/>
            </w:tcBorders>
            <w:noWrap w:val="0"/>
            <w:vAlign w:val="center"/>
          </w:tcPr>
          <w:p w14:paraId="583516FA">
            <w:pPr>
              <w:spacing w:line="360" w:lineRule="auto"/>
              <w:jc w:val="center"/>
              <w:rPr>
                <w:rFonts w:ascii="宋体" w:hAnsi="宋体" w:cs="宋体"/>
                <w:b/>
                <w:bCs/>
                <w:color w:val="auto"/>
                <w:sz w:val="22"/>
                <w:szCs w:val="22"/>
                <w:highlight w:val="none"/>
              </w:rPr>
            </w:pPr>
          </w:p>
        </w:tc>
        <w:tc>
          <w:tcPr>
            <w:tcW w:w="2405" w:type="dxa"/>
            <w:tcBorders>
              <w:tl2br w:val="nil"/>
              <w:tr2bl w:val="nil"/>
            </w:tcBorders>
            <w:noWrap w:val="0"/>
            <w:vAlign w:val="center"/>
          </w:tcPr>
          <w:p w14:paraId="52156876">
            <w:pPr>
              <w:spacing w:line="360" w:lineRule="auto"/>
              <w:jc w:val="center"/>
              <w:rPr>
                <w:rFonts w:ascii="宋体" w:hAnsi="宋体" w:cs="宋体"/>
                <w:b/>
                <w:bCs/>
                <w:color w:val="auto"/>
                <w:sz w:val="22"/>
                <w:szCs w:val="22"/>
                <w:highlight w:val="none"/>
              </w:rPr>
            </w:pPr>
          </w:p>
        </w:tc>
      </w:tr>
      <w:tr w14:paraId="6A38C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2B2DF1F9">
            <w:pPr>
              <w:spacing w:line="360" w:lineRule="auto"/>
              <w:jc w:val="center"/>
              <w:rPr>
                <w:rFonts w:ascii="宋体" w:hAnsi="宋体" w:cs="宋体"/>
                <w:b/>
                <w:bCs/>
                <w:color w:val="auto"/>
                <w:sz w:val="22"/>
                <w:szCs w:val="22"/>
                <w:highlight w:val="none"/>
              </w:rPr>
            </w:pPr>
          </w:p>
        </w:tc>
        <w:tc>
          <w:tcPr>
            <w:tcW w:w="1914" w:type="dxa"/>
            <w:tcBorders>
              <w:tl2br w:val="nil"/>
              <w:tr2bl w:val="nil"/>
            </w:tcBorders>
            <w:noWrap w:val="0"/>
            <w:vAlign w:val="center"/>
          </w:tcPr>
          <w:p w14:paraId="546B1FAC">
            <w:pPr>
              <w:spacing w:line="360" w:lineRule="auto"/>
              <w:jc w:val="center"/>
              <w:rPr>
                <w:rFonts w:ascii="宋体" w:hAnsi="宋体" w:cs="宋体"/>
                <w:b/>
                <w:bCs/>
                <w:color w:val="auto"/>
                <w:sz w:val="22"/>
                <w:szCs w:val="22"/>
                <w:highlight w:val="none"/>
              </w:rPr>
            </w:pPr>
          </w:p>
        </w:tc>
        <w:tc>
          <w:tcPr>
            <w:tcW w:w="1575" w:type="dxa"/>
            <w:tcBorders>
              <w:tl2br w:val="nil"/>
              <w:tr2bl w:val="nil"/>
            </w:tcBorders>
            <w:noWrap w:val="0"/>
            <w:vAlign w:val="center"/>
          </w:tcPr>
          <w:p w14:paraId="71545CD0">
            <w:pPr>
              <w:spacing w:line="360" w:lineRule="auto"/>
              <w:jc w:val="center"/>
              <w:rPr>
                <w:rFonts w:ascii="宋体" w:hAnsi="宋体" w:cs="宋体"/>
                <w:b/>
                <w:bCs/>
                <w:color w:val="auto"/>
                <w:sz w:val="22"/>
                <w:szCs w:val="22"/>
                <w:highlight w:val="none"/>
              </w:rPr>
            </w:pPr>
          </w:p>
        </w:tc>
        <w:tc>
          <w:tcPr>
            <w:tcW w:w="1212" w:type="dxa"/>
            <w:tcBorders>
              <w:tl2br w:val="nil"/>
              <w:tr2bl w:val="nil"/>
            </w:tcBorders>
            <w:noWrap w:val="0"/>
            <w:vAlign w:val="center"/>
          </w:tcPr>
          <w:p w14:paraId="474537EE">
            <w:pPr>
              <w:spacing w:line="360" w:lineRule="auto"/>
              <w:jc w:val="center"/>
              <w:rPr>
                <w:rFonts w:ascii="宋体" w:hAnsi="宋体" w:cs="宋体"/>
                <w:b/>
                <w:bCs/>
                <w:color w:val="auto"/>
                <w:sz w:val="22"/>
                <w:szCs w:val="22"/>
                <w:highlight w:val="none"/>
              </w:rPr>
            </w:pPr>
          </w:p>
        </w:tc>
        <w:tc>
          <w:tcPr>
            <w:tcW w:w="1294" w:type="dxa"/>
            <w:tcBorders>
              <w:tl2br w:val="nil"/>
              <w:tr2bl w:val="nil"/>
            </w:tcBorders>
            <w:noWrap w:val="0"/>
            <w:vAlign w:val="center"/>
          </w:tcPr>
          <w:p w14:paraId="51725992">
            <w:pPr>
              <w:spacing w:line="360" w:lineRule="auto"/>
              <w:jc w:val="center"/>
              <w:rPr>
                <w:rFonts w:ascii="宋体" w:hAnsi="宋体" w:cs="宋体"/>
                <w:b/>
                <w:bCs/>
                <w:color w:val="auto"/>
                <w:sz w:val="22"/>
                <w:szCs w:val="22"/>
                <w:highlight w:val="none"/>
              </w:rPr>
            </w:pPr>
          </w:p>
        </w:tc>
        <w:tc>
          <w:tcPr>
            <w:tcW w:w="2405" w:type="dxa"/>
            <w:tcBorders>
              <w:tl2br w:val="nil"/>
              <w:tr2bl w:val="nil"/>
            </w:tcBorders>
            <w:noWrap w:val="0"/>
            <w:vAlign w:val="center"/>
          </w:tcPr>
          <w:p w14:paraId="4E030416">
            <w:pPr>
              <w:spacing w:line="360" w:lineRule="auto"/>
              <w:jc w:val="center"/>
              <w:rPr>
                <w:rFonts w:ascii="宋体" w:hAnsi="宋体" w:cs="宋体"/>
                <w:b/>
                <w:bCs/>
                <w:color w:val="auto"/>
                <w:sz w:val="22"/>
                <w:szCs w:val="22"/>
                <w:highlight w:val="none"/>
              </w:rPr>
            </w:pPr>
          </w:p>
        </w:tc>
      </w:tr>
      <w:tr w14:paraId="4E4B6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0954C0BA">
            <w:pPr>
              <w:spacing w:line="360" w:lineRule="auto"/>
              <w:jc w:val="center"/>
              <w:rPr>
                <w:rFonts w:ascii="宋体" w:hAnsi="宋体" w:cs="宋体"/>
                <w:b/>
                <w:bCs/>
                <w:color w:val="auto"/>
                <w:sz w:val="22"/>
                <w:szCs w:val="22"/>
                <w:highlight w:val="none"/>
              </w:rPr>
            </w:pPr>
          </w:p>
        </w:tc>
        <w:tc>
          <w:tcPr>
            <w:tcW w:w="1914" w:type="dxa"/>
            <w:tcBorders>
              <w:tl2br w:val="nil"/>
              <w:tr2bl w:val="nil"/>
            </w:tcBorders>
            <w:noWrap w:val="0"/>
            <w:vAlign w:val="center"/>
          </w:tcPr>
          <w:p w14:paraId="6506B18D">
            <w:pPr>
              <w:spacing w:line="360" w:lineRule="auto"/>
              <w:jc w:val="center"/>
              <w:rPr>
                <w:rFonts w:ascii="宋体" w:hAnsi="宋体" w:cs="宋体"/>
                <w:b/>
                <w:bCs/>
                <w:color w:val="auto"/>
                <w:sz w:val="22"/>
                <w:szCs w:val="22"/>
                <w:highlight w:val="none"/>
              </w:rPr>
            </w:pPr>
          </w:p>
        </w:tc>
        <w:tc>
          <w:tcPr>
            <w:tcW w:w="1575" w:type="dxa"/>
            <w:tcBorders>
              <w:tl2br w:val="nil"/>
              <w:tr2bl w:val="nil"/>
            </w:tcBorders>
            <w:noWrap w:val="0"/>
            <w:vAlign w:val="center"/>
          </w:tcPr>
          <w:p w14:paraId="009ED503">
            <w:pPr>
              <w:spacing w:line="360" w:lineRule="auto"/>
              <w:jc w:val="center"/>
              <w:rPr>
                <w:rFonts w:ascii="宋体" w:hAnsi="宋体" w:cs="宋体"/>
                <w:b/>
                <w:bCs/>
                <w:color w:val="auto"/>
                <w:sz w:val="22"/>
                <w:szCs w:val="22"/>
                <w:highlight w:val="none"/>
              </w:rPr>
            </w:pPr>
          </w:p>
        </w:tc>
        <w:tc>
          <w:tcPr>
            <w:tcW w:w="1212" w:type="dxa"/>
            <w:tcBorders>
              <w:tl2br w:val="nil"/>
              <w:tr2bl w:val="nil"/>
            </w:tcBorders>
            <w:noWrap w:val="0"/>
            <w:vAlign w:val="center"/>
          </w:tcPr>
          <w:p w14:paraId="11155F64">
            <w:pPr>
              <w:spacing w:line="360" w:lineRule="auto"/>
              <w:jc w:val="center"/>
              <w:rPr>
                <w:rFonts w:ascii="宋体" w:hAnsi="宋体" w:cs="宋体"/>
                <w:b/>
                <w:bCs/>
                <w:color w:val="auto"/>
                <w:sz w:val="22"/>
                <w:szCs w:val="22"/>
                <w:highlight w:val="none"/>
              </w:rPr>
            </w:pPr>
          </w:p>
        </w:tc>
        <w:tc>
          <w:tcPr>
            <w:tcW w:w="1294" w:type="dxa"/>
            <w:tcBorders>
              <w:tl2br w:val="nil"/>
              <w:tr2bl w:val="nil"/>
            </w:tcBorders>
            <w:noWrap w:val="0"/>
            <w:vAlign w:val="center"/>
          </w:tcPr>
          <w:p w14:paraId="7288430D">
            <w:pPr>
              <w:spacing w:line="360" w:lineRule="auto"/>
              <w:jc w:val="center"/>
              <w:rPr>
                <w:rFonts w:ascii="宋体" w:hAnsi="宋体" w:cs="宋体"/>
                <w:b/>
                <w:bCs/>
                <w:color w:val="auto"/>
                <w:sz w:val="22"/>
                <w:szCs w:val="22"/>
                <w:highlight w:val="none"/>
              </w:rPr>
            </w:pPr>
          </w:p>
        </w:tc>
        <w:tc>
          <w:tcPr>
            <w:tcW w:w="2405" w:type="dxa"/>
            <w:tcBorders>
              <w:tl2br w:val="nil"/>
              <w:tr2bl w:val="nil"/>
            </w:tcBorders>
            <w:noWrap w:val="0"/>
            <w:vAlign w:val="center"/>
          </w:tcPr>
          <w:p w14:paraId="2EBC85D2">
            <w:pPr>
              <w:spacing w:line="360" w:lineRule="auto"/>
              <w:jc w:val="center"/>
              <w:rPr>
                <w:rFonts w:ascii="宋体" w:hAnsi="宋体" w:cs="宋体"/>
                <w:b/>
                <w:bCs/>
                <w:color w:val="auto"/>
                <w:sz w:val="22"/>
                <w:szCs w:val="22"/>
                <w:highlight w:val="none"/>
              </w:rPr>
            </w:pPr>
          </w:p>
        </w:tc>
      </w:tr>
      <w:tr w14:paraId="0556D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213705F9">
            <w:pPr>
              <w:spacing w:line="360" w:lineRule="auto"/>
              <w:jc w:val="center"/>
              <w:rPr>
                <w:rFonts w:ascii="宋体" w:hAnsi="宋体" w:cs="宋体"/>
                <w:b/>
                <w:bCs/>
                <w:color w:val="auto"/>
                <w:sz w:val="22"/>
                <w:szCs w:val="22"/>
                <w:highlight w:val="none"/>
              </w:rPr>
            </w:pPr>
          </w:p>
        </w:tc>
        <w:tc>
          <w:tcPr>
            <w:tcW w:w="1914" w:type="dxa"/>
            <w:tcBorders>
              <w:tl2br w:val="nil"/>
              <w:tr2bl w:val="nil"/>
            </w:tcBorders>
            <w:noWrap w:val="0"/>
            <w:vAlign w:val="center"/>
          </w:tcPr>
          <w:p w14:paraId="4C6279CE">
            <w:pPr>
              <w:spacing w:line="360" w:lineRule="auto"/>
              <w:jc w:val="center"/>
              <w:rPr>
                <w:rFonts w:ascii="宋体" w:hAnsi="宋体" w:cs="宋体"/>
                <w:b/>
                <w:bCs/>
                <w:color w:val="auto"/>
                <w:sz w:val="22"/>
                <w:szCs w:val="22"/>
                <w:highlight w:val="none"/>
              </w:rPr>
            </w:pPr>
          </w:p>
        </w:tc>
        <w:tc>
          <w:tcPr>
            <w:tcW w:w="1575" w:type="dxa"/>
            <w:tcBorders>
              <w:tl2br w:val="nil"/>
              <w:tr2bl w:val="nil"/>
            </w:tcBorders>
            <w:noWrap w:val="0"/>
            <w:vAlign w:val="center"/>
          </w:tcPr>
          <w:p w14:paraId="589418CA">
            <w:pPr>
              <w:spacing w:line="360" w:lineRule="auto"/>
              <w:jc w:val="center"/>
              <w:rPr>
                <w:rFonts w:ascii="宋体" w:hAnsi="宋体" w:cs="宋体"/>
                <w:b/>
                <w:bCs/>
                <w:color w:val="auto"/>
                <w:sz w:val="22"/>
                <w:szCs w:val="22"/>
                <w:highlight w:val="none"/>
              </w:rPr>
            </w:pPr>
          </w:p>
        </w:tc>
        <w:tc>
          <w:tcPr>
            <w:tcW w:w="1212" w:type="dxa"/>
            <w:tcBorders>
              <w:tl2br w:val="nil"/>
              <w:tr2bl w:val="nil"/>
            </w:tcBorders>
            <w:noWrap w:val="0"/>
            <w:vAlign w:val="center"/>
          </w:tcPr>
          <w:p w14:paraId="03BA5C8E">
            <w:pPr>
              <w:spacing w:line="360" w:lineRule="auto"/>
              <w:jc w:val="center"/>
              <w:rPr>
                <w:rFonts w:ascii="宋体" w:hAnsi="宋体" w:cs="宋体"/>
                <w:b/>
                <w:bCs/>
                <w:color w:val="auto"/>
                <w:sz w:val="22"/>
                <w:szCs w:val="22"/>
                <w:highlight w:val="none"/>
              </w:rPr>
            </w:pPr>
          </w:p>
        </w:tc>
        <w:tc>
          <w:tcPr>
            <w:tcW w:w="1294" w:type="dxa"/>
            <w:tcBorders>
              <w:tl2br w:val="nil"/>
              <w:tr2bl w:val="nil"/>
            </w:tcBorders>
            <w:noWrap w:val="0"/>
            <w:vAlign w:val="center"/>
          </w:tcPr>
          <w:p w14:paraId="63FD61F1">
            <w:pPr>
              <w:spacing w:line="360" w:lineRule="auto"/>
              <w:jc w:val="center"/>
              <w:rPr>
                <w:rFonts w:ascii="宋体" w:hAnsi="宋体" w:cs="宋体"/>
                <w:b/>
                <w:bCs/>
                <w:color w:val="auto"/>
                <w:sz w:val="22"/>
                <w:szCs w:val="22"/>
                <w:highlight w:val="none"/>
              </w:rPr>
            </w:pPr>
          </w:p>
        </w:tc>
        <w:tc>
          <w:tcPr>
            <w:tcW w:w="2405" w:type="dxa"/>
            <w:tcBorders>
              <w:tl2br w:val="nil"/>
              <w:tr2bl w:val="nil"/>
            </w:tcBorders>
            <w:noWrap w:val="0"/>
            <w:vAlign w:val="center"/>
          </w:tcPr>
          <w:p w14:paraId="6568EAA5">
            <w:pPr>
              <w:spacing w:line="360" w:lineRule="auto"/>
              <w:jc w:val="center"/>
              <w:rPr>
                <w:rFonts w:ascii="宋体" w:hAnsi="宋体" w:cs="宋体"/>
                <w:b/>
                <w:bCs/>
                <w:color w:val="auto"/>
                <w:sz w:val="22"/>
                <w:szCs w:val="22"/>
                <w:highlight w:val="none"/>
              </w:rPr>
            </w:pPr>
          </w:p>
        </w:tc>
      </w:tr>
      <w:tr w14:paraId="1C066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42142381">
            <w:pPr>
              <w:spacing w:line="360" w:lineRule="auto"/>
              <w:jc w:val="center"/>
              <w:rPr>
                <w:rFonts w:ascii="宋体" w:hAnsi="宋体" w:cs="宋体"/>
                <w:b/>
                <w:bCs/>
                <w:color w:val="auto"/>
                <w:sz w:val="22"/>
                <w:szCs w:val="22"/>
                <w:highlight w:val="none"/>
              </w:rPr>
            </w:pPr>
          </w:p>
        </w:tc>
        <w:tc>
          <w:tcPr>
            <w:tcW w:w="1914" w:type="dxa"/>
            <w:tcBorders>
              <w:tl2br w:val="nil"/>
              <w:tr2bl w:val="nil"/>
            </w:tcBorders>
            <w:noWrap w:val="0"/>
            <w:vAlign w:val="center"/>
          </w:tcPr>
          <w:p w14:paraId="798E138A">
            <w:pPr>
              <w:spacing w:line="360" w:lineRule="auto"/>
              <w:jc w:val="center"/>
              <w:rPr>
                <w:rFonts w:ascii="宋体" w:hAnsi="宋体" w:cs="宋体"/>
                <w:b/>
                <w:bCs/>
                <w:color w:val="auto"/>
                <w:sz w:val="22"/>
                <w:szCs w:val="22"/>
                <w:highlight w:val="none"/>
              </w:rPr>
            </w:pPr>
          </w:p>
        </w:tc>
        <w:tc>
          <w:tcPr>
            <w:tcW w:w="1575" w:type="dxa"/>
            <w:tcBorders>
              <w:tl2br w:val="nil"/>
              <w:tr2bl w:val="nil"/>
            </w:tcBorders>
            <w:noWrap w:val="0"/>
            <w:vAlign w:val="center"/>
          </w:tcPr>
          <w:p w14:paraId="2B606315">
            <w:pPr>
              <w:spacing w:line="360" w:lineRule="auto"/>
              <w:jc w:val="center"/>
              <w:rPr>
                <w:rFonts w:ascii="宋体" w:hAnsi="宋体" w:cs="宋体"/>
                <w:b/>
                <w:bCs/>
                <w:color w:val="auto"/>
                <w:sz w:val="22"/>
                <w:szCs w:val="22"/>
                <w:highlight w:val="none"/>
              </w:rPr>
            </w:pPr>
          </w:p>
        </w:tc>
        <w:tc>
          <w:tcPr>
            <w:tcW w:w="1212" w:type="dxa"/>
            <w:tcBorders>
              <w:tl2br w:val="nil"/>
              <w:tr2bl w:val="nil"/>
            </w:tcBorders>
            <w:noWrap w:val="0"/>
            <w:vAlign w:val="center"/>
          </w:tcPr>
          <w:p w14:paraId="307CD596">
            <w:pPr>
              <w:spacing w:line="360" w:lineRule="auto"/>
              <w:jc w:val="center"/>
              <w:rPr>
                <w:rFonts w:ascii="宋体" w:hAnsi="宋体" w:cs="宋体"/>
                <w:b/>
                <w:bCs/>
                <w:color w:val="auto"/>
                <w:sz w:val="22"/>
                <w:szCs w:val="22"/>
                <w:highlight w:val="none"/>
              </w:rPr>
            </w:pPr>
          </w:p>
        </w:tc>
        <w:tc>
          <w:tcPr>
            <w:tcW w:w="1294" w:type="dxa"/>
            <w:tcBorders>
              <w:tl2br w:val="nil"/>
              <w:tr2bl w:val="nil"/>
            </w:tcBorders>
            <w:noWrap w:val="0"/>
            <w:vAlign w:val="center"/>
          </w:tcPr>
          <w:p w14:paraId="0D71BFB7">
            <w:pPr>
              <w:spacing w:line="360" w:lineRule="auto"/>
              <w:jc w:val="center"/>
              <w:rPr>
                <w:rFonts w:ascii="宋体" w:hAnsi="宋体" w:cs="宋体"/>
                <w:b/>
                <w:bCs/>
                <w:color w:val="auto"/>
                <w:sz w:val="22"/>
                <w:szCs w:val="22"/>
                <w:highlight w:val="none"/>
              </w:rPr>
            </w:pPr>
          </w:p>
        </w:tc>
        <w:tc>
          <w:tcPr>
            <w:tcW w:w="2405" w:type="dxa"/>
            <w:tcBorders>
              <w:tl2br w:val="nil"/>
              <w:tr2bl w:val="nil"/>
            </w:tcBorders>
            <w:noWrap w:val="0"/>
            <w:vAlign w:val="center"/>
          </w:tcPr>
          <w:p w14:paraId="4EE80EEC">
            <w:pPr>
              <w:spacing w:line="360" w:lineRule="auto"/>
              <w:jc w:val="center"/>
              <w:rPr>
                <w:rFonts w:ascii="宋体" w:hAnsi="宋体" w:cs="宋体"/>
                <w:b/>
                <w:bCs/>
                <w:color w:val="auto"/>
                <w:sz w:val="22"/>
                <w:szCs w:val="22"/>
                <w:highlight w:val="none"/>
              </w:rPr>
            </w:pPr>
          </w:p>
        </w:tc>
      </w:tr>
      <w:tr w14:paraId="6FC7D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123424B0">
            <w:pPr>
              <w:spacing w:line="360" w:lineRule="auto"/>
              <w:jc w:val="center"/>
              <w:rPr>
                <w:rFonts w:ascii="宋体" w:hAnsi="宋体" w:cs="宋体"/>
                <w:b/>
                <w:bCs/>
                <w:color w:val="auto"/>
                <w:sz w:val="22"/>
                <w:szCs w:val="22"/>
                <w:highlight w:val="none"/>
              </w:rPr>
            </w:pPr>
          </w:p>
        </w:tc>
        <w:tc>
          <w:tcPr>
            <w:tcW w:w="1914" w:type="dxa"/>
            <w:tcBorders>
              <w:tl2br w:val="nil"/>
              <w:tr2bl w:val="nil"/>
            </w:tcBorders>
            <w:noWrap w:val="0"/>
            <w:vAlign w:val="center"/>
          </w:tcPr>
          <w:p w14:paraId="5DE0A040">
            <w:pPr>
              <w:spacing w:line="360" w:lineRule="auto"/>
              <w:jc w:val="center"/>
              <w:rPr>
                <w:rFonts w:ascii="宋体" w:hAnsi="宋体" w:cs="宋体"/>
                <w:b/>
                <w:bCs/>
                <w:color w:val="auto"/>
                <w:sz w:val="22"/>
                <w:szCs w:val="22"/>
                <w:highlight w:val="none"/>
              </w:rPr>
            </w:pPr>
          </w:p>
        </w:tc>
        <w:tc>
          <w:tcPr>
            <w:tcW w:w="1575" w:type="dxa"/>
            <w:tcBorders>
              <w:tl2br w:val="nil"/>
              <w:tr2bl w:val="nil"/>
            </w:tcBorders>
            <w:noWrap w:val="0"/>
            <w:vAlign w:val="center"/>
          </w:tcPr>
          <w:p w14:paraId="70795572">
            <w:pPr>
              <w:spacing w:line="360" w:lineRule="auto"/>
              <w:jc w:val="center"/>
              <w:rPr>
                <w:rFonts w:ascii="宋体" w:hAnsi="宋体" w:cs="宋体"/>
                <w:b/>
                <w:bCs/>
                <w:color w:val="auto"/>
                <w:sz w:val="22"/>
                <w:szCs w:val="22"/>
                <w:highlight w:val="none"/>
              </w:rPr>
            </w:pPr>
          </w:p>
        </w:tc>
        <w:tc>
          <w:tcPr>
            <w:tcW w:w="1212" w:type="dxa"/>
            <w:tcBorders>
              <w:tl2br w:val="nil"/>
              <w:tr2bl w:val="nil"/>
            </w:tcBorders>
            <w:noWrap w:val="0"/>
            <w:vAlign w:val="center"/>
          </w:tcPr>
          <w:p w14:paraId="14FF96D6">
            <w:pPr>
              <w:spacing w:line="360" w:lineRule="auto"/>
              <w:jc w:val="center"/>
              <w:rPr>
                <w:rFonts w:ascii="宋体" w:hAnsi="宋体" w:cs="宋体"/>
                <w:b/>
                <w:bCs/>
                <w:color w:val="auto"/>
                <w:sz w:val="22"/>
                <w:szCs w:val="22"/>
                <w:highlight w:val="none"/>
              </w:rPr>
            </w:pPr>
          </w:p>
        </w:tc>
        <w:tc>
          <w:tcPr>
            <w:tcW w:w="1294" w:type="dxa"/>
            <w:tcBorders>
              <w:tl2br w:val="nil"/>
              <w:tr2bl w:val="nil"/>
            </w:tcBorders>
            <w:noWrap w:val="0"/>
            <w:vAlign w:val="center"/>
          </w:tcPr>
          <w:p w14:paraId="6FA3D6F3">
            <w:pPr>
              <w:spacing w:line="360" w:lineRule="auto"/>
              <w:jc w:val="center"/>
              <w:rPr>
                <w:rFonts w:ascii="宋体" w:hAnsi="宋体" w:cs="宋体"/>
                <w:b/>
                <w:bCs/>
                <w:color w:val="auto"/>
                <w:sz w:val="22"/>
                <w:szCs w:val="22"/>
                <w:highlight w:val="none"/>
              </w:rPr>
            </w:pPr>
          </w:p>
        </w:tc>
        <w:tc>
          <w:tcPr>
            <w:tcW w:w="2405" w:type="dxa"/>
            <w:tcBorders>
              <w:tl2br w:val="nil"/>
              <w:tr2bl w:val="nil"/>
            </w:tcBorders>
            <w:noWrap w:val="0"/>
            <w:vAlign w:val="center"/>
          </w:tcPr>
          <w:p w14:paraId="7EF5F416">
            <w:pPr>
              <w:spacing w:line="360" w:lineRule="auto"/>
              <w:jc w:val="center"/>
              <w:rPr>
                <w:rFonts w:ascii="宋体" w:hAnsi="宋体" w:cs="宋体"/>
                <w:b/>
                <w:bCs/>
                <w:color w:val="auto"/>
                <w:sz w:val="22"/>
                <w:szCs w:val="22"/>
                <w:highlight w:val="none"/>
              </w:rPr>
            </w:pPr>
          </w:p>
        </w:tc>
      </w:tr>
      <w:tr w14:paraId="60605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1" w:type="dxa"/>
            <w:tcBorders>
              <w:tl2br w:val="nil"/>
              <w:tr2bl w:val="nil"/>
            </w:tcBorders>
            <w:noWrap w:val="0"/>
            <w:vAlign w:val="center"/>
          </w:tcPr>
          <w:p w14:paraId="01FAE3E9">
            <w:pPr>
              <w:spacing w:line="360" w:lineRule="auto"/>
              <w:jc w:val="center"/>
              <w:rPr>
                <w:rFonts w:ascii="宋体" w:hAnsi="宋体" w:cs="宋体"/>
                <w:b/>
                <w:bCs/>
                <w:color w:val="auto"/>
                <w:sz w:val="22"/>
                <w:szCs w:val="22"/>
                <w:highlight w:val="none"/>
              </w:rPr>
            </w:pPr>
          </w:p>
        </w:tc>
        <w:tc>
          <w:tcPr>
            <w:tcW w:w="1914" w:type="dxa"/>
            <w:tcBorders>
              <w:tl2br w:val="nil"/>
              <w:tr2bl w:val="nil"/>
            </w:tcBorders>
            <w:noWrap w:val="0"/>
            <w:vAlign w:val="center"/>
          </w:tcPr>
          <w:p w14:paraId="5E716BAC">
            <w:pPr>
              <w:spacing w:line="360" w:lineRule="auto"/>
              <w:jc w:val="center"/>
              <w:rPr>
                <w:rFonts w:ascii="宋体" w:hAnsi="宋体" w:cs="宋体"/>
                <w:b/>
                <w:bCs/>
                <w:color w:val="auto"/>
                <w:sz w:val="22"/>
                <w:szCs w:val="22"/>
                <w:highlight w:val="none"/>
              </w:rPr>
            </w:pPr>
          </w:p>
        </w:tc>
        <w:tc>
          <w:tcPr>
            <w:tcW w:w="1575" w:type="dxa"/>
            <w:tcBorders>
              <w:tl2br w:val="nil"/>
              <w:tr2bl w:val="nil"/>
            </w:tcBorders>
            <w:noWrap w:val="0"/>
            <w:vAlign w:val="center"/>
          </w:tcPr>
          <w:p w14:paraId="310375C2">
            <w:pPr>
              <w:spacing w:line="360" w:lineRule="auto"/>
              <w:jc w:val="center"/>
              <w:rPr>
                <w:rFonts w:ascii="宋体" w:hAnsi="宋体" w:cs="宋体"/>
                <w:b/>
                <w:bCs/>
                <w:color w:val="auto"/>
                <w:sz w:val="22"/>
                <w:szCs w:val="22"/>
                <w:highlight w:val="none"/>
              </w:rPr>
            </w:pPr>
          </w:p>
        </w:tc>
        <w:tc>
          <w:tcPr>
            <w:tcW w:w="1212" w:type="dxa"/>
            <w:tcBorders>
              <w:tl2br w:val="nil"/>
              <w:tr2bl w:val="nil"/>
            </w:tcBorders>
            <w:noWrap w:val="0"/>
            <w:vAlign w:val="center"/>
          </w:tcPr>
          <w:p w14:paraId="4438D9DA">
            <w:pPr>
              <w:spacing w:line="360" w:lineRule="auto"/>
              <w:jc w:val="center"/>
              <w:rPr>
                <w:rFonts w:ascii="宋体" w:hAnsi="宋体" w:cs="宋体"/>
                <w:b/>
                <w:bCs/>
                <w:color w:val="auto"/>
                <w:sz w:val="22"/>
                <w:szCs w:val="22"/>
                <w:highlight w:val="none"/>
              </w:rPr>
            </w:pPr>
          </w:p>
        </w:tc>
        <w:tc>
          <w:tcPr>
            <w:tcW w:w="1294" w:type="dxa"/>
            <w:tcBorders>
              <w:tl2br w:val="nil"/>
              <w:tr2bl w:val="nil"/>
            </w:tcBorders>
            <w:noWrap w:val="0"/>
            <w:vAlign w:val="center"/>
          </w:tcPr>
          <w:p w14:paraId="21B5EEAE">
            <w:pPr>
              <w:spacing w:line="360" w:lineRule="auto"/>
              <w:jc w:val="center"/>
              <w:rPr>
                <w:rFonts w:ascii="宋体" w:hAnsi="宋体" w:cs="宋体"/>
                <w:b/>
                <w:bCs/>
                <w:color w:val="auto"/>
                <w:sz w:val="22"/>
                <w:szCs w:val="22"/>
                <w:highlight w:val="none"/>
              </w:rPr>
            </w:pPr>
          </w:p>
        </w:tc>
        <w:tc>
          <w:tcPr>
            <w:tcW w:w="2405" w:type="dxa"/>
            <w:tcBorders>
              <w:tl2br w:val="nil"/>
              <w:tr2bl w:val="nil"/>
            </w:tcBorders>
            <w:noWrap w:val="0"/>
            <w:vAlign w:val="center"/>
          </w:tcPr>
          <w:p w14:paraId="433BE392">
            <w:pPr>
              <w:spacing w:line="360" w:lineRule="auto"/>
              <w:jc w:val="center"/>
              <w:rPr>
                <w:rFonts w:ascii="宋体" w:hAnsi="宋体" w:cs="宋体"/>
                <w:b/>
                <w:bCs/>
                <w:color w:val="auto"/>
                <w:sz w:val="22"/>
                <w:szCs w:val="22"/>
                <w:highlight w:val="none"/>
              </w:rPr>
            </w:pPr>
          </w:p>
        </w:tc>
      </w:tr>
    </w:tbl>
    <w:p w14:paraId="3C21A6D9">
      <w:pPr>
        <w:spacing w:line="440" w:lineRule="exact"/>
        <w:rPr>
          <w:rFonts w:ascii="宋体" w:hAnsi="宋体" w:cs="宋体"/>
          <w:b/>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b/>
          <w:color w:val="auto"/>
          <w:sz w:val="22"/>
          <w:szCs w:val="22"/>
          <w:highlight w:val="none"/>
        </w:rPr>
        <w:t>类似服务业绩需提供</w:t>
      </w:r>
      <w:r>
        <w:rPr>
          <w:rFonts w:hint="eastAsia" w:ascii="宋体" w:hAnsi="宋体" w:cs="宋体"/>
          <w:b/>
          <w:bCs/>
          <w:color w:val="auto"/>
          <w:sz w:val="22"/>
          <w:szCs w:val="22"/>
          <w:highlight w:val="none"/>
        </w:rPr>
        <w:t>合同或业主证明的复制件，加盖单位公章</w:t>
      </w:r>
      <w:r>
        <w:rPr>
          <w:rFonts w:hint="eastAsia" w:ascii="宋体" w:hAnsi="宋体" w:cs="宋体"/>
          <w:b/>
          <w:color w:val="auto"/>
          <w:sz w:val="22"/>
          <w:szCs w:val="22"/>
          <w:highlight w:val="none"/>
        </w:rPr>
        <w:t>。</w:t>
      </w:r>
    </w:p>
    <w:p w14:paraId="065BD54D">
      <w:pPr>
        <w:spacing w:line="360" w:lineRule="auto"/>
        <w:ind w:firstLine="4400" w:firstLineChars="2000"/>
        <w:rPr>
          <w:rFonts w:ascii="宋体" w:hAnsi="宋体" w:cs="宋体"/>
          <w:color w:val="auto"/>
          <w:sz w:val="22"/>
          <w:szCs w:val="22"/>
          <w:highlight w:val="none"/>
        </w:rPr>
      </w:pPr>
    </w:p>
    <w:p w14:paraId="6E34508B">
      <w:pPr>
        <w:spacing w:line="360" w:lineRule="auto"/>
        <w:ind w:firstLine="4400" w:firstLineChars="2000"/>
        <w:rPr>
          <w:rFonts w:ascii="宋体" w:hAnsi="宋体" w:cs="宋体"/>
          <w:color w:val="auto"/>
          <w:sz w:val="22"/>
          <w:szCs w:val="22"/>
          <w:highlight w:val="none"/>
        </w:rPr>
      </w:pPr>
    </w:p>
    <w:p w14:paraId="10E8C2B5">
      <w:pPr>
        <w:spacing w:line="360" w:lineRule="auto"/>
        <w:ind w:firstLine="4800" w:firstLineChars="2000"/>
        <w:rPr>
          <w:rFonts w:ascii="宋体" w:hAnsi="宋体" w:cs="宋体"/>
          <w:color w:val="auto"/>
          <w:highlight w:val="none"/>
        </w:rPr>
      </w:pPr>
    </w:p>
    <w:p w14:paraId="2C5997F4">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投标供应商名称（盖单位公章）：</w:t>
      </w:r>
    </w:p>
    <w:p w14:paraId="6FF56726">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法定代表人（或单位负责人）或其授权代表（签字或盖章）：</w:t>
      </w:r>
    </w:p>
    <w:p w14:paraId="575CE635">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0876FDC1">
      <w:pPr>
        <w:spacing w:line="360" w:lineRule="auto"/>
        <w:ind w:firstLine="4800" w:firstLineChars="2000"/>
        <w:rPr>
          <w:rFonts w:ascii="宋体" w:hAnsi="宋体" w:cs="宋体"/>
          <w:color w:val="auto"/>
          <w:highlight w:val="none"/>
        </w:rPr>
      </w:pPr>
    </w:p>
    <w:p w14:paraId="42C86EEF">
      <w:pPr>
        <w:spacing w:line="360" w:lineRule="auto"/>
        <w:ind w:firstLine="4800" w:firstLineChars="2000"/>
        <w:rPr>
          <w:rFonts w:ascii="宋体" w:hAnsi="宋体" w:cs="宋体"/>
          <w:color w:val="auto"/>
          <w:highlight w:val="none"/>
        </w:rPr>
      </w:pPr>
    </w:p>
    <w:p w14:paraId="58E9A26C">
      <w:pPr>
        <w:spacing w:after="120"/>
        <w:ind w:firstLine="240" w:firstLineChars="100"/>
        <w:rPr>
          <w:rFonts w:ascii="Arial" w:hAnsi="Arial"/>
          <w:color w:val="auto"/>
          <w:highlight w:val="none"/>
        </w:rPr>
      </w:pPr>
    </w:p>
    <w:p w14:paraId="1003CC30">
      <w:pPr>
        <w:spacing w:line="360" w:lineRule="auto"/>
        <w:rPr>
          <w:rFonts w:ascii="宋体" w:hAnsi="宋体" w:cs="宋体"/>
          <w:color w:val="auto"/>
          <w:highlight w:val="none"/>
        </w:rPr>
      </w:pPr>
      <w:r>
        <w:rPr>
          <w:rFonts w:hint="eastAsia" w:ascii="宋体" w:hAnsi="宋体" w:cs="宋体"/>
          <w:b/>
          <w:bCs/>
          <w:color w:val="auto"/>
          <w:sz w:val="22"/>
          <w:szCs w:val="22"/>
          <w:highlight w:val="none"/>
        </w:rPr>
        <w:t>附件九</w:t>
      </w:r>
      <w:r>
        <w:rPr>
          <w:rFonts w:hint="eastAsia" w:ascii="宋体" w:hAnsi="宋体" w:cs="宋体"/>
          <w:color w:val="auto"/>
          <w:highlight w:val="none"/>
        </w:rPr>
        <w:t xml:space="preserve">  </w:t>
      </w:r>
    </w:p>
    <w:p w14:paraId="07D2255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（1）项目负责人情况表</w:t>
      </w:r>
    </w:p>
    <w:p w14:paraId="6C666BF6">
      <w:pPr>
        <w:tabs>
          <w:tab w:val="left" w:pos="162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采购项目名称：                                              项目编号： </w:t>
      </w:r>
    </w:p>
    <w:tbl>
      <w:tblPr>
        <w:tblStyle w:val="24"/>
        <w:tblW w:w="922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755"/>
        <w:gridCol w:w="1276"/>
        <w:gridCol w:w="1690"/>
        <w:gridCol w:w="1401"/>
        <w:gridCol w:w="1988"/>
      </w:tblGrid>
      <w:tr w14:paraId="2B510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15" w:type="dxa"/>
            <w:tcBorders>
              <w:tl2br w:val="nil"/>
              <w:tr2bl w:val="nil"/>
            </w:tcBorders>
            <w:noWrap w:val="0"/>
            <w:vAlign w:val="center"/>
          </w:tcPr>
          <w:p w14:paraId="1DAD1405">
            <w:pPr>
              <w:tabs>
                <w:tab w:val="left" w:pos="1620"/>
              </w:tabs>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姓  名</w:t>
            </w:r>
          </w:p>
        </w:tc>
        <w:tc>
          <w:tcPr>
            <w:tcW w:w="1755" w:type="dxa"/>
            <w:tcBorders>
              <w:tl2br w:val="nil"/>
              <w:tr2bl w:val="nil"/>
            </w:tcBorders>
            <w:noWrap w:val="0"/>
            <w:vAlign w:val="center"/>
          </w:tcPr>
          <w:p w14:paraId="033E8D09">
            <w:pPr>
              <w:tabs>
                <w:tab w:val="left" w:pos="1620"/>
              </w:tabs>
              <w:spacing w:line="360" w:lineRule="auto"/>
              <w:jc w:val="center"/>
              <w:rPr>
                <w:rFonts w:ascii="宋体" w:hAnsi="宋体" w:cs="宋体"/>
                <w:color w:val="auto"/>
                <w:sz w:val="22"/>
                <w:szCs w:val="22"/>
                <w:highlight w:val="none"/>
              </w:rPr>
            </w:pPr>
          </w:p>
        </w:tc>
        <w:tc>
          <w:tcPr>
            <w:tcW w:w="1276" w:type="dxa"/>
            <w:tcBorders>
              <w:tl2br w:val="nil"/>
              <w:tr2bl w:val="nil"/>
            </w:tcBorders>
            <w:noWrap w:val="0"/>
            <w:vAlign w:val="center"/>
          </w:tcPr>
          <w:p w14:paraId="0FFD9D45">
            <w:pPr>
              <w:tabs>
                <w:tab w:val="left" w:pos="1620"/>
              </w:tabs>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性  别</w:t>
            </w:r>
          </w:p>
        </w:tc>
        <w:tc>
          <w:tcPr>
            <w:tcW w:w="1690" w:type="dxa"/>
            <w:tcBorders>
              <w:tl2br w:val="nil"/>
              <w:tr2bl w:val="nil"/>
            </w:tcBorders>
            <w:noWrap w:val="0"/>
            <w:vAlign w:val="center"/>
          </w:tcPr>
          <w:p w14:paraId="6DFCB79C">
            <w:pPr>
              <w:tabs>
                <w:tab w:val="left" w:pos="1620"/>
              </w:tabs>
              <w:spacing w:line="360" w:lineRule="auto"/>
              <w:jc w:val="center"/>
              <w:rPr>
                <w:rFonts w:ascii="宋体" w:hAnsi="宋体" w:cs="宋体"/>
                <w:color w:val="auto"/>
                <w:sz w:val="22"/>
                <w:szCs w:val="22"/>
                <w:highlight w:val="none"/>
              </w:rPr>
            </w:pPr>
          </w:p>
        </w:tc>
        <w:tc>
          <w:tcPr>
            <w:tcW w:w="1401" w:type="dxa"/>
            <w:tcBorders>
              <w:tl2br w:val="nil"/>
              <w:tr2bl w:val="nil"/>
            </w:tcBorders>
            <w:noWrap w:val="0"/>
            <w:vAlign w:val="center"/>
          </w:tcPr>
          <w:p w14:paraId="237D71C6">
            <w:pPr>
              <w:tabs>
                <w:tab w:val="left" w:pos="1620"/>
              </w:tabs>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年 龄</w:t>
            </w:r>
          </w:p>
        </w:tc>
        <w:tc>
          <w:tcPr>
            <w:tcW w:w="1988" w:type="dxa"/>
            <w:tcBorders>
              <w:tl2br w:val="nil"/>
              <w:tr2bl w:val="nil"/>
            </w:tcBorders>
            <w:noWrap w:val="0"/>
            <w:vAlign w:val="center"/>
          </w:tcPr>
          <w:p w14:paraId="13DA52C2">
            <w:pPr>
              <w:tabs>
                <w:tab w:val="left" w:pos="1620"/>
              </w:tabs>
              <w:spacing w:line="360" w:lineRule="auto"/>
              <w:jc w:val="center"/>
              <w:rPr>
                <w:rFonts w:ascii="宋体" w:hAnsi="宋体" w:cs="宋体"/>
                <w:color w:val="auto"/>
                <w:sz w:val="22"/>
                <w:szCs w:val="22"/>
                <w:highlight w:val="none"/>
              </w:rPr>
            </w:pPr>
          </w:p>
        </w:tc>
      </w:tr>
      <w:tr w14:paraId="27D1D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15" w:type="dxa"/>
            <w:tcBorders>
              <w:tl2br w:val="nil"/>
              <w:tr2bl w:val="nil"/>
            </w:tcBorders>
            <w:noWrap w:val="0"/>
            <w:vAlign w:val="center"/>
          </w:tcPr>
          <w:p w14:paraId="0E91DD48">
            <w:pPr>
              <w:tabs>
                <w:tab w:val="left" w:pos="1620"/>
              </w:tabs>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学 历</w:t>
            </w:r>
          </w:p>
        </w:tc>
        <w:tc>
          <w:tcPr>
            <w:tcW w:w="1755" w:type="dxa"/>
            <w:tcBorders>
              <w:tl2br w:val="nil"/>
              <w:tr2bl w:val="nil"/>
            </w:tcBorders>
            <w:noWrap w:val="0"/>
            <w:vAlign w:val="center"/>
          </w:tcPr>
          <w:p w14:paraId="03CC021D">
            <w:pPr>
              <w:tabs>
                <w:tab w:val="left" w:pos="1620"/>
              </w:tabs>
              <w:spacing w:line="360" w:lineRule="auto"/>
              <w:jc w:val="center"/>
              <w:rPr>
                <w:rFonts w:ascii="宋体" w:hAnsi="宋体" w:cs="宋体"/>
                <w:color w:val="auto"/>
                <w:sz w:val="22"/>
                <w:szCs w:val="22"/>
                <w:highlight w:val="none"/>
              </w:rPr>
            </w:pPr>
          </w:p>
        </w:tc>
        <w:tc>
          <w:tcPr>
            <w:tcW w:w="1276" w:type="dxa"/>
            <w:tcBorders>
              <w:tl2br w:val="nil"/>
              <w:tr2bl w:val="nil"/>
            </w:tcBorders>
            <w:noWrap w:val="0"/>
            <w:vAlign w:val="center"/>
          </w:tcPr>
          <w:p w14:paraId="213F8841">
            <w:pPr>
              <w:tabs>
                <w:tab w:val="left" w:pos="1620"/>
              </w:tabs>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专业</w:t>
            </w:r>
          </w:p>
        </w:tc>
        <w:tc>
          <w:tcPr>
            <w:tcW w:w="1690" w:type="dxa"/>
            <w:tcBorders>
              <w:tl2br w:val="nil"/>
              <w:tr2bl w:val="nil"/>
            </w:tcBorders>
            <w:noWrap w:val="0"/>
            <w:vAlign w:val="center"/>
          </w:tcPr>
          <w:p w14:paraId="09B7D7FB">
            <w:pPr>
              <w:tabs>
                <w:tab w:val="left" w:pos="1620"/>
              </w:tabs>
              <w:spacing w:line="360" w:lineRule="auto"/>
              <w:jc w:val="center"/>
              <w:rPr>
                <w:rFonts w:ascii="宋体" w:hAnsi="宋体" w:cs="宋体"/>
                <w:color w:val="auto"/>
                <w:sz w:val="22"/>
                <w:szCs w:val="22"/>
                <w:highlight w:val="none"/>
              </w:rPr>
            </w:pPr>
          </w:p>
        </w:tc>
        <w:tc>
          <w:tcPr>
            <w:tcW w:w="1401" w:type="dxa"/>
            <w:tcBorders>
              <w:tl2br w:val="nil"/>
              <w:tr2bl w:val="nil"/>
            </w:tcBorders>
            <w:noWrap w:val="0"/>
            <w:vAlign w:val="center"/>
          </w:tcPr>
          <w:p w14:paraId="553C9AA6">
            <w:pPr>
              <w:tabs>
                <w:tab w:val="left" w:pos="1620"/>
              </w:tabs>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职称/资格</w:t>
            </w:r>
          </w:p>
        </w:tc>
        <w:tc>
          <w:tcPr>
            <w:tcW w:w="1988" w:type="dxa"/>
            <w:tcBorders>
              <w:tl2br w:val="nil"/>
              <w:tr2bl w:val="nil"/>
            </w:tcBorders>
            <w:noWrap w:val="0"/>
            <w:vAlign w:val="center"/>
          </w:tcPr>
          <w:p w14:paraId="2AE2A4C4">
            <w:pPr>
              <w:tabs>
                <w:tab w:val="left" w:pos="1620"/>
              </w:tabs>
              <w:spacing w:line="360" w:lineRule="auto"/>
              <w:jc w:val="center"/>
              <w:rPr>
                <w:rFonts w:ascii="宋体" w:hAnsi="宋体" w:cs="宋体"/>
                <w:color w:val="auto"/>
                <w:sz w:val="22"/>
                <w:szCs w:val="22"/>
                <w:highlight w:val="none"/>
              </w:rPr>
            </w:pPr>
          </w:p>
        </w:tc>
      </w:tr>
      <w:tr w14:paraId="17AD1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15" w:type="dxa"/>
            <w:tcBorders>
              <w:tl2br w:val="nil"/>
              <w:tr2bl w:val="nil"/>
            </w:tcBorders>
            <w:noWrap w:val="0"/>
            <w:vAlign w:val="center"/>
          </w:tcPr>
          <w:p w14:paraId="25A96F3E">
            <w:pPr>
              <w:tabs>
                <w:tab w:val="left" w:pos="1620"/>
              </w:tabs>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曾获荣誉</w:t>
            </w:r>
          </w:p>
        </w:tc>
        <w:tc>
          <w:tcPr>
            <w:tcW w:w="4721" w:type="dxa"/>
            <w:gridSpan w:val="3"/>
            <w:tcBorders>
              <w:tl2br w:val="nil"/>
              <w:tr2bl w:val="nil"/>
            </w:tcBorders>
            <w:noWrap w:val="0"/>
            <w:vAlign w:val="center"/>
          </w:tcPr>
          <w:p w14:paraId="619B3B64">
            <w:pPr>
              <w:tabs>
                <w:tab w:val="left" w:pos="1620"/>
              </w:tabs>
              <w:spacing w:line="360" w:lineRule="auto"/>
              <w:jc w:val="center"/>
              <w:rPr>
                <w:rFonts w:ascii="宋体" w:hAnsi="宋体" w:cs="宋体"/>
                <w:color w:val="auto"/>
                <w:sz w:val="22"/>
                <w:szCs w:val="22"/>
                <w:highlight w:val="none"/>
              </w:rPr>
            </w:pPr>
          </w:p>
        </w:tc>
        <w:tc>
          <w:tcPr>
            <w:tcW w:w="1401" w:type="dxa"/>
            <w:tcBorders>
              <w:tl2br w:val="nil"/>
              <w:tr2bl w:val="nil"/>
            </w:tcBorders>
            <w:noWrap w:val="0"/>
            <w:vAlign w:val="center"/>
          </w:tcPr>
          <w:p w14:paraId="75298E58">
            <w:pPr>
              <w:tabs>
                <w:tab w:val="left" w:pos="1620"/>
              </w:tabs>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c>
          <w:tcPr>
            <w:tcW w:w="1988" w:type="dxa"/>
            <w:tcBorders>
              <w:tl2br w:val="nil"/>
              <w:tr2bl w:val="nil"/>
            </w:tcBorders>
            <w:noWrap w:val="0"/>
            <w:vAlign w:val="center"/>
          </w:tcPr>
          <w:p w14:paraId="43F3C3EB">
            <w:pPr>
              <w:tabs>
                <w:tab w:val="left" w:pos="1620"/>
              </w:tabs>
              <w:spacing w:line="360" w:lineRule="auto"/>
              <w:jc w:val="center"/>
              <w:rPr>
                <w:rFonts w:ascii="宋体" w:hAnsi="宋体" w:cs="宋体"/>
                <w:color w:val="auto"/>
                <w:sz w:val="22"/>
                <w:szCs w:val="22"/>
                <w:highlight w:val="none"/>
              </w:rPr>
            </w:pPr>
          </w:p>
        </w:tc>
      </w:tr>
      <w:tr w14:paraId="5BEC1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4" w:hRule="atLeast"/>
        </w:trPr>
        <w:tc>
          <w:tcPr>
            <w:tcW w:w="9225" w:type="dxa"/>
            <w:gridSpan w:val="6"/>
            <w:tcBorders>
              <w:tl2br w:val="nil"/>
              <w:tr2bl w:val="nil"/>
            </w:tcBorders>
            <w:noWrap w:val="0"/>
            <w:vAlign w:val="top"/>
          </w:tcPr>
          <w:p w14:paraId="3877C4EF">
            <w:pPr>
              <w:tabs>
                <w:tab w:val="left" w:pos="1620"/>
              </w:tabs>
              <w:spacing w:before="120" w:beforeLines="50" w:line="360" w:lineRule="auto"/>
              <w:rPr>
                <w:rFonts w:ascii="宋体" w:hAnsi="宋体" w:cs="宋体"/>
                <w:color w:val="auto"/>
                <w:sz w:val="22"/>
                <w:szCs w:val="22"/>
                <w:highlight w:val="none"/>
              </w:rPr>
            </w:pPr>
            <w:r>
              <w:rPr>
                <w:rFonts w:hint="eastAsia" w:ascii="宋体" w:hAnsi="宋体" w:cs="宋体"/>
                <w:color w:val="auto"/>
                <w:sz w:val="22"/>
                <w:szCs w:val="22"/>
                <w:highlight w:val="none"/>
              </w:rPr>
              <w:t>近五年从事相关工作经历及业绩：</w:t>
            </w:r>
          </w:p>
        </w:tc>
      </w:tr>
    </w:tbl>
    <w:p w14:paraId="338A78E3">
      <w:pPr>
        <w:keepNext w:val="0"/>
        <w:keepLines w:val="0"/>
        <w:pageBreakBefore w:val="0"/>
        <w:widowControl w:val="0"/>
        <w:tabs>
          <w:tab w:val="left" w:pos="162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注：本表须附身份证、技术职称（资格）证书或上岗证、所获荣誉证明、投标截止前半年内三个月的社保证明、业绩证明材料等复制件（加盖投标供应商公章）。</w:t>
      </w:r>
    </w:p>
    <w:p w14:paraId="193337BC">
      <w:pPr>
        <w:spacing w:line="360" w:lineRule="auto"/>
        <w:rPr>
          <w:rFonts w:ascii="宋体" w:hAnsi="宋体" w:cs="宋体"/>
          <w:color w:val="auto"/>
          <w:sz w:val="28"/>
          <w:highlight w:val="none"/>
        </w:rPr>
      </w:pPr>
    </w:p>
    <w:p w14:paraId="5EC6162F">
      <w:pPr>
        <w:spacing w:line="360" w:lineRule="auto"/>
        <w:ind w:firstLine="4400" w:firstLineChars="2000"/>
        <w:rPr>
          <w:rFonts w:ascii="宋体" w:hAnsi="宋体" w:cs="宋体"/>
          <w:color w:val="auto"/>
          <w:sz w:val="22"/>
          <w:szCs w:val="22"/>
          <w:highlight w:val="none"/>
        </w:rPr>
      </w:pPr>
    </w:p>
    <w:p w14:paraId="60ADDBE5">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投标供应商名称（盖单位公章）：</w:t>
      </w:r>
    </w:p>
    <w:p w14:paraId="0542A049">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法定代表人（或单位负责人）或其授权代表（签字或盖章）：</w:t>
      </w:r>
    </w:p>
    <w:p w14:paraId="20F93BF4">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86E7E6E">
      <w:pPr>
        <w:widowControl/>
        <w:overflowPunct w:val="0"/>
        <w:autoSpaceDE w:val="0"/>
        <w:autoSpaceDN w:val="0"/>
        <w:adjustRightInd w:val="0"/>
        <w:spacing w:line="360" w:lineRule="auto"/>
        <w:jc w:val="left"/>
        <w:textAlignment w:val="baseline"/>
        <w:rPr>
          <w:rFonts w:ascii="宋体" w:hAnsi="宋体" w:cs="宋体"/>
          <w:b/>
          <w:color w:val="auto"/>
          <w:kern w:val="0"/>
          <w:sz w:val="28"/>
          <w:szCs w:val="21"/>
          <w:highlight w:val="none"/>
        </w:rPr>
        <w:sectPr>
          <w:headerReference r:id="rId8" w:type="default"/>
          <w:footerReference r:id="rId9" w:type="default"/>
          <w:pgSz w:w="11906" w:h="16838"/>
          <w:pgMar w:top="1247" w:right="1247" w:bottom="1247" w:left="1417" w:header="851" w:footer="850" w:gutter="0"/>
          <w:pgBorders>
            <w:top w:val="none" w:sz="0" w:space="0"/>
            <w:left w:val="none" w:sz="0" w:space="0"/>
            <w:bottom w:val="none" w:sz="0" w:space="0"/>
            <w:right w:val="none" w:sz="0" w:space="0"/>
          </w:pgBorders>
          <w:pgNumType w:fmt="decimal"/>
          <w:cols w:space="720" w:num="1"/>
          <w:rtlGutter w:val="0"/>
          <w:docGrid w:type="lines" w:linePitch="318" w:charSpace="0"/>
        </w:sectPr>
      </w:pPr>
    </w:p>
    <w:p w14:paraId="38226E6B">
      <w:pPr>
        <w:widowControl/>
        <w:overflowPunct w:val="0"/>
        <w:autoSpaceDE w:val="0"/>
        <w:autoSpaceDN w:val="0"/>
        <w:adjustRightInd w:val="0"/>
        <w:spacing w:line="360" w:lineRule="auto"/>
        <w:jc w:val="center"/>
        <w:textAlignment w:val="baseline"/>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（2）项目服务人员汇总表</w:t>
      </w:r>
    </w:p>
    <w:p w14:paraId="1C8892AA">
      <w:pPr>
        <w:tabs>
          <w:tab w:val="left" w:pos="162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采购项目名称：                                                      项目编号： </w:t>
      </w:r>
    </w:p>
    <w:tbl>
      <w:tblPr>
        <w:tblStyle w:val="24"/>
        <w:tblW w:w="1435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13"/>
        <w:gridCol w:w="957"/>
        <w:gridCol w:w="1149"/>
        <w:gridCol w:w="1340"/>
        <w:gridCol w:w="1447"/>
        <w:gridCol w:w="1615"/>
        <w:gridCol w:w="1340"/>
        <w:gridCol w:w="1669"/>
        <w:gridCol w:w="3286"/>
      </w:tblGrid>
      <w:tr w14:paraId="02FF1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9" w:type="dxa"/>
            <w:tcBorders>
              <w:tl2br w:val="nil"/>
              <w:tr2bl w:val="nil"/>
            </w:tcBorders>
            <w:noWrap w:val="0"/>
            <w:vAlign w:val="center"/>
          </w:tcPr>
          <w:p w14:paraId="265742CF">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1013" w:type="dxa"/>
            <w:tcBorders>
              <w:tl2br w:val="nil"/>
              <w:tr2bl w:val="nil"/>
            </w:tcBorders>
            <w:noWrap w:val="0"/>
            <w:vAlign w:val="center"/>
          </w:tcPr>
          <w:p w14:paraId="32AB1107">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姓名</w:t>
            </w:r>
          </w:p>
        </w:tc>
        <w:tc>
          <w:tcPr>
            <w:tcW w:w="957" w:type="dxa"/>
            <w:tcBorders>
              <w:tl2br w:val="nil"/>
              <w:tr2bl w:val="nil"/>
            </w:tcBorders>
            <w:noWrap w:val="0"/>
            <w:vAlign w:val="center"/>
          </w:tcPr>
          <w:p w14:paraId="377F545A">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性别</w:t>
            </w:r>
          </w:p>
        </w:tc>
        <w:tc>
          <w:tcPr>
            <w:tcW w:w="1149" w:type="dxa"/>
            <w:tcBorders>
              <w:tl2br w:val="nil"/>
              <w:tr2bl w:val="nil"/>
            </w:tcBorders>
            <w:noWrap w:val="0"/>
            <w:vAlign w:val="center"/>
          </w:tcPr>
          <w:p w14:paraId="236B82DE">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年龄</w:t>
            </w:r>
          </w:p>
        </w:tc>
        <w:tc>
          <w:tcPr>
            <w:tcW w:w="1340" w:type="dxa"/>
            <w:tcBorders>
              <w:tl2br w:val="nil"/>
              <w:tr2bl w:val="nil"/>
            </w:tcBorders>
            <w:noWrap w:val="0"/>
            <w:vAlign w:val="center"/>
          </w:tcPr>
          <w:p w14:paraId="07A645F8">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专业/年限</w:t>
            </w:r>
          </w:p>
        </w:tc>
        <w:tc>
          <w:tcPr>
            <w:tcW w:w="1447" w:type="dxa"/>
            <w:tcBorders>
              <w:tl2br w:val="nil"/>
              <w:tr2bl w:val="nil"/>
            </w:tcBorders>
            <w:noWrap w:val="0"/>
            <w:vAlign w:val="center"/>
          </w:tcPr>
          <w:p w14:paraId="4FB6FFCC">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职称/</w:t>
            </w:r>
            <w:r>
              <w:rPr>
                <w:rFonts w:hint="eastAsia" w:ascii="宋体" w:hAnsi="宋体" w:cs="宋体"/>
                <w:color w:val="auto"/>
                <w:sz w:val="22"/>
                <w:szCs w:val="22"/>
                <w:highlight w:val="none"/>
              </w:rPr>
              <w:t>资格</w:t>
            </w:r>
          </w:p>
        </w:tc>
        <w:tc>
          <w:tcPr>
            <w:tcW w:w="1615" w:type="dxa"/>
            <w:tcBorders>
              <w:tl2br w:val="nil"/>
              <w:tr2bl w:val="nil"/>
            </w:tcBorders>
            <w:noWrap w:val="0"/>
            <w:vAlign w:val="center"/>
          </w:tcPr>
          <w:p w14:paraId="33BB5DE7">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拟担任何种工作/职务</w:t>
            </w:r>
          </w:p>
        </w:tc>
        <w:tc>
          <w:tcPr>
            <w:tcW w:w="1340" w:type="dxa"/>
            <w:tcBorders>
              <w:tl2br w:val="nil"/>
              <w:tr2bl w:val="nil"/>
            </w:tcBorders>
            <w:noWrap w:val="0"/>
            <w:vAlign w:val="center"/>
          </w:tcPr>
          <w:p w14:paraId="27F83B8F">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承诺</w:t>
            </w:r>
          </w:p>
          <w:p w14:paraId="31E22076">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到位率</w:t>
            </w:r>
          </w:p>
        </w:tc>
        <w:tc>
          <w:tcPr>
            <w:tcW w:w="1669" w:type="dxa"/>
            <w:tcBorders>
              <w:tl2br w:val="nil"/>
              <w:tr2bl w:val="nil"/>
            </w:tcBorders>
            <w:noWrap w:val="0"/>
            <w:vAlign w:val="center"/>
          </w:tcPr>
          <w:p w14:paraId="5AA41976">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到现场服务起止时间</w:t>
            </w:r>
          </w:p>
        </w:tc>
        <w:tc>
          <w:tcPr>
            <w:tcW w:w="3286" w:type="dxa"/>
            <w:tcBorders>
              <w:tl2br w:val="nil"/>
              <w:tr2bl w:val="nil"/>
            </w:tcBorders>
            <w:noWrap w:val="0"/>
            <w:vAlign w:val="center"/>
          </w:tcPr>
          <w:p w14:paraId="5FF077F3">
            <w:pPr>
              <w:spacing w:line="24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类似服务的经历、业绩、是否有上岗证等介绍（或另附简历）</w:t>
            </w:r>
          </w:p>
        </w:tc>
      </w:tr>
      <w:tr w14:paraId="5F5F9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9" w:type="dxa"/>
            <w:tcBorders>
              <w:tl2br w:val="nil"/>
              <w:tr2bl w:val="nil"/>
            </w:tcBorders>
            <w:noWrap w:val="0"/>
            <w:vAlign w:val="center"/>
          </w:tcPr>
          <w:p w14:paraId="644D9A55">
            <w:pPr>
              <w:spacing w:line="240" w:lineRule="auto"/>
              <w:rPr>
                <w:rFonts w:ascii="宋体" w:hAnsi="宋体" w:cs="宋体"/>
                <w:color w:val="auto"/>
                <w:sz w:val="22"/>
                <w:szCs w:val="22"/>
                <w:highlight w:val="none"/>
              </w:rPr>
            </w:pPr>
          </w:p>
        </w:tc>
        <w:tc>
          <w:tcPr>
            <w:tcW w:w="1013" w:type="dxa"/>
            <w:tcBorders>
              <w:tl2br w:val="nil"/>
              <w:tr2bl w:val="nil"/>
            </w:tcBorders>
            <w:noWrap w:val="0"/>
            <w:vAlign w:val="center"/>
          </w:tcPr>
          <w:p w14:paraId="4CA2EF31">
            <w:pPr>
              <w:spacing w:line="240" w:lineRule="auto"/>
              <w:rPr>
                <w:rFonts w:ascii="宋体" w:hAnsi="宋体" w:cs="宋体"/>
                <w:color w:val="auto"/>
                <w:sz w:val="22"/>
                <w:szCs w:val="22"/>
                <w:highlight w:val="none"/>
              </w:rPr>
            </w:pPr>
          </w:p>
        </w:tc>
        <w:tc>
          <w:tcPr>
            <w:tcW w:w="957" w:type="dxa"/>
            <w:tcBorders>
              <w:tl2br w:val="nil"/>
              <w:tr2bl w:val="nil"/>
            </w:tcBorders>
            <w:noWrap w:val="0"/>
            <w:vAlign w:val="center"/>
          </w:tcPr>
          <w:p w14:paraId="76F91646">
            <w:pPr>
              <w:spacing w:line="240" w:lineRule="auto"/>
              <w:rPr>
                <w:rFonts w:ascii="宋体" w:hAnsi="宋体" w:cs="宋体"/>
                <w:color w:val="auto"/>
                <w:sz w:val="22"/>
                <w:szCs w:val="22"/>
                <w:highlight w:val="none"/>
              </w:rPr>
            </w:pPr>
          </w:p>
        </w:tc>
        <w:tc>
          <w:tcPr>
            <w:tcW w:w="1149" w:type="dxa"/>
            <w:tcBorders>
              <w:tl2br w:val="nil"/>
              <w:tr2bl w:val="nil"/>
            </w:tcBorders>
            <w:noWrap w:val="0"/>
            <w:vAlign w:val="center"/>
          </w:tcPr>
          <w:p w14:paraId="5D4A34D8">
            <w:pPr>
              <w:spacing w:line="240" w:lineRule="auto"/>
              <w:rPr>
                <w:rFonts w:ascii="宋体" w:hAnsi="宋体" w:cs="宋体"/>
                <w:color w:val="auto"/>
                <w:sz w:val="22"/>
                <w:szCs w:val="22"/>
                <w:highlight w:val="none"/>
              </w:rPr>
            </w:pPr>
          </w:p>
        </w:tc>
        <w:tc>
          <w:tcPr>
            <w:tcW w:w="1340" w:type="dxa"/>
            <w:tcBorders>
              <w:tl2br w:val="nil"/>
              <w:tr2bl w:val="nil"/>
            </w:tcBorders>
            <w:noWrap w:val="0"/>
            <w:vAlign w:val="center"/>
          </w:tcPr>
          <w:p w14:paraId="217A5328">
            <w:pPr>
              <w:spacing w:line="240" w:lineRule="auto"/>
              <w:rPr>
                <w:rFonts w:ascii="宋体" w:hAnsi="宋体" w:cs="宋体"/>
                <w:color w:val="auto"/>
                <w:sz w:val="22"/>
                <w:szCs w:val="22"/>
                <w:highlight w:val="none"/>
              </w:rPr>
            </w:pPr>
          </w:p>
        </w:tc>
        <w:tc>
          <w:tcPr>
            <w:tcW w:w="1447" w:type="dxa"/>
            <w:tcBorders>
              <w:tl2br w:val="nil"/>
              <w:tr2bl w:val="nil"/>
            </w:tcBorders>
            <w:noWrap w:val="0"/>
            <w:vAlign w:val="center"/>
          </w:tcPr>
          <w:p w14:paraId="0A94794A">
            <w:pPr>
              <w:spacing w:line="240" w:lineRule="auto"/>
              <w:rPr>
                <w:rFonts w:ascii="宋体" w:hAnsi="宋体" w:cs="宋体"/>
                <w:color w:val="auto"/>
                <w:sz w:val="22"/>
                <w:szCs w:val="22"/>
                <w:highlight w:val="none"/>
              </w:rPr>
            </w:pPr>
          </w:p>
        </w:tc>
        <w:tc>
          <w:tcPr>
            <w:tcW w:w="1615" w:type="dxa"/>
            <w:tcBorders>
              <w:tl2br w:val="nil"/>
              <w:tr2bl w:val="nil"/>
            </w:tcBorders>
            <w:noWrap w:val="0"/>
            <w:vAlign w:val="center"/>
          </w:tcPr>
          <w:p w14:paraId="74B6F89E">
            <w:pPr>
              <w:spacing w:line="240" w:lineRule="auto"/>
              <w:rPr>
                <w:rFonts w:ascii="宋体" w:hAnsi="宋体" w:cs="宋体"/>
                <w:color w:val="auto"/>
                <w:sz w:val="22"/>
                <w:szCs w:val="22"/>
                <w:highlight w:val="none"/>
              </w:rPr>
            </w:pPr>
          </w:p>
        </w:tc>
        <w:tc>
          <w:tcPr>
            <w:tcW w:w="1340" w:type="dxa"/>
            <w:tcBorders>
              <w:tl2br w:val="nil"/>
              <w:tr2bl w:val="nil"/>
            </w:tcBorders>
            <w:noWrap w:val="0"/>
            <w:vAlign w:val="center"/>
          </w:tcPr>
          <w:p w14:paraId="1FEC3DCF">
            <w:pPr>
              <w:spacing w:line="240" w:lineRule="auto"/>
              <w:rPr>
                <w:rFonts w:ascii="宋体" w:hAnsi="宋体" w:cs="宋体"/>
                <w:color w:val="auto"/>
                <w:sz w:val="22"/>
                <w:szCs w:val="22"/>
                <w:highlight w:val="none"/>
              </w:rPr>
            </w:pPr>
          </w:p>
        </w:tc>
        <w:tc>
          <w:tcPr>
            <w:tcW w:w="1669" w:type="dxa"/>
            <w:tcBorders>
              <w:tl2br w:val="nil"/>
              <w:tr2bl w:val="nil"/>
            </w:tcBorders>
            <w:noWrap w:val="0"/>
            <w:vAlign w:val="center"/>
          </w:tcPr>
          <w:p w14:paraId="34953509">
            <w:pPr>
              <w:spacing w:line="240" w:lineRule="auto"/>
              <w:rPr>
                <w:rFonts w:ascii="宋体" w:hAnsi="宋体" w:cs="宋体"/>
                <w:color w:val="auto"/>
                <w:sz w:val="22"/>
                <w:szCs w:val="22"/>
                <w:highlight w:val="none"/>
              </w:rPr>
            </w:pPr>
          </w:p>
        </w:tc>
        <w:tc>
          <w:tcPr>
            <w:tcW w:w="3286" w:type="dxa"/>
            <w:tcBorders>
              <w:tl2br w:val="nil"/>
              <w:tr2bl w:val="nil"/>
            </w:tcBorders>
            <w:noWrap w:val="0"/>
            <w:vAlign w:val="center"/>
          </w:tcPr>
          <w:p w14:paraId="758270BC">
            <w:pPr>
              <w:spacing w:line="240" w:lineRule="auto"/>
              <w:rPr>
                <w:rFonts w:ascii="宋体" w:hAnsi="宋体" w:cs="宋体"/>
                <w:color w:val="auto"/>
                <w:sz w:val="22"/>
                <w:szCs w:val="22"/>
                <w:highlight w:val="none"/>
              </w:rPr>
            </w:pPr>
          </w:p>
        </w:tc>
      </w:tr>
      <w:tr w14:paraId="4D90E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9" w:type="dxa"/>
            <w:tcBorders>
              <w:tl2br w:val="nil"/>
              <w:tr2bl w:val="nil"/>
            </w:tcBorders>
            <w:noWrap w:val="0"/>
            <w:vAlign w:val="center"/>
          </w:tcPr>
          <w:p w14:paraId="6CD951E5">
            <w:pPr>
              <w:spacing w:line="240" w:lineRule="auto"/>
              <w:rPr>
                <w:rFonts w:ascii="宋体" w:hAnsi="宋体" w:cs="宋体"/>
                <w:color w:val="auto"/>
                <w:sz w:val="22"/>
                <w:szCs w:val="22"/>
                <w:highlight w:val="none"/>
              </w:rPr>
            </w:pPr>
          </w:p>
        </w:tc>
        <w:tc>
          <w:tcPr>
            <w:tcW w:w="1013" w:type="dxa"/>
            <w:tcBorders>
              <w:tl2br w:val="nil"/>
              <w:tr2bl w:val="nil"/>
            </w:tcBorders>
            <w:noWrap w:val="0"/>
            <w:vAlign w:val="center"/>
          </w:tcPr>
          <w:p w14:paraId="55830025">
            <w:pPr>
              <w:spacing w:line="240" w:lineRule="auto"/>
              <w:rPr>
                <w:rFonts w:ascii="宋体" w:hAnsi="宋体" w:cs="宋体"/>
                <w:color w:val="auto"/>
                <w:sz w:val="22"/>
                <w:szCs w:val="22"/>
                <w:highlight w:val="none"/>
              </w:rPr>
            </w:pPr>
          </w:p>
        </w:tc>
        <w:tc>
          <w:tcPr>
            <w:tcW w:w="957" w:type="dxa"/>
            <w:tcBorders>
              <w:tl2br w:val="nil"/>
              <w:tr2bl w:val="nil"/>
            </w:tcBorders>
            <w:noWrap w:val="0"/>
            <w:vAlign w:val="center"/>
          </w:tcPr>
          <w:p w14:paraId="6562832E">
            <w:pPr>
              <w:spacing w:line="240" w:lineRule="auto"/>
              <w:rPr>
                <w:rFonts w:ascii="宋体" w:hAnsi="宋体" w:cs="宋体"/>
                <w:color w:val="auto"/>
                <w:sz w:val="22"/>
                <w:szCs w:val="22"/>
                <w:highlight w:val="none"/>
              </w:rPr>
            </w:pPr>
          </w:p>
        </w:tc>
        <w:tc>
          <w:tcPr>
            <w:tcW w:w="1149" w:type="dxa"/>
            <w:tcBorders>
              <w:tl2br w:val="nil"/>
              <w:tr2bl w:val="nil"/>
            </w:tcBorders>
            <w:noWrap w:val="0"/>
            <w:vAlign w:val="center"/>
          </w:tcPr>
          <w:p w14:paraId="7B41EA5E">
            <w:pPr>
              <w:spacing w:line="240" w:lineRule="auto"/>
              <w:rPr>
                <w:rFonts w:ascii="宋体" w:hAnsi="宋体" w:cs="宋体"/>
                <w:color w:val="auto"/>
                <w:sz w:val="22"/>
                <w:szCs w:val="22"/>
                <w:highlight w:val="none"/>
              </w:rPr>
            </w:pPr>
          </w:p>
        </w:tc>
        <w:tc>
          <w:tcPr>
            <w:tcW w:w="1340" w:type="dxa"/>
            <w:tcBorders>
              <w:tl2br w:val="nil"/>
              <w:tr2bl w:val="nil"/>
            </w:tcBorders>
            <w:noWrap w:val="0"/>
            <w:vAlign w:val="center"/>
          </w:tcPr>
          <w:p w14:paraId="6D8A80E1">
            <w:pPr>
              <w:spacing w:line="240" w:lineRule="auto"/>
              <w:rPr>
                <w:rFonts w:ascii="宋体" w:hAnsi="宋体" w:cs="宋体"/>
                <w:color w:val="auto"/>
                <w:sz w:val="22"/>
                <w:szCs w:val="22"/>
                <w:highlight w:val="none"/>
              </w:rPr>
            </w:pPr>
          </w:p>
        </w:tc>
        <w:tc>
          <w:tcPr>
            <w:tcW w:w="1447" w:type="dxa"/>
            <w:tcBorders>
              <w:tl2br w:val="nil"/>
              <w:tr2bl w:val="nil"/>
            </w:tcBorders>
            <w:noWrap w:val="0"/>
            <w:vAlign w:val="center"/>
          </w:tcPr>
          <w:p w14:paraId="4423BF78">
            <w:pPr>
              <w:spacing w:line="240" w:lineRule="auto"/>
              <w:rPr>
                <w:rFonts w:ascii="宋体" w:hAnsi="宋体" w:cs="宋体"/>
                <w:color w:val="auto"/>
                <w:sz w:val="22"/>
                <w:szCs w:val="22"/>
                <w:highlight w:val="none"/>
              </w:rPr>
            </w:pPr>
          </w:p>
        </w:tc>
        <w:tc>
          <w:tcPr>
            <w:tcW w:w="1615" w:type="dxa"/>
            <w:tcBorders>
              <w:tl2br w:val="nil"/>
              <w:tr2bl w:val="nil"/>
            </w:tcBorders>
            <w:noWrap w:val="0"/>
            <w:vAlign w:val="center"/>
          </w:tcPr>
          <w:p w14:paraId="258BDA97">
            <w:pPr>
              <w:spacing w:line="240" w:lineRule="auto"/>
              <w:rPr>
                <w:rFonts w:ascii="宋体" w:hAnsi="宋体" w:cs="宋体"/>
                <w:color w:val="auto"/>
                <w:sz w:val="22"/>
                <w:szCs w:val="22"/>
                <w:highlight w:val="none"/>
              </w:rPr>
            </w:pPr>
          </w:p>
        </w:tc>
        <w:tc>
          <w:tcPr>
            <w:tcW w:w="1340" w:type="dxa"/>
            <w:tcBorders>
              <w:tl2br w:val="nil"/>
              <w:tr2bl w:val="nil"/>
            </w:tcBorders>
            <w:noWrap w:val="0"/>
            <w:vAlign w:val="center"/>
          </w:tcPr>
          <w:p w14:paraId="0ED5E970">
            <w:pPr>
              <w:spacing w:line="240" w:lineRule="auto"/>
              <w:rPr>
                <w:rFonts w:ascii="宋体" w:hAnsi="宋体" w:cs="宋体"/>
                <w:color w:val="auto"/>
                <w:sz w:val="22"/>
                <w:szCs w:val="22"/>
                <w:highlight w:val="none"/>
              </w:rPr>
            </w:pPr>
          </w:p>
        </w:tc>
        <w:tc>
          <w:tcPr>
            <w:tcW w:w="1669" w:type="dxa"/>
            <w:tcBorders>
              <w:tl2br w:val="nil"/>
              <w:tr2bl w:val="nil"/>
            </w:tcBorders>
            <w:noWrap w:val="0"/>
            <w:vAlign w:val="center"/>
          </w:tcPr>
          <w:p w14:paraId="689CD164">
            <w:pPr>
              <w:spacing w:line="240" w:lineRule="auto"/>
              <w:rPr>
                <w:rFonts w:ascii="宋体" w:hAnsi="宋体" w:cs="宋体"/>
                <w:color w:val="auto"/>
                <w:sz w:val="22"/>
                <w:szCs w:val="22"/>
                <w:highlight w:val="none"/>
              </w:rPr>
            </w:pPr>
          </w:p>
        </w:tc>
        <w:tc>
          <w:tcPr>
            <w:tcW w:w="3286" w:type="dxa"/>
            <w:tcBorders>
              <w:tl2br w:val="nil"/>
              <w:tr2bl w:val="nil"/>
            </w:tcBorders>
            <w:noWrap w:val="0"/>
            <w:vAlign w:val="center"/>
          </w:tcPr>
          <w:p w14:paraId="272EA0BB">
            <w:pPr>
              <w:spacing w:line="240" w:lineRule="auto"/>
              <w:ind w:left="6000" w:leftChars="2500" w:firstLine="440"/>
              <w:rPr>
                <w:rFonts w:ascii="宋体" w:hAnsi="宋体" w:cs="宋体"/>
                <w:color w:val="auto"/>
                <w:sz w:val="22"/>
                <w:szCs w:val="22"/>
                <w:highlight w:val="none"/>
              </w:rPr>
            </w:pPr>
          </w:p>
        </w:tc>
      </w:tr>
      <w:tr w14:paraId="33CDE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9" w:type="dxa"/>
            <w:tcBorders>
              <w:tl2br w:val="nil"/>
              <w:tr2bl w:val="nil"/>
            </w:tcBorders>
            <w:noWrap w:val="0"/>
            <w:vAlign w:val="center"/>
          </w:tcPr>
          <w:p w14:paraId="67F2E684">
            <w:pPr>
              <w:spacing w:line="240" w:lineRule="auto"/>
              <w:rPr>
                <w:rFonts w:ascii="宋体" w:hAnsi="宋体" w:cs="宋体"/>
                <w:color w:val="auto"/>
                <w:sz w:val="22"/>
                <w:szCs w:val="22"/>
                <w:highlight w:val="none"/>
              </w:rPr>
            </w:pPr>
          </w:p>
        </w:tc>
        <w:tc>
          <w:tcPr>
            <w:tcW w:w="1013" w:type="dxa"/>
            <w:tcBorders>
              <w:tl2br w:val="nil"/>
              <w:tr2bl w:val="nil"/>
            </w:tcBorders>
            <w:noWrap w:val="0"/>
            <w:vAlign w:val="center"/>
          </w:tcPr>
          <w:p w14:paraId="75D41918">
            <w:pPr>
              <w:spacing w:line="240" w:lineRule="auto"/>
              <w:rPr>
                <w:rFonts w:ascii="宋体" w:hAnsi="宋体" w:cs="宋体"/>
                <w:color w:val="auto"/>
                <w:sz w:val="22"/>
                <w:szCs w:val="22"/>
                <w:highlight w:val="none"/>
              </w:rPr>
            </w:pPr>
          </w:p>
        </w:tc>
        <w:tc>
          <w:tcPr>
            <w:tcW w:w="957" w:type="dxa"/>
            <w:tcBorders>
              <w:tl2br w:val="nil"/>
              <w:tr2bl w:val="nil"/>
            </w:tcBorders>
            <w:noWrap w:val="0"/>
            <w:vAlign w:val="center"/>
          </w:tcPr>
          <w:p w14:paraId="79F75345">
            <w:pPr>
              <w:spacing w:line="240" w:lineRule="auto"/>
              <w:rPr>
                <w:rFonts w:ascii="宋体" w:hAnsi="宋体" w:cs="宋体"/>
                <w:color w:val="auto"/>
                <w:sz w:val="22"/>
                <w:szCs w:val="22"/>
                <w:highlight w:val="none"/>
              </w:rPr>
            </w:pPr>
          </w:p>
        </w:tc>
        <w:tc>
          <w:tcPr>
            <w:tcW w:w="1149" w:type="dxa"/>
            <w:tcBorders>
              <w:tl2br w:val="nil"/>
              <w:tr2bl w:val="nil"/>
            </w:tcBorders>
            <w:noWrap w:val="0"/>
            <w:vAlign w:val="center"/>
          </w:tcPr>
          <w:p w14:paraId="07C2A552">
            <w:pPr>
              <w:spacing w:line="240" w:lineRule="auto"/>
              <w:rPr>
                <w:rFonts w:ascii="宋体" w:hAnsi="宋体" w:cs="宋体"/>
                <w:color w:val="auto"/>
                <w:sz w:val="22"/>
                <w:szCs w:val="22"/>
                <w:highlight w:val="none"/>
              </w:rPr>
            </w:pPr>
          </w:p>
        </w:tc>
        <w:tc>
          <w:tcPr>
            <w:tcW w:w="1340" w:type="dxa"/>
            <w:tcBorders>
              <w:tl2br w:val="nil"/>
              <w:tr2bl w:val="nil"/>
            </w:tcBorders>
            <w:noWrap w:val="0"/>
            <w:vAlign w:val="center"/>
          </w:tcPr>
          <w:p w14:paraId="325C1571">
            <w:pPr>
              <w:spacing w:line="240" w:lineRule="auto"/>
              <w:rPr>
                <w:rFonts w:ascii="宋体" w:hAnsi="宋体" w:cs="宋体"/>
                <w:color w:val="auto"/>
                <w:sz w:val="22"/>
                <w:szCs w:val="22"/>
                <w:highlight w:val="none"/>
              </w:rPr>
            </w:pPr>
          </w:p>
        </w:tc>
        <w:tc>
          <w:tcPr>
            <w:tcW w:w="1447" w:type="dxa"/>
            <w:tcBorders>
              <w:tl2br w:val="nil"/>
              <w:tr2bl w:val="nil"/>
            </w:tcBorders>
            <w:noWrap w:val="0"/>
            <w:vAlign w:val="center"/>
          </w:tcPr>
          <w:p w14:paraId="5DDEE2F7">
            <w:pPr>
              <w:spacing w:line="240" w:lineRule="auto"/>
              <w:rPr>
                <w:rFonts w:ascii="宋体" w:hAnsi="宋体" w:cs="宋体"/>
                <w:color w:val="auto"/>
                <w:sz w:val="22"/>
                <w:szCs w:val="22"/>
                <w:highlight w:val="none"/>
              </w:rPr>
            </w:pPr>
          </w:p>
        </w:tc>
        <w:tc>
          <w:tcPr>
            <w:tcW w:w="1615" w:type="dxa"/>
            <w:tcBorders>
              <w:tl2br w:val="nil"/>
              <w:tr2bl w:val="nil"/>
            </w:tcBorders>
            <w:noWrap w:val="0"/>
            <w:vAlign w:val="center"/>
          </w:tcPr>
          <w:p w14:paraId="20953C5B">
            <w:pPr>
              <w:spacing w:line="240" w:lineRule="auto"/>
              <w:rPr>
                <w:rFonts w:ascii="宋体" w:hAnsi="宋体" w:cs="宋体"/>
                <w:color w:val="auto"/>
                <w:sz w:val="22"/>
                <w:szCs w:val="22"/>
                <w:highlight w:val="none"/>
              </w:rPr>
            </w:pPr>
          </w:p>
        </w:tc>
        <w:tc>
          <w:tcPr>
            <w:tcW w:w="1340" w:type="dxa"/>
            <w:tcBorders>
              <w:tl2br w:val="nil"/>
              <w:tr2bl w:val="nil"/>
            </w:tcBorders>
            <w:noWrap w:val="0"/>
            <w:vAlign w:val="center"/>
          </w:tcPr>
          <w:p w14:paraId="165E04B0">
            <w:pPr>
              <w:spacing w:line="240" w:lineRule="auto"/>
              <w:rPr>
                <w:rFonts w:ascii="宋体" w:hAnsi="宋体" w:cs="宋体"/>
                <w:color w:val="auto"/>
                <w:sz w:val="22"/>
                <w:szCs w:val="22"/>
                <w:highlight w:val="none"/>
              </w:rPr>
            </w:pPr>
          </w:p>
        </w:tc>
        <w:tc>
          <w:tcPr>
            <w:tcW w:w="1669" w:type="dxa"/>
            <w:tcBorders>
              <w:tl2br w:val="nil"/>
              <w:tr2bl w:val="nil"/>
            </w:tcBorders>
            <w:noWrap w:val="0"/>
            <w:vAlign w:val="center"/>
          </w:tcPr>
          <w:p w14:paraId="6929BDB4">
            <w:pPr>
              <w:spacing w:line="240" w:lineRule="auto"/>
              <w:rPr>
                <w:rFonts w:ascii="宋体" w:hAnsi="宋体" w:cs="宋体"/>
                <w:color w:val="auto"/>
                <w:sz w:val="22"/>
                <w:szCs w:val="22"/>
                <w:highlight w:val="none"/>
              </w:rPr>
            </w:pPr>
          </w:p>
        </w:tc>
        <w:tc>
          <w:tcPr>
            <w:tcW w:w="3286" w:type="dxa"/>
            <w:tcBorders>
              <w:tl2br w:val="nil"/>
              <w:tr2bl w:val="nil"/>
            </w:tcBorders>
            <w:noWrap w:val="0"/>
            <w:vAlign w:val="center"/>
          </w:tcPr>
          <w:p w14:paraId="1D748A72">
            <w:pPr>
              <w:spacing w:line="240" w:lineRule="auto"/>
              <w:rPr>
                <w:rFonts w:ascii="宋体" w:hAnsi="宋体" w:cs="宋体"/>
                <w:color w:val="auto"/>
                <w:sz w:val="22"/>
                <w:szCs w:val="22"/>
                <w:highlight w:val="none"/>
              </w:rPr>
            </w:pPr>
          </w:p>
        </w:tc>
      </w:tr>
      <w:tr w14:paraId="7C5FD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9" w:type="dxa"/>
            <w:tcBorders>
              <w:tl2br w:val="nil"/>
              <w:tr2bl w:val="nil"/>
            </w:tcBorders>
            <w:noWrap w:val="0"/>
            <w:vAlign w:val="center"/>
          </w:tcPr>
          <w:p w14:paraId="7F73721C">
            <w:pPr>
              <w:spacing w:line="240" w:lineRule="auto"/>
              <w:rPr>
                <w:rFonts w:ascii="宋体" w:hAnsi="宋体" w:cs="宋体"/>
                <w:color w:val="auto"/>
                <w:sz w:val="22"/>
                <w:szCs w:val="22"/>
                <w:highlight w:val="none"/>
              </w:rPr>
            </w:pPr>
          </w:p>
        </w:tc>
        <w:tc>
          <w:tcPr>
            <w:tcW w:w="1013" w:type="dxa"/>
            <w:tcBorders>
              <w:tl2br w:val="nil"/>
              <w:tr2bl w:val="nil"/>
            </w:tcBorders>
            <w:noWrap w:val="0"/>
            <w:vAlign w:val="center"/>
          </w:tcPr>
          <w:p w14:paraId="3CC9B3E5">
            <w:pPr>
              <w:spacing w:line="240" w:lineRule="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957" w:type="dxa"/>
            <w:tcBorders>
              <w:tl2br w:val="nil"/>
              <w:tr2bl w:val="nil"/>
            </w:tcBorders>
            <w:noWrap w:val="0"/>
            <w:vAlign w:val="center"/>
          </w:tcPr>
          <w:p w14:paraId="0C366275">
            <w:pPr>
              <w:spacing w:line="240" w:lineRule="auto"/>
              <w:rPr>
                <w:rFonts w:ascii="宋体" w:hAnsi="宋体" w:cs="宋体"/>
                <w:color w:val="auto"/>
                <w:sz w:val="22"/>
                <w:szCs w:val="22"/>
                <w:highlight w:val="none"/>
              </w:rPr>
            </w:pPr>
          </w:p>
        </w:tc>
        <w:tc>
          <w:tcPr>
            <w:tcW w:w="1149" w:type="dxa"/>
            <w:tcBorders>
              <w:tl2br w:val="nil"/>
              <w:tr2bl w:val="nil"/>
            </w:tcBorders>
            <w:noWrap w:val="0"/>
            <w:vAlign w:val="center"/>
          </w:tcPr>
          <w:p w14:paraId="06BAF93F">
            <w:pPr>
              <w:spacing w:line="240" w:lineRule="auto"/>
              <w:rPr>
                <w:rFonts w:ascii="宋体" w:hAnsi="宋体" w:cs="宋体"/>
                <w:color w:val="auto"/>
                <w:sz w:val="22"/>
                <w:szCs w:val="22"/>
                <w:highlight w:val="none"/>
              </w:rPr>
            </w:pPr>
          </w:p>
        </w:tc>
        <w:tc>
          <w:tcPr>
            <w:tcW w:w="1340" w:type="dxa"/>
            <w:tcBorders>
              <w:tl2br w:val="nil"/>
              <w:tr2bl w:val="nil"/>
            </w:tcBorders>
            <w:noWrap w:val="0"/>
            <w:vAlign w:val="center"/>
          </w:tcPr>
          <w:p w14:paraId="4E6332CC">
            <w:pPr>
              <w:spacing w:line="240" w:lineRule="auto"/>
              <w:rPr>
                <w:rFonts w:ascii="宋体" w:hAnsi="宋体" w:cs="宋体"/>
                <w:color w:val="auto"/>
                <w:sz w:val="22"/>
                <w:szCs w:val="22"/>
                <w:highlight w:val="none"/>
              </w:rPr>
            </w:pPr>
          </w:p>
        </w:tc>
        <w:tc>
          <w:tcPr>
            <w:tcW w:w="1447" w:type="dxa"/>
            <w:tcBorders>
              <w:tl2br w:val="nil"/>
              <w:tr2bl w:val="nil"/>
            </w:tcBorders>
            <w:noWrap w:val="0"/>
            <w:vAlign w:val="center"/>
          </w:tcPr>
          <w:p w14:paraId="2B1BA55E">
            <w:pPr>
              <w:spacing w:line="240" w:lineRule="auto"/>
              <w:rPr>
                <w:rFonts w:ascii="宋体" w:hAnsi="宋体" w:cs="宋体"/>
                <w:color w:val="auto"/>
                <w:sz w:val="22"/>
                <w:szCs w:val="22"/>
                <w:highlight w:val="none"/>
              </w:rPr>
            </w:pPr>
          </w:p>
        </w:tc>
        <w:tc>
          <w:tcPr>
            <w:tcW w:w="1615" w:type="dxa"/>
            <w:tcBorders>
              <w:tl2br w:val="nil"/>
              <w:tr2bl w:val="nil"/>
            </w:tcBorders>
            <w:noWrap w:val="0"/>
            <w:vAlign w:val="center"/>
          </w:tcPr>
          <w:p w14:paraId="5E071985">
            <w:pPr>
              <w:spacing w:line="240" w:lineRule="auto"/>
              <w:rPr>
                <w:rFonts w:ascii="宋体" w:hAnsi="宋体" w:cs="宋体"/>
                <w:color w:val="auto"/>
                <w:sz w:val="22"/>
                <w:szCs w:val="22"/>
                <w:highlight w:val="none"/>
              </w:rPr>
            </w:pPr>
          </w:p>
        </w:tc>
        <w:tc>
          <w:tcPr>
            <w:tcW w:w="1340" w:type="dxa"/>
            <w:tcBorders>
              <w:tl2br w:val="nil"/>
              <w:tr2bl w:val="nil"/>
            </w:tcBorders>
            <w:noWrap w:val="0"/>
            <w:vAlign w:val="center"/>
          </w:tcPr>
          <w:p w14:paraId="07ABF4B3">
            <w:pPr>
              <w:spacing w:line="240" w:lineRule="auto"/>
              <w:rPr>
                <w:rFonts w:ascii="宋体" w:hAnsi="宋体" w:cs="宋体"/>
                <w:color w:val="auto"/>
                <w:sz w:val="22"/>
                <w:szCs w:val="22"/>
                <w:highlight w:val="none"/>
              </w:rPr>
            </w:pPr>
          </w:p>
        </w:tc>
        <w:tc>
          <w:tcPr>
            <w:tcW w:w="1669" w:type="dxa"/>
            <w:tcBorders>
              <w:tl2br w:val="nil"/>
              <w:tr2bl w:val="nil"/>
            </w:tcBorders>
            <w:noWrap w:val="0"/>
            <w:vAlign w:val="center"/>
          </w:tcPr>
          <w:p w14:paraId="7A7ACA36">
            <w:pPr>
              <w:spacing w:line="240" w:lineRule="auto"/>
              <w:rPr>
                <w:rFonts w:ascii="宋体" w:hAnsi="宋体" w:cs="宋体"/>
                <w:color w:val="auto"/>
                <w:sz w:val="22"/>
                <w:szCs w:val="22"/>
                <w:highlight w:val="none"/>
              </w:rPr>
            </w:pPr>
          </w:p>
        </w:tc>
        <w:tc>
          <w:tcPr>
            <w:tcW w:w="3286" w:type="dxa"/>
            <w:tcBorders>
              <w:tl2br w:val="nil"/>
              <w:tr2bl w:val="nil"/>
            </w:tcBorders>
            <w:noWrap w:val="0"/>
            <w:vAlign w:val="center"/>
          </w:tcPr>
          <w:p w14:paraId="4B70824E">
            <w:pPr>
              <w:spacing w:line="240" w:lineRule="auto"/>
              <w:rPr>
                <w:rFonts w:ascii="宋体" w:hAnsi="宋体" w:cs="宋体"/>
                <w:color w:val="auto"/>
                <w:sz w:val="22"/>
                <w:szCs w:val="22"/>
                <w:highlight w:val="none"/>
              </w:rPr>
            </w:pPr>
          </w:p>
        </w:tc>
      </w:tr>
      <w:tr w14:paraId="277EC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355" w:type="dxa"/>
            <w:gridSpan w:val="10"/>
            <w:tcBorders>
              <w:tl2br w:val="nil"/>
              <w:tr2bl w:val="nil"/>
            </w:tcBorders>
            <w:noWrap w:val="0"/>
            <w:vAlign w:val="center"/>
          </w:tcPr>
          <w:p w14:paraId="2D129236">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承诺：一旦我公司中标，将实行项目负责人负责制，我方保证并配备上述项目管理机构及人员。上述填报内容真实，若不真实，愿按有关规定接受处理。</w:t>
            </w:r>
          </w:p>
        </w:tc>
      </w:tr>
    </w:tbl>
    <w:p w14:paraId="0012202E">
      <w:pPr>
        <w:tabs>
          <w:tab w:val="left" w:pos="1620"/>
        </w:tabs>
        <w:spacing w:line="360" w:lineRule="auto"/>
        <w:ind w:right="-107"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注：1. 本表须附身份证、劳动合同或投标截止前半年内三个月的社保证明、技术职称（资格）证书或上岗证等复制件（加盖投标供应商公章）；</w:t>
      </w:r>
    </w:p>
    <w:p w14:paraId="252A0E35">
      <w:pPr>
        <w:tabs>
          <w:tab w:val="left" w:pos="1620"/>
        </w:tabs>
        <w:spacing w:line="360" w:lineRule="auto"/>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2．具体人数根据服务量配备；</w:t>
      </w:r>
    </w:p>
    <w:p w14:paraId="39359E50">
      <w:pPr>
        <w:widowControl/>
        <w:overflowPunct w:val="0"/>
        <w:autoSpaceDE w:val="0"/>
        <w:autoSpaceDN w:val="0"/>
        <w:adjustRightInd w:val="0"/>
        <w:spacing w:line="360" w:lineRule="auto"/>
        <w:ind w:left="736" w:leftChars="261" w:hanging="110" w:hangingChars="50"/>
        <w:jc w:val="left"/>
        <w:textAlignment w:val="baseline"/>
        <w:rPr>
          <w:rFonts w:ascii="宋体" w:hAnsi="宋体" w:cs="宋体"/>
          <w:b/>
          <w:color w:val="auto"/>
          <w:kern w:val="0"/>
          <w:sz w:val="22"/>
          <w:szCs w:val="21"/>
          <w:highlight w:val="none"/>
          <w:u w:val="single"/>
        </w:rPr>
      </w:pPr>
      <w:r>
        <w:rPr>
          <w:rFonts w:hint="eastAsia" w:ascii="宋体" w:hAnsi="宋体" w:cs="宋体"/>
          <w:b/>
          <w:color w:val="auto"/>
          <w:kern w:val="0"/>
          <w:sz w:val="22"/>
          <w:szCs w:val="22"/>
          <w:highlight w:val="none"/>
        </w:rPr>
        <w:t>▲</w:t>
      </w:r>
      <w:r>
        <w:rPr>
          <w:rFonts w:hint="eastAsia" w:ascii="宋体" w:hAnsi="宋体" w:cs="宋体"/>
          <w:b/>
          <w:color w:val="auto"/>
          <w:kern w:val="0"/>
          <w:sz w:val="22"/>
          <w:szCs w:val="21"/>
          <w:highlight w:val="none"/>
          <w:u w:val="single"/>
        </w:rPr>
        <w:t>此表格上所列的人未经采购人允许，不得擅自更改。</w:t>
      </w:r>
    </w:p>
    <w:p w14:paraId="11C7D8A3">
      <w:pPr>
        <w:widowControl/>
        <w:overflowPunct w:val="0"/>
        <w:autoSpaceDE w:val="0"/>
        <w:autoSpaceDN w:val="0"/>
        <w:adjustRightInd w:val="0"/>
        <w:spacing w:line="360" w:lineRule="auto"/>
        <w:ind w:left="736" w:leftChars="261" w:hanging="110" w:hangingChars="50"/>
        <w:jc w:val="left"/>
        <w:textAlignment w:val="baseline"/>
        <w:rPr>
          <w:rFonts w:ascii="宋体" w:hAnsi="宋体" w:cs="宋体"/>
          <w:color w:val="auto"/>
          <w:kern w:val="0"/>
          <w:sz w:val="22"/>
          <w:szCs w:val="21"/>
          <w:highlight w:val="none"/>
        </w:rPr>
      </w:pPr>
      <w:r>
        <w:rPr>
          <w:rFonts w:hint="eastAsia" w:ascii="宋体" w:hAnsi="宋体" w:cs="宋体"/>
          <w:b/>
          <w:color w:val="auto"/>
          <w:kern w:val="0"/>
          <w:sz w:val="22"/>
          <w:szCs w:val="22"/>
          <w:highlight w:val="none"/>
        </w:rPr>
        <w:t>▲</w:t>
      </w:r>
      <w:r>
        <w:rPr>
          <w:rFonts w:hint="eastAsia" w:ascii="宋体" w:hAnsi="宋体" w:cs="宋体"/>
          <w:b/>
          <w:color w:val="auto"/>
          <w:kern w:val="0"/>
          <w:sz w:val="22"/>
          <w:szCs w:val="21"/>
          <w:highlight w:val="none"/>
          <w:u w:val="single"/>
        </w:rPr>
        <w:t>如遇特殊情况需要更改，则提供的替代人员的各方面均不得低于被替代人员，并提供相关证明材料给采购人确认之后方可更改。</w:t>
      </w:r>
    </w:p>
    <w:p w14:paraId="471FDCCC">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p>
    <w:p w14:paraId="6045E714">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投标供应商名称（盖单位公章）：</w:t>
      </w:r>
    </w:p>
    <w:p w14:paraId="196FDE88">
      <w:pPr>
        <w:tabs>
          <w:tab w:val="left" w:pos="840"/>
        </w:tabs>
        <w:adjustRightInd w:val="0"/>
        <w:snapToGrid w:val="0"/>
        <w:spacing w:line="360" w:lineRule="auto"/>
        <w:ind w:left="48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法定代表人（或单位负责人）或其授权代表（签字或盖章）：</w:t>
      </w:r>
    </w:p>
    <w:p w14:paraId="2FF10492">
      <w:pPr>
        <w:tabs>
          <w:tab w:val="left" w:pos="840"/>
        </w:tabs>
        <w:adjustRightInd w:val="0"/>
        <w:snapToGrid w:val="0"/>
        <w:spacing w:line="360" w:lineRule="auto"/>
        <w:ind w:left="480" w:leftChars="200" w:firstLine="330" w:firstLineChars="150"/>
        <w:rPr>
          <w:rFonts w:ascii="宋体" w:hAnsi="宋体" w:cs="宋体"/>
          <w:b/>
          <w:bCs/>
          <w:color w:val="auto"/>
          <w:kern w:val="0"/>
          <w:sz w:val="28"/>
          <w:szCs w:val="28"/>
          <w:highlight w:val="none"/>
        </w:rPr>
      </w:pPr>
      <w:r>
        <w:rPr>
          <w:rFonts w:hint="eastAsia" w:ascii="宋体" w:hAnsi="宋体" w:cs="宋体"/>
          <w:color w:val="auto"/>
          <w:sz w:val="22"/>
          <w:szCs w:val="22"/>
          <w:highlight w:val="none"/>
        </w:rPr>
        <w:t>日期：  年  月  日</w:t>
      </w:r>
    </w:p>
    <w:p w14:paraId="1765B0C6">
      <w:pPr>
        <w:spacing w:line="380" w:lineRule="exact"/>
        <w:rPr>
          <w:rFonts w:ascii="宋体" w:hAnsi="宋体" w:cs="宋体"/>
          <w:color w:val="auto"/>
          <w:sz w:val="36"/>
          <w:szCs w:val="36"/>
          <w:highlight w:val="none"/>
        </w:rPr>
        <w:sectPr>
          <w:headerReference r:id="rId10" w:type="default"/>
          <w:footerReference r:id="rId11" w:type="default"/>
          <w:pgSz w:w="16838" w:h="11906" w:orient="landscape"/>
          <w:pgMar w:top="1417" w:right="1247" w:bottom="1247" w:left="1247" w:header="851" w:footer="850" w:gutter="0"/>
          <w:pgBorders>
            <w:top w:val="none" w:sz="0" w:space="0"/>
            <w:left w:val="none" w:sz="0" w:space="0"/>
            <w:bottom w:val="none" w:sz="0" w:space="0"/>
            <w:right w:val="none" w:sz="0" w:space="0"/>
          </w:pgBorders>
          <w:pgNumType w:fmt="decimal"/>
          <w:cols w:space="720" w:num="1"/>
          <w:rtlGutter w:val="0"/>
          <w:docGrid w:type="lines" w:linePitch="318" w:charSpace="0"/>
        </w:sectPr>
      </w:pPr>
    </w:p>
    <w:p w14:paraId="458CE80F">
      <w:pPr>
        <w:pStyle w:val="6"/>
        <w:keepNext/>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ascii="宋体" w:hAnsi="宋体" w:cs="宋体"/>
          <w:color w:val="auto"/>
          <w:sz w:val="36"/>
          <w:szCs w:val="36"/>
          <w:highlight w:val="none"/>
        </w:rPr>
      </w:pPr>
      <w:bookmarkStart w:id="233" w:name="_Toc21873"/>
      <w:bookmarkStart w:id="234" w:name="_Toc5982"/>
      <w:bookmarkStart w:id="235" w:name="_Toc13372"/>
      <w:bookmarkStart w:id="236" w:name="_Toc5450"/>
      <w:r>
        <w:rPr>
          <w:rFonts w:hint="eastAsia" w:ascii="宋体" w:hAnsi="宋体" w:cs="宋体"/>
          <w:color w:val="auto"/>
          <w:sz w:val="36"/>
          <w:szCs w:val="36"/>
          <w:highlight w:val="none"/>
        </w:rPr>
        <w:t>第四部分   采购内容及技术要求</w:t>
      </w:r>
      <w:bookmarkEnd w:id="233"/>
      <w:bookmarkEnd w:id="234"/>
      <w:bookmarkEnd w:id="235"/>
      <w:bookmarkEnd w:id="236"/>
    </w:p>
    <w:p w14:paraId="0A3F5E01">
      <w:pPr>
        <w:rPr>
          <w:rFonts w:hint="eastAsia"/>
          <w:color w:val="auto"/>
          <w:highlight w:val="none"/>
          <w:lang w:val="en-US" w:eastAsia="zh-CN"/>
        </w:rPr>
      </w:pPr>
    </w:p>
    <w:p w14:paraId="72264D0C">
      <w:pPr>
        <w:rPr>
          <w:rFonts w:hint="eastAsia"/>
          <w:color w:val="auto"/>
          <w:highlight w:val="none"/>
          <w:lang w:val="en-US" w:eastAsia="zh-CN"/>
        </w:rPr>
      </w:pPr>
      <w:r>
        <w:rPr>
          <w:rFonts w:hint="eastAsia"/>
          <w:b/>
          <w:bCs/>
          <w:color w:val="auto"/>
          <w:highlight w:val="none"/>
          <w:lang w:val="en-US" w:eastAsia="zh-CN"/>
        </w:rPr>
        <w:t>一、建设内容清单</w:t>
      </w:r>
    </w:p>
    <w:tbl>
      <w:tblPr>
        <w:tblStyle w:val="24"/>
        <w:tblW w:w="9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4811"/>
        <w:gridCol w:w="1241"/>
        <w:gridCol w:w="1214"/>
        <w:gridCol w:w="1046"/>
      </w:tblGrid>
      <w:tr w14:paraId="3BEB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164A2E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811"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0F431B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项目内容</w:t>
            </w:r>
          </w:p>
        </w:tc>
        <w:tc>
          <w:tcPr>
            <w:tcW w:w="1241"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01D1FA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1214"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51230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046"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49CD59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参数</w:t>
            </w:r>
          </w:p>
        </w:tc>
      </w:tr>
      <w:tr w14:paraId="27D3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21CB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一、信创基础环境建设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4652">
            <w:pPr>
              <w:rPr>
                <w:rFonts w:hint="eastAsia" w:ascii="等线" w:hAnsi="等线" w:eastAsia="等线" w:cs="等线"/>
                <w:i w:val="0"/>
                <w:iCs w:val="0"/>
                <w:color w:val="auto"/>
                <w:sz w:val="22"/>
                <w:szCs w:val="22"/>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2BDE">
            <w:pPr>
              <w:rPr>
                <w:rFonts w:hint="eastAsia" w:ascii="等线" w:hAnsi="等线" w:eastAsia="等线" w:cs="等线"/>
                <w:i w:val="0"/>
                <w:iCs w:val="0"/>
                <w:color w:val="auto"/>
                <w:sz w:val="22"/>
                <w:szCs w:val="22"/>
                <w:highlight w:val="none"/>
                <w:u w:val="none"/>
              </w:rPr>
            </w:pPr>
          </w:p>
        </w:tc>
        <w:tc>
          <w:tcPr>
            <w:tcW w:w="1046" w:type="dxa"/>
            <w:vMerge w:val="restart"/>
            <w:tcBorders>
              <w:top w:val="single" w:color="000000" w:sz="4" w:space="0"/>
              <w:left w:val="single" w:color="000000" w:sz="4" w:space="0"/>
              <w:right w:val="single" w:color="000000" w:sz="4" w:space="0"/>
            </w:tcBorders>
            <w:shd w:val="clear" w:color="auto" w:fill="auto"/>
            <w:noWrap/>
            <w:vAlign w:val="center"/>
          </w:tcPr>
          <w:p w14:paraId="3D3BDF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详</w:t>
            </w:r>
          </w:p>
          <w:p w14:paraId="10547C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见</w:t>
            </w:r>
          </w:p>
          <w:p w14:paraId="6BE297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技</w:t>
            </w:r>
          </w:p>
          <w:p w14:paraId="6BC3B4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术</w:t>
            </w:r>
          </w:p>
          <w:p w14:paraId="5A7BA7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要</w:t>
            </w:r>
          </w:p>
          <w:p w14:paraId="2E50DA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求</w:t>
            </w:r>
          </w:p>
          <w:p w14:paraId="170884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与</w:t>
            </w:r>
          </w:p>
          <w:p w14:paraId="169523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详</w:t>
            </w:r>
          </w:p>
          <w:p w14:paraId="7606B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细</w:t>
            </w:r>
          </w:p>
          <w:p w14:paraId="57C78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参</w:t>
            </w:r>
          </w:p>
          <w:p w14:paraId="246EAB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等线" w:hAnsi="等线" w:eastAsia="等线" w:cs="等线"/>
                <w:i w:val="0"/>
                <w:iCs w:val="0"/>
                <w:color w:val="auto"/>
                <w:sz w:val="22"/>
                <w:szCs w:val="22"/>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数</w:t>
            </w:r>
          </w:p>
        </w:tc>
      </w:tr>
      <w:tr w14:paraId="5A2A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2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DA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国产化超融合一体机</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0CD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F670">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台</w:t>
            </w:r>
          </w:p>
        </w:tc>
        <w:tc>
          <w:tcPr>
            <w:tcW w:w="1046" w:type="dxa"/>
            <w:vMerge w:val="continue"/>
            <w:tcBorders>
              <w:left w:val="single" w:color="000000" w:sz="4" w:space="0"/>
              <w:right w:val="single" w:color="000000" w:sz="4" w:space="0"/>
            </w:tcBorders>
            <w:shd w:val="clear" w:color="auto" w:fill="auto"/>
            <w:noWrap/>
            <w:vAlign w:val="center"/>
          </w:tcPr>
          <w:p w14:paraId="2C16102F">
            <w:pPr>
              <w:rPr>
                <w:rFonts w:hint="eastAsia" w:ascii="等线" w:hAnsi="等线" w:eastAsia="等线" w:cs="等线"/>
                <w:i w:val="0"/>
                <w:iCs w:val="0"/>
                <w:color w:val="auto"/>
                <w:sz w:val="22"/>
                <w:szCs w:val="22"/>
                <w:highlight w:val="none"/>
                <w:u w:val="none"/>
              </w:rPr>
            </w:pPr>
          </w:p>
        </w:tc>
      </w:tr>
      <w:tr w14:paraId="251C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64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717B">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24口万兆交换机（12个万兆+12千兆）</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508E">
            <w:pPr>
              <w:keepNext w:val="0"/>
              <w:keepLines w:val="0"/>
              <w:widowControl/>
              <w:suppressLineNumbers w:val="0"/>
              <w:jc w:val="center"/>
              <w:textAlignment w:val="center"/>
              <w:rPr>
                <w:rFonts w:hint="eastAsia" w:ascii="等线" w:hAnsi="等线" w:eastAsia="等线" w:cs="等线"/>
                <w:i w:val="0"/>
                <w:iCs w:val="0"/>
                <w:color w:val="auto"/>
                <w:kern w:val="2"/>
                <w:sz w:val="22"/>
                <w:szCs w:val="22"/>
                <w:highlight w:val="none"/>
                <w:u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D58C">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台</w:t>
            </w:r>
          </w:p>
        </w:tc>
        <w:tc>
          <w:tcPr>
            <w:tcW w:w="1046" w:type="dxa"/>
            <w:vMerge w:val="continue"/>
            <w:tcBorders>
              <w:left w:val="single" w:color="000000" w:sz="4" w:space="0"/>
              <w:right w:val="single" w:color="000000" w:sz="4" w:space="0"/>
            </w:tcBorders>
            <w:shd w:val="clear" w:color="auto" w:fill="auto"/>
            <w:noWrap/>
            <w:vAlign w:val="center"/>
          </w:tcPr>
          <w:p w14:paraId="2330FE5C">
            <w:pPr>
              <w:rPr>
                <w:rFonts w:hint="eastAsia" w:ascii="等线" w:hAnsi="等线" w:eastAsia="等线" w:cs="等线"/>
                <w:i w:val="0"/>
                <w:iCs w:val="0"/>
                <w:color w:val="auto"/>
                <w:sz w:val="22"/>
                <w:szCs w:val="22"/>
                <w:highlight w:val="none"/>
                <w:u w:val="none"/>
              </w:rPr>
            </w:pPr>
          </w:p>
        </w:tc>
      </w:tr>
      <w:tr w14:paraId="26C1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FCA6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二、系统改造</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5276">
            <w:pPr>
              <w:rPr>
                <w:rFonts w:hint="eastAsia" w:ascii="等线" w:hAnsi="等线" w:eastAsia="等线" w:cs="等线"/>
                <w:i w:val="0"/>
                <w:iCs w:val="0"/>
                <w:color w:val="auto"/>
                <w:sz w:val="22"/>
                <w:szCs w:val="22"/>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5844">
            <w:pPr>
              <w:rPr>
                <w:rFonts w:hint="eastAsia" w:ascii="等线" w:hAnsi="等线" w:eastAsia="等线" w:cs="等线"/>
                <w:i w:val="0"/>
                <w:iCs w:val="0"/>
                <w:color w:val="auto"/>
                <w:sz w:val="22"/>
                <w:szCs w:val="22"/>
                <w:highlight w:val="none"/>
                <w:u w:val="none"/>
              </w:rPr>
            </w:pPr>
          </w:p>
        </w:tc>
        <w:tc>
          <w:tcPr>
            <w:tcW w:w="1046" w:type="dxa"/>
            <w:vMerge w:val="continue"/>
            <w:tcBorders>
              <w:left w:val="single" w:color="000000" w:sz="4" w:space="0"/>
              <w:right w:val="single" w:color="000000" w:sz="4" w:space="0"/>
            </w:tcBorders>
            <w:shd w:val="clear" w:color="auto" w:fill="auto"/>
            <w:noWrap/>
            <w:vAlign w:val="center"/>
          </w:tcPr>
          <w:p w14:paraId="0B913ABF">
            <w:pPr>
              <w:rPr>
                <w:rFonts w:hint="eastAsia" w:ascii="等线" w:hAnsi="等线" w:eastAsia="等线" w:cs="等线"/>
                <w:i w:val="0"/>
                <w:iCs w:val="0"/>
                <w:color w:val="auto"/>
                <w:sz w:val="22"/>
                <w:szCs w:val="22"/>
                <w:highlight w:val="none"/>
                <w:u w:val="none"/>
              </w:rPr>
            </w:pPr>
          </w:p>
        </w:tc>
      </w:tr>
      <w:tr w14:paraId="331B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B7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B9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数字中台信创改造，包含数据迁移</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6A1F">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AA91">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right w:val="single" w:color="000000" w:sz="4" w:space="0"/>
            </w:tcBorders>
            <w:shd w:val="clear" w:color="auto" w:fill="auto"/>
            <w:noWrap/>
            <w:vAlign w:val="center"/>
          </w:tcPr>
          <w:p w14:paraId="2516E17F">
            <w:pPr>
              <w:rPr>
                <w:rFonts w:hint="eastAsia" w:ascii="等线" w:hAnsi="等线" w:eastAsia="等线" w:cs="等线"/>
                <w:i w:val="0"/>
                <w:iCs w:val="0"/>
                <w:color w:val="auto"/>
                <w:sz w:val="22"/>
                <w:szCs w:val="22"/>
                <w:highlight w:val="none"/>
                <w:u w:val="none"/>
              </w:rPr>
            </w:pPr>
          </w:p>
        </w:tc>
      </w:tr>
      <w:tr w14:paraId="0398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A4E0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三、第三方商业软件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DAF7">
            <w:pPr>
              <w:rPr>
                <w:rFonts w:hint="eastAsia" w:ascii="等线" w:hAnsi="等线" w:eastAsia="等线" w:cs="等线"/>
                <w:i w:val="0"/>
                <w:iCs w:val="0"/>
                <w:color w:val="auto"/>
                <w:sz w:val="22"/>
                <w:szCs w:val="22"/>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1BE7">
            <w:pPr>
              <w:rPr>
                <w:rFonts w:hint="eastAsia" w:ascii="等线" w:hAnsi="等线" w:eastAsia="等线" w:cs="等线"/>
                <w:i w:val="0"/>
                <w:iCs w:val="0"/>
                <w:color w:val="auto"/>
                <w:sz w:val="22"/>
                <w:szCs w:val="22"/>
                <w:highlight w:val="none"/>
                <w:u w:val="none"/>
              </w:rPr>
            </w:pPr>
          </w:p>
        </w:tc>
        <w:tc>
          <w:tcPr>
            <w:tcW w:w="1046" w:type="dxa"/>
            <w:vMerge w:val="continue"/>
            <w:tcBorders>
              <w:left w:val="single" w:color="000000" w:sz="4" w:space="0"/>
              <w:right w:val="single" w:color="000000" w:sz="4" w:space="0"/>
            </w:tcBorders>
            <w:shd w:val="clear" w:color="auto" w:fill="auto"/>
            <w:noWrap/>
            <w:vAlign w:val="center"/>
          </w:tcPr>
          <w:p w14:paraId="2007304B">
            <w:pPr>
              <w:rPr>
                <w:rFonts w:hint="eastAsia" w:ascii="等线" w:hAnsi="等线" w:eastAsia="等线" w:cs="等线"/>
                <w:i w:val="0"/>
                <w:iCs w:val="0"/>
                <w:color w:val="auto"/>
                <w:sz w:val="22"/>
                <w:szCs w:val="22"/>
                <w:highlight w:val="none"/>
                <w:u w:val="none"/>
              </w:rPr>
            </w:pPr>
          </w:p>
        </w:tc>
      </w:tr>
      <w:tr w14:paraId="624A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11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F5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国产Web中间件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AC3F">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0AC2">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套</w:t>
            </w:r>
          </w:p>
        </w:tc>
        <w:tc>
          <w:tcPr>
            <w:tcW w:w="1046" w:type="dxa"/>
            <w:vMerge w:val="continue"/>
            <w:tcBorders>
              <w:left w:val="single" w:color="000000" w:sz="4" w:space="0"/>
              <w:right w:val="single" w:color="000000" w:sz="4" w:space="0"/>
            </w:tcBorders>
            <w:shd w:val="clear" w:color="auto" w:fill="auto"/>
            <w:noWrap/>
            <w:vAlign w:val="center"/>
          </w:tcPr>
          <w:p w14:paraId="7E69D218">
            <w:pPr>
              <w:rPr>
                <w:rFonts w:hint="eastAsia" w:ascii="等线" w:hAnsi="等线" w:eastAsia="等线" w:cs="等线"/>
                <w:i w:val="0"/>
                <w:iCs w:val="0"/>
                <w:color w:val="auto"/>
                <w:sz w:val="22"/>
                <w:szCs w:val="22"/>
                <w:highlight w:val="none"/>
                <w:u w:val="none"/>
              </w:rPr>
            </w:pPr>
          </w:p>
        </w:tc>
      </w:tr>
      <w:tr w14:paraId="3C58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8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3F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国产数据库系统</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594F">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061B">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套</w:t>
            </w:r>
          </w:p>
        </w:tc>
        <w:tc>
          <w:tcPr>
            <w:tcW w:w="1046" w:type="dxa"/>
            <w:vMerge w:val="continue"/>
            <w:tcBorders>
              <w:left w:val="single" w:color="000000" w:sz="4" w:space="0"/>
              <w:right w:val="single" w:color="000000" w:sz="4" w:space="0"/>
            </w:tcBorders>
            <w:shd w:val="clear" w:color="auto" w:fill="auto"/>
            <w:noWrap/>
            <w:vAlign w:val="center"/>
          </w:tcPr>
          <w:p w14:paraId="30D47FAA">
            <w:pPr>
              <w:rPr>
                <w:rFonts w:hint="eastAsia" w:ascii="等线" w:hAnsi="等线" w:eastAsia="等线" w:cs="等线"/>
                <w:i w:val="0"/>
                <w:iCs w:val="0"/>
                <w:color w:val="auto"/>
                <w:sz w:val="22"/>
                <w:szCs w:val="22"/>
                <w:highlight w:val="none"/>
                <w:u w:val="none"/>
              </w:rPr>
            </w:pPr>
          </w:p>
        </w:tc>
      </w:tr>
      <w:tr w14:paraId="7A6E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1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08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国产操作系统</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5E86">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96C6">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套</w:t>
            </w:r>
          </w:p>
        </w:tc>
        <w:tc>
          <w:tcPr>
            <w:tcW w:w="1046" w:type="dxa"/>
            <w:vMerge w:val="continue"/>
            <w:tcBorders>
              <w:left w:val="single" w:color="000000" w:sz="4" w:space="0"/>
              <w:right w:val="single" w:color="000000" w:sz="4" w:space="0"/>
            </w:tcBorders>
            <w:shd w:val="clear" w:color="auto" w:fill="auto"/>
            <w:noWrap/>
            <w:vAlign w:val="center"/>
          </w:tcPr>
          <w:p w14:paraId="21071EC3">
            <w:pPr>
              <w:rPr>
                <w:rFonts w:hint="eastAsia" w:ascii="等线" w:hAnsi="等线" w:eastAsia="等线" w:cs="等线"/>
                <w:i w:val="0"/>
                <w:iCs w:val="0"/>
                <w:color w:val="auto"/>
                <w:sz w:val="22"/>
                <w:szCs w:val="22"/>
                <w:highlight w:val="none"/>
                <w:u w:val="none"/>
              </w:rPr>
            </w:pPr>
          </w:p>
        </w:tc>
      </w:tr>
      <w:tr w14:paraId="0F7C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DB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FA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国产在线预览系统</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D5CC">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D5F7">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套</w:t>
            </w:r>
          </w:p>
        </w:tc>
        <w:tc>
          <w:tcPr>
            <w:tcW w:w="1046" w:type="dxa"/>
            <w:vMerge w:val="continue"/>
            <w:tcBorders>
              <w:left w:val="single" w:color="000000" w:sz="4" w:space="0"/>
              <w:right w:val="single" w:color="000000" w:sz="4" w:space="0"/>
            </w:tcBorders>
            <w:shd w:val="clear" w:color="auto" w:fill="auto"/>
            <w:noWrap/>
            <w:vAlign w:val="center"/>
          </w:tcPr>
          <w:p w14:paraId="11AF85B2">
            <w:pPr>
              <w:rPr>
                <w:rFonts w:hint="eastAsia" w:ascii="等线" w:hAnsi="等线" w:eastAsia="等线" w:cs="等线"/>
                <w:i w:val="0"/>
                <w:iCs w:val="0"/>
                <w:color w:val="auto"/>
                <w:sz w:val="22"/>
                <w:szCs w:val="22"/>
                <w:highlight w:val="none"/>
                <w:u w:val="none"/>
              </w:rPr>
            </w:pPr>
          </w:p>
        </w:tc>
      </w:tr>
      <w:tr w14:paraId="5EF3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33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79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国产在线编辑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BB85">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F327">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套</w:t>
            </w:r>
          </w:p>
        </w:tc>
        <w:tc>
          <w:tcPr>
            <w:tcW w:w="1046" w:type="dxa"/>
            <w:vMerge w:val="continue"/>
            <w:tcBorders>
              <w:left w:val="single" w:color="000000" w:sz="4" w:space="0"/>
              <w:right w:val="single" w:color="000000" w:sz="4" w:space="0"/>
            </w:tcBorders>
            <w:shd w:val="clear" w:color="auto" w:fill="auto"/>
            <w:noWrap/>
            <w:vAlign w:val="center"/>
          </w:tcPr>
          <w:p w14:paraId="002A603D">
            <w:pPr>
              <w:rPr>
                <w:rFonts w:hint="eastAsia" w:ascii="等线" w:hAnsi="等线" w:eastAsia="等线" w:cs="等线"/>
                <w:i w:val="0"/>
                <w:iCs w:val="0"/>
                <w:color w:val="auto"/>
                <w:sz w:val="22"/>
                <w:szCs w:val="22"/>
                <w:highlight w:val="none"/>
                <w:u w:val="none"/>
              </w:rPr>
            </w:pPr>
          </w:p>
        </w:tc>
      </w:tr>
      <w:tr w14:paraId="4405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2179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四、安全配套建设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24E2">
            <w:pPr>
              <w:rPr>
                <w:rFonts w:hint="eastAsia" w:ascii="等线" w:hAnsi="等线" w:eastAsia="等线" w:cs="等线"/>
                <w:i w:val="0"/>
                <w:iCs w:val="0"/>
                <w:color w:val="auto"/>
                <w:sz w:val="22"/>
                <w:szCs w:val="22"/>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C3A1">
            <w:pPr>
              <w:rPr>
                <w:rFonts w:hint="eastAsia" w:ascii="等线" w:hAnsi="等线" w:eastAsia="等线" w:cs="等线"/>
                <w:i w:val="0"/>
                <w:iCs w:val="0"/>
                <w:color w:val="auto"/>
                <w:sz w:val="22"/>
                <w:szCs w:val="22"/>
                <w:highlight w:val="none"/>
                <w:u w:val="none"/>
              </w:rPr>
            </w:pPr>
          </w:p>
        </w:tc>
        <w:tc>
          <w:tcPr>
            <w:tcW w:w="1046" w:type="dxa"/>
            <w:vMerge w:val="continue"/>
            <w:tcBorders>
              <w:left w:val="single" w:color="000000" w:sz="4" w:space="0"/>
              <w:right w:val="single" w:color="000000" w:sz="4" w:space="0"/>
            </w:tcBorders>
            <w:shd w:val="clear" w:color="auto" w:fill="auto"/>
            <w:noWrap/>
            <w:vAlign w:val="center"/>
          </w:tcPr>
          <w:p w14:paraId="4DCA0846">
            <w:pPr>
              <w:rPr>
                <w:rFonts w:hint="eastAsia" w:ascii="等线" w:hAnsi="等线" w:eastAsia="等线" w:cs="等线"/>
                <w:i w:val="0"/>
                <w:iCs w:val="0"/>
                <w:color w:val="auto"/>
                <w:sz w:val="22"/>
                <w:szCs w:val="22"/>
                <w:highlight w:val="none"/>
                <w:u w:val="none"/>
              </w:rPr>
            </w:pPr>
          </w:p>
        </w:tc>
      </w:tr>
      <w:tr w14:paraId="1D81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9A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31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WAF（1个一级域名和10个二级域名）</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C818">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D2BD">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right w:val="single" w:color="000000" w:sz="4" w:space="0"/>
            </w:tcBorders>
            <w:shd w:val="clear" w:color="auto" w:fill="auto"/>
            <w:noWrap/>
            <w:vAlign w:val="center"/>
          </w:tcPr>
          <w:p w14:paraId="49ABCC86">
            <w:pPr>
              <w:rPr>
                <w:rFonts w:hint="eastAsia" w:ascii="等线" w:hAnsi="等线" w:eastAsia="等线" w:cs="等线"/>
                <w:i w:val="0"/>
                <w:iCs w:val="0"/>
                <w:color w:val="auto"/>
                <w:sz w:val="22"/>
                <w:szCs w:val="22"/>
                <w:highlight w:val="none"/>
                <w:u w:val="none"/>
              </w:rPr>
            </w:pPr>
          </w:p>
        </w:tc>
      </w:tr>
      <w:tr w14:paraId="0D56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D1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D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运维堡垒机（20个资产管理）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5885">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CC03">
            <w:pPr>
              <w:jc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right w:val="single" w:color="000000" w:sz="4" w:space="0"/>
            </w:tcBorders>
            <w:shd w:val="clear" w:color="auto" w:fill="auto"/>
            <w:noWrap/>
            <w:vAlign w:val="center"/>
          </w:tcPr>
          <w:p w14:paraId="275C9104">
            <w:pPr>
              <w:rPr>
                <w:rFonts w:hint="eastAsia" w:ascii="等线" w:hAnsi="等线" w:eastAsia="等线" w:cs="等线"/>
                <w:i w:val="0"/>
                <w:iCs w:val="0"/>
                <w:color w:val="auto"/>
                <w:sz w:val="22"/>
                <w:szCs w:val="22"/>
                <w:highlight w:val="none"/>
                <w:u w:val="none"/>
              </w:rPr>
            </w:pPr>
          </w:p>
        </w:tc>
      </w:tr>
      <w:tr w14:paraId="5E1D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D8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B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主机防护EDR（6个资产主机防护）</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2DCF">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C972">
            <w:pPr>
              <w:jc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right w:val="single" w:color="000000" w:sz="4" w:space="0"/>
            </w:tcBorders>
            <w:shd w:val="clear" w:color="auto" w:fill="auto"/>
            <w:noWrap/>
            <w:vAlign w:val="center"/>
          </w:tcPr>
          <w:p w14:paraId="4DD3BFEF">
            <w:pPr>
              <w:rPr>
                <w:rFonts w:hint="eastAsia" w:ascii="等线" w:hAnsi="等线" w:eastAsia="等线" w:cs="等线"/>
                <w:i w:val="0"/>
                <w:iCs w:val="0"/>
                <w:color w:val="auto"/>
                <w:sz w:val="22"/>
                <w:szCs w:val="22"/>
                <w:highlight w:val="none"/>
                <w:u w:val="none"/>
              </w:rPr>
            </w:pPr>
          </w:p>
        </w:tc>
      </w:tr>
      <w:tr w14:paraId="3E78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76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3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云下一代防火墙（500M吞吐量）</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E6D2">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4110">
            <w:pPr>
              <w:jc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right w:val="single" w:color="000000" w:sz="4" w:space="0"/>
            </w:tcBorders>
            <w:shd w:val="clear" w:color="auto" w:fill="auto"/>
            <w:noWrap/>
            <w:vAlign w:val="center"/>
          </w:tcPr>
          <w:p w14:paraId="70D78C61">
            <w:pPr>
              <w:rPr>
                <w:rFonts w:hint="eastAsia" w:ascii="等线" w:hAnsi="等线" w:eastAsia="等线" w:cs="等线"/>
                <w:i w:val="0"/>
                <w:iCs w:val="0"/>
                <w:color w:val="auto"/>
                <w:sz w:val="22"/>
                <w:szCs w:val="22"/>
                <w:highlight w:val="none"/>
                <w:u w:val="none"/>
              </w:rPr>
            </w:pPr>
          </w:p>
        </w:tc>
      </w:tr>
      <w:tr w14:paraId="4F77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59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FF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网页防篡改（1个网站）</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9FD9">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99A2">
            <w:pPr>
              <w:jc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right w:val="single" w:color="000000" w:sz="4" w:space="0"/>
            </w:tcBorders>
            <w:shd w:val="clear" w:color="auto" w:fill="auto"/>
            <w:noWrap/>
            <w:vAlign w:val="center"/>
          </w:tcPr>
          <w:p w14:paraId="4F640DC7">
            <w:pPr>
              <w:rPr>
                <w:rFonts w:hint="eastAsia" w:ascii="等线" w:hAnsi="等线" w:eastAsia="等线" w:cs="等线"/>
                <w:i w:val="0"/>
                <w:iCs w:val="0"/>
                <w:color w:val="auto"/>
                <w:sz w:val="22"/>
                <w:szCs w:val="22"/>
                <w:highlight w:val="none"/>
                <w:u w:val="none"/>
              </w:rPr>
            </w:pPr>
          </w:p>
        </w:tc>
      </w:tr>
      <w:tr w14:paraId="60D7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9F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0E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日志审计（10个日志源）</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42FC">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D374">
            <w:pPr>
              <w:jc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right w:val="single" w:color="000000" w:sz="4" w:space="0"/>
            </w:tcBorders>
            <w:shd w:val="clear" w:color="auto" w:fill="auto"/>
            <w:noWrap/>
            <w:vAlign w:val="center"/>
          </w:tcPr>
          <w:p w14:paraId="56F0CCC5">
            <w:pPr>
              <w:rPr>
                <w:rFonts w:hint="eastAsia" w:ascii="等线" w:hAnsi="等线" w:eastAsia="等线" w:cs="等线"/>
                <w:i w:val="0"/>
                <w:iCs w:val="0"/>
                <w:color w:val="auto"/>
                <w:sz w:val="22"/>
                <w:szCs w:val="22"/>
                <w:highlight w:val="none"/>
                <w:u w:val="none"/>
              </w:rPr>
            </w:pPr>
          </w:p>
        </w:tc>
      </w:tr>
      <w:tr w14:paraId="2E90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7C5C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五、其他配套环境建设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248B">
            <w:pPr>
              <w:rPr>
                <w:rFonts w:hint="eastAsia" w:ascii="等线" w:hAnsi="等线" w:eastAsia="等线" w:cs="等线"/>
                <w:i w:val="0"/>
                <w:iCs w:val="0"/>
                <w:color w:val="auto"/>
                <w:sz w:val="22"/>
                <w:szCs w:val="22"/>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D7B6">
            <w:pPr>
              <w:rPr>
                <w:rFonts w:hint="eastAsia" w:ascii="等线" w:hAnsi="等线" w:eastAsia="等线" w:cs="等线"/>
                <w:i w:val="0"/>
                <w:iCs w:val="0"/>
                <w:color w:val="auto"/>
                <w:sz w:val="22"/>
                <w:szCs w:val="22"/>
                <w:highlight w:val="none"/>
                <w:u w:val="none"/>
              </w:rPr>
            </w:pPr>
          </w:p>
        </w:tc>
        <w:tc>
          <w:tcPr>
            <w:tcW w:w="1046" w:type="dxa"/>
            <w:vMerge w:val="continue"/>
            <w:tcBorders>
              <w:left w:val="single" w:color="000000" w:sz="4" w:space="0"/>
              <w:right w:val="single" w:color="000000" w:sz="4" w:space="0"/>
            </w:tcBorders>
            <w:shd w:val="clear" w:color="auto" w:fill="auto"/>
            <w:noWrap/>
            <w:vAlign w:val="center"/>
          </w:tcPr>
          <w:p w14:paraId="1386C47F">
            <w:pPr>
              <w:rPr>
                <w:rFonts w:hint="eastAsia" w:ascii="等线" w:hAnsi="等线" w:eastAsia="等线" w:cs="等线"/>
                <w:i w:val="0"/>
                <w:iCs w:val="0"/>
                <w:color w:val="auto"/>
                <w:sz w:val="22"/>
                <w:szCs w:val="22"/>
                <w:highlight w:val="none"/>
                <w:u w:val="none"/>
              </w:rPr>
            </w:pPr>
          </w:p>
        </w:tc>
      </w:tr>
      <w:tr w14:paraId="46FB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AD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69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托管服务（含IDC机柜和出口带宽）</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1C80">
            <w:pPr>
              <w:jc w:val="center"/>
              <w:rPr>
                <w:rFonts w:hint="eastAsia"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31FF">
            <w:pPr>
              <w:jc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right w:val="single" w:color="000000" w:sz="4" w:space="0"/>
            </w:tcBorders>
            <w:shd w:val="clear" w:color="auto" w:fill="auto"/>
            <w:noWrap/>
            <w:vAlign w:val="center"/>
          </w:tcPr>
          <w:p w14:paraId="4D90FA6F">
            <w:pPr>
              <w:rPr>
                <w:rFonts w:hint="eastAsia" w:ascii="等线" w:hAnsi="等线" w:eastAsia="等线" w:cs="等线"/>
                <w:i w:val="0"/>
                <w:iCs w:val="0"/>
                <w:color w:val="auto"/>
                <w:sz w:val="22"/>
                <w:szCs w:val="22"/>
                <w:highlight w:val="none"/>
                <w:u w:val="none"/>
              </w:rPr>
            </w:pPr>
          </w:p>
        </w:tc>
      </w:tr>
      <w:tr w14:paraId="7C2A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C3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03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等保测评</w:t>
            </w:r>
            <w:r>
              <w:rPr>
                <w:rFonts w:hint="eastAsia" w:ascii="宋体" w:hAnsi="宋体" w:cs="宋体"/>
                <w:i w:val="0"/>
                <w:iCs w:val="0"/>
                <w:color w:val="auto"/>
                <w:kern w:val="0"/>
                <w:sz w:val="22"/>
                <w:szCs w:val="22"/>
                <w:highlight w:val="none"/>
                <w:u w:val="none"/>
                <w:lang w:val="en-US" w:eastAsia="zh-CN" w:bidi="ar"/>
              </w:rPr>
              <w:t>(含OA办公系统、网站）</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7384">
            <w:pPr>
              <w:jc w:val="center"/>
              <w:rPr>
                <w:rFonts w:hint="default"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3F23">
            <w:pPr>
              <w:jc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right w:val="single" w:color="000000" w:sz="4" w:space="0"/>
            </w:tcBorders>
            <w:shd w:val="clear" w:color="auto" w:fill="auto"/>
            <w:noWrap/>
            <w:vAlign w:val="center"/>
          </w:tcPr>
          <w:p w14:paraId="498359E6">
            <w:pPr>
              <w:rPr>
                <w:rFonts w:hint="eastAsia" w:ascii="等线" w:hAnsi="等线" w:eastAsia="等线" w:cs="等线"/>
                <w:i w:val="0"/>
                <w:iCs w:val="0"/>
                <w:color w:val="auto"/>
                <w:sz w:val="22"/>
                <w:szCs w:val="22"/>
                <w:highlight w:val="none"/>
                <w:u w:val="none"/>
              </w:rPr>
            </w:pPr>
          </w:p>
        </w:tc>
      </w:tr>
      <w:tr w14:paraId="6598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FB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09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信创实验室测评</w:t>
            </w:r>
            <w:r>
              <w:rPr>
                <w:rFonts w:hint="eastAsia" w:ascii="宋体" w:hAnsi="宋体" w:cs="宋体"/>
                <w:i w:val="0"/>
                <w:iCs w:val="0"/>
                <w:color w:val="auto"/>
                <w:kern w:val="0"/>
                <w:sz w:val="22"/>
                <w:szCs w:val="22"/>
                <w:highlight w:val="none"/>
                <w:u w:val="none"/>
                <w:lang w:val="en-US" w:eastAsia="zh-CN" w:bidi="ar"/>
              </w:rPr>
              <w:t>(含OA办公系统、网站）</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C331">
            <w:pPr>
              <w:jc w:val="center"/>
              <w:rPr>
                <w:rFonts w:hint="default" w:ascii="等线" w:hAnsi="等线" w:eastAsia="等线" w:cs="等线"/>
                <w:i w:val="0"/>
                <w:iCs w:val="0"/>
                <w:color w:val="auto"/>
                <w:sz w:val="22"/>
                <w:szCs w:val="22"/>
                <w:highlight w:val="none"/>
                <w:u w:val="none"/>
                <w:lang w:val="en-US" w:eastAsia="zh-CN"/>
              </w:rPr>
            </w:pPr>
            <w:r>
              <w:rPr>
                <w:rFonts w:hint="eastAsia" w:ascii="等线" w:hAnsi="等线" w:eastAsia="等线" w:cs="等线"/>
                <w:i w:val="0"/>
                <w:iCs w:val="0"/>
                <w:color w:val="auto"/>
                <w:sz w:val="22"/>
                <w:szCs w:val="22"/>
                <w:highlight w:val="none"/>
                <w:u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327B">
            <w:pPr>
              <w:jc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sz w:val="22"/>
                <w:szCs w:val="22"/>
                <w:highlight w:val="none"/>
                <w:u w:val="none"/>
                <w:lang w:val="en-US" w:eastAsia="zh-CN"/>
              </w:rPr>
              <w:t>项</w:t>
            </w:r>
          </w:p>
        </w:tc>
        <w:tc>
          <w:tcPr>
            <w:tcW w:w="1046" w:type="dxa"/>
            <w:vMerge w:val="continue"/>
            <w:tcBorders>
              <w:left w:val="single" w:color="000000" w:sz="4" w:space="0"/>
              <w:bottom w:val="single" w:color="000000" w:sz="4" w:space="0"/>
              <w:right w:val="single" w:color="000000" w:sz="4" w:space="0"/>
            </w:tcBorders>
            <w:shd w:val="clear" w:color="auto" w:fill="auto"/>
            <w:noWrap/>
            <w:vAlign w:val="center"/>
          </w:tcPr>
          <w:p w14:paraId="7A476698">
            <w:pPr>
              <w:rPr>
                <w:rFonts w:hint="eastAsia" w:ascii="等线" w:hAnsi="等线" w:eastAsia="等线" w:cs="等线"/>
                <w:i w:val="0"/>
                <w:iCs w:val="0"/>
                <w:color w:val="auto"/>
                <w:sz w:val="22"/>
                <w:szCs w:val="22"/>
                <w:highlight w:val="none"/>
                <w:u w:val="none"/>
              </w:rPr>
            </w:pPr>
          </w:p>
        </w:tc>
      </w:tr>
    </w:tbl>
    <w:p w14:paraId="3ED30A2F">
      <w:pPr>
        <w:pStyle w:val="2"/>
        <w:rPr>
          <w:rFonts w:hint="default"/>
          <w:color w:val="auto"/>
          <w:highlight w:val="none"/>
          <w:lang w:val="en-US" w:eastAsia="zh-CN"/>
        </w:rPr>
      </w:pPr>
    </w:p>
    <w:p w14:paraId="0359098B">
      <w:pPr>
        <w:pStyle w:val="3"/>
        <w:rPr>
          <w:rFonts w:hint="default"/>
          <w:color w:val="auto"/>
          <w:highlight w:val="none"/>
          <w:lang w:val="en-US" w:eastAsia="zh-CN"/>
        </w:rPr>
      </w:pPr>
    </w:p>
    <w:p w14:paraId="5C69DBED">
      <w:pPr>
        <w:pStyle w:val="3"/>
        <w:numPr>
          <w:ilvl w:val="0"/>
          <w:numId w:val="23"/>
        </w:numPr>
        <w:rPr>
          <w:rFonts w:hint="eastAsia"/>
          <w:color w:val="auto"/>
          <w:highlight w:val="none"/>
          <w:lang w:val="en-US" w:eastAsia="zh-CN"/>
        </w:rPr>
      </w:pPr>
      <w:r>
        <w:rPr>
          <w:rFonts w:hint="eastAsia"/>
          <w:color w:val="auto"/>
          <w:highlight w:val="none"/>
          <w:lang w:val="en-US" w:eastAsia="zh-CN"/>
        </w:rPr>
        <w:t>实施范围和项目工期</w:t>
      </w:r>
    </w:p>
    <w:p w14:paraId="46516F28">
      <w:pPr>
        <w:pStyle w:val="4"/>
        <w:numPr>
          <w:ilvl w:val="0"/>
          <w:numId w:val="0"/>
        </w:numPr>
        <w:rPr>
          <w:rFonts w:hint="eastAsia"/>
          <w:b/>
          <w:bCs/>
          <w:color w:val="auto"/>
          <w:sz w:val="22"/>
          <w:szCs w:val="22"/>
          <w:highlight w:val="none"/>
          <w:lang w:val="en-US" w:eastAsia="zh-CN"/>
        </w:rPr>
      </w:pPr>
      <w:r>
        <w:rPr>
          <w:rFonts w:hint="eastAsia"/>
          <w:color w:val="auto"/>
          <w:highlight w:val="none"/>
          <w:lang w:val="en-US" w:eastAsia="zh-CN"/>
        </w:rPr>
        <w:t xml:space="preserve">     </w:t>
      </w:r>
      <w:r>
        <w:rPr>
          <w:rFonts w:hint="eastAsia"/>
          <w:b w:val="0"/>
          <w:bCs w:val="0"/>
          <w:color w:val="auto"/>
          <w:sz w:val="22"/>
          <w:szCs w:val="22"/>
          <w:highlight w:val="none"/>
          <w:lang w:val="en-US" w:eastAsia="zh-CN"/>
        </w:rPr>
        <w:t>实施范围：温州市交通发展集团有限公司</w:t>
      </w:r>
    </w:p>
    <w:p w14:paraId="6E6D71DB">
      <w:pPr>
        <w:pStyle w:val="5"/>
        <w:ind w:left="0" w:leftChars="0" w:firstLine="440" w:firstLineChars="200"/>
        <w:rPr>
          <w:rFonts w:hint="eastAsia" w:ascii="宋体" w:hAnsi="宋体" w:eastAsia="宋体" w:cs="宋体"/>
          <w:b w:val="0"/>
          <w:bCs w:val="0"/>
          <w:color w:val="auto"/>
          <w:sz w:val="22"/>
          <w:szCs w:val="22"/>
          <w:highlight w:val="none"/>
        </w:rPr>
      </w:pPr>
      <w:r>
        <w:rPr>
          <w:rFonts w:hint="eastAsia"/>
          <w:b w:val="0"/>
          <w:bCs w:val="0"/>
          <w:color w:val="auto"/>
          <w:sz w:val="22"/>
          <w:szCs w:val="22"/>
          <w:highlight w:val="none"/>
          <w:lang w:val="en-US" w:eastAsia="zh-CN"/>
        </w:rPr>
        <w:t>项目工期：合同签订后3个月为开发实施期，</w:t>
      </w:r>
      <w:r>
        <w:rPr>
          <w:rFonts w:hint="eastAsia" w:ascii="宋体" w:hAnsi="宋体" w:eastAsia="宋体" w:cs="宋体"/>
          <w:b w:val="0"/>
          <w:bCs w:val="0"/>
          <w:color w:val="auto"/>
          <w:sz w:val="22"/>
          <w:szCs w:val="22"/>
          <w:highlight w:val="none"/>
        </w:rPr>
        <w:t>在工期内完成供货安装调试，完成系统各模块的需求调研、实施开发、使用培训</w:t>
      </w:r>
      <w:r>
        <w:rPr>
          <w:rFonts w:hint="eastAsia" w:ascii="宋体" w:hAnsi="宋体" w:cs="宋体"/>
          <w:b w:val="0"/>
          <w:bCs w:val="0"/>
          <w:color w:val="auto"/>
          <w:sz w:val="22"/>
          <w:szCs w:val="22"/>
          <w:highlight w:val="none"/>
          <w:lang w:eastAsia="zh-CN"/>
        </w:rPr>
        <w:t>，</w:t>
      </w:r>
      <w:r>
        <w:rPr>
          <w:rFonts w:hint="eastAsia" w:ascii="宋体" w:hAnsi="宋体" w:cs="宋体"/>
          <w:b/>
          <w:bCs/>
          <w:color w:val="auto"/>
          <w:sz w:val="22"/>
          <w:szCs w:val="22"/>
          <w:highlight w:val="none"/>
          <w:lang w:val="en-US" w:eastAsia="zh-CN"/>
        </w:rPr>
        <w:t>在2024年9月25日前必须取得信创实验室测评认证</w:t>
      </w:r>
      <w:r>
        <w:rPr>
          <w:rFonts w:hint="eastAsia" w:ascii="宋体" w:hAnsi="宋体" w:eastAsia="宋体" w:cs="宋体"/>
          <w:b/>
          <w:bCs/>
          <w:color w:val="auto"/>
          <w:sz w:val="22"/>
          <w:szCs w:val="22"/>
          <w:highlight w:val="none"/>
        </w:rPr>
        <w:t>。</w:t>
      </w:r>
    </w:p>
    <w:p w14:paraId="137D7682">
      <w:pPr>
        <w:numPr>
          <w:ilvl w:val="0"/>
          <w:numId w:val="23"/>
        </w:numPr>
        <w:ind w:left="0" w:leftChars="0" w:firstLine="0" w:firstLineChars="0"/>
        <w:rPr>
          <w:rFonts w:hint="eastAsia"/>
          <w:b/>
          <w:bCs/>
          <w:color w:val="auto"/>
          <w:highlight w:val="none"/>
          <w:lang w:val="en-US" w:eastAsia="zh-CN"/>
        </w:rPr>
      </w:pPr>
      <w:r>
        <w:rPr>
          <w:rFonts w:hint="eastAsia"/>
          <w:b/>
          <w:bCs/>
          <w:color w:val="auto"/>
          <w:highlight w:val="none"/>
          <w:lang w:val="en-US" w:eastAsia="zh-CN"/>
        </w:rPr>
        <w:t>项目建设要求</w:t>
      </w:r>
    </w:p>
    <w:p w14:paraId="4A42574E">
      <w:pPr>
        <w:pStyle w:val="2"/>
        <w:keepNext w:val="0"/>
        <w:keepLines w:val="0"/>
        <w:pageBreakBefore w:val="0"/>
        <w:numPr>
          <w:ilvl w:val="0"/>
          <w:numId w:val="0"/>
        </w:numPr>
        <w:kinsoku/>
        <w:wordWrap/>
        <w:topLinePunct w:val="0"/>
        <w:bidi w:val="0"/>
        <w:snapToGrid/>
        <w:spacing w:line="360" w:lineRule="auto"/>
        <w:ind w:leftChars="0" w:firstLine="442" w:firstLineChars="200"/>
        <w:rPr>
          <w:rFonts w:hint="eastAsia" w:hAnsi="宋体" w:cs="宋体"/>
          <w:b/>
          <w:bCs w:val="0"/>
          <w:color w:val="auto"/>
          <w:sz w:val="22"/>
          <w:szCs w:val="22"/>
          <w:highlight w:val="none"/>
          <w:u w:val="single"/>
          <w:lang w:eastAsia="zh-CN"/>
        </w:rPr>
      </w:pPr>
      <w:r>
        <w:rPr>
          <w:rFonts w:hint="eastAsia" w:ascii="宋体" w:hAnsi="宋体" w:eastAsia="宋体" w:cs="宋体"/>
          <w:b/>
          <w:bCs w:val="0"/>
          <w:color w:val="auto"/>
          <w:sz w:val="22"/>
          <w:szCs w:val="22"/>
          <w:highlight w:val="none"/>
          <w:u w:val="single"/>
        </w:rPr>
        <w:t>▲</w:t>
      </w:r>
      <w:r>
        <w:rPr>
          <w:rFonts w:hint="eastAsia" w:hAnsi="宋体" w:cs="宋体"/>
          <w:b/>
          <w:bCs w:val="0"/>
          <w:color w:val="auto"/>
          <w:sz w:val="22"/>
          <w:szCs w:val="22"/>
          <w:highlight w:val="none"/>
          <w:u w:val="single"/>
          <w:lang w:val="en-US" w:eastAsia="zh-CN"/>
        </w:rPr>
        <w:t>1</w:t>
      </w:r>
      <w:r>
        <w:rPr>
          <w:rFonts w:hint="eastAsia" w:ascii="宋体" w:hAnsi="宋体" w:eastAsia="宋体" w:cs="宋体"/>
          <w:b/>
          <w:bCs w:val="0"/>
          <w:color w:val="auto"/>
          <w:sz w:val="22"/>
          <w:szCs w:val="22"/>
          <w:highlight w:val="none"/>
          <w:u w:val="single"/>
        </w:rPr>
        <w:t>、</w:t>
      </w:r>
      <w:r>
        <w:rPr>
          <w:rFonts w:hint="eastAsia" w:hAnsi="宋体" w:cs="宋体"/>
          <w:b/>
          <w:bCs w:val="0"/>
          <w:color w:val="auto"/>
          <w:sz w:val="22"/>
          <w:szCs w:val="22"/>
          <w:highlight w:val="none"/>
          <w:u w:val="single"/>
          <w:lang w:val="en-US" w:eastAsia="zh-CN"/>
        </w:rPr>
        <w:t>交发集团现有</w:t>
      </w:r>
      <w:r>
        <w:rPr>
          <w:rFonts w:hint="eastAsia" w:ascii="宋体" w:hAnsi="宋体" w:cs="宋体"/>
          <w:b/>
          <w:bCs w:val="0"/>
          <w:color w:val="auto"/>
          <w:sz w:val="22"/>
          <w:szCs w:val="22"/>
          <w:highlight w:val="none"/>
          <w:u w:val="single"/>
          <w:lang w:val="en-US" w:eastAsia="zh-CN"/>
        </w:rPr>
        <w:t>OA</w:t>
      </w:r>
      <w:r>
        <w:rPr>
          <w:rFonts w:hint="eastAsia" w:ascii="宋体" w:hAnsi="宋体" w:eastAsia="宋体" w:cs="宋体"/>
          <w:b/>
          <w:bCs w:val="0"/>
          <w:color w:val="auto"/>
          <w:sz w:val="22"/>
          <w:szCs w:val="22"/>
          <w:highlight w:val="none"/>
          <w:u w:val="single"/>
        </w:rPr>
        <w:t>系统已使用多年，覆盖</w:t>
      </w:r>
      <w:r>
        <w:rPr>
          <w:rFonts w:hint="eastAsia" w:hAnsi="宋体" w:cs="宋体"/>
          <w:b/>
          <w:bCs w:val="0"/>
          <w:color w:val="auto"/>
          <w:sz w:val="22"/>
          <w:szCs w:val="22"/>
          <w:highlight w:val="none"/>
          <w:u w:val="single"/>
          <w:lang w:val="en-US" w:eastAsia="zh-CN"/>
        </w:rPr>
        <w:t>全</w:t>
      </w:r>
      <w:r>
        <w:rPr>
          <w:rFonts w:hint="eastAsia" w:ascii="宋体" w:hAnsi="宋体" w:eastAsia="宋体" w:cs="宋体"/>
          <w:b/>
          <w:bCs w:val="0"/>
          <w:color w:val="auto"/>
          <w:sz w:val="22"/>
          <w:szCs w:val="22"/>
          <w:highlight w:val="none"/>
          <w:u w:val="single"/>
        </w:rPr>
        <w:t>集团</w:t>
      </w:r>
      <w:r>
        <w:rPr>
          <w:rFonts w:hint="eastAsia" w:hAnsi="宋体" w:cs="宋体"/>
          <w:b/>
          <w:bCs w:val="0"/>
          <w:color w:val="auto"/>
          <w:sz w:val="22"/>
          <w:szCs w:val="22"/>
          <w:highlight w:val="none"/>
          <w:u w:val="single"/>
          <w:lang w:val="en-US" w:eastAsia="zh-CN"/>
        </w:rPr>
        <w:t>所有企业</w:t>
      </w:r>
      <w:r>
        <w:rPr>
          <w:rFonts w:hint="eastAsia" w:ascii="宋体" w:hAnsi="宋体" w:eastAsia="宋体" w:cs="宋体"/>
          <w:b/>
          <w:bCs w:val="0"/>
          <w:color w:val="auto"/>
          <w:sz w:val="22"/>
          <w:szCs w:val="22"/>
          <w:highlight w:val="none"/>
          <w:u w:val="single"/>
        </w:rPr>
        <w:t>，</w:t>
      </w:r>
      <w:r>
        <w:rPr>
          <w:rFonts w:hint="eastAsia" w:hAnsi="宋体" w:cs="宋体"/>
          <w:b/>
          <w:bCs w:val="0"/>
          <w:color w:val="auto"/>
          <w:sz w:val="22"/>
          <w:szCs w:val="22"/>
          <w:highlight w:val="none"/>
          <w:u w:val="single"/>
          <w:lang w:val="en-US" w:eastAsia="zh-CN"/>
        </w:rPr>
        <w:t>与财务、CBS等系统实现互通，</w:t>
      </w:r>
      <w:r>
        <w:rPr>
          <w:rFonts w:hint="eastAsia" w:ascii="宋体" w:hAnsi="宋体" w:eastAsia="宋体" w:cs="宋体"/>
          <w:b/>
          <w:bCs w:val="0"/>
          <w:color w:val="auto"/>
          <w:sz w:val="22"/>
          <w:szCs w:val="22"/>
          <w:highlight w:val="none"/>
          <w:u w:val="single"/>
        </w:rPr>
        <w:t>现有大</w:t>
      </w:r>
      <w:r>
        <w:rPr>
          <w:rFonts w:hint="eastAsia" w:hAnsi="宋体" w:cs="宋体"/>
          <w:b/>
          <w:bCs w:val="0"/>
          <w:color w:val="auto"/>
          <w:sz w:val="22"/>
          <w:szCs w:val="22"/>
          <w:highlight w:val="none"/>
          <w:u w:val="single"/>
          <w:lang w:val="en-US" w:eastAsia="zh-CN"/>
        </w:rPr>
        <w:t>约800条</w:t>
      </w:r>
      <w:r>
        <w:rPr>
          <w:rFonts w:hint="eastAsia" w:ascii="宋体" w:hAnsi="宋体" w:eastAsia="宋体" w:cs="宋体"/>
          <w:b/>
          <w:bCs w:val="0"/>
          <w:color w:val="auto"/>
          <w:sz w:val="22"/>
          <w:szCs w:val="22"/>
          <w:highlight w:val="none"/>
          <w:u w:val="single"/>
        </w:rPr>
        <w:t>业务流程，积累了大量的的历史数据，中标人需提供</w:t>
      </w:r>
      <w:r>
        <w:rPr>
          <w:rFonts w:hint="eastAsia" w:hAnsi="宋体" w:cs="宋体"/>
          <w:b/>
          <w:bCs w:val="0"/>
          <w:color w:val="auto"/>
          <w:sz w:val="22"/>
          <w:szCs w:val="22"/>
          <w:highlight w:val="none"/>
          <w:u w:val="single"/>
          <w:lang w:val="en-US" w:eastAsia="zh-CN"/>
        </w:rPr>
        <w:t>现有</w:t>
      </w:r>
      <w:r>
        <w:rPr>
          <w:rFonts w:hint="eastAsia" w:ascii="宋体" w:hAnsi="宋体" w:cs="宋体"/>
          <w:b/>
          <w:bCs w:val="0"/>
          <w:color w:val="auto"/>
          <w:sz w:val="22"/>
          <w:szCs w:val="22"/>
          <w:highlight w:val="none"/>
          <w:u w:val="single"/>
          <w:lang w:val="en-US" w:eastAsia="zh-CN"/>
        </w:rPr>
        <w:t>OA</w:t>
      </w:r>
      <w:r>
        <w:rPr>
          <w:rFonts w:hint="eastAsia" w:ascii="宋体" w:hAnsi="宋体" w:eastAsia="宋体" w:cs="宋体"/>
          <w:b/>
          <w:bCs w:val="0"/>
          <w:color w:val="auto"/>
          <w:sz w:val="22"/>
          <w:szCs w:val="22"/>
          <w:highlight w:val="none"/>
          <w:u w:val="single"/>
        </w:rPr>
        <w:t>系统全量历史数据迁移及所有功能业务有效延续的方案及服务</w:t>
      </w:r>
      <w:r>
        <w:rPr>
          <w:rFonts w:hint="eastAsia" w:hAnsi="宋体" w:cs="宋体"/>
          <w:b/>
          <w:bCs w:val="0"/>
          <w:color w:val="auto"/>
          <w:sz w:val="22"/>
          <w:szCs w:val="22"/>
          <w:highlight w:val="none"/>
          <w:u w:val="single"/>
          <w:lang w:eastAsia="zh-CN"/>
        </w:rPr>
        <w:t>，</w:t>
      </w:r>
      <w:r>
        <w:rPr>
          <w:rFonts w:hint="eastAsia" w:hAnsi="宋体" w:cs="宋体"/>
          <w:b/>
          <w:bCs w:val="0"/>
          <w:color w:val="auto"/>
          <w:sz w:val="22"/>
          <w:szCs w:val="22"/>
          <w:highlight w:val="none"/>
          <w:u w:val="single"/>
          <w:lang w:val="en-US" w:eastAsia="zh-CN"/>
        </w:rPr>
        <w:t>并</w:t>
      </w:r>
      <w:r>
        <w:rPr>
          <w:rFonts w:hint="eastAsia" w:ascii="宋体" w:hAnsi="宋体" w:eastAsia="宋体" w:cs="宋体"/>
          <w:b/>
          <w:bCs w:val="0"/>
          <w:color w:val="auto"/>
          <w:sz w:val="22"/>
          <w:szCs w:val="22"/>
          <w:highlight w:val="none"/>
          <w:u w:val="single"/>
        </w:rPr>
        <w:t>结合</w:t>
      </w:r>
      <w:r>
        <w:rPr>
          <w:rFonts w:hint="eastAsia" w:hAnsi="宋体" w:cs="宋体"/>
          <w:b/>
          <w:bCs w:val="0"/>
          <w:color w:val="auto"/>
          <w:sz w:val="22"/>
          <w:szCs w:val="22"/>
          <w:highlight w:val="none"/>
          <w:u w:val="single"/>
          <w:lang w:val="en-US" w:eastAsia="zh-CN"/>
        </w:rPr>
        <w:t>甲方</w:t>
      </w:r>
      <w:r>
        <w:rPr>
          <w:rFonts w:hint="eastAsia" w:ascii="宋体" w:hAnsi="宋体" w:eastAsia="宋体" w:cs="宋体"/>
          <w:b/>
          <w:bCs w:val="0"/>
          <w:color w:val="auto"/>
          <w:sz w:val="22"/>
          <w:szCs w:val="22"/>
          <w:highlight w:val="none"/>
          <w:u w:val="single"/>
        </w:rPr>
        <w:t>具体需求进行定制和二次开发</w:t>
      </w:r>
      <w:r>
        <w:rPr>
          <w:rFonts w:hint="eastAsia" w:hAnsi="宋体" w:cs="宋体"/>
          <w:b/>
          <w:bCs w:val="0"/>
          <w:color w:val="auto"/>
          <w:sz w:val="22"/>
          <w:szCs w:val="22"/>
          <w:highlight w:val="none"/>
          <w:u w:val="single"/>
          <w:lang w:eastAsia="zh-CN"/>
        </w:rPr>
        <w:t>。</w:t>
      </w:r>
    </w:p>
    <w:p w14:paraId="1300CC3B">
      <w:pPr>
        <w:keepNext w:val="0"/>
        <w:keepLines w:val="0"/>
        <w:pageBreakBefore w:val="0"/>
        <w:kinsoku/>
        <w:wordWrap/>
        <w:topLinePunct w:val="0"/>
        <w:bidi w:val="0"/>
        <w:snapToGrid/>
        <w:spacing w:line="360" w:lineRule="auto"/>
        <w:ind w:firstLine="442" w:firstLineChars="200"/>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szCs w:val="22"/>
          <w:highlight w:val="none"/>
          <w:u w:val="single"/>
        </w:rPr>
        <w:t>▲2、新旧系统切换过程需要</w:t>
      </w:r>
      <w:r>
        <w:rPr>
          <w:rFonts w:hint="eastAsia" w:ascii="宋体" w:hAnsi="宋体" w:cs="宋体"/>
          <w:b/>
          <w:bCs w:val="0"/>
          <w:color w:val="auto"/>
          <w:sz w:val="22"/>
          <w:szCs w:val="22"/>
          <w:highlight w:val="none"/>
          <w:u w:val="single"/>
          <w:lang w:val="en-US" w:eastAsia="zh-CN"/>
        </w:rPr>
        <w:t>保证</w:t>
      </w:r>
      <w:r>
        <w:rPr>
          <w:rFonts w:hint="eastAsia" w:ascii="宋体" w:hAnsi="宋体" w:eastAsia="宋体" w:cs="宋体"/>
          <w:b/>
          <w:bCs w:val="0"/>
          <w:color w:val="auto"/>
          <w:sz w:val="22"/>
          <w:szCs w:val="22"/>
          <w:highlight w:val="none"/>
          <w:u w:val="single"/>
        </w:rPr>
        <w:t>用户数据不丢失，在途业务数据的切换必须要做到可延续性、一致性、完整性。中标人如在迁移过程发生数据丢失或其他重大事故，所造成的经济损失及法律风险由中标人承担。</w:t>
      </w:r>
    </w:p>
    <w:p w14:paraId="4870032F">
      <w:pPr>
        <w:pStyle w:val="3"/>
        <w:keepNext w:val="0"/>
        <w:keepLines w:val="0"/>
        <w:pageBreakBefore w:val="0"/>
        <w:kinsoku/>
        <w:wordWrap/>
        <w:topLinePunct w:val="0"/>
        <w:bidi w:val="0"/>
        <w:snapToGrid/>
        <w:spacing w:line="360" w:lineRule="auto"/>
        <w:ind w:firstLine="663" w:firstLineChars="300"/>
        <w:rPr>
          <w:rFonts w:hint="eastAsia" w:ascii="宋体" w:hAnsi="宋体" w:eastAsia="宋体" w:cs="宋体"/>
          <w:b/>
          <w:bCs w:val="0"/>
          <w:color w:val="auto"/>
          <w:sz w:val="22"/>
          <w:szCs w:val="22"/>
          <w:highlight w:val="none"/>
          <w:u w:val="none"/>
        </w:rPr>
      </w:pPr>
      <w:r>
        <w:rPr>
          <w:rFonts w:hint="eastAsia" w:ascii="宋体" w:hAnsi="宋体" w:eastAsia="宋体" w:cs="宋体"/>
          <w:b/>
          <w:bCs w:val="0"/>
          <w:color w:val="auto"/>
          <w:sz w:val="22"/>
          <w:szCs w:val="22"/>
          <w:highlight w:val="none"/>
          <w:u w:val="none"/>
        </w:rPr>
        <w:t>3、数据迁移过程中所产生的人工费用、开发费用以及第三方费用，均由中标人承担。</w:t>
      </w:r>
    </w:p>
    <w:p w14:paraId="31E29ED4">
      <w:pPr>
        <w:pStyle w:val="4"/>
        <w:rPr>
          <w:rFonts w:hint="default" w:eastAsia="宋体"/>
          <w:color w:val="auto"/>
          <w:highlight w:val="none"/>
          <w:lang w:val="en-US" w:eastAsia="zh-CN"/>
        </w:rPr>
      </w:pPr>
      <w:r>
        <w:rPr>
          <w:rFonts w:hint="eastAsia" w:ascii="宋体" w:hAnsi="宋体" w:cs="宋体"/>
          <w:b/>
          <w:bCs w:val="0"/>
          <w:color w:val="auto"/>
          <w:sz w:val="22"/>
          <w:szCs w:val="22"/>
          <w:highlight w:val="none"/>
          <w:u w:val="none"/>
          <w:lang w:val="en-US" w:eastAsia="zh-CN"/>
        </w:rPr>
        <w:t xml:space="preserve">  </w:t>
      </w:r>
      <w:r>
        <w:rPr>
          <w:rFonts w:hint="eastAsia" w:ascii="宋体" w:hAnsi="宋体" w:eastAsia="宋体" w:cs="宋体"/>
          <w:b/>
          <w:bCs w:val="0"/>
          <w:color w:val="auto"/>
          <w:sz w:val="22"/>
          <w:szCs w:val="22"/>
          <w:highlight w:val="none"/>
          <w:u w:val="single"/>
        </w:rPr>
        <w:t>▲</w:t>
      </w:r>
      <w:r>
        <w:rPr>
          <w:rFonts w:hint="eastAsia" w:ascii="宋体" w:hAnsi="宋体" w:cs="宋体"/>
          <w:b/>
          <w:bCs w:val="0"/>
          <w:color w:val="auto"/>
          <w:sz w:val="22"/>
          <w:szCs w:val="22"/>
          <w:highlight w:val="none"/>
          <w:u w:val="single"/>
          <w:lang w:val="en-US" w:eastAsia="zh-CN"/>
        </w:rPr>
        <w:t>4、此项目验收后，中标方需提供三年免费服务，负责此项目包含的所有软、硬件系统日常运维及网络安全防护。</w:t>
      </w:r>
    </w:p>
    <w:p w14:paraId="21FBFFBD">
      <w:pPr>
        <w:pStyle w:val="4"/>
        <w:ind w:left="0" w:leftChars="0" w:firstLine="0" w:firstLineChars="0"/>
        <w:rPr>
          <w:rFonts w:hint="default"/>
          <w:b/>
          <w:bCs/>
          <w:color w:val="auto"/>
          <w:sz w:val="28"/>
          <w:szCs w:val="28"/>
          <w:highlight w:val="none"/>
          <w:lang w:val="en-US" w:eastAsia="zh-CN"/>
        </w:rPr>
      </w:pPr>
      <w:r>
        <w:rPr>
          <w:rFonts w:hint="eastAsia"/>
          <w:b/>
          <w:bCs/>
          <w:color w:val="auto"/>
          <w:sz w:val="28"/>
          <w:szCs w:val="28"/>
          <w:highlight w:val="none"/>
          <w:lang w:val="en-US" w:eastAsia="zh-CN"/>
        </w:rPr>
        <w:t>四、技术要求与详细参数</w:t>
      </w:r>
    </w:p>
    <w:p w14:paraId="69CD86D3">
      <w:pPr>
        <w:pStyle w:val="6"/>
        <w:pageBreakBefore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数字中台系统信创改造</w:t>
      </w:r>
    </w:p>
    <w:p w14:paraId="62E58147">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237" w:name="_Toc110523331"/>
      <w:bookmarkStart w:id="238" w:name="_Toc29262"/>
      <w:bookmarkStart w:id="239" w:name="_Toc8712"/>
      <w:bookmarkStart w:id="240" w:name="_Toc13436"/>
      <w:r>
        <w:rPr>
          <w:rFonts w:hint="eastAsia" w:cs="宋体"/>
          <w:color w:val="auto"/>
          <w:sz w:val="22"/>
          <w:szCs w:val="22"/>
          <w:highlight w:val="none"/>
        </w:rPr>
        <w:t>统一门户管理需求</w:t>
      </w:r>
      <w:bookmarkEnd w:id="237"/>
      <w:bookmarkEnd w:id="238"/>
      <w:bookmarkEnd w:id="239"/>
    </w:p>
    <w:p w14:paraId="4DF4CD67">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41" w:name="_Toc625"/>
      <w:bookmarkStart w:id="242" w:name="_Toc110523332"/>
      <w:bookmarkStart w:id="243" w:name="_Toc4148"/>
      <w:r>
        <w:rPr>
          <w:rFonts w:hint="eastAsia"/>
          <w:color w:val="auto"/>
          <w:sz w:val="22"/>
          <w:szCs w:val="22"/>
          <w:highlight w:val="none"/>
        </w:rPr>
        <w:t>门户界面管理</w:t>
      </w:r>
      <w:bookmarkEnd w:id="241"/>
      <w:bookmarkEnd w:id="242"/>
      <w:bookmarkEnd w:id="243"/>
    </w:p>
    <w:p w14:paraId="4141B44E">
      <w:pPr>
        <w:pStyle w:val="9"/>
        <w:pageBreakBefore w:val="0"/>
        <w:numPr>
          <w:ilvl w:val="3"/>
          <w:numId w:val="24"/>
        </w:numPr>
        <w:kinsoku/>
        <w:wordWrap/>
        <w:overflowPunct/>
        <w:topLinePunct w:val="0"/>
        <w:autoSpaceDE/>
        <w:autoSpaceDN/>
        <w:bidi w:val="0"/>
        <w:adjustRightInd/>
        <w:snapToGrid/>
        <w:spacing w:line="360" w:lineRule="auto"/>
        <w:textAlignment w:val="auto"/>
        <w:rPr>
          <w:color w:val="auto"/>
          <w:sz w:val="22"/>
          <w:szCs w:val="22"/>
          <w:highlight w:val="none"/>
          <w:lang w:val="zh-CN"/>
        </w:rPr>
      </w:pPr>
      <w:r>
        <w:rPr>
          <w:rFonts w:hint="eastAsia"/>
          <w:color w:val="auto"/>
          <w:sz w:val="22"/>
          <w:szCs w:val="22"/>
          <w:highlight w:val="none"/>
          <w:lang w:val="zh-CN"/>
        </w:rPr>
        <w:t xml:space="preserve"> 集团门户</w:t>
      </w:r>
    </w:p>
    <w:p w14:paraId="06C97AD1">
      <w:pPr>
        <w:pageBreakBefore w:val="0"/>
        <w:numPr>
          <w:ilvl w:val="0"/>
          <w:numId w:val="25"/>
        </w:numPr>
        <w:tabs>
          <w:tab w:val="left" w:pos="720"/>
          <w:tab w:val="left" w:pos="840"/>
        </w:tabs>
        <w:kinsoku/>
        <w:wordWrap/>
        <w:overflowPunct/>
        <w:topLinePunct w:val="0"/>
        <w:autoSpaceDE/>
        <w:autoSpaceDN/>
        <w:bidi w:val="0"/>
        <w:adjustRightInd/>
        <w:snapToGrid/>
        <w:spacing w:line="360" w:lineRule="auto"/>
        <w:contextualSpacing/>
        <w:textAlignment w:val="auto"/>
        <w:rPr>
          <w:rFonts w:ascii="宋体" w:hAnsi="宋体" w:cs="宋体"/>
          <w:color w:val="auto"/>
          <w:sz w:val="22"/>
          <w:szCs w:val="22"/>
          <w:highlight w:val="none"/>
        </w:rPr>
      </w:pPr>
      <w:r>
        <w:rPr>
          <w:rFonts w:hint="eastAsia" w:ascii="宋体" w:hAnsi="宋体" w:cs="宋体"/>
          <w:color w:val="auto"/>
          <w:sz w:val="22"/>
          <w:szCs w:val="22"/>
          <w:highlight w:val="none"/>
        </w:rPr>
        <w:t>集中展现各业务系统，实现统一的单点登录和统一的身份验证；</w:t>
      </w:r>
    </w:p>
    <w:p w14:paraId="376DD7BD">
      <w:pPr>
        <w:pageBreakBefore w:val="0"/>
        <w:numPr>
          <w:ilvl w:val="0"/>
          <w:numId w:val="25"/>
        </w:numPr>
        <w:tabs>
          <w:tab w:val="left" w:pos="720"/>
          <w:tab w:val="left" w:pos="840"/>
        </w:tabs>
        <w:kinsoku/>
        <w:wordWrap/>
        <w:overflowPunct/>
        <w:topLinePunct w:val="0"/>
        <w:autoSpaceDE/>
        <w:autoSpaceDN/>
        <w:bidi w:val="0"/>
        <w:adjustRightInd/>
        <w:snapToGrid/>
        <w:spacing w:line="360" w:lineRule="auto"/>
        <w:contextualSpacing/>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支持快速传递公司内各方面的信息动向，加强公司与下属员工的信息来往，让公司内每位员工都可在权限范围内了解到公司的动态。</w:t>
      </w:r>
    </w:p>
    <w:p w14:paraId="72D0A5B0">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领导门户</w:t>
      </w:r>
    </w:p>
    <w:p w14:paraId="6786B5E8">
      <w:pPr>
        <w:pageBreakBefore w:val="0"/>
        <w:numPr>
          <w:ilvl w:val="0"/>
          <w:numId w:val="26"/>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为管理层提供业务数据分析，在线快速全面了解企业运营数据；</w:t>
      </w:r>
    </w:p>
    <w:p w14:paraId="4CD47616">
      <w:pPr>
        <w:pageBreakBefore w:val="0"/>
        <w:numPr>
          <w:ilvl w:val="0"/>
          <w:numId w:val="26"/>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把领导关心的数据分类聚合并推送到领导工作平台；</w:t>
      </w:r>
    </w:p>
    <w:p w14:paraId="174B1532">
      <w:pPr>
        <w:pageBreakBefore w:val="0"/>
        <w:numPr>
          <w:ilvl w:val="0"/>
          <w:numId w:val="26"/>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支持把需要领导审批的流程、催办、督办的流程、交办事宜处理情况自动汇总到领导门户。</w:t>
      </w:r>
    </w:p>
    <w:p w14:paraId="09DAE0C0">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部门门户</w:t>
      </w:r>
    </w:p>
    <w:p w14:paraId="337C0AAB">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需要根据不同职能部门和业务部门的工作内容性质不同，从而为各个部门设计出有针对性的部门内信息门户。</w:t>
      </w:r>
    </w:p>
    <w:p w14:paraId="55317EDF">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个人门户</w:t>
      </w:r>
    </w:p>
    <w:p w14:paraId="619922AC">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需要为集团员工提供集中式的待办工作、计划日程处理、知识订阅等个人工作平台。将所有分散的工作事项集中展现，推送给员工，有助于员工实现高效的个人工作管理。</w:t>
      </w:r>
    </w:p>
    <w:p w14:paraId="0809A0C1">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移动门户</w:t>
      </w:r>
    </w:p>
    <w:p w14:paraId="0A8FCB00">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让集团员工随时随地查阅与处理个人待办、个人日程，查阅企业通讯录、新闻公告等等。</w:t>
      </w:r>
    </w:p>
    <w:p w14:paraId="09129843">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下属企业门户</w:t>
      </w:r>
    </w:p>
    <w:p w14:paraId="6760FCB3">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为下层次企业构建个性化下属企业门户，为下属企业建设提供电子化手段，实现下属企业信息共享，流程管控，移动办公等等目标，成为下属二级企业与三级企业沟通协调办公的重要渠道，下属企业门户将支持下属企业所有下属员工。</w:t>
      </w:r>
    </w:p>
    <w:p w14:paraId="2E44BF45">
      <w:pPr>
        <w:pStyle w:val="8"/>
        <w:pageBreakBefore w:val="0"/>
        <w:numPr>
          <w:ilvl w:val="2"/>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244" w:name="_Toc5464"/>
      <w:bookmarkStart w:id="245" w:name="_Toc21155"/>
      <w:bookmarkStart w:id="246" w:name="_Toc110523333"/>
      <w:r>
        <w:rPr>
          <w:rFonts w:hint="eastAsia" w:cs="宋体"/>
          <w:color w:val="auto"/>
          <w:sz w:val="22"/>
          <w:szCs w:val="22"/>
          <w:highlight w:val="none"/>
        </w:rPr>
        <w:t>门户信息管理</w:t>
      </w:r>
      <w:bookmarkEnd w:id="244"/>
      <w:bookmarkEnd w:id="245"/>
      <w:bookmarkEnd w:id="246"/>
    </w:p>
    <w:p w14:paraId="5C3B3E1B">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统一的信息发布</w:t>
      </w:r>
    </w:p>
    <w:p w14:paraId="11A188E2">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统一发布内部综合新闻、人事新闻、业务新闻、通知公告、动态资讯、规章制度、外部报道等动态信息。</w:t>
      </w:r>
    </w:p>
    <w:p w14:paraId="794E25AB">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信息分级栏目定制</w:t>
      </w:r>
    </w:p>
    <w:p w14:paraId="62453FE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建立统一的信息目录体系，在统一目录框架下，集团及所属企业分级定制信息栏目，如综合新闻、人事新闻、业务新闻、通知公告、动态资讯、规章制度、外部报道等。</w:t>
      </w:r>
    </w:p>
    <w:p w14:paraId="60E80E6A">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信息集中发布审核</w:t>
      </w:r>
    </w:p>
    <w:p w14:paraId="2BBBC2FC">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提供统一的信息发布和审核界面，发布、审核人员在一个界面上对所有信息集中发布和审核。同时，系统提供标准接口，方便各信息系统对接，实现信息自动发布，统一审核。</w:t>
      </w:r>
    </w:p>
    <w:p w14:paraId="13B70B6A">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统一的信息检索</w:t>
      </w:r>
    </w:p>
    <w:p w14:paraId="5E40BBAA">
      <w:pPr>
        <w:pageBreakBefore w:val="0"/>
        <w:numPr>
          <w:ilvl w:val="0"/>
          <w:numId w:val="27"/>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提供综合查询、全文检索的信息检索功能。</w:t>
      </w:r>
    </w:p>
    <w:p w14:paraId="22B2610A">
      <w:pPr>
        <w:pageBreakBefore w:val="0"/>
        <w:numPr>
          <w:ilvl w:val="0"/>
          <w:numId w:val="27"/>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可实时抓取跟交发集团有关的关键词。</w:t>
      </w:r>
    </w:p>
    <w:p w14:paraId="419EF2BA">
      <w:pPr>
        <w:pStyle w:val="8"/>
        <w:pageBreakBefore w:val="0"/>
        <w:numPr>
          <w:ilvl w:val="2"/>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247" w:name="_Toc31461"/>
      <w:bookmarkStart w:id="248" w:name="_Toc19821"/>
      <w:bookmarkStart w:id="249" w:name="_Toc110523334"/>
      <w:r>
        <w:rPr>
          <w:rFonts w:hint="eastAsia" w:cs="宋体"/>
          <w:color w:val="auto"/>
          <w:sz w:val="22"/>
          <w:szCs w:val="22"/>
          <w:highlight w:val="none"/>
        </w:rPr>
        <w:t>门户标准管理</w:t>
      </w:r>
      <w:bookmarkEnd w:id="247"/>
      <w:bookmarkEnd w:id="248"/>
      <w:bookmarkEnd w:id="249"/>
    </w:p>
    <w:p w14:paraId="77565E6B">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统一的界面标准</w:t>
      </w:r>
    </w:p>
    <w:p w14:paraId="165039EE">
      <w:pPr>
        <w:pageBreakBefore w:val="0"/>
        <w:numPr>
          <w:ilvl w:val="0"/>
          <w:numId w:val="28"/>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门户软件应提供统一的系统管理工具用以管理企业信息门户系统相关的所有软件组件。</w:t>
      </w:r>
    </w:p>
    <w:p w14:paraId="482EFB16">
      <w:pPr>
        <w:pageBreakBefore w:val="0"/>
        <w:numPr>
          <w:ilvl w:val="0"/>
          <w:numId w:val="28"/>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同时应尽量提供单一集成的软件平台，系统应内置主要的开发工具以及开发与部署环境。</w:t>
      </w:r>
    </w:p>
    <w:p w14:paraId="66178E5C">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统一的权限标准</w:t>
      </w:r>
    </w:p>
    <w:p w14:paraId="2C7A011F">
      <w:pPr>
        <w:pageBreakBefore w:val="0"/>
        <w:numPr>
          <w:ilvl w:val="0"/>
          <w:numId w:val="29"/>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每个门户都有独立的权限，不同的门户可以设置不同的查看范围；</w:t>
      </w:r>
    </w:p>
    <w:p w14:paraId="36BE6601">
      <w:pPr>
        <w:pageBreakBefore w:val="0"/>
        <w:numPr>
          <w:ilvl w:val="0"/>
          <w:numId w:val="29"/>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门户中的不同的内容展现也可以设置共享权限由不同的权限的人员进行查看；</w:t>
      </w:r>
    </w:p>
    <w:p w14:paraId="688FE5B7">
      <w:pPr>
        <w:pageBreakBefore w:val="0"/>
        <w:numPr>
          <w:ilvl w:val="0"/>
          <w:numId w:val="29"/>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同一个内容展现中不同组织角色的人员看到的内容需要是不一样的。</w:t>
      </w:r>
    </w:p>
    <w:p w14:paraId="6B10B768">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统一的单点登入标准</w:t>
      </w:r>
    </w:p>
    <w:p w14:paraId="730D82BC">
      <w:pPr>
        <w:pageBreakBefore w:val="0"/>
        <w:numPr>
          <w:ilvl w:val="0"/>
          <w:numId w:val="30"/>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统一门户平台单点登入要求支持LDAP、PKI\CA、附加码、短信、Ukey等多种方式；</w:t>
      </w:r>
    </w:p>
    <w:p w14:paraId="0F721A81">
      <w:pPr>
        <w:pageBreakBefore w:val="0"/>
        <w:numPr>
          <w:ilvl w:val="0"/>
          <w:numId w:val="30"/>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统一认证授权平台需要提供统一用户信息、统一身份认证、分级授权管理、统一系统日志等基础服务。</w:t>
      </w:r>
    </w:p>
    <w:p w14:paraId="40A4A729">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门户分级分权管理</w:t>
      </w:r>
    </w:p>
    <w:p w14:paraId="1B66060B">
      <w:pPr>
        <w:pageBreakBefore w:val="0"/>
        <w:numPr>
          <w:ilvl w:val="0"/>
          <w:numId w:val="31"/>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系统界面上，每个分子公司可以有自己独立的界面：登录界面和登录后的使用界面；</w:t>
      </w:r>
    </w:p>
    <w:p w14:paraId="6AD5F4F1">
      <w:pPr>
        <w:pageBreakBefore w:val="0"/>
        <w:numPr>
          <w:ilvl w:val="0"/>
          <w:numId w:val="31"/>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门户内容上：集团总部除了总部的门户外，还能够透视到下属公司的门户；</w:t>
      </w:r>
    </w:p>
    <w:p w14:paraId="334A3997">
      <w:pPr>
        <w:pageBreakBefore w:val="0"/>
        <w:numPr>
          <w:ilvl w:val="0"/>
          <w:numId w:val="31"/>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下属公司：除了自己本部的门户外，希望能够获取到集团下达的信息资讯。</w:t>
      </w:r>
    </w:p>
    <w:p w14:paraId="33F1A2BD">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支持无代码个性化定义标准</w:t>
      </w:r>
    </w:p>
    <w:p w14:paraId="69FF29C3">
      <w:pPr>
        <w:pageBreakBefore w:val="0"/>
        <w:numPr>
          <w:ilvl w:val="0"/>
          <w:numId w:val="32"/>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门户平台系统可以提供管理部门基于界面的个性化，不同的组织有不同的主界面，可定义个性化内容页面风格、样式、内容及使用方式；</w:t>
      </w:r>
    </w:p>
    <w:p w14:paraId="237F629A">
      <w:pPr>
        <w:pageBreakBefore w:val="0"/>
        <w:numPr>
          <w:ilvl w:val="0"/>
          <w:numId w:val="32"/>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可以定义自己的风格模板；</w:t>
      </w:r>
    </w:p>
    <w:p w14:paraId="2AA939B9">
      <w:pPr>
        <w:pageBreakBefore w:val="0"/>
        <w:numPr>
          <w:ilvl w:val="0"/>
          <w:numId w:val="32"/>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基于工作的个性化，不同人员有不同的工作任务、信息、日程、事务；</w:t>
      </w:r>
    </w:p>
    <w:p w14:paraId="33C64138">
      <w:pPr>
        <w:pageBreakBefore w:val="0"/>
        <w:numPr>
          <w:ilvl w:val="0"/>
          <w:numId w:val="32"/>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基于规则的个性化，系统能够动态地制定角色权限和商务规则，以实现界面、内容、业务流程的个性化。</w:t>
      </w:r>
    </w:p>
    <w:p w14:paraId="14728A17">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基于JSR168和JSR286B标准</w:t>
      </w:r>
    </w:p>
    <w:p w14:paraId="4311F5FE">
      <w:pPr>
        <w:pageBreakBefore w:val="0"/>
        <w:numPr>
          <w:ilvl w:val="0"/>
          <w:numId w:val="33"/>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支持丰富的数据类型展示，即可以展示平台本身的数据如：流程、文档、计划、日程等，也可以展示平台之外的数据，如异构系统的某个页面、异构系统的数据报表等；</w:t>
      </w:r>
    </w:p>
    <w:p w14:paraId="6C8B29AB">
      <w:pPr>
        <w:pageBreakBefore w:val="0"/>
        <w:numPr>
          <w:ilvl w:val="0"/>
          <w:numId w:val="33"/>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门户平台可以支持元素的扩展，只要是基于JSR168和JSR286B标准开发都可以放到门户平台中。</w:t>
      </w:r>
    </w:p>
    <w:p w14:paraId="65275A63">
      <w:pPr>
        <w:pageBreakBefore w:val="0"/>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p>
    <w:p w14:paraId="2D3B97C7">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250" w:name="_Toc110523335"/>
      <w:bookmarkStart w:id="251" w:name="_Toc27453"/>
      <w:bookmarkStart w:id="252" w:name="_Toc10145"/>
      <w:r>
        <w:rPr>
          <w:rFonts w:hint="eastAsia" w:cs="宋体"/>
          <w:color w:val="auto"/>
          <w:sz w:val="22"/>
          <w:szCs w:val="22"/>
          <w:highlight w:val="none"/>
        </w:rPr>
        <w:t>统一用户管理需求</w:t>
      </w:r>
      <w:bookmarkEnd w:id="250"/>
      <w:bookmarkEnd w:id="251"/>
      <w:bookmarkEnd w:id="252"/>
    </w:p>
    <w:p w14:paraId="74681782">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统一用户管理系统作为协同办公系统建设项目独立的一部分，实现集团多层次组织架构、全员管理，实现用户真正意义上的“One ID”和身份认证统一管控，从用户与安全管控的角度打通集团所有应用，并成为平台技术支撑服务底座核心组件。功能包括：组织管理、用户管理、身份管理、业务数据权限统一管理、用户行为管理等。</w:t>
      </w:r>
    </w:p>
    <w:p w14:paraId="0DEA2055">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53" w:name="_Toc110523336"/>
      <w:bookmarkStart w:id="254" w:name="_Toc13906"/>
      <w:bookmarkStart w:id="255" w:name="_Toc5205"/>
      <w:r>
        <w:rPr>
          <w:rFonts w:hint="eastAsia"/>
          <w:color w:val="auto"/>
          <w:sz w:val="22"/>
          <w:szCs w:val="22"/>
          <w:highlight w:val="none"/>
        </w:rPr>
        <w:t>组织用户管理</w:t>
      </w:r>
      <w:bookmarkEnd w:id="253"/>
      <w:bookmarkEnd w:id="254"/>
      <w:bookmarkEnd w:id="255"/>
    </w:p>
    <w:p w14:paraId="3D55CA13">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平台具有极高的用户治理能力，覆盖用户全生命周期管理、用户属性自定义、用户电子身份唯一化，同时平台支持用户、组织、角色、岗位等多种用户治理维度，保证用户在组织内部得到全面治理。</w:t>
      </w:r>
    </w:p>
    <w:p w14:paraId="579F91E4">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组织管理</w:t>
      </w:r>
    </w:p>
    <w:p w14:paraId="5A42CF27">
      <w:pPr>
        <w:pStyle w:val="30"/>
        <w:pageBreakBefore w:val="0"/>
        <w:numPr>
          <w:ilvl w:val="0"/>
          <w:numId w:val="34"/>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组织的新增、修改、删除、查看等基本操作；</w:t>
      </w:r>
    </w:p>
    <w:p w14:paraId="7CA7603A">
      <w:pPr>
        <w:pStyle w:val="30"/>
        <w:pageBreakBefore w:val="0"/>
        <w:numPr>
          <w:ilvl w:val="0"/>
          <w:numId w:val="34"/>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支持组织属性自定义，支持多维度组织结构，不同组织机构树上的组织可以有不同的属性；</w:t>
      </w:r>
    </w:p>
    <w:p w14:paraId="1B1FCF7D">
      <w:pPr>
        <w:pStyle w:val="30"/>
        <w:pageBreakBefore w:val="0"/>
        <w:numPr>
          <w:ilvl w:val="0"/>
          <w:numId w:val="34"/>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支持一人多岗。</w:t>
      </w:r>
    </w:p>
    <w:p w14:paraId="250B5D8D">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用户层级管理</w:t>
      </w:r>
    </w:p>
    <w:p w14:paraId="3A99CB05">
      <w:pPr>
        <w:pStyle w:val="30"/>
        <w:pageBreakBefore w:val="0"/>
        <w:numPr>
          <w:ilvl w:val="0"/>
          <w:numId w:val="35"/>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支持按照岗位、角色、职位等多维度用户层级管理；</w:t>
      </w:r>
    </w:p>
    <w:p w14:paraId="3DEA6E22">
      <w:pPr>
        <w:pStyle w:val="30"/>
        <w:pageBreakBefore w:val="0"/>
        <w:numPr>
          <w:ilvl w:val="0"/>
          <w:numId w:val="35"/>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可以对于各用户层级授予不同应用权限、操作权限和数据权限。</w:t>
      </w:r>
    </w:p>
    <w:p w14:paraId="0574D425">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用户账号管理</w:t>
      </w:r>
    </w:p>
    <w:p w14:paraId="49ED1BBC">
      <w:pPr>
        <w:pStyle w:val="30"/>
        <w:pageBreakBefore w:val="0"/>
        <w:numPr>
          <w:ilvl w:val="0"/>
          <w:numId w:val="36"/>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账号的新建、修改、删除、解绑、启用、禁用、修改密码等操作；</w:t>
      </w:r>
    </w:p>
    <w:p w14:paraId="56E6B519">
      <w:pPr>
        <w:pStyle w:val="30"/>
        <w:pageBreakBefore w:val="0"/>
        <w:numPr>
          <w:ilvl w:val="0"/>
          <w:numId w:val="36"/>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支持将账号与应用进行关联；</w:t>
      </w:r>
    </w:p>
    <w:p w14:paraId="2B4292E8">
      <w:pPr>
        <w:pStyle w:val="30"/>
        <w:pageBreakBefore w:val="0"/>
        <w:numPr>
          <w:ilvl w:val="0"/>
          <w:numId w:val="36"/>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支持账号的批量操作。</w:t>
      </w:r>
    </w:p>
    <w:p w14:paraId="491FF855">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组织人员数据同步</w:t>
      </w:r>
    </w:p>
    <w:p w14:paraId="5A9D638C">
      <w:pPr>
        <w:pStyle w:val="30"/>
        <w:pageBreakBefore w:val="0"/>
        <w:numPr>
          <w:ilvl w:val="0"/>
          <w:numId w:val="37"/>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平台的用户、机构、账号等身份数据与各应用系统的数据同步，包括从上游应用系统回数据和从平台往下游应用系统的供应数据；</w:t>
      </w:r>
    </w:p>
    <w:p w14:paraId="1F9A315A">
      <w:pPr>
        <w:pStyle w:val="30"/>
        <w:pageBreakBefore w:val="0"/>
        <w:numPr>
          <w:ilvl w:val="0"/>
          <w:numId w:val="37"/>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为集中管理用户、机构、权限提供基础。</w:t>
      </w:r>
    </w:p>
    <w:p w14:paraId="373E39C5">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自助服务</w:t>
      </w:r>
    </w:p>
    <w:p w14:paraId="63F42679">
      <w:pPr>
        <w:pStyle w:val="30"/>
        <w:pageBreakBefore w:val="0"/>
        <w:numPr>
          <w:ilvl w:val="0"/>
          <w:numId w:val="38"/>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提供用户个人信息维护服务，使企业的身份库能够及时更新和维护准确的身份数据；</w:t>
      </w:r>
    </w:p>
    <w:p w14:paraId="3A52007F">
      <w:pPr>
        <w:pStyle w:val="30"/>
        <w:pageBreakBefore w:val="0"/>
        <w:numPr>
          <w:ilvl w:val="0"/>
          <w:numId w:val="38"/>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提供修改密码、忘记密码可以显著减轻管理员处理密码重置的工作；</w:t>
      </w:r>
    </w:p>
    <w:p w14:paraId="0AC5D9DA">
      <w:pPr>
        <w:pStyle w:val="30"/>
        <w:pageBreakBefore w:val="0"/>
        <w:numPr>
          <w:ilvl w:val="0"/>
          <w:numId w:val="38"/>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提供用户自助注册、权限自助申请及审批。</w:t>
      </w:r>
    </w:p>
    <w:p w14:paraId="79900347">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rPr>
        <w:t xml:space="preserve"> 组织矩阵</w:t>
      </w:r>
    </w:p>
    <w:p w14:paraId="135C371E">
      <w:pPr>
        <w:pStyle w:val="30"/>
        <w:pageBreakBefore w:val="0"/>
        <w:numPr>
          <w:ilvl w:val="0"/>
          <w:numId w:val="39"/>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提供组织多维度矩阵，支持通过矩阵维护临时组织、支持通过矩阵调整流程、文档等审批权限。</w:t>
      </w:r>
    </w:p>
    <w:p w14:paraId="7C00C5E0">
      <w:pPr>
        <w:pStyle w:val="30"/>
        <w:pageBreakBefore w:val="0"/>
        <w:numPr>
          <w:ilvl w:val="0"/>
          <w:numId w:val="39"/>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可以灵活构建复杂流程审批路径。</w:t>
      </w:r>
    </w:p>
    <w:p w14:paraId="3C7C5501">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56" w:name="_Toc17266"/>
      <w:bookmarkStart w:id="257" w:name="_Toc2860"/>
      <w:bookmarkStart w:id="258" w:name="_Toc110523337"/>
      <w:r>
        <w:rPr>
          <w:rFonts w:hint="eastAsia"/>
          <w:color w:val="auto"/>
          <w:sz w:val="22"/>
          <w:szCs w:val="22"/>
          <w:highlight w:val="none"/>
        </w:rPr>
        <w:t>用户认证管理</w:t>
      </w:r>
      <w:bookmarkEnd w:id="256"/>
      <w:bookmarkEnd w:id="257"/>
      <w:bookmarkEnd w:id="258"/>
    </w:p>
    <w:p w14:paraId="26F02AC2">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登录方式</w:t>
      </w:r>
    </w:p>
    <w:p w14:paraId="6D37948E">
      <w:pPr>
        <w:pStyle w:val="30"/>
        <w:pageBreakBefore w:val="0"/>
        <w:numPr>
          <w:ilvl w:val="0"/>
          <w:numId w:val="40"/>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默认内置多种登录方式，可以扩展更多例如硬件绑定、虹膜、CA凭证、IC卡等认证方式。</w:t>
      </w:r>
    </w:p>
    <w:p w14:paraId="32070FD0">
      <w:pPr>
        <w:pStyle w:val="30"/>
        <w:pageBreakBefore w:val="0"/>
        <w:numPr>
          <w:ilvl w:val="0"/>
          <w:numId w:val="40"/>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支持两种或多种认证方式租和实现双因素、多因素认证。</w:t>
      </w:r>
    </w:p>
    <w:p w14:paraId="51B1BA41">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密码策略</w:t>
      </w:r>
    </w:p>
    <w:p w14:paraId="0415DBD1">
      <w:pPr>
        <w:pStyle w:val="30"/>
        <w:pageBreakBefore w:val="0"/>
        <w:numPr>
          <w:ilvl w:val="0"/>
          <w:numId w:val="41"/>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平台需要支持管理员修改密码、管理员重置密码；</w:t>
      </w:r>
    </w:p>
    <w:p w14:paraId="012B40F2">
      <w:pPr>
        <w:pStyle w:val="30"/>
        <w:pageBreakBefore w:val="0"/>
        <w:numPr>
          <w:ilvl w:val="0"/>
          <w:numId w:val="41"/>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用户修改密码、用户找回密码，并可提供不同的邮件找回方式；</w:t>
      </w:r>
    </w:p>
    <w:p w14:paraId="51311CFC">
      <w:pPr>
        <w:pStyle w:val="30"/>
        <w:pageBreakBefore w:val="0"/>
        <w:numPr>
          <w:ilvl w:val="0"/>
          <w:numId w:val="41"/>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支持定义多套密码策略，针对不同的用户和应用进行应用不同的密码策略</w:t>
      </w:r>
    </w:p>
    <w:p w14:paraId="59861C74">
      <w:pPr>
        <w:pStyle w:val="30"/>
        <w:pageBreakBefore w:val="0"/>
        <w:numPr>
          <w:ilvl w:val="0"/>
          <w:numId w:val="41"/>
        </w:numPr>
        <w:kinsoku/>
        <w:wordWrap/>
        <w:overflowPunct/>
        <w:topLinePunct w:val="0"/>
        <w:autoSpaceDE/>
        <w:autoSpaceDN/>
        <w:bidi w:val="0"/>
        <w:adjustRightInd/>
        <w:snapToGrid/>
        <w:spacing w:line="360" w:lineRule="auto"/>
        <w:ind w:firstLineChars="0"/>
        <w:textAlignment w:val="auto"/>
        <w:rPr>
          <w:rFonts w:hint="eastAsia" w:cs="宋体"/>
          <w:color w:val="auto"/>
          <w:sz w:val="22"/>
          <w:szCs w:val="22"/>
          <w:highlight w:val="none"/>
        </w:rPr>
      </w:pPr>
      <w:r>
        <w:rPr>
          <w:rFonts w:hint="eastAsia" w:cs="宋体"/>
          <w:color w:val="auto"/>
          <w:sz w:val="22"/>
          <w:szCs w:val="22"/>
          <w:highlight w:val="none"/>
        </w:rPr>
        <w:t>提供为实现失败次数锁定、密码到期提醒、强制修改密码、风险检查等认证过程中的检查和控制策略配置方案。</w:t>
      </w:r>
    </w:p>
    <w:p w14:paraId="7F63EB2C">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59" w:name="_Toc110523338"/>
      <w:bookmarkStart w:id="260" w:name="_Toc28352"/>
      <w:bookmarkStart w:id="261" w:name="_Toc32042"/>
      <w:r>
        <w:rPr>
          <w:rFonts w:hint="eastAsia"/>
          <w:color w:val="auto"/>
          <w:sz w:val="22"/>
          <w:szCs w:val="22"/>
          <w:highlight w:val="none"/>
        </w:rPr>
        <w:t>访问控制</w:t>
      </w:r>
      <w:bookmarkEnd w:id="259"/>
      <w:bookmarkEnd w:id="260"/>
      <w:bookmarkEnd w:id="261"/>
    </w:p>
    <w:p w14:paraId="6BFF9264">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应用访问控制</w:t>
      </w:r>
    </w:p>
    <w:p w14:paraId="2D01B85F">
      <w:pPr>
        <w:pStyle w:val="30"/>
        <w:pageBreakBefore w:val="0"/>
        <w:numPr>
          <w:ilvl w:val="0"/>
          <w:numId w:val="42"/>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为用户提供统一的登录入口、应用访问入口及应用导航、访问控制；</w:t>
      </w:r>
    </w:p>
    <w:p w14:paraId="7A83C458">
      <w:pPr>
        <w:pStyle w:val="30"/>
        <w:pageBreakBefore w:val="0"/>
        <w:numPr>
          <w:ilvl w:val="0"/>
          <w:numId w:val="42"/>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支持为不同用户显示不同的可访问应用；</w:t>
      </w:r>
    </w:p>
    <w:p w14:paraId="0119116B">
      <w:pPr>
        <w:pStyle w:val="30"/>
        <w:pageBreakBefore w:val="0"/>
        <w:numPr>
          <w:ilvl w:val="0"/>
          <w:numId w:val="42"/>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支持一人多账号、多人一账号访问应用。</w:t>
      </w:r>
    </w:p>
    <w:p w14:paraId="66F4FF20">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访问等日志审计</w:t>
      </w:r>
    </w:p>
    <w:p w14:paraId="7C31D346">
      <w:pPr>
        <w:pStyle w:val="30"/>
        <w:pageBreakBefore w:val="0"/>
        <w:numPr>
          <w:ilvl w:val="0"/>
          <w:numId w:val="43"/>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提供认证日志、访问日志、操作日志、同步日志、系统日志记录供查询、跟踪、审计；</w:t>
      </w:r>
    </w:p>
    <w:p w14:paraId="4055AAD3">
      <w:pPr>
        <w:pStyle w:val="30"/>
        <w:pageBreakBefore w:val="0"/>
        <w:numPr>
          <w:ilvl w:val="0"/>
          <w:numId w:val="43"/>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支持同步日志数据到日志管理平台；</w:t>
      </w:r>
    </w:p>
    <w:p w14:paraId="21EBCE85">
      <w:pPr>
        <w:pStyle w:val="30"/>
        <w:pageBreakBefore w:val="0"/>
        <w:numPr>
          <w:ilvl w:val="0"/>
          <w:numId w:val="43"/>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系统日志支持调整日志级别方便调试排查问题。</w:t>
      </w:r>
    </w:p>
    <w:p w14:paraId="16F9FAC1">
      <w:pPr>
        <w:pageBreakBefore w:val="0"/>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p>
    <w:p w14:paraId="69D3C898">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262" w:name="_Toc110523339"/>
      <w:bookmarkStart w:id="263" w:name="_Toc12013"/>
      <w:bookmarkStart w:id="264" w:name="_Toc26664"/>
      <w:bookmarkStart w:id="265" w:name="_Toc5061"/>
      <w:r>
        <w:rPr>
          <w:rFonts w:hint="eastAsia" w:cs="宋体"/>
          <w:color w:val="auto"/>
          <w:sz w:val="22"/>
          <w:szCs w:val="22"/>
          <w:highlight w:val="none"/>
        </w:rPr>
        <w:t>统一流程管理</w:t>
      </w:r>
      <w:bookmarkEnd w:id="262"/>
      <w:bookmarkEnd w:id="263"/>
      <w:bookmarkEnd w:id="264"/>
      <w:bookmarkEnd w:id="265"/>
    </w:p>
    <w:p w14:paraId="29C0D23B">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66" w:name="_Toc12340"/>
      <w:bookmarkStart w:id="267" w:name="_Toc110523340"/>
      <w:bookmarkStart w:id="268" w:name="_Toc9238"/>
      <w:bookmarkStart w:id="269" w:name="_Toc27752"/>
      <w:r>
        <w:rPr>
          <w:rFonts w:hint="eastAsia"/>
          <w:color w:val="auto"/>
          <w:sz w:val="22"/>
          <w:szCs w:val="22"/>
          <w:highlight w:val="none"/>
        </w:rPr>
        <w:t>流程定义</w:t>
      </w:r>
      <w:bookmarkEnd w:id="266"/>
      <w:bookmarkEnd w:id="267"/>
      <w:bookmarkEnd w:id="268"/>
      <w:bookmarkEnd w:id="269"/>
      <w:r>
        <w:rPr>
          <w:rFonts w:hint="eastAsia"/>
          <w:color w:val="auto"/>
          <w:sz w:val="22"/>
          <w:szCs w:val="22"/>
          <w:highlight w:val="none"/>
        </w:rPr>
        <w:tab/>
      </w:r>
    </w:p>
    <w:p w14:paraId="44A1C323">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提供图形化的流程建模工具，可以实现复杂流程的设定和控制，提供图形化流程配置工具，基本控制功能可以通过可拖拉拽的图形化配置方式实现，而不需要代码开发；流程建模工具提供多样化的流程定义控件。</w:t>
      </w:r>
    </w:p>
    <w:p w14:paraId="0B52316B">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流程自定义</w:t>
      </w:r>
      <w:r>
        <w:rPr>
          <w:rFonts w:hint="eastAsia" w:ascii="宋体" w:hAnsi="宋体" w:cs="宋体"/>
          <w:color w:val="auto"/>
          <w:sz w:val="22"/>
          <w:szCs w:val="22"/>
          <w:highlight w:val="none"/>
        </w:rPr>
        <w:tab/>
      </w:r>
    </w:p>
    <w:p w14:paraId="2A096D6F">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以随时根据需要，由系统管理员或授权人员新增工作流程或修改原有工作流程；系统管理员可以对流程的表单、流程审批路径、出口、图形化可视化监控等状态进行定义。可设置直通、分流、条件流转、并支持串签、并签等多种流向的选择。</w:t>
      </w:r>
    </w:p>
    <w:p w14:paraId="30AF6BCD">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流程协同自定义</w:t>
      </w:r>
      <w:r>
        <w:rPr>
          <w:rFonts w:hint="eastAsia" w:ascii="宋体" w:hAnsi="宋体" w:cs="宋体"/>
          <w:color w:val="auto"/>
          <w:sz w:val="22"/>
          <w:szCs w:val="22"/>
          <w:highlight w:val="none"/>
        </w:rPr>
        <w:tab/>
      </w:r>
    </w:p>
    <w:p w14:paraId="7D1FA7A5">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流程与流程之间的关联，流程与文档的关联，流程与人员，日程关联，实现数据共享。</w:t>
      </w:r>
    </w:p>
    <w:p w14:paraId="6DF7E6F1">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例：使用费用报销流程时，可以方便的查看到相对应的出差流程中的出差申请数据。</w:t>
      </w:r>
    </w:p>
    <w:p w14:paraId="3DEC02B7">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流程报表自定义</w:t>
      </w:r>
      <w:r>
        <w:rPr>
          <w:rFonts w:hint="eastAsia" w:ascii="宋体" w:hAnsi="宋体" w:cs="宋体"/>
          <w:color w:val="auto"/>
          <w:sz w:val="22"/>
          <w:szCs w:val="22"/>
          <w:highlight w:val="none"/>
        </w:rPr>
        <w:tab/>
      </w:r>
    </w:p>
    <w:p w14:paraId="2E84BD52">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流程中的数据可根据配置生成报表，可根据字段进行报表查询，并能导出EXCEL。</w:t>
      </w:r>
    </w:p>
    <w:p w14:paraId="7B668863">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流程节点管理</w:t>
      </w:r>
      <w:r>
        <w:rPr>
          <w:rFonts w:hint="eastAsia" w:ascii="宋体" w:hAnsi="宋体" w:cs="宋体"/>
          <w:color w:val="auto"/>
          <w:sz w:val="22"/>
          <w:szCs w:val="22"/>
          <w:highlight w:val="none"/>
        </w:rPr>
        <w:tab/>
      </w:r>
    </w:p>
    <w:p w14:paraId="0E87D571">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可以设置流程节点允许停留时间，超过时间则系统自动提醒当前责任人。</w:t>
      </w:r>
    </w:p>
    <w:p w14:paraId="798ABA5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流程要求实现自动智能流转，完全不需要上一节点审批人去选择或定义下一节点审批人。流程节点入或出时能支持触发预先定义的外部动作。</w:t>
      </w:r>
    </w:p>
    <w:p w14:paraId="1C8B5C71">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打印模版</w:t>
      </w:r>
      <w:r>
        <w:rPr>
          <w:rFonts w:hint="eastAsia" w:ascii="宋体" w:hAnsi="宋体" w:cs="宋体"/>
          <w:color w:val="auto"/>
          <w:sz w:val="22"/>
          <w:szCs w:val="22"/>
          <w:highlight w:val="none"/>
        </w:rPr>
        <w:tab/>
      </w:r>
    </w:p>
    <w:p w14:paraId="43E8870A">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可以根据用户的要求将系统中流转的电子表单转换成其他格式并打印。</w:t>
      </w:r>
    </w:p>
    <w:p w14:paraId="3D769A05">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流程分支</w:t>
      </w:r>
      <w:r>
        <w:rPr>
          <w:rFonts w:hint="eastAsia" w:ascii="宋体" w:hAnsi="宋体" w:cs="宋体"/>
          <w:color w:val="auto"/>
          <w:sz w:val="22"/>
          <w:szCs w:val="22"/>
          <w:highlight w:val="none"/>
        </w:rPr>
        <w:tab/>
      </w:r>
    </w:p>
    <w:p w14:paraId="0C60851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依条件对分支的任意跳转。例如费用报销流程，可以根据对费用的多少自动决定该报告应由谁来审批。分支条件依表单中的字段值为依据。（根据表单、申请人员信息、当前审批人员信息、上一环节审批信息）</w:t>
      </w:r>
    </w:p>
    <w:p w14:paraId="4FA28855">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流程触发嵌套</w:t>
      </w:r>
      <w:r>
        <w:rPr>
          <w:rFonts w:hint="eastAsia" w:ascii="宋体" w:hAnsi="宋体" w:cs="宋体"/>
          <w:color w:val="auto"/>
          <w:sz w:val="22"/>
          <w:szCs w:val="22"/>
          <w:highlight w:val="none"/>
        </w:rPr>
        <w:tab/>
      </w:r>
    </w:p>
    <w:p w14:paraId="0FEFD905">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用户可以根据实际情况在某一个处理节点上触发其他流程，将一个流程变成多个流程。</w:t>
      </w:r>
    </w:p>
    <w:p w14:paraId="2BD05876">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流程存为文档</w:t>
      </w:r>
      <w:r>
        <w:rPr>
          <w:rFonts w:hint="eastAsia" w:ascii="宋体" w:hAnsi="宋体" w:cs="宋体"/>
          <w:color w:val="auto"/>
          <w:sz w:val="22"/>
          <w:szCs w:val="22"/>
          <w:highlight w:val="none"/>
        </w:rPr>
        <w:tab/>
      </w:r>
    </w:p>
    <w:p w14:paraId="7136AE66">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可通过流程触发自动形成文档，以及可把表单内容嵌入到文档中。</w:t>
      </w:r>
    </w:p>
    <w:p w14:paraId="336D9ED0">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流程效率统计</w:t>
      </w:r>
      <w:r>
        <w:rPr>
          <w:rFonts w:hint="eastAsia" w:cs="宋体"/>
          <w:color w:val="auto"/>
          <w:sz w:val="22"/>
          <w:szCs w:val="22"/>
          <w:highlight w:val="none"/>
        </w:rPr>
        <w:tab/>
      </w:r>
    </w:p>
    <w:p w14:paraId="48727F35">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任务平均办结周期分析、任务参与者办理时间分析、超期任务情况分析、人员的任务办理数量分析、人员的任务办理质量分析；</w:t>
      </w:r>
    </w:p>
    <w:p w14:paraId="3ADB8D5B">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组织维度提供：部门、人员、岗位等的办理吞吐量、时间环比、办理效率、处理排名等；</w:t>
      </w:r>
    </w:p>
    <w:p w14:paraId="4219FAD2">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流程维度提供：流程的吞吐量、流程的效率、时间环比、流程排名等。</w:t>
      </w:r>
    </w:p>
    <w:p w14:paraId="617DFC5E">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流程测试</w:t>
      </w:r>
      <w:r>
        <w:rPr>
          <w:rFonts w:hint="eastAsia" w:ascii="宋体" w:hAnsi="宋体" w:cs="宋体"/>
          <w:color w:val="auto"/>
          <w:sz w:val="22"/>
          <w:szCs w:val="22"/>
          <w:highlight w:val="none"/>
        </w:rPr>
        <w:tab/>
      </w:r>
    </w:p>
    <w:p w14:paraId="3F648AF7">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支持对未发布的流程模拟测试 。</w:t>
      </w:r>
    </w:p>
    <w:p w14:paraId="1912859B">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流程规则自动校验</w:t>
      </w:r>
      <w:r>
        <w:rPr>
          <w:rFonts w:hint="eastAsia" w:cs="宋体"/>
          <w:color w:val="auto"/>
          <w:sz w:val="22"/>
          <w:szCs w:val="22"/>
          <w:highlight w:val="none"/>
        </w:rPr>
        <w:tab/>
      </w:r>
      <w:r>
        <w:rPr>
          <w:rFonts w:hint="eastAsia" w:cs="宋体"/>
          <w:color w:val="auto"/>
          <w:sz w:val="22"/>
          <w:szCs w:val="22"/>
          <w:highlight w:val="none"/>
        </w:rPr>
        <w:t>有机器人进行规则自动检查校验</w:t>
      </w:r>
    </w:p>
    <w:p w14:paraId="34F259B8">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70" w:name="_Toc62"/>
      <w:bookmarkStart w:id="271" w:name="_Toc5360"/>
      <w:bookmarkStart w:id="272" w:name="_Toc110523341"/>
      <w:bookmarkStart w:id="273" w:name="_Toc9965"/>
      <w:r>
        <w:rPr>
          <w:rFonts w:hint="eastAsia"/>
          <w:color w:val="auto"/>
          <w:sz w:val="22"/>
          <w:szCs w:val="22"/>
          <w:highlight w:val="none"/>
        </w:rPr>
        <w:t>流程处理</w:t>
      </w:r>
      <w:bookmarkEnd w:id="270"/>
      <w:bookmarkEnd w:id="271"/>
      <w:bookmarkEnd w:id="272"/>
      <w:bookmarkEnd w:id="273"/>
    </w:p>
    <w:p w14:paraId="6B523CE6">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申请发起</w:t>
      </w:r>
      <w:r>
        <w:rPr>
          <w:rFonts w:hint="eastAsia" w:ascii="宋体" w:hAnsi="宋体" w:cs="宋体"/>
          <w:color w:val="auto"/>
          <w:sz w:val="22"/>
          <w:szCs w:val="22"/>
          <w:highlight w:val="none"/>
        </w:rPr>
        <w:tab/>
      </w:r>
    </w:p>
    <w:p w14:paraId="13B59B91">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根据企业的要求对流程创建个性化设置，每个用户可提交有权限的申请流程。</w:t>
      </w:r>
    </w:p>
    <w:p w14:paraId="0CDE8428">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流程抄送与转发</w:t>
      </w:r>
      <w:r>
        <w:rPr>
          <w:rFonts w:hint="eastAsia" w:ascii="宋体" w:hAnsi="宋体" w:cs="宋体"/>
          <w:color w:val="auto"/>
          <w:sz w:val="22"/>
          <w:szCs w:val="22"/>
          <w:highlight w:val="none"/>
        </w:rPr>
        <w:tab/>
      </w:r>
    </w:p>
    <w:p w14:paraId="69BE1BC6">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支持抄送功能、也可以设置抄送者需要提交审批意见通过，也可以不需要填写审批意见查看即可通过。流程的审批或者审阅者需要某个人的意见做参考时，可以将流程进行转发给需要转发的人员不影响主流程的走向。</w:t>
      </w:r>
    </w:p>
    <w:p w14:paraId="5F247101">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待办处理</w:t>
      </w:r>
      <w:r>
        <w:rPr>
          <w:rFonts w:hint="eastAsia" w:ascii="宋体" w:hAnsi="宋体" w:cs="宋体"/>
          <w:color w:val="auto"/>
          <w:sz w:val="22"/>
          <w:szCs w:val="22"/>
          <w:highlight w:val="none"/>
        </w:rPr>
        <w:tab/>
      </w:r>
    </w:p>
    <w:p w14:paraId="705C7E87">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处理其他人员发起的流程并做相应的批注处理。</w:t>
      </w:r>
    </w:p>
    <w:p w14:paraId="087FC674">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已办跟踪</w:t>
      </w:r>
      <w:r>
        <w:rPr>
          <w:rFonts w:hint="eastAsia" w:ascii="宋体" w:hAnsi="宋体" w:cs="宋体"/>
          <w:color w:val="auto"/>
          <w:sz w:val="22"/>
          <w:szCs w:val="22"/>
          <w:highlight w:val="none"/>
        </w:rPr>
        <w:tab/>
      </w:r>
    </w:p>
    <w:p w14:paraId="5288410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可跟踪已经处理过但未结束的流程。</w:t>
      </w:r>
    </w:p>
    <w:p w14:paraId="4EA4FC6E">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流程代理</w:t>
      </w:r>
      <w:r>
        <w:rPr>
          <w:rFonts w:hint="eastAsia" w:ascii="宋体" w:hAnsi="宋体" w:cs="宋体"/>
          <w:color w:val="auto"/>
          <w:sz w:val="22"/>
          <w:szCs w:val="22"/>
          <w:highlight w:val="none"/>
        </w:rPr>
        <w:tab/>
      </w:r>
    </w:p>
    <w:p w14:paraId="6B090284">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用户可以根据需要将相关流程授权给同岗位或者上级或者助理秘书等（如：出差了，可以将相关工作进行授权，并可以设定授权时间）。支持委托邮件提醒、委托取消，支持与邮件系统人员外出提醒相关联。</w:t>
      </w:r>
    </w:p>
    <w:p w14:paraId="53A73881">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流程督办</w:t>
      </w:r>
      <w:r>
        <w:rPr>
          <w:rFonts w:hint="eastAsia" w:ascii="宋体" w:hAnsi="宋体" w:cs="宋体"/>
          <w:color w:val="auto"/>
          <w:sz w:val="22"/>
          <w:szCs w:val="22"/>
          <w:highlight w:val="none"/>
        </w:rPr>
        <w:tab/>
      </w:r>
    </w:p>
    <w:p w14:paraId="1CAE3030">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相关流程负责人或者领导可以直接对流程进行意见督办。</w:t>
      </w:r>
    </w:p>
    <w:p w14:paraId="2ADA7187">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流程查询</w:t>
      </w:r>
      <w:r>
        <w:rPr>
          <w:rFonts w:hint="eastAsia" w:ascii="宋体" w:hAnsi="宋体" w:cs="宋体"/>
          <w:color w:val="auto"/>
          <w:sz w:val="22"/>
          <w:szCs w:val="22"/>
          <w:highlight w:val="none"/>
        </w:rPr>
        <w:tab/>
      </w:r>
    </w:p>
    <w:p w14:paraId="5FBE8670">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通过关键字可对需要的流程进行查询，或通过流程的分类、定义的属性进行查询。通过流程表单内容可以进行流程检索精确查询。</w:t>
      </w:r>
    </w:p>
    <w:p w14:paraId="299D3447">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办结查询</w:t>
      </w:r>
      <w:r>
        <w:rPr>
          <w:rFonts w:hint="eastAsia" w:ascii="宋体" w:hAnsi="宋体" w:cs="宋体"/>
          <w:color w:val="auto"/>
          <w:sz w:val="22"/>
          <w:szCs w:val="22"/>
          <w:highlight w:val="none"/>
        </w:rPr>
        <w:tab/>
      </w:r>
    </w:p>
    <w:p w14:paraId="62AB7933">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可查看历史处理过并结束的流程。</w:t>
      </w:r>
    </w:p>
    <w:p w14:paraId="4083E7F4">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流程图形化显示及路径跟踪</w:t>
      </w:r>
      <w:r>
        <w:rPr>
          <w:rFonts w:hint="eastAsia" w:cs="宋体"/>
          <w:color w:val="auto"/>
          <w:sz w:val="22"/>
          <w:szCs w:val="22"/>
          <w:highlight w:val="none"/>
        </w:rPr>
        <w:tab/>
      </w:r>
      <w:r>
        <w:rPr>
          <w:rFonts w:hint="eastAsia" w:cs="宋体"/>
          <w:color w:val="auto"/>
          <w:sz w:val="22"/>
          <w:szCs w:val="22"/>
          <w:highlight w:val="none"/>
        </w:rPr>
        <w:t>图形化显示流程的走向和流程的操作者；允许流程节点的相关人（流程参与者）通过流程可视化流程监控图跟踪整个流程的执行情况。</w:t>
      </w:r>
    </w:p>
    <w:p w14:paraId="02BF71A4">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74" w:name="_Toc16019"/>
      <w:bookmarkStart w:id="275" w:name="_Toc110523342"/>
      <w:bookmarkStart w:id="276" w:name="_Toc7359"/>
      <w:bookmarkStart w:id="277" w:name="_Toc25297"/>
      <w:r>
        <w:rPr>
          <w:rFonts w:hint="eastAsia"/>
          <w:color w:val="auto"/>
          <w:sz w:val="22"/>
          <w:szCs w:val="22"/>
          <w:highlight w:val="none"/>
        </w:rPr>
        <w:t>流程流转</w:t>
      </w:r>
      <w:bookmarkEnd w:id="274"/>
      <w:bookmarkEnd w:id="275"/>
      <w:bookmarkEnd w:id="276"/>
      <w:bookmarkEnd w:id="277"/>
    </w:p>
    <w:p w14:paraId="696293E7">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流程并发分支</w:t>
      </w:r>
      <w:r>
        <w:rPr>
          <w:rFonts w:hint="eastAsia" w:ascii="宋体" w:hAnsi="宋体" w:cs="宋体"/>
          <w:color w:val="auto"/>
          <w:sz w:val="22"/>
          <w:szCs w:val="22"/>
          <w:highlight w:val="none"/>
        </w:rPr>
        <w:tab/>
      </w:r>
    </w:p>
    <w:p w14:paraId="05EBC60C">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根据工作需要，在某一个节点处理后，可分拆成多个节点由不同人员去审核或处理。</w:t>
      </w:r>
    </w:p>
    <w:p w14:paraId="27693CBC">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自由流程</w:t>
      </w:r>
      <w:r>
        <w:rPr>
          <w:rFonts w:hint="eastAsia" w:ascii="宋体" w:hAnsi="宋体" w:cs="宋体"/>
          <w:color w:val="auto"/>
          <w:sz w:val="22"/>
          <w:szCs w:val="22"/>
          <w:highlight w:val="none"/>
        </w:rPr>
        <w:tab/>
      </w:r>
    </w:p>
    <w:p w14:paraId="753C727C">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可由用户在提交或审批的过程中，自行选择下一环节的处理人以及决定是否结束。</w:t>
      </w:r>
    </w:p>
    <w:p w14:paraId="5B32952B">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跨组织流转</w:t>
      </w:r>
      <w:r>
        <w:rPr>
          <w:rFonts w:hint="eastAsia" w:ascii="宋体" w:hAnsi="宋体" w:cs="宋体"/>
          <w:color w:val="auto"/>
          <w:sz w:val="22"/>
          <w:szCs w:val="22"/>
          <w:highlight w:val="none"/>
        </w:rPr>
        <w:tab/>
      </w:r>
    </w:p>
    <w:p w14:paraId="7EBC5686">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支持跨成员公司流程流转，如A公司代B公司的合同流程，子流程需要由分发人灵活选择。</w:t>
      </w:r>
    </w:p>
    <w:p w14:paraId="2C0B55AC">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合并审批</w:t>
      </w:r>
      <w:r>
        <w:rPr>
          <w:rFonts w:hint="eastAsia" w:ascii="宋体" w:hAnsi="宋体" w:cs="宋体"/>
          <w:color w:val="auto"/>
          <w:sz w:val="22"/>
          <w:szCs w:val="22"/>
          <w:highlight w:val="none"/>
        </w:rPr>
        <w:tab/>
      </w:r>
    </w:p>
    <w:p w14:paraId="57627CE5">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只审一次：在一次流程审批中，同一个领导只审一次，且支持以最高的职务进行审批</w:t>
      </w:r>
    </w:p>
    <w:p w14:paraId="3308D2C6">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78" w:name="_Toc6549"/>
      <w:bookmarkStart w:id="279" w:name="_Toc110523343"/>
      <w:bookmarkStart w:id="280" w:name="_Toc6182"/>
      <w:bookmarkStart w:id="281" w:name="_Toc26712"/>
      <w:r>
        <w:rPr>
          <w:rFonts w:hint="eastAsia"/>
          <w:color w:val="auto"/>
          <w:sz w:val="22"/>
          <w:szCs w:val="22"/>
          <w:highlight w:val="none"/>
        </w:rPr>
        <w:t>流程赋权</w:t>
      </w:r>
      <w:bookmarkEnd w:id="278"/>
      <w:bookmarkEnd w:id="279"/>
      <w:bookmarkEnd w:id="280"/>
      <w:bookmarkEnd w:id="281"/>
      <w:r>
        <w:rPr>
          <w:rFonts w:hint="eastAsia"/>
          <w:color w:val="auto"/>
          <w:sz w:val="22"/>
          <w:szCs w:val="22"/>
          <w:highlight w:val="none"/>
        </w:rPr>
        <w:tab/>
      </w:r>
    </w:p>
    <w:p w14:paraId="5E8ACF69">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通过流程配置的权限来赋予文档 、表单、相联数据的 增删改查权限，流程中没有权限的人不能查看；同一流程中,可以限制不同处理者能够查看和输入的内容权限。</w:t>
      </w:r>
    </w:p>
    <w:p w14:paraId="25EB5693">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流程监控</w:t>
      </w:r>
      <w:r>
        <w:rPr>
          <w:rFonts w:hint="eastAsia" w:ascii="宋体" w:hAnsi="宋体" w:cs="宋体"/>
          <w:color w:val="auto"/>
          <w:sz w:val="22"/>
          <w:szCs w:val="22"/>
          <w:highlight w:val="none"/>
        </w:rPr>
        <w:tab/>
      </w:r>
    </w:p>
    <w:p w14:paraId="275B5FB0">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对流程执行的效率、执行的质量进行分析和处理。</w:t>
      </w:r>
    </w:p>
    <w:p w14:paraId="59FBBA0F">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流程撤回</w:t>
      </w:r>
      <w:r>
        <w:rPr>
          <w:rFonts w:hint="eastAsia" w:ascii="宋体" w:hAnsi="宋体" w:cs="宋体"/>
          <w:color w:val="auto"/>
          <w:sz w:val="22"/>
          <w:szCs w:val="22"/>
          <w:highlight w:val="none"/>
        </w:rPr>
        <w:tab/>
      </w:r>
    </w:p>
    <w:p w14:paraId="276830A3">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系统支持灵活设定是否需要撤回提交的流程表单。</w:t>
      </w:r>
    </w:p>
    <w:p w14:paraId="42C6110B">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流程强制归档</w:t>
      </w:r>
      <w:r>
        <w:rPr>
          <w:rFonts w:hint="eastAsia" w:ascii="宋体" w:hAnsi="宋体" w:cs="宋体"/>
          <w:color w:val="auto"/>
          <w:sz w:val="22"/>
          <w:szCs w:val="22"/>
          <w:highlight w:val="none"/>
        </w:rPr>
        <w:tab/>
      </w:r>
    </w:p>
    <w:p w14:paraId="0FF3E7D6">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用户可以根据情况是否强制将流程结束或者归档。</w:t>
      </w:r>
    </w:p>
    <w:p w14:paraId="1501B6CC">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流程退回</w:t>
      </w:r>
      <w:r>
        <w:rPr>
          <w:rFonts w:hint="eastAsia" w:ascii="宋体" w:hAnsi="宋体" w:cs="宋体"/>
          <w:color w:val="auto"/>
          <w:sz w:val="22"/>
          <w:szCs w:val="22"/>
          <w:highlight w:val="none"/>
        </w:rPr>
        <w:tab/>
      </w:r>
    </w:p>
    <w:p w14:paraId="4FB9B8C4">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可自由设定在任何节点的流程退回功能；退回流程可设置退回环节提交时可跳过中间环节，返回至当前环节。</w:t>
      </w:r>
    </w:p>
    <w:p w14:paraId="59430441">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流程会签</w:t>
      </w:r>
      <w:r>
        <w:rPr>
          <w:rFonts w:hint="eastAsia" w:ascii="宋体" w:hAnsi="宋体" w:cs="宋体"/>
          <w:color w:val="auto"/>
          <w:sz w:val="22"/>
          <w:szCs w:val="22"/>
          <w:highlight w:val="none"/>
        </w:rPr>
        <w:tab/>
      </w:r>
    </w:p>
    <w:p w14:paraId="23B15D76">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支持把任务分配给一群人处理过程中的受理和反馈问题，所有人同时得到任务指派并正确地完成某项任务。</w:t>
      </w:r>
    </w:p>
    <w:p w14:paraId="650C7D24">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要求1：允许无限层级会签</w:t>
      </w:r>
    </w:p>
    <w:p w14:paraId="50424084">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 xml:space="preserve">要求2：允许各单位间 会签 相互不可见  </w:t>
      </w:r>
    </w:p>
    <w:p w14:paraId="3EEF612B">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要求3：会签能支持从上向下 并从下往上 的审核过程</w:t>
      </w:r>
    </w:p>
    <w:p w14:paraId="77F2A7B3">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要求4：各会签单位的意见 需要归类合并</w:t>
      </w:r>
    </w:p>
    <w:p w14:paraId="1D4FF7D5">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要求5：流程中需要体现 会签和流程信息</w:t>
      </w:r>
    </w:p>
    <w:p w14:paraId="4C390762">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要求6：会签意见出部门前可以灵活调整，只显示最终会签意见</w:t>
      </w:r>
    </w:p>
    <w:p w14:paraId="1E547D78">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流程移交、复制</w:t>
      </w:r>
      <w:r>
        <w:rPr>
          <w:rFonts w:hint="eastAsia" w:ascii="宋体" w:hAnsi="宋体" w:cs="宋体"/>
          <w:color w:val="auto"/>
          <w:sz w:val="22"/>
          <w:szCs w:val="22"/>
          <w:highlight w:val="none"/>
        </w:rPr>
        <w:tab/>
      </w:r>
    </w:p>
    <w:p w14:paraId="651E05F6">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历史数据转移、复制：人员调岗，历史数据可以移交；同岗位人员新增，可以复制权限，授权其查看历史流程、数据（包括在途流程）</w:t>
      </w:r>
    </w:p>
    <w:p w14:paraId="0ACDEEC8">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82" w:name="_Toc23143"/>
      <w:bookmarkStart w:id="283" w:name="_Toc23771"/>
      <w:bookmarkStart w:id="284" w:name="_Toc110523344"/>
      <w:bookmarkStart w:id="285" w:name="_Toc11374"/>
      <w:r>
        <w:rPr>
          <w:rFonts w:hint="eastAsia"/>
          <w:color w:val="auto"/>
          <w:sz w:val="22"/>
          <w:szCs w:val="22"/>
          <w:highlight w:val="none"/>
        </w:rPr>
        <w:t>流程集成</w:t>
      </w:r>
      <w:bookmarkEnd w:id="282"/>
      <w:bookmarkEnd w:id="283"/>
      <w:bookmarkEnd w:id="284"/>
      <w:bookmarkEnd w:id="285"/>
      <w:r>
        <w:rPr>
          <w:rFonts w:hint="eastAsia"/>
          <w:color w:val="auto"/>
          <w:sz w:val="22"/>
          <w:szCs w:val="22"/>
          <w:highlight w:val="none"/>
        </w:rPr>
        <w:tab/>
      </w:r>
    </w:p>
    <w:p w14:paraId="5D7D5C1C">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流程引擎需提供对流程和业务对象模型的功能进行无缝集成，并高度协同，提供统一流程接口。</w:t>
      </w:r>
    </w:p>
    <w:p w14:paraId="6625EDD2">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移动端流程</w:t>
      </w:r>
      <w:r>
        <w:rPr>
          <w:rFonts w:hint="eastAsia" w:cs="宋体"/>
          <w:color w:val="auto"/>
          <w:sz w:val="22"/>
          <w:szCs w:val="22"/>
          <w:highlight w:val="none"/>
        </w:rPr>
        <w:tab/>
      </w:r>
      <w:r>
        <w:rPr>
          <w:rFonts w:hint="eastAsia" w:cs="宋体"/>
          <w:color w:val="auto"/>
          <w:sz w:val="22"/>
          <w:szCs w:val="22"/>
          <w:highlight w:val="none"/>
        </w:rPr>
        <w:t>支持移动办公、在手机端发起流程、审批流程，并将待办流程提醒的消息推送至手机端。</w:t>
      </w:r>
    </w:p>
    <w:p w14:paraId="5DED062B">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会签文档去控件编辑</w:t>
      </w:r>
      <w:r>
        <w:rPr>
          <w:rFonts w:hint="eastAsia" w:cs="宋体"/>
          <w:color w:val="auto"/>
          <w:sz w:val="22"/>
          <w:szCs w:val="22"/>
          <w:highlight w:val="none"/>
        </w:rPr>
        <w:tab/>
      </w:r>
    </w:p>
    <w:p w14:paraId="548AFEAA">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支持在线编辑；编辑留痕；套打；水印；格式文本引入；要求客户端去插件化。</w:t>
      </w:r>
    </w:p>
    <w:p w14:paraId="15C2CDF4">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支持控件编辑</w:t>
      </w:r>
      <w:r>
        <w:rPr>
          <w:rFonts w:hint="eastAsia" w:ascii="宋体" w:hAnsi="宋体" w:cs="宋体"/>
          <w:color w:val="auto"/>
          <w:sz w:val="22"/>
          <w:szCs w:val="22"/>
          <w:highlight w:val="none"/>
        </w:rPr>
        <w:tab/>
      </w:r>
    </w:p>
    <w:p w14:paraId="5239A393">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支持使用控件调用本地office软件编辑，支持编辑留痕与套打，移动端需支持查看，支持控件与去插件化切换。</w:t>
      </w:r>
    </w:p>
    <w:p w14:paraId="0325751A">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流程帮助文档</w:t>
      </w:r>
      <w:r>
        <w:rPr>
          <w:rFonts w:hint="eastAsia" w:ascii="宋体" w:hAnsi="宋体" w:cs="宋体"/>
          <w:color w:val="auto"/>
          <w:sz w:val="22"/>
          <w:szCs w:val="22"/>
          <w:highlight w:val="none"/>
        </w:rPr>
        <w:tab/>
      </w:r>
    </w:p>
    <w:p w14:paraId="1636660A">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自定义流程帮助文档信息，针对不同的流程定义不同的帮助文档；能在流程中给出相关信息提示，提升员工工作效率。</w:t>
      </w:r>
    </w:p>
    <w:p w14:paraId="26032E71">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流程催办短信提醒</w:t>
      </w:r>
      <w:r>
        <w:rPr>
          <w:rFonts w:hint="eastAsia" w:ascii="宋体" w:hAnsi="宋体" w:cs="宋体"/>
          <w:color w:val="auto"/>
          <w:sz w:val="22"/>
          <w:szCs w:val="22"/>
          <w:highlight w:val="none"/>
        </w:rPr>
        <w:tab/>
      </w:r>
    </w:p>
    <w:p w14:paraId="18FF724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通过短信来提醒待办流程。</w:t>
      </w:r>
    </w:p>
    <w:p w14:paraId="450D153A">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流程催办邮件提醒</w:t>
      </w:r>
      <w:r>
        <w:rPr>
          <w:rFonts w:hint="eastAsia" w:ascii="宋体" w:hAnsi="宋体" w:cs="宋体"/>
          <w:color w:val="auto"/>
          <w:sz w:val="22"/>
          <w:szCs w:val="22"/>
          <w:highlight w:val="none"/>
        </w:rPr>
        <w:tab/>
      </w:r>
    </w:p>
    <w:p w14:paraId="279B8DA0">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流程可以通过邮件的方式进行提醒。</w:t>
      </w:r>
    </w:p>
    <w:p w14:paraId="3119F70B">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流程自动提醒</w:t>
      </w:r>
      <w:r>
        <w:rPr>
          <w:rFonts w:hint="eastAsia" w:ascii="宋体" w:hAnsi="宋体" w:cs="宋体"/>
          <w:color w:val="auto"/>
          <w:sz w:val="22"/>
          <w:szCs w:val="22"/>
          <w:highlight w:val="none"/>
        </w:rPr>
        <w:tab/>
      </w:r>
    </w:p>
    <w:p w14:paraId="1B0C62DF">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对新请求、待处理请求、超时未处理请求、处理完请求等，系统具有提醒功能。通过邮件、即时消息、手机短信等方式提醒。同时可以通知流程及工作到达。</w:t>
      </w:r>
    </w:p>
    <w:p w14:paraId="1B8532C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流程自动触发与子流程</w:t>
      </w:r>
      <w:r>
        <w:rPr>
          <w:rFonts w:hint="eastAsia" w:cs="宋体"/>
          <w:color w:val="auto"/>
          <w:sz w:val="22"/>
          <w:szCs w:val="22"/>
          <w:highlight w:val="none"/>
        </w:rPr>
        <w:tab/>
      </w:r>
      <w:r>
        <w:rPr>
          <w:rFonts w:hint="eastAsia" w:cs="宋体"/>
          <w:color w:val="auto"/>
          <w:sz w:val="22"/>
          <w:szCs w:val="22"/>
          <w:highlight w:val="none"/>
        </w:rPr>
        <w:t>流程可以定义计划启动时间，用户根据时间或操作，可自动发起相应的流程。（如：工作计划、总结等）。当某个主流程流转时，可以定义自动触发下一个子流程（用户根据情况定义：流程结束时可以触发或者流程离开某个节点时触发子流程）。</w:t>
      </w:r>
    </w:p>
    <w:p w14:paraId="5121FEE8">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86" w:name="_Toc110523345"/>
      <w:bookmarkStart w:id="287" w:name="_Toc16529"/>
      <w:bookmarkStart w:id="288" w:name="_Toc10147"/>
      <w:bookmarkStart w:id="289" w:name="_Toc15280"/>
      <w:r>
        <w:rPr>
          <w:rFonts w:hint="eastAsia"/>
          <w:color w:val="auto"/>
          <w:sz w:val="22"/>
          <w:szCs w:val="22"/>
          <w:highlight w:val="none"/>
        </w:rPr>
        <w:t>特殊流程处理</w:t>
      </w:r>
      <w:bookmarkEnd w:id="286"/>
      <w:bookmarkEnd w:id="287"/>
      <w:bookmarkEnd w:id="288"/>
      <w:bookmarkEnd w:id="289"/>
      <w:r>
        <w:rPr>
          <w:rFonts w:hint="eastAsia"/>
          <w:color w:val="auto"/>
          <w:sz w:val="22"/>
          <w:szCs w:val="22"/>
          <w:highlight w:val="none"/>
        </w:rPr>
        <w:tab/>
      </w:r>
    </w:p>
    <w:p w14:paraId="29F32575">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可以实现强制归档或者收回，干预操作。包括如下异常流程处理：</w:t>
      </w:r>
    </w:p>
    <w:p w14:paraId="6D31FAA6">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1.发现异常流程，如挂在离职人员手上的流程，当前无处理人的流程</w:t>
      </w:r>
    </w:p>
    <w:p w14:paraId="5017454F">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2.错误意见修改办法</w:t>
      </w:r>
    </w:p>
    <w:p w14:paraId="6F4CECD7">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3.错误文件修改办法</w:t>
      </w:r>
    </w:p>
    <w:p w14:paraId="2F804DC3">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290" w:name="_Toc19519"/>
      <w:bookmarkStart w:id="291" w:name="_Toc110523346"/>
      <w:bookmarkStart w:id="292" w:name="_Toc946"/>
      <w:r>
        <w:rPr>
          <w:rFonts w:hint="eastAsia" w:cs="宋体"/>
          <w:color w:val="auto"/>
          <w:sz w:val="22"/>
          <w:szCs w:val="22"/>
          <w:highlight w:val="none"/>
        </w:rPr>
        <w:t>表单管理</w:t>
      </w:r>
      <w:bookmarkEnd w:id="240"/>
      <w:bookmarkEnd w:id="290"/>
      <w:bookmarkEnd w:id="291"/>
      <w:bookmarkEnd w:id="292"/>
    </w:p>
    <w:p w14:paraId="0DE178E9">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93" w:name="_Toc3010"/>
      <w:bookmarkStart w:id="294" w:name="_Toc110523347"/>
      <w:bookmarkStart w:id="295" w:name="_Toc24550"/>
      <w:bookmarkStart w:id="296" w:name="_Toc16463"/>
      <w:r>
        <w:rPr>
          <w:rFonts w:hint="eastAsia"/>
          <w:color w:val="auto"/>
          <w:sz w:val="22"/>
          <w:szCs w:val="22"/>
          <w:highlight w:val="none"/>
        </w:rPr>
        <w:t>总体要求</w:t>
      </w:r>
      <w:bookmarkEnd w:id="293"/>
      <w:bookmarkEnd w:id="294"/>
      <w:bookmarkEnd w:id="295"/>
      <w:bookmarkEnd w:id="296"/>
      <w:r>
        <w:rPr>
          <w:rFonts w:hint="eastAsia"/>
          <w:color w:val="auto"/>
          <w:sz w:val="22"/>
          <w:szCs w:val="22"/>
          <w:highlight w:val="none"/>
        </w:rPr>
        <w:tab/>
      </w:r>
    </w:p>
    <w:p w14:paraId="4F9CC8D2">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基于web 的在线排版和定义功能，既提供零编码的用户交互设计，也支持技术人员Web 上实现各类扩展。支持业务数据源关联，实现表单数据处理自动化。</w:t>
      </w:r>
    </w:p>
    <w:p w14:paraId="01AF71F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操作简单，业务人员即可完成表单的定义操作：</w:t>
      </w:r>
    </w:p>
    <w:p w14:paraId="4587151F">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（1）表单的定义完全在浏览器上完成，无需安装额外的软件或浏览器插件。</w:t>
      </w:r>
    </w:p>
    <w:p w14:paraId="02259EBF">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2）内置大量的表单控件，通过简单的拖拽操作，即可完成整个表单定义的过程。控件包括：文本、单行输入框、多行输入框、数字输入框、下拉选择框、单选按钮、多选按钮、附件、日期时间、地址本、高级地址本、动态单选、动态多选、动态下拉框、填充控件、选择框、模板附件、校验器、属性变更、审批操作、新审批操作、审批意见、稿纸签章等常用控件；还包括前端计算控件，可以快速地在用户输入的过程中对字段进行计算汇总。</w:t>
      </w:r>
    </w:p>
    <w:p w14:paraId="665C5EC9">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（3）提供明细表控件，快速实现多行单据的动态行添加、删除、编辑、excel 导入导出等功能。</w:t>
      </w:r>
    </w:p>
    <w:p w14:paraId="36074854">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（4）提供表格、标签页等布局控件，类似WORD 表格的设计方式，可添加、删除行列，合并、拆分单元格等。布局控件支持相互嵌套，通过简单的操作即可完成复杂的布局。表单中的数据自动存储，业务人员无需具备复杂的数据库表结构设计等技能。</w:t>
      </w:r>
    </w:p>
    <w:p w14:paraId="70EBDC9F">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297" w:name="_Toc27269"/>
      <w:bookmarkStart w:id="298" w:name="_Toc110523348"/>
      <w:bookmarkStart w:id="299" w:name="_Toc18257"/>
      <w:bookmarkStart w:id="300" w:name="_Toc27984"/>
      <w:r>
        <w:rPr>
          <w:rFonts w:hint="eastAsia"/>
          <w:color w:val="auto"/>
          <w:sz w:val="22"/>
          <w:szCs w:val="22"/>
          <w:highlight w:val="none"/>
        </w:rPr>
        <w:t>表单审计</w:t>
      </w:r>
      <w:bookmarkEnd w:id="297"/>
      <w:bookmarkEnd w:id="298"/>
      <w:bookmarkEnd w:id="299"/>
      <w:bookmarkEnd w:id="300"/>
      <w:r>
        <w:rPr>
          <w:rFonts w:hint="eastAsia"/>
          <w:color w:val="auto"/>
          <w:sz w:val="22"/>
          <w:szCs w:val="22"/>
          <w:highlight w:val="none"/>
        </w:rPr>
        <w:tab/>
      </w:r>
    </w:p>
    <w:p w14:paraId="0AABED9E">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关键字段需要有字段修改日志可用于审计。</w:t>
      </w:r>
    </w:p>
    <w:p w14:paraId="6FFC1BE1">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01" w:name="_Toc18004"/>
      <w:bookmarkStart w:id="302" w:name="_Toc110523349"/>
      <w:bookmarkStart w:id="303" w:name="_Toc26276"/>
      <w:bookmarkStart w:id="304" w:name="_Toc4877"/>
      <w:r>
        <w:rPr>
          <w:rFonts w:hint="eastAsia"/>
          <w:color w:val="auto"/>
          <w:sz w:val="22"/>
          <w:szCs w:val="22"/>
          <w:highlight w:val="none"/>
        </w:rPr>
        <w:t>表单灵活扩展</w:t>
      </w:r>
      <w:bookmarkEnd w:id="301"/>
      <w:bookmarkEnd w:id="302"/>
      <w:bookmarkEnd w:id="303"/>
      <w:bookmarkEnd w:id="304"/>
      <w:r>
        <w:rPr>
          <w:rFonts w:hint="eastAsia"/>
          <w:color w:val="auto"/>
          <w:sz w:val="22"/>
          <w:szCs w:val="22"/>
          <w:highlight w:val="none"/>
        </w:rPr>
        <w:tab/>
      </w:r>
    </w:p>
    <w:p w14:paraId="4629CD06">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（1）对于一些表单自定义工具本身未涵盖的功能，具有一定开发技能的人员可以通过直接在表单中插入程序代码，或者根据表单引擎的规范编写表单控件这两种方式来完成。</w:t>
      </w:r>
      <w:r>
        <w:rPr>
          <w:rFonts w:hint="eastAsia" w:cs="宋体"/>
          <w:color w:val="auto"/>
          <w:sz w:val="22"/>
          <w:szCs w:val="22"/>
          <w:highlight w:val="none"/>
        </w:rPr>
        <w:tab/>
      </w:r>
    </w:p>
    <w:p w14:paraId="05D7E174">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（2）表单中的数据不仅可以自动存储，还可以指定数据库表结构进行存储，以方便数据库多表的关联查询</w:t>
      </w:r>
    </w:p>
    <w:p w14:paraId="5529977E">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05" w:name="_Toc11525"/>
      <w:bookmarkStart w:id="306" w:name="_Toc110523350"/>
      <w:bookmarkStart w:id="307" w:name="_Toc29646"/>
      <w:bookmarkStart w:id="308" w:name="_Toc26079"/>
      <w:r>
        <w:rPr>
          <w:rFonts w:hint="eastAsia"/>
          <w:color w:val="auto"/>
          <w:sz w:val="22"/>
          <w:szCs w:val="22"/>
          <w:highlight w:val="none"/>
        </w:rPr>
        <w:t>严谨的权限控制</w:t>
      </w:r>
      <w:bookmarkEnd w:id="305"/>
      <w:bookmarkEnd w:id="306"/>
      <w:bookmarkEnd w:id="307"/>
      <w:bookmarkEnd w:id="308"/>
      <w:r>
        <w:rPr>
          <w:rFonts w:hint="eastAsia"/>
          <w:color w:val="auto"/>
          <w:sz w:val="22"/>
          <w:szCs w:val="22"/>
          <w:highlight w:val="none"/>
        </w:rPr>
        <w:tab/>
      </w:r>
    </w:p>
    <w:p w14:paraId="5B860A07">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表单引擎的权限可以控制到特定区域范围中的表单控件的查看、编辑、隐藏等权限。授权用户可以直接从组织架构中指定，或直接通过流程节点指定。</w:t>
      </w:r>
    </w:p>
    <w:p w14:paraId="148B6E67">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09" w:name="_Toc110523351"/>
      <w:bookmarkStart w:id="310" w:name="_Toc30396"/>
      <w:bookmarkStart w:id="311" w:name="_Toc18758"/>
      <w:bookmarkStart w:id="312" w:name="_Toc27934"/>
      <w:r>
        <w:rPr>
          <w:rFonts w:hint="eastAsia"/>
          <w:color w:val="auto"/>
          <w:sz w:val="22"/>
          <w:szCs w:val="22"/>
          <w:highlight w:val="none"/>
        </w:rPr>
        <w:t>表单与流程融合</w:t>
      </w:r>
      <w:bookmarkEnd w:id="309"/>
      <w:bookmarkEnd w:id="310"/>
      <w:bookmarkEnd w:id="311"/>
      <w:bookmarkEnd w:id="312"/>
      <w:r>
        <w:rPr>
          <w:rFonts w:hint="eastAsia"/>
          <w:color w:val="auto"/>
          <w:sz w:val="22"/>
          <w:szCs w:val="22"/>
          <w:highlight w:val="none"/>
        </w:rPr>
        <w:tab/>
      </w:r>
    </w:p>
    <w:p w14:paraId="77C2681F">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流程节点的处理人可以从表单中进行获取，流程在流转过程中也可以对表单的数据进行修改；表单可以定义哪些流程环节可以编辑特定区域的字段，在什么位置对流程过程中的审批意见按照指定的格式进行展现等。</w:t>
      </w:r>
    </w:p>
    <w:p w14:paraId="39343BFA">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13" w:name="_Toc26605"/>
      <w:bookmarkStart w:id="314" w:name="_Toc28327"/>
      <w:bookmarkStart w:id="315" w:name="_Toc110523352"/>
      <w:bookmarkStart w:id="316" w:name="_Toc20724"/>
      <w:r>
        <w:rPr>
          <w:rFonts w:hint="eastAsia"/>
          <w:color w:val="auto"/>
          <w:sz w:val="22"/>
          <w:szCs w:val="22"/>
          <w:highlight w:val="none"/>
        </w:rPr>
        <w:t>多表单支持</w:t>
      </w:r>
      <w:bookmarkEnd w:id="313"/>
      <w:bookmarkEnd w:id="314"/>
      <w:bookmarkEnd w:id="315"/>
      <w:bookmarkEnd w:id="316"/>
      <w:r>
        <w:rPr>
          <w:rFonts w:hint="eastAsia"/>
          <w:color w:val="auto"/>
          <w:sz w:val="22"/>
          <w:szCs w:val="22"/>
          <w:highlight w:val="none"/>
        </w:rPr>
        <w:tab/>
      </w:r>
    </w:p>
    <w:p w14:paraId="098FD0C2">
      <w:pPr>
        <w:pStyle w:val="30"/>
        <w:pageBreakBefore w:val="0"/>
        <w:kinsoku/>
        <w:wordWrap/>
        <w:overflowPunct/>
        <w:topLinePunct w:val="0"/>
        <w:autoSpaceDE/>
        <w:autoSpaceDN/>
        <w:bidi w:val="0"/>
        <w:adjustRightInd/>
        <w:snapToGrid/>
        <w:spacing w:line="360" w:lineRule="auto"/>
        <w:ind w:firstLine="480"/>
        <w:textAlignment w:val="auto"/>
        <w:rPr>
          <w:rFonts w:hint="eastAsia" w:cs="宋体"/>
          <w:color w:val="auto"/>
          <w:sz w:val="22"/>
          <w:szCs w:val="22"/>
          <w:highlight w:val="none"/>
        </w:rPr>
      </w:pPr>
      <w:r>
        <w:rPr>
          <w:rFonts w:hint="eastAsia" w:cs="宋体"/>
          <w:color w:val="auto"/>
          <w:sz w:val="22"/>
          <w:szCs w:val="22"/>
          <w:highlight w:val="none"/>
        </w:rPr>
        <w:t>提供流程节点审批或签字，绑定不同的表单模板和打印模板。针对同一个节点可设置PC端和移动端的表单模板。流程处理人根据业务需要处理对应的表单信息。</w:t>
      </w:r>
    </w:p>
    <w:p w14:paraId="414F74F3">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317" w:name="_Toc110523353"/>
      <w:bookmarkStart w:id="318" w:name="_Toc2449"/>
      <w:bookmarkStart w:id="319" w:name="_Toc31407"/>
      <w:bookmarkStart w:id="320" w:name="_Toc30658"/>
      <w:bookmarkStart w:id="321" w:name="_Toc23630"/>
      <w:r>
        <w:rPr>
          <w:rFonts w:hint="eastAsia" w:cs="宋体"/>
          <w:color w:val="auto"/>
          <w:sz w:val="22"/>
          <w:szCs w:val="22"/>
          <w:highlight w:val="none"/>
        </w:rPr>
        <w:t>知识文档管理</w:t>
      </w:r>
      <w:bookmarkEnd w:id="317"/>
      <w:bookmarkEnd w:id="318"/>
      <w:bookmarkEnd w:id="319"/>
      <w:bookmarkEnd w:id="320"/>
    </w:p>
    <w:p w14:paraId="7EE74F71">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22" w:name="_Toc23127"/>
      <w:bookmarkStart w:id="323" w:name="_Toc110523354"/>
      <w:bookmarkStart w:id="324" w:name="_Toc25205"/>
      <w:bookmarkStart w:id="325" w:name="_Toc14788"/>
      <w:r>
        <w:rPr>
          <w:rFonts w:hint="eastAsia"/>
          <w:color w:val="auto"/>
          <w:sz w:val="22"/>
          <w:szCs w:val="22"/>
          <w:highlight w:val="none"/>
        </w:rPr>
        <w:t>统一搜索</w:t>
      </w:r>
      <w:bookmarkEnd w:id="322"/>
      <w:bookmarkEnd w:id="323"/>
      <w:bookmarkEnd w:id="324"/>
      <w:bookmarkEnd w:id="325"/>
      <w:r>
        <w:rPr>
          <w:rFonts w:hint="eastAsia"/>
          <w:color w:val="auto"/>
          <w:sz w:val="22"/>
          <w:szCs w:val="22"/>
          <w:highlight w:val="none"/>
        </w:rPr>
        <w:tab/>
      </w:r>
    </w:p>
    <w:p w14:paraId="23AC5334">
      <w:pPr>
        <w:pStyle w:val="30"/>
        <w:pageBreakBefore w:val="0"/>
        <w:kinsoku/>
        <w:wordWrap/>
        <w:overflowPunct/>
        <w:topLinePunct w:val="0"/>
        <w:autoSpaceDE/>
        <w:autoSpaceDN/>
        <w:bidi w:val="0"/>
        <w:adjustRightInd/>
        <w:snapToGrid/>
        <w:spacing w:line="360" w:lineRule="auto"/>
        <w:ind w:firstLine="480"/>
        <w:textAlignment w:val="auto"/>
        <w:rPr>
          <w:rFonts w:hint="eastAsia" w:cs="宋体"/>
          <w:color w:val="auto"/>
          <w:sz w:val="22"/>
          <w:szCs w:val="22"/>
          <w:highlight w:val="none"/>
        </w:rPr>
      </w:pPr>
      <w:r>
        <w:rPr>
          <w:rFonts w:hint="eastAsia" w:cs="宋体"/>
          <w:color w:val="auto"/>
          <w:sz w:val="22"/>
          <w:szCs w:val="22"/>
          <w:highlight w:val="none"/>
        </w:rPr>
        <w:t>提供对结构化和非结构化业务数据进行索引创建及检索的机制，支持全文检索应用，支持用户从文档的关联属性如创建人、创建或最后修改时间等搜索需要的文档，支持附件和相关文档全文搜索（包括常用格式的附件，txt、docx、xlsx、pdf）。</w:t>
      </w:r>
    </w:p>
    <w:p w14:paraId="11E06396">
      <w:pPr>
        <w:pStyle w:val="30"/>
        <w:ind w:firstLine="480"/>
        <w:rPr>
          <w:rFonts w:hint="eastAsia" w:eastAsia="宋体" w:cs="宋体"/>
          <w:color w:val="auto"/>
          <w:sz w:val="22"/>
          <w:szCs w:val="22"/>
          <w:highlight w:val="none"/>
          <w:lang w:eastAsia="zh-CN"/>
        </w:rPr>
      </w:pPr>
      <w:r>
        <w:rPr>
          <w:rFonts w:hint="eastAsia" w:cs="宋体"/>
          <w:color w:val="auto"/>
          <w:sz w:val="22"/>
          <w:szCs w:val="22"/>
          <w:highlight w:val="none"/>
        </w:rPr>
        <w:t>支持正文、附件搜索，用户自定义并组合多种文档查询条件外，还提供全文检索、支持用户输入关键字快速检索相关文档、检索范围包括标题、文档内容、附件内容等</w:t>
      </w:r>
      <w:r>
        <w:rPr>
          <w:rFonts w:hint="eastAsia" w:cs="宋体"/>
          <w:color w:val="auto"/>
          <w:sz w:val="22"/>
          <w:szCs w:val="22"/>
          <w:highlight w:val="none"/>
          <w:lang w:eastAsia="zh-CN"/>
        </w:rPr>
        <w:t>。</w:t>
      </w:r>
    </w:p>
    <w:p w14:paraId="747D0FFE">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26" w:name="_Toc592"/>
      <w:bookmarkStart w:id="327" w:name="_Toc21190"/>
      <w:bookmarkStart w:id="328" w:name="_Toc110523355"/>
      <w:bookmarkStart w:id="329" w:name="_Toc13899"/>
      <w:r>
        <w:rPr>
          <w:rFonts w:hint="eastAsia"/>
          <w:color w:val="auto"/>
          <w:sz w:val="22"/>
          <w:szCs w:val="22"/>
          <w:highlight w:val="none"/>
        </w:rPr>
        <w:t>文档预览</w:t>
      </w:r>
      <w:bookmarkEnd w:id="326"/>
      <w:bookmarkEnd w:id="327"/>
      <w:bookmarkEnd w:id="328"/>
      <w:bookmarkEnd w:id="329"/>
      <w:r>
        <w:rPr>
          <w:rFonts w:hint="eastAsia"/>
          <w:color w:val="auto"/>
          <w:sz w:val="22"/>
          <w:szCs w:val="22"/>
          <w:highlight w:val="none"/>
        </w:rPr>
        <w:tab/>
      </w:r>
    </w:p>
    <w:p w14:paraId="6746CC2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支持Word、Excel、PDF、图片格式的在线预览（加密文件需过滤，不能预览）。</w:t>
      </w:r>
    </w:p>
    <w:p w14:paraId="25235C49">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30" w:name="_Toc27692"/>
      <w:bookmarkStart w:id="331" w:name="_Toc110523357"/>
      <w:bookmarkStart w:id="332" w:name="_Toc12761"/>
      <w:bookmarkStart w:id="333" w:name="_Toc12506"/>
      <w:r>
        <w:rPr>
          <w:rFonts w:hint="eastAsia"/>
          <w:color w:val="auto"/>
          <w:sz w:val="22"/>
          <w:szCs w:val="22"/>
          <w:highlight w:val="none"/>
        </w:rPr>
        <w:t>文档分析</w:t>
      </w:r>
      <w:bookmarkEnd w:id="330"/>
      <w:bookmarkEnd w:id="331"/>
      <w:bookmarkEnd w:id="332"/>
      <w:bookmarkEnd w:id="333"/>
    </w:p>
    <w:p w14:paraId="0C93B5D5">
      <w:pPr>
        <w:ind w:firstLine="440" w:firstLineChars="200"/>
        <w:rPr>
          <w:rFonts w:hint="eastAsia" w:eastAsia="宋体"/>
          <w:color w:val="auto"/>
          <w:highlight w:val="none"/>
          <w:lang w:eastAsia="zh-CN"/>
        </w:rPr>
      </w:pPr>
      <w:r>
        <w:rPr>
          <w:rFonts w:hint="eastAsia" w:cs="宋体"/>
          <w:color w:val="auto"/>
          <w:sz w:val="22"/>
          <w:szCs w:val="22"/>
          <w:highlight w:val="none"/>
        </w:rPr>
        <w:t>可以对文档的数量、发起人等进行数量统计</w:t>
      </w:r>
      <w:r>
        <w:rPr>
          <w:rFonts w:hint="eastAsia" w:cs="宋体"/>
          <w:color w:val="auto"/>
          <w:sz w:val="22"/>
          <w:szCs w:val="22"/>
          <w:highlight w:val="none"/>
          <w:lang w:eastAsia="zh-CN"/>
        </w:rPr>
        <w:t>。</w:t>
      </w:r>
    </w:p>
    <w:p w14:paraId="4E5E9765">
      <w:pPr>
        <w:pStyle w:val="8"/>
        <w:rPr>
          <w:color w:val="auto"/>
          <w:sz w:val="22"/>
          <w:szCs w:val="22"/>
          <w:highlight w:val="none"/>
        </w:rPr>
      </w:pPr>
      <w:r>
        <w:rPr>
          <w:rFonts w:hint="eastAsia"/>
          <w:color w:val="auto"/>
          <w:sz w:val="22"/>
          <w:szCs w:val="22"/>
          <w:highlight w:val="none"/>
        </w:rPr>
        <w:t>文档资料</w:t>
      </w:r>
    </w:p>
    <w:p w14:paraId="7FAC7DFC">
      <w:pPr>
        <w:pStyle w:val="30"/>
        <w:ind w:firstLine="420" w:firstLineChars="0"/>
        <w:rPr>
          <w:rFonts w:hint="eastAsia" w:cs="宋体"/>
          <w:color w:val="auto"/>
          <w:sz w:val="22"/>
          <w:szCs w:val="22"/>
          <w:highlight w:val="none"/>
        </w:rPr>
      </w:pPr>
      <w:r>
        <w:rPr>
          <w:rFonts w:hint="eastAsia" w:cs="宋体"/>
          <w:color w:val="auto"/>
          <w:sz w:val="22"/>
          <w:szCs w:val="22"/>
          <w:highlight w:val="none"/>
        </w:rPr>
        <w:t>文档资料模块可实现集团决策会议材料、党建资料、股东会及董事会议案、专题材料、专题报告、领导讲话及工作总结等文档资源集中分类存储和按权限共享。支持文档在线阅读，无需下载到本地，无需安装插件，且可加载动态水印。数据来源和功能要求与制度汇编模块类似。</w:t>
      </w:r>
    </w:p>
    <w:p w14:paraId="403D0BF2">
      <w:pPr>
        <w:pStyle w:val="7"/>
        <w:pageBreakBefore w:val="0"/>
        <w:numPr>
          <w:ilvl w:val="1"/>
          <w:numId w:val="24"/>
        </w:numPr>
        <w:kinsoku/>
        <w:wordWrap/>
        <w:overflowPunct/>
        <w:topLinePunct w:val="0"/>
        <w:autoSpaceDE/>
        <w:autoSpaceDN/>
        <w:bidi w:val="0"/>
        <w:adjustRightInd/>
        <w:snapToGrid/>
        <w:spacing w:line="360" w:lineRule="auto"/>
        <w:textAlignment w:val="auto"/>
        <w:rPr>
          <w:rFonts w:hint="eastAsia" w:cs="宋体"/>
          <w:color w:val="auto"/>
          <w:sz w:val="22"/>
          <w:szCs w:val="22"/>
          <w:highlight w:val="none"/>
        </w:rPr>
      </w:pPr>
      <w:bookmarkStart w:id="334" w:name="_Toc7035"/>
      <w:bookmarkStart w:id="335" w:name="_Toc110523359"/>
      <w:bookmarkStart w:id="336" w:name="_Toc16258"/>
      <w:r>
        <w:rPr>
          <w:rFonts w:hint="eastAsia" w:cs="宋体"/>
          <w:color w:val="auto"/>
          <w:sz w:val="22"/>
          <w:szCs w:val="22"/>
          <w:highlight w:val="none"/>
        </w:rPr>
        <w:t>协同办公功能需求</w:t>
      </w:r>
      <w:bookmarkEnd w:id="334"/>
      <w:bookmarkEnd w:id="335"/>
      <w:bookmarkEnd w:id="336"/>
    </w:p>
    <w:p w14:paraId="5FA669AD">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协同平台是统一的业务协作和知识共享中心，全面集成各行政办公系统的信息、流程，满足集团各部门日常行政办公管理、业务协同等需要。实现集团总部与各子公司的公文处理电子化，减少纸质办公，对集团总部及各子公司会议、活动、重要接待等综合事务的协调管理以及实现集团总部与各子公司跨区域、跨部门地异地办公、移动办公能力。协同平台主要包含以下内容：</w:t>
      </w:r>
    </w:p>
    <w:p w14:paraId="7E201064">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37" w:name="_Toc17224"/>
      <w:bookmarkStart w:id="338" w:name="_Toc110523360"/>
      <w:bookmarkStart w:id="339" w:name="_Toc21252"/>
      <w:r>
        <w:rPr>
          <w:rFonts w:hint="eastAsia"/>
          <w:color w:val="auto"/>
          <w:sz w:val="22"/>
          <w:szCs w:val="22"/>
          <w:highlight w:val="none"/>
        </w:rPr>
        <w:t>行政办公类应用</w:t>
      </w:r>
      <w:bookmarkEnd w:id="337"/>
      <w:bookmarkEnd w:id="338"/>
      <w:bookmarkEnd w:id="339"/>
    </w:p>
    <w:p w14:paraId="22427845">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行政办公管理包括公文管理、用印管理、办公用品管理、用车管理、会议管理、一周工作安排、重点工作督查督办等功能。重点梳理集团现有的各种行政办公制度，规范行政办公流程，实现行政办公效率的提升，管理的规范透明，通过流程建设，使行政办公制度电子化，流程规范化、标准化，提升集团行政办公执行力。</w:t>
      </w:r>
    </w:p>
    <w:p w14:paraId="6565218D">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公文管理</w:t>
      </w:r>
    </w:p>
    <w:p w14:paraId="1F615A70">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严格按照国家公文管理规定提供完备的电子公文管理功能，包括：公文应用设置、发文管理、收文管理、签报管理、公文交换、公文督办、公文查询、公文统计、公文档案。</w:t>
      </w:r>
    </w:p>
    <w:p w14:paraId="2ED2918C">
      <w:pPr>
        <w:pStyle w:val="32"/>
        <w:pageBreakBefore w:val="0"/>
        <w:numPr>
          <w:ilvl w:val="0"/>
          <w:numId w:val="44"/>
        </w:numPr>
        <w:tabs>
          <w:tab w:val="left" w:pos="720"/>
          <w:tab w:val="left" w:pos="840"/>
        </w:tabs>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总体要求</w:t>
      </w:r>
    </w:p>
    <w:p w14:paraId="14F26BBF">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公文审批：实现领导审核审批、电子盖章、签字、文单签批、提交意见等应用，为组织中各级领导处理公文提供易用工具。</w:t>
      </w:r>
    </w:p>
    <w:p w14:paraId="1F7DDEE9">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公文督办：使得目标管理与督查督办相结合，规范办理流程、梳理和明确各部门职能，发挥领导枢纽作用。</w:t>
      </w:r>
    </w:p>
    <w:p w14:paraId="230FC28D">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流程控制：公文流转过程中，通过公文模板（流程模板、公文正文模板等）支持公文流转的正式性、严肃性与规范性，实现公文管理的刚性控制；通过会签、多级会签、回退、终止等应用，支持公文流转过程中的异常情况处理。 </w:t>
      </w:r>
    </w:p>
    <w:p w14:paraId="029E502D">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留痕信息管理：提供两种留痕信息管理，一种为保留电子公文的具体修改的内容，即修改内容留痕；一种为保留修改痕迹。使得公文流转过程中，对公文的操作及操作对象、操作者都清晰可见。</w:t>
      </w:r>
    </w:p>
    <w:p w14:paraId="6E7EE7BC">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签字意见模板自定义：支持自定义签字意见显示模板，可以在不同得节点显示不同样式的签字意见，</w:t>
      </w:r>
    </w:p>
    <w:p w14:paraId="463DCB32">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保密管理：支持公文文单、正文的修改权限控制，以及增减附件的控制，支持复制、下载、打印权限控制，防拷贝，实现公文传输的安全性。</w:t>
      </w:r>
    </w:p>
    <w:p w14:paraId="34B598E3">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归档管理：支持电子公文归档和安全存放，确保公文归档保存的真实、完整、安全与可识别；并提供公文文档库管理功能，实现公文分类、入卷、借阅，并记录相应操作过程。</w:t>
      </w:r>
    </w:p>
    <w:p w14:paraId="52250A04">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电子印章：支持电子印章授权与校验。</w:t>
      </w:r>
    </w:p>
    <w:p w14:paraId="0EAF44F5">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跨单位传递：提供公文交换中心，实现公文在同组织下跨单位传递。</w:t>
      </w:r>
    </w:p>
    <w:p w14:paraId="3611E1AF">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文号生成：支持公文号、内部文号自动生成，并提供断号管理。</w:t>
      </w:r>
    </w:p>
    <w:p w14:paraId="7D07E395">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查询统计：自定义查询条件，实现分时分类统计与查询。</w:t>
      </w:r>
    </w:p>
    <w:p w14:paraId="1A188B68">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公文转发：支持收文转发文、收文转公告。</w:t>
      </w:r>
    </w:p>
    <w:p w14:paraId="6419446B">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日志管理：可了解到整个公文的流转状态，便于公文的发起者、处理者、督办人员对公文中每位参与者状况的了解。</w:t>
      </w:r>
    </w:p>
    <w:p w14:paraId="406B8FFE">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明细查看：可以查看到各处理人的公文收到时间、处理时间，处理时长、有无延期等情况，以便清楚公文的流转效率和瓶颈所在。</w:t>
      </w:r>
    </w:p>
    <w:p w14:paraId="50844E45">
      <w:pPr>
        <w:pStyle w:val="32"/>
        <w:pageBreakBefore w:val="0"/>
        <w:numPr>
          <w:ilvl w:val="0"/>
          <w:numId w:val="44"/>
        </w:numPr>
        <w:tabs>
          <w:tab w:val="left" w:pos="720"/>
          <w:tab w:val="left" w:pos="840"/>
        </w:tabs>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发文管理</w:t>
      </w:r>
    </w:p>
    <w:p w14:paraId="4424E399">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支持拟文、审批、审核、复核、会签、签发的公文成文审批过程；</w:t>
      </w:r>
    </w:p>
    <w:p w14:paraId="71E3E8FB">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支持调用模板；</w:t>
      </w:r>
    </w:p>
    <w:p w14:paraId="7B9A078F">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支持公文套红、用印、封发、归档的公文处理过程；</w:t>
      </w:r>
    </w:p>
    <w:p w14:paraId="1BA1CE6E">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支持调用各类文档模板；</w:t>
      </w:r>
    </w:p>
    <w:p w14:paraId="6C6DD742">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支持行文过程的正文套红、公文单套红和打印输出；</w:t>
      </w:r>
    </w:p>
    <w:p w14:paraId="06CE9845">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支持行文过程的手写批注、文字批注、显示/隐藏痕迹、文档清稿、电子印章；</w:t>
      </w:r>
    </w:p>
    <w:p w14:paraId="77A8FA6E">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支持发文转公告；</w:t>
      </w:r>
    </w:p>
    <w:p w14:paraId="77B04C92">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支持会签、回退、终止；</w:t>
      </w:r>
    </w:p>
    <w:p w14:paraId="77FEB4DB">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支持发起人附言；支持补充正文、补充附件；</w:t>
      </w:r>
    </w:p>
    <w:p w14:paraId="4AA4E998">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支持处理期限和超期管理；</w:t>
      </w:r>
    </w:p>
    <w:p w14:paraId="5066E25F">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支持文号自动管理，支持断号选择；</w:t>
      </w:r>
    </w:p>
    <w:p w14:paraId="02300E40">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支持集团背靠背发文；</w:t>
      </w:r>
    </w:p>
    <w:p w14:paraId="7B2FDC68">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支持自定义流转签字意见簿显示样式；</w:t>
      </w:r>
    </w:p>
    <w:p w14:paraId="6AC0C73D">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支持发文过程中进行公文督办监督。</w:t>
      </w:r>
      <w:bookmarkStart w:id="340" w:name="_Toc225918587"/>
      <w:bookmarkEnd w:id="340"/>
    </w:p>
    <w:p w14:paraId="368BBEFB">
      <w:pPr>
        <w:pStyle w:val="32"/>
        <w:pageBreakBefore w:val="0"/>
        <w:numPr>
          <w:ilvl w:val="0"/>
          <w:numId w:val="44"/>
        </w:numPr>
        <w:tabs>
          <w:tab w:val="left" w:pos="720"/>
          <w:tab w:val="left" w:pos="840"/>
        </w:tabs>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收文管理</w:t>
      </w:r>
    </w:p>
    <w:p w14:paraId="6CAF750D">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支持收办件、收阅件处理；</w:t>
      </w:r>
    </w:p>
    <w:p w14:paraId="2AE771E3">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支持登记、拟办、会签、承办、办理、阅读、知会等节点动作；</w:t>
      </w:r>
    </w:p>
    <w:p w14:paraId="6851665F">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支持系统内部收文登记；</w:t>
      </w:r>
    </w:p>
    <w:p w14:paraId="5ECEB7A3">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支持外来文纸质公文、外来电子公文登记；</w:t>
      </w:r>
    </w:p>
    <w:p w14:paraId="327A44BA">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支持收文转发文：实现对上级单位、上级行政部门来文的转发；</w:t>
      </w:r>
    </w:p>
    <w:p w14:paraId="1D3C6CFA">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支持调用收文模板；</w:t>
      </w:r>
    </w:p>
    <w:p w14:paraId="6FD45787">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支持收文处理过程中的督办设置；</w:t>
      </w:r>
    </w:p>
    <w:p w14:paraId="17885ED2">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支持收文处理流程期限设置、超期提醒设置、跟踪设置；</w:t>
      </w:r>
    </w:p>
    <w:p w14:paraId="51DE068F">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支持登记人登记公文时附言。</w:t>
      </w:r>
    </w:p>
    <w:p w14:paraId="50AF2FF2">
      <w:pPr>
        <w:pStyle w:val="32"/>
        <w:pageBreakBefore w:val="0"/>
        <w:numPr>
          <w:ilvl w:val="0"/>
          <w:numId w:val="44"/>
        </w:numPr>
        <w:tabs>
          <w:tab w:val="left" w:pos="720"/>
          <w:tab w:val="left" w:pos="840"/>
        </w:tabs>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签报管理</w:t>
      </w:r>
    </w:p>
    <w:p w14:paraId="172757B3">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支持签报拟文、审批、审核、复核、会签、办理、归档等的签报处理过程；</w:t>
      </w:r>
    </w:p>
    <w:p w14:paraId="60F142DF">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支持调用签报模板；</w:t>
      </w:r>
    </w:p>
    <w:p w14:paraId="06B91B87">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支持行文过程的手写批注、文字批注、显示/隐藏痕迹、文档清稿、电子印章；</w:t>
      </w:r>
    </w:p>
    <w:p w14:paraId="0099E474">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支持回退、终止等异常处理；</w:t>
      </w:r>
    </w:p>
    <w:p w14:paraId="351E6C72">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支持关联其他公文、关联知识文档；支持多种格式附件；</w:t>
      </w:r>
    </w:p>
    <w:p w14:paraId="409C40F3">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支持处理期限和超期管理；</w:t>
      </w:r>
    </w:p>
    <w:p w14:paraId="158EF6DB">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支持签报文号自动引用；</w:t>
      </w:r>
    </w:p>
    <w:p w14:paraId="3D7ABF0E">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支持签报处理过程中进行督办监督。</w:t>
      </w:r>
    </w:p>
    <w:p w14:paraId="236FB30C">
      <w:pPr>
        <w:pStyle w:val="32"/>
        <w:pageBreakBefore w:val="0"/>
        <w:numPr>
          <w:ilvl w:val="0"/>
          <w:numId w:val="44"/>
        </w:numPr>
        <w:tabs>
          <w:tab w:val="left" w:pos="720"/>
          <w:tab w:val="left" w:pos="840"/>
        </w:tabs>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查询统计</w:t>
      </w:r>
    </w:p>
    <w:p w14:paraId="7380D081">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可以查看查询结果中的具体公文，包括公文正文、流程、文单。</w:t>
      </w:r>
    </w:p>
    <w:p w14:paraId="52C4D4D6">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支持处于不同流转状态下的公文查询。</w:t>
      </w:r>
    </w:p>
    <w:p w14:paraId="21148AA2">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查询条件多样，符合各类查找要求（包括按各种类型时间段查询、按各表单内容查询）。</w:t>
      </w:r>
    </w:p>
    <w:p w14:paraId="533FBA50">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设立完善的查询权限机制，对于已归档的公文，只能查询文件密级为普通且查询者参与的公文，实现严格把控查找结果，保证公文的安全可控。 </w:t>
      </w:r>
    </w:p>
    <w:p w14:paraId="4B91BC73">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收发查询、收发统计结果支持Excel导出。</w:t>
      </w:r>
    </w:p>
    <w:p w14:paraId="6E30451B">
      <w:pPr>
        <w:pStyle w:val="32"/>
        <w:pageBreakBefore w:val="0"/>
        <w:numPr>
          <w:ilvl w:val="0"/>
          <w:numId w:val="44"/>
        </w:numPr>
        <w:tabs>
          <w:tab w:val="left" w:pos="720"/>
          <w:tab w:val="left" w:pos="840"/>
        </w:tabs>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公文档案</w:t>
      </w:r>
    </w:p>
    <w:p w14:paraId="33DD9EB7">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安全存放：确保公文归档保存的真实、完整、安全与可识别。</w:t>
      </w:r>
    </w:p>
    <w:p w14:paraId="2264DF36">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支持自定义公文档案目录结构。</w:t>
      </w:r>
    </w:p>
    <w:p w14:paraId="3AE9EC1B">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文档库管理：实现分类、入卷、借阅、检索、与过程痕迹记录。</w:t>
      </w:r>
    </w:p>
    <w:p w14:paraId="78983053">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支持已归档公文的借阅，支持借阅时间限制、操作权限，提供借阅跟踪，实现已归档公文的安全可控。</w:t>
      </w:r>
    </w:p>
    <w:p w14:paraId="1AB6B015">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支持查看已归档公文操作历史。</w:t>
      </w:r>
    </w:p>
    <w:p w14:paraId="6D02C785">
      <w:pPr>
        <w:pageBreakBefore w:val="0"/>
        <w:numPr>
          <w:ilvl w:val="0"/>
          <w:numId w:val="46"/>
        </w:numPr>
        <w:tabs>
          <w:tab w:val="left" w:pos="720"/>
          <w:tab w:val="left" w:pos="840"/>
        </w:tabs>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支持固定格式的输出打印及纸质存档。</w:t>
      </w:r>
    </w:p>
    <w:p w14:paraId="7CACFCAF">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“三重一大”管理</w:t>
      </w:r>
    </w:p>
    <w:p w14:paraId="1003AE1B">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实现集团重大事项决策、重要干部任免、重大项目投资决策、大额资金使用管理。管理从靠人到引入系统，通过多级上报来构建汇报体系，通过上会系统来规范决策流程。</w:t>
      </w:r>
    </w:p>
    <w:p w14:paraId="784B8C66">
      <w:pPr>
        <w:pStyle w:val="30"/>
        <w:pageBreakBefore w:val="0"/>
        <w:numPr>
          <w:ilvl w:val="0"/>
          <w:numId w:val="47"/>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国家政策的要求，国有企业贯彻落实“三重一大”决策制度。</w:t>
      </w:r>
    </w:p>
    <w:p w14:paraId="59DD0FFC">
      <w:pPr>
        <w:pStyle w:val="30"/>
        <w:pageBreakBefore w:val="0"/>
        <w:numPr>
          <w:ilvl w:val="0"/>
          <w:numId w:val="47"/>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落实上级工作要求，系统化对接监管平台，实现数据上报。</w:t>
      </w:r>
    </w:p>
    <w:p w14:paraId="1B620744">
      <w:pPr>
        <w:pStyle w:val="30"/>
        <w:pageBreakBefore w:val="0"/>
        <w:numPr>
          <w:ilvl w:val="0"/>
          <w:numId w:val="47"/>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内部管理和发展需要，系统化管理落地，切实把“三重一大”决策制度落到实处。</w:t>
      </w:r>
    </w:p>
    <w:p w14:paraId="04A81CA2">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会议管理</w:t>
      </w:r>
    </w:p>
    <w:p w14:paraId="756BCDD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包括会议室管理和会议安排、会议通知、会议材料、会议纪要。具备会议通知的拟定、审核、发布等，会议室管理包括会议室概况、会议室状态，会议室的申请、审批、通知与会人、查询、使用统计等功能。会议室管理在日程安排的基础上，避免会议时间和会议场地的冲突，实现会议时间确定和会议场地的安排。申请完毕后，将会议通知发送给与会单位或个人，并具备短信提醒开会等功能。会议纪要根据权限浏览、查询等，并自动归档。管理集团内部上会及下属公司会议上报的审核。</w:t>
      </w:r>
    </w:p>
    <w:p w14:paraId="678B4518">
      <w:pPr>
        <w:pageBreakBefore w:val="0"/>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p>
    <w:p w14:paraId="079189D9">
      <w:pPr>
        <w:pageBreakBefore w:val="0"/>
        <w:numPr>
          <w:ilvl w:val="0"/>
          <w:numId w:val="48"/>
        </w:numPr>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会议议题分类管理：会议议题分为董事会议题、总经办会议议题、党委会议题和其他议题四种，</w:t>
      </w:r>
    </w:p>
    <w:p w14:paraId="7E293886">
      <w:pPr>
        <w:pageBreakBefore w:val="0"/>
        <w:numPr>
          <w:ilvl w:val="0"/>
          <w:numId w:val="48"/>
        </w:numPr>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会议通知：会议流程发起后，可以设置通过短信平台、电子邮件、即时短信息等多种的会议通知方式通知与会人员，并自动将会议自动安排进与会人员日程表。通过发出后系统自动发出回执给予参会确认，同时参会人员可自行下载权限范围内的会议相关资料。</w:t>
      </w:r>
    </w:p>
    <w:p w14:paraId="31DB2D24">
      <w:pPr>
        <w:pageBreakBefore w:val="0"/>
        <w:numPr>
          <w:ilvl w:val="0"/>
          <w:numId w:val="48"/>
        </w:numPr>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会议取消：支持以邮件、短信、即时消息等方式通知参会人。</w:t>
      </w:r>
    </w:p>
    <w:p w14:paraId="24A09669">
      <w:pPr>
        <w:pageBreakBefore w:val="0"/>
        <w:numPr>
          <w:ilvl w:val="0"/>
          <w:numId w:val="48"/>
        </w:numPr>
        <w:kinsoku/>
        <w:wordWrap/>
        <w:overflowPunct/>
        <w:topLinePunct w:val="0"/>
        <w:autoSpaceDE/>
        <w:autoSpaceDN/>
        <w:bidi w:val="0"/>
        <w:adjustRightInd/>
        <w:snapToGrid/>
        <w:spacing w:line="360" w:lineRule="auto"/>
        <w:ind w:left="567"/>
        <w:textAlignment w:val="auto"/>
        <w:rPr>
          <w:rFonts w:ascii="宋体" w:hAnsi="宋体" w:cs="宋体"/>
          <w:color w:val="auto"/>
          <w:sz w:val="22"/>
          <w:szCs w:val="22"/>
          <w:highlight w:val="none"/>
        </w:rPr>
      </w:pPr>
      <w:r>
        <w:rPr>
          <w:rFonts w:hint="eastAsia" w:ascii="宋体" w:hAnsi="宋体" w:cs="宋体"/>
          <w:color w:val="auto"/>
          <w:sz w:val="22"/>
          <w:szCs w:val="22"/>
          <w:highlight w:val="none"/>
        </w:rPr>
        <w:t>会议决议：每次会议，形成历史会议记录，方便日后查询，可以直接启动会议纪要的发文审批等功能。</w:t>
      </w:r>
    </w:p>
    <w:p w14:paraId="3A03DE2D">
      <w:pPr>
        <w:pageBreakBefore w:val="0"/>
        <w:numPr>
          <w:ilvl w:val="0"/>
          <w:numId w:val="48"/>
        </w:numPr>
        <w:kinsoku/>
        <w:wordWrap/>
        <w:overflowPunct/>
        <w:topLinePunct w:val="0"/>
        <w:autoSpaceDE/>
        <w:autoSpaceDN/>
        <w:bidi w:val="0"/>
        <w:adjustRightInd/>
        <w:snapToGrid/>
        <w:spacing w:line="360" w:lineRule="auto"/>
        <w:ind w:left="567"/>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会议查询：支持多条件组合模糊查询会议状态。</w:t>
      </w:r>
    </w:p>
    <w:p w14:paraId="623BCB5B">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领导一周</w:t>
      </w:r>
    </w:p>
    <w:p w14:paraId="7737CF64">
      <w:pPr>
        <w:pageBreakBefore w:val="0"/>
        <w:numPr>
          <w:ilvl w:val="0"/>
          <w:numId w:val="49"/>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支持集团公司领导日程信息的新增、编辑、查看、检索;</w:t>
      </w:r>
    </w:p>
    <w:p w14:paraId="50D1FD6F">
      <w:pPr>
        <w:pageBreakBefore w:val="0"/>
        <w:numPr>
          <w:ilvl w:val="0"/>
          <w:numId w:val="49"/>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新增和编辑的内容包括领导姓名、日期（包括日期和时间）、活动名称、地点、相关人员（选填）、具体安排（选填）等栏目；</w:t>
      </w:r>
    </w:p>
    <w:p w14:paraId="7978616B">
      <w:pPr>
        <w:pageBreakBefore w:val="0"/>
        <w:numPr>
          <w:ilvl w:val="0"/>
          <w:numId w:val="49"/>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可按照领导姓名、日、周、月进行分类查看；</w:t>
      </w:r>
    </w:p>
    <w:p w14:paraId="0225538B">
      <w:pPr>
        <w:pageBreakBefore w:val="0"/>
        <w:numPr>
          <w:ilvl w:val="0"/>
          <w:numId w:val="49"/>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设置检索功能，通过关键词搜索并展示领导日程内相关内容。</w:t>
      </w:r>
    </w:p>
    <w:p w14:paraId="4AC3A97A">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通讯录管理</w:t>
      </w:r>
    </w:p>
    <w:p w14:paraId="247653F9">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包括通讯录的分类、设置及查询功能，实现通讯方式个人维护，支持不同公司不同部门构建不同通讯录。</w:t>
      </w:r>
    </w:p>
    <w:p w14:paraId="7E10CFBA">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制度管理</w:t>
      </w:r>
    </w:p>
    <w:p w14:paraId="22856881">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实现公司制度管理的体系化、规范化、流程化，提高制度管理的有效性和适应性。通过制度类流程实现文件新增、修订、升版、废除等过程管理，达到企业规范化管理和发展的需要，为各项工作有条不紊地开展提供了坚实的制度保障。</w:t>
      </w:r>
    </w:p>
    <w:p w14:paraId="049E909A">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车辆管理</w:t>
      </w:r>
    </w:p>
    <w:p w14:paraId="266B6713">
      <w:pPr>
        <w:pageBreakBefore w:val="0"/>
        <w:numPr>
          <w:ilvl w:val="0"/>
          <w:numId w:val="50"/>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支持对车辆档案的基本资料维护、车辆保养维修记录等；</w:t>
      </w:r>
    </w:p>
    <w:p w14:paraId="46AB5656">
      <w:pPr>
        <w:pageBreakBefore w:val="0"/>
        <w:numPr>
          <w:ilvl w:val="0"/>
          <w:numId w:val="50"/>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能够通过流程审批对车辆的使用申请；</w:t>
      </w:r>
    </w:p>
    <w:p w14:paraId="0059BFE9">
      <w:pPr>
        <w:pageBreakBefore w:val="0"/>
        <w:numPr>
          <w:ilvl w:val="0"/>
          <w:numId w:val="50"/>
        </w:numPr>
        <w:tabs>
          <w:tab w:val="left" w:pos="720"/>
          <w:tab w:val="left" w:pos="840"/>
        </w:tabs>
        <w:kinsoku/>
        <w:wordWrap/>
        <w:overflowPunct/>
        <w:topLinePunct w:val="0"/>
        <w:autoSpaceDE/>
        <w:autoSpaceDN/>
        <w:bidi w:val="0"/>
        <w:adjustRightInd/>
        <w:snapToGrid/>
        <w:spacing w:line="360" w:lineRule="auto"/>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提供管理司机基本档案、以及对车辆各种信息进行统计，可按人员、部门、时间、车辆类型等多种方式进行统计等功能。</w:t>
      </w:r>
    </w:p>
    <w:p w14:paraId="036C5B4D">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办公资产管理</w:t>
      </w:r>
    </w:p>
    <w:p w14:paraId="122BC988">
      <w:pPr>
        <w:pageBreakBefore w:val="0"/>
        <w:numPr>
          <w:ilvl w:val="0"/>
          <w:numId w:val="51"/>
        </w:numPr>
        <w:tabs>
          <w:tab w:val="left" w:pos="720"/>
          <w:tab w:val="left" w:pos="840"/>
        </w:tabs>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支持实现行政办公资产生命周期管理，实现资产申请，入库，领用，借用，维修，报废等全过程生命周期的管理；</w:t>
      </w:r>
    </w:p>
    <w:p w14:paraId="4ECEB9F4">
      <w:pPr>
        <w:pageBreakBefore w:val="0"/>
        <w:numPr>
          <w:ilvl w:val="0"/>
          <w:numId w:val="51"/>
        </w:numPr>
        <w:tabs>
          <w:tab w:val="left" w:pos="720"/>
          <w:tab w:val="left" w:pos="840"/>
        </w:tabs>
        <w:kinsoku/>
        <w:wordWrap/>
        <w:overflowPunct/>
        <w:topLinePunct w:val="0"/>
        <w:autoSpaceDE/>
        <w:autoSpaceDN/>
        <w:bidi w:val="0"/>
        <w:adjustRightInd/>
        <w:snapToGrid/>
        <w:spacing w:line="360" w:lineRule="auto"/>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可以通过流程审批实现资产状态的变更、资产的分摊到人、到部门，并实现资产变更、库存，使用状态的统计报表。</w:t>
      </w:r>
    </w:p>
    <w:p w14:paraId="3DA7AF1A">
      <w:pPr>
        <w:pStyle w:val="8"/>
        <w:pageBreakBefore w:val="0"/>
        <w:numPr>
          <w:ilvl w:val="2"/>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341" w:name="_Toc7447"/>
      <w:bookmarkStart w:id="342" w:name="_Toc110523362"/>
      <w:bookmarkStart w:id="343" w:name="_Toc9891"/>
      <w:r>
        <w:rPr>
          <w:rFonts w:hint="eastAsia" w:cs="宋体"/>
          <w:color w:val="auto"/>
          <w:sz w:val="22"/>
          <w:szCs w:val="22"/>
          <w:highlight w:val="none"/>
        </w:rPr>
        <w:t>移动办公应用</w:t>
      </w:r>
      <w:bookmarkEnd w:id="341"/>
      <w:bookmarkEnd w:id="342"/>
      <w:bookmarkEnd w:id="343"/>
    </w:p>
    <w:p w14:paraId="4B8A3074">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移动安全</w:t>
      </w:r>
    </w:p>
    <w:p w14:paraId="675172C2">
      <w:pPr>
        <w:pStyle w:val="30"/>
        <w:pageBreakBefore w:val="0"/>
        <w:kinsoku/>
        <w:wordWrap/>
        <w:overflowPunct/>
        <w:topLinePunct w:val="0"/>
        <w:autoSpaceDE/>
        <w:autoSpaceDN/>
        <w:bidi w:val="0"/>
        <w:adjustRightInd/>
        <w:snapToGrid/>
        <w:spacing w:line="360" w:lineRule="auto"/>
        <w:ind w:firstLine="480"/>
        <w:textAlignment w:val="auto"/>
        <w:rPr>
          <w:rFonts w:hint="eastAsia" w:cs="宋体"/>
          <w:color w:val="auto"/>
          <w:sz w:val="22"/>
          <w:szCs w:val="22"/>
          <w:highlight w:val="none"/>
        </w:rPr>
      </w:pPr>
      <w:r>
        <w:rPr>
          <w:rFonts w:hint="eastAsia" w:cs="宋体"/>
          <w:color w:val="auto"/>
          <w:sz w:val="22"/>
          <w:szCs w:val="22"/>
          <w:highlight w:val="none"/>
        </w:rPr>
        <w:t>支持通过移动终端的设备绑定方式来控制移动设备的安全性，并且支持多种安全验证方式来进行移动办公。</w:t>
      </w:r>
    </w:p>
    <w:p w14:paraId="1E98612A">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移动门户</w:t>
      </w:r>
    </w:p>
    <w:p w14:paraId="36C881E9">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需要构建一个为集团提供全新企业信息手机端入口的移动门户，需要支持新闻、公告、待办、文件、留言、任务、会议等所有信息都能根据每一个人的岗位进行个性化推送。</w:t>
      </w:r>
    </w:p>
    <w:p w14:paraId="234C54DD">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移动门户自定义：包括门户的布局、门户的UI、门户的菜单、门户的信息来源、移动门户的组件、内容元素，更为重要的是让移动门户能够集成其它异构系统的信息统一展现、信息统一聚合。</w:t>
      </w:r>
    </w:p>
    <w:p w14:paraId="676750BB">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公文审批</w:t>
      </w:r>
    </w:p>
    <w:p w14:paraId="01D31223">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提供在移动终端上进行公文审批，支持手写批注、手写签名、圈批圈阅语音等审批，并能够在移动终端上查看到公文信息、正文信息、流程目前停留的节点状态及每个环节处理时间周期。</w:t>
      </w:r>
    </w:p>
    <w:p w14:paraId="584DB5E1">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移动审批</w:t>
      </w:r>
    </w:p>
    <w:p w14:paraId="13EA0DFF">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在移动终端上进行流程申请及审批、支持手写批注、手写签名、语音等审批，并能够在移动终端上支持与流程相关的信息关联透视，如合同审批流程关联签报流程，需要在合同审批流程上直接打开相关签报进行关联查看。</w:t>
      </w:r>
    </w:p>
    <w:p w14:paraId="6DA65958">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移动文档查阅</w:t>
      </w:r>
    </w:p>
    <w:p w14:paraId="1EE295CC">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提供在移动终端上查看本人有权限的文档信息，支持WPS以及OFD格式进行打开。</w:t>
      </w:r>
    </w:p>
    <w:p w14:paraId="3D591344">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移动日程</w:t>
      </w:r>
    </w:p>
    <w:p w14:paraId="72D4DB42">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实现系统日程与手机日历进行日程安排双向同步，实现通过手机日历就能对领导一周工作安排进行提醒。</w:t>
      </w:r>
    </w:p>
    <w:p w14:paraId="58083781">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移动会议</w:t>
      </w:r>
    </w:p>
    <w:p w14:paraId="48025061">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提供在移动终端上查看领导一周工作安排、个人会议安排、会议提醒、会议地图导航等功能。</w:t>
      </w:r>
    </w:p>
    <w:p w14:paraId="14A9EC85">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移动新闻公告</w:t>
      </w:r>
    </w:p>
    <w:p w14:paraId="22CD8979">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提供移动端直接动态推送集团相关信息及公告。</w:t>
      </w:r>
    </w:p>
    <w:p w14:paraId="4A85E130">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移动搜索</w:t>
      </w:r>
    </w:p>
    <w:p w14:paraId="6869139F">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根据员工岗位权限，提供在移动终端一键搜索相关的流程，文档、日程安排、培训等信息，实现员工在移动终端的自助。</w:t>
      </w:r>
    </w:p>
    <w:p w14:paraId="59D5D8DD">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移动集成</w:t>
      </w:r>
    </w:p>
    <w:p w14:paraId="5D854A90">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提供与其他移动应用集成功能，即可在协同平台移动端中打开其他系统的移动应用。</w:t>
      </w:r>
    </w:p>
    <w:p w14:paraId="168DC995">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44" w:name="_Toc28353"/>
      <w:bookmarkStart w:id="345" w:name="_Toc110523363"/>
      <w:bookmarkStart w:id="346" w:name="_Toc24545"/>
      <w:r>
        <w:rPr>
          <w:rFonts w:hint="eastAsia"/>
          <w:color w:val="auto"/>
          <w:sz w:val="22"/>
          <w:szCs w:val="22"/>
          <w:highlight w:val="none"/>
        </w:rPr>
        <w:t>知识管理</w:t>
      </w:r>
      <w:bookmarkEnd w:id="344"/>
      <w:bookmarkEnd w:id="345"/>
      <w:bookmarkEnd w:id="346"/>
    </w:p>
    <w:p w14:paraId="55E0E283">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制度汇编</w:t>
      </w:r>
    </w:p>
    <w:p w14:paraId="0EB767FF">
      <w:pPr>
        <w:pStyle w:val="30"/>
        <w:pageBreakBefore w:val="0"/>
        <w:numPr>
          <w:ilvl w:val="0"/>
          <w:numId w:val="52"/>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制度汇编模块需要支持集团内所有监管制度、政策法规、征询意见稿、部门工作流程及规则等集中分类存储和共享；</w:t>
      </w:r>
    </w:p>
    <w:p w14:paraId="0AFE1A4D">
      <w:pPr>
        <w:pStyle w:val="30"/>
        <w:pageBreakBefore w:val="0"/>
        <w:numPr>
          <w:ilvl w:val="0"/>
          <w:numId w:val="52"/>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数据来源分外部录入和内部流程审批生成，内部生成的数据可设置流程与栏目映射关系，流程结束后数据自动导入对应栏目，也支持用户在处理文件或任务过程中将数据手动导入对应栏目；</w:t>
      </w:r>
    </w:p>
    <w:p w14:paraId="180273FF">
      <w:pPr>
        <w:pStyle w:val="30"/>
        <w:pageBreakBefore w:val="0"/>
        <w:numPr>
          <w:ilvl w:val="0"/>
          <w:numId w:val="52"/>
        </w:numPr>
        <w:kinsoku/>
        <w:wordWrap/>
        <w:overflowPunct/>
        <w:topLinePunct w:val="0"/>
        <w:autoSpaceDE/>
        <w:autoSpaceDN/>
        <w:bidi w:val="0"/>
        <w:adjustRightInd/>
        <w:snapToGrid/>
        <w:spacing w:line="360" w:lineRule="auto"/>
        <w:ind w:firstLineChars="0"/>
        <w:textAlignment w:val="auto"/>
        <w:rPr>
          <w:rFonts w:hint="eastAsia" w:cs="宋体"/>
          <w:color w:val="auto"/>
          <w:sz w:val="22"/>
          <w:szCs w:val="22"/>
          <w:highlight w:val="none"/>
        </w:rPr>
      </w:pPr>
      <w:r>
        <w:rPr>
          <w:rFonts w:hint="eastAsia" w:cs="宋体"/>
          <w:color w:val="auto"/>
          <w:sz w:val="22"/>
          <w:szCs w:val="22"/>
          <w:highlight w:val="none"/>
        </w:rPr>
        <w:t>可实现流程未与栏目建立映射关系的情况下用户办结文件或任务自动提醒新建栏目映射关系。</w:t>
      </w:r>
    </w:p>
    <w:p w14:paraId="61C84510">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文档资料</w:t>
      </w:r>
    </w:p>
    <w:p w14:paraId="6979092D">
      <w:pPr>
        <w:pStyle w:val="30"/>
        <w:pageBreakBefore w:val="0"/>
        <w:kinsoku/>
        <w:wordWrap/>
        <w:overflowPunct/>
        <w:topLinePunct w:val="0"/>
        <w:autoSpaceDE/>
        <w:autoSpaceDN/>
        <w:bidi w:val="0"/>
        <w:adjustRightInd/>
        <w:snapToGrid/>
        <w:spacing w:line="360" w:lineRule="auto"/>
        <w:ind w:firstLine="480"/>
        <w:textAlignment w:val="auto"/>
        <w:rPr>
          <w:rFonts w:hint="eastAsia" w:cs="宋体"/>
          <w:color w:val="auto"/>
          <w:sz w:val="22"/>
          <w:szCs w:val="22"/>
          <w:highlight w:val="none"/>
        </w:rPr>
      </w:pPr>
      <w:r>
        <w:rPr>
          <w:rFonts w:hint="eastAsia" w:cs="宋体"/>
          <w:color w:val="auto"/>
          <w:sz w:val="22"/>
          <w:szCs w:val="22"/>
          <w:highlight w:val="none"/>
        </w:rPr>
        <w:t>文档资料模块可实现集团决策会议材料、党建资料、股东会及董事会议案、专题材料、专题报告、领导讲话及工作总结等文档资源集中分类存储和按权限共享。支持文档在线阅读，无需下载到本地，无需安装插件，且可加载动态水印。数据来源和功能要求与制度汇编模块类似。</w:t>
      </w:r>
    </w:p>
    <w:p w14:paraId="52980E07">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文件检索</w:t>
      </w:r>
    </w:p>
    <w:p w14:paraId="5E00FB1F">
      <w:pPr>
        <w:pStyle w:val="30"/>
        <w:pageBreakBefore w:val="0"/>
        <w:numPr>
          <w:ilvl w:val="0"/>
          <w:numId w:val="53"/>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支持全系统的文件、任务及资料等搜索，支持模糊、全文、智能及关联检索等；用户可定制生成各类查询统计报表（较复杂的除外）；</w:t>
      </w:r>
    </w:p>
    <w:p w14:paraId="30CFE78D">
      <w:pPr>
        <w:pStyle w:val="30"/>
        <w:pageBreakBefore w:val="0"/>
        <w:numPr>
          <w:ilvl w:val="0"/>
          <w:numId w:val="53"/>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支持正文、附件搜索，用户自定义并组合多种文档查询条件外，还提供全文检索、支持用户输入关键字快速检索相关文档、检索范围包括标题、文档内容、附件内容等；</w:t>
      </w:r>
    </w:p>
    <w:p w14:paraId="4D09CC54">
      <w:pPr>
        <w:pStyle w:val="30"/>
        <w:pageBreakBefore w:val="0"/>
        <w:numPr>
          <w:ilvl w:val="0"/>
          <w:numId w:val="53"/>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支持查看快照，准确定位搜索字段在内容中的位置，搜索结果能呈现相关问答、热词、其他用户搜索推荐。</w:t>
      </w:r>
    </w:p>
    <w:p w14:paraId="5C22D6EA">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r>
        <w:rPr>
          <w:rFonts w:hint="eastAsia" w:ascii="宋体" w:hAnsi="宋体" w:cs="宋体"/>
          <w:color w:val="auto"/>
          <w:sz w:val="22"/>
          <w:szCs w:val="22"/>
          <w:highlight w:val="none"/>
        </w:rPr>
        <w:t>数字人才管理</w:t>
      </w:r>
    </w:p>
    <w:p w14:paraId="54BE58EE">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r>
        <w:rPr>
          <w:rFonts w:hint="eastAsia"/>
          <w:color w:val="auto"/>
          <w:sz w:val="22"/>
          <w:szCs w:val="22"/>
          <w:highlight w:val="none"/>
        </w:rPr>
        <w:t>员工数据报表</w:t>
      </w:r>
    </w:p>
    <w:p w14:paraId="1807021C">
      <w:pPr>
        <w:pStyle w:val="30"/>
        <w:pageBreakBefore w:val="0"/>
        <w:numPr>
          <w:ilvl w:val="0"/>
          <w:numId w:val="54"/>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员工流动数据（净流出、净流入、净增加、人员离职率等）支持按期间、按部门、按流出/流入等查询分析</w:t>
      </w:r>
    </w:p>
    <w:p w14:paraId="33976D3B">
      <w:pPr>
        <w:pStyle w:val="30"/>
        <w:pageBreakBefore w:val="0"/>
        <w:numPr>
          <w:ilvl w:val="0"/>
          <w:numId w:val="54"/>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员工结构分布数据（用工形式、年龄结构、学历结构、职称结构）</w:t>
      </w:r>
    </w:p>
    <w:p w14:paraId="483037D1">
      <w:pPr>
        <w:pStyle w:val="30"/>
        <w:pageBreakBefore w:val="0"/>
        <w:numPr>
          <w:ilvl w:val="0"/>
          <w:numId w:val="54"/>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分层次人才数据分析（各层级人才人数及学历、年龄、职称等）</w:t>
      </w:r>
    </w:p>
    <w:p w14:paraId="5D0E609F">
      <w:pPr>
        <w:pStyle w:val="30"/>
        <w:pageBreakBefore w:val="0"/>
        <w:numPr>
          <w:ilvl w:val="0"/>
          <w:numId w:val="54"/>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年度干部任职汇总信息（提任人数、平职交流人数）</w:t>
      </w:r>
    </w:p>
    <w:p w14:paraId="096B10AD">
      <w:pPr>
        <w:pStyle w:val="30"/>
        <w:pageBreakBefore w:val="0"/>
        <w:numPr>
          <w:ilvl w:val="0"/>
          <w:numId w:val="54"/>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 xml:space="preserve">  股级以上干部结构分布数据</w:t>
      </w:r>
    </w:p>
    <w:p w14:paraId="730EE253">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人才门户管理</w:t>
      </w:r>
    </w:p>
    <w:p w14:paraId="02EE818E">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人才门户管理是智慧人才综合管理平台的一个重要组成部分，它涉及到人才信息的广泛共享、人才项目的全程协同、人才决策的辅助支持以及人才社会的一站式服务。人才门户管理是实现人才信息智能化、科学化管理的关键环节之一。它能够解决人才业务的痛点，提升客户价值，包括人才日常业务的全面覆盖、业务流程的纪实监控、业务审批的按层级分权限流转、评审流程的规范化和科学化、系统操作的人性化、审批审核的标准化以及业务数据的协同联动化。通过这样的门户管理，可以更有效地促进人才资源的优化配置和人才的全面发展。</w:t>
      </w:r>
    </w:p>
    <w:p w14:paraId="1047C672">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人才相关流程</w:t>
      </w:r>
    </w:p>
    <w:p w14:paraId="6B7AEBC2">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人才相关流程：人才招聘、入职、调岗、离职、年度用工需求等流程。</w:t>
      </w:r>
    </w:p>
    <w:p w14:paraId="26FCF9CA">
      <w:pPr>
        <w:pageBreakBefore w:val="0"/>
        <w:widowControl/>
        <w:numPr>
          <w:ilvl w:val="0"/>
          <w:numId w:val="55"/>
        </w:numPr>
        <w:kinsoku/>
        <w:wordWrap/>
        <w:overflowPunct/>
        <w:topLinePunct w:val="0"/>
        <w:autoSpaceDE/>
        <w:autoSpaceDN/>
        <w:bidi w:val="0"/>
        <w:adjustRightInd/>
        <w:snapToGrid/>
        <w:spacing w:line="360" w:lineRule="auto"/>
        <w:jc w:val="left"/>
        <w:textAlignment w:val="auto"/>
        <w:rPr>
          <w:rFonts w:cs="宋体"/>
          <w:color w:val="auto"/>
          <w:sz w:val="22"/>
          <w:szCs w:val="22"/>
          <w:highlight w:val="none"/>
        </w:rPr>
      </w:pPr>
      <w:r>
        <w:rPr>
          <w:rFonts w:hint="eastAsia" w:ascii="宋体" w:hAnsi="宋体" w:cs="宋体"/>
          <w:color w:val="auto"/>
          <w:sz w:val="22"/>
          <w:szCs w:val="22"/>
          <w:highlight w:val="none"/>
        </w:rPr>
        <w:t>系统集成：支持流程数据与现有业务系统数据集成。</w:t>
      </w:r>
    </w:p>
    <w:p w14:paraId="5BA7EFA1">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r>
        <w:rPr>
          <w:rFonts w:hint="eastAsia" w:cs="宋体"/>
          <w:color w:val="auto"/>
          <w:sz w:val="22"/>
          <w:szCs w:val="22"/>
          <w:highlight w:val="none"/>
        </w:rPr>
        <w:t>财务管理</w:t>
      </w:r>
    </w:p>
    <w:p w14:paraId="2CB92E17">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r>
        <w:rPr>
          <w:rFonts w:hint="eastAsia"/>
          <w:color w:val="auto"/>
          <w:sz w:val="22"/>
          <w:szCs w:val="22"/>
          <w:highlight w:val="none"/>
        </w:rPr>
        <w:t>财务系统集成</w:t>
      </w:r>
    </w:p>
    <w:p w14:paraId="26D81A1F">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财务系统集成：支持与财务系统打通。实现会计科目同步、自动推送凭证。</w:t>
      </w:r>
    </w:p>
    <w:p w14:paraId="322B5E1C">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r>
        <w:rPr>
          <w:rFonts w:hint="eastAsia"/>
          <w:color w:val="auto"/>
          <w:sz w:val="22"/>
          <w:szCs w:val="22"/>
          <w:highlight w:val="none"/>
        </w:rPr>
        <w:t>统一支付</w:t>
      </w:r>
    </w:p>
    <w:p w14:paraId="5D8724F6">
      <w:pPr>
        <w:pStyle w:val="32"/>
        <w:pageBreakBefore w:val="0"/>
        <w:numPr>
          <w:ilvl w:val="0"/>
          <w:numId w:val="45"/>
        </w:numPr>
        <w:kinsoku/>
        <w:wordWrap/>
        <w:overflowPunct/>
        <w:topLinePunct w:val="0"/>
        <w:autoSpaceDE/>
        <w:autoSpaceDN/>
        <w:bidi w:val="0"/>
        <w:adjustRightInd/>
        <w:snapToGrid/>
        <w:spacing w:line="360" w:lineRule="auto"/>
        <w:ind w:firstLineChars="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支持与CBS系统集成，资金统一支持，以及由人工确认是否支付。支付不同类型的银行付款。</w:t>
      </w:r>
    </w:p>
    <w:bookmarkEnd w:id="321"/>
    <w:p w14:paraId="40A26222">
      <w:pPr>
        <w:pStyle w:val="7"/>
        <w:rPr>
          <w:rFonts w:hint="eastAsia" w:ascii="宋体" w:hAnsi="宋体" w:eastAsia="宋体" w:cs="宋体"/>
          <w:color w:val="auto"/>
          <w:sz w:val="22"/>
          <w:szCs w:val="22"/>
          <w:highlight w:val="none"/>
        </w:rPr>
      </w:pPr>
      <w:bookmarkStart w:id="347" w:name="_Toc13620"/>
      <w:bookmarkStart w:id="348" w:name="_Toc110523364"/>
      <w:bookmarkStart w:id="349" w:name="_Toc30418"/>
      <w:bookmarkStart w:id="350" w:name="_Toc11035"/>
      <w:r>
        <w:rPr>
          <w:rFonts w:hint="eastAsia" w:ascii="宋体" w:hAnsi="宋体" w:eastAsia="宋体" w:cs="宋体"/>
          <w:color w:val="auto"/>
          <w:sz w:val="22"/>
          <w:szCs w:val="22"/>
          <w:highlight w:val="none"/>
        </w:rPr>
        <w:t>数字经营</w:t>
      </w:r>
    </w:p>
    <w:p w14:paraId="67072383">
      <w:pPr>
        <w:pStyle w:val="32"/>
        <w:numPr>
          <w:ilvl w:val="0"/>
          <w:numId w:val="45"/>
        </w:numPr>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实现公路数字化管理</w:t>
      </w:r>
    </w:p>
    <w:p w14:paraId="63AFC6CA">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1、高速公路及服务区监控图像</w:t>
      </w:r>
    </w:p>
    <w:p w14:paraId="52210640">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2、高速公路基础构筑物状态</w:t>
      </w:r>
    </w:p>
    <w:p w14:paraId="7AD37E30">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工程数字化管理</w:t>
      </w:r>
    </w:p>
    <w:p w14:paraId="0C84B2A8">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1、养护工程动态</w:t>
      </w:r>
    </w:p>
    <w:p w14:paraId="326FEE33">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2、项目结算情况</w:t>
      </w:r>
    </w:p>
    <w:p w14:paraId="140E0D28">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3、重大经营项目经营状况等相关流程和台账</w:t>
      </w:r>
    </w:p>
    <w:p w14:paraId="3FBCD4FD">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数字经营看板</w:t>
      </w:r>
    </w:p>
    <w:p w14:paraId="54345A62">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1、集团系统组织架构及法人治理结构信息分析</w:t>
      </w:r>
    </w:p>
    <w:p w14:paraId="7868AECD">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2、经营状况关键指标分析等数据看板展示</w:t>
      </w:r>
    </w:p>
    <w:p w14:paraId="16DE17F4">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数字化产权管理</w:t>
      </w:r>
    </w:p>
    <w:p w14:paraId="08E2B204">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集团及集团所属二级、三级控股、参股单位：</w:t>
      </w:r>
    </w:p>
    <w:p w14:paraId="6C0B43AF">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占有产权登记</w:t>
      </w:r>
    </w:p>
    <w:p w14:paraId="23B34DD8">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变动产权登记</w:t>
      </w:r>
    </w:p>
    <w:p w14:paraId="618D4028">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注销产权登记</w:t>
      </w:r>
    </w:p>
    <w:p w14:paraId="66517591">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业务查询管理</w:t>
      </w:r>
    </w:p>
    <w:p w14:paraId="6CC41A1E">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数字化章程管理</w:t>
      </w:r>
    </w:p>
    <w:p w14:paraId="142E8C4C">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集团及集团所出资单位的章程：</w:t>
      </w:r>
    </w:p>
    <w:p w14:paraId="5B4A5AC4">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新制订/修改</w:t>
      </w:r>
    </w:p>
    <w:p w14:paraId="34C5D4E5">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章程备案</w:t>
      </w:r>
    </w:p>
    <w:p w14:paraId="06DB40BA">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章程查询管理</w:t>
      </w:r>
    </w:p>
    <w:p w14:paraId="60A90788">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数字化董事会管理</w:t>
      </w:r>
    </w:p>
    <w:p w14:paraId="2A6BCEE9">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集团本级及下属单位：</w:t>
      </w:r>
    </w:p>
    <w:p w14:paraId="6137F704">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临时董事会决议审批</w:t>
      </w:r>
    </w:p>
    <w:p w14:paraId="2449E708">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董事会决议备案</w:t>
      </w:r>
    </w:p>
    <w:p w14:paraId="33534275">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决议查询管理</w:t>
      </w:r>
    </w:p>
    <w:p w14:paraId="7CE5DE64">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数字化股东会管理</w:t>
      </w:r>
    </w:p>
    <w:p w14:paraId="7A3D8988">
      <w:pPr>
        <w:pStyle w:val="32"/>
        <w:ind w:left="42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集团本级及下属单位：</w:t>
      </w:r>
    </w:p>
    <w:p w14:paraId="0831FE8E">
      <w:pPr>
        <w:pStyle w:val="32"/>
        <w:ind w:left="42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股东会决议备案</w:t>
      </w:r>
    </w:p>
    <w:p w14:paraId="2AC92185">
      <w:pPr>
        <w:pStyle w:val="32"/>
        <w:ind w:left="42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决议查询管理</w:t>
      </w:r>
    </w:p>
    <w:p w14:paraId="2C348B77">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数字化招商引资管理</w:t>
      </w:r>
    </w:p>
    <w:p w14:paraId="46B76A44">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1、可根据项目目标制定招商业态策划</w:t>
      </w:r>
    </w:p>
    <w:p w14:paraId="5E14091A">
      <w:pPr>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2、在项目商业策划执行过程中可能会因为项目需求的变更导致策划方案的更改</w:t>
      </w:r>
    </w:p>
    <w:p w14:paraId="789FF911">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3、在系统中可以实现对项目策划的修改</w:t>
      </w:r>
    </w:p>
    <w:p w14:paraId="3D473BBC">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4、同时在系统中实现对项目策划</w:t>
      </w:r>
    </w:p>
    <w:p w14:paraId="3941DABE">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5、具体实施过程中不间断的跟进记录</w:t>
      </w:r>
    </w:p>
    <w:p w14:paraId="11AD2EA8">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数字投资管理</w:t>
      </w:r>
    </w:p>
    <w:p w14:paraId="6215A422">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集团本级及下属单位：</w:t>
      </w:r>
    </w:p>
    <w:p w14:paraId="67C02051">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1）数字投资管理门户</w:t>
      </w:r>
    </w:p>
    <w:p w14:paraId="58DCCED0">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2）企业投资项目合规性管理</w:t>
      </w:r>
    </w:p>
    <w:p w14:paraId="116BBAC9">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3）企业投资项目台账管理</w:t>
      </w:r>
    </w:p>
    <w:p w14:paraId="567ECAC0">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★提供数字经营各模块内容功能截图</w:t>
      </w:r>
    </w:p>
    <w:p w14:paraId="17DC88EB">
      <w:pPr>
        <w:pStyle w:val="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数字建管管理</w:t>
      </w:r>
    </w:p>
    <w:p w14:paraId="011252F0">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实现建设项目进展分析台账</w:t>
      </w:r>
    </w:p>
    <w:p w14:paraId="2406CBE8">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1、项目前期进度</w:t>
      </w:r>
    </w:p>
    <w:p w14:paraId="0155F793">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2、项目施工形象进度</w:t>
      </w:r>
    </w:p>
    <w:p w14:paraId="42223E57">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3、项目各合同段实际完成和支付比例数据等数据报表统计分析</w:t>
      </w:r>
    </w:p>
    <w:p w14:paraId="4A4CAD7B">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过程管理功能</w:t>
      </w:r>
    </w:p>
    <w:p w14:paraId="491F5ADD">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1、工程招标管理</w:t>
      </w:r>
    </w:p>
    <w:p w14:paraId="0F4D056E">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2、投资额管理</w:t>
      </w:r>
    </w:p>
    <w:p w14:paraId="5C97990E">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3、征迁过程管理</w:t>
      </w:r>
    </w:p>
    <w:p w14:paraId="120585C2">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4、项目合同及报价管理（含计量、支付及索赔）</w:t>
      </w:r>
    </w:p>
    <w:p w14:paraId="7D1BE55E">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5、工程设计变更管理</w:t>
      </w:r>
    </w:p>
    <w:p w14:paraId="54995432">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6、竣工验收管理等相关流程</w:t>
      </w:r>
    </w:p>
    <w:p w14:paraId="34EED619">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★提供数字建管各模块内容功能截图</w:t>
      </w:r>
    </w:p>
    <w:p w14:paraId="707D35B8">
      <w:pPr>
        <w:pStyle w:val="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数字安全管理</w:t>
      </w:r>
    </w:p>
    <w:p w14:paraId="5A8B4935">
      <w:pPr>
        <w:pStyle w:val="32"/>
        <w:ind w:left="42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实现安全责任管理。</w:t>
      </w:r>
    </w:p>
    <w:p w14:paraId="1E83B81E">
      <w:pPr>
        <w:pStyle w:val="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数字战略管理</w:t>
      </w:r>
    </w:p>
    <w:p w14:paraId="12AB2BE3">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战略领域管理功能。</w:t>
      </w:r>
    </w:p>
    <w:p w14:paraId="24C83866">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1、法务纠纷等数据台账。</w:t>
      </w:r>
    </w:p>
    <w:p w14:paraId="7528C514">
      <w:pPr>
        <w:pStyle w:val="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数字监察管理</w:t>
      </w:r>
    </w:p>
    <w:p w14:paraId="55294A54">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监察问题管理</w:t>
      </w:r>
    </w:p>
    <w:p w14:paraId="7FD4984B">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1、主体责任纪实情况</w:t>
      </w:r>
    </w:p>
    <w:p w14:paraId="63B71B6A">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2、重点任务督办情况、巡察、审计问题整改情况相关流程和数据台账</w:t>
      </w:r>
    </w:p>
    <w:p w14:paraId="203870DF">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“三重一大”跟踪管理</w:t>
      </w:r>
    </w:p>
    <w:p w14:paraId="30C53293">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1、“三重一大”事项报备监督流程及相关台账</w:t>
      </w:r>
    </w:p>
    <w:p w14:paraId="005722A4">
      <w:pPr>
        <w:pStyle w:val="32"/>
        <w:numPr>
          <w:ilvl w:val="0"/>
          <w:numId w:val="45"/>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专项检查档案管理。</w:t>
      </w:r>
    </w:p>
    <w:p w14:paraId="48B8DB4A">
      <w:pPr>
        <w:pStyle w:val="32"/>
        <w:numPr>
          <w:ilvl w:val="255"/>
          <w:numId w:val="0"/>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1、专项检查过程档案管理，各类文件上传、存档、归类。</w:t>
      </w:r>
    </w:p>
    <w:p w14:paraId="797E90CC">
      <w:pPr>
        <w:pStyle w:val="32"/>
        <w:numPr>
          <w:ilvl w:val="255"/>
          <w:numId w:val="0"/>
        </w:numPr>
        <w:ind w:firstLine="420"/>
        <w:rPr>
          <w:rFonts w:cs="宋体"/>
          <w:color w:val="auto"/>
          <w:sz w:val="22"/>
          <w:szCs w:val="22"/>
          <w:highlight w:val="none"/>
        </w:rPr>
      </w:pPr>
      <w:r>
        <w:rPr>
          <w:rFonts w:hint="eastAsia" w:ascii="宋体" w:hAnsi="宋体" w:eastAsia="宋体" w:cs="宋体"/>
          <w:color w:val="auto"/>
          <w:kern w:val="0"/>
          <w:sz w:val="22"/>
          <w:szCs w:val="22"/>
          <w:highlight w:val="none"/>
        </w:rPr>
        <w:t>★提供数字监察各模块内容功能截图</w:t>
      </w:r>
    </w:p>
    <w:p w14:paraId="02ABCCDD">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r>
        <w:rPr>
          <w:rFonts w:hint="eastAsia" w:cs="宋体"/>
          <w:color w:val="auto"/>
          <w:sz w:val="22"/>
          <w:szCs w:val="22"/>
          <w:highlight w:val="none"/>
        </w:rPr>
        <w:t>集成管理</w:t>
      </w:r>
      <w:bookmarkEnd w:id="347"/>
      <w:bookmarkEnd w:id="348"/>
      <w:bookmarkEnd w:id="349"/>
      <w:bookmarkEnd w:id="350"/>
    </w:p>
    <w:p w14:paraId="7F965286">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51" w:name="_Toc8326"/>
      <w:bookmarkStart w:id="352" w:name="_Toc110523366"/>
      <w:bookmarkStart w:id="353" w:name="_Toc22514"/>
      <w:bookmarkStart w:id="354" w:name="_Toc17500"/>
      <w:r>
        <w:rPr>
          <w:rFonts w:hint="eastAsia"/>
          <w:color w:val="auto"/>
          <w:sz w:val="22"/>
          <w:szCs w:val="22"/>
          <w:highlight w:val="none"/>
        </w:rPr>
        <w:t>数据集成</w:t>
      </w:r>
      <w:bookmarkEnd w:id="351"/>
      <w:bookmarkEnd w:id="352"/>
      <w:bookmarkEnd w:id="353"/>
      <w:bookmarkEnd w:id="354"/>
      <w:r>
        <w:rPr>
          <w:rFonts w:hint="eastAsia"/>
          <w:color w:val="auto"/>
          <w:sz w:val="22"/>
          <w:szCs w:val="22"/>
          <w:highlight w:val="none"/>
        </w:rPr>
        <w:tab/>
      </w:r>
    </w:p>
    <w:p w14:paraId="39D5464F">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数据交换任务运行引擎，支持可视化配置工具导入的数据交换任务热部署，支持配置运行状态下的第三方系统数据源；提供数据交换任务的可视化集成开发工具，封装丰富的底层集成功能，支持简单、便捷的与第三方系统集成；具有向导式任务流程配置（来源、转换、目标），以及多种交换方式。</w:t>
      </w:r>
    </w:p>
    <w:p w14:paraId="250B948C">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55" w:name="_Toc5789"/>
      <w:bookmarkStart w:id="356" w:name="_Toc25056"/>
      <w:bookmarkStart w:id="357" w:name="_Toc110523367"/>
      <w:bookmarkStart w:id="358" w:name="_Toc31750"/>
      <w:r>
        <w:rPr>
          <w:rFonts w:hint="eastAsia"/>
          <w:color w:val="auto"/>
          <w:sz w:val="22"/>
          <w:szCs w:val="22"/>
          <w:highlight w:val="none"/>
        </w:rPr>
        <w:t>应用接入</w:t>
      </w:r>
      <w:bookmarkEnd w:id="355"/>
      <w:bookmarkEnd w:id="356"/>
      <w:bookmarkEnd w:id="357"/>
      <w:bookmarkEnd w:id="358"/>
      <w:r>
        <w:rPr>
          <w:rFonts w:hint="eastAsia"/>
          <w:color w:val="auto"/>
          <w:sz w:val="22"/>
          <w:szCs w:val="22"/>
          <w:highlight w:val="none"/>
        </w:rPr>
        <w:tab/>
      </w:r>
    </w:p>
    <w:p w14:paraId="49A388D4">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可快速实现与第三方应用的单点登录（支持cas、Oauth认证）、消息集成、待办集成，拥有覆盖PC和移动终端的完整通用规范，基于该规范可支持多数场景下通过配置化实现集成；提供事件绑定机制，配置化实现组织结构变动事件、新闻/公告事件自动触发第三方调用与同步。</w:t>
      </w:r>
    </w:p>
    <w:p w14:paraId="46FC513D">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59" w:name="_Toc7792"/>
      <w:bookmarkStart w:id="360" w:name="_Toc18880"/>
      <w:bookmarkStart w:id="361" w:name="_Toc7478"/>
      <w:bookmarkStart w:id="362" w:name="_Toc110523368"/>
      <w:r>
        <w:rPr>
          <w:rFonts w:hint="eastAsia"/>
          <w:color w:val="auto"/>
          <w:sz w:val="22"/>
          <w:szCs w:val="22"/>
          <w:highlight w:val="none"/>
        </w:rPr>
        <w:t>流程集成</w:t>
      </w:r>
      <w:bookmarkEnd w:id="359"/>
      <w:bookmarkEnd w:id="360"/>
      <w:bookmarkEnd w:id="361"/>
      <w:bookmarkEnd w:id="362"/>
      <w:r>
        <w:rPr>
          <w:rFonts w:hint="eastAsia"/>
          <w:color w:val="auto"/>
          <w:sz w:val="22"/>
          <w:szCs w:val="22"/>
          <w:highlight w:val="none"/>
        </w:rPr>
        <w:tab/>
      </w:r>
    </w:p>
    <w:p w14:paraId="094C3CAD">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为第三方应用的业务流程集成，提供统一的实施和管理控制台。流程集成的所有内容可实；现一站式配置化实现，包括集成应用关联、流程/节点触发设置、第三方任务绑定、异常控制、回滚设置、发布与共享等。</w:t>
      </w:r>
    </w:p>
    <w:p w14:paraId="3207DE6F">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63" w:name="_Toc31526"/>
      <w:bookmarkStart w:id="364" w:name="_Toc32209"/>
      <w:bookmarkStart w:id="365" w:name="_Toc21776"/>
      <w:bookmarkStart w:id="366" w:name="_Toc110523369"/>
      <w:r>
        <w:rPr>
          <w:rFonts w:hint="eastAsia"/>
          <w:color w:val="auto"/>
          <w:sz w:val="22"/>
          <w:szCs w:val="22"/>
          <w:highlight w:val="none"/>
        </w:rPr>
        <w:t>文档集成</w:t>
      </w:r>
      <w:bookmarkEnd w:id="363"/>
      <w:bookmarkEnd w:id="364"/>
      <w:bookmarkEnd w:id="365"/>
      <w:bookmarkEnd w:id="366"/>
      <w:r>
        <w:rPr>
          <w:rFonts w:hint="eastAsia"/>
          <w:color w:val="auto"/>
          <w:sz w:val="22"/>
          <w:szCs w:val="22"/>
          <w:highlight w:val="none"/>
        </w:rPr>
        <w:tab/>
      </w:r>
    </w:p>
    <w:p w14:paraId="779C61A0">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提供文档Web Service接口,调用或实现系统中文档输入输出</w:t>
      </w:r>
    </w:p>
    <w:p w14:paraId="05DF8D43">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367" w:name="_Toc110523370"/>
      <w:bookmarkStart w:id="368" w:name="_Toc16240"/>
      <w:bookmarkStart w:id="369" w:name="_Toc4131"/>
      <w:bookmarkStart w:id="370" w:name="_Toc7610"/>
      <w:r>
        <w:rPr>
          <w:rFonts w:hint="eastAsia" w:cs="宋体"/>
          <w:color w:val="auto"/>
          <w:sz w:val="22"/>
          <w:szCs w:val="22"/>
          <w:highlight w:val="none"/>
        </w:rPr>
        <w:t>报表管理</w:t>
      </w:r>
      <w:bookmarkEnd w:id="367"/>
      <w:bookmarkEnd w:id="368"/>
      <w:bookmarkEnd w:id="369"/>
    </w:p>
    <w:p w14:paraId="757A475F">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71" w:name="_Toc18637"/>
      <w:bookmarkStart w:id="372" w:name="_Toc11379"/>
      <w:bookmarkStart w:id="373" w:name="_Toc110523371"/>
      <w:bookmarkStart w:id="374" w:name="_Toc24054"/>
      <w:r>
        <w:rPr>
          <w:rFonts w:hint="eastAsia"/>
          <w:color w:val="auto"/>
          <w:sz w:val="22"/>
          <w:szCs w:val="22"/>
          <w:highlight w:val="none"/>
        </w:rPr>
        <w:t>报表设计</w:t>
      </w:r>
      <w:bookmarkEnd w:id="371"/>
      <w:bookmarkEnd w:id="372"/>
      <w:bookmarkEnd w:id="373"/>
      <w:bookmarkEnd w:id="374"/>
      <w:r>
        <w:rPr>
          <w:rFonts w:hint="eastAsia"/>
          <w:color w:val="auto"/>
          <w:sz w:val="22"/>
          <w:szCs w:val="22"/>
          <w:highlight w:val="none"/>
        </w:rPr>
        <w:tab/>
      </w:r>
    </w:p>
    <w:p w14:paraId="76D85091">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根据报表主题，在数据库的原始数据的基础上，提取原始的数据，依据定义的报表算法，进行自动计算；在提取报表主题及算法运算的过程中，报表引擎依据定义各种参数，实现所需的运算，提供丰富的分析报表呈现。</w:t>
      </w:r>
    </w:p>
    <w:p w14:paraId="217BB797">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75" w:name="_Toc110523372"/>
      <w:bookmarkStart w:id="376" w:name="_Toc7773"/>
      <w:bookmarkStart w:id="377" w:name="_Toc28451"/>
      <w:bookmarkStart w:id="378" w:name="_Toc3704"/>
      <w:r>
        <w:rPr>
          <w:rFonts w:hint="eastAsia"/>
          <w:color w:val="auto"/>
          <w:sz w:val="22"/>
          <w:szCs w:val="22"/>
          <w:highlight w:val="none"/>
        </w:rPr>
        <w:t>数据来源与数据管理</w:t>
      </w:r>
      <w:bookmarkEnd w:id="375"/>
      <w:bookmarkEnd w:id="376"/>
      <w:bookmarkEnd w:id="377"/>
      <w:bookmarkEnd w:id="378"/>
    </w:p>
    <w:p w14:paraId="33CD06EA">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数据来源多样，支持外部数据采集，支持报表拖拉拽进行配置，通过可视化数据收集器进行收集路径汇总路径。支持报表图形多样化呈现（可穿透）。</w:t>
      </w:r>
    </w:p>
    <w:p w14:paraId="4BF7D72E">
      <w:pPr>
        <w:pStyle w:val="7"/>
        <w:pageBreakBefore w:val="0"/>
        <w:numPr>
          <w:ilvl w:val="1"/>
          <w:numId w:val="24"/>
        </w:numPr>
        <w:kinsoku/>
        <w:wordWrap/>
        <w:overflowPunct/>
        <w:topLinePunct w:val="0"/>
        <w:autoSpaceDE/>
        <w:autoSpaceDN/>
        <w:bidi w:val="0"/>
        <w:adjustRightInd/>
        <w:snapToGrid/>
        <w:spacing w:line="360" w:lineRule="auto"/>
        <w:textAlignment w:val="auto"/>
        <w:rPr>
          <w:rFonts w:cs="宋体"/>
          <w:color w:val="auto"/>
          <w:sz w:val="22"/>
          <w:szCs w:val="22"/>
          <w:highlight w:val="none"/>
        </w:rPr>
      </w:pPr>
      <w:bookmarkStart w:id="379" w:name="_Toc9294"/>
      <w:bookmarkStart w:id="380" w:name="_Toc29621"/>
      <w:bookmarkStart w:id="381" w:name="_Toc110523373"/>
      <w:r>
        <w:rPr>
          <w:rFonts w:hint="eastAsia" w:cs="宋体"/>
          <w:color w:val="auto"/>
          <w:sz w:val="22"/>
          <w:szCs w:val="22"/>
          <w:highlight w:val="none"/>
        </w:rPr>
        <w:t>统一数据上报管理需求</w:t>
      </w:r>
      <w:bookmarkEnd w:id="379"/>
      <w:bookmarkEnd w:id="380"/>
      <w:bookmarkEnd w:id="381"/>
    </w:p>
    <w:p w14:paraId="029BD2D0">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82" w:name="_Toc13190"/>
      <w:bookmarkStart w:id="383" w:name="_Toc32230"/>
      <w:bookmarkStart w:id="384" w:name="_Toc110523374"/>
      <w:r>
        <w:rPr>
          <w:rFonts w:hint="eastAsia"/>
          <w:color w:val="auto"/>
          <w:sz w:val="22"/>
          <w:szCs w:val="22"/>
          <w:highlight w:val="none"/>
        </w:rPr>
        <w:t>总体要求</w:t>
      </w:r>
      <w:bookmarkEnd w:id="382"/>
      <w:bookmarkEnd w:id="383"/>
      <w:bookmarkEnd w:id="384"/>
    </w:p>
    <w:p w14:paraId="774DA79D">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集团总部实时汇总下属公司各项数据</w:t>
      </w:r>
    </w:p>
    <w:p w14:paraId="6A6A8D64">
      <w:pPr>
        <w:pStyle w:val="30"/>
        <w:pageBreakBefore w:val="0"/>
        <w:numPr>
          <w:ilvl w:val="0"/>
          <w:numId w:val="56"/>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通过集团总部从下属公司数据库中直接提取数据或集团下属公司上报相关的数据信息，在数据中心系统中形成各种报表；</w:t>
      </w:r>
    </w:p>
    <w:p w14:paraId="30244291">
      <w:pPr>
        <w:pStyle w:val="30"/>
        <w:pageBreakBefore w:val="0"/>
        <w:numPr>
          <w:ilvl w:val="0"/>
          <w:numId w:val="56"/>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集团管理层能够方便查询各类报表；</w:t>
      </w:r>
    </w:p>
    <w:p w14:paraId="06B34D94">
      <w:pPr>
        <w:pStyle w:val="30"/>
        <w:pageBreakBefore w:val="0"/>
        <w:numPr>
          <w:ilvl w:val="0"/>
          <w:numId w:val="56"/>
        </w:numPr>
        <w:kinsoku/>
        <w:wordWrap/>
        <w:overflowPunct/>
        <w:topLinePunct w:val="0"/>
        <w:autoSpaceDE/>
        <w:autoSpaceDN/>
        <w:bidi w:val="0"/>
        <w:adjustRightInd/>
        <w:snapToGrid/>
        <w:spacing w:line="360" w:lineRule="auto"/>
        <w:ind w:firstLineChars="0"/>
        <w:textAlignment w:val="auto"/>
        <w:rPr>
          <w:rFonts w:hint="eastAsia" w:cs="宋体"/>
          <w:color w:val="auto"/>
          <w:sz w:val="22"/>
          <w:szCs w:val="22"/>
          <w:highlight w:val="none"/>
        </w:rPr>
      </w:pPr>
      <w:r>
        <w:rPr>
          <w:rFonts w:hint="eastAsia" w:cs="宋体"/>
          <w:color w:val="auto"/>
          <w:sz w:val="22"/>
          <w:szCs w:val="22"/>
          <w:highlight w:val="none"/>
        </w:rPr>
        <w:t>支持自定义报表展现，从宏观角度分析下属公司的运营和管理情况，为公司整体发展决策提供正确的数据信息。</w:t>
      </w:r>
    </w:p>
    <w:p w14:paraId="0DEDC5BF">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实现各下属公司和集团总部有效对接</w:t>
      </w:r>
    </w:p>
    <w:p w14:paraId="3D67047C">
      <w:pPr>
        <w:pStyle w:val="30"/>
        <w:pageBreakBefore w:val="0"/>
        <w:kinsoku/>
        <w:wordWrap/>
        <w:overflowPunct/>
        <w:topLinePunct w:val="0"/>
        <w:autoSpaceDE/>
        <w:autoSpaceDN/>
        <w:bidi w:val="0"/>
        <w:adjustRightInd/>
        <w:snapToGrid/>
        <w:spacing w:line="360" w:lineRule="auto"/>
        <w:ind w:firstLine="480"/>
        <w:textAlignment w:val="auto"/>
        <w:rPr>
          <w:rFonts w:hint="eastAsia" w:cs="宋体"/>
          <w:color w:val="auto"/>
          <w:sz w:val="22"/>
          <w:szCs w:val="22"/>
          <w:highlight w:val="none"/>
        </w:rPr>
      </w:pPr>
      <w:r>
        <w:rPr>
          <w:rFonts w:hint="eastAsia" w:cs="宋体"/>
          <w:color w:val="auto"/>
          <w:sz w:val="22"/>
          <w:szCs w:val="22"/>
          <w:highlight w:val="none"/>
        </w:rPr>
        <w:t>通过“集团数据中心”，为集团各个下属公司和总部之间建立了数据流动的通道，下属公司通过数据中心将各种数据递交上报，总部通过数据报表的生成完成数据的提取采集，将整个集团运营在一个统一的平台上，提高集团运作效率，降低运营成本。</w:t>
      </w:r>
    </w:p>
    <w:p w14:paraId="502F9252">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通过与各模块的无缝连接，实现集团数据的完美集成</w:t>
      </w:r>
    </w:p>
    <w:p w14:paraId="0A1E6043">
      <w:pPr>
        <w:pStyle w:val="30"/>
        <w:pageBreakBefore w:val="0"/>
        <w:numPr>
          <w:ilvl w:val="0"/>
          <w:numId w:val="57"/>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“集团数据中心”需要能够对于现有使用业务、财务系统进行对接，可对各模块表单、单据进行采集、分析和统计，并可细化到字段；</w:t>
      </w:r>
    </w:p>
    <w:p w14:paraId="448BEC29">
      <w:pPr>
        <w:pStyle w:val="30"/>
        <w:pageBreakBefore w:val="0"/>
        <w:numPr>
          <w:ilvl w:val="0"/>
          <w:numId w:val="57"/>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支持形成相应的报表递交上报给领导，数据的采集和报表的定制可由数据中心系统管理员负责完成；</w:t>
      </w:r>
    </w:p>
    <w:p w14:paraId="374C1BE7">
      <w:pPr>
        <w:pStyle w:val="30"/>
        <w:pageBreakBefore w:val="0"/>
        <w:numPr>
          <w:ilvl w:val="0"/>
          <w:numId w:val="57"/>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通过对人员权限及报表共享权限的设置来控制报表的查看或编辑操作。</w:t>
      </w:r>
    </w:p>
    <w:p w14:paraId="0C178358">
      <w:pPr>
        <w:pStyle w:val="8"/>
        <w:pageBreakBefore w:val="0"/>
        <w:numPr>
          <w:ilvl w:val="2"/>
          <w:numId w:val="24"/>
        </w:numPr>
        <w:kinsoku/>
        <w:wordWrap/>
        <w:overflowPunct/>
        <w:topLinePunct w:val="0"/>
        <w:autoSpaceDE/>
        <w:autoSpaceDN/>
        <w:bidi w:val="0"/>
        <w:adjustRightInd/>
        <w:snapToGrid/>
        <w:spacing w:line="360" w:lineRule="auto"/>
        <w:textAlignment w:val="auto"/>
        <w:rPr>
          <w:color w:val="auto"/>
          <w:sz w:val="22"/>
          <w:szCs w:val="22"/>
          <w:highlight w:val="none"/>
        </w:rPr>
      </w:pPr>
      <w:bookmarkStart w:id="385" w:name="_Toc11337"/>
      <w:bookmarkStart w:id="386" w:name="_Toc110523375"/>
      <w:bookmarkStart w:id="387" w:name="_Toc11959"/>
      <w:r>
        <w:rPr>
          <w:rFonts w:hint="eastAsia"/>
          <w:color w:val="auto"/>
          <w:sz w:val="22"/>
          <w:szCs w:val="22"/>
          <w:highlight w:val="none"/>
        </w:rPr>
        <w:t>功能性要求</w:t>
      </w:r>
      <w:bookmarkEnd w:id="385"/>
      <w:bookmarkEnd w:id="386"/>
      <w:bookmarkEnd w:id="387"/>
    </w:p>
    <w:p w14:paraId="539DE1D0">
      <w:pPr>
        <w:pStyle w:val="32"/>
        <w:numPr>
          <w:ilvl w:val="255"/>
          <w:numId w:val="0"/>
        </w:numPr>
        <w:ind w:firstLine="420"/>
        <w:rPr>
          <w:rFonts w:cs="宋体"/>
          <w:color w:val="auto"/>
          <w:highlight w:val="none"/>
        </w:rPr>
      </w:pPr>
      <w:r>
        <w:rPr>
          <w:rFonts w:hint="eastAsia"/>
          <w:color w:val="auto"/>
          <w:sz w:val="22"/>
          <w:szCs w:val="22"/>
          <w:highlight w:val="none"/>
          <w:lang w:val="en-US" w:eastAsia="zh-CN"/>
        </w:rPr>
        <w:t xml:space="preserve">   </w:t>
      </w:r>
      <w:r>
        <w:rPr>
          <w:rFonts w:hint="eastAsia" w:ascii="宋体" w:hAnsi="宋体" w:cs="宋体"/>
          <w:color w:val="auto"/>
          <w:kern w:val="0"/>
          <w:sz w:val="22"/>
          <w:szCs w:val="22"/>
          <w:highlight w:val="none"/>
        </w:rPr>
        <w:t>★</w:t>
      </w:r>
      <w:r>
        <w:rPr>
          <w:rFonts w:hint="eastAsia" w:cs="宋体"/>
          <w:color w:val="auto"/>
          <w:sz w:val="22"/>
          <w:szCs w:val="22"/>
          <w:highlight w:val="none"/>
        </w:rPr>
        <w:t>需覆盖数字化中台项目终验版本中的业务中台部门业务流程改造部分的功能内容。</w:t>
      </w:r>
    </w:p>
    <w:p w14:paraId="27ACD513">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功能模块要求</w:t>
      </w:r>
    </w:p>
    <w:p w14:paraId="61101A48">
      <w:pPr>
        <w:pStyle w:val="30"/>
        <w:pageBreakBefore w:val="0"/>
        <w:kinsoku/>
        <w:wordWrap/>
        <w:overflowPunct/>
        <w:topLinePunct w:val="0"/>
        <w:autoSpaceDE/>
        <w:autoSpaceDN/>
        <w:bidi w:val="0"/>
        <w:adjustRightInd/>
        <w:snapToGrid/>
        <w:spacing w:line="360" w:lineRule="auto"/>
        <w:ind w:firstLine="480"/>
        <w:textAlignment w:val="auto"/>
        <w:rPr>
          <w:rFonts w:cs="宋体"/>
          <w:color w:val="auto"/>
          <w:sz w:val="22"/>
          <w:szCs w:val="22"/>
          <w:highlight w:val="none"/>
        </w:rPr>
      </w:pPr>
      <w:r>
        <w:rPr>
          <w:rFonts w:hint="eastAsia" w:cs="宋体"/>
          <w:color w:val="auto"/>
          <w:sz w:val="22"/>
          <w:szCs w:val="22"/>
          <w:highlight w:val="none"/>
        </w:rPr>
        <w:t>数据中心应该包括输入报表管理，报表汇总管理，输出报表管理，报表数据录入，报表录入监控五个功能模块：</w:t>
      </w:r>
    </w:p>
    <w:p w14:paraId="39416D98">
      <w:pPr>
        <w:pStyle w:val="30"/>
        <w:pageBreakBefore w:val="0"/>
        <w:numPr>
          <w:ilvl w:val="0"/>
          <w:numId w:val="58"/>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输入报表管理：管理员可将报表的抽取设置和上报报表的设计权限给到各业务条线相关人员；相关人员可以动态的定义基层企业需要填报的报表和报表中需要填写的项目，需要提供类似EXCEL文件的报表设计方式。</w:t>
      </w:r>
    </w:p>
    <w:p w14:paraId="3F4E2FE1">
      <w:pPr>
        <w:pStyle w:val="30"/>
        <w:pageBreakBefore w:val="0"/>
        <w:numPr>
          <w:ilvl w:val="0"/>
          <w:numId w:val="58"/>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报表汇总管理：各业务条线相关授权人员，可以设定填报式报表或者数据抽取类报表按照一定的组织路径或者条线路径进行下发和自动汇总收集， 需要能够提供可视化的数据汇总视图和未填报预警功能。能够对于汇总数据进行合计、分拆等计算。</w:t>
      </w:r>
    </w:p>
    <w:p w14:paraId="3A22D7A8">
      <w:pPr>
        <w:pStyle w:val="30"/>
        <w:pageBreakBefore w:val="0"/>
        <w:numPr>
          <w:ilvl w:val="0"/>
          <w:numId w:val="58"/>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输出报表管理，能够根据收集的数据进行展现设计，需要提供直接配置的方式，可以对展现报表按照不同层级提供不同的展现方式，能够支撑报表和图表两种展现模式。</w:t>
      </w:r>
    </w:p>
    <w:p w14:paraId="0106207A">
      <w:pPr>
        <w:pStyle w:val="30"/>
        <w:pageBreakBefore w:val="0"/>
        <w:numPr>
          <w:ilvl w:val="0"/>
          <w:numId w:val="58"/>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报表数据录入： 基层企业将数据录入相应的输入报表，可提供Excel 模板便于导入数据，可以对于进行二次修正。</w:t>
      </w:r>
    </w:p>
    <w:p w14:paraId="40D5FE8F">
      <w:pPr>
        <w:pStyle w:val="30"/>
        <w:pageBreakBefore w:val="0"/>
        <w:numPr>
          <w:ilvl w:val="0"/>
          <w:numId w:val="58"/>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报表录入监控：集团企业的财务管理员可以监控报表的录入情况，并对报表的录入数据进行修改。对打开的财务期间可以录入相应的月修正和年修正。</w:t>
      </w:r>
    </w:p>
    <w:p w14:paraId="43C94FB6">
      <w:pPr>
        <w:pStyle w:val="9"/>
        <w:pageBreakBefore w:val="0"/>
        <w:numPr>
          <w:ilvl w:val="3"/>
          <w:numId w:val="24"/>
        </w:numPr>
        <w:kinsoku/>
        <w:wordWrap/>
        <w:overflowPunct/>
        <w:topLinePunct w:val="0"/>
        <w:autoSpaceDE/>
        <w:autoSpaceDN/>
        <w:bidi w:val="0"/>
        <w:adjustRightInd/>
        <w:snapToGri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易用性要求</w:t>
      </w:r>
    </w:p>
    <w:p w14:paraId="238F218D">
      <w:pPr>
        <w:pStyle w:val="30"/>
        <w:pageBreakBefore w:val="0"/>
        <w:numPr>
          <w:ilvl w:val="0"/>
          <w:numId w:val="59"/>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可视化的报表设计器，使用户可以便捷调整报表的样式，支持所见即所得的方式预览，方便用户快速生成报表。</w:t>
      </w:r>
    </w:p>
    <w:p w14:paraId="3A1AF962">
      <w:pPr>
        <w:pStyle w:val="30"/>
        <w:pageBreakBefore w:val="0"/>
        <w:numPr>
          <w:ilvl w:val="0"/>
          <w:numId w:val="59"/>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 xml:space="preserve">报表支持在线查询生成实时报表，同时也支持业务人员输入参数自动生成静态报表，并通过系统预先设定的权限和流程在系统中发布的静态报表模式。 </w:t>
      </w:r>
    </w:p>
    <w:p w14:paraId="7D1297B6">
      <w:pPr>
        <w:pStyle w:val="30"/>
        <w:pageBreakBefore w:val="0"/>
        <w:numPr>
          <w:ilvl w:val="0"/>
          <w:numId w:val="59"/>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报表应用以纯HTML报表（含统计图）展现，浏览器端无需下载控件。</w:t>
      </w:r>
    </w:p>
    <w:p w14:paraId="720522F3">
      <w:pPr>
        <w:pStyle w:val="30"/>
        <w:pageBreakBefore w:val="0"/>
        <w:numPr>
          <w:ilvl w:val="0"/>
          <w:numId w:val="59"/>
        </w:numPr>
        <w:kinsoku/>
        <w:wordWrap/>
        <w:overflowPunct/>
        <w:topLinePunct w:val="0"/>
        <w:autoSpaceDE/>
        <w:autoSpaceDN/>
        <w:bidi w:val="0"/>
        <w:adjustRightInd/>
        <w:snapToGrid/>
        <w:spacing w:line="360" w:lineRule="auto"/>
        <w:ind w:firstLineChars="0"/>
        <w:textAlignment w:val="auto"/>
        <w:rPr>
          <w:rFonts w:cs="宋体"/>
          <w:color w:val="auto"/>
          <w:sz w:val="22"/>
          <w:szCs w:val="22"/>
          <w:highlight w:val="none"/>
        </w:rPr>
      </w:pPr>
      <w:r>
        <w:rPr>
          <w:rFonts w:hint="eastAsia" w:cs="宋体"/>
          <w:color w:val="auto"/>
          <w:sz w:val="22"/>
          <w:szCs w:val="22"/>
          <w:highlight w:val="none"/>
        </w:rPr>
        <w:t>提供图形化的动态仪表盘界面展现功能，支持指标数据的人工输入和自动获取，支持数据的分级授权。</w:t>
      </w:r>
    </w:p>
    <w:bookmarkEnd w:id="370"/>
    <w:p w14:paraId="4BFA3884">
      <w:pPr>
        <w:pStyle w:val="6"/>
        <w:keepNext/>
        <w:keepLines/>
        <w:pageBreakBefore w:val="0"/>
        <w:widowControl w:val="0"/>
        <w:numPr>
          <w:ilvl w:val="0"/>
          <w:numId w:val="24"/>
        </w:numPr>
        <w:kinsoku/>
        <w:wordWrap/>
        <w:overflowPunct/>
        <w:topLinePunct w:val="0"/>
        <w:autoSpaceDE/>
        <w:autoSpaceDN/>
        <w:bidi w:val="0"/>
        <w:adjustRightInd/>
        <w:snapToGrid/>
        <w:spacing w:before="490" w:beforeLines="150"/>
        <w:textAlignment w:val="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国产服务器需求</w:t>
      </w:r>
    </w:p>
    <w:tbl>
      <w:tblPr>
        <w:tblStyle w:val="24"/>
        <w:tblW w:w="9188"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79" w:type="dxa"/>
          <w:bottom w:w="57" w:type="dxa"/>
          <w:right w:w="79" w:type="dxa"/>
        </w:tblCellMar>
      </w:tblPr>
      <w:tblGrid>
        <w:gridCol w:w="741"/>
        <w:gridCol w:w="1386"/>
        <w:gridCol w:w="7061"/>
      </w:tblGrid>
      <w:tr w14:paraId="20BC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67" w:hRule="atLeast"/>
        </w:trPr>
        <w:tc>
          <w:tcPr>
            <w:tcW w:w="2127" w:type="dxa"/>
            <w:gridSpan w:val="2"/>
            <w:tcBorders>
              <w:tl2br w:val="nil"/>
              <w:tr2bl w:val="nil"/>
            </w:tcBorders>
            <w:shd w:val="clear" w:color="auto" w:fill="auto"/>
            <w:vAlign w:val="center"/>
          </w:tcPr>
          <w:p w14:paraId="0F9C7775">
            <w:pPr>
              <w:widowControl/>
              <w:spacing w:line="24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招标项</w:t>
            </w:r>
          </w:p>
        </w:tc>
        <w:tc>
          <w:tcPr>
            <w:tcW w:w="7061" w:type="dxa"/>
            <w:tcBorders>
              <w:tl2br w:val="nil"/>
              <w:tr2bl w:val="nil"/>
            </w:tcBorders>
            <w:shd w:val="clear" w:color="auto" w:fill="auto"/>
            <w:vAlign w:val="center"/>
          </w:tcPr>
          <w:p w14:paraId="5DC2CF76">
            <w:pPr>
              <w:widowControl/>
              <w:spacing w:line="24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招标要求</w:t>
            </w:r>
          </w:p>
        </w:tc>
      </w:tr>
      <w:tr w14:paraId="43DF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tcBorders>
              <w:tl2br w:val="nil"/>
              <w:tr2bl w:val="nil"/>
            </w:tcBorders>
            <w:shd w:val="clear" w:color="auto" w:fill="auto"/>
            <w:vAlign w:val="center"/>
          </w:tcPr>
          <w:p w14:paraId="555B6759">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硬件要求</w:t>
            </w:r>
          </w:p>
        </w:tc>
        <w:tc>
          <w:tcPr>
            <w:tcW w:w="1386" w:type="dxa"/>
            <w:tcBorders>
              <w:tl2br w:val="nil"/>
              <w:tr2bl w:val="nil"/>
            </w:tcBorders>
            <w:shd w:val="clear" w:color="auto" w:fill="auto"/>
            <w:vAlign w:val="center"/>
          </w:tcPr>
          <w:p w14:paraId="075F1A76">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硬件要求</w:t>
            </w:r>
          </w:p>
        </w:tc>
        <w:tc>
          <w:tcPr>
            <w:tcW w:w="7061" w:type="dxa"/>
            <w:tcBorders>
              <w:tl2br w:val="nil"/>
              <w:tr2bl w:val="nil"/>
            </w:tcBorders>
            <w:shd w:val="clear" w:color="auto" w:fill="auto"/>
            <w:vAlign w:val="center"/>
          </w:tcPr>
          <w:p w14:paraId="0C3950AF">
            <w:pPr>
              <w:widowControl/>
              <w:spacing w:line="240" w:lineRule="auto"/>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数量要求：不少于3台。</w:t>
            </w:r>
          </w:p>
          <w:p w14:paraId="780332EA">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规格：2U，CPU：2颗</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Kunpeng 920 5220 2.6GHz（32C），内存≥8*32GB DDR4 3200，系统盘：2*480GB SATA SSD，缓存盘≥2块960G SSD（混合型），数据盘≥4*4T，标配盘位数≥12，电源：冗余电源，接口≥4千兆电口+2万兆光口(含光模块)。</w:t>
            </w:r>
          </w:p>
        </w:tc>
      </w:tr>
      <w:tr w14:paraId="15E6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restart"/>
            <w:tcBorders>
              <w:tl2br w:val="nil"/>
              <w:tr2bl w:val="nil"/>
            </w:tcBorders>
            <w:shd w:val="clear" w:color="auto" w:fill="auto"/>
            <w:noWrap/>
            <w:vAlign w:val="center"/>
          </w:tcPr>
          <w:p w14:paraId="699E858E">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云管理平台</w:t>
            </w:r>
          </w:p>
        </w:tc>
        <w:tc>
          <w:tcPr>
            <w:tcW w:w="1386" w:type="dxa"/>
            <w:tcBorders>
              <w:tl2br w:val="nil"/>
              <w:tr2bl w:val="nil"/>
            </w:tcBorders>
            <w:shd w:val="clear" w:color="auto" w:fill="auto"/>
            <w:vAlign w:val="center"/>
          </w:tcPr>
          <w:p w14:paraId="1E066CA0">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软件要求</w:t>
            </w:r>
          </w:p>
        </w:tc>
        <w:tc>
          <w:tcPr>
            <w:tcW w:w="7061" w:type="dxa"/>
            <w:tcBorders>
              <w:tl2br w:val="nil"/>
              <w:tr2bl w:val="nil"/>
            </w:tcBorders>
            <w:shd w:val="clear" w:color="auto" w:fill="auto"/>
            <w:vAlign w:val="center"/>
          </w:tcPr>
          <w:p w14:paraId="2753A40C">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提供超融合产品的计算虚拟化软件、存储虚拟化软件、网络虚拟化软件、云管平台软件，提供6颗CPU授权。</w:t>
            </w:r>
          </w:p>
        </w:tc>
      </w:tr>
      <w:tr w14:paraId="0566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450" w:hRule="atLeast"/>
        </w:trPr>
        <w:tc>
          <w:tcPr>
            <w:tcW w:w="741" w:type="dxa"/>
            <w:vMerge w:val="continue"/>
            <w:tcBorders>
              <w:tl2br w:val="nil"/>
              <w:tr2bl w:val="nil"/>
            </w:tcBorders>
            <w:shd w:val="clear" w:color="auto" w:fill="auto"/>
            <w:vAlign w:val="center"/>
          </w:tcPr>
          <w:p w14:paraId="441241F4">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3BC9608B">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资质</w:t>
            </w:r>
          </w:p>
        </w:tc>
        <w:tc>
          <w:tcPr>
            <w:tcW w:w="7061" w:type="dxa"/>
            <w:tcBorders>
              <w:tl2br w:val="nil"/>
              <w:tr2bl w:val="nil"/>
            </w:tcBorders>
            <w:shd w:val="clear" w:color="auto" w:fill="auto"/>
            <w:vAlign w:val="center"/>
          </w:tcPr>
          <w:p w14:paraId="742B8B74">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产品完全自研，非OEM，需提供云计算管理平台的软件著作权证书</w:t>
            </w:r>
          </w:p>
        </w:tc>
      </w:tr>
      <w:tr w14:paraId="1AB2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089E3A16">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20A8FA15">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大屏展示</w:t>
            </w:r>
          </w:p>
        </w:tc>
        <w:tc>
          <w:tcPr>
            <w:tcW w:w="7061" w:type="dxa"/>
            <w:tcBorders>
              <w:tl2br w:val="nil"/>
              <w:tr2bl w:val="nil"/>
            </w:tcBorders>
            <w:shd w:val="clear" w:color="auto" w:fill="auto"/>
            <w:vAlign w:val="center"/>
          </w:tcPr>
          <w:p w14:paraId="10303FF8">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支持大屏展示便于客户直观查看虚拟化资源池的使用情况和健康状态，包括资源池使用情况，包括CPU使用率、内存使用率、存储使用率、虚拟机数量、物理主机数量以及集群故障与告警等（需提供产品功能截图）</w:t>
            </w:r>
          </w:p>
        </w:tc>
      </w:tr>
      <w:tr w14:paraId="4E53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34739897">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2F5D7AED">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高可用性</w:t>
            </w:r>
          </w:p>
        </w:tc>
        <w:tc>
          <w:tcPr>
            <w:tcW w:w="7061" w:type="dxa"/>
            <w:tcBorders>
              <w:tl2br w:val="nil"/>
              <w:tr2bl w:val="nil"/>
            </w:tcBorders>
            <w:shd w:val="clear" w:color="auto" w:fill="auto"/>
            <w:vAlign w:val="center"/>
          </w:tcPr>
          <w:p w14:paraId="33E3CEA3">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保证用户业务系统的高可靠性，云管平台应具备完善的可靠性功能，需支持无代理持续数据保护CDP、本地备份、异地容灾、云容灾等高可用服务，当主平台发生故障时，能够切换到备平台，保障云平台稳定运行。</w:t>
            </w:r>
          </w:p>
        </w:tc>
      </w:tr>
      <w:tr w14:paraId="3D6F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7C69A91A">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6D2BD633">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镜像管理</w:t>
            </w:r>
          </w:p>
        </w:tc>
        <w:tc>
          <w:tcPr>
            <w:tcW w:w="7061" w:type="dxa"/>
            <w:tcBorders>
              <w:tl2br w:val="nil"/>
              <w:tr2bl w:val="nil"/>
            </w:tcBorders>
            <w:shd w:val="clear" w:color="auto" w:fill="auto"/>
            <w:vAlign w:val="center"/>
          </w:tcPr>
          <w:p w14:paraId="396BD216">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查看镜像页面，包括公共镜像、私有镜像和网络设备镜像，可对公共镜像、私有镜像和网络设备镜像进行统一上传镜像和管理操作；可通过镜像实现一键快速创建云主机，可对网络设备镜像通过网络拓扑进行虚拟化安全组件部署。</w:t>
            </w:r>
          </w:p>
        </w:tc>
      </w:tr>
      <w:tr w14:paraId="2967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720" w:hRule="atLeast"/>
        </w:trPr>
        <w:tc>
          <w:tcPr>
            <w:tcW w:w="741" w:type="dxa"/>
            <w:vMerge w:val="restart"/>
            <w:tcBorders>
              <w:tl2br w:val="nil"/>
              <w:tr2bl w:val="nil"/>
            </w:tcBorders>
            <w:shd w:val="clear" w:color="auto" w:fill="auto"/>
            <w:noWrap/>
            <w:vAlign w:val="center"/>
          </w:tcPr>
          <w:p w14:paraId="1536AD10">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计算虚拟化</w:t>
            </w:r>
          </w:p>
        </w:tc>
        <w:tc>
          <w:tcPr>
            <w:tcW w:w="1386" w:type="dxa"/>
            <w:tcBorders>
              <w:tl2br w:val="nil"/>
              <w:tr2bl w:val="nil"/>
            </w:tcBorders>
            <w:shd w:val="clear" w:color="auto" w:fill="auto"/>
            <w:vAlign w:val="center"/>
          </w:tcPr>
          <w:p w14:paraId="03F91371">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基本要求</w:t>
            </w:r>
          </w:p>
        </w:tc>
        <w:tc>
          <w:tcPr>
            <w:tcW w:w="7061" w:type="dxa"/>
            <w:tcBorders>
              <w:tl2br w:val="nil"/>
              <w:tr2bl w:val="nil"/>
            </w:tcBorders>
            <w:shd w:val="clear" w:color="auto" w:fill="auto"/>
            <w:vAlign w:val="center"/>
          </w:tcPr>
          <w:p w14:paraId="0370154A">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支持部署中标麒麟、银河麒麟、麒麟信安、深度Linux、统信UOS、openEuler、Anolis等操作系统（需提供产品功能截图，并加盖厂商公章）</w:t>
            </w:r>
          </w:p>
        </w:tc>
      </w:tr>
      <w:tr w14:paraId="3DA8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1EF8D79F">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5D5AC950">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HA</w:t>
            </w:r>
          </w:p>
        </w:tc>
        <w:tc>
          <w:tcPr>
            <w:tcW w:w="7061" w:type="dxa"/>
            <w:tcBorders>
              <w:tl2br w:val="nil"/>
              <w:tr2bl w:val="nil"/>
            </w:tcBorders>
            <w:shd w:val="clear" w:color="auto" w:fill="auto"/>
            <w:vAlign w:val="center"/>
          </w:tcPr>
          <w:p w14:paraId="3676FF47">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超融合应支持对运行异常虚拟机进行HA拉起，包括网络（存储网，VXLan网，业务网）异常，硬件（主板、CPU、内存、磁盘、电源、GPU、加密卡）异常，虚拟机进程异常、I/O异常挂起，修正状态异常虚拟机、主机离线的虚拟机</w:t>
            </w:r>
          </w:p>
        </w:tc>
      </w:tr>
      <w:tr w14:paraId="1DE8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47E785A3">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33C823E">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0DC44A72">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超融合应支持主动HA功能，亚健康主机上的虚拟机，可热迁移至健康主机。用户可灵活选择响应方式。</w:t>
            </w:r>
          </w:p>
        </w:tc>
      </w:tr>
      <w:tr w14:paraId="4330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588BC21A">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1FBC8FB4">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无代理备份</w:t>
            </w:r>
          </w:p>
        </w:tc>
        <w:tc>
          <w:tcPr>
            <w:tcW w:w="7061" w:type="dxa"/>
            <w:tcBorders>
              <w:tl2br w:val="nil"/>
              <w:tr2bl w:val="nil"/>
            </w:tcBorders>
            <w:shd w:val="clear" w:color="auto" w:fill="auto"/>
            <w:vAlign w:val="center"/>
          </w:tcPr>
          <w:p w14:paraId="196A69FB">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超融合应提供OpenAPI接口和磁盘数据访问SDK，第三方备份软件不需要在云平台或者虚拟机中安装插件即可实现对虚拟机的备份。</w:t>
            </w:r>
          </w:p>
        </w:tc>
      </w:tr>
      <w:tr w14:paraId="3D5A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509FDBB3">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75623BA5">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SPDK</w:t>
            </w:r>
          </w:p>
        </w:tc>
        <w:tc>
          <w:tcPr>
            <w:tcW w:w="7061" w:type="dxa"/>
            <w:tcBorders>
              <w:tl2br w:val="nil"/>
              <w:tr2bl w:val="nil"/>
            </w:tcBorders>
            <w:shd w:val="clear" w:color="auto" w:fill="auto"/>
            <w:vAlign w:val="center"/>
          </w:tcPr>
          <w:p w14:paraId="30AA820A">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超融合平台能够支持创建Turbo虚拟机，支持以虚拟机和超融合集群粒度启用、禁用Turbo模式，启用后可以降低IO时延，提升存储性能。</w:t>
            </w:r>
          </w:p>
        </w:tc>
      </w:tr>
      <w:tr w14:paraId="77C2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1620" w:hRule="atLeast"/>
        </w:trPr>
        <w:tc>
          <w:tcPr>
            <w:tcW w:w="741" w:type="dxa"/>
            <w:vMerge w:val="continue"/>
            <w:tcBorders>
              <w:tl2br w:val="nil"/>
              <w:tr2bl w:val="nil"/>
            </w:tcBorders>
            <w:shd w:val="clear" w:color="auto" w:fill="auto"/>
            <w:vAlign w:val="center"/>
          </w:tcPr>
          <w:p w14:paraId="54D98CF2">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0FCB7082">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CPU预留</w:t>
            </w:r>
          </w:p>
        </w:tc>
        <w:tc>
          <w:tcPr>
            <w:tcW w:w="7061" w:type="dxa"/>
            <w:tcBorders>
              <w:tl2br w:val="nil"/>
              <w:tr2bl w:val="nil"/>
            </w:tcBorders>
            <w:shd w:val="clear" w:color="auto" w:fill="auto"/>
            <w:vAlign w:val="center"/>
          </w:tcPr>
          <w:p w14:paraId="5D16B92F">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由于我单位生产环境中业务CPU通常会超配，且不同类型的业务混合部署，当主机负载较高时，重要业务的性能会因为资源竞争受到影响，性能下降甚至造成业务中断。希望超融合平台能够支持虚拟机启用CPU预留机制，能够动态保障高优先级业务虚拟机需要资源时可以优先获取，且低优先级任务的运行不对高优先级任务造成明显干扰，在保障高优先级业务的性能情况下，提升资源利用率。而对于明显具有峰谷的周期性业务，可以指定时间段启用CPU预留，最大程度提升CPU利用率。同时支持设置主机的统一CPU预留比例，保证重要虚拟机可以分配到预留CPU。</w:t>
            </w:r>
          </w:p>
        </w:tc>
      </w:tr>
      <w:tr w14:paraId="77B7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4D89687D">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60D8D60E">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自主率</w:t>
            </w:r>
          </w:p>
        </w:tc>
        <w:tc>
          <w:tcPr>
            <w:tcW w:w="7061" w:type="dxa"/>
            <w:tcBorders>
              <w:tl2br w:val="nil"/>
              <w:tr2bl w:val="nil"/>
            </w:tcBorders>
            <w:shd w:val="clear" w:color="auto" w:fill="auto"/>
            <w:vAlign w:val="center"/>
          </w:tcPr>
          <w:p w14:paraId="2B22E3E4">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投标产品代码自主率（“未识别开源代码比例”）大于95%，提供由工信部直属的检测机构出具的检测报告。检测产品名称需 要和投标产品一致，且检测内容需要至少包含虚拟化、存储、网络与管理模块。</w:t>
            </w:r>
          </w:p>
        </w:tc>
      </w:tr>
      <w:tr w14:paraId="2CD1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1350" w:hRule="atLeast"/>
        </w:trPr>
        <w:tc>
          <w:tcPr>
            <w:tcW w:w="741" w:type="dxa"/>
            <w:vMerge w:val="continue"/>
            <w:tcBorders>
              <w:tl2br w:val="nil"/>
              <w:tr2bl w:val="nil"/>
            </w:tcBorders>
            <w:shd w:val="clear" w:color="auto" w:fill="auto"/>
            <w:vAlign w:val="center"/>
          </w:tcPr>
          <w:p w14:paraId="73CF4CC7">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150228C4">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一键健康巡检</w:t>
            </w:r>
          </w:p>
        </w:tc>
        <w:tc>
          <w:tcPr>
            <w:tcW w:w="7061" w:type="dxa"/>
            <w:tcBorders>
              <w:tl2br w:val="nil"/>
              <w:tr2bl w:val="nil"/>
            </w:tcBorders>
            <w:shd w:val="clear" w:color="auto" w:fill="auto"/>
            <w:vAlign w:val="center"/>
          </w:tcPr>
          <w:p w14:paraId="6E34A0D0">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要求需定期对平台进行健康检测提前发现平台问题，避免平台故障导致业务受影响，但人工巡检效率低，需要平台支持集群环境一键健康检测提升效率，可以选择检测对象，包括系统运行状态检测（系统服务检测、配置文件检测、系统分区检测、存储空间检测）、系统配置检测（网口配置检测）、硬件健康检测（CPU检测、内存检测、网卡检测、硬盘基本功能检测）（提供带有CMA、CNAS标识的检测报告证明，至少包含报告首页，对应功能测试页和报告尾页）</w:t>
            </w:r>
          </w:p>
        </w:tc>
      </w:tr>
      <w:tr w14:paraId="4CDB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6FE9909B">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4E3C1A0C">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硬件平台的监控</w:t>
            </w:r>
          </w:p>
        </w:tc>
        <w:tc>
          <w:tcPr>
            <w:tcW w:w="7061" w:type="dxa"/>
            <w:tcBorders>
              <w:tl2br w:val="nil"/>
              <w:tr2bl w:val="nil"/>
            </w:tcBorders>
            <w:shd w:val="clear" w:color="auto" w:fill="auto"/>
            <w:vAlign w:val="center"/>
          </w:tcPr>
          <w:p w14:paraId="3E537989">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支持对超融合平台的硬件进行监控和大屏展示，包含CPU、内存、网卡、硬盘、存储、RAID等硬件健康检测，便于及时发现问题并提供相应异常检测项的恢复指导建议</w:t>
            </w:r>
          </w:p>
        </w:tc>
      </w:tr>
      <w:tr w14:paraId="33A8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7A866ED1">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6B06B949">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维护管理</w:t>
            </w:r>
          </w:p>
        </w:tc>
        <w:tc>
          <w:tcPr>
            <w:tcW w:w="7061" w:type="dxa"/>
            <w:tcBorders>
              <w:tl2br w:val="nil"/>
              <w:tr2bl w:val="nil"/>
            </w:tcBorders>
            <w:shd w:val="clear" w:color="auto" w:fill="auto"/>
            <w:vAlign w:val="center"/>
          </w:tcPr>
          <w:p w14:paraId="03E3CE36">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自动收集所有的相关的组件的日志，告警，提供告警合并功能，并支持告警对象、事件、描述搜索</w:t>
            </w:r>
          </w:p>
        </w:tc>
      </w:tr>
      <w:tr w14:paraId="4037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49DAC480">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0558E9E1">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01B83109">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虚拟机调度策略支持互斥和聚集策略，可指定虚拟机运行到指定主机组，提供基于主机组的调度策略</w:t>
            </w:r>
          </w:p>
        </w:tc>
      </w:tr>
      <w:tr w14:paraId="0B5B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79BD0B3F">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79180D4F">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1EF9CB83">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平台需定期升级保障平台稳定性，核心业务不能长时间停机，超融合平台需支持在线升级不影响业务；为保证升级时间与步骤可控，升级过程中支持对升级节点进行升级顺序编排、升级暂停（需提供产品功能截图）</w:t>
            </w:r>
          </w:p>
        </w:tc>
      </w:tr>
      <w:tr w14:paraId="0193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4D3766CE">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1DEA5A99">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4A0A2F77">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支持漏洞及版本信息巡检，推送补丁及升级信息，并支持补丁管理、更新、回滚（需提供产品功能截图）</w:t>
            </w:r>
          </w:p>
        </w:tc>
      </w:tr>
      <w:tr w14:paraId="4FC6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05A7DCA6">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2397308D">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功能性要求</w:t>
            </w:r>
          </w:p>
        </w:tc>
        <w:tc>
          <w:tcPr>
            <w:tcW w:w="7061" w:type="dxa"/>
            <w:tcBorders>
              <w:tl2br w:val="nil"/>
              <w:tr2bl w:val="nil"/>
            </w:tcBorders>
            <w:shd w:val="clear" w:color="auto" w:fill="auto"/>
            <w:vAlign w:val="center"/>
          </w:tcPr>
          <w:p w14:paraId="0F213CF3">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支持虚拟机动态资源添加操作，可以通过阈值设置查看CPU和内存资源利用率，可以对虚拟机的CPU和内存使用不足时进行自动为虚拟机添加CPU 和内存资源，可以保存虚拟机动态资源添加操作</w:t>
            </w:r>
          </w:p>
        </w:tc>
      </w:tr>
      <w:tr w14:paraId="23BE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90" w:hRule="atLeast"/>
        </w:trPr>
        <w:tc>
          <w:tcPr>
            <w:tcW w:w="741" w:type="dxa"/>
            <w:vMerge w:val="continue"/>
            <w:tcBorders>
              <w:tl2br w:val="nil"/>
              <w:tr2bl w:val="nil"/>
            </w:tcBorders>
            <w:shd w:val="clear" w:color="auto" w:fill="auto"/>
            <w:vAlign w:val="center"/>
          </w:tcPr>
          <w:p w14:paraId="72E20EC5">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35038478">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2DE62B35">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集群动态资源调度DRS，系统支持自动评估物理主机的负载情况，当物理主机负载过高时，自动将该物理主机上的虚拟机迁移到其他负载较低的主机上，确保业务持续稳定和集群主机负载均衡（提供带有CMA、CNAS标识的检测报告证明，至少包含报告首页，对应功能测试页和报告尾页）</w:t>
            </w:r>
          </w:p>
        </w:tc>
      </w:tr>
      <w:tr w14:paraId="03EE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6E68A714">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6A797166">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5493CB6A">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为支持数据库集群业务需求，需要在平台上提供集群文件系统功能，通过集群文件系统为虚拟机提供存储资源，允许多个虚机镜像使用同一个虚拟存储卷，简化虚拟机的部署和管理</w:t>
            </w:r>
          </w:p>
        </w:tc>
      </w:tr>
      <w:tr w14:paraId="3943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17A4E5D6">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79539E50">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4720CE05">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为充分利用云平台的资源，虚拟机需要支持内存回收，在内存不用的时候自动回收给其他虚拟机使用，并支持手动设置平台的内存超配比例，实现内存的超分使用</w:t>
            </w:r>
          </w:p>
        </w:tc>
      </w:tr>
      <w:tr w14:paraId="62DA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285" w:hRule="atLeast"/>
        </w:trPr>
        <w:tc>
          <w:tcPr>
            <w:tcW w:w="741" w:type="dxa"/>
            <w:vMerge w:val="continue"/>
            <w:tcBorders>
              <w:tl2br w:val="nil"/>
              <w:tr2bl w:val="nil"/>
            </w:tcBorders>
            <w:shd w:val="clear" w:color="auto" w:fill="auto"/>
            <w:vAlign w:val="center"/>
          </w:tcPr>
          <w:p w14:paraId="0C7FCA8C">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59507E8F">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1DCA53C1">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提供热添加CPU、内存、磁盘、网卡的功能，无需中断或停机即可实现虚拟资源的在线添加</w:t>
            </w:r>
          </w:p>
        </w:tc>
      </w:tr>
      <w:tr w14:paraId="7BC1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468BF454">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2C09AFB7">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1DAB211C">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无需安装插件或代理软件，支持虚拟机的无代理备份，无备份数据容量限制，可直接将虚拟机备份到存储，并支持生成全新虚拟机的方式进行恢复</w:t>
            </w:r>
          </w:p>
        </w:tc>
      </w:tr>
      <w:tr w14:paraId="2656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52F257F4">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16F417A4">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43C0C0C0">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当前数据中心受到勒索病毒勒索的问题较多，或人为误操作等带来的风险较大，数据备份是解决此类问题的有效方式。要求平台支持虚拟机定期全量备份、增量备份，并支持静默备份方式确保数据一致性，支持按周、按天、按小时的备份策略（需提供产品功能截图）</w:t>
            </w:r>
          </w:p>
        </w:tc>
      </w:tr>
      <w:tr w14:paraId="653C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02327025">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3DF7E9BD">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21DEB397">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支持备份复制策略，按照设定的备份频率、数据传输速率等策略，将虚拟机的备份复制到多个不同位置进行存储与归档</w:t>
            </w:r>
          </w:p>
        </w:tc>
      </w:tr>
      <w:tr w14:paraId="6249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285" w:hRule="atLeast"/>
        </w:trPr>
        <w:tc>
          <w:tcPr>
            <w:tcW w:w="741" w:type="dxa"/>
            <w:vMerge w:val="continue"/>
            <w:tcBorders>
              <w:tl2br w:val="nil"/>
              <w:tr2bl w:val="nil"/>
            </w:tcBorders>
            <w:shd w:val="clear" w:color="auto" w:fill="auto"/>
            <w:vAlign w:val="center"/>
          </w:tcPr>
          <w:p w14:paraId="57889CAE">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31D3F61">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4DFE44EF">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为保证平台配置的安全，支持系统配置的按周、按天的定时备份。</w:t>
            </w:r>
          </w:p>
        </w:tc>
      </w:tr>
      <w:tr w14:paraId="64E4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01" w:hRule="atLeast"/>
        </w:trPr>
        <w:tc>
          <w:tcPr>
            <w:tcW w:w="741" w:type="dxa"/>
            <w:vMerge w:val="continue"/>
            <w:tcBorders>
              <w:tl2br w:val="nil"/>
              <w:tr2bl w:val="nil"/>
            </w:tcBorders>
            <w:shd w:val="clear" w:color="auto" w:fill="auto"/>
            <w:vAlign w:val="center"/>
          </w:tcPr>
          <w:p w14:paraId="0F0F63A6">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7817CE8B">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65B5B328">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需支持物理机上的USB映射给虚拟机使用，且虚拟机迁移或故障迁移到其他主机上也能自动映射USB设备。（提供带有CMA、CNAS标识的检测报告证明，至少包含报告首页，对应功能测试页和报告尾页）</w:t>
            </w:r>
          </w:p>
        </w:tc>
      </w:tr>
      <w:tr w14:paraId="6FE4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285" w:hRule="atLeast"/>
        </w:trPr>
        <w:tc>
          <w:tcPr>
            <w:tcW w:w="741" w:type="dxa"/>
            <w:vMerge w:val="continue"/>
            <w:tcBorders>
              <w:tl2br w:val="nil"/>
              <w:tr2bl w:val="nil"/>
            </w:tcBorders>
            <w:shd w:val="clear" w:color="auto" w:fill="auto"/>
            <w:vAlign w:val="center"/>
          </w:tcPr>
          <w:p w14:paraId="467C5B47">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653A21A8">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0E816ABB">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支持虚拟机跨集群的虚拟机迁移，支持在不停机的状态下跨集群迁移</w:t>
            </w:r>
          </w:p>
        </w:tc>
      </w:tr>
      <w:tr w14:paraId="7E8F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2E9EB76C">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FC7648B">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08755B31">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支持设置告警类型（紧急和普通）、告警内容（集群、主机、虚拟机、CPU、内存、存储），针对告警信息平台可自动给出告警处理建议，同时支持将告警信息以短信和邮件方式发送给管理员</w:t>
            </w:r>
          </w:p>
        </w:tc>
      </w:tr>
      <w:tr w14:paraId="4568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11FB5EBA">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614C3FE0">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6EBDD101">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w:t>
            </w:r>
          </w:p>
        </w:tc>
      </w:tr>
      <w:tr w14:paraId="2A7A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5A4A24E3">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5E3D1C0">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5E18A100">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虚拟机资源告警项支持虚拟机CPU利用率、内存利用率，虚拟机单网口链接session数过高、虚拟机过期时间，并检测异常状态持续时间，支持检测虚拟机镜像文件损坏，备份失败，虚拟机与外部网络不通的监控告警，用户可自定义告警项并支持通过邮件和短信进行告警</w:t>
            </w:r>
          </w:p>
        </w:tc>
      </w:tr>
      <w:tr w14:paraId="1EF4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42D0CCBD">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70A24FC1">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2BCA599E">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为简化运维和方便使用，需提供基于PowerShell的CLI命令行功能，通过命令行可以管理计算、存储、网络等相关资源，简化运维操作。</w:t>
            </w:r>
          </w:p>
        </w:tc>
      </w:tr>
      <w:tr w14:paraId="6D7C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285" w:hRule="atLeast"/>
        </w:trPr>
        <w:tc>
          <w:tcPr>
            <w:tcW w:w="741" w:type="dxa"/>
            <w:vMerge w:val="continue"/>
            <w:tcBorders>
              <w:tl2br w:val="nil"/>
              <w:tr2bl w:val="nil"/>
            </w:tcBorders>
            <w:shd w:val="clear" w:color="auto" w:fill="auto"/>
            <w:vAlign w:val="center"/>
          </w:tcPr>
          <w:p w14:paraId="5B2BDC35">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5074CBB2">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1788B688">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支持虚拟机卡死及蓝屏的检测功能并实现自动重启，无需人工干预，减少运维工作量</w:t>
            </w:r>
          </w:p>
        </w:tc>
      </w:tr>
      <w:tr w14:paraId="0FCF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1DE193D4">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5F11F159">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0FB523FF">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支持对平台虚拟机的精细化权限管理，可根据单个虚拟机开关机、打开控制台、删除等操作设定不同的权限，管理员也可以根据用户需求合理分配权限</w:t>
            </w:r>
          </w:p>
        </w:tc>
      </w:tr>
      <w:tr w14:paraId="38A0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651BCBA5">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173F25B7">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40D61FD9">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为满足大规模管理运维的要求，在超融合管理平台界面上提供虚拟机删除、开关机、挂起、重启、关闭、关闭电源、克隆、迁移、备份、快照、标签管理等功能，以上功能均支持批量操作。</w:t>
            </w:r>
          </w:p>
        </w:tc>
      </w:tr>
      <w:tr w14:paraId="5A56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657" w:hRule="atLeast"/>
        </w:trPr>
        <w:tc>
          <w:tcPr>
            <w:tcW w:w="741" w:type="dxa"/>
            <w:vMerge w:val="continue"/>
            <w:tcBorders>
              <w:tl2br w:val="nil"/>
              <w:tr2bl w:val="nil"/>
            </w:tcBorders>
            <w:shd w:val="clear" w:color="auto" w:fill="auto"/>
            <w:vAlign w:val="center"/>
          </w:tcPr>
          <w:p w14:paraId="09D9A65A">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3517A320">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3A7E3B9F">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★物理硬件容易发生内存故障，为避免内存问题带来的宕机问题影响业务，要求超融合软件层面支持内存ECC自动纠错机制，当扫描到物理主机的内存条出现ECC CE、UE错误时，能够将对应内存空间进行隔离并告警故障内存条的槽位，减少内存问题对业务的影响（需提供具有CNAS、CMA资质的第三方测试机构的证明材料，至少包含报告首页，对应功能测试页和报告尾页）</w:t>
            </w:r>
          </w:p>
        </w:tc>
      </w:tr>
      <w:tr w14:paraId="3367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164D1B9B">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63788BFA">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29759B98">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为保障网络传输的可靠性，针对所有网口光衰导致的时延、闪断等网络性能异常的情况，云平台可实现定位到包括管理网口、业务网口、存储网口等聚合网口里具体链路的网络亚健康检测的告警</w:t>
            </w:r>
          </w:p>
        </w:tc>
      </w:tr>
      <w:tr w14:paraId="283B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restart"/>
            <w:tcBorders>
              <w:tl2br w:val="nil"/>
              <w:tr2bl w:val="nil"/>
            </w:tcBorders>
            <w:shd w:val="clear" w:color="auto" w:fill="auto"/>
            <w:noWrap/>
            <w:vAlign w:val="center"/>
          </w:tcPr>
          <w:p w14:paraId="6E87FC9D">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存储虚拟化</w:t>
            </w:r>
          </w:p>
        </w:tc>
        <w:tc>
          <w:tcPr>
            <w:tcW w:w="1386" w:type="dxa"/>
            <w:tcBorders>
              <w:tl2br w:val="nil"/>
              <w:tr2bl w:val="nil"/>
            </w:tcBorders>
            <w:shd w:val="clear" w:color="auto" w:fill="auto"/>
            <w:vAlign w:val="center"/>
          </w:tcPr>
          <w:p w14:paraId="437A2453">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紧耦合存储虚拟化</w:t>
            </w:r>
          </w:p>
        </w:tc>
        <w:tc>
          <w:tcPr>
            <w:tcW w:w="7061" w:type="dxa"/>
            <w:tcBorders>
              <w:tl2br w:val="nil"/>
              <w:tr2bl w:val="nil"/>
            </w:tcBorders>
            <w:shd w:val="clear" w:color="auto" w:fill="auto"/>
            <w:vAlign w:val="center"/>
          </w:tcPr>
          <w:p w14:paraId="6E303A68">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为节约部署成本，降低部署难度，支持计算虚拟化、存储虚拟化、网络虚拟化、安全虚拟化等组件紧耦合部署，在一个统一的管理平台上激活开通使用。</w:t>
            </w:r>
          </w:p>
        </w:tc>
      </w:tr>
      <w:tr w14:paraId="305A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7A3C1989">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253AEF96">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块存储</w:t>
            </w:r>
          </w:p>
        </w:tc>
        <w:tc>
          <w:tcPr>
            <w:tcW w:w="7061" w:type="dxa"/>
            <w:tcBorders>
              <w:tl2br w:val="nil"/>
              <w:tr2bl w:val="nil"/>
            </w:tcBorders>
            <w:shd w:val="clear" w:color="auto" w:fill="auto"/>
            <w:vAlign w:val="center"/>
          </w:tcPr>
          <w:p w14:paraId="0F58C34C">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支在不同场景下满足存储对性能和可靠性的需求，支持为虚拟机的磁盘配置不同的存储策略，如重要虚拟机选择三副本高性能策略，普通虚拟机选择二副本默认策略。</w:t>
            </w:r>
          </w:p>
        </w:tc>
      </w:tr>
      <w:tr w14:paraId="3747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271" w:hRule="atLeast"/>
        </w:trPr>
        <w:tc>
          <w:tcPr>
            <w:tcW w:w="741" w:type="dxa"/>
            <w:vMerge w:val="continue"/>
            <w:tcBorders>
              <w:tl2br w:val="nil"/>
              <w:tr2bl w:val="nil"/>
            </w:tcBorders>
            <w:shd w:val="clear" w:color="auto" w:fill="auto"/>
            <w:vAlign w:val="center"/>
          </w:tcPr>
          <w:p w14:paraId="0DF9224A">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13D9B8F4">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77A8C520">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支持选择多种克隆方式，包括快速全量克隆、全量克隆和链接克隆，可查看通过链接克隆的虚拟机是否运行正常，可以设置克隆完成后自动启动克隆虚拟机操作。</w:t>
            </w:r>
          </w:p>
        </w:tc>
      </w:tr>
      <w:tr w14:paraId="7568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0E8E00D1">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4D65430">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19009888">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为保障业务在硬件故障情况下的性能稳定性，当存在迁移、重建、定时快照等非业务流量时，系统将根据业务的IO情况智能调整非业务流量，避免数据重建过程中IO性能占用导致对业务的性能造成影响。</w:t>
            </w:r>
          </w:p>
        </w:tc>
      </w:tr>
      <w:tr w14:paraId="4BDD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26" w:hRule="atLeast"/>
        </w:trPr>
        <w:tc>
          <w:tcPr>
            <w:tcW w:w="741" w:type="dxa"/>
            <w:vMerge w:val="continue"/>
            <w:tcBorders>
              <w:tl2br w:val="nil"/>
              <w:tr2bl w:val="nil"/>
            </w:tcBorders>
            <w:shd w:val="clear" w:color="auto" w:fill="auto"/>
            <w:vAlign w:val="center"/>
          </w:tcPr>
          <w:p w14:paraId="42BD5CDE">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35B8DD92">
            <w:pPr>
              <w:widowControl/>
              <w:spacing w:line="240" w:lineRule="auto"/>
              <w:jc w:val="center"/>
              <w:rPr>
                <w:rFonts w:ascii="宋体" w:hAnsi="宋体" w:cs="宋体"/>
                <w:color w:val="auto"/>
                <w:kern w:val="0"/>
                <w:sz w:val="21"/>
                <w:szCs w:val="21"/>
                <w:highlight w:val="none"/>
              </w:rPr>
            </w:pPr>
          </w:p>
        </w:tc>
        <w:tc>
          <w:tcPr>
            <w:tcW w:w="7061" w:type="dxa"/>
            <w:vMerge w:val="restart"/>
            <w:tcBorders>
              <w:tl2br w:val="nil"/>
              <w:tr2bl w:val="nil"/>
            </w:tcBorders>
            <w:shd w:val="clear" w:color="auto" w:fill="auto"/>
            <w:vAlign w:val="center"/>
          </w:tcPr>
          <w:p w14:paraId="5B215306">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条带化功能以提高存储性能，并且支持以虚拟磁盘为粒度设置不同的条带数，可以点击虚拟存储中的新增存储策略进行条代数设置操作（提供带有CMA、CNAS标识的检测报告证明，至少包含报告首页，对应功能测试页和报告尾页）</w:t>
            </w:r>
          </w:p>
        </w:tc>
      </w:tr>
      <w:tr w14:paraId="3D6C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12" w:hRule="atLeast"/>
        </w:trPr>
        <w:tc>
          <w:tcPr>
            <w:tcW w:w="741" w:type="dxa"/>
            <w:vMerge w:val="continue"/>
            <w:tcBorders>
              <w:tl2br w:val="nil"/>
              <w:tr2bl w:val="nil"/>
            </w:tcBorders>
            <w:shd w:val="clear" w:color="auto" w:fill="auto"/>
            <w:vAlign w:val="center"/>
          </w:tcPr>
          <w:p w14:paraId="43AEF2C3">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2B811C8">
            <w:pPr>
              <w:widowControl/>
              <w:spacing w:line="240" w:lineRule="auto"/>
              <w:jc w:val="center"/>
              <w:rPr>
                <w:rFonts w:ascii="宋体" w:hAnsi="宋体" w:cs="宋体"/>
                <w:color w:val="auto"/>
                <w:kern w:val="0"/>
                <w:sz w:val="21"/>
                <w:szCs w:val="21"/>
                <w:highlight w:val="none"/>
              </w:rPr>
            </w:pPr>
          </w:p>
        </w:tc>
        <w:tc>
          <w:tcPr>
            <w:tcW w:w="7061" w:type="dxa"/>
            <w:vMerge w:val="continue"/>
            <w:tcBorders>
              <w:tl2br w:val="nil"/>
              <w:tr2bl w:val="nil"/>
            </w:tcBorders>
            <w:shd w:val="clear" w:color="auto" w:fill="auto"/>
            <w:vAlign w:val="center"/>
          </w:tcPr>
          <w:p w14:paraId="1112E2D3">
            <w:pPr>
              <w:widowControl/>
              <w:spacing w:line="240" w:lineRule="auto"/>
              <w:jc w:val="left"/>
              <w:rPr>
                <w:rFonts w:ascii="宋体" w:hAnsi="宋体" w:cs="宋体"/>
                <w:color w:val="auto"/>
                <w:kern w:val="0"/>
                <w:sz w:val="21"/>
                <w:szCs w:val="21"/>
                <w:highlight w:val="none"/>
              </w:rPr>
            </w:pPr>
          </w:p>
        </w:tc>
      </w:tr>
      <w:tr w14:paraId="0354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12" w:hRule="atLeast"/>
        </w:trPr>
        <w:tc>
          <w:tcPr>
            <w:tcW w:w="741" w:type="dxa"/>
            <w:vMerge w:val="continue"/>
            <w:tcBorders>
              <w:tl2br w:val="nil"/>
              <w:tr2bl w:val="nil"/>
            </w:tcBorders>
            <w:shd w:val="clear" w:color="auto" w:fill="auto"/>
            <w:vAlign w:val="center"/>
          </w:tcPr>
          <w:p w14:paraId="64594CF1">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68AB939F">
            <w:pPr>
              <w:widowControl/>
              <w:spacing w:line="240" w:lineRule="auto"/>
              <w:jc w:val="center"/>
              <w:rPr>
                <w:rFonts w:ascii="宋体" w:hAnsi="宋体" w:cs="宋体"/>
                <w:color w:val="auto"/>
                <w:kern w:val="0"/>
                <w:sz w:val="21"/>
                <w:szCs w:val="21"/>
                <w:highlight w:val="none"/>
              </w:rPr>
            </w:pPr>
          </w:p>
        </w:tc>
        <w:tc>
          <w:tcPr>
            <w:tcW w:w="7061" w:type="dxa"/>
            <w:vMerge w:val="continue"/>
            <w:tcBorders>
              <w:tl2br w:val="nil"/>
              <w:tr2bl w:val="nil"/>
            </w:tcBorders>
            <w:shd w:val="clear" w:color="auto" w:fill="auto"/>
            <w:vAlign w:val="center"/>
          </w:tcPr>
          <w:p w14:paraId="5E3AF9A8">
            <w:pPr>
              <w:widowControl/>
              <w:spacing w:line="240" w:lineRule="auto"/>
              <w:jc w:val="left"/>
              <w:rPr>
                <w:rFonts w:ascii="宋体" w:hAnsi="宋体" w:cs="宋体"/>
                <w:color w:val="auto"/>
                <w:kern w:val="0"/>
                <w:sz w:val="21"/>
                <w:szCs w:val="21"/>
                <w:highlight w:val="none"/>
              </w:rPr>
            </w:pPr>
          </w:p>
        </w:tc>
      </w:tr>
      <w:tr w14:paraId="7B53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1350" w:hRule="atLeast"/>
        </w:trPr>
        <w:tc>
          <w:tcPr>
            <w:tcW w:w="741" w:type="dxa"/>
            <w:vMerge w:val="continue"/>
            <w:tcBorders>
              <w:tl2br w:val="nil"/>
              <w:tr2bl w:val="nil"/>
            </w:tcBorders>
            <w:shd w:val="clear" w:color="auto" w:fill="auto"/>
            <w:vAlign w:val="center"/>
          </w:tcPr>
          <w:p w14:paraId="61BC5984">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09FA416">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003E62B9">
            <w:pPr>
              <w:widowControl/>
              <w:spacing w:line="24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硬件故障对平台影响较大，也会影响数据安全，为保障业务在硬件故障后尽快恢复冗余数据保障，支持进行数据重建操作，重建速率达到30分钟/TB；重建过程中可以查看数据重建任务列表信息，包括对象名称、对象类型、数据量和优先级等；支持点击操作中的优先级对数据重建进行优先重建（提供带有CMA、CNAS标识的检测报告证明，至少包含报告首页，对应功能测试页和报告尾页）</w:t>
            </w:r>
          </w:p>
        </w:tc>
      </w:tr>
      <w:tr w14:paraId="0D56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13C46C27">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0B1A1137">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磁盘漫游</w:t>
            </w:r>
          </w:p>
        </w:tc>
        <w:tc>
          <w:tcPr>
            <w:tcW w:w="7061" w:type="dxa"/>
            <w:tcBorders>
              <w:tl2br w:val="nil"/>
              <w:tr2bl w:val="nil"/>
            </w:tcBorders>
            <w:shd w:val="clear" w:color="auto" w:fill="auto"/>
            <w:vAlign w:val="center"/>
          </w:tcPr>
          <w:p w14:paraId="2CBF00F5">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支持磁盘漫游功能，同一节点内支持任意个存储磁盘交换位置，以防止主机维护时的运维人员误操作。</w:t>
            </w:r>
          </w:p>
        </w:tc>
      </w:tr>
      <w:tr w14:paraId="108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59" w:hRule="atLeast"/>
        </w:trPr>
        <w:tc>
          <w:tcPr>
            <w:tcW w:w="741" w:type="dxa"/>
            <w:vMerge w:val="continue"/>
            <w:tcBorders>
              <w:tl2br w:val="nil"/>
              <w:tr2bl w:val="nil"/>
            </w:tcBorders>
            <w:shd w:val="clear" w:color="auto" w:fill="auto"/>
            <w:vAlign w:val="center"/>
          </w:tcPr>
          <w:p w14:paraId="4070EA30">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357B922D">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性能</w:t>
            </w:r>
          </w:p>
        </w:tc>
        <w:tc>
          <w:tcPr>
            <w:tcW w:w="7061" w:type="dxa"/>
            <w:tcBorders>
              <w:tl2br w:val="nil"/>
              <w:tr2bl w:val="nil"/>
            </w:tcBorders>
            <w:shd w:val="clear" w:color="auto" w:fill="auto"/>
            <w:vAlign w:val="center"/>
          </w:tcPr>
          <w:p w14:paraId="63F609EC">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对虚拟机或虚拟磁盘设置数据分布策略，当采用副本聚合策略时，可以保证以性能优先为原则，实现IO本地读效果，当不启用聚合副本策略时，可以保证虚拟机以分布均匀优先为原则，打散分布均匀在各物理主机上</w:t>
            </w:r>
          </w:p>
        </w:tc>
      </w:tr>
      <w:tr w14:paraId="7E87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1FB8218C">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7B205A00">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资质要求</w:t>
            </w:r>
          </w:p>
        </w:tc>
        <w:tc>
          <w:tcPr>
            <w:tcW w:w="7061" w:type="dxa"/>
            <w:tcBorders>
              <w:tl2br w:val="nil"/>
              <w:tr2bl w:val="nil"/>
            </w:tcBorders>
            <w:shd w:val="clear" w:color="auto" w:fill="auto"/>
            <w:vAlign w:val="center"/>
          </w:tcPr>
          <w:p w14:paraId="191354EA">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产品完全自研，非OEM，需提供存储虚拟化软件著作权证书</w:t>
            </w:r>
          </w:p>
        </w:tc>
      </w:tr>
      <w:tr w14:paraId="646C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0A169AB0">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4A8766D8">
            <w:pPr>
              <w:widowControl/>
              <w:spacing w:line="24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架构</w:t>
            </w:r>
          </w:p>
        </w:tc>
        <w:tc>
          <w:tcPr>
            <w:tcW w:w="7061" w:type="dxa"/>
            <w:tcBorders>
              <w:tl2br w:val="nil"/>
              <w:tr2bl w:val="nil"/>
            </w:tcBorders>
            <w:shd w:val="clear" w:color="auto" w:fill="auto"/>
            <w:vAlign w:val="center"/>
          </w:tcPr>
          <w:p w14:paraId="74AB70AC">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采用分布式软件定义存储架构，把所有服务器硬盘组织成一个虚拟存储资源池，提供分布式存储服务，无需独立的元数据及控制器节点。</w:t>
            </w:r>
          </w:p>
        </w:tc>
      </w:tr>
      <w:tr w14:paraId="0F35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12" w:hRule="atLeast"/>
        </w:trPr>
        <w:tc>
          <w:tcPr>
            <w:tcW w:w="741" w:type="dxa"/>
            <w:vMerge w:val="continue"/>
            <w:tcBorders>
              <w:tl2br w:val="nil"/>
              <w:tr2bl w:val="nil"/>
            </w:tcBorders>
            <w:shd w:val="clear" w:color="auto" w:fill="auto"/>
            <w:vAlign w:val="center"/>
          </w:tcPr>
          <w:p w14:paraId="6BC443D0">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71AAA9EC">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故障运维</w:t>
            </w:r>
          </w:p>
        </w:tc>
        <w:tc>
          <w:tcPr>
            <w:tcW w:w="7061" w:type="dxa"/>
            <w:vMerge w:val="restart"/>
            <w:tcBorders>
              <w:tl2br w:val="nil"/>
              <w:tr2bl w:val="nil"/>
            </w:tcBorders>
            <w:shd w:val="clear" w:color="auto" w:fill="auto"/>
            <w:vAlign w:val="center"/>
          </w:tcPr>
          <w:p w14:paraId="26083D99">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由于磁盘卡慢盘可能拖累平台性能导致业务卡顿，需针对卡慢磁盘进行自动隔离并重建数据，恢复业务性能，并在界面提示告警信息及磁盘隔离原因。（需提供具有CNAS、CMA资质的第三方测试机构的证明材料，至少包含报告首页，对应功能测试页和报告尾页）</w:t>
            </w:r>
          </w:p>
        </w:tc>
      </w:tr>
      <w:tr w14:paraId="18AE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12" w:hRule="atLeast"/>
        </w:trPr>
        <w:tc>
          <w:tcPr>
            <w:tcW w:w="741" w:type="dxa"/>
            <w:vMerge w:val="continue"/>
            <w:tcBorders>
              <w:tl2br w:val="nil"/>
              <w:tr2bl w:val="nil"/>
            </w:tcBorders>
            <w:shd w:val="clear" w:color="auto" w:fill="auto"/>
            <w:vAlign w:val="center"/>
          </w:tcPr>
          <w:p w14:paraId="5D1EFF98">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0CF7F12">
            <w:pPr>
              <w:widowControl/>
              <w:spacing w:line="240" w:lineRule="auto"/>
              <w:jc w:val="center"/>
              <w:rPr>
                <w:rFonts w:ascii="宋体" w:hAnsi="宋体" w:cs="宋体"/>
                <w:color w:val="auto"/>
                <w:kern w:val="0"/>
                <w:sz w:val="21"/>
                <w:szCs w:val="21"/>
                <w:highlight w:val="none"/>
              </w:rPr>
            </w:pPr>
          </w:p>
        </w:tc>
        <w:tc>
          <w:tcPr>
            <w:tcW w:w="7061" w:type="dxa"/>
            <w:vMerge w:val="continue"/>
            <w:tcBorders>
              <w:tl2br w:val="nil"/>
              <w:tr2bl w:val="nil"/>
            </w:tcBorders>
            <w:shd w:val="clear" w:color="auto" w:fill="auto"/>
            <w:vAlign w:val="center"/>
          </w:tcPr>
          <w:p w14:paraId="2D34C633">
            <w:pPr>
              <w:widowControl/>
              <w:spacing w:line="240" w:lineRule="auto"/>
              <w:jc w:val="left"/>
              <w:rPr>
                <w:rFonts w:ascii="宋体" w:hAnsi="宋体" w:cs="宋体"/>
                <w:color w:val="auto"/>
                <w:kern w:val="0"/>
                <w:sz w:val="21"/>
                <w:szCs w:val="21"/>
                <w:highlight w:val="none"/>
              </w:rPr>
            </w:pPr>
          </w:p>
        </w:tc>
      </w:tr>
      <w:tr w14:paraId="44AA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12" w:hRule="atLeast"/>
        </w:trPr>
        <w:tc>
          <w:tcPr>
            <w:tcW w:w="741" w:type="dxa"/>
            <w:vMerge w:val="continue"/>
            <w:tcBorders>
              <w:tl2br w:val="nil"/>
              <w:tr2bl w:val="nil"/>
            </w:tcBorders>
            <w:shd w:val="clear" w:color="auto" w:fill="auto"/>
            <w:vAlign w:val="center"/>
          </w:tcPr>
          <w:p w14:paraId="317E19A5">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5F70B6D7">
            <w:pPr>
              <w:widowControl/>
              <w:spacing w:line="240" w:lineRule="auto"/>
              <w:jc w:val="center"/>
              <w:rPr>
                <w:rFonts w:ascii="宋体" w:hAnsi="宋体" w:cs="宋体"/>
                <w:color w:val="auto"/>
                <w:kern w:val="0"/>
                <w:sz w:val="21"/>
                <w:szCs w:val="21"/>
                <w:highlight w:val="none"/>
              </w:rPr>
            </w:pPr>
          </w:p>
        </w:tc>
        <w:tc>
          <w:tcPr>
            <w:tcW w:w="7061" w:type="dxa"/>
            <w:vMerge w:val="continue"/>
            <w:tcBorders>
              <w:tl2br w:val="nil"/>
              <w:tr2bl w:val="nil"/>
            </w:tcBorders>
            <w:shd w:val="clear" w:color="auto" w:fill="auto"/>
            <w:vAlign w:val="center"/>
          </w:tcPr>
          <w:p w14:paraId="2EDC1BD4">
            <w:pPr>
              <w:widowControl/>
              <w:spacing w:line="240" w:lineRule="auto"/>
              <w:jc w:val="left"/>
              <w:rPr>
                <w:rFonts w:ascii="宋体" w:hAnsi="宋体" w:cs="宋体"/>
                <w:color w:val="auto"/>
                <w:kern w:val="0"/>
                <w:sz w:val="21"/>
                <w:szCs w:val="21"/>
                <w:highlight w:val="none"/>
              </w:rPr>
            </w:pPr>
          </w:p>
        </w:tc>
      </w:tr>
      <w:tr w14:paraId="625B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1080" w:hRule="atLeast"/>
        </w:trPr>
        <w:tc>
          <w:tcPr>
            <w:tcW w:w="741" w:type="dxa"/>
            <w:vMerge w:val="continue"/>
            <w:tcBorders>
              <w:tl2br w:val="nil"/>
              <w:tr2bl w:val="nil"/>
            </w:tcBorders>
            <w:shd w:val="clear" w:color="auto" w:fill="auto"/>
            <w:vAlign w:val="center"/>
          </w:tcPr>
          <w:p w14:paraId="059727DB">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1B52FFD2">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7341E185">
            <w:pPr>
              <w:widowControl/>
              <w:spacing w:line="24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磁盘坏道预测，在界面可以查看磁盘坏道预测页面信息、包括坏道预测、坏道扫描和坏道数据修复。可以查到磁盘坏道列表项信息，包括硬盘名称、坏道预测、最近7天坏道扫描、坏道数据修复和硬盘风险状态。（需提供 具有CNAS、CMA资质的第三方测试机构的证明材料，至少包含报告首页，对应功能测试页和报告尾页）</w:t>
            </w:r>
          </w:p>
        </w:tc>
      </w:tr>
      <w:tr w14:paraId="16DC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281E12EF">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217D2FBC">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43A41B3E">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支持硬件健康状态监测，包括CPU、内存、SSD、HDD、网卡、外置存储、RAID卡等健康状况，支持邮件和短信告警</w:t>
            </w:r>
          </w:p>
        </w:tc>
      </w:tr>
      <w:tr w14:paraId="6C25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6CCFE5A0">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DC47C6F">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1139B52A">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支持硬盘寿命预测功能，可以查看磁盘寿命页面列表项信息，包括硬盘名称、剩余寿命、预计剩余可用时长和寿命风险。</w:t>
            </w:r>
          </w:p>
        </w:tc>
      </w:tr>
      <w:tr w14:paraId="51B5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51" w:hRule="atLeast"/>
        </w:trPr>
        <w:tc>
          <w:tcPr>
            <w:tcW w:w="741" w:type="dxa"/>
            <w:vMerge w:val="continue"/>
            <w:tcBorders>
              <w:tl2br w:val="nil"/>
              <w:tr2bl w:val="nil"/>
            </w:tcBorders>
            <w:shd w:val="clear" w:color="auto" w:fill="auto"/>
            <w:vAlign w:val="center"/>
          </w:tcPr>
          <w:p w14:paraId="4410BE1D">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0ECF75DA">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性能</w:t>
            </w:r>
          </w:p>
        </w:tc>
        <w:tc>
          <w:tcPr>
            <w:tcW w:w="7061" w:type="dxa"/>
            <w:tcBorders>
              <w:tl2br w:val="nil"/>
              <w:tr2bl w:val="nil"/>
            </w:tcBorders>
            <w:shd w:val="clear" w:color="auto" w:fill="auto"/>
            <w:vAlign w:val="center"/>
          </w:tcPr>
          <w:p w14:paraId="726E38A8">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支持对虚拟磁盘设置QoS，可以在虚拟机开机和关机状态下对虚拟机的虚拟磁盘占用资源进行限制操作，可以设置磁盘IO限制，包括最大读速率、最大写速率、最大读速率、和最大写次数。</w:t>
            </w:r>
          </w:p>
        </w:tc>
      </w:tr>
      <w:tr w14:paraId="54A3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285" w:hRule="atLeast"/>
        </w:trPr>
        <w:tc>
          <w:tcPr>
            <w:tcW w:w="741" w:type="dxa"/>
            <w:vMerge w:val="continue"/>
            <w:tcBorders>
              <w:tl2br w:val="nil"/>
              <w:tr2bl w:val="nil"/>
            </w:tcBorders>
            <w:shd w:val="clear" w:color="auto" w:fill="auto"/>
            <w:vAlign w:val="center"/>
          </w:tcPr>
          <w:p w14:paraId="29DA9461">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6A1203D1">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04490CC3">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支持快照功能，可以通过磁盘快照、存储快照两种方式创建虚拟机快照。</w:t>
            </w:r>
          </w:p>
        </w:tc>
      </w:tr>
      <w:tr w14:paraId="3417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restart"/>
            <w:tcBorders>
              <w:tl2br w:val="nil"/>
              <w:tr2bl w:val="nil"/>
            </w:tcBorders>
            <w:shd w:val="clear" w:color="auto" w:fill="auto"/>
            <w:noWrap/>
            <w:vAlign w:val="center"/>
          </w:tcPr>
          <w:p w14:paraId="08B4DF46">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网络虚拟化</w:t>
            </w:r>
          </w:p>
        </w:tc>
        <w:tc>
          <w:tcPr>
            <w:tcW w:w="1386" w:type="dxa"/>
            <w:tcBorders>
              <w:tl2br w:val="nil"/>
              <w:tr2bl w:val="nil"/>
            </w:tcBorders>
            <w:shd w:val="clear" w:color="auto" w:fill="auto"/>
            <w:vAlign w:val="center"/>
          </w:tcPr>
          <w:p w14:paraId="15A35A45">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微隔离</w:t>
            </w:r>
          </w:p>
        </w:tc>
        <w:tc>
          <w:tcPr>
            <w:tcW w:w="7061" w:type="dxa"/>
            <w:tcBorders>
              <w:tl2br w:val="nil"/>
              <w:tr2bl w:val="nil"/>
            </w:tcBorders>
            <w:shd w:val="clear" w:color="auto" w:fill="auto"/>
            <w:vAlign w:val="center"/>
          </w:tcPr>
          <w:p w14:paraId="59E5AC08">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超融合应支持微隔离策略推荐，自动通过访问关系、历史流量和用户配置来生成最适合的微隔离规则，并且可以预发布策略，预览访问关系和防护状况，在二次确认后发布推荐策略。</w:t>
            </w:r>
          </w:p>
        </w:tc>
      </w:tr>
      <w:tr w14:paraId="6B29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12" w:hRule="atLeast"/>
        </w:trPr>
        <w:tc>
          <w:tcPr>
            <w:tcW w:w="741" w:type="dxa"/>
            <w:vMerge w:val="continue"/>
            <w:tcBorders>
              <w:tl2br w:val="nil"/>
              <w:tr2bl w:val="nil"/>
            </w:tcBorders>
            <w:shd w:val="clear" w:color="auto" w:fill="auto"/>
            <w:vAlign w:val="center"/>
          </w:tcPr>
          <w:p w14:paraId="28E0A8DD">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618F38CD">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资质要求</w:t>
            </w:r>
          </w:p>
        </w:tc>
        <w:tc>
          <w:tcPr>
            <w:tcW w:w="7061" w:type="dxa"/>
            <w:vMerge w:val="restart"/>
            <w:tcBorders>
              <w:tl2br w:val="nil"/>
              <w:tr2bl w:val="nil"/>
            </w:tcBorders>
            <w:shd w:val="clear" w:color="auto" w:fill="auto"/>
            <w:vAlign w:val="center"/>
          </w:tcPr>
          <w:p w14:paraId="77403062">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要求所提供的网络虚拟化解决方案必须是完全自研的而非采用OEM方式。为了证明其自主研发性质，需提供网络虚拟化软件的著作权证书，作为证明产品供应商拥有相关软件知识产权的依据。</w:t>
            </w:r>
          </w:p>
        </w:tc>
      </w:tr>
      <w:tr w14:paraId="1D5B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12" w:hRule="atLeast"/>
        </w:trPr>
        <w:tc>
          <w:tcPr>
            <w:tcW w:w="741" w:type="dxa"/>
            <w:vMerge w:val="continue"/>
            <w:tcBorders>
              <w:tl2br w:val="nil"/>
              <w:tr2bl w:val="nil"/>
            </w:tcBorders>
            <w:shd w:val="clear" w:color="auto" w:fill="auto"/>
            <w:vAlign w:val="center"/>
          </w:tcPr>
          <w:p w14:paraId="306D5966">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39CF00BF">
            <w:pPr>
              <w:widowControl/>
              <w:spacing w:line="240" w:lineRule="auto"/>
              <w:jc w:val="center"/>
              <w:rPr>
                <w:rFonts w:ascii="宋体" w:hAnsi="宋体" w:cs="宋体"/>
                <w:color w:val="auto"/>
                <w:kern w:val="0"/>
                <w:sz w:val="21"/>
                <w:szCs w:val="21"/>
                <w:highlight w:val="none"/>
              </w:rPr>
            </w:pPr>
          </w:p>
        </w:tc>
        <w:tc>
          <w:tcPr>
            <w:tcW w:w="7061" w:type="dxa"/>
            <w:vMerge w:val="continue"/>
            <w:tcBorders>
              <w:tl2br w:val="nil"/>
              <w:tr2bl w:val="nil"/>
            </w:tcBorders>
            <w:shd w:val="clear" w:color="auto" w:fill="auto"/>
            <w:vAlign w:val="center"/>
          </w:tcPr>
          <w:p w14:paraId="5ECD514E">
            <w:pPr>
              <w:widowControl/>
              <w:spacing w:line="240" w:lineRule="auto"/>
              <w:jc w:val="left"/>
              <w:rPr>
                <w:rFonts w:ascii="宋体" w:hAnsi="宋体" w:cs="宋体"/>
                <w:color w:val="auto"/>
                <w:kern w:val="0"/>
                <w:sz w:val="21"/>
                <w:szCs w:val="21"/>
                <w:highlight w:val="none"/>
              </w:rPr>
            </w:pPr>
          </w:p>
        </w:tc>
      </w:tr>
      <w:tr w14:paraId="7368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12" w:hRule="atLeast"/>
        </w:trPr>
        <w:tc>
          <w:tcPr>
            <w:tcW w:w="741" w:type="dxa"/>
            <w:vMerge w:val="continue"/>
            <w:tcBorders>
              <w:tl2br w:val="nil"/>
              <w:tr2bl w:val="nil"/>
            </w:tcBorders>
            <w:shd w:val="clear" w:color="auto" w:fill="auto"/>
            <w:vAlign w:val="center"/>
          </w:tcPr>
          <w:p w14:paraId="119C05CF">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1E9F5FB6">
            <w:pPr>
              <w:widowControl/>
              <w:spacing w:line="240" w:lineRule="auto"/>
              <w:jc w:val="center"/>
              <w:rPr>
                <w:rFonts w:ascii="宋体" w:hAnsi="宋体" w:cs="宋体"/>
                <w:color w:val="auto"/>
                <w:kern w:val="0"/>
                <w:sz w:val="21"/>
                <w:szCs w:val="21"/>
                <w:highlight w:val="none"/>
              </w:rPr>
            </w:pPr>
          </w:p>
        </w:tc>
        <w:tc>
          <w:tcPr>
            <w:tcW w:w="7061" w:type="dxa"/>
            <w:vMerge w:val="continue"/>
            <w:tcBorders>
              <w:tl2br w:val="nil"/>
              <w:tr2bl w:val="nil"/>
            </w:tcBorders>
            <w:shd w:val="clear" w:color="auto" w:fill="auto"/>
            <w:vAlign w:val="center"/>
          </w:tcPr>
          <w:p w14:paraId="73604D18">
            <w:pPr>
              <w:widowControl/>
              <w:spacing w:line="240" w:lineRule="auto"/>
              <w:jc w:val="left"/>
              <w:rPr>
                <w:rFonts w:ascii="宋体" w:hAnsi="宋体" w:cs="宋体"/>
                <w:color w:val="auto"/>
                <w:kern w:val="0"/>
                <w:sz w:val="21"/>
                <w:szCs w:val="21"/>
                <w:highlight w:val="none"/>
              </w:rPr>
            </w:pPr>
          </w:p>
        </w:tc>
      </w:tr>
      <w:tr w14:paraId="78D5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15D2A765">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38FD7AC0">
            <w:pPr>
              <w:widowControl/>
              <w:spacing w:line="24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基本要求</w:t>
            </w:r>
          </w:p>
        </w:tc>
        <w:tc>
          <w:tcPr>
            <w:tcW w:w="7061" w:type="dxa"/>
            <w:tcBorders>
              <w:tl2br w:val="nil"/>
              <w:tr2bl w:val="nil"/>
            </w:tcBorders>
            <w:shd w:val="clear" w:color="auto" w:fill="auto"/>
            <w:vAlign w:val="center"/>
          </w:tcPr>
          <w:p w14:paraId="1D5A4561">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要求厂商承诺不限制虚拟路由器的创建数量，且虚拟路由器支持高可用（HA）功能，当虚拟路由器所在的主机发生故障时，系统应能够自动进行故障恢复，以确保业务的高可靠性。</w:t>
            </w:r>
          </w:p>
        </w:tc>
      </w:tr>
      <w:tr w14:paraId="1F61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57331448">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4FBD7BEA">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简化网络运维</w:t>
            </w:r>
          </w:p>
          <w:p w14:paraId="1BD9EAC9">
            <w:pPr>
              <w:widowControl/>
              <w:spacing w:line="240" w:lineRule="auto"/>
              <w:jc w:val="center"/>
              <w:rPr>
                <w:rFonts w:hint="eastAsia"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475B30DF">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了提升运维人员部署效率，需要能够在图形化管理平台上，通过拖拽连线的方式构建网络拓扑，可以对虚拟机实现虚拟网络链接功能，可对虚拟机设备进行开机、关机等操作。（提供带有CMA、CNAS标识的检测报告证明，至少包含报告首页，对应功能测试页和报告尾页）。</w:t>
            </w:r>
          </w:p>
        </w:tc>
      </w:tr>
      <w:tr w14:paraId="049B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1080" w:hRule="atLeast"/>
        </w:trPr>
        <w:tc>
          <w:tcPr>
            <w:tcW w:w="741" w:type="dxa"/>
            <w:vMerge w:val="continue"/>
            <w:tcBorders>
              <w:tl2br w:val="nil"/>
              <w:tr2bl w:val="nil"/>
            </w:tcBorders>
            <w:shd w:val="clear" w:color="auto" w:fill="auto"/>
            <w:vAlign w:val="center"/>
          </w:tcPr>
          <w:p w14:paraId="515B9813">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1B4354B5">
            <w:pPr>
              <w:widowControl/>
              <w:spacing w:line="240" w:lineRule="auto"/>
              <w:jc w:val="center"/>
              <w:rPr>
                <w:rFonts w:hint="eastAsia"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5296769B">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由于数据中心内网络资源有限，我单位要求网络虚拟化能够支持管理网、业务网、数据通信网（VXLAN）和存储网复用相同物理网口。网口复用后，支持对不同网络平面进行流量控制和VLAN隔离，为网络中的每个虚拟机提供内置的网络故障切换和负载均衡能力，实现更高的硬件可用性和容错能力</w:t>
            </w:r>
          </w:p>
        </w:tc>
      </w:tr>
      <w:tr w14:paraId="37CE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540" w:hRule="atLeast"/>
        </w:trPr>
        <w:tc>
          <w:tcPr>
            <w:tcW w:w="741" w:type="dxa"/>
            <w:vMerge w:val="continue"/>
            <w:tcBorders>
              <w:tl2br w:val="nil"/>
              <w:tr2bl w:val="nil"/>
            </w:tcBorders>
            <w:shd w:val="clear" w:color="auto" w:fill="auto"/>
            <w:vAlign w:val="center"/>
          </w:tcPr>
          <w:p w14:paraId="4810570B">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09B3E3FA">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IPv6网络</w:t>
            </w:r>
          </w:p>
        </w:tc>
        <w:tc>
          <w:tcPr>
            <w:tcW w:w="7061" w:type="dxa"/>
            <w:tcBorders>
              <w:tl2br w:val="nil"/>
              <w:tr2bl w:val="nil"/>
            </w:tcBorders>
            <w:shd w:val="clear" w:color="auto" w:fill="auto"/>
            <w:vAlign w:val="center"/>
          </w:tcPr>
          <w:p w14:paraId="51BEC3C5">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随着政策要求和业务对IPV6的覆盖，要求支持在界面上为虚拟机配置IPv6地址，并可通过IPv6地址访问该业务</w:t>
            </w:r>
          </w:p>
        </w:tc>
      </w:tr>
      <w:tr w14:paraId="032D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810" w:hRule="atLeast"/>
        </w:trPr>
        <w:tc>
          <w:tcPr>
            <w:tcW w:w="741" w:type="dxa"/>
            <w:vMerge w:val="continue"/>
            <w:tcBorders>
              <w:tl2br w:val="nil"/>
              <w:tr2bl w:val="nil"/>
            </w:tcBorders>
            <w:shd w:val="clear" w:color="auto" w:fill="auto"/>
            <w:vAlign w:val="center"/>
          </w:tcPr>
          <w:p w14:paraId="287A39D2">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7450A5FC">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网络安全</w:t>
            </w:r>
          </w:p>
        </w:tc>
        <w:tc>
          <w:tcPr>
            <w:tcW w:w="7061" w:type="dxa"/>
            <w:tcBorders>
              <w:tl2br w:val="nil"/>
              <w:tr2bl w:val="nil"/>
            </w:tcBorders>
            <w:shd w:val="clear" w:color="auto" w:fill="auto"/>
            <w:vAlign w:val="center"/>
          </w:tcPr>
          <w:p w14:paraId="1B03D179">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了能够根据实际需求和网络拓扑，灵活地配置和管理防火墙规则，以保护网络和虚拟机的安全，我单位要求支持创建分布式虚拟防火墙，并可基于虚拟机、虚拟机组、虚拟机标签、IP、IP范围、IP组构建安全防火墙。</w:t>
            </w:r>
          </w:p>
        </w:tc>
      </w:tr>
      <w:tr w14:paraId="7ECC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1620" w:hRule="atLeast"/>
        </w:trPr>
        <w:tc>
          <w:tcPr>
            <w:tcW w:w="741" w:type="dxa"/>
            <w:vMerge w:val="continue"/>
            <w:tcBorders>
              <w:tl2br w:val="nil"/>
              <w:tr2bl w:val="nil"/>
            </w:tcBorders>
            <w:shd w:val="clear" w:color="auto" w:fill="auto"/>
            <w:vAlign w:val="center"/>
          </w:tcPr>
          <w:p w14:paraId="6E0E1753">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4A129197">
            <w:pPr>
              <w:widowControl/>
              <w:spacing w:line="240" w:lineRule="auto"/>
              <w:jc w:val="center"/>
              <w:rPr>
                <w:rFonts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445EED36">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通常业务虚拟机出现网络问题，运维人员需要逐个排查效率较低，为方便运维人员根据虚机间流量情况跟踪排障，方便快速定位问题，及时优化调整安全策略，超融合需提供网络可视化功能，可以在网络可视化界面显示两台虚拟机间的访问流，可以通过分布式防火墙中断访问流并显示通信状态，可以显示所有虚拟机的流量走向和访问关系，包括源对象、源IP、目标对象、目的IP、访问次数、服务类型、动作。（需提供具有CNAS、CMA资质的第三方测试机构的证明材料，至少包含报告首页，对应功能测试页和报告尾页）</w:t>
            </w:r>
          </w:p>
        </w:tc>
      </w:tr>
      <w:tr w14:paraId="3CA9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12" w:hRule="atLeast"/>
        </w:trPr>
        <w:tc>
          <w:tcPr>
            <w:tcW w:w="741" w:type="dxa"/>
            <w:vMerge w:val="continue"/>
            <w:tcBorders>
              <w:tl2br w:val="nil"/>
              <w:tr2bl w:val="nil"/>
            </w:tcBorders>
            <w:shd w:val="clear" w:color="auto" w:fill="auto"/>
            <w:vAlign w:val="center"/>
          </w:tcPr>
          <w:p w14:paraId="280A39FD">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45EC4CBE">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超融合产品认证资质</w:t>
            </w:r>
          </w:p>
        </w:tc>
        <w:tc>
          <w:tcPr>
            <w:tcW w:w="7061" w:type="dxa"/>
            <w:tcBorders>
              <w:tl2br w:val="nil"/>
              <w:tr2bl w:val="nil"/>
            </w:tcBorders>
            <w:shd w:val="clear" w:color="auto" w:fill="auto"/>
            <w:vAlign w:val="center"/>
          </w:tcPr>
          <w:p w14:paraId="339AB581">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超融合软件获得云计算开源产业联盟颁发的超融合解决方案检验证书</w:t>
            </w:r>
          </w:p>
        </w:tc>
      </w:tr>
      <w:tr w14:paraId="0F7F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660" w:hRule="atLeast"/>
        </w:trPr>
        <w:tc>
          <w:tcPr>
            <w:tcW w:w="741" w:type="dxa"/>
            <w:vMerge w:val="continue"/>
            <w:tcBorders>
              <w:tl2br w:val="nil"/>
              <w:tr2bl w:val="nil"/>
            </w:tcBorders>
            <w:shd w:val="clear" w:color="auto" w:fill="auto"/>
            <w:vAlign w:val="center"/>
          </w:tcPr>
          <w:p w14:paraId="5052D416">
            <w:pPr>
              <w:widowControl/>
              <w:spacing w:line="240" w:lineRule="auto"/>
              <w:jc w:val="left"/>
              <w:rPr>
                <w:rFonts w:ascii="宋体" w:hAnsi="宋体" w:cs="宋体"/>
                <w:color w:val="auto"/>
                <w:kern w:val="0"/>
                <w:sz w:val="21"/>
                <w:szCs w:val="21"/>
                <w:highlight w:val="none"/>
              </w:rPr>
            </w:pPr>
          </w:p>
        </w:tc>
        <w:tc>
          <w:tcPr>
            <w:tcW w:w="1386" w:type="dxa"/>
            <w:vMerge w:val="restart"/>
            <w:tcBorders>
              <w:tl2br w:val="nil"/>
              <w:tr2bl w:val="nil"/>
            </w:tcBorders>
            <w:shd w:val="clear" w:color="auto" w:fill="auto"/>
            <w:vAlign w:val="center"/>
          </w:tcPr>
          <w:p w14:paraId="3ABD55BA">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国产化能力</w:t>
            </w:r>
          </w:p>
        </w:tc>
        <w:tc>
          <w:tcPr>
            <w:tcW w:w="7061" w:type="dxa"/>
            <w:tcBorders>
              <w:tl2br w:val="nil"/>
              <w:tr2bl w:val="nil"/>
            </w:tcBorders>
            <w:shd w:val="clear" w:color="auto" w:fill="auto"/>
            <w:vAlign w:val="center"/>
          </w:tcPr>
          <w:p w14:paraId="4BAC29EF">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所投产品需支持主流国产CPU芯片，包括且不仅限于鲲鹏、海光、兆芯、飞腾等，并提供CPU厂商官方认证的兼容性证书</w:t>
            </w:r>
          </w:p>
        </w:tc>
      </w:tr>
      <w:tr w14:paraId="7364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24" w:hRule="atLeast"/>
        </w:trPr>
        <w:tc>
          <w:tcPr>
            <w:tcW w:w="741" w:type="dxa"/>
            <w:vMerge w:val="continue"/>
            <w:tcBorders>
              <w:tl2br w:val="nil"/>
              <w:tr2bl w:val="nil"/>
            </w:tcBorders>
            <w:shd w:val="clear" w:color="auto" w:fill="auto"/>
            <w:vAlign w:val="center"/>
          </w:tcPr>
          <w:p w14:paraId="55793A82">
            <w:pPr>
              <w:widowControl/>
              <w:spacing w:line="240" w:lineRule="auto"/>
              <w:jc w:val="left"/>
              <w:rPr>
                <w:rFonts w:ascii="宋体" w:hAnsi="宋体" w:cs="宋体"/>
                <w:color w:val="auto"/>
                <w:kern w:val="0"/>
                <w:sz w:val="21"/>
                <w:szCs w:val="21"/>
                <w:highlight w:val="none"/>
              </w:rPr>
            </w:pPr>
          </w:p>
        </w:tc>
        <w:tc>
          <w:tcPr>
            <w:tcW w:w="1386" w:type="dxa"/>
            <w:vMerge w:val="continue"/>
            <w:tcBorders>
              <w:tl2br w:val="nil"/>
              <w:tr2bl w:val="nil"/>
            </w:tcBorders>
            <w:shd w:val="clear" w:color="auto" w:fill="auto"/>
            <w:vAlign w:val="center"/>
          </w:tcPr>
          <w:p w14:paraId="2A880541">
            <w:pPr>
              <w:widowControl/>
              <w:spacing w:line="240" w:lineRule="auto"/>
              <w:jc w:val="center"/>
              <w:rPr>
                <w:rFonts w:hint="eastAsia" w:ascii="宋体" w:hAnsi="宋体" w:cs="宋体"/>
                <w:color w:val="auto"/>
                <w:kern w:val="0"/>
                <w:sz w:val="21"/>
                <w:szCs w:val="21"/>
                <w:highlight w:val="none"/>
              </w:rPr>
            </w:pPr>
          </w:p>
        </w:tc>
        <w:tc>
          <w:tcPr>
            <w:tcW w:w="7061" w:type="dxa"/>
            <w:tcBorders>
              <w:tl2br w:val="nil"/>
              <w:tr2bl w:val="nil"/>
            </w:tcBorders>
            <w:shd w:val="clear" w:color="auto" w:fill="auto"/>
            <w:vAlign w:val="center"/>
          </w:tcPr>
          <w:p w14:paraId="5B4506BF">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为保证产品合规性，超融合产品采用的底层操作系统需为麒麟Kylin V10或统信UOS 20专业版，并提供官方兼容性证书或操作系统厂商盖章的测试报告</w:t>
            </w:r>
          </w:p>
        </w:tc>
      </w:tr>
      <w:tr w14:paraId="0848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79" w:type="dxa"/>
            <w:bottom w:w="57" w:type="dxa"/>
            <w:right w:w="79" w:type="dxa"/>
          </w:tblCellMar>
        </w:tblPrEx>
        <w:trPr>
          <w:trHeight w:val="393" w:hRule="atLeast"/>
        </w:trPr>
        <w:tc>
          <w:tcPr>
            <w:tcW w:w="741" w:type="dxa"/>
            <w:vMerge w:val="continue"/>
            <w:tcBorders>
              <w:tl2br w:val="nil"/>
              <w:tr2bl w:val="nil"/>
            </w:tcBorders>
            <w:shd w:val="clear" w:color="auto" w:fill="auto"/>
            <w:vAlign w:val="center"/>
          </w:tcPr>
          <w:p w14:paraId="2123D882">
            <w:pPr>
              <w:widowControl/>
              <w:spacing w:line="240" w:lineRule="auto"/>
              <w:jc w:val="left"/>
              <w:rPr>
                <w:rFonts w:ascii="宋体" w:hAnsi="宋体" w:cs="宋体"/>
                <w:color w:val="auto"/>
                <w:kern w:val="0"/>
                <w:sz w:val="21"/>
                <w:szCs w:val="21"/>
                <w:highlight w:val="none"/>
              </w:rPr>
            </w:pPr>
          </w:p>
        </w:tc>
        <w:tc>
          <w:tcPr>
            <w:tcW w:w="1386" w:type="dxa"/>
            <w:tcBorders>
              <w:tl2br w:val="nil"/>
              <w:tr2bl w:val="nil"/>
            </w:tcBorders>
            <w:shd w:val="clear" w:color="auto" w:fill="auto"/>
            <w:vAlign w:val="center"/>
          </w:tcPr>
          <w:p w14:paraId="2EDABF04">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销售许可证</w:t>
            </w:r>
          </w:p>
        </w:tc>
        <w:tc>
          <w:tcPr>
            <w:tcW w:w="7061" w:type="dxa"/>
            <w:tcBorders>
              <w:tl2br w:val="nil"/>
              <w:tr2bl w:val="nil"/>
            </w:tcBorders>
            <w:shd w:val="clear" w:color="auto" w:fill="auto"/>
            <w:vAlign w:val="center"/>
          </w:tcPr>
          <w:p w14:paraId="461EA93A">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为保证产品的安全性，超融合软件应获得公安部颁发的销售许可证</w:t>
            </w:r>
          </w:p>
        </w:tc>
      </w:tr>
    </w:tbl>
    <w:p w14:paraId="004C3781">
      <w:pPr>
        <w:pStyle w:val="6"/>
        <w:keepNext/>
        <w:keepLines/>
        <w:pageBreakBefore w:val="0"/>
        <w:widowControl w:val="0"/>
        <w:numPr>
          <w:ilvl w:val="0"/>
          <w:numId w:val="24"/>
        </w:numPr>
        <w:kinsoku/>
        <w:wordWrap/>
        <w:overflowPunct/>
        <w:topLinePunct w:val="0"/>
        <w:autoSpaceDE/>
        <w:autoSpaceDN/>
        <w:bidi w:val="0"/>
        <w:adjustRightInd/>
        <w:snapToGrid/>
        <w:spacing w:before="490" w:beforeLines="150"/>
        <w:textAlignment w:val="auto"/>
        <w:rPr>
          <w:color w:val="auto"/>
          <w:sz w:val="28"/>
          <w:szCs w:val="36"/>
          <w:highlight w:val="none"/>
        </w:rPr>
      </w:pPr>
      <w:r>
        <w:rPr>
          <w:rFonts w:hint="eastAsia"/>
          <w:color w:val="auto"/>
          <w:sz w:val="28"/>
          <w:szCs w:val="36"/>
          <w:highlight w:val="none"/>
        </w:rPr>
        <w:t>交换机</w:t>
      </w:r>
    </w:p>
    <w:tbl>
      <w:tblPr>
        <w:tblStyle w:val="25"/>
        <w:tblW w:w="920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7067"/>
      </w:tblGrid>
      <w:tr w14:paraId="032F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7397CF74">
            <w:pPr>
              <w:ind w:firstLine="241"/>
              <w:jc w:val="center"/>
              <w:rPr>
                <w:rFonts w:eastAsia="Times New Roman" w:cs="Times New Roman"/>
                <w:color w:val="auto"/>
                <w:kern w:val="0"/>
                <w:sz w:val="21"/>
                <w:szCs w:val="21"/>
                <w:highlight w:val="none"/>
              </w:rPr>
            </w:pPr>
            <w:r>
              <w:rPr>
                <w:rFonts w:hint="eastAsia" w:eastAsia="Times New Roman"/>
                <w:b/>
                <w:color w:val="auto"/>
                <w:sz w:val="21"/>
                <w:szCs w:val="21"/>
                <w:highlight w:val="none"/>
              </w:rPr>
              <w:t>招标项</w:t>
            </w:r>
          </w:p>
        </w:tc>
        <w:tc>
          <w:tcPr>
            <w:tcW w:w="7067" w:type="dxa"/>
            <w:tcBorders>
              <w:top w:val="single" w:color="auto" w:sz="4" w:space="0"/>
              <w:left w:val="single" w:color="auto" w:sz="4" w:space="0"/>
              <w:bottom w:val="single" w:color="auto" w:sz="4" w:space="0"/>
              <w:right w:val="single" w:color="auto" w:sz="4" w:space="0"/>
            </w:tcBorders>
          </w:tcPr>
          <w:p w14:paraId="4C71E55D">
            <w:pPr>
              <w:ind w:firstLine="241"/>
              <w:jc w:val="center"/>
              <w:rPr>
                <w:rFonts w:hint="eastAsia" w:eastAsia="Times New Roman"/>
                <w:color w:val="auto"/>
                <w:sz w:val="21"/>
                <w:szCs w:val="21"/>
                <w:highlight w:val="none"/>
              </w:rPr>
            </w:pPr>
            <w:r>
              <w:rPr>
                <w:rFonts w:hint="eastAsia" w:eastAsia="Times New Roman"/>
                <w:b/>
                <w:color w:val="auto"/>
                <w:sz w:val="21"/>
                <w:szCs w:val="21"/>
                <w:highlight w:val="none"/>
              </w:rPr>
              <w:t>招标要求</w:t>
            </w:r>
          </w:p>
        </w:tc>
      </w:tr>
      <w:tr w14:paraId="1A79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33" w:type="dxa"/>
            <w:tcBorders>
              <w:top w:val="single" w:color="auto" w:sz="4" w:space="0"/>
              <w:left w:val="single" w:color="auto" w:sz="4" w:space="0"/>
              <w:bottom w:val="single" w:color="auto" w:sz="4" w:space="0"/>
              <w:right w:val="single" w:color="auto" w:sz="4" w:space="0"/>
            </w:tcBorders>
            <w:vAlign w:val="center"/>
          </w:tcPr>
          <w:p w14:paraId="531D4365">
            <w:pPr>
              <w:widowControl/>
              <w:spacing w:line="240" w:lineRule="auto"/>
              <w:jc w:val="center"/>
              <w:rPr>
                <w:rFonts w:hint="eastAsia" w:ascii="宋体" w:hAnsi="宋体" w:eastAsia="Times New Roman" w:cs="宋体"/>
                <w:color w:val="auto"/>
                <w:kern w:val="0"/>
                <w:sz w:val="21"/>
                <w:szCs w:val="21"/>
                <w:highlight w:val="none"/>
              </w:rPr>
            </w:pPr>
            <w:r>
              <w:rPr>
                <w:rFonts w:hint="eastAsia" w:ascii="宋体" w:hAnsi="宋体" w:eastAsia="Times New Roman" w:cs="宋体"/>
                <w:color w:val="auto"/>
                <w:kern w:val="0"/>
                <w:sz w:val="21"/>
                <w:szCs w:val="21"/>
                <w:highlight w:val="none"/>
              </w:rPr>
              <w:t>产品要求</w:t>
            </w:r>
          </w:p>
        </w:tc>
        <w:tc>
          <w:tcPr>
            <w:tcW w:w="7067" w:type="dxa"/>
            <w:tcBorders>
              <w:top w:val="single" w:color="auto" w:sz="4" w:space="0"/>
              <w:left w:val="single" w:color="auto" w:sz="4" w:space="0"/>
              <w:bottom w:val="single" w:color="auto" w:sz="4" w:space="0"/>
              <w:right w:val="single" w:color="auto" w:sz="4" w:space="0"/>
            </w:tcBorders>
          </w:tcPr>
          <w:p w14:paraId="5D276F56">
            <w:pPr>
              <w:widowControl/>
              <w:spacing w:line="240" w:lineRule="auto"/>
              <w:jc w:val="left"/>
              <w:rPr>
                <w:rFonts w:hint="eastAsia" w:ascii="宋体" w:hAnsi="宋体" w:eastAsia="Times New Roman"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配置两台：</w:t>
            </w:r>
            <w:r>
              <w:rPr>
                <w:rFonts w:hint="eastAsia" w:ascii="宋体" w:hAnsi="宋体" w:eastAsia="Times New Roman" w:cs="宋体"/>
                <w:color w:val="auto"/>
                <w:kern w:val="0"/>
                <w:sz w:val="21"/>
                <w:szCs w:val="21"/>
                <w:highlight w:val="none"/>
              </w:rPr>
              <w:t>单台配置≥12个万兆光口，≥12个千兆电口，≥3个万兆多模光模块（含光纤线），万兆堆叠线缆</w:t>
            </w:r>
            <w:r>
              <w:rPr>
                <w:rFonts w:hint="eastAsia" w:ascii="宋体" w:hAnsi="宋体" w:eastAsia="宋体" w:cs="宋体"/>
                <w:color w:val="auto"/>
                <w:kern w:val="0"/>
                <w:sz w:val="21"/>
                <w:szCs w:val="21"/>
                <w:highlight w:val="none"/>
              </w:rPr>
              <w:t>；</w:t>
            </w:r>
          </w:p>
          <w:p w14:paraId="156E0A5C">
            <w:pPr>
              <w:widowControl/>
              <w:spacing w:line="240" w:lineRule="auto"/>
              <w:jc w:val="left"/>
              <w:rPr>
                <w:rFonts w:hint="eastAsia" w:ascii="宋体" w:hAnsi="宋体" w:eastAsia="Times New Roman" w:cs="宋体"/>
                <w:color w:val="auto"/>
                <w:kern w:val="0"/>
                <w:sz w:val="21"/>
                <w:szCs w:val="21"/>
                <w:highlight w:val="none"/>
              </w:rPr>
            </w:pPr>
            <w:r>
              <w:rPr>
                <w:rFonts w:hint="eastAsia" w:ascii="宋体" w:hAnsi="宋体" w:eastAsia="Times New Roman" w:cs="宋体"/>
                <w:color w:val="auto"/>
                <w:kern w:val="0"/>
                <w:sz w:val="21"/>
                <w:szCs w:val="21"/>
                <w:highlight w:val="none"/>
              </w:rPr>
              <w:t>交换容量：1.28Tbps/12.8Tbps，包转发率：480Mpps；支持全端口线速转发；</w:t>
            </w:r>
          </w:p>
        </w:tc>
      </w:tr>
    </w:tbl>
    <w:p w14:paraId="2DB14A6C">
      <w:pPr>
        <w:pStyle w:val="6"/>
        <w:keepNext/>
        <w:keepLines/>
        <w:pageBreakBefore w:val="0"/>
        <w:widowControl w:val="0"/>
        <w:numPr>
          <w:ilvl w:val="0"/>
          <w:numId w:val="24"/>
        </w:numPr>
        <w:kinsoku/>
        <w:wordWrap/>
        <w:overflowPunct/>
        <w:topLinePunct w:val="0"/>
        <w:autoSpaceDE/>
        <w:autoSpaceDN/>
        <w:bidi w:val="0"/>
        <w:adjustRightInd/>
        <w:snapToGrid/>
        <w:spacing w:before="490" w:beforeLines="150"/>
        <w:textAlignment w:val="auto"/>
        <w:rPr>
          <w:rFonts w:hint="eastAsia"/>
          <w:color w:val="auto"/>
          <w:sz w:val="28"/>
          <w:szCs w:val="36"/>
          <w:highlight w:val="none"/>
        </w:rPr>
      </w:pPr>
      <w:r>
        <w:rPr>
          <w:rFonts w:hint="eastAsia"/>
          <w:color w:val="auto"/>
          <w:sz w:val="28"/>
          <w:szCs w:val="36"/>
          <w:highlight w:val="none"/>
        </w:rPr>
        <w:t>云安全资源需求</w:t>
      </w:r>
    </w:p>
    <w:tbl>
      <w:tblPr>
        <w:tblStyle w:val="24"/>
        <w:tblW w:w="9218" w:type="dxa"/>
        <w:tblInd w:w="93"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1"/>
        <w:gridCol w:w="1187"/>
        <w:gridCol w:w="7520"/>
      </w:tblGrid>
      <w:tr w14:paraId="16EFC45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1" w:type="dxa"/>
            <w:vMerge w:val="restart"/>
            <w:tcBorders>
              <w:tl2br w:val="nil"/>
              <w:tr2bl w:val="nil"/>
            </w:tcBorders>
            <w:noWrap/>
            <w:vAlign w:val="center"/>
          </w:tcPr>
          <w:p w14:paraId="5CAFB2DF">
            <w:pPr>
              <w:widowControl/>
              <w:spacing w:line="24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187" w:type="dxa"/>
            <w:vMerge w:val="restart"/>
            <w:tcBorders>
              <w:tl2br w:val="nil"/>
              <w:tr2bl w:val="nil"/>
            </w:tcBorders>
            <w:noWrap/>
            <w:vAlign w:val="center"/>
          </w:tcPr>
          <w:p w14:paraId="673EB808">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云管理平台</w:t>
            </w:r>
          </w:p>
        </w:tc>
        <w:tc>
          <w:tcPr>
            <w:tcW w:w="7520" w:type="dxa"/>
            <w:tcBorders>
              <w:tl2br w:val="nil"/>
              <w:tr2bl w:val="nil"/>
            </w:tcBorders>
            <w:vAlign w:val="center"/>
          </w:tcPr>
          <w:p w14:paraId="0167DD7B">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能够利用底层物理/虚拟安全资源为用户提供一站式安全解决方案，至少包括WAF、堡垒机、网站漏洞扫描、网站监测、防火墙、入侵防御、病毒防护、云数据库审计、云日志审计、终端检测与响应、网页防篡改、主机风险扫描等能力安全能力</w:t>
            </w:r>
          </w:p>
        </w:tc>
      </w:tr>
      <w:tr w14:paraId="05CEE48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6FC1B4AB">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64E4F4A0">
            <w:pPr>
              <w:widowControl/>
              <w:spacing w:line="240" w:lineRule="auto"/>
              <w:jc w:val="center"/>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5182D8CC">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支持安全产品的一键开通，自动部署：安全产品开通成功以后会自动获取安全资源池计算、存储等资源实现自动化部署</w:t>
            </w:r>
          </w:p>
        </w:tc>
      </w:tr>
      <w:tr w14:paraId="723AC62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1" w:type="dxa"/>
            <w:vMerge w:val="continue"/>
            <w:tcBorders>
              <w:tl2br w:val="nil"/>
              <w:tr2bl w:val="nil"/>
            </w:tcBorders>
            <w:vAlign w:val="center"/>
          </w:tcPr>
          <w:p w14:paraId="48790337">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4642F799">
            <w:pPr>
              <w:widowControl/>
              <w:spacing w:line="240" w:lineRule="auto"/>
              <w:jc w:val="center"/>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1B99C6DA">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通过管理平台查看每个安全虚拟机的资源占用信息，包含资源ID／别名，CPU使用率、内存使用率、磁盘使用率，网络流入流出速率，并用可视化图表的方式展示CPU、内存、磁盘占用趋势，网络总流入流出速率趋势。</w:t>
            </w:r>
          </w:p>
        </w:tc>
      </w:tr>
      <w:tr w14:paraId="4B552FE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32CC3AA3">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4B5FD8A7">
            <w:pPr>
              <w:widowControl/>
              <w:spacing w:line="240" w:lineRule="auto"/>
              <w:jc w:val="center"/>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743AE228">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应能支持在国产CPU、国产操作系统、国产服务器虚拟化环境下兼容。</w:t>
            </w:r>
          </w:p>
        </w:tc>
      </w:tr>
      <w:tr w14:paraId="32B2C65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restart"/>
            <w:tcBorders>
              <w:tl2br w:val="nil"/>
              <w:tr2bl w:val="nil"/>
            </w:tcBorders>
            <w:noWrap/>
            <w:vAlign w:val="center"/>
          </w:tcPr>
          <w:p w14:paraId="086A84A4">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187" w:type="dxa"/>
            <w:vMerge w:val="restart"/>
            <w:tcBorders>
              <w:tl2br w:val="nil"/>
              <w:tr2bl w:val="nil"/>
            </w:tcBorders>
            <w:noWrap/>
            <w:vAlign w:val="center"/>
          </w:tcPr>
          <w:p w14:paraId="331F6130">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WAF（1个一级域名和10个二级域名（流量上限为25M）</w:t>
            </w:r>
          </w:p>
        </w:tc>
        <w:tc>
          <w:tcPr>
            <w:tcW w:w="7520" w:type="dxa"/>
            <w:tcBorders>
              <w:tl2br w:val="nil"/>
              <w:tr2bl w:val="nil"/>
            </w:tcBorders>
            <w:vAlign w:val="center"/>
          </w:tcPr>
          <w:p w14:paraId="0B4A4332">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★Web应用防火墙产品面向互联网开放，应按照国家信息安全等级保护三级的要求进行自身安全保障，通过国家信息安全等级保护三级的要求，提供证明材料并加盖公司公章</w:t>
            </w:r>
          </w:p>
        </w:tc>
      </w:tr>
      <w:tr w14:paraId="67DA0B2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5DE2A0A4">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388A8516">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1FD564C2">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通过中国信息安全测评中心颁发的国家信息安全漏洞库兼容性资质，提供证明材料并加盖公司公章</w:t>
            </w:r>
          </w:p>
        </w:tc>
      </w:tr>
      <w:tr w14:paraId="3882405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1" w:type="dxa"/>
            <w:vMerge w:val="continue"/>
            <w:tcBorders>
              <w:tl2br w:val="nil"/>
              <w:tr2bl w:val="nil"/>
            </w:tcBorders>
            <w:vAlign w:val="center"/>
          </w:tcPr>
          <w:p w14:paraId="7A52EBE7">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18FDC373">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2D8BFAA8">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支持SaaS化方式提供服务，用户无需部署任何软硬件情况下即可使用Web应用防火墙产品，支持集群化和高可用部署架构，不会发生单点故障。支持能过DNS解析及策略路由将网站流量引流到平台进行防护</w:t>
            </w:r>
          </w:p>
        </w:tc>
      </w:tr>
      <w:tr w14:paraId="6906F94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1" w:type="dxa"/>
            <w:vMerge w:val="continue"/>
            <w:tcBorders>
              <w:tl2br w:val="nil"/>
              <w:tr2bl w:val="nil"/>
            </w:tcBorders>
            <w:vAlign w:val="center"/>
          </w:tcPr>
          <w:p w14:paraId="06FAADEF">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1862CFAF">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225CCF86">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永久在线功能，当网站因为服务器故障、线路故障、电源等问题出现无法连接时，可显示云防护节点中的缓存页面。当在敏感期或特殊时期时，用户网站主动关闭期间可显示缓存页面，增强网站安全性（需提供截图证明）。</w:t>
            </w:r>
          </w:p>
        </w:tc>
      </w:tr>
      <w:tr w14:paraId="4E212AB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4316CAB7">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511BE2F8">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598F219C">
            <w:pPr>
              <w:widowControl/>
              <w:spacing w:line="240" w:lineRule="auto"/>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支持对跨站脚本(XSS)和注入式攻击（包括SQL注入、命令注入 、代码注入、文件注入、LDAP注入、SSI注入等）的检测防护，支持对HTTP请求关键字段进行合规性的检测（包括Host字段、User-Agent、Content-type字段等）</w:t>
            </w:r>
          </w:p>
        </w:tc>
      </w:tr>
      <w:tr w14:paraId="5A90D75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70EDE8A6">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13F63CFA">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637A6B2F">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★支持一键关停功能，当网站出现紧急安全事件时，可在一分钟内通过浏览器一键完成关停，防止产生恶劣影响，（需提供截图证明）。</w:t>
            </w:r>
          </w:p>
        </w:tc>
      </w:tr>
      <w:tr w14:paraId="054D5B0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1" w:type="dxa"/>
            <w:vMerge w:val="continue"/>
            <w:tcBorders>
              <w:tl2br w:val="nil"/>
              <w:tr2bl w:val="nil"/>
            </w:tcBorders>
            <w:vAlign w:val="center"/>
          </w:tcPr>
          <w:p w14:paraId="55327341">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7245D710">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0609F7DE">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攻击日志记录与查询功能，攻击日志至少保存6个月，满足《网络安全法》要求，可根据域名、URL、攻击方法、返回码、威胁等级、攻击IP、攻击区域和攻击类型进行查询，查询后的攻击日志数据可导出Excel文件。</w:t>
            </w:r>
          </w:p>
        </w:tc>
      </w:tr>
      <w:tr w14:paraId="3FD551CE">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1" w:type="dxa"/>
            <w:vMerge w:val="continue"/>
            <w:tcBorders>
              <w:tl2br w:val="nil"/>
              <w:tr2bl w:val="nil"/>
            </w:tcBorders>
            <w:vAlign w:val="center"/>
          </w:tcPr>
          <w:p w14:paraId="5A5C1AFA">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14359E05">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38AEC878">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有云端7*24远程安全专家服务能力，提供7*24小时安全值守和应急响应服务。提供策略优化、配置调整、规则更新、问题处理、技术咨询安全事件通告等常规技术支持服务，实时监测和感知DDOS、持续性攻击、0day攻击等事件，并及时响应和对抗，同时在重大节会期间提供更高级别的安全响应服务</w:t>
            </w:r>
          </w:p>
        </w:tc>
      </w:tr>
      <w:tr w14:paraId="79B2B82E">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632F364B">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0EA8F6A4">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7EC44387">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可查看安全防护报告，包含攻击次数、攻击者区域统计、攻击者IP统计、被攻击页面统计、被攻击域名统计、攻击事件统计、攻击威胁等级统计等报告（需提供截图证明）。</w:t>
            </w:r>
          </w:p>
        </w:tc>
      </w:tr>
      <w:tr w14:paraId="735F269B">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521206C7">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03E9B59B">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2198B2C8">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支持一键虚拟补丁功能，网站出现0day漏洞时能快速完成修复（需提供截图证明）。</w:t>
            </w:r>
          </w:p>
        </w:tc>
      </w:tr>
      <w:tr w14:paraId="02425C9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restart"/>
            <w:tcBorders>
              <w:tl2br w:val="nil"/>
              <w:tr2bl w:val="nil"/>
            </w:tcBorders>
            <w:noWrap/>
            <w:vAlign w:val="center"/>
          </w:tcPr>
          <w:p w14:paraId="48D8C5BA">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187" w:type="dxa"/>
            <w:vMerge w:val="restart"/>
            <w:tcBorders>
              <w:tl2br w:val="nil"/>
              <w:tr2bl w:val="nil"/>
            </w:tcBorders>
            <w:noWrap/>
            <w:vAlign w:val="center"/>
          </w:tcPr>
          <w:p w14:paraId="04E7471C">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堡垒机（20个资产管理）</w:t>
            </w:r>
          </w:p>
        </w:tc>
        <w:tc>
          <w:tcPr>
            <w:tcW w:w="7520" w:type="dxa"/>
            <w:tcBorders>
              <w:tl2br w:val="nil"/>
              <w:tr2bl w:val="nil"/>
            </w:tcBorders>
            <w:vAlign w:val="center"/>
          </w:tcPr>
          <w:p w14:paraId="7F6FA4D3">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支持编排复杂的自动化运维任务，只需设置好执行的时间和业务节点，自动执行，无需人工干预，支持脚本/命令/文件分发/文件采集四类节点</w:t>
            </w:r>
          </w:p>
        </w:tc>
      </w:tr>
      <w:tr w14:paraId="1B22D34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46A6786A">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4C79D8B2">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6158DE72">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支持开启会话背景水印，对会话的截图和拍照将带有会话创建者的信息，方便事后对泄露的信息进行追踪</w:t>
            </w:r>
          </w:p>
        </w:tc>
      </w:tr>
      <w:tr w14:paraId="6978287B">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52EBDFA0">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6C6240D4">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5AD3D43A">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支持对重要操作进行双因子认证，支持微信验证码、短信验证码、动态令牌等三种认证方式，运维人员在进行关键设备访问或执行某些敏感指令时均会要求进行二次身份认证</w:t>
            </w:r>
          </w:p>
        </w:tc>
      </w:tr>
      <w:tr w14:paraId="78E514B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398CE1EC">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2E7BBEC8">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75B715FA">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支持基于黑、白名单的敏感指令审计规则，针对定义好的敏感指令可以进行阻断响应或触发审核操作，审核不通过的敏感指令将会被拦截，以实现安全监管的目的，保障运维操作的合规、安全、可控</w:t>
            </w:r>
          </w:p>
        </w:tc>
      </w:tr>
      <w:tr w14:paraId="4971A30F">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73CD37D7">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04C11EF6">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4911EA0E">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★在会话操作过程中，中途短暂离开或者由于网络环境较差导致连接临时中断，该会话依然可以在云端持续运行，方便快速的恢复工作，可以自定义会话守护时长（需提供截图证明）</w:t>
            </w:r>
          </w:p>
        </w:tc>
      </w:tr>
      <w:tr w14:paraId="4BCF9CA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589A3A89">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78E38040">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26D49634">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支持实时会话查看，管理员可随时进入任何活跃会话进行监管，一旦发现违规操作，可强制结束会话</w:t>
            </w:r>
          </w:p>
        </w:tc>
      </w:tr>
      <w:tr w14:paraId="496BB96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0E179480">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4032C6CC">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2752C8C5">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支持审计录像脱敏，避免运维操作过程中设备的关键敏感数据泄露</w:t>
            </w:r>
          </w:p>
        </w:tc>
      </w:tr>
      <w:tr w14:paraId="39AA904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442CF3FE">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353476BE">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5EE1DA50">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提供敏感指令拦截功能，管理员可预先定义好高危指令黑名单，一旦操作者在目标设备上执行的命令被黑名单规则命中，将自动触发拦截机制，阻止危险指令的执行</w:t>
            </w:r>
          </w:p>
        </w:tc>
      </w:tr>
      <w:tr w14:paraId="2990333F">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restart"/>
            <w:tcBorders>
              <w:tl2br w:val="nil"/>
              <w:tr2bl w:val="nil"/>
            </w:tcBorders>
            <w:noWrap/>
            <w:vAlign w:val="center"/>
          </w:tcPr>
          <w:p w14:paraId="3B595877">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187" w:type="dxa"/>
            <w:vMerge w:val="restart"/>
            <w:tcBorders>
              <w:tl2br w:val="nil"/>
              <w:tr2bl w:val="nil"/>
            </w:tcBorders>
            <w:noWrap/>
            <w:vAlign w:val="center"/>
          </w:tcPr>
          <w:p w14:paraId="100D75E3">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下一代防火墙（500M吞吐量）</w:t>
            </w:r>
          </w:p>
        </w:tc>
        <w:tc>
          <w:tcPr>
            <w:tcW w:w="7520" w:type="dxa"/>
            <w:tcBorders>
              <w:tl2br w:val="nil"/>
              <w:tr2bl w:val="nil"/>
            </w:tcBorders>
            <w:vAlign w:val="center"/>
          </w:tcPr>
          <w:p w14:paraId="7C7005B0">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支持源地址转换、目的地址转换、双向地址转换、NAT44</w:t>
            </w:r>
          </w:p>
        </w:tc>
      </w:tr>
      <w:tr w14:paraId="3D4DAFF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5B158B6E">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101236D1">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1EA5E76A">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支持静态路由、策略路由、RIP、OSPF、ISP路由，其中ISP路由支持自定义，并可提供基于应用的策略路由</w:t>
            </w:r>
          </w:p>
        </w:tc>
      </w:tr>
      <w:tr w14:paraId="5C4F3E4D">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7B21303D">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201CD3CD">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6D591063">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支持配置IPsec VPN隧道内网段映射，解决VPN地址网段重叠问题（需提供截图证明）。</w:t>
            </w:r>
          </w:p>
        </w:tc>
      </w:tr>
      <w:tr w14:paraId="1E5DA4A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093F8ABE">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322359DB">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7CC2CC46">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支持审计HTTPS加密邮箱，支持审计主题、内容、附件等，支持本地下载邮件原件</w:t>
            </w:r>
          </w:p>
        </w:tc>
      </w:tr>
      <w:tr w14:paraId="172192AC">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58A2EB31">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1F1EF891">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6D0C11B4">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支持针对HTTPS网站、HTTPS门户搜索等内容进行审计</w:t>
            </w:r>
          </w:p>
        </w:tc>
      </w:tr>
      <w:tr w14:paraId="089315F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1" w:type="dxa"/>
            <w:vMerge w:val="continue"/>
            <w:tcBorders>
              <w:tl2br w:val="nil"/>
              <w:tr2bl w:val="nil"/>
            </w:tcBorders>
            <w:vAlign w:val="center"/>
          </w:tcPr>
          <w:p w14:paraId="3D671DA2">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7898BFDF">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2671695A">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本地认证、Portal认证、Radius认证、LDAP认证、免认证；支持对接IMC、AAS、SAM、ACMP等常见AAA服务器；支持配置强制重新认证间隔，支持设置认证无感知间隔，支持配置认证通过后重定向URL（提供产品界面配置截图）</w:t>
            </w:r>
          </w:p>
        </w:tc>
      </w:tr>
      <w:tr w14:paraId="2767A62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3AE2B3EF">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50859103">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1DDF2FD1">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IPsec VPN支持第三方对接和快速配置，自有设备对接时加密算法等参数无需配置，自动生成，仅需配置保护子网、共享密钥、IP地址，支持配置国密（需提供截图证明）。</w:t>
            </w:r>
          </w:p>
        </w:tc>
      </w:tr>
      <w:tr w14:paraId="5C63B84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3371E34C">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70244F8E">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51DFD7B8">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支持用户标签，可根据用户访问信息生成访问类型标签，并将用户标签同步至Portal服务器，Portal服务器向用户推送预定义页面</w:t>
            </w:r>
          </w:p>
        </w:tc>
      </w:tr>
      <w:tr w14:paraId="2C9AED8E">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4B4D325A">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7FE61334">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0B6E2367">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HA可同步IPsec VPN状态，当HA主备切换时无需VPN重建，业务零中断</w:t>
            </w:r>
          </w:p>
        </w:tc>
      </w:tr>
      <w:tr w14:paraId="5A3FBA4B">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restart"/>
            <w:tcBorders>
              <w:tl2br w:val="nil"/>
              <w:tr2bl w:val="nil"/>
            </w:tcBorders>
            <w:noWrap/>
            <w:vAlign w:val="center"/>
          </w:tcPr>
          <w:p w14:paraId="6372D5AE">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187" w:type="dxa"/>
            <w:vMerge w:val="restart"/>
            <w:tcBorders>
              <w:tl2br w:val="nil"/>
              <w:tr2bl w:val="nil"/>
            </w:tcBorders>
            <w:noWrap/>
            <w:vAlign w:val="center"/>
          </w:tcPr>
          <w:p w14:paraId="77E35A18">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日志审计（10个日志源）</w:t>
            </w:r>
          </w:p>
        </w:tc>
        <w:tc>
          <w:tcPr>
            <w:tcW w:w="7520" w:type="dxa"/>
            <w:tcBorders>
              <w:tl2br w:val="nil"/>
              <w:tr2bl w:val="nil"/>
            </w:tcBorders>
            <w:vAlign w:val="center"/>
          </w:tcPr>
          <w:p w14:paraId="31DFF29D">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审计工作不影响被审计对象的性能、稳定性或日常管理流程</w:t>
            </w:r>
          </w:p>
        </w:tc>
      </w:tr>
      <w:tr w14:paraId="3851A03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1BDDACB8">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472B01BE">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5B51DABD">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独立完成审计日志采集，不依赖于设备或系统自身的日志系统；</w:t>
            </w:r>
          </w:p>
        </w:tc>
      </w:tr>
      <w:tr w14:paraId="45FA912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5EEDE8E6">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2C7C6E9D">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3A1B0036">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支持kafka日志接收转发、大数据安全域同步、APT沙箱报告转发等大数据联调功能。（提供产品界面配置截图）</w:t>
            </w:r>
          </w:p>
        </w:tc>
      </w:tr>
      <w:tr w14:paraId="458EA904">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2A3CCEDE">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0B1E20B8">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562F071F">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支持Syslog、SNMP Trap、OPSec、FTP协议日志收集，支持使用代理(Agent)方式提取日志并收集</w:t>
            </w:r>
          </w:p>
        </w:tc>
      </w:tr>
      <w:tr w14:paraId="5DD251AC">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22E464BE">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28711733">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09B49449">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支持基于内存的实时关联分析，跨设备的多事件关联分析</w:t>
            </w:r>
          </w:p>
        </w:tc>
      </w:tr>
      <w:tr w14:paraId="59C0D5A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1" w:type="dxa"/>
            <w:vMerge w:val="continue"/>
            <w:tcBorders>
              <w:tl2br w:val="nil"/>
              <w:tr2bl w:val="nil"/>
            </w:tcBorders>
            <w:vAlign w:val="center"/>
          </w:tcPr>
          <w:p w14:paraId="43A0254A">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4337F26A">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443F81B4">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备安全评估模型，评估模型基于设备故障、认证登陆、攻击威胁、可用性、系统脆弱性等纬度加权平均计算总体安全指数。安全评估模型可以显示总体评分、历史评分趋势。安全评估模型各项指标可钻取具体的评分扣分事件。（需提供截图证明）</w:t>
            </w:r>
          </w:p>
        </w:tc>
      </w:tr>
      <w:tr w14:paraId="0DA1A4EF">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769272C2">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53E83022">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79F5275D">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极高的日志高查询性能，支持亿级的日志里根据做任意的关键字及其它的检索条件，在秒级里返回查询结果</w:t>
            </w:r>
          </w:p>
        </w:tc>
      </w:tr>
      <w:tr w14:paraId="5FB04D7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0FBDACF0">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1FDBF834">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18264FEB">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提供一键式故障排除功能</w:t>
            </w:r>
          </w:p>
        </w:tc>
      </w:tr>
      <w:tr w14:paraId="50321B7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203D38A0">
            <w:pPr>
              <w:widowControl/>
              <w:spacing w:line="240" w:lineRule="auto"/>
              <w:jc w:val="center"/>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75D3898C">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416E7663">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内置完善的等级保护合规报表</w:t>
            </w:r>
          </w:p>
        </w:tc>
      </w:tr>
      <w:tr w14:paraId="43B381A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restart"/>
            <w:tcBorders>
              <w:tl2br w:val="nil"/>
              <w:tr2bl w:val="nil"/>
            </w:tcBorders>
            <w:noWrap/>
            <w:vAlign w:val="center"/>
          </w:tcPr>
          <w:p w14:paraId="17E76291">
            <w:pPr>
              <w:widowControl/>
              <w:spacing w:line="24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1187" w:type="dxa"/>
            <w:vMerge w:val="restart"/>
            <w:tcBorders>
              <w:tl2br w:val="nil"/>
              <w:tr2bl w:val="nil"/>
            </w:tcBorders>
            <w:noWrap/>
            <w:vAlign w:val="center"/>
          </w:tcPr>
          <w:p w14:paraId="2EEBD51A">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主机安全EDR（6个资产主机防护）</w:t>
            </w:r>
          </w:p>
        </w:tc>
        <w:tc>
          <w:tcPr>
            <w:tcW w:w="7520" w:type="dxa"/>
            <w:tcBorders>
              <w:tl2br w:val="nil"/>
              <w:tr2bl w:val="nil"/>
            </w:tcBorders>
            <w:vAlign w:val="center"/>
          </w:tcPr>
          <w:p w14:paraId="4BF4DEEA">
            <w:pPr>
              <w:widowControl/>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支持防端口扫描，防违规外联，锁定恶意的端口扫描及外联行为，并记录告警</w:t>
            </w:r>
          </w:p>
        </w:tc>
      </w:tr>
      <w:tr w14:paraId="679F500E">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4C961D70">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494E20B6">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3426EDB3">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支持智能检测防御CC攻击，并可进行高、中、低三档设置。</w:t>
            </w:r>
          </w:p>
        </w:tc>
      </w:tr>
      <w:tr w14:paraId="3AE27DD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5F683431">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29D7363F">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1D4A8C67">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支持登录防护，包括以系统账号为粒度的异常登录防护、支持五个任意维度(任意地理位置，任意IP，任意域名，任意计算机名，任意时间)的系统登录访问策略设置。</w:t>
            </w:r>
          </w:p>
        </w:tc>
      </w:tr>
      <w:tr w14:paraId="03F1F2C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490F5A63">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322F571A">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1696C3BC">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提供专门的勒索风险评估功能。包括弱口令检测、系统漏洞检测、恶意进程检测、高危端口检测等能力；（提供产品界面配置截图）</w:t>
            </w:r>
          </w:p>
        </w:tc>
      </w:tr>
      <w:tr w14:paraId="6214D7F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08116C2D">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2462475F">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15DC079C">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具备弱口令扫描功能，提供多种弱口令扫描协议，包括SMB、RDP、SSH、TELNET、FTP、SMTP、IMAP、POP3、MySQL、MSSQL、REDIS、RTSP 等协议进行弱口令扫描，允许用户自定义用户、密码字典。</w:t>
            </w:r>
          </w:p>
        </w:tc>
      </w:tr>
      <w:tr w14:paraId="3C16362C">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1" w:type="dxa"/>
            <w:vMerge w:val="continue"/>
            <w:tcBorders>
              <w:tl2br w:val="nil"/>
              <w:tr2bl w:val="nil"/>
            </w:tcBorders>
            <w:vAlign w:val="center"/>
          </w:tcPr>
          <w:p w14:paraId="1959419B">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15C53AF2">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7E9D81D4">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识别渗透过程中的隧道代理（端口映射、端口转发、内网代理），可阻断隧道代理搭建行为</w:t>
            </w:r>
          </w:p>
        </w:tc>
      </w:tr>
      <w:tr w14:paraId="28F3CC6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5B83F57E">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0D56AE39">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1170141F">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★支持对本机的扩展行为（信息收集、权限提升）进行监测，防止提权行为和信息泄露（需提供截图证明）</w:t>
            </w:r>
          </w:p>
        </w:tc>
      </w:tr>
      <w:tr w14:paraId="1DE49026">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restart"/>
            <w:tcBorders>
              <w:tl2br w:val="nil"/>
              <w:tr2bl w:val="nil"/>
            </w:tcBorders>
            <w:vAlign w:val="center"/>
          </w:tcPr>
          <w:p w14:paraId="29E369B2">
            <w:pPr>
              <w:widowControl/>
              <w:spacing w:line="240" w:lineRule="auto"/>
              <w:jc w:val="center"/>
              <w:rPr>
                <w:rFonts w:hint="eastAsia" w:ascii="宋体" w:hAnsi="宋体" w:cs="宋体" w:eastAsiaTheme="minorEastAsia"/>
                <w:color w:val="auto"/>
                <w:kern w:val="0"/>
                <w:sz w:val="21"/>
                <w:szCs w:val="21"/>
                <w:highlight w:val="none"/>
              </w:rPr>
            </w:pPr>
            <w:r>
              <w:rPr>
                <w:rFonts w:hint="eastAsia" w:ascii="宋体" w:hAnsi="宋体" w:cs="宋体" w:eastAsiaTheme="minorEastAsia"/>
                <w:color w:val="auto"/>
                <w:kern w:val="0"/>
                <w:sz w:val="21"/>
                <w:szCs w:val="21"/>
                <w:highlight w:val="none"/>
              </w:rPr>
              <w:t>7</w:t>
            </w:r>
          </w:p>
        </w:tc>
        <w:tc>
          <w:tcPr>
            <w:tcW w:w="1187" w:type="dxa"/>
            <w:vMerge w:val="restart"/>
            <w:tcBorders>
              <w:tl2br w:val="nil"/>
              <w:tr2bl w:val="nil"/>
            </w:tcBorders>
            <w:vAlign w:val="center"/>
          </w:tcPr>
          <w:p w14:paraId="0074B681">
            <w:pPr>
              <w:widowControl/>
              <w:spacing w:line="240" w:lineRule="auto"/>
              <w:jc w:val="left"/>
              <w:rPr>
                <w:rFonts w:hint="eastAsia" w:ascii="宋体" w:hAnsi="宋体" w:eastAsia="Times New Roman" w:cs="宋体"/>
                <w:color w:val="auto"/>
                <w:kern w:val="0"/>
                <w:sz w:val="21"/>
                <w:szCs w:val="21"/>
                <w:highlight w:val="none"/>
              </w:rPr>
            </w:pPr>
            <w:r>
              <w:rPr>
                <w:rFonts w:hint="eastAsia" w:ascii="宋体" w:hAnsi="宋体" w:cs="宋体"/>
                <w:color w:val="auto"/>
                <w:kern w:val="0"/>
                <w:sz w:val="21"/>
                <w:szCs w:val="21"/>
                <w:highlight w:val="none"/>
              </w:rPr>
              <w:t>网页防篡改（1个网站）</w:t>
            </w:r>
          </w:p>
        </w:tc>
        <w:tc>
          <w:tcPr>
            <w:tcW w:w="7520" w:type="dxa"/>
            <w:tcBorders>
              <w:tl2br w:val="nil"/>
              <w:tr2bl w:val="nil"/>
            </w:tcBorders>
            <w:vAlign w:val="center"/>
          </w:tcPr>
          <w:p w14:paraId="354E5089">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目录保护：支持对指定文件夹以及子文件夹的保护，避免上传非法文件及木马等恶意文件或插入恶意代码。</w:t>
            </w:r>
          </w:p>
        </w:tc>
      </w:tr>
      <w:tr w14:paraId="53C9B24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7C436042">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77C89090">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4AC492D9">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模板配置：支持在同一种操作系统下，网站路径相同，可通过规则模板，用模板统一将规则下发到各监控端，无需对监控端进行一一配置。</w:t>
            </w:r>
          </w:p>
        </w:tc>
      </w:tr>
      <w:tr w14:paraId="7900204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7B8E10A6">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7D7C3751">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734774FB">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一键启停文件保护：一键启停所有监控端（agent）对文件开始／停止保护，不必登录WEB服务启进行停启。</w:t>
            </w:r>
          </w:p>
        </w:tc>
      </w:tr>
      <w:tr w14:paraId="27D4D39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1528F077">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41D52836">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6AC833ED">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网站漏洞防护：实时防护网站常见的SQL注入攻击、XSS跨站攻击、Web容器及应用漏洞攻击。</w:t>
            </w:r>
          </w:p>
        </w:tc>
      </w:tr>
      <w:tr w14:paraId="38345C9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6C216141">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78A93A5C">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2E65D4E3">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智能检测并防御CC攻击，保证网站正常服务能力。低中高三级防护：策略验证、Cookie、JS脚本混合验证、抗图片识别工具的干扰色图片验证。</w:t>
            </w:r>
          </w:p>
        </w:tc>
      </w:tr>
      <w:tr w14:paraId="3729657C">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1" w:type="dxa"/>
            <w:vMerge w:val="continue"/>
            <w:tcBorders>
              <w:tl2br w:val="nil"/>
              <w:tr2bl w:val="nil"/>
            </w:tcBorders>
            <w:vAlign w:val="center"/>
          </w:tcPr>
          <w:p w14:paraId="58EDD7F8">
            <w:pPr>
              <w:widowControl/>
              <w:spacing w:line="240" w:lineRule="auto"/>
              <w:jc w:val="left"/>
              <w:rPr>
                <w:rFonts w:ascii="宋体" w:hAnsi="宋体" w:eastAsia="Times New Roman" w:cs="宋体"/>
                <w:color w:val="auto"/>
                <w:kern w:val="0"/>
                <w:sz w:val="21"/>
                <w:szCs w:val="21"/>
                <w:highlight w:val="none"/>
              </w:rPr>
            </w:pPr>
          </w:p>
        </w:tc>
        <w:tc>
          <w:tcPr>
            <w:tcW w:w="1187" w:type="dxa"/>
            <w:vMerge w:val="continue"/>
            <w:tcBorders>
              <w:tl2br w:val="nil"/>
              <w:tr2bl w:val="nil"/>
            </w:tcBorders>
            <w:vAlign w:val="center"/>
          </w:tcPr>
          <w:p w14:paraId="4091BA48">
            <w:pPr>
              <w:widowControl/>
              <w:spacing w:line="240" w:lineRule="auto"/>
              <w:jc w:val="left"/>
              <w:rPr>
                <w:rFonts w:ascii="宋体" w:hAnsi="宋体" w:eastAsia="Times New Roman" w:cs="宋体"/>
                <w:color w:val="auto"/>
                <w:kern w:val="0"/>
                <w:sz w:val="21"/>
                <w:szCs w:val="21"/>
                <w:highlight w:val="none"/>
              </w:rPr>
            </w:pPr>
          </w:p>
        </w:tc>
        <w:tc>
          <w:tcPr>
            <w:tcW w:w="7520" w:type="dxa"/>
            <w:tcBorders>
              <w:tl2br w:val="nil"/>
              <w:tr2bl w:val="nil"/>
            </w:tcBorders>
            <w:vAlign w:val="center"/>
          </w:tcPr>
          <w:p w14:paraId="52A874E5">
            <w:pPr>
              <w:widowControl/>
              <w:spacing w:line="240" w:lineRule="auto"/>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支持多种日志级别，日志导出，支持邮件，Syslog，短信，SNMPTrap，平台等多种告警方式。</w:t>
            </w:r>
          </w:p>
        </w:tc>
      </w:tr>
    </w:tbl>
    <w:p w14:paraId="5DB393A8">
      <w:pPr>
        <w:pStyle w:val="6"/>
        <w:keepNext/>
        <w:keepLines/>
        <w:pageBreakBefore w:val="0"/>
        <w:widowControl w:val="0"/>
        <w:numPr>
          <w:ilvl w:val="0"/>
          <w:numId w:val="24"/>
        </w:numPr>
        <w:kinsoku/>
        <w:wordWrap/>
        <w:overflowPunct/>
        <w:topLinePunct w:val="0"/>
        <w:autoSpaceDE/>
        <w:autoSpaceDN/>
        <w:bidi w:val="0"/>
        <w:adjustRightInd/>
        <w:snapToGrid/>
        <w:spacing w:before="490" w:beforeLines="150"/>
        <w:textAlignment w:val="auto"/>
        <w:rPr>
          <w:color w:val="auto"/>
          <w:sz w:val="28"/>
          <w:szCs w:val="28"/>
          <w:highlight w:val="none"/>
        </w:rPr>
      </w:pPr>
      <w:r>
        <w:rPr>
          <w:rFonts w:hint="eastAsia"/>
          <w:color w:val="auto"/>
          <w:sz w:val="28"/>
          <w:szCs w:val="28"/>
          <w:highlight w:val="none"/>
        </w:rPr>
        <w:t>信创第三方商业软件</w:t>
      </w:r>
    </w:p>
    <w:p w14:paraId="12D168F1">
      <w:pPr>
        <w:pStyle w:val="7"/>
        <w:numPr>
          <w:ilvl w:val="1"/>
          <w:numId w:val="24"/>
        </w:numPr>
        <w:rPr>
          <w:rFonts w:cs="Times New Roman"/>
          <w:color w:val="auto"/>
          <w:sz w:val="22"/>
          <w:szCs w:val="22"/>
          <w:highlight w:val="none"/>
        </w:rPr>
      </w:pPr>
      <w:r>
        <w:rPr>
          <w:rFonts w:hint="eastAsia"/>
          <w:color w:val="auto"/>
          <w:sz w:val="22"/>
          <w:szCs w:val="22"/>
          <w:highlight w:val="none"/>
        </w:rPr>
        <w:t>国产Web中间件</w:t>
      </w:r>
    </w:p>
    <w:p w14:paraId="28CFA773">
      <w:pPr>
        <w:pStyle w:val="30"/>
        <w:ind w:firstLine="480"/>
        <w:rPr>
          <w:rFonts w:hint="eastAsia" w:cs="宋体"/>
          <w:color w:val="auto"/>
          <w:sz w:val="22"/>
          <w:szCs w:val="22"/>
          <w:highlight w:val="none"/>
        </w:rPr>
      </w:pPr>
      <w:r>
        <w:rPr>
          <w:rFonts w:hint="eastAsia" w:cs="宋体"/>
          <w:color w:val="auto"/>
          <w:sz w:val="22"/>
          <w:szCs w:val="22"/>
          <w:highlight w:val="none"/>
        </w:rPr>
        <w:t>数量：4套</w:t>
      </w:r>
    </w:p>
    <w:p w14:paraId="6602A60C">
      <w:pPr>
        <w:pStyle w:val="30"/>
        <w:ind w:firstLine="480"/>
        <w:rPr>
          <w:rFonts w:hint="eastAsia" w:cs="宋体"/>
          <w:color w:val="auto"/>
          <w:sz w:val="22"/>
          <w:szCs w:val="22"/>
          <w:highlight w:val="none"/>
        </w:rPr>
      </w:pPr>
      <w:r>
        <w:rPr>
          <w:rFonts w:hint="eastAsia" w:cs="宋体"/>
          <w:color w:val="auto"/>
          <w:sz w:val="22"/>
          <w:szCs w:val="22"/>
          <w:highlight w:val="none"/>
        </w:rPr>
        <w:t>中间件产品参数：</w:t>
      </w: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77"/>
        <w:gridCol w:w="7612"/>
      </w:tblGrid>
      <w:tr w14:paraId="0A95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181B93F8">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77" w:type="dxa"/>
            <w:vAlign w:val="center"/>
          </w:tcPr>
          <w:p w14:paraId="057C5CE3">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指标项</w:t>
            </w:r>
          </w:p>
        </w:tc>
        <w:tc>
          <w:tcPr>
            <w:tcW w:w="7612" w:type="dxa"/>
            <w:vAlign w:val="center"/>
          </w:tcPr>
          <w:p w14:paraId="7331D165">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技术要求</w:t>
            </w:r>
          </w:p>
        </w:tc>
      </w:tr>
      <w:tr w14:paraId="5BEA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016E3158">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7" w:type="dxa"/>
            <w:vMerge w:val="restart"/>
            <w:vAlign w:val="center"/>
          </w:tcPr>
          <w:p w14:paraId="09BE303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总体要求</w:t>
            </w:r>
          </w:p>
        </w:tc>
        <w:tc>
          <w:tcPr>
            <w:tcW w:w="7612" w:type="dxa"/>
            <w:vAlign w:val="center"/>
          </w:tcPr>
          <w:p w14:paraId="2970B37F">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所投中间件产品在《安可替代产品名录》中</w:t>
            </w:r>
          </w:p>
        </w:tc>
      </w:tr>
      <w:tr w14:paraId="00A4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702C86AC">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7" w:type="dxa"/>
            <w:vMerge w:val="continue"/>
            <w:vAlign w:val="center"/>
          </w:tcPr>
          <w:p w14:paraId="6A757027">
            <w:pPr>
              <w:widowControl/>
              <w:spacing w:line="240" w:lineRule="auto"/>
              <w:jc w:val="left"/>
              <w:rPr>
                <w:rFonts w:hint="eastAsia" w:ascii="宋体" w:hAnsi="宋体" w:eastAsia="宋体" w:cs="宋体"/>
                <w:color w:val="auto"/>
                <w:kern w:val="0"/>
                <w:sz w:val="21"/>
                <w:szCs w:val="21"/>
                <w:highlight w:val="none"/>
              </w:rPr>
            </w:pPr>
          </w:p>
        </w:tc>
        <w:tc>
          <w:tcPr>
            <w:tcW w:w="7612" w:type="dxa"/>
            <w:vAlign w:val="center"/>
          </w:tcPr>
          <w:p w14:paraId="108B6A22">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 Java EE5.0、Java EE6.0认证</w:t>
            </w:r>
            <w:r>
              <w:rPr>
                <w:rFonts w:hint="eastAsia" w:ascii="宋体" w:hAnsi="宋体" w:eastAsia="宋体" w:cs="宋体"/>
                <w:color w:val="auto"/>
                <w:sz w:val="21"/>
                <w:szCs w:val="21"/>
                <w:highlight w:val="none"/>
              </w:rPr>
              <w:t>、Java EE7.0认证</w:t>
            </w:r>
            <w:r>
              <w:rPr>
                <w:rFonts w:hint="eastAsia" w:ascii="宋体" w:hAnsi="宋体" w:eastAsia="宋体" w:cs="宋体"/>
                <w:color w:val="auto"/>
                <w:kern w:val="0"/>
                <w:sz w:val="21"/>
                <w:szCs w:val="21"/>
                <w:highlight w:val="none"/>
              </w:rPr>
              <w:t>，并获得Java EE平台授权许可。</w:t>
            </w:r>
          </w:p>
        </w:tc>
      </w:tr>
      <w:tr w14:paraId="3DE7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9" w:type="dxa"/>
            <w:vAlign w:val="center"/>
          </w:tcPr>
          <w:p w14:paraId="55230243">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77" w:type="dxa"/>
            <w:vMerge w:val="continue"/>
            <w:vAlign w:val="center"/>
          </w:tcPr>
          <w:p w14:paraId="5707D1F0">
            <w:pPr>
              <w:widowControl/>
              <w:spacing w:line="240" w:lineRule="auto"/>
              <w:jc w:val="left"/>
              <w:rPr>
                <w:rFonts w:hint="eastAsia" w:ascii="宋体" w:hAnsi="宋体" w:eastAsia="宋体" w:cs="宋体"/>
                <w:color w:val="auto"/>
                <w:kern w:val="0"/>
                <w:sz w:val="21"/>
                <w:szCs w:val="21"/>
                <w:highlight w:val="none"/>
              </w:rPr>
            </w:pPr>
          </w:p>
        </w:tc>
        <w:tc>
          <w:tcPr>
            <w:tcW w:w="7612" w:type="dxa"/>
            <w:vAlign w:val="center"/>
          </w:tcPr>
          <w:p w14:paraId="38E475F5">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产品厂商应具有良好的产品规划和先进技术跟踪能力，参与制定Java EE 6标准（JSR316）和Java EE 7标准（JSR342），并可提供网址查询。</w:t>
            </w:r>
          </w:p>
        </w:tc>
      </w:tr>
      <w:tr w14:paraId="51CB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4F546F21">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77" w:type="dxa"/>
            <w:vMerge w:val="continue"/>
            <w:vAlign w:val="center"/>
          </w:tcPr>
          <w:p w14:paraId="509A4AC8">
            <w:pPr>
              <w:widowControl/>
              <w:spacing w:line="240" w:lineRule="auto"/>
              <w:jc w:val="left"/>
              <w:rPr>
                <w:rFonts w:hint="eastAsia" w:ascii="宋体" w:hAnsi="宋体" w:eastAsia="宋体" w:cs="宋体"/>
                <w:color w:val="auto"/>
                <w:kern w:val="0"/>
                <w:sz w:val="21"/>
                <w:szCs w:val="21"/>
                <w:highlight w:val="none"/>
              </w:rPr>
            </w:pPr>
          </w:p>
        </w:tc>
        <w:tc>
          <w:tcPr>
            <w:tcW w:w="7612" w:type="dxa"/>
            <w:vAlign w:val="center"/>
          </w:tcPr>
          <w:p w14:paraId="4683C57E">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产品厂商参与国标 GB/T 26232-2010《基于 J2EE 的应用服务器技术规范》的起草与制定。（提供证明）</w:t>
            </w:r>
          </w:p>
        </w:tc>
      </w:tr>
      <w:tr w14:paraId="56FA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7F1E6FAB">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77" w:type="dxa"/>
            <w:vMerge w:val="continue"/>
            <w:vAlign w:val="center"/>
          </w:tcPr>
          <w:p w14:paraId="0777854D">
            <w:pPr>
              <w:widowControl/>
              <w:spacing w:line="240" w:lineRule="auto"/>
              <w:jc w:val="left"/>
              <w:rPr>
                <w:rFonts w:hint="eastAsia" w:ascii="宋体" w:hAnsi="宋体" w:eastAsia="宋体" w:cs="宋体"/>
                <w:color w:val="auto"/>
                <w:kern w:val="0"/>
                <w:sz w:val="21"/>
                <w:szCs w:val="21"/>
                <w:highlight w:val="none"/>
              </w:rPr>
            </w:pPr>
          </w:p>
        </w:tc>
        <w:tc>
          <w:tcPr>
            <w:tcW w:w="7612" w:type="dxa"/>
            <w:vAlign w:val="center"/>
          </w:tcPr>
          <w:p w14:paraId="6FFB54E6">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为响应国家IPv6战略规划要求，产品必须支持IPv6。</w:t>
            </w:r>
          </w:p>
        </w:tc>
      </w:tr>
      <w:tr w14:paraId="71FE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24BF6E38">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77" w:type="dxa"/>
            <w:vMerge w:val="continue"/>
            <w:vAlign w:val="center"/>
          </w:tcPr>
          <w:p w14:paraId="12061165">
            <w:pPr>
              <w:widowControl/>
              <w:spacing w:line="240" w:lineRule="auto"/>
              <w:jc w:val="left"/>
              <w:rPr>
                <w:rFonts w:hint="eastAsia" w:ascii="宋体" w:hAnsi="宋体" w:eastAsia="宋体" w:cs="宋体"/>
                <w:color w:val="auto"/>
                <w:kern w:val="0"/>
                <w:sz w:val="21"/>
                <w:szCs w:val="21"/>
                <w:highlight w:val="none"/>
              </w:rPr>
            </w:pPr>
          </w:p>
        </w:tc>
        <w:tc>
          <w:tcPr>
            <w:tcW w:w="7612" w:type="dxa"/>
            <w:vAlign w:val="center"/>
          </w:tcPr>
          <w:p w14:paraId="3129051E">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提供内置的JMS服务，支持将TongLINK/Q等第三方消息中间件作为消息服务代理。</w:t>
            </w:r>
          </w:p>
        </w:tc>
      </w:tr>
      <w:tr w14:paraId="5636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3E4451A1">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77" w:type="dxa"/>
            <w:vMerge w:val="restart"/>
            <w:vAlign w:val="center"/>
          </w:tcPr>
          <w:p w14:paraId="333CF49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高可用要求</w:t>
            </w:r>
          </w:p>
        </w:tc>
        <w:tc>
          <w:tcPr>
            <w:tcW w:w="7612" w:type="dxa"/>
            <w:vAlign w:val="center"/>
          </w:tcPr>
          <w:p w14:paraId="6F03444D">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提供高可用性，不依赖固定 HA 软件，支持 Web Server 的双机状况监控与备份切换，避免均衡负载器的单点故障。</w:t>
            </w:r>
          </w:p>
        </w:tc>
      </w:tr>
      <w:tr w14:paraId="79AD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0FE591EE">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77" w:type="dxa"/>
            <w:vMerge w:val="continue"/>
            <w:vAlign w:val="center"/>
          </w:tcPr>
          <w:p w14:paraId="6D65D33B">
            <w:pPr>
              <w:widowControl/>
              <w:spacing w:line="240" w:lineRule="auto"/>
              <w:jc w:val="left"/>
              <w:rPr>
                <w:rFonts w:hint="eastAsia" w:ascii="宋体" w:hAnsi="宋体" w:eastAsia="宋体" w:cs="宋体"/>
                <w:color w:val="auto"/>
                <w:kern w:val="0"/>
                <w:sz w:val="21"/>
                <w:szCs w:val="21"/>
                <w:highlight w:val="none"/>
              </w:rPr>
            </w:pPr>
          </w:p>
        </w:tc>
        <w:tc>
          <w:tcPr>
            <w:tcW w:w="7612" w:type="dxa"/>
            <w:vAlign w:val="center"/>
          </w:tcPr>
          <w:p w14:paraId="310A54FD">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Java EE 应用服务器异常退出时，能自动重启，以提供自恢复能力。</w:t>
            </w:r>
          </w:p>
        </w:tc>
      </w:tr>
      <w:tr w14:paraId="2CD1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4CF40486">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77" w:type="dxa"/>
            <w:vMerge w:val="continue"/>
            <w:vAlign w:val="center"/>
          </w:tcPr>
          <w:p w14:paraId="13A675A5">
            <w:pPr>
              <w:widowControl/>
              <w:spacing w:line="240" w:lineRule="auto"/>
              <w:jc w:val="left"/>
              <w:rPr>
                <w:rFonts w:hint="eastAsia" w:ascii="宋体" w:hAnsi="宋体" w:eastAsia="宋体" w:cs="宋体"/>
                <w:color w:val="auto"/>
                <w:kern w:val="0"/>
                <w:sz w:val="21"/>
                <w:szCs w:val="21"/>
                <w:highlight w:val="none"/>
              </w:rPr>
            </w:pPr>
          </w:p>
        </w:tc>
        <w:tc>
          <w:tcPr>
            <w:tcW w:w="7612" w:type="dxa"/>
            <w:vAlign w:val="center"/>
          </w:tcPr>
          <w:p w14:paraId="6115ABDD">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具有weboffice在线编辑功能，提供中间件与weboffice在线编辑品牌的产品兼容性证书。</w:t>
            </w:r>
          </w:p>
        </w:tc>
      </w:tr>
      <w:tr w14:paraId="4D4B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39061BC4">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77" w:type="dxa"/>
            <w:vMerge w:val="restart"/>
            <w:vAlign w:val="center"/>
          </w:tcPr>
          <w:p w14:paraId="2C3B7F0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安全要求</w:t>
            </w:r>
          </w:p>
        </w:tc>
        <w:tc>
          <w:tcPr>
            <w:tcW w:w="7612" w:type="dxa"/>
            <w:vAlign w:val="center"/>
          </w:tcPr>
          <w:p w14:paraId="6F76263C">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提供访问过滤配置功能，能够拒绝某 IP 或IP 段的机器访问 Web 应用，达到防攻击效果。</w:t>
            </w:r>
          </w:p>
        </w:tc>
      </w:tr>
      <w:tr w14:paraId="06CD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67D4971F">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277" w:type="dxa"/>
            <w:vMerge w:val="continue"/>
            <w:vAlign w:val="center"/>
          </w:tcPr>
          <w:p w14:paraId="6FEB2C42">
            <w:pPr>
              <w:widowControl/>
              <w:spacing w:line="240" w:lineRule="auto"/>
              <w:jc w:val="left"/>
              <w:rPr>
                <w:rFonts w:hint="eastAsia" w:ascii="宋体" w:hAnsi="宋体" w:eastAsia="宋体" w:cs="宋体"/>
                <w:color w:val="auto"/>
                <w:kern w:val="0"/>
                <w:sz w:val="21"/>
                <w:szCs w:val="21"/>
                <w:highlight w:val="none"/>
              </w:rPr>
            </w:pPr>
          </w:p>
        </w:tc>
        <w:tc>
          <w:tcPr>
            <w:tcW w:w="7612" w:type="dxa"/>
            <w:vAlign w:val="center"/>
          </w:tcPr>
          <w:p w14:paraId="20CCDF1C">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支持禁用SSLv2,SSLv3 有漏洞的安全协议、提供控制台用户密码锁定。</w:t>
            </w:r>
          </w:p>
        </w:tc>
      </w:tr>
      <w:tr w14:paraId="67AF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9" w:type="dxa"/>
            <w:vAlign w:val="center"/>
          </w:tcPr>
          <w:p w14:paraId="7EA1CEF1">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277" w:type="dxa"/>
            <w:vMerge w:val="restart"/>
            <w:vAlign w:val="center"/>
          </w:tcPr>
          <w:p w14:paraId="12D65F1F">
            <w:pPr>
              <w:widowControl/>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管理要求</w:t>
            </w:r>
          </w:p>
        </w:tc>
        <w:tc>
          <w:tcPr>
            <w:tcW w:w="7612" w:type="dxa"/>
            <w:vAlign w:val="center"/>
          </w:tcPr>
          <w:p w14:paraId="716EDC41">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支持集群的集中管理，包括节点安装、负载集群的自动配置，资源管理（如：JDBC 数据源）、实例管理（如：集中部署、启停、状态监控等），集中监控（资源、实例）等。</w:t>
            </w:r>
          </w:p>
        </w:tc>
      </w:tr>
      <w:tr w14:paraId="329C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0ACF636C">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277" w:type="dxa"/>
            <w:vMerge w:val="continue"/>
            <w:vAlign w:val="center"/>
          </w:tcPr>
          <w:p w14:paraId="315651CE">
            <w:pPr>
              <w:widowControl/>
              <w:spacing w:line="240" w:lineRule="auto"/>
              <w:jc w:val="left"/>
              <w:rPr>
                <w:rFonts w:hint="eastAsia" w:ascii="宋体" w:hAnsi="宋体" w:eastAsia="宋体" w:cs="宋体"/>
                <w:b/>
                <w:bCs/>
                <w:color w:val="auto"/>
                <w:kern w:val="0"/>
                <w:sz w:val="21"/>
                <w:szCs w:val="21"/>
                <w:highlight w:val="none"/>
              </w:rPr>
            </w:pPr>
          </w:p>
        </w:tc>
        <w:tc>
          <w:tcPr>
            <w:tcW w:w="7612" w:type="dxa"/>
            <w:vAlign w:val="center"/>
          </w:tcPr>
          <w:p w14:paraId="0BFAADF6">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支持动态加载新业务或更新业务，支持业务系统新旧版本的动态切换。（提供产品界面截图）</w:t>
            </w:r>
          </w:p>
        </w:tc>
      </w:tr>
      <w:tr w14:paraId="23BA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9" w:type="dxa"/>
            <w:vAlign w:val="center"/>
          </w:tcPr>
          <w:p w14:paraId="79FB5289">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277" w:type="dxa"/>
            <w:vMerge w:val="continue"/>
            <w:vAlign w:val="center"/>
          </w:tcPr>
          <w:p w14:paraId="7A9C08CA">
            <w:pPr>
              <w:widowControl/>
              <w:spacing w:line="240" w:lineRule="auto"/>
              <w:jc w:val="left"/>
              <w:rPr>
                <w:rFonts w:hint="eastAsia" w:ascii="宋体" w:hAnsi="宋体" w:eastAsia="宋体" w:cs="宋体"/>
                <w:b/>
                <w:bCs/>
                <w:color w:val="auto"/>
                <w:kern w:val="0"/>
                <w:sz w:val="21"/>
                <w:szCs w:val="21"/>
                <w:highlight w:val="none"/>
              </w:rPr>
            </w:pPr>
          </w:p>
        </w:tc>
        <w:tc>
          <w:tcPr>
            <w:tcW w:w="7612" w:type="dxa"/>
            <w:vAlign w:val="center"/>
          </w:tcPr>
          <w:p w14:paraId="670DDE3D">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提供快照功能，用于在出现故障时对其进行诊断和隔离。（提供产品界面截图）</w:t>
            </w:r>
          </w:p>
        </w:tc>
      </w:tr>
      <w:tr w14:paraId="3464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9" w:type="dxa"/>
            <w:vAlign w:val="center"/>
          </w:tcPr>
          <w:p w14:paraId="22006626">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7" w:type="dxa"/>
            <w:vMerge w:val="continue"/>
            <w:vAlign w:val="center"/>
          </w:tcPr>
          <w:p w14:paraId="62967C1E">
            <w:pPr>
              <w:widowControl/>
              <w:spacing w:line="240" w:lineRule="auto"/>
              <w:jc w:val="left"/>
              <w:rPr>
                <w:rFonts w:hint="eastAsia" w:ascii="宋体" w:hAnsi="宋体" w:eastAsia="宋体" w:cs="宋体"/>
                <w:b/>
                <w:bCs/>
                <w:color w:val="auto"/>
                <w:kern w:val="0"/>
                <w:sz w:val="21"/>
                <w:szCs w:val="21"/>
                <w:highlight w:val="none"/>
              </w:rPr>
            </w:pPr>
          </w:p>
        </w:tc>
        <w:tc>
          <w:tcPr>
            <w:tcW w:w="7612" w:type="dxa"/>
            <w:vAlign w:val="center"/>
          </w:tcPr>
          <w:p w14:paraId="106B401B">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提供类加载冲突检测工具，可以检测出应用部署和运行过程中哪些类存在类加载冲突问题，并能自动生成冲突检测报告，方便快速定位和解决应用类加载问题。</w:t>
            </w:r>
          </w:p>
        </w:tc>
      </w:tr>
      <w:tr w14:paraId="34D1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9" w:type="dxa"/>
            <w:vAlign w:val="center"/>
          </w:tcPr>
          <w:p w14:paraId="706E7ED4">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277" w:type="dxa"/>
            <w:vAlign w:val="center"/>
          </w:tcPr>
          <w:p w14:paraId="17A3537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7612" w:type="dxa"/>
            <w:vAlign w:val="center"/>
          </w:tcPr>
          <w:p w14:paraId="03A776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投标方需提供产品原厂商的授权和售后服务承诺函（加盖原厂公章）</w:t>
            </w:r>
          </w:p>
        </w:tc>
      </w:tr>
    </w:tbl>
    <w:p w14:paraId="6F0B8917">
      <w:pPr>
        <w:pStyle w:val="7"/>
        <w:numPr>
          <w:ilvl w:val="1"/>
          <w:numId w:val="24"/>
        </w:numPr>
        <w:rPr>
          <w:rFonts w:hint="eastAsia"/>
          <w:color w:val="auto"/>
          <w:sz w:val="22"/>
          <w:szCs w:val="22"/>
          <w:highlight w:val="none"/>
        </w:rPr>
      </w:pPr>
      <w:r>
        <w:rPr>
          <w:rFonts w:hint="eastAsia"/>
          <w:color w:val="auto"/>
          <w:sz w:val="22"/>
          <w:szCs w:val="22"/>
          <w:highlight w:val="none"/>
        </w:rPr>
        <w:t>国产数据库</w:t>
      </w:r>
    </w:p>
    <w:p w14:paraId="57F6B642">
      <w:pPr>
        <w:pStyle w:val="30"/>
        <w:ind w:firstLine="480"/>
        <w:rPr>
          <w:rFonts w:hint="eastAsia" w:cs="宋体"/>
          <w:color w:val="auto"/>
          <w:sz w:val="22"/>
          <w:szCs w:val="22"/>
          <w:highlight w:val="none"/>
        </w:rPr>
      </w:pPr>
      <w:r>
        <w:rPr>
          <w:rFonts w:hint="eastAsia" w:cs="宋体"/>
          <w:color w:val="auto"/>
          <w:sz w:val="22"/>
          <w:szCs w:val="22"/>
          <w:highlight w:val="none"/>
        </w:rPr>
        <w:t>数量：2套</w:t>
      </w:r>
    </w:p>
    <w:p w14:paraId="5AE60D26">
      <w:pPr>
        <w:ind w:firstLine="420"/>
        <w:rPr>
          <w:rFonts w:hint="eastAsia" w:ascii="宋体" w:hAnsi="宋体"/>
          <w:color w:val="auto"/>
          <w:sz w:val="22"/>
          <w:szCs w:val="22"/>
          <w:highlight w:val="none"/>
        </w:rPr>
      </w:pPr>
      <w:r>
        <w:rPr>
          <w:rFonts w:ascii="宋体" w:hAnsi="宋体"/>
          <w:color w:val="auto"/>
          <w:sz w:val="22"/>
          <w:szCs w:val="22"/>
          <w:highlight w:val="none"/>
        </w:rPr>
        <w:t>1、国产关系型数据库软件，产品需兼容主流国产CPU芯片和主流国产操作系统。</w:t>
      </w:r>
    </w:p>
    <w:p w14:paraId="1DAE152D">
      <w:pPr>
        <w:ind w:firstLine="420"/>
        <w:rPr>
          <w:rFonts w:hint="eastAsia" w:ascii="宋体" w:hAnsi="宋体"/>
          <w:color w:val="auto"/>
          <w:sz w:val="22"/>
          <w:szCs w:val="22"/>
          <w:highlight w:val="none"/>
        </w:rPr>
      </w:pPr>
      <w:r>
        <w:rPr>
          <w:rFonts w:ascii="宋体" w:hAnsi="宋体"/>
          <w:color w:val="auto"/>
          <w:sz w:val="22"/>
          <w:szCs w:val="22"/>
          <w:highlight w:val="none"/>
        </w:rPr>
        <w:t>2、产品支持数据库迁移评估，数据库评估平均每分钟可以处理13000个以上数据库对象，平均每分钟可以处理170000行以上代码。</w:t>
      </w:r>
    </w:p>
    <w:p w14:paraId="1F91D258">
      <w:pPr>
        <w:ind w:firstLine="420"/>
        <w:rPr>
          <w:rFonts w:hint="eastAsia" w:ascii="宋体" w:hAnsi="宋体"/>
          <w:color w:val="auto"/>
          <w:sz w:val="22"/>
          <w:szCs w:val="22"/>
          <w:highlight w:val="none"/>
        </w:rPr>
      </w:pPr>
      <w:r>
        <w:rPr>
          <w:rFonts w:ascii="宋体" w:hAnsi="宋体"/>
          <w:color w:val="auto"/>
          <w:sz w:val="22"/>
          <w:szCs w:val="22"/>
          <w:highlight w:val="none"/>
        </w:rPr>
        <w:t>3、支持多种索引类型，包括: btree、hash、brin、bloom、位图索引。位图索引中存储表中各列值的位图信息，当列取值少时，位图索引的占用空间要比B树索引更小。</w:t>
      </w:r>
    </w:p>
    <w:p w14:paraId="4F6D244F">
      <w:pPr>
        <w:ind w:firstLine="420"/>
        <w:rPr>
          <w:rFonts w:hint="eastAsia" w:ascii="宋体" w:hAnsi="宋体"/>
          <w:color w:val="auto"/>
          <w:sz w:val="22"/>
          <w:szCs w:val="22"/>
          <w:highlight w:val="none"/>
        </w:rPr>
      </w:pPr>
      <w:r>
        <w:rPr>
          <w:rFonts w:ascii="宋体" w:hAnsi="宋体"/>
          <w:color w:val="auto"/>
          <w:sz w:val="22"/>
          <w:szCs w:val="22"/>
          <w:highlight w:val="none"/>
        </w:rPr>
        <w:t>4、★支持全文检索功能，支持中、英文分词全文检索，增量数据直接通过全文检索进行查询，不需要手工维护。支持jieba、zhparser等多种分词算法，且jieba、zhparser算法均支持utf-8及gbk编码进行分词。提供权威机构第三方测试报告。</w:t>
      </w:r>
    </w:p>
    <w:p w14:paraId="106E4450">
      <w:pPr>
        <w:ind w:firstLine="420"/>
        <w:rPr>
          <w:rFonts w:hint="eastAsia" w:ascii="宋体" w:hAnsi="宋体"/>
          <w:color w:val="auto"/>
          <w:sz w:val="22"/>
          <w:szCs w:val="22"/>
          <w:highlight w:val="none"/>
        </w:rPr>
      </w:pPr>
      <w:r>
        <w:rPr>
          <w:rFonts w:ascii="宋体" w:hAnsi="宋体"/>
          <w:color w:val="auto"/>
          <w:sz w:val="22"/>
          <w:szCs w:val="22"/>
          <w:highlight w:val="none"/>
        </w:rPr>
        <w:t>5、支持GSSAPI认证，支持LDAP、SSO、口令认证方式，支持采用操作系统用户访问数据库的机制，支持日志加密。提供权威机构第三方测试报告。</w:t>
      </w:r>
    </w:p>
    <w:p w14:paraId="5A1BDD80">
      <w:pPr>
        <w:ind w:firstLine="420"/>
        <w:rPr>
          <w:rFonts w:hint="eastAsia" w:ascii="宋体" w:hAnsi="宋体"/>
          <w:color w:val="auto"/>
          <w:sz w:val="22"/>
          <w:szCs w:val="22"/>
          <w:highlight w:val="none"/>
        </w:rPr>
      </w:pPr>
      <w:r>
        <w:rPr>
          <w:rFonts w:ascii="宋体" w:hAnsi="宋体"/>
          <w:color w:val="auto"/>
          <w:sz w:val="22"/>
          <w:szCs w:val="22"/>
          <w:highlight w:val="none"/>
        </w:rPr>
        <w:t>6、支持动态数据脱敏，支持四种脱敏规则(默认脱敏default、随机脱敏random、自定义脱敏partial和哈希脱敏sha)。提供权威机构第三方测试报告。</w:t>
      </w:r>
    </w:p>
    <w:p w14:paraId="4740A4E2">
      <w:pPr>
        <w:ind w:firstLine="420"/>
        <w:rPr>
          <w:rFonts w:hint="eastAsia" w:ascii="宋体" w:hAnsi="宋体"/>
          <w:color w:val="auto"/>
          <w:sz w:val="22"/>
          <w:szCs w:val="22"/>
          <w:highlight w:val="none"/>
        </w:rPr>
      </w:pPr>
      <w:r>
        <w:rPr>
          <w:rFonts w:ascii="宋体" w:hAnsi="宋体"/>
          <w:color w:val="auto"/>
          <w:sz w:val="22"/>
          <w:szCs w:val="22"/>
          <w:highlight w:val="none"/>
        </w:rPr>
        <w:t>7、支持每列指定不同的collate，创建不同于数据collate的索引。支持局部索引Partial Indexes，BRIN索引，BLOOM索引，like变量表达式索引，提供配套迁移工具，支持将大表拆分为多块后并行迁移，用户可自定义拆分规则，支持大表自动拆分，支持通过数据过滤条件结合多迁移任务实现数据的分片（Sharding）迁移（数据分片策略包括求余、哈希、范围）。提供权威机构第三方测试报告。</w:t>
      </w:r>
    </w:p>
    <w:p w14:paraId="2A1E87AE">
      <w:pPr>
        <w:ind w:firstLine="420"/>
        <w:rPr>
          <w:rFonts w:hint="eastAsia" w:ascii="宋体" w:hAnsi="宋体"/>
          <w:color w:val="auto"/>
          <w:sz w:val="22"/>
          <w:szCs w:val="22"/>
          <w:highlight w:val="none"/>
        </w:rPr>
      </w:pPr>
      <w:r>
        <w:rPr>
          <w:rFonts w:ascii="宋体" w:hAnsi="宋体"/>
          <w:color w:val="auto"/>
          <w:sz w:val="22"/>
          <w:szCs w:val="22"/>
          <w:highlight w:val="none"/>
        </w:rPr>
        <w:t>8、产品要求具备高安全性，能够通过中国网络安全审查技术与认证中心的认证。提供中国国家信息安全产品认证(网络关键设备和网络安全专用产品安全认证)证书。</w:t>
      </w:r>
    </w:p>
    <w:p w14:paraId="741DD4B5">
      <w:pPr>
        <w:pStyle w:val="7"/>
        <w:numPr>
          <w:ilvl w:val="1"/>
          <w:numId w:val="24"/>
        </w:numPr>
        <w:rPr>
          <w:rFonts w:hint="eastAsia"/>
          <w:color w:val="auto"/>
          <w:sz w:val="22"/>
          <w:szCs w:val="22"/>
          <w:highlight w:val="none"/>
        </w:rPr>
      </w:pPr>
      <w:r>
        <w:rPr>
          <w:rFonts w:hint="eastAsia"/>
          <w:color w:val="auto"/>
          <w:sz w:val="22"/>
          <w:szCs w:val="22"/>
          <w:highlight w:val="none"/>
        </w:rPr>
        <w:t>国产操作系统（6套）</w:t>
      </w:r>
    </w:p>
    <w:p w14:paraId="31E1D6B9">
      <w:pPr>
        <w:pStyle w:val="30"/>
        <w:ind w:firstLine="480"/>
        <w:rPr>
          <w:rFonts w:hint="eastAsia"/>
          <w:b/>
          <w:bCs/>
          <w:color w:val="auto"/>
          <w:sz w:val="22"/>
          <w:szCs w:val="22"/>
          <w:highlight w:val="none"/>
        </w:rPr>
      </w:pPr>
      <w:r>
        <w:rPr>
          <w:rFonts w:hint="eastAsia"/>
          <w:bCs/>
          <w:color w:val="auto"/>
          <w:sz w:val="22"/>
          <w:szCs w:val="22"/>
          <w:highlight w:val="none"/>
        </w:rPr>
        <w:t>具体要求如下：应使用国产品牌，同时满足如下要求：</w:t>
      </w:r>
    </w:p>
    <w:p w14:paraId="03872317">
      <w:pPr>
        <w:pStyle w:val="30"/>
        <w:ind w:firstLine="480"/>
        <w:rPr>
          <w:rFonts w:hint="eastAsia"/>
          <w:b/>
          <w:bCs/>
          <w:color w:val="auto"/>
          <w:sz w:val="22"/>
          <w:szCs w:val="22"/>
          <w:highlight w:val="none"/>
        </w:rPr>
      </w:pPr>
      <w:r>
        <w:rPr>
          <w:rFonts w:hint="eastAsia"/>
          <w:bCs/>
          <w:color w:val="auto"/>
          <w:sz w:val="22"/>
          <w:szCs w:val="22"/>
          <w:highlight w:val="none"/>
        </w:rPr>
        <w:t>支持登录界面查看明文密码；支持 GCC 包含的 C、C++、Objective C、Objective C++ 和 Fortran等相应支持库（libstdc++、libgcj、...等）；支持 Python， Perl，Shell，Ruby，PHP 等脚本语言；支持 java 1.7 、1.8、11 等。</w:t>
      </w:r>
    </w:p>
    <w:p w14:paraId="7917E848">
      <w:pPr>
        <w:pStyle w:val="30"/>
        <w:ind w:firstLine="0" w:firstLineChars="0"/>
        <w:rPr>
          <w:rFonts w:hint="eastAsia"/>
          <w:b/>
          <w:bCs/>
          <w:color w:val="auto"/>
          <w:sz w:val="22"/>
          <w:szCs w:val="22"/>
          <w:highlight w:val="none"/>
        </w:rPr>
      </w:pPr>
      <w:r>
        <w:rPr>
          <w:rFonts w:hint="eastAsia"/>
          <w:bCs/>
          <w:color w:val="auto"/>
          <w:sz w:val="22"/>
          <w:szCs w:val="22"/>
          <w:highlight w:val="none"/>
        </w:rPr>
        <w:t>1、文件系统：</w:t>
      </w:r>
    </w:p>
    <w:p w14:paraId="32A8D175">
      <w:pPr>
        <w:pStyle w:val="30"/>
        <w:ind w:firstLine="480"/>
        <w:rPr>
          <w:rFonts w:hint="eastAsia"/>
          <w:b/>
          <w:bCs/>
          <w:color w:val="auto"/>
          <w:sz w:val="22"/>
          <w:szCs w:val="22"/>
          <w:highlight w:val="none"/>
        </w:rPr>
      </w:pPr>
      <w:r>
        <w:rPr>
          <w:rFonts w:hint="eastAsia"/>
          <w:bCs/>
          <w:color w:val="auto"/>
          <w:sz w:val="22"/>
          <w:szCs w:val="22"/>
          <w:highlight w:val="none"/>
        </w:rPr>
        <w:t>默认使用 XFS，支持 EXT3、EXT4、GFS、GFS2 等</w:t>
      </w:r>
    </w:p>
    <w:p w14:paraId="0899292E">
      <w:pPr>
        <w:pStyle w:val="30"/>
        <w:ind w:firstLine="0" w:firstLineChars="0"/>
        <w:rPr>
          <w:rFonts w:hint="eastAsia"/>
          <w:b/>
          <w:bCs/>
          <w:color w:val="auto"/>
          <w:sz w:val="22"/>
          <w:szCs w:val="22"/>
          <w:highlight w:val="none"/>
        </w:rPr>
      </w:pPr>
      <w:r>
        <w:rPr>
          <w:rFonts w:hint="eastAsia"/>
          <w:bCs/>
          <w:color w:val="auto"/>
          <w:sz w:val="22"/>
          <w:szCs w:val="22"/>
          <w:highlight w:val="none"/>
        </w:rPr>
        <w:t>2、、存储支持：</w:t>
      </w:r>
    </w:p>
    <w:p w14:paraId="71FB1685">
      <w:pPr>
        <w:pStyle w:val="30"/>
        <w:ind w:firstLine="480"/>
        <w:rPr>
          <w:rFonts w:hint="eastAsia"/>
          <w:b/>
          <w:bCs/>
          <w:color w:val="auto"/>
          <w:sz w:val="22"/>
          <w:szCs w:val="22"/>
          <w:highlight w:val="none"/>
        </w:rPr>
      </w:pPr>
      <w:r>
        <w:rPr>
          <w:rFonts w:hint="eastAsia"/>
          <w:bCs/>
          <w:color w:val="auto"/>
          <w:sz w:val="22"/>
          <w:szCs w:val="22"/>
          <w:highlight w:val="none"/>
        </w:rPr>
        <w:t>内置支持快速块设备作为慢速块设备缓存以加速 IO 支持 swap 压缩以减少 IO 并提高性能 支持 FCoE、iSCSI，支持将 Ceph 块设备视为常规磁盘设备条目，挂载 到某个目录并使用标准文件系统格式化，比如 XFS 或者 EXT4</w:t>
      </w:r>
    </w:p>
    <w:p w14:paraId="6C382221">
      <w:pPr>
        <w:pStyle w:val="30"/>
        <w:ind w:firstLine="0" w:firstLineChars="0"/>
        <w:rPr>
          <w:rFonts w:hint="eastAsia"/>
          <w:b/>
          <w:bCs/>
          <w:color w:val="auto"/>
          <w:sz w:val="22"/>
          <w:szCs w:val="22"/>
          <w:highlight w:val="none"/>
        </w:rPr>
      </w:pPr>
      <w:r>
        <w:rPr>
          <w:rFonts w:hint="eastAsia"/>
          <w:bCs/>
          <w:color w:val="auto"/>
          <w:sz w:val="22"/>
          <w:szCs w:val="22"/>
          <w:highlight w:val="none"/>
        </w:rPr>
        <w:t>3、虚拟化支持：</w:t>
      </w:r>
    </w:p>
    <w:p w14:paraId="581C48D7">
      <w:pPr>
        <w:pStyle w:val="30"/>
        <w:ind w:firstLine="480"/>
        <w:rPr>
          <w:rFonts w:hint="eastAsia"/>
          <w:b/>
          <w:bCs/>
          <w:color w:val="auto"/>
          <w:sz w:val="22"/>
          <w:szCs w:val="22"/>
          <w:highlight w:val="none"/>
        </w:rPr>
      </w:pPr>
      <w:r>
        <w:rPr>
          <w:rFonts w:hint="eastAsia"/>
          <w:bCs/>
          <w:color w:val="auto"/>
          <w:sz w:val="22"/>
          <w:szCs w:val="22"/>
          <w:highlight w:val="none"/>
        </w:rPr>
        <w:t>默认提供 apache http、ftp、DNS、DHCP、MariaDB、PostgreSQL、NFS、 Samba、LDAP 等应用</w:t>
      </w:r>
    </w:p>
    <w:p w14:paraId="65DA59E4">
      <w:pPr>
        <w:pStyle w:val="30"/>
        <w:ind w:firstLine="0" w:firstLineChars="0"/>
        <w:rPr>
          <w:rFonts w:hint="eastAsia"/>
          <w:b/>
          <w:bCs/>
          <w:color w:val="auto"/>
          <w:sz w:val="22"/>
          <w:szCs w:val="22"/>
          <w:highlight w:val="none"/>
        </w:rPr>
      </w:pPr>
      <w:r>
        <w:rPr>
          <w:rFonts w:hint="eastAsia"/>
          <w:bCs/>
          <w:color w:val="auto"/>
          <w:sz w:val="22"/>
          <w:szCs w:val="22"/>
          <w:highlight w:val="none"/>
        </w:rPr>
        <w:t>4、常用应用支持：</w:t>
      </w:r>
    </w:p>
    <w:p w14:paraId="41FBE5AC">
      <w:pPr>
        <w:pStyle w:val="30"/>
        <w:numPr>
          <w:ilvl w:val="0"/>
          <w:numId w:val="60"/>
        </w:numPr>
        <w:ind w:firstLineChars="0"/>
        <w:rPr>
          <w:rFonts w:hint="eastAsia"/>
          <w:bCs/>
          <w:color w:val="auto"/>
          <w:sz w:val="22"/>
          <w:szCs w:val="22"/>
          <w:highlight w:val="none"/>
        </w:rPr>
      </w:pPr>
      <w:r>
        <w:rPr>
          <w:rFonts w:hint="eastAsia"/>
          <w:bCs/>
          <w:color w:val="auto"/>
          <w:sz w:val="22"/>
          <w:szCs w:val="22"/>
          <w:highlight w:val="none"/>
        </w:rPr>
        <w:t>提供全中文化的图形操作界面及帮助；</w:t>
      </w:r>
    </w:p>
    <w:p w14:paraId="679A3E84">
      <w:pPr>
        <w:pStyle w:val="30"/>
        <w:numPr>
          <w:ilvl w:val="0"/>
          <w:numId w:val="60"/>
        </w:numPr>
        <w:ind w:firstLineChars="0"/>
        <w:rPr>
          <w:rFonts w:hint="eastAsia"/>
          <w:bCs/>
          <w:color w:val="auto"/>
          <w:sz w:val="22"/>
          <w:szCs w:val="22"/>
          <w:highlight w:val="none"/>
        </w:rPr>
      </w:pPr>
      <w:r>
        <w:rPr>
          <w:rFonts w:hint="eastAsia"/>
          <w:bCs/>
          <w:color w:val="auto"/>
          <w:sz w:val="22"/>
          <w:szCs w:val="22"/>
          <w:highlight w:val="none"/>
        </w:rPr>
        <w:t>提供常用的系统服务支持并提供常用服务的中文帮助文档；</w:t>
      </w:r>
    </w:p>
    <w:p w14:paraId="3DDA2A26">
      <w:pPr>
        <w:pStyle w:val="30"/>
        <w:numPr>
          <w:ilvl w:val="0"/>
          <w:numId w:val="60"/>
        </w:numPr>
        <w:ind w:firstLineChars="0"/>
        <w:rPr>
          <w:rFonts w:hint="eastAsia"/>
          <w:b/>
          <w:bCs/>
          <w:color w:val="auto"/>
          <w:sz w:val="22"/>
          <w:szCs w:val="22"/>
          <w:highlight w:val="none"/>
        </w:rPr>
      </w:pPr>
      <w:r>
        <w:rPr>
          <w:rFonts w:hint="eastAsia"/>
          <w:bCs/>
          <w:color w:val="auto"/>
          <w:sz w:val="22"/>
          <w:szCs w:val="22"/>
          <w:highlight w:val="none"/>
        </w:rPr>
        <w:t>提供图形化备份还原工具，提供高级系统备份、全盘系统还原、高级系统还原、数据备份、数据还原、操作日志等功能。</w:t>
      </w:r>
    </w:p>
    <w:p w14:paraId="5E477139">
      <w:pPr>
        <w:pStyle w:val="30"/>
        <w:ind w:firstLine="0" w:firstLineChars="0"/>
        <w:rPr>
          <w:rFonts w:hint="eastAsia"/>
          <w:b/>
          <w:bCs/>
          <w:color w:val="auto"/>
          <w:sz w:val="22"/>
          <w:szCs w:val="22"/>
          <w:highlight w:val="none"/>
        </w:rPr>
      </w:pPr>
      <w:r>
        <w:rPr>
          <w:rFonts w:hint="eastAsia"/>
          <w:bCs/>
          <w:color w:val="auto"/>
          <w:sz w:val="22"/>
          <w:szCs w:val="22"/>
          <w:highlight w:val="none"/>
        </w:rPr>
        <w:t>5、易用性：</w:t>
      </w:r>
    </w:p>
    <w:p w14:paraId="0356E338">
      <w:pPr>
        <w:pStyle w:val="30"/>
        <w:numPr>
          <w:ilvl w:val="0"/>
          <w:numId w:val="61"/>
        </w:numPr>
        <w:ind w:firstLineChars="0"/>
        <w:rPr>
          <w:rFonts w:hint="eastAsia"/>
          <w:b/>
          <w:bCs/>
          <w:color w:val="auto"/>
          <w:sz w:val="22"/>
          <w:szCs w:val="22"/>
          <w:highlight w:val="none"/>
        </w:rPr>
      </w:pPr>
      <w:r>
        <w:rPr>
          <w:rFonts w:hint="eastAsia"/>
          <w:bCs/>
          <w:color w:val="auto"/>
          <w:sz w:val="22"/>
          <w:szCs w:val="22"/>
          <w:highlight w:val="none"/>
        </w:rPr>
        <w:t>提供全中文化的图形操作界面及帮助；</w:t>
      </w:r>
    </w:p>
    <w:p w14:paraId="5A7CD3CE">
      <w:pPr>
        <w:pStyle w:val="30"/>
        <w:numPr>
          <w:ilvl w:val="0"/>
          <w:numId w:val="61"/>
        </w:numPr>
        <w:ind w:firstLineChars="0"/>
        <w:rPr>
          <w:rFonts w:hint="eastAsia"/>
          <w:b/>
          <w:bCs/>
          <w:color w:val="auto"/>
          <w:sz w:val="22"/>
          <w:szCs w:val="22"/>
          <w:highlight w:val="none"/>
        </w:rPr>
      </w:pPr>
      <w:r>
        <w:rPr>
          <w:rFonts w:hint="eastAsia"/>
          <w:bCs/>
          <w:color w:val="auto"/>
          <w:sz w:val="22"/>
          <w:szCs w:val="22"/>
          <w:highlight w:val="none"/>
        </w:rPr>
        <w:t>提供常用的系统服务支持并提供常用服务的中文帮助文档；</w:t>
      </w:r>
    </w:p>
    <w:p w14:paraId="7992BE92">
      <w:pPr>
        <w:pStyle w:val="30"/>
        <w:numPr>
          <w:ilvl w:val="0"/>
          <w:numId w:val="61"/>
        </w:numPr>
        <w:ind w:firstLineChars="0"/>
        <w:rPr>
          <w:rFonts w:hint="eastAsia"/>
          <w:b/>
          <w:bCs/>
          <w:color w:val="auto"/>
          <w:sz w:val="22"/>
          <w:szCs w:val="22"/>
          <w:highlight w:val="none"/>
        </w:rPr>
      </w:pPr>
      <w:r>
        <w:rPr>
          <w:rFonts w:hint="eastAsia"/>
          <w:bCs/>
          <w:color w:val="auto"/>
          <w:sz w:val="22"/>
          <w:szCs w:val="22"/>
          <w:highlight w:val="none"/>
        </w:rPr>
        <w:t>提供图形化备份还原工具，提供高级系统备份、全盘系统还原、高级系统还原、数据备份、数据还原、操作日志等功能。</w:t>
      </w:r>
    </w:p>
    <w:p w14:paraId="5625E9F7">
      <w:pPr>
        <w:pStyle w:val="30"/>
        <w:ind w:firstLine="0" w:firstLineChars="0"/>
        <w:rPr>
          <w:rFonts w:hint="eastAsia"/>
          <w:b/>
          <w:bCs/>
          <w:color w:val="auto"/>
          <w:sz w:val="22"/>
          <w:szCs w:val="22"/>
          <w:highlight w:val="none"/>
        </w:rPr>
      </w:pPr>
      <w:r>
        <w:rPr>
          <w:rFonts w:hint="eastAsia"/>
          <w:bCs/>
          <w:color w:val="auto"/>
          <w:sz w:val="22"/>
          <w:szCs w:val="22"/>
          <w:highlight w:val="none"/>
        </w:rPr>
        <w:t>6、高可用及稳定性：</w:t>
      </w:r>
    </w:p>
    <w:p w14:paraId="24D5CA50">
      <w:pPr>
        <w:pStyle w:val="30"/>
        <w:numPr>
          <w:ilvl w:val="0"/>
          <w:numId w:val="62"/>
        </w:numPr>
        <w:ind w:firstLineChars="0"/>
        <w:rPr>
          <w:rFonts w:hint="eastAsia"/>
          <w:b/>
          <w:bCs/>
          <w:color w:val="auto"/>
          <w:sz w:val="22"/>
          <w:szCs w:val="22"/>
          <w:highlight w:val="none"/>
        </w:rPr>
      </w:pPr>
      <w:r>
        <w:rPr>
          <w:rFonts w:hint="eastAsia"/>
          <w:bCs/>
          <w:color w:val="auto"/>
          <w:sz w:val="22"/>
          <w:szCs w:val="22"/>
          <w:highlight w:val="none"/>
        </w:rPr>
        <w:t>支持负载均衡；</w:t>
      </w:r>
    </w:p>
    <w:p w14:paraId="12A7A84F">
      <w:pPr>
        <w:pStyle w:val="30"/>
        <w:numPr>
          <w:ilvl w:val="0"/>
          <w:numId w:val="62"/>
        </w:numPr>
        <w:ind w:firstLineChars="0"/>
        <w:rPr>
          <w:rFonts w:hint="eastAsia"/>
          <w:b/>
          <w:bCs/>
          <w:color w:val="auto"/>
          <w:sz w:val="22"/>
          <w:szCs w:val="22"/>
          <w:highlight w:val="none"/>
        </w:rPr>
      </w:pPr>
      <w:r>
        <w:rPr>
          <w:rFonts w:hint="eastAsia"/>
          <w:bCs/>
          <w:color w:val="auto"/>
          <w:sz w:val="22"/>
          <w:szCs w:val="22"/>
          <w:highlight w:val="none"/>
        </w:rPr>
        <w:t>支持多种网卡 Bonding，提高可用性；</w:t>
      </w:r>
    </w:p>
    <w:p w14:paraId="109B9A56">
      <w:pPr>
        <w:pStyle w:val="30"/>
        <w:numPr>
          <w:ilvl w:val="0"/>
          <w:numId w:val="62"/>
        </w:numPr>
        <w:ind w:firstLineChars="0"/>
        <w:rPr>
          <w:rFonts w:hint="eastAsia"/>
          <w:b/>
          <w:bCs/>
          <w:color w:val="auto"/>
          <w:sz w:val="22"/>
          <w:szCs w:val="22"/>
          <w:highlight w:val="none"/>
        </w:rPr>
      </w:pPr>
      <w:r>
        <w:rPr>
          <w:rFonts w:hint="eastAsia"/>
          <w:bCs/>
          <w:color w:val="auto"/>
          <w:sz w:val="22"/>
          <w:szCs w:val="22"/>
          <w:highlight w:val="none"/>
        </w:rPr>
        <w:t>支持存储多路径并提供国际标准 multipath 驱动；</w:t>
      </w:r>
    </w:p>
    <w:p w14:paraId="4DE44B4E">
      <w:pPr>
        <w:pStyle w:val="30"/>
        <w:ind w:firstLine="0" w:firstLineChars="0"/>
        <w:rPr>
          <w:rFonts w:hint="eastAsia"/>
          <w:b/>
          <w:bCs/>
          <w:color w:val="auto"/>
          <w:sz w:val="22"/>
          <w:szCs w:val="22"/>
          <w:highlight w:val="none"/>
        </w:rPr>
      </w:pPr>
      <w:r>
        <w:rPr>
          <w:rFonts w:hint="eastAsia"/>
          <w:bCs/>
          <w:color w:val="auto"/>
          <w:sz w:val="22"/>
          <w:szCs w:val="22"/>
          <w:highlight w:val="none"/>
        </w:rPr>
        <w:t>7、安全性：</w:t>
      </w:r>
    </w:p>
    <w:p w14:paraId="2C7B2D2C">
      <w:pPr>
        <w:pStyle w:val="30"/>
        <w:numPr>
          <w:ilvl w:val="0"/>
          <w:numId w:val="63"/>
        </w:numPr>
        <w:ind w:firstLineChars="0"/>
        <w:rPr>
          <w:rFonts w:hint="eastAsia"/>
          <w:b/>
          <w:bCs/>
          <w:color w:val="auto"/>
          <w:sz w:val="22"/>
          <w:szCs w:val="22"/>
          <w:highlight w:val="none"/>
        </w:rPr>
      </w:pPr>
      <w:r>
        <w:rPr>
          <w:rFonts w:hint="eastAsia"/>
          <w:bCs/>
          <w:color w:val="auto"/>
          <w:sz w:val="22"/>
          <w:szCs w:val="22"/>
          <w:highlight w:val="none"/>
        </w:rPr>
        <w:t>提供应用程序执行控制功能，支持通过命令行或图形化界面设置未认证应用的执行策略，阻止执行未认证的可执行程序、共享库、可执行脚本和内核模块文件。</w:t>
      </w:r>
    </w:p>
    <w:p w14:paraId="618960EE">
      <w:pPr>
        <w:pStyle w:val="30"/>
        <w:numPr>
          <w:ilvl w:val="0"/>
          <w:numId w:val="63"/>
        </w:numPr>
        <w:ind w:firstLineChars="0"/>
        <w:rPr>
          <w:rFonts w:hint="eastAsia"/>
          <w:b/>
          <w:bCs/>
          <w:color w:val="auto"/>
          <w:sz w:val="22"/>
          <w:szCs w:val="22"/>
          <w:highlight w:val="none"/>
        </w:rPr>
      </w:pPr>
      <w:r>
        <w:rPr>
          <w:rFonts w:hint="eastAsia"/>
          <w:bCs/>
          <w:color w:val="auto"/>
          <w:sz w:val="22"/>
          <w:szCs w:val="22"/>
          <w:highlight w:val="none"/>
        </w:rPr>
        <w:t>提供自研内核安全访问统一控制的安全框架。提供支持功能包含执行控制、联网控制、系统防护等。</w:t>
      </w:r>
    </w:p>
    <w:p w14:paraId="1D4622BF">
      <w:pPr>
        <w:pStyle w:val="30"/>
        <w:ind w:firstLine="0" w:firstLineChars="0"/>
        <w:rPr>
          <w:rFonts w:hint="eastAsia"/>
          <w:b/>
          <w:bCs/>
          <w:color w:val="auto"/>
          <w:sz w:val="22"/>
          <w:szCs w:val="22"/>
          <w:highlight w:val="none"/>
        </w:rPr>
      </w:pPr>
      <w:r>
        <w:rPr>
          <w:rFonts w:hint="eastAsia"/>
          <w:bCs/>
          <w:color w:val="auto"/>
          <w:sz w:val="22"/>
          <w:szCs w:val="22"/>
          <w:highlight w:val="none"/>
        </w:rPr>
        <w:t>8、可维护性：</w:t>
      </w:r>
    </w:p>
    <w:p w14:paraId="1BD35EE0">
      <w:pPr>
        <w:ind w:firstLine="420"/>
        <w:rPr>
          <w:color w:val="auto"/>
          <w:sz w:val="28"/>
          <w:szCs w:val="24"/>
          <w:highlight w:val="none"/>
        </w:rPr>
      </w:pPr>
      <w:r>
        <w:rPr>
          <w:rFonts w:hint="eastAsia"/>
          <w:bCs/>
          <w:color w:val="auto"/>
          <w:sz w:val="22"/>
          <w:szCs w:val="22"/>
          <w:highlight w:val="none"/>
        </w:rPr>
        <w:t>提供日志工具，支持收集查看日志包含系统日志、内核日志、启动日志、应用日志等，审计策略可配置，支持图形化界面查看日志、搜索、过滤和导出功能。</w:t>
      </w:r>
    </w:p>
    <w:p w14:paraId="07E421F8">
      <w:pPr>
        <w:pStyle w:val="7"/>
        <w:keepNext/>
        <w:keepLines/>
        <w:pageBreakBefore w:val="0"/>
        <w:widowControl w:val="0"/>
        <w:numPr>
          <w:ilvl w:val="1"/>
          <w:numId w:val="24"/>
        </w:numPr>
        <w:kinsoku/>
        <w:wordWrap/>
        <w:overflowPunct/>
        <w:topLinePunct w:val="0"/>
        <w:autoSpaceDE/>
        <w:autoSpaceDN/>
        <w:bidi w:val="0"/>
        <w:adjustRightInd/>
        <w:snapToGrid/>
        <w:spacing w:before="164" w:beforeLines="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文档在线预览中间件、在线编辑控件</w:t>
      </w:r>
    </w:p>
    <w:p w14:paraId="7F13CFB9">
      <w:pPr>
        <w:rPr>
          <w:rFonts w:hint="default" w:eastAsia="宋体"/>
          <w:color w:val="auto"/>
          <w:highlight w:val="none"/>
          <w:lang w:val="en-US" w:eastAsia="zh-CN"/>
        </w:rPr>
      </w:pPr>
      <w:r>
        <w:rPr>
          <w:rFonts w:hint="eastAsia" w:ascii="宋体" w:hAnsi="宋体" w:cs="宋体"/>
          <w:color w:val="auto"/>
          <w:sz w:val="22"/>
          <w:szCs w:val="22"/>
          <w:highlight w:val="none"/>
          <w:lang w:val="en-US" w:eastAsia="zh-CN"/>
        </w:rPr>
        <w:t xml:space="preserve">   </w:t>
      </w:r>
    </w:p>
    <w:tbl>
      <w:tblPr>
        <w:tblStyle w:val="24"/>
        <w:tblW w:w="9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
        <w:gridCol w:w="1424"/>
        <w:gridCol w:w="7"/>
        <w:gridCol w:w="7293"/>
        <w:gridCol w:w="7"/>
      </w:tblGrid>
      <w:tr w14:paraId="351C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4F95F269">
            <w:pPr>
              <w:pStyle w:val="45"/>
              <w:ind w:firstLine="0" w:firstLineChars="0"/>
              <w:jc w:val="center"/>
              <w:rPr>
                <w:rFonts w:hint="eastAsia" w:ascii="宋体" w:hAnsi="宋体"/>
                <w:b/>
                <w:color w:val="auto"/>
                <w:kern w:val="0"/>
                <w:sz w:val="21"/>
                <w:szCs w:val="21"/>
                <w:highlight w:val="none"/>
              </w:rPr>
            </w:pPr>
            <w:bookmarkStart w:id="388" w:name="_Hlk11167851"/>
            <w:r>
              <w:rPr>
                <w:rFonts w:hint="eastAsia" w:ascii="宋体" w:hAnsi="宋体"/>
                <w:b/>
                <w:color w:val="auto"/>
                <w:kern w:val="0"/>
                <w:sz w:val="21"/>
                <w:szCs w:val="21"/>
                <w:highlight w:val="none"/>
              </w:rPr>
              <w:t>序号</w:t>
            </w:r>
            <w:bookmarkEnd w:id="388"/>
          </w:p>
        </w:tc>
        <w:tc>
          <w:tcPr>
            <w:tcW w:w="143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487ECE70">
            <w:pPr>
              <w:pStyle w:val="45"/>
              <w:ind w:firstLine="0" w:firstLineChars="0"/>
              <w:jc w:val="center"/>
              <w:rPr>
                <w:rFonts w:hint="eastAsia" w:ascii="宋体" w:hAnsi="宋体"/>
                <w:b/>
                <w:color w:val="auto"/>
                <w:kern w:val="0"/>
                <w:sz w:val="21"/>
                <w:szCs w:val="21"/>
                <w:highlight w:val="none"/>
              </w:rPr>
            </w:pPr>
            <w:r>
              <w:rPr>
                <w:rFonts w:hint="eastAsia" w:ascii="宋体" w:hAnsi="宋体"/>
                <w:b/>
                <w:color w:val="auto"/>
                <w:kern w:val="0"/>
                <w:sz w:val="21"/>
                <w:szCs w:val="21"/>
                <w:highlight w:val="none"/>
              </w:rPr>
              <w:t>模块</w:t>
            </w:r>
          </w:p>
        </w:tc>
        <w:tc>
          <w:tcPr>
            <w:tcW w:w="730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50E19BAC">
            <w:pPr>
              <w:pStyle w:val="45"/>
              <w:ind w:firstLine="0" w:firstLineChars="0"/>
              <w:jc w:val="center"/>
              <w:rPr>
                <w:rFonts w:hint="eastAsia" w:ascii="宋体" w:hAnsi="宋体"/>
                <w:b/>
                <w:color w:val="auto"/>
                <w:kern w:val="0"/>
                <w:sz w:val="21"/>
                <w:szCs w:val="21"/>
                <w:highlight w:val="none"/>
              </w:rPr>
            </w:pPr>
            <w:r>
              <w:rPr>
                <w:rFonts w:hint="eastAsia" w:ascii="宋体" w:hAnsi="宋体"/>
                <w:b/>
                <w:color w:val="auto"/>
                <w:kern w:val="0"/>
                <w:sz w:val="21"/>
                <w:szCs w:val="21"/>
                <w:highlight w:val="none"/>
              </w:rPr>
              <w:t>参数要求</w:t>
            </w:r>
          </w:p>
        </w:tc>
      </w:tr>
      <w:tr w14:paraId="3AA3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tcBorders>
              <w:top w:val="single" w:color="auto" w:sz="4" w:space="0"/>
              <w:left w:val="single" w:color="auto" w:sz="4" w:space="0"/>
              <w:bottom w:val="single" w:color="auto" w:sz="4" w:space="0"/>
              <w:right w:val="single" w:color="auto" w:sz="4" w:space="0"/>
            </w:tcBorders>
            <w:vAlign w:val="center"/>
          </w:tcPr>
          <w:p w14:paraId="1E9351B2">
            <w:pPr>
              <w:pStyle w:val="45"/>
              <w:ind w:firstLine="0" w:firstLineChars="0"/>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1</w:t>
            </w:r>
          </w:p>
        </w:tc>
        <w:tc>
          <w:tcPr>
            <w:tcW w:w="1431" w:type="dxa"/>
            <w:gridSpan w:val="2"/>
            <w:tcBorders>
              <w:top w:val="single" w:color="auto" w:sz="4" w:space="0"/>
              <w:left w:val="single" w:color="auto" w:sz="4" w:space="0"/>
              <w:bottom w:val="single" w:color="auto" w:sz="4" w:space="0"/>
              <w:right w:val="single" w:color="auto" w:sz="4" w:space="0"/>
            </w:tcBorders>
            <w:vAlign w:val="center"/>
          </w:tcPr>
          <w:p w14:paraId="77A6D81B">
            <w:pPr>
              <w:pStyle w:val="45"/>
              <w:ind w:firstLine="0" w:firstLineChars="0"/>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总体要求</w:t>
            </w: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088AF0DE">
            <w:pPr>
              <w:pStyle w:val="45"/>
              <w:numPr>
                <w:ilvl w:val="0"/>
                <w:numId w:val="64"/>
              </w:numPr>
              <w:ind w:firstLineChars="0"/>
              <w:rPr>
                <w:rFonts w:hint="eastAsia" w:ascii="宋体" w:hAnsi="宋体"/>
                <w:color w:val="auto"/>
                <w:sz w:val="21"/>
                <w:szCs w:val="21"/>
                <w:highlight w:val="none"/>
              </w:rPr>
            </w:pPr>
            <w:r>
              <w:rPr>
                <w:rFonts w:hint="eastAsia" w:ascii="宋体" w:hAnsi="宋体"/>
                <w:color w:val="auto"/>
                <w:sz w:val="21"/>
                <w:szCs w:val="21"/>
                <w:highlight w:val="none"/>
              </w:rPr>
              <w:t>部署环境全面支持国产化软硬件；</w:t>
            </w:r>
          </w:p>
          <w:p w14:paraId="3449BAFE">
            <w:pPr>
              <w:pStyle w:val="45"/>
              <w:numPr>
                <w:ilvl w:val="0"/>
                <w:numId w:val="64"/>
              </w:numPr>
              <w:ind w:firstLineChars="0"/>
              <w:rPr>
                <w:rFonts w:hint="eastAsia" w:ascii="宋体" w:hAnsi="宋体"/>
                <w:color w:val="auto"/>
                <w:sz w:val="21"/>
                <w:szCs w:val="21"/>
                <w:highlight w:val="none"/>
              </w:rPr>
            </w:pPr>
            <w:r>
              <w:rPr>
                <w:rFonts w:hint="eastAsia" w:ascii="宋体" w:hAnsi="宋体"/>
                <w:color w:val="auto"/>
                <w:sz w:val="21"/>
                <w:szCs w:val="21"/>
                <w:highlight w:val="none"/>
              </w:rPr>
              <w:t>核心转换模块使用纯java语言开发，有良好的可扩展性。</w:t>
            </w:r>
          </w:p>
          <w:p w14:paraId="2861E468">
            <w:pPr>
              <w:pStyle w:val="45"/>
              <w:numPr>
                <w:ilvl w:val="0"/>
                <w:numId w:val="64"/>
              </w:numPr>
              <w:ind w:firstLineChars="0"/>
              <w:rPr>
                <w:rFonts w:hint="eastAsia" w:ascii="宋体" w:hAnsi="宋体"/>
                <w:color w:val="auto"/>
                <w:sz w:val="21"/>
                <w:szCs w:val="21"/>
                <w:highlight w:val="none"/>
              </w:rPr>
            </w:pPr>
            <w:r>
              <w:rPr>
                <w:rFonts w:hint="eastAsia" w:ascii="宋体" w:hAnsi="宋体"/>
                <w:color w:val="auto"/>
                <w:sz w:val="21"/>
                <w:szCs w:val="21"/>
                <w:highlight w:val="none"/>
              </w:rPr>
              <w:t>兼容麒麟、统信、Windows、Mac等客户端操作系统下主流浏览器（如：Chrome浏览器、火狐浏览器、360浏览器、奇安信浏览器等），在线预览与在线编辑均无需安装任何客户端及插件；</w:t>
            </w:r>
          </w:p>
          <w:p w14:paraId="2AC898A3">
            <w:pPr>
              <w:pStyle w:val="45"/>
              <w:numPr>
                <w:ilvl w:val="0"/>
                <w:numId w:val="64"/>
              </w:numPr>
              <w:ind w:firstLineChars="0"/>
              <w:rPr>
                <w:rFonts w:hint="eastAsia" w:ascii="宋体" w:hAnsi="宋体"/>
                <w:color w:val="auto"/>
                <w:sz w:val="21"/>
                <w:szCs w:val="21"/>
                <w:highlight w:val="none"/>
              </w:rPr>
            </w:pPr>
            <w:r>
              <w:rPr>
                <w:rFonts w:hint="eastAsia" w:ascii="宋体" w:hAnsi="宋体"/>
                <w:color w:val="auto"/>
                <w:sz w:val="21"/>
                <w:szCs w:val="21"/>
                <w:highlight w:val="none"/>
              </w:rPr>
              <w:t>支持各类PC端、移动端查看、编辑。</w:t>
            </w:r>
          </w:p>
        </w:tc>
      </w:tr>
      <w:tr w14:paraId="299E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restart"/>
            <w:tcBorders>
              <w:top w:val="nil"/>
              <w:left w:val="single" w:color="auto" w:sz="4" w:space="0"/>
              <w:bottom w:val="single" w:color="auto" w:sz="4" w:space="0"/>
              <w:right w:val="single" w:color="auto" w:sz="4" w:space="0"/>
            </w:tcBorders>
            <w:vAlign w:val="center"/>
          </w:tcPr>
          <w:p w14:paraId="69BC30A2">
            <w:pPr>
              <w:pStyle w:val="45"/>
              <w:ind w:firstLine="0" w:firstLineChars="0"/>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2</w:t>
            </w:r>
          </w:p>
        </w:tc>
        <w:tc>
          <w:tcPr>
            <w:tcW w:w="1431" w:type="dxa"/>
            <w:gridSpan w:val="2"/>
            <w:vMerge w:val="restart"/>
            <w:tcBorders>
              <w:top w:val="nil"/>
              <w:left w:val="single" w:color="auto" w:sz="4" w:space="0"/>
              <w:bottom w:val="single" w:color="auto" w:sz="4" w:space="0"/>
              <w:right w:val="single" w:color="auto" w:sz="4" w:space="0"/>
            </w:tcBorders>
            <w:vAlign w:val="center"/>
          </w:tcPr>
          <w:p w14:paraId="18968B18">
            <w:pPr>
              <w:pStyle w:val="45"/>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在线编辑</w:t>
            </w: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377B3D79">
            <w:pPr>
              <w:pStyle w:val="45"/>
              <w:ind w:firstLine="0" w:firstLineChars="0"/>
              <w:rPr>
                <w:rFonts w:hint="eastAsia" w:ascii="宋体" w:hAnsi="宋体"/>
                <w:color w:val="auto"/>
                <w:sz w:val="21"/>
                <w:szCs w:val="21"/>
                <w:highlight w:val="none"/>
              </w:rPr>
            </w:pPr>
            <w:r>
              <w:rPr>
                <w:rFonts w:hint="eastAsia" w:ascii="宋体" w:hAnsi="宋体"/>
                <w:color w:val="auto"/>
                <w:kern w:val="0"/>
                <w:sz w:val="21"/>
                <w:szCs w:val="21"/>
                <w:highlight w:val="none"/>
              </w:rPr>
              <w:t>在线编辑格式支持doc、docx、xls、xlsx、ppt、pptx、wps等格式</w:t>
            </w:r>
          </w:p>
        </w:tc>
      </w:tr>
      <w:tr w14:paraId="0E72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continue"/>
            <w:tcBorders>
              <w:top w:val="nil"/>
              <w:left w:val="single" w:color="auto" w:sz="4" w:space="0"/>
              <w:bottom w:val="single" w:color="auto" w:sz="4" w:space="0"/>
              <w:right w:val="single" w:color="auto" w:sz="4" w:space="0"/>
            </w:tcBorders>
            <w:vAlign w:val="center"/>
          </w:tcPr>
          <w:p w14:paraId="0297CE5E">
            <w:pPr>
              <w:widowControl/>
              <w:spacing w:line="240" w:lineRule="auto"/>
              <w:jc w:val="left"/>
              <w:rPr>
                <w:rFonts w:hint="eastAsia" w:ascii="宋体" w:hAnsi="宋体"/>
                <w:color w:val="auto"/>
                <w:kern w:val="0"/>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3279D8F3">
            <w:pPr>
              <w:widowControl/>
              <w:spacing w:line="240" w:lineRule="auto"/>
              <w:jc w:val="left"/>
              <w:rPr>
                <w:rFonts w:hint="eastAsia" w:ascii="宋体" w:hAnsi="宋体"/>
                <w:color w:val="auto"/>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521B6B67">
            <w:pPr>
              <w:spacing w:line="240" w:lineRule="auto"/>
              <w:rPr>
                <w:rFonts w:hint="eastAsia" w:ascii="宋体" w:hAnsi="宋体"/>
                <w:color w:val="auto"/>
                <w:sz w:val="21"/>
                <w:szCs w:val="21"/>
                <w:highlight w:val="none"/>
              </w:rPr>
            </w:pPr>
            <w:r>
              <w:rPr>
                <w:rFonts w:hint="eastAsia" w:ascii="宋体" w:hAnsi="宋体"/>
                <w:color w:val="auto"/>
                <w:kern w:val="0"/>
                <w:sz w:val="21"/>
                <w:szCs w:val="21"/>
                <w:highlight w:val="none"/>
              </w:rPr>
              <w:t>在线编辑服务部署</w:t>
            </w:r>
            <w:r>
              <w:rPr>
                <w:rFonts w:hint="eastAsia" w:ascii="宋体" w:hAnsi="宋体"/>
                <w:color w:val="auto"/>
                <w:sz w:val="21"/>
                <w:szCs w:val="21"/>
                <w:highlight w:val="none"/>
              </w:rPr>
              <w:t>无需使用中间件</w:t>
            </w:r>
          </w:p>
        </w:tc>
      </w:tr>
      <w:tr w14:paraId="69A5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continue"/>
            <w:tcBorders>
              <w:top w:val="nil"/>
              <w:left w:val="single" w:color="auto" w:sz="4" w:space="0"/>
              <w:bottom w:val="single" w:color="auto" w:sz="4" w:space="0"/>
              <w:right w:val="single" w:color="auto" w:sz="4" w:space="0"/>
            </w:tcBorders>
            <w:vAlign w:val="center"/>
          </w:tcPr>
          <w:p w14:paraId="1A46C035">
            <w:pPr>
              <w:widowControl/>
              <w:spacing w:line="240" w:lineRule="auto"/>
              <w:jc w:val="left"/>
              <w:rPr>
                <w:rFonts w:hint="eastAsia" w:ascii="宋体" w:hAnsi="宋体"/>
                <w:color w:val="auto"/>
                <w:kern w:val="0"/>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205AF176">
            <w:pPr>
              <w:widowControl/>
              <w:spacing w:line="240" w:lineRule="auto"/>
              <w:jc w:val="left"/>
              <w:rPr>
                <w:rFonts w:hint="eastAsia" w:ascii="宋体" w:hAnsi="宋体"/>
                <w:color w:val="auto"/>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68593939">
            <w:pPr>
              <w:spacing w:line="240" w:lineRule="auto"/>
              <w:rPr>
                <w:rFonts w:hint="eastAsia" w:ascii="宋体" w:hAnsi="宋体"/>
                <w:color w:val="auto"/>
                <w:sz w:val="21"/>
                <w:szCs w:val="21"/>
                <w:highlight w:val="none"/>
              </w:rPr>
            </w:pPr>
            <w:r>
              <w:rPr>
                <w:rFonts w:hint="eastAsia" w:ascii="宋体" w:hAnsi="宋体"/>
                <w:color w:val="auto"/>
                <w:sz w:val="21"/>
                <w:szCs w:val="21"/>
                <w:highlight w:val="none"/>
              </w:rPr>
              <w:t>支持文档编辑权限控制，包括只读、编辑</w:t>
            </w:r>
          </w:p>
        </w:tc>
      </w:tr>
      <w:tr w14:paraId="57E8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continue"/>
            <w:tcBorders>
              <w:top w:val="nil"/>
              <w:left w:val="single" w:color="auto" w:sz="4" w:space="0"/>
              <w:bottom w:val="single" w:color="auto" w:sz="4" w:space="0"/>
              <w:right w:val="single" w:color="auto" w:sz="4" w:space="0"/>
            </w:tcBorders>
            <w:vAlign w:val="center"/>
          </w:tcPr>
          <w:p w14:paraId="25D5A025">
            <w:pPr>
              <w:widowControl/>
              <w:spacing w:line="240" w:lineRule="auto"/>
              <w:jc w:val="left"/>
              <w:rPr>
                <w:rFonts w:hint="eastAsia" w:ascii="宋体" w:hAnsi="宋体"/>
                <w:color w:val="auto"/>
                <w:kern w:val="0"/>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5776BBF6">
            <w:pPr>
              <w:widowControl/>
              <w:spacing w:line="240" w:lineRule="auto"/>
              <w:jc w:val="left"/>
              <w:rPr>
                <w:rFonts w:hint="eastAsia" w:ascii="宋体" w:hAnsi="宋体"/>
                <w:color w:val="auto"/>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17CC473F">
            <w:pPr>
              <w:spacing w:line="240" w:lineRule="auto"/>
              <w:rPr>
                <w:rFonts w:hint="eastAsia" w:ascii="宋体" w:hAnsi="宋体"/>
                <w:color w:val="auto"/>
                <w:sz w:val="21"/>
                <w:szCs w:val="21"/>
                <w:highlight w:val="none"/>
              </w:rPr>
            </w:pPr>
            <w:r>
              <w:rPr>
                <w:rFonts w:hint="eastAsia" w:ascii="宋体" w:hAnsi="宋体"/>
                <w:color w:val="auto"/>
                <w:sz w:val="21"/>
                <w:szCs w:val="21"/>
                <w:highlight w:val="none"/>
              </w:rPr>
              <w:t>支持文档套红功能，支持替换正文、标题、日期、编号等，支持一键去红头功能</w:t>
            </w:r>
          </w:p>
        </w:tc>
      </w:tr>
      <w:tr w14:paraId="0490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continue"/>
            <w:tcBorders>
              <w:top w:val="nil"/>
              <w:left w:val="single" w:color="auto" w:sz="4" w:space="0"/>
              <w:bottom w:val="single" w:color="auto" w:sz="4" w:space="0"/>
              <w:right w:val="single" w:color="auto" w:sz="4" w:space="0"/>
            </w:tcBorders>
            <w:vAlign w:val="center"/>
          </w:tcPr>
          <w:p w14:paraId="694A08A5">
            <w:pPr>
              <w:widowControl/>
              <w:spacing w:line="240" w:lineRule="auto"/>
              <w:jc w:val="left"/>
              <w:rPr>
                <w:rFonts w:hint="eastAsia" w:ascii="宋体" w:hAnsi="宋体"/>
                <w:color w:val="auto"/>
                <w:kern w:val="0"/>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709BA7A9">
            <w:pPr>
              <w:widowControl/>
              <w:spacing w:line="240" w:lineRule="auto"/>
              <w:jc w:val="left"/>
              <w:rPr>
                <w:rFonts w:hint="eastAsia" w:ascii="宋体" w:hAnsi="宋体"/>
                <w:color w:val="auto"/>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63DF6136">
            <w:pPr>
              <w:spacing w:line="240" w:lineRule="auto"/>
              <w:rPr>
                <w:rFonts w:hint="eastAsia" w:ascii="宋体" w:hAnsi="宋体"/>
                <w:color w:val="auto"/>
                <w:sz w:val="21"/>
                <w:szCs w:val="21"/>
                <w:highlight w:val="none"/>
              </w:rPr>
            </w:pPr>
            <w:r>
              <w:rPr>
                <w:rFonts w:hint="eastAsia" w:ascii="宋体" w:hAnsi="宋体"/>
                <w:color w:val="auto"/>
                <w:sz w:val="21"/>
                <w:szCs w:val="21"/>
                <w:highlight w:val="none"/>
              </w:rPr>
              <w:t>文字处理提供基本编辑功能，包含操作的撤销和恢复，字体调整，字号调整，增大</w:t>
            </w:r>
            <w:r>
              <w:rPr>
                <w:rFonts w:hint="eastAsia" w:ascii="宋体" w:hAnsi="宋体"/>
                <w:color w:val="auto"/>
                <w:sz w:val="21"/>
                <w:szCs w:val="21"/>
                <w:highlight w:val="none"/>
              </w:rPr>
              <w:t>/减小字号，字体加粗，斜体，下划线，删除线，文字属性（上标/下标），字体颜色，突出显示，标题样式，左右对齐方式，分散对齐，行距调整，格式刷，清除格式，增加/减少缩进量，项目符号，编号格式，插入，查找替换，打印；页边距，纸张方向，纸张大小，页眉页脚，历史记录</w:t>
            </w:r>
          </w:p>
        </w:tc>
      </w:tr>
      <w:tr w14:paraId="3BB7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restart"/>
            <w:tcBorders>
              <w:top w:val="nil"/>
              <w:left w:val="single" w:color="auto" w:sz="4" w:space="0"/>
              <w:bottom w:val="single" w:color="auto" w:sz="4" w:space="0"/>
              <w:right w:val="single" w:color="auto" w:sz="4" w:space="0"/>
            </w:tcBorders>
            <w:vAlign w:val="center"/>
          </w:tcPr>
          <w:p w14:paraId="79F7C52F">
            <w:pPr>
              <w:pStyle w:val="45"/>
              <w:ind w:firstLine="0" w:firstLineChars="0"/>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3</w:t>
            </w:r>
          </w:p>
        </w:tc>
        <w:tc>
          <w:tcPr>
            <w:tcW w:w="1431" w:type="dxa"/>
            <w:gridSpan w:val="2"/>
            <w:vMerge w:val="restart"/>
            <w:tcBorders>
              <w:top w:val="nil"/>
              <w:left w:val="single" w:color="auto" w:sz="4" w:space="0"/>
              <w:bottom w:val="single" w:color="auto" w:sz="4" w:space="0"/>
              <w:right w:val="single" w:color="auto" w:sz="4" w:space="0"/>
            </w:tcBorders>
            <w:vAlign w:val="center"/>
          </w:tcPr>
          <w:p w14:paraId="35636BA1">
            <w:pPr>
              <w:pStyle w:val="45"/>
              <w:ind w:firstLine="0" w:firstLineChars="0"/>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在线预览</w:t>
            </w: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1E481A74">
            <w:pPr>
              <w:spacing w:line="240" w:lineRule="auto"/>
              <w:rPr>
                <w:rFonts w:hint="eastAsia" w:ascii="宋体" w:hAnsi="宋体"/>
                <w:color w:val="auto"/>
                <w:sz w:val="21"/>
                <w:szCs w:val="21"/>
                <w:highlight w:val="none"/>
              </w:rPr>
            </w:pPr>
            <w:r>
              <w:rPr>
                <w:rFonts w:hint="eastAsia" w:ascii="宋体" w:hAnsi="宋体"/>
                <w:color w:val="auto"/>
                <w:kern w:val="0"/>
                <w:sz w:val="21"/>
                <w:szCs w:val="21"/>
                <w:highlight w:val="none"/>
              </w:rPr>
              <w:t>在线预览格式支持doc、docx、xls、xlsx、ppt、pptx、wps</w:t>
            </w:r>
            <w:r>
              <w:rPr>
                <w:rFonts w:ascii="宋体" w:hAnsi="宋体"/>
                <w:color w:val="auto"/>
                <w:kern w:val="0"/>
                <w:sz w:val="21"/>
                <w:szCs w:val="21"/>
                <w:highlight w:val="none"/>
              </w:rPr>
              <w:t>,ofd</w:t>
            </w:r>
            <w:r>
              <w:rPr>
                <w:rFonts w:hint="eastAsia" w:ascii="宋体" w:hAnsi="宋体"/>
                <w:color w:val="auto"/>
                <w:kern w:val="0"/>
                <w:sz w:val="21"/>
                <w:szCs w:val="21"/>
                <w:highlight w:val="none"/>
              </w:rPr>
              <w:t>、</w:t>
            </w:r>
            <w:r>
              <w:rPr>
                <w:rFonts w:ascii="宋体" w:hAnsi="宋体"/>
                <w:color w:val="auto"/>
                <w:kern w:val="0"/>
                <w:sz w:val="21"/>
                <w:szCs w:val="21"/>
                <w:highlight w:val="none"/>
              </w:rPr>
              <w:t>pdf</w:t>
            </w:r>
            <w:r>
              <w:rPr>
                <w:rFonts w:hint="eastAsia" w:ascii="宋体" w:hAnsi="宋体"/>
                <w:color w:val="auto"/>
                <w:kern w:val="0"/>
                <w:sz w:val="21"/>
                <w:szCs w:val="21"/>
                <w:highlight w:val="none"/>
              </w:rPr>
              <w:t>等格式</w:t>
            </w:r>
          </w:p>
        </w:tc>
      </w:tr>
      <w:tr w14:paraId="191B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continue"/>
            <w:tcBorders>
              <w:top w:val="nil"/>
              <w:left w:val="single" w:color="auto" w:sz="4" w:space="0"/>
              <w:bottom w:val="single" w:color="auto" w:sz="4" w:space="0"/>
              <w:right w:val="single" w:color="auto" w:sz="4" w:space="0"/>
            </w:tcBorders>
            <w:vAlign w:val="center"/>
          </w:tcPr>
          <w:p w14:paraId="03FEB0DA">
            <w:pPr>
              <w:widowControl/>
              <w:spacing w:line="240" w:lineRule="auto"/>
              <w:jc w:val="left"/>
              <w:rPr>
                <w:rFonts w:hint="eastAsia" w:ascii="宋体" w:hAnsi="宋体"/>
                <w:color w:val="auto"/>
                <w:kern w:val="0"/>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0C5E8645">
            <w:pPr>
              <w:widowControl/>
              <w:spacing w:line="240" w:lineRule="auto"/>
              <w:jc w:val="left"/>
              <w:rPr>
                <w:rFonts w:hint="eastAsia" w:ascii="宋体" w:hAnsi="宋体"/>
                <w:color w:val="auto"/>
                <w:kern w:val="0"/>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49DB5434">
            <w:pPr>
              <w:spacing w:line="240" w:lineRule="auto"/>
              <w:rPr>
                <w:rFonts w:hint="eastAsia" w:ascii="宋体" w:hAnsi="宋体"/>
                <w:color w:val="auto"/>
                <w:kern w:val="0"/>
                <w:sz w:val="21"/>
                <w:szCs w:val="21"/>
                <w:highlight w:val="none"/>
              </w:rPr>
            </w:pPr>
            <w:r>
              <w:rPr>
                <w:rFonts w:hint="eastAsia" w:ascii="宋体" w:hAnsi="宋体"/>
                <w:color w:val="auto"/>
                <w:kern w:val="0"/>
                <w:sz w:val="21"/>
                <w:szCs w:val="21"/>
                <w:highlight w:val="none"/>
              </w:rPr>
              <w:t>支持文件异步转换、后台预转换</w:t>
            </w:r>
          </w:p>
        </w:tc>
      </w:tr>
      <w:tr w14:paraId="084F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continue"/>
            <w:tcBorders>
              <w:top w:val="nil"/>
              <w:left w:val="single" w:color="auto" w:sz="4" w:space="0"/>
              <w:bottom w:val="single" w:color="auto" w:sz="4" w:space="0"/>
              <w:right w:val="single" w:color="auto" w:sz="4" w:space="0"/>
            </w:tcBorders>
            <w:vAlign w:val="center"/>
          </w:tcPr>
          <w:p w14:paraId="46700ADE">
            <w:pPr>
              <w:widowControl/>
              <w:spacing w:line="240" w:lineRule="auto"/>
              <w:jc w:val="left"/>
              <w:rPr>
                <w:rFonts w:hint="eastAsia" w:ascii="宋体" w:hAnsi="宋体"/>
                <w:color w:val="auto"/>
                <w:kern w:val="0"/>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2DBFE61E">
            <w:pPr>
              <w:widowControl/>
              <w:spacing w:line="240" w:lineRule="auto"/>
              <w:jc w:val="left"/>
              <w:rPr>
                <w:rFonts w:hint="eastAsia" w:ascii="宋体" w:hAnsi="宋体"/>
                <w:color w:val="auto"/>
                <w:kern w:val="0"/>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5D7FABF0">
            <w:pPr>
              <w:spacing w:line="240" w:lineRule="auto"/>
              <w:rPr>
                <w:rFonts w:hint="eastAsia" w:ascii="宋体" w:hAnsi="宋体"/>
                <w:color w:val="auto"/>
                <w:kern w:val="0"/>
                <w:sz w:val="21"/>
                <w:szCs w:val="21"/>
                <w:highlight w:val="none"/>
              </w:rPr>
            </w:pPr>
            <w:r>
              <w:rPr>
                <w:rFonts w:hint="eastAsia" w:ascii="宋体" w:hAnsi="宋体"/>
                <w:color w:val="auto"/>
                <w:kern w:val="0"/>
                <w:sz w:val="21"/>
                <w:szCs w:val="21"/>
                <w:highlight w:val="none"/>
              </w:rPr>
              <w:t>支持OFD文件预览，支持OFD文件转换。</w:t>
            </w:r>
            <w:r>
              <w:rPr>
                <w:rFonts w:ascii="宋体" w:hAnsi="宋体"/>
                <w:color w:val="auto"/>
                <w:kern w:val="0"/>
                <w:sz w:val="21"/>
                <w:szCs w:val="21"/>
                <w:highlight w:val="none"/>
              </w:rPr>
              <w:t xml:space="preserve"> </w:t>
            </w:r>
          </w:p>
        </w:tc>
      </w:tr>
      <w:tr w14:paraId="0F11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continue"/>
            <w:tcBorders>
              <w:top w:val="nil"/>
              <w:left w:val="single" w:color="auto" w:sz="4" w:space="0"/>
              <w:bottom w:val="single" w:color="auto" w:sz="4" w:space="0"/>
              <w:right w:val="single" w:color="auto" w:sz="4" w:space="0"/>
            </w:tcBorders>
            <w:vAlign w:val="center"/>
          </w:tcPr>
          <w:p w14:paraId="33629CB5">
            <w:pPr>
              <w:widowControl/>
              <w:spacing w:line="240" w:lineRule="auto"/>
              <w:jc w:val="left"/>
              <w:rPr>
                <w:rFonts w:hint="eastAsia" w:ascii="宋体" w:hAnsi="宋体"/>
                <w:color w:val="auto"/>
                <w:kern w:val="0"/>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34F765EC">
            <w:pPr>
              <w:widowControl/>
              <w:spacing w:line="240" w:lineRule="auto"/>
              <w:jc w:val="left"/>
              <w:rPr>
                <w:rFonts w:hint="eastAsia" w:ascii="宋体" w:hAnsi="宋体"/>
                <w:color w:val="auto"/>
                <w:kern w:val="0"/>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31C97268">
            <w:pPr>
              <w:spacing w:line="240" w:lineRule="auto"/>
              <w:rPr>
                <w:rFonts w:hint="eastAsia" w:ascii="宋体" w:hAnsi="宋体"/>
                <w:color w:val="auto"/>
                <w:kern w:val="0"/>
                <w:sz w:val="21"/>
                <w:szCs w:val="21"/>
                <w:highlight w:val="none"/>
              </w:rPr>
            </w:pPr>
            <w:r>
              <w:rPr>
                <w:rFonts w:hint="eastAsia" w:ascii="宋体" w:hAnsi="宋体"/>
                <w:color w:val="auto"/>
                <w:kern w:val="0"/>
                <w:sz w:val="21"/>
                <w:szCs w:val="21"/>
                <w:highlight w:val="none"/>
              </w:rPr>
              <w:t>支持在PC端和移动端（安卓以及ios移动设备）进行预览，可实现分页加载预览并针对不同屏幕设备自适应展示，支持查找关键字</w:t>
            </w:r>
          </w:p>
        </w:tc>
      </w:tr>
      <w:tr w14:paraId="773F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restart"/>
            <w:tcBorders>
              <w:top w:val="nil"/>
              <w:left w:val="single" w:color="auto" w:sz="4" w:space="0"/>
              <w:bottom w:val="single" w:color="auto" w:sz="4" w:space="0"/>
              <w:right w:val="single" w:color="auto" w:sz="4" w:space="0"/>
            </w:tcBorders>
            <w:vAlign w:val="center"/>
          </w:tcPr>
          <w:p w14:paraId="7FA9B1E0">
            <w:pPr>
              <w:pStyle w:val="45"/>
              <w:ind w:firstLine="0" w:firstLineChars="0"/>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4</w:t>
            </w:r>
          </w:p>
        </w:tc>
        <w:tc>
          <w:tcPr>
            <w:tcW w:w="1431" w:type="dxa"/>
            <w:gridSpan w:val="2"/>
            <w:vMerge w:val="restart"/>
            <w:tcBorders>
              <w:top w:val="nil"/>
              <w:left w:val="single" w:color="auto" w:sz="4" w:space="0"/>
              <w:bottom w:val="single" w:color="auto" w:sz="4" w:space="0"/>
              <w:right w:val="single" w:color="auto" w:sz="4" w:space="0"/>
            </w:tcBorders>
            <w:vAlign w:val="center"/>
          </w:tcPr>
          <w:p w14:paraId="0480B32B">
            <w:pPr>
              <w:pStyle w:val="45"/>
              <w:ind w:firstLine="0" w:firstLineChars="0"/>
              <w:jc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项目部署</w:t>
            </w: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08CB881F">
            <w:pPr>
              <w:pStyle w:val="45"/>
              <w:ind w:firstLine="0" w:firstLineChars="0"/>
              <w:rPr>
                <w:rFonts w:hint="eastAsia" w:ascii="宋体" w:hAnsi="宋体"/>
                <w:color w:val="auto"/>
                <w:kern w:val="0"/>
                <w:sz w:val="21"/>
                <w:szCs w:val="21"/>
                <w:highlight w:val="none"/>
              </w:rPr>
            </w:pPr>
            <w:r>
              <w:rPr>
                <w:rFonts w:hint="eastAsia" w:ascii="宋体" w:hAnsi="宋体"/>
                <w:color w:val="auto"/>
                <w:kern w:val="0"/>
                <w:sz w:val="21"/>
                <w:szCs w:val="21"/>
                <w:highlight w:val="none"/>
              </w:rPr>
              <w:t>支持Docker、K8s容器化部署多种部署方式，方便用户灵活选择</w:t>
            </w:r>
          </w:p>
        </w:tc>
      </w:tr>
      <w:tr w14:paraId="48DD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gridSpan w:val="2"/>
            <w:vMerge w:val="continue"/>
            <w:tcBorders>
              <w:top w:val="nil"/>
              <w:left w:val="single" w:color="auto" w:sz="4" w:space="0"/>
              <w:bottom w:val="single" w:color="auto" w:sz="4" w:space="0"/>
              <w:right w:val="single" w:color="auto" w:sz="4" w:space="0"/>
            </w:tcBorders>
            <w:vAlign w:val="center"/>
          </w:tcPr>
          <w:p w14:paraId="2B9B12DC">
            <w:pPr>
              <w:widowControl/>
              <w:spacing w:line="240" w:lineRule="auto"/>
              <w:jc w:val="left"/>
              <w:rPr>
                <w:rFonts w:hint="eastAsia" w:ascii="宋体" w:hAnsi="宋体"/>
                <w:color w:val="auto"/>
                <w:kern w:val="0"/>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3A8F1209">
            <w:pPr>
              <w:widowControl/>
              <w:spacing w:line="240" w:lineRule="auto"/>
              <w:jc w:val="left"/>
              <w:rPr>
                <w:rFonts w:hint="eastAsia" w:ascii="宋体" w:hAnsi="宋体"/>
                <w:color w:val="auto"/>
                <w:kern w:val="0"/>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vAlign w:val="center"/>
          </w:tcPr>
          <w:p w14:paraId="5D7B5728">
            <w:pPr>
              <w:pStyle w:val="45"/>
              <w:ind w:firstLine="0" w:firstLineChars="0"/>
              <w:rPr>
                <w:rFonts w:hint="eastAsia" w:ascii="宋体" w:hAnsi="宋体"/>
                <w:color w:val="auto"/>
                <w:kern w:val="0"/>
                <w:sz w:val="21"/>
                <w:szCs w:val="21"/>
                <w:highlight w:val="none"/>
              </w:rPr>
            </w:pPr>
            <w:r>
              <w:rPr>
                <w:rFonts w:hint="eastAsia" w:ascii="宋体" w:hAnsi="宋体"/>
                <w:color w:val="auto"/>
                <w:kern w:val="0"/>
                <w:sz w:val="21"/>
                <w:szCs w:val="21"/>
                <w:highlight w:val="none"/>
              </w:rPr>
              <w:t>支持客户生产环境授权迁移的需求，提供测试环境授权</w:t>
            </w:r>
          </w:p>
        </w:tc>
      </w:tr>
      <w:tr w14:paraId="4BA7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9" w:hRule="atLeast"/>
        </w:trPr>
        <w:tc>
          <w:tcPr>
            <w:tcW w:w="695" w:type="dxa"/>
            <w:vMerge w:val="restart"/>
            <w:tcBorders>
              <w:top w:val="nil"/>
              <w:left w:val="single" w:color="auto" w:sz="4" w:space="0"/>
              <w:bottom w:val="single" w:color="auto" w:sz="4" w:space="0"/>
              <w:right w:val="single" w:color="auto" w:sz="4" w:space="0"/>
            </w:tcBorders>
            <w:vAlign w:val="center"/>
          </w:tcPr>
          <w:p w14:paraId="03D1A308">
            <w:pPr>
              <w:spacing w:line="240" w:lineRule="auto"/>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1431" w:type="dxa"/>
            <w:gridSpan w:val="2"/>
            <w:vMerge w:val="restart"/>
            <w:tcBorders>
              <w:top w:val="nil"/>
              <w:left w:val="single" w:color="auto" w:sz="4" w:space="0"/>
              <w:bottom w:val="single" w:color="auto" w:sz="4" w:space="0"/>
              <w:right w:val="single" w:color="auto" w:sz="4" w:space="0"/>
            </w:tcBorders>
            <w:vAlign w:val="center"/>
          </w:tcPr>
          <w:p w14:paraId="150FDB1F">
            <w:pPr>
              <w:spacing w:line="240" w:lineRule="auto"/>
              <w:jc w:val="center"/>
              <w:rPr>
                <w:rFonts w:hint="eastAsia" w:ascii="宋体" w:hAnsi="宋体"/>
                <w:color w:val="auto"/>
                <w:sz w:val="21"/>
                <w:szCs w:val="21"/>
                <w:highlight w:val="none"/>
              </w:rPr>
            </w:pPr>
            <w:r>
              <w:rPr>
                <w:rFonts w:hint="eastAsia" w:ascii="宋体" w:hAnsi="宋体"/>
                <w:color w:val="auto"/>
                <w:sz w:val="21"/>
                <w:szCs w:val="21"/>
                <w:highlight w:val="none"/>
              </w:rPr>
              <w:t>兼容性要求</w:t>
            </w:r>
          </w:p>
        </w:tc>
        <w:tc>
          <w:tcPr>
            <w:tcW w:w="73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C516413">
            <w:pPr>
              <w:spacing w:line="240" w:lineRule="auto"/>
              <w:rPr>
                <w:rFonts w:hint="eastAsia" w:ascii="宋体" w:hAnsi="宋体"/>
                <w:color w:val="auto"/>
                <w:sz w:val="21"/>
                <w:szCs w:val="21"/>
                <w:highlight w:val="none"/>
              </w:rPr>
            </w:pPr>
            <w:r>
              <w:rPr>
                <w:rFonts w:hint="eastAsia" w:ascii="宋体" w:hAnsi="宋体"/>
                <w:color w:val="auto"/>
                <w:sz w:val="21"/>
                <w:szCs w:val="21"/>
                <w:highlight w:val="none"/>
              </w:rPr>
              <w:t>兼容office文档:不需要转换文档格式，即可预览文档，且预览效果与源文件一致</w:t>
            </w:r>
          </w:p>
        </w:tc>
      </w:tr>
      <w:tr w14:paraId="5302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79" w:hRule="atLeast"/>
        </w:trPr>
        <w:tc>
          <w:tcPr>
            <w:tcW w:w="695" w:type="dxa"/>
            <w:vMerge w:val="continue"/>
            <w:tcBorders>
              <w:top w:val="nil"/>
              <w:left w:val="single" w:color="auto" w:sz="4" w:space="0"/>
              <w:bottom w:val="single" w:color="auto" w:sz="4" w:space="0"/>
              <w:right w:val="single" w:color="auto" w:sz="4" w:space="0"/>
            </w:tcBorders>
            <w:vAlign w:val="center"/>
          </w:tcPr>
          <w:p w14:paraId="2B02D53F">
            <w:pPr>
              <w:widowControl/>
              <w:spacing w:line="240" w:lineRule="auto"/>
              <w:jc w:val="left"/>
              <w:rPr>
                <w:rFonts w:hint="eastAsia" w:ascii="宋体" w:hAnsi="宋体"/>
                <w:color w:val="auto"/>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2B918F02">
            <w:pPr>
              <w:widowControl/>
              <w:spacing w:line="240" w:lineRule="auto"/>
              <w:jc w:val="left"/>
              <w:rPr>
                <w:rFonts w:hint="eastAsia" w:ascii="宋体" w:hAnsi="宋体"/>
                <w:color w:val="auto"/>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388C692">
            <w:pPr>
              <w:spacing w:line="240" w:lineRule="auto"/>
              <w:rPr>
                <w:rFonts w:hint="eastAsia" w:ascii="宋体" w:hAnsi="宋体"/>
                <w:color w:val="auto"/>
                <w:sz w:val="21"/>
                <w:szCs w:val="21"/>
                <w:highlight w:val="none"/>
              </w:rPr>
            </w:pPr>
            <w:r>
              <w:rPr>
                <w:rFonts w:hint="eastAsia" w:ascii="宋体" w:hAnsi="宋体"/>
                <w:color w:val="auto"/>
                <w:sz w:val="21"/>
                <w:szCs w:val="21"/>
                <w:highlight w:val="none"/>
              </w:rPr>
              <w:t>兼容浏览器说明：Chrome55及以上版本、Firefox50及以上版本、Edge30及以上版本、IE11、Safari11及以上版本</w:t>
            </w:r>
          </w:p>
        </w:tc>
      </w:tr>
      <w:tr w14:paraId="0A53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91" w:hRule="atLeast"/>
        </w:trPr>
        <w:tc>
          <w:tcPr>
            <w:tcW w:w="695" w:type="dxa"/>
            <w:vMerge w:val="continue"/>
            <w:tcBorders>
              <w:top w:val="nil"/>
              <w:left w:val="single" w:color="auto" w:sz="4" w:space="0"/>
              <w:bottom w:val="single" w:color="auto" w:sz="4" w:space="0"/>
              <w:right w:val="single" w:color="auto" w:sz="4" w:space="0"/>
            </w:tcBorders>
            <w:vAlign w:val="center"/>
          </w:tcPr>
          <w:p w14:paraId="60F39F6B">
            <w:pPr>
              <w:widowControl/>
              <w:spacing w:line="240" w:lineRule="auto"/>
              <w:jc w:val="left"/>
              <w:rPr>
                <w:rFonts w:hint="eastAsia" w:ascii="宋体" w:hAnsi="宋体"/>
                <w:color w:val="auto"/>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08FE2A13">
            <w:pPr>
              <w:widowControl/>
              <w:spacing w:line="240" w:lineRule="auto"/>
              <w:jc w:val="left"/>
              <w:rPr>
                <w:rFonts w:hint="eastAsia" w:ascii="宋体" w:hAnsi="宋体"/>
                <w:color w:val="auto"/>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DAEDF87">
            <w:pPr>
              <w:spacing w:line="240" w:lineRule="auto"/>
              <w:rPr>
                <w:rFonts w:hint="eastAsia" w:ascii="宋体" w:hAnsi="宋体"/>
                <w:color w:val="auto"/>
                <w:sz w:val="21"/>
                <w:szCs w:val="21"/>
                <w:highlight w:val="none"/>
              </w:rPr>
            </w:pPr>
            <w:r>
              <w:rPr>
                <w:rFonts w:hint="eastAsia" w:ascii="宋体" w:hAnsi="宋体"/>
                <w:color w:val="auto"/>
                <w:sz w:val="21"/>
                <w:szCs w:val="21"/>
                <w:highlight w:val="none"/>
              </w:rPr>
              <w:t>兼容麒麟、统信、windows、ios、android等多终端环境，支持移动端h5、电脑浏览器网页端</w:t>
            </w:r>
          </w:p>
        </w:tc>
      </w:tr>
      <w:tr w14:paraId="0AC1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trPr>
        <w:tc>
          <w:tcPr>
            <w:tcW w:w="695" w:type="dxa"/>
            <w:vMerge w:val="restart"/>
            <w:tcBorders>
              <w:top w:val="nil"/>
              <w:left w:val="single" w:color="auto" w:sz="4" w:space="0"/>
              <w:bottom w:val="single" w:color="auto" w:sz="4" w:space="0"/>
              <w:right w:val="single" w:color="auto" w:sz="4" w:space="0"/>
            </w:tcBorders>
            <w:vAlign w:val="center"/>
          </w:tcPr>
          <w:p w14:paraId="2BD5D6E5">
            <w:pPr>
              <w:spacing w:line="240" w:lineRule="auto"/>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1431" w:type="dxa"/>
            <w:gridSpan w:val="2"/>
            <w:vMerge w:val="restart"/>
            <w:tcBorders>
              <w:top w:val="nil"/>
              <w:left w:val="single" w:color="auto" w:sz="4" w:space="0"/>
              <w:bottom w:val="single" w:color="auto" w:sz="4" w:space="0"/>
              <w:right w:val="single" w:color="auto" w:sz="4" w:space="0"/>
            </w:tcBorders>
            <w:vAlign w:val="center"/>
          </w:tcPr>
          <w:p w14:paraId="17A682E0">
            <w:pPr>
              <w:spacing w:line="240" w:lineRule="auto"/>
              <w:jc w:val="center"/>
              <w:rPr>
                <w:rFonts w:hint="eastAsia" w:ascii="宋体" w:hAnsi="宋体"/>
                <w:color w:val="auto"/>
                <w:sz w:val="21"/>
                <w:szCs w:val="21"/>
                <w:highlight w:val="none"/>
              </w:rPr>
            </w:pPr>
            <w:r>
              <w:rPr>
                <w:rFonts w:hint="eastAsia" w:ascii="宋体" w:hAnsi="宋体"/>
                <w:color w:val="auto"/>
                <w:sz w:val="21"/>
                <w:szCs w:val="21"/>
                <w:highlight w:val="none"/>
              </w:rPr>
              <w:t>二次开发</w:t>
            </w:r>
          </w:p>
        </w:tc>
        <w:tc>
          <w:tcPr>
            <w:tcW w:w="73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C418C8E">
            <w:pPr>
              <w:spacing w:line="240" w:lineRule="auto"/>
              <w:rPr>
                <w:rFonts w:hint="eastAsia" w:ascii="宋体" w:hAnsi="宋体"/>
                <w:color w:val="auto"/>
                <w:sz w:val="21"/>
                <w:szCs w:val="21"/>
                <w:highlight w:val="none"/>
              </w:rPr>
            </w:pPr>
            <w:r>
              <w:rPr>
                <w:rFonts w:hint="eastAsia" w:ascii="宋体" w:hAnsi="宋体"/>
                <w:color w:val="auto"/>
                <w:sz w:val="21"/>
                <w:szCs w:val="21"/>
                <w:highlight w:val="none"/>
              </w:rPr>
              <w:t>二次开发接口提供多种方式集成，可通过API方式接入</w:t>
            </w:r>
          </w:p>
        </w:tc>
      </w:tr>
      <w:tr w14:paraId="2C29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trPr>
        <w:tc>
          <w:tcPr>
            <w:tcW w:w="695" w:type="dxa"/>
            <w:vMerge w:val="continue"/>
            <w:tcBorders>
              <w:top w:val="nil"/>
              <w:left w:val="single" w:color="auto" w:sz="4" w:space="0"/>
              <w:bottom w:val="single" w:color="auto" w:sz="4" w:space="0"/>
              <w:right w:val="single" w:color="auto" w:sz="4" w:space="0"/>
            </w:tcBorders>
            <w:vAlign w:val="center"/>
          </w:tcPr>
          <w:p w14:paraId="1B86A90E">
            <w:pPr>
              <w:widowControl/>
              <w:spacing w:line="240" w:lineRule="auto"/>
              <w:jc w:val="left"/>
              <w:rPr>
                <w:rFonts w:hint="eastAsia" w:ascii="宋体" w:hAnsi="宋体"/>
                <w:color w:val="auto"/>
                <w:sz w:val="21"/>
                <w:szCs w:val="21"/>
                <w:highlight w:val="none"/>
              </w:rPr>
            </w:pPr>
          </w:p>
        </w:tc>
        <w:tc>
          <w:tcPr>
            <w:tcW w:w="1431" w:type="dxa"/>
            <w:gridSpan w:val="2"/>
            <w:vMerge w:val="continue"/>
            <w:tcBorders>
              <w:top w:val="nil"/>
              <w:left w:val="single" w:color="auto" w:sz="4" w:space="0"/>
              <w:bottom w:val="single" w:color="auto" w:sz="4" w:space="0"/>
              <w:right w:val="single" w:color="auto" w:sz="4" w:space="0"/>
            </w:tcBorders>
            <w:vAlign w:val="center"/>
          </w:tcPr>
          <w:p w14:paraId="7673870F">
            <w:pPr>
              <w:widowControl/>
              <w:spacing w:line="240" w:lineRule="auto"/>
              <w:jc w:val="left"/>
              <w:rPr>
                <w:rFonts w:hint="eastAsia" w:ascii="宋体" w:hAnsi="宋体"/>
                <w:color w:val="auto"/>
                <w:sz w:val="21"/>
                <w:szCs w:val="21"/>
                <w:highlight w:val="none"/>
              </w:rPr>
            </w:pPr>
          </w:p>
        </w:tc>
        <w:tc>
          <w:tcPr>
            <w:tcW w:w="73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BC95953">
            <w:pPr>
              <w:spacing w:line="240" w:lineRule="auto"/>
              <w:rPr>
                <w:rFonts w:hint="eastAsia" w:ascii="宋体" w:hAnsi="宋体"/>
                <w:color w:val="auto"/>
                <w:sz w:val="21"/>
                <w:szCs w:val="21"/>
                <w:highlight w:val="none"/>
              </w:rPr>
            </w:pPr>
            <w:r>
              <w:rPr>
                <w:rFonts w:hint="eastAsia" w:ascii="宋体" w:hAnsi="宋体"/>
                <w:color w:val="auto"/>
                <w:sz w:val="21"/>
                <w:szCs w:val="21"/>
                <w:highlight w:val="none"/>
              </w:rPr>
              <w:t>支持</w:t>
            </w:r>
            <w:r>
              <w:rPr>
                <w:rFonts w:hint="eastAsia" w:ascii="宋体" w:hAnsi="宋体" w:cs="宋体"/>
                <w:color w:val="auto"/>
                <w:sz w:val="21"/>
                <w:szCs w:val="21"/>
                <w:highlight w:val="none"/>
              </w:rPr>
              <w:t>提供文档转换、水印（水印的内容</w:t>
            </w:r>
            <w:r>
              <w:rPr>
                <w:rFonts w:hint="eastAsia" w:ascii="宋体" w:hAnsi="宋体"/>
                <w:color w:val="auto"/>
                <w:sz w:val="21"/>
                <w:szCs w:val="21"/>
                <w:highlight w:val="none"/>
              </w:rPr>
              <w:t>、</w:t>
            </w:r>
            <w:r>
              <w:rPr>
                <w:rFonts w:hint="eastAsia" w:ascii="宋体" w:hAnsi="宋体" w:cs="宋体"/>
                <w:color w:val="auto"/>
                <w:sz w:val="21"/>
                <w:szCs w:val="21"/>
                <w:highlight w:val="none"/>
              </w:rPr>
              <w:t>字体大小、</w:t>
            </w:r>
            <w:r>
              <w:rPr>
                <w:rFonts w:hint="eastAsia" w:ascii="等线" w:hAnsi="等线" w:cs="宋体"/>
                <w:color w:val="auto"/>
                <w:sz w:val="21"/>
                <w:szCs w:val="21"/>
                <w:highlight w:val="none"/>
              </w:rPr>
              <w:t xml:space="preserve"> </w:t>
            </w:r>
            <w:r>
              <w:rPr>
                <w:rFonts w:hint="eastAsia" w:ascii="宋体" w:hAnsi="宋体" w:cs="宋体"/>
                <w:color w:val="auto"/>
                <w:sz w:val="21"/>
                <w:szCs w:val="21"/>
                <w:highlight w:val="none"/>
              </w:rPr>
              <w:t>字体样式、颜色用户自定义）、</w:t>
            </w:r>
            <w:r>
              <w:rPr>
                <w:rFonts w:hint="eastAsia" w:ascii="等线" w:hAnsi="等线" w:cs="宋体"/>
                <w:color w:val="auto"/>
                <w:sz w:val="21"/>
                <w:szCs w:val="21"/>
                <w:highlight w:val="none"/>
              </w:rPr>
              <w:t xml:space="preserve"> </w:t>
            </w:r>
            <w:r>
              <w:rPr>
                <w:rFonts w:hint="eastAsia" w:ascii="宋体" w:hAnsi="宋体" w:cs="宋体"/>
                <w:color w:val="auto"/>
                <w:sz w:val="21"/>
                <w:szCs w:val="21"/>
                <w:highlight w:val="none"/>
              </w:rPr>
              <w:t>标题、</w:t>
            </w:r>
            <w:r>
              <w:rPr>
                <w:rFonts w:hint="eastAsia" w:ascii="等线" w:hAnsi="等线" w:cs="宋体"/>
                <w:color w:val="auto"/>
                <w:sz w:val="21"/>
                <w:szCs w:val="21"/>
                <w:highlight w:val="none"/>
              </w:rPr>
              <w:t xml:space="preserve"> </w:t>
            </w:r>
            <w:r>
              <w:rPr>
                <w:rFonts w:hint="eastAsia" w:ascii="宋体" w:hAnsi="宋体" w:cs="宋体"/>
                <w:color w:val="auto"/>
                <w:sz w:val="21"/>
                <w:szCs w:val="21"/>
                <w:highlight w:val="none"/>
              </w:rPr>
              <w:t>目录相关参数设置</w:t>
            </w:r>
          </w:p>
        </w:tc>
      </w:tr>
    </w:tbl>
    <w:p w14:paraId="0A37D828">
      <w:pPr>
        <w:rPr>
          <w:rFonts w:hint="default" w:eastAsia="宋体"/>
          <w:color w:val="auto"/>
          <w:highlight w:val="none"/>
          <w:lang w:val="en-US" w:eastAsia="zh-CN"/>
        </w:rPr>
      </w:pPr>
    </w:p>
    <w:p w14:paraId="34A0E865">
      <w:pPr>
        <w:pStyle w:val="6"/>
        <w:keepNext/>
        <w:keepLines/>
        <w:pageBreakBefore w:val="0"/>
        <w:widowControl w:val="0"/>
        <w:numPr>
          <w:ilvl w:val="0"/>
          <w:numId w:val="24"/>
        </w:numPr>
        <w:kinsoku/>
        <w:wordWrap/>
        <w:overflowPunct/>
        <w:topLinePunct w:val="0"/>
        <w:autoSpaceDE/>
        <w:autoSpaceDN/>
        <w:bidi w:val="0"/>
        <w:adjustRightInd/>
        <w:snapToGrid/>
        <w:spacing w:before="490" w:beforeLines="150"/>
        <w:textAlignment w:val="auto"/>
        <w:rPr>
          <w:color w:val="auto"/>
          <w:sz w:val="28"/>
          <w:szCs w:val="28"/>
          <w:highlight w:val="none"/>
        </w:rPr>
      </w:pPr>
      <w:r>
        <w:rPr>
          <w:rFonts w:hint="eastAsia"/>
          <w:color w:val="auto"/>
          <w:sz w:val="28"/>
          <w:szCs w:val="28"/>
          <w:highlight w:val="none"/>
        </w:rPr>
        <w:t>服务器托管服务需求</w:t>
      </w:r>
    </w:p>
    <w:tbl>
      <w:tblPr>
        <w:tblStyle w:val="25"/>
        <w:tblW w:w="917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3"/>
        <w:gridCol w:w="2294"/>
      </w:tblGrid>
      <w:tr w14:paraId="2D16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3" w:type="dxa"/>
            <w:tcBorders>
              <w:top w:val="single" w:color="auto" w:sz="4" w:space="0"/>
              <w:left w:val="single" w:color="auto" w:sz="4" w:space="0"/>
              <w:bottom w:val="single" w:color="auto" w:sz="4" w:space="0"/>
              <w:right w:val="single" w:color="auto" w:sz="4" w:space="0"/>
            </w:tcBorders>
            <w:vAlign w:val="center"/>
          </w:tcPr>
          <w:p w14:paraId="0D00D3B0">
            <w:pPr>
              <w:widowControl/>
              <w:ind w:firstLine="241"/>
              <w:jc w:val="center"/>
              <w:textAlignment w:val="center"/>
              <w:rPr>
                <w:rFonts w:ascii="宋体" w:hAnsi="宋体" w:eastAsia="宋体" w:cs="Times New Roman"/>
                <w:b/>
                <w:bCs/>
                <w:color w:val="auto"/>
                <w:kern w:val="0"/>
                <w:sz w:val="21"/>
                <w:szCs w:val="21"/>
                <w:highlight w:val="none"/>
              </w:rPr>
            </w:pPr>
            <w:r>
              <w:rPr>
                <w:rFonts w:hint="eastAsia" w:ascii="宋体" w:hAnsi="宋体" w:eastAsia="宋体"/>
                <w:b/>
                <w:bCs/>
                <w:color w:val="auto"/>
                <w:kern w:val="0"/>
                <w:sz w:val="21"/>
                <w:szCs w:val="21"/>
                <w:highlight w:val="none"/>
              </w:rPr>
              <w:t>服务名称</w:t>
            </w:r>
          </w:p>
        </w:tc>
        <w:tc>
          <w:tcPr>
            <w:tcW w:w="2293" w:type="dxa"/>
            <w:tcBorders>
              <w:top w:val="single" w:color="auto" w:sz="4" w:space="0"/>
              <w:left w:val="single" w:color="auto" w:sz="4" w:space="0"/>
              <w:bottom w:val="single" w:color="auto" w:sz="4" w:space="0"/>
              <w:right w:val="single" w:color="auto" w:sz="4" w:space="0"/>
            </w:tcBorders>
            <w:vAlign w:val="center"/>
          </w:tcPr>
          <w:p w14:paraId="46B451B2">
            <w:pPr>
              <w:widowControl/>
              <w:ind w:firstLine="241"/>
              <w:jc w:val="center"/>
              <w:textAlignment w:val="center"/>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规格</w:t>
            </w:r>
          </w:p>
        </w:tc>
        <w:tc>
          <w:tcPr>
            <w:tcW w:w="2293" w:type="dxa"/>
            <w:tcBorders>
              <w:top w:val="single" w:color="auto" w:sz="4" w:space="0"/>
              <w:left w:val="single" w:color="auto" w:sz="4" w:space="0"/>
              <w:bottom w:val="single" w:color="auto" w:sz="4" w:space="0"/>
              <w:right w:val="single" w:color="auto" w:sz="4" w:space="0"/>
            </w:tcBorders>
            <w:vAlign w:val="center"/>
          </w:tcPr>
          <w:p w14:paraId="44910A36">
            <w:pPr>
              <w:widowControl/>
              <w:ind w:firstLine="241"/>
              <w:jc w:val="center"/>
              <w:textAlignment w:val="center"/>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单位</w:t>
            </w:r>
          </w:p>
        </w:tc>
        <w:tc>
          <w:tcPr>
            <w:tcW w:w="2294" w:type="dxa"/>
            <w:tcBorders>
              <w:top w:val="single" w:color="auto" w:sz="4" w:space="0"/>
              <w:left w:val="single" w:color="auto" w:sz="4" w:space="0"/>
              <w:bottom w:val="single" w:color="auto" w:sz="4" w:space="0"/>
              <w:right w:val="single" w:color="auto" w:sz="4" w:space="0"/>
            </w:tcBorders>
            <w:vAlign w:val="center"/>
          </w:tcPr>
          <w:p w14:paraId="16A59EE5">
            <w:pPr>
              <w:widowControl/>
              <w:ind w:firstLine="241"/>
              <w:jc w:val="center"/>
              <w:textAlignment w:val="center"/>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数量</w:t>
            </w:r>
          </w:p>
        </w:tc>
      </w:tr>
      <w:tr w14:paraId="112D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3" w:type="dxa"/>
            <w:tcBorders>
              <w:top w:val="single" w:color="auto" w:sz="4" w:space="0"/>
              <w:left w:val="single" w:color="auto" w:sz="4" w:space="0"/>
              <w:bottom w:val="single" w:color="auto" w:sz="4" w:space="0"/>
              <w:right w:val="single" w:color="auto" w:sz="4" w:space="0"/>
            </w:tcBorders>
            <w:vAlign w:val="center"/>
          </w:tcPr>
          <w:p w14:paraId="414143C9">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IDC机柜</w:t>
            </w:r>
          </w:p>
        </w:tc>
        <w:tc>
          <w:tcPr>
            <w:tcW w:w="2293" w:type="dxa"/>
            <w:tcBorders>
              <w:top w:val="single" w:color="auto" w:sz="4" w:space="0"/>
              <w:left w:val="single" w:color="auto" w:sz="4" w:space="0"/>
              <w:bottom w:val="single" w:color="auto" w:sz="4" w:space="0"/>
              <w:right w:val="single" w:color="auto" w:sz="4" w:space="0"/>
            </w:tcBorders>
            <w:vAlign w:val="center"/>
          </w:tcPr>
          <w:p w14:paraId="4E5B33D7">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8U</w:t>
            </w:r>
          </w:p>
        </w:tc>
        <w:tc>
          <w:tcPr>
            <w:tcW w:w="2293" w:type="dxa"/>
            <w:tcBorders>
              <w:top w:val="single" w:color="auto" w:sz="4" w:space="0"/>
              <w:left w:val="single" w:color="auto" w:sz="4" w:space="0"/>
              <w:bottom w:val="single" w:color="auto" w:sz="4" w:space="0"/>
              <w:right w:val="single" w:color="auto" w:sz="4" w:space="0"/>
            </w:tcBorders>
            <w:vAlign w:val="center"/>
          </w:tcPr>
          <w:p w14:paraId="5225F31F">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项</w:t>
            </w:r>
          </w:p>
        </w:tc>
        <w:tc>
          <w:tcPr>
            <w:tcW w:w="2294" w:type="dxa"/>
            <w:tcBorders>
              <w:top w:val="single" w:color="auto" w:sz="4" w:space="0"/>
              <w:left w:val="single" w:color="auto" w:sz="4" w:space="0"/>
              <w:bottom w:val="single" w:color="auto" w:sz="4" w:space="0"/>
              <w:right w:val="single" w:color="auto" w:sz="4" w:space="0"/>
            </w:tcBorders>
            <w:vAlign w:val="center"/>
          </w:tcPr>
          <w:p w14:paraId="316A45BF">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1</w:t>
            </w:r>
          </w:p>
        </w:tc>
      </w:tr>
      <w:tr w14:paraId="4DDA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3" w:type="dxa"/>
            <w:tcBorders>
              <w:top w:val="single" w:color="auto" w:sz="4" w:space="0"/>
              <w:left w:val="single" w:color="auto" w:sz="4" w:space="0"/>
              <w:bottom w:val="single" w:color="auto" w:sz="4" w:space="0"/>
              <w:right w:val="single" w:color="auto" w:sz="4" w:space="0"/>
            </w:tcBorders>
            <w:vAlign w:val="center"/>
          </w:tcPr>
          <w:p w14:paraId="6F14F32A">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出口带宽</w:t>
            </w:r>
          </w:p>
        </w:tc>
        <w:tc>
          <w:tcPr>
            <w:tcW w:w="2293" w:type="dxa"/>
            <w:tcBorders>
              <w:top w:val="single" w:color="auto" w:sz="4" w:space="0"/>
              <w:left w:val="single" w:color="auto" w:sz="4" w:space="0"/>
              <w:bottom w:val="single" w:color="auto" w:sz="4" w:space="0"/>
              <w:right w:val="single" w:color="auto" w:sz="4" w:space="0"/>
            </w:tcBorders>
            <w:vAlign w:val="center"/>
          </w:tcPr>
          <w:p w14:paraId="0C7C79DD">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50M</w:t>
            </w:r>
          </w:p>
        </w:tc>
        <w:tc>
          <w:tcPr>
            <w:tcW w:w="2293" w:type="dxa"/>
            <w:tcBorders>
              <w:top w:val="single" w:color="auto" w:sz="4" w:space="0"/>
              <w:left w:val="single" w:color="auto" w:sz="4" w:space="0"/>
              <w:bottom w:val="single" w:color="auto" w:sz="4" w:space="0"/>
              <w:right w:val="single" w:color="auto" w:sz="4" w:space="0"/>
            </w:tcBorders>
            <w:vAlign w:val="center"/>
          </w:tcPr>
          <w:p w14:paraId="6972823A">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项</w:t>
            </w:r>
          </w:p>
        </w:tc>
        <w:tc>
          <w:tcPr>
            <w:tcW w:w="2294" w:type="dxa"/>
            <w:tcBorders>
              <w:top w:val="single" w:color="auto" w:sz="4" w:space="0"/>
              <w:left w:val="single" w:color="auto" w:sz="4" w:space="0"/>
              <w:bottom w:val="single" w:color="auto" w:sz="4" w:space="0"/>
              <w:right w:val="single" w:color="auto" w:sz="4" w:space="0"/>
            </w:tcBorders>
            <w:vAlign w:val="center"/>
          </w:tcPr>
          <w:p w14:paraId="6D186ADE">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1</w:t>
            </w:r>
          </w:p>
        </w:tc>
      </w:tr>
    </w:tbl>
    <w:p w14:paraId="0F24010B">
      <w:pPr>
        <w:pStyle w:val="6"/>
        <w:keepNext/>
        <w:keepLines/>
        <w:pageBreakBefore w:val="0"/>
        <w:widowControl w:val="0"/>
        <w:numPr>
          <w:ilvl w:val="0"/>
          <w:numId w:val="24"/>
        </w:numPr>
        <w:kinsoku/>
        <w:wordWrap/>
        <w:overflowPunct/>
        <w:topLinePunct w:val="0"/>
        <w:autoSpaceDE/>
        <w:autoSpaceDN/>
        <w:bidi w:val="0"/>
        <w:adjustRightInd/>
        <w:snapToGrid/>
        <w:spacing w:before="490" w:beforeLines="150"/>
        <w:textAlignment w:val="auto"/>
        <w:rPr>
          <w:rFonts w:hint="eastAsia"/>
          <w:color w:val="auto"/>
          <w:sz w:val="28"/>
          <w:szCs w:val="28"/>
          <w:highlight w:val="none"/>
        </w:rPr>
      </w:pPr>
      <w:r>
        <w:rPr>
          <w:rFonts w:hint="eastAsia"/>
          <w:color w:val="auto"/>
          <w:sz w:val="28"/>
          <w:szCs w:val="28"/>
          <w:highlight w:val="none"/>
        </w:rPr>
        <w:t>其他服务需求</w:t>
      </w:r>
    </w:p>
    <w:tbl>
      <w:tblPr>
        <w:tblStyle w:val="24"/>
        <w:tblW w:w="917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2550"/>
        <w:gridCol w:w="2018"/>
        <w:gridCol w:w="2294"/>
      </w:tblGrid>
      <w:tr w14:paraId="4211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1" w:type="dxa"/>
            <w:shd w:val="clear" w:color="auto" w:fill="auto"/>
          </w:tcPr>
          <w:p w14:paraId="3865EDED">
            <w:pPr>
              <w:pStyle w:val="30"/>
              <w:ind w:firstLine="0" w:firstLineChars="0"/>
              <w:jc w:val="center"/>
              <w:rPr>
                <w:rFonts w:hint="eastAsia" w:eastAsia="宋体" w:cs="宋体"/>
                <w:b/>
                <w:bCs/>
                <w:color w:val="auto"/>
                <w:sz w:val="21"/>
                <w:szCs w:val="21"/>
                <w:highlight w:val="none"/>
              </w:rPr>
            </w:pPr>
            <w:r>
              <w:rPr>
                <w:rFonts w:hint="eastAsia" w:eastAsia="宋体" w:cs="宋体"/>
                <w:b/>
                <w:bCs/>
                <w:color w:val="auto"/>
                <w:sz w:val="21"/>
                <w:szCs w:val="21"/>
                <w:highlight w:val="none"/>
              </w:rPr>
              <w:t>服务名称</w:t>
            </w:r>
          </w:p>
        </w:tc>
        <w:tc>
          <w:tcPr>
            <w:tcW w:w="2550" w:type="dxa"/>
            <w:shd w:val="clear" w:color="auto" w:fill="auto"/>
          </w:tcPr>
          <w:p w14:paraId="725465AA">
            <w:pPr>
              <w:pStyle w:val="30"/>
              <w:ind w:firstLine="0" w:firstLineChars="0"/>
              <w:jc w:val="center"/>
              <w:rPr>
                <w:rFonts w:hint="eastAsia" w:eastAsia="宋体" w:cs="宋体"/>
                <w:b/>
                <w:bCs/>
                <w:color w:val="auto"/>
                <w:sz w:val="21"/>
                <w:szCs w:val="21"/>
                <w:highlight w:val="none"/>
              </w:rPr>
            </w:pPr>
            <w:r>
              <w:rPr>
                <w:rFonts w:hint="eastAsia" w:eastAsia="宋体" w:cs="宋体"/>
                <w:b/>
                <w:bCs/>
                <w:color w:val="auto"/>
                <w:sz w:val="21"/>
                <w:szCs w:val="21"/>
                <w:highlight w:val="none"/>
              </w:rPr>
              <w:t>规格</w:t>
            </w:r>
          </w:p>
        </w:tc>
        <w:tc>
          <w:tcPr>
            <w:tcW w:w="2018" w:type="dxa"/>
            <w:shd w:val="clear" w:color="auto" w:fill="auto"/>
          </w:tcPr>
          <w:p w14:paraId="1BB8D13A">
            <w:pPr>
              <w:pStyle w:val="30"/>
              <w:ind w:firstLine="0" w:firstLineChars="0"/>
              <w:jc w:val="center"/>
              <w:rPr>
                <w:rFonts w:hint="eastAsia" w:eastAsia="宋体" w:cs="宋体"/>
                <w:b/>
                <w:bCs/>
                <w:color w:val="auto"/>
                <w:sz w:val="21"/>
                <w:szCs w:val="21"/>
                <w:highlight w:val="none"/>
              </w:rPr>
            </w:pPr>
            <w:r>
              <w:rPr>
                <w:rFonts w:hint="eastAsia" w:eastAsia="宋体" w:cs="宋体"/>
                <w:b/>
                <w:bCs/>
                <w:color w:val="auto"/>
                <w:sz w:val="21"/>
                <w:szCs w:val="21"/>
                <w:highlight w:val="none"/>
              </w:rPr>
              <w:t>数量</w:t>
            </w:r>
          </w:p>
        </w:tc>
        <w:tc>
          <w:tcPr>
            <w:tcW w:w="2294" w:type="dxa"/>
            <w:shd w:val="clear" w:color="auto" w:fill="auto"/>
          </w:tcPr>
          <w:p w14:paraId="4411C55E">
            <w:pPr>
              <w:pStyle w:val="30"/>
              <w:ind w:firstLine="0" w:firstLineChars="0"/>
              <w:jc w:val="center"/>
              <w:rPr>
                <w:rFonts w:hint="eastAsia" w:eastAsia="宋体" w:cs="宋体"/>
                <w:b/>
                <w:bCs/>
                <w:color w:val="auto"/>
                <w:sz w:val="21"/>
                <w:szCs w:val="21"/>
                <w:highlight w:val="none"/>
              </w:rPr>
            </w:pPr>
            <w:r>
              <w:rPr>
                <w:rFonts w:hint="eastAsia" w:eastAsia="宋体" w:cs="宋体"/>
                <w:b/>
                <w:bCs/>
                <w:color w:val="auto"/>
                <w:sz w:val="21"/>
                <w:szCs w:val="21"/>
                <w:highlight w:val="none"/>
              </w:rPr>
              <w:t>单位</w:t>
            </w:r>
          </w:p>
        </w:tc>
      </w:tr>
      <w:tr w14:paraId="2796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1" w:type="dxa"/>
            <w:shd w:val="clear" w:color="auto" w:fill="auto"/>
            <w:vAlign w:val="center"/>
          </w:tcPr>
          <w:p w14:paraId="7B448880">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等保测评</w:t>
            </w:r>
          </w:p>
        </w:tc>
        <w:tc>
          <w:tcPr>
            <w:tcW w:w="2550" w:type="dxa"/>
            <w:shd w:val="clear" w:color="auto" w:fill="auto"/>
            <w:vAlign w:val="center"/>
          </w:tcPr>
          <w:p w14:paraId="27BBD420">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等保二级测评</w:t>
            </w:r>
          </w:p>
          <w:p w14:paraId="24679347">
            <w:pPr>
              <w:pStyle w:val="30"/>
              <w:ind w:firstLine="0" w:firstLineChars="0"/>
              <w:jc w:val="center"/>
              <w:rPr>
                <w:rFonts w:hint="eastAsia" w:eastAsia="宋体" w:cs="宋体"/>
                <w:color w:val="auto"/>
                <w:sz w:val="21"/>
                <w:szCs w:val="21"/>
                <w:highlight w:val="none"/>
              </w:rPr>
            </w:pPr>
            <w:r>
              <w:rPr>
                <w:rFonts w:hint="eastAsia" w:ascii="宋体" w:hAnsi="宋体" w:cs="宋体"/>
                <w:i w:val="0"/>
                <w:iCs w:val="0"/>
                <w:color w:val="auto"/>
                <w:kern w:val="0"/>
                <w:sz w:val="22"/>
                <w:szCs w:val="22"/>
                <w:highlight w:val="none"/>
                <w:u w:val="none"/>
                <w:lang w:val="en-US" w:eastAsia="zh-CN" w:bidi="ar"/>
              </w:rPr>
              <w:t>(含OA办公系统、网站）</w:t>
            </w:r>
          </w:p>
        </w:tc>
        <w:tc>
          <w:tcPr>
            <w:tcW w:w="2018" w:type="dxa"/>
            <w:shd w:val="clear" w:color="auto" w:fill="auto"/>
            <w:vAlign w:val="center"/>
          </w:tcPr>
          <w:p w14:paraId="57CA7DB5">
            <w:pPr>
              <w:pStyle w:val="30"/>
              <w:ind w:firstLine="0" w:firstLineChars="0"/>
              <w:jc w:val="center"/>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2294" w:type="dxa"/>
            <w:shd w:val="clear" w:color="auto" w:fill="auto"/>
            <w:vAlign w:val="center"/>
          </w:tcPr>
          <w:p w14:paraId="232A849B">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项</w:t>
            </w:r>
          </w:p>
        </w:tc>
      </w:tr>
      <w:tr w14:paraId="3129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1" w:type="dxa"/>
            <w:shd w:val="clear" w:color="auto" w:fill="auto"/>
            <w:vAlign w:val="center"/>
          </w:tcPr>
          <w:p w14:paraId="5E7E4483">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信创实验室测评</w:t>
            </w:r>
          </w:p>
        </w:tc>
        <w:tc>
          <w:tcPr>
            <w:tcW w:w="2550" w:type="dxa"/>
            <w:shd w:val="clear" w:color="auto" w:fill="auto"/>
            <w:vAlign w:val="center"/>
          </w:tcPr>
          <w:p w14:paraId="62E57821">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信创实验室测评</w:t>
            </w:r>
          </w:p>
          <w:p w14:paraId="5CCC49F6">
            <w:pPr>
              <w:pStyle w:val="30"/>
              <w:ind w:firstLine="0" w:firstLineChars="0"/>
              <w:jc w:val="center"/>
              <w:rPr>
                <w:rFonts w:hint="eastAsia" w:eastAsia="宋体" w:cs="宋体"/>
                <w:color w:val="auto"/>
                <w:sz w:val="21"/>
                <w:szCs w:val="21"/>
                <w:highlight w:val="none"/>
              </w:rPr>
            </w:pPr>
            <w:r>
              <w:rPr>
                <w:rFonts w:hint="eastAsia" w:ascii="宋体" w:hAnsi="宋体" w:cs="宋体"/>
                <w:i w:val="0"/>
                <w:iCs w:val="0"/>
                <w:color w:val="auto"/>
                <w:kern w:val="0"/>
                <w:sz w:val="22"/>
                <w:szCs w:val="22"/>
                <w:highlight w:val="none"/>
                <w:u w:val="none"/>
                <w:lang w:val="en-US" w:eastAsia="zh-CN" w:bidi="ar"/>
              </w:rPr>
              <w:t>(含OA办公系统、网站）</w:t>
            </w:r>
          </w:p>
        </w:tc>
        <w:tc>
          <w:tcPr>
            <w:tcW w:w="2018" w:type="dxa"/>
            <w:shd w:val="clear" w:color="auto" w:fill="auto"/>
            <w:vAlign w:val="center"/>
          </w:tcPr>
          <w:p w14:paraId="0C610545">
            <w:pPr>
              <w:pStyle w:val="30"/>
              <w:ind w:firstLine="0" w:firstLineChars="0"/>
              <w:jc w:val="center"/>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2294" w:type="dxa"/>
            <w:shd w:val="clear" w:color="auto" w:fill="auto"/>
            <w:vAlign w:val="center"/>
          </w:tcPr>
          <w:p w14:paraId="778DD0F7">
            <w:pPr>
              <w:pStyle w:val="30"/>
              <w:ind w:firstLine="0" w:firstLineChars="0"/>
              <w:jc w:val="center"/>
              <w:rPr>
                <w:rFonts w:hint="eastAsia" w:eastAsia="宋体" w:cs="宋体"/>
                <w:color w:val="auto"/>
                <w:sz w:val="21"/>
                <w:szCs w:val="21"/>
                <w:highlight w:val="none"/>
              </w:rPr>
            </w:pPr>
            <w:r>
              <w:rPr>
                <w:rFonts w:hint="eastAsia" w:eastAsia="宋体" w:cs="宋体"/>
                <w:color w:val="auto"/>
                <w:sz w:val="21"/>
                <w:szCs w:val="21"/>
                <w:highlight w:val="none"/>
              </w:rPr>
              <w:t>项</w:t>
            </w:r>
          </w:p>
        </w:tc>
      </w:tr>
    </w:tbl>
    <w:p w14:paraId="541DCFE3">
      <w:pPr>
        <w:pStyle w:val="6"/>
        <w:keepNext/>
        <w:keepLines/>
        <w:pageBreakBefore w:val="0"/>
        <w:widowControl w:val="0"/>
        <w:numPr>
          <w:ilvl w:val="0"/>
          <w:numId w:val="24"/>
        </w:numPr>
        <w:kinsoku/>
        <w:wordWrap/>
        <w:overflowPunct/>
        <w:topLinePunct w:val="0"/>
        <w:autoSpaceDE/>
        <w:autoSpaceDN/>
        <w:bidi w:val="0"/>
        <w:adjustRightInd/>
        <w:snapToGrid/>
        <w:spacing w:before="490" w:beforeLines="150"/>
        <w:textAlignment w:val="auto"/>
        <w:rPr>
          <w:rFonts w:hint="eastAsia"/>
          <w:color w:val="auto"/>
          <w:sz w:val="28"/>
          <w:szCs w:val="28"/>
          <w:highlight w:val="none"/>
          <w:lang w:val="en-US" w:eastAsia="zh-CN"/>
        </w:rPr>
      </w:pPr>
      <w:bookmarkStart w:id="389" w:name="_Toc26226"/>
      <w:bookmarkStart w:id="390" w:name="_Toc31986"/>
      <w:bookmarkStart w:id="391" w:name="_Toc32288"/>
      <w:bookmarkStart w:id="392" w:name="_Toc8132"/>
      <w:bookmarkStart w:id="393" w:name="_Toc122"/>
      <w:bookmarkStart w:id="394" w:name="_Toc19912"/>
      <w:bookmarkStart w:id="395" w:name="_Toc11338"/>
      <w:bookmarkStart w:id="396" w:name="_Toc22565"/>
      <w:r>
        <w:rPr>
          <w:rFonts w:hint="eastAsia"/>
          <w:color w:val="auto"/>
          <w:sz w:val="28"/>
          <w:szCs w:val="28"/>
          <w:highlight w:val="none"/>
          <w:lang w:val="en-US" w:eastAsia="zh-CN"/>
        </w:rPr>
        <w:t>项目管理要求</w:t>
      </w:r>
      <w:bookmarkEnd w:id="389"/>
      <w:bookmarkEnd w:id="390"/>
      <w:bookmarkEnd w:id="391"/>
      <w:bookmarkEnd w:id="392"/>
      <w:bookmarkEnd w:id="393"/>
      <w:bookmarkEnd w:id="394"/>
      <w:bookmarkEnd w:id="395"/>
      <w:bookmarkEnd w:id="396"/>
    </w:p>
    <w:p w14:paraId="43F6C108">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参照《温州市市本级党政机关信息化项目建设管理办法》（温政办〔2021〕19号）管理办法。由</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和</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共同组成项目管理系统实施小组，双方应严格遵循项目管理制度，按照项目管理的原则进行实施，建立一套科学、系统、规范和有效的项目管理体系和运作机制，以对整个实施过程及各环节起到科学有效的控制、监督和保障作用，确保项目实施的质量和效率。</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必须配合监理单位的工作。</w:t>
      </w:r>
    </w:p>
    <w:p w14:paraId="09605D69">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397" w:name="_Toc10232"/>
      <w:bookmarkStart w:id="398" w:name="_Toc7256"/>
      <w:bookmarkStart w:id="399" w:name="_Toc103"/>
      <w:bookmarkStart w:id="400" w:name="_Toc30098"/>
      <w:bookmarkStart w:id="401" w:name="_Toc30292"/>
      <w:bookmarkStart w:id="402" w:name="_Toc14784"/>
      <w:bookmarkStart w:id="403" w:name="_Toc11208"/>
      <w:bookmarkStart w:id="404" w:name="_Toc22905"/>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8</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.1 </w:t>
      </w:r>
      <w:r>
        <w:rPr>
          <w:rFonts w:hint="eastAsia" w:ascii="宋体" w:hAnsi="宋体" w:eastAsia="宋体" w:cs="宋体"/>
          <w:b/>
          <w:bCs/>
          <w:color w:val="auto"/>
          <w:kern w:val="0"/>
          <w:sz w:val="22"/>
          <w:szCs w:val="22"/>
          <w:highlight w:val="none"/>
          <w:lang w:val="en-US" w:eastAsia="zh-CN" w:bidi="ar-SA"/>
        </w:rPr>
        <w:t>项目组管理要求</w:t>
      </w:r>
      <w:bookmarkEnd w:id="397"/>
      <w:bookmarkEnd w:id="398"/>
      <w:bookmarkEnd w:id="399"/>
      <w:bookmarkEnd w:id="400"/>
      <w:bookmarkEnd w:id="401"/>
      <w:bookmarkEnd w:id="402"/>
      <w:bookmarkEnd w:id="403"/>
      <w:bookmarkEnd w:id="404"/>
    </w:p>
    <w:p w14:paraId="79361A3F">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应明确本项目团队中各成员的职责分工，并制定相关工作制度规定。</w:t>
      </w:r>
    </w:p>
    <w:p w14:paraId="169B6116">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2、项目负责人及其他团队核心成员须在温州驻点（因该项目外出调研的除外），团队核心成员在项目实施服务周期结束前须保持人员稳定。</w:t>
      </w:r>
    </w:p>
    <w:p w14:paraId="7CD3AA82">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在编制工作计划时应充分考虑</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团队的工作能力，</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应在事前进行方法论的培训，以确保双方工作标准、实施方法相一致。</w:t>
      </w:r>
    </w:p>
    <w:p w14:paraId="5607CE8B">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405" w:name="_Toc16435"/>
      <w:bookmarkStart w:id="406" w:name="_Toc1540"/>
      <w:bookmarkStart w:id="407" w:name="_Toc15254"/>
      <w:bookmarkStart w:id="408" w:name="_Toc1242"/>
      <w:bookmarkStart w:id="409" w:name="_Toc17959"/>
      <w:bookmarkStart w:id="410" w:name="_Toc4546"/>
      <w:bookmarkStart w:id="411" w:name="_Toc877"/>
      <w:bookmarkStart w:id="412" w:name="_Toc7662"/>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8</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.2 </w:t>
      </w:r>
      <w:r>
        <w:rPr>
          <w:rFonts w:hint="eastAsia" w:ascii="宋体" w:hAnsi="宋体" w:eastAsia="宋体" w:cs="宋体"/>
          <w:b/>
          <w:bCs/>
          <w:color w:val="auto"/>
          <w:kern w:val="0"/>
          <w:sz w:val="22"/>
          <w:szCs w:val="22"/>
          <w:highlight w:val="none"/>
          <w:lang w:val="en-US" w:eastAsia="zh-CN" w:bidi="ar-SA"/>
        </w:rPr>
        <w:t>项目团队构成</w:t>
      </w:r>
      <w:bookmarkEnd w:id="405"/>
      <w:bookmarkEnd w:id="406"/>
      <w:bookmarkEnd w:id="407"/>
      <w:bookmarkEnd w:id="408"/>
      <w:bookmarkEnd w:id="409"/>
      <w:bookmarkEnd w:id="410"/>
      <w:bookmarkEnd w:id="411"/>
      <w:bookmarkEnd w:id="412"/>
    </w:p>
    <w:p w14:paraId="3A82D84D">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应派具有系统集成建设经验的人员参加项目的实施，并且保证人员的稳定性。另外，根据项目的工作需求，能够常驻</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现场参与实施。</w:t>
      </w:r>
    </w:p>
    <w:p w14:paraId="4B3C143B">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2、为配合整个项目的实施质量和效率，</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项目组成员将会全程参与、积极配合完成系统实施工作。</w:t>
      </w:r>
    </w:p>
    <w:p w14:paraId="5DF77020">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413" w:name="_Toc12220"/>
      <w:bookmarkStart w:id="414" w:name="_Toc21074"/>
      <w:bookmarkStart w:id="415" w:name="_Toc6300"/>
      <w:bookmarkStart w:id="416" w:name="_Toc4448"/>
      <w:bookmarkStart w:id="417" w:name="_Toc25672"/>
      <w:bookmarkStart w:id="418" w:name="_Toc27485"/>
      <w:bookmarkStart w:id="419" w:name="_Toc24276"/>
      <w:bookmarkStart w:id="420" w:name="_Toc21412"/>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8</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.3 </w:t>
      </w:r>
      <w:r>
        <w:rPr>
          <w:rFonts w:hint="eastAsia" w:ascii="宋体" w:hAnsi="宋体" w:eastAsia="宋体" w:cs="宋体"/>
          <w:b/>
          <w:bCs/>
          <w:color w:val="auto"/>
          <w:kern w:val="0"/>
          <w:sz w:val="22"/>
          <w:szCs w:val="22"/>
          <w:highlight w:val="none"/>
          <w:lang w:val="en-US" w:eastAsia="zh-CN" w:bidi="ar-SA"/>
        </w:rPr>
        <w:t>实施人员要求</w:t>
      </w:r>
      <w:bookmarkEnd w:id="413"/>
      <w:bookmarkEnd w:id="414"/>
      <w:bookmarkEnd w:id="415"/>
      <w:bookmarkEnd w:id="416"/>
      <w:bookmarkEnd w:id="417"/>
      <w:bookmarkEnd w:id="418"/>
      <w:bookmarkEnd w:id="419"/>
      <w:bookmarkEnd w:id="420"/>
    </w:p>
    <w:p w14:paraId="56FCEA2D">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实施人员应与投标文件保持一致，实施期间原则上不得做人员变更，如人员离职需做变更，应书面请示</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同意。</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人员配置数量不能少于5人。</w:t>
      </w:r>
    </w:p>
    <w:p w14:paraId="63B5A366">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应成立项目组，组建项目团队并接受</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管理，指定 1 名项目经理负责本项目的具体实施组织工作，在项目开始实施至验收前须提供不少于3人的项目驻场服务。</w:t>
      </w:r>
    </w:p>
    <w:p w14:paraId="0091E155">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421" w:name="_Toc29069"/>
      <w:bookmarkStart w:id="422" w:name="_Toc9816"/>
      <w:bookmarkStart w:id="423" w:name="_Toc21924"/>
      <w:bookmarkStart w:id="424" w:name="_Toc22059"/>
      <w:bookmarkStart w:id="425" w:name="_Toc31847"/>
      <w:bookmarkStart w:id="426" w:name="_Toc4430"/>
      <w:bookmarkStart w:id="427" w:name="_Toc12229"/>
      <w:bookmarkStart w:id="428" w:name="_Toc20059"/>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8</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.4 </w:t>
      </w:r>
      <w:r>
        <w:rPr>
          <w:rFonts w:hint="eastAsia" w:ascii="宋体" w:hAnsi="宋体" w:eastAsia="宋体" w:cs="宋体"/>
          <w:b/>
          <w:bCs/>
          <w:color w:val="auto"/>
          <w:kern w:val="0"/>
          <w:sz w:val="22"/>
          <w:szCs w:val="22"/>
          <w:highlight w:val="none"/>
          <w:lang w:val="en-US" w:eastAsia="zh-CN" w:bidi="ar-SA"/>
        </w:rPr>
        <w:t>实施计划</w:t>
      </w:r>
      <w:bookmarkEnd w:id="421"/>
      <w:bookmarkEnd w:id="422"/>
      <w:bookmarkEnd w:id="423"/>
      <w:bookmarkEnd w:id="424"/>
      <w:bookmarkEnd w:id="425"/>
      <w:bookmarkEnd w:id="426"/>
      <w:bookmarkEnd w:id="427"/>
      <w:bookmarkEnd w:id="428"/>
    </w:p>
    <w:p w14:paraId="7136164E">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应在投标文件中根据本项目进度有关管控要求前提下，对各阶段进度里程碑进行分解，提供详细项目实施工期计划表，经</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审核同意之后实施。</w:t>
      </w:r>
    </w:p>
    <w:p w14:paraId="68F57084">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429" w:name="_Toc24712"/>
      <w:bookmarkStart w:id="430" w:name="_Toc6152"/>
      <w:bookmarkStart w:id="431" w:name="_Toc29547"/>
      <w:bookmarkStart w:id="432" w:name="_Toc27794"/>
      <w:bookmarkStart w:id="433" w:name="_Toc2274"/>
      <w:bookmarkStart w:id="434" w:name="_Toc22518"/>
      <w:bookmarkStart w:id="435" w:name="_Toc18920"/>
      <w:bookmarkStart w:id="436" w:name="_Toc31603"/>
      <w:bookmarkStart w:id="437" w:name="_Toc1137"/>
      <w:bookmarkStart w:id="438" w:name="_Toc31946"/>
      <w:bookmarkStart w:id="439" w:name="_Toc13423"/>
      <w:bookmarkStart w:id="440" w:name="_Toc13577"/>
      <w:bookmarkStart w:id="441" w:name="_Toc4219"/>
      <w:bookmarkStart w:id="442" w:name="_Toc16721"/>
      <w:bookmarkStart w:id="443" w:name="_Toc24420"/>
      <w:bookmarkStart w:id="444" w:name="_Toc12176"/>
      <w:bookmarkStart w:id="445" w:name="_Toc185"/>
      <w:bookmarkStart w:id="446" w:name="_Toc1890"/>
      <w:bookmarkStart w:id="447" w:name="_Toc6677"/>
      <w:bookmarkStart w:id="448" w:name="_Toc25679"/>
      <w:bookmarkStart w:id="449" w:name="_Toc26283"/>
      <w:bookmarkStart w:id="450" w:name="_Toc24551"/>
      <w:bookmarkStart w:id="451" w:name="_Toc19701"/>
      <w:bookmarkStart w:id="452" w:name="_Toc5290"/>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8</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.5 </w:t>
      </w:r>
      <w:r>
        <w:rPr>
          <w:rFonts w:hint="eastAsia" w:ascii="宋体" w:hAnsi="宋体" w:eastAsia="宋体" w:cs="宋体"/>
          <w:b/>
          <w:bCs/>
          <w:color w:val="auto"/>
          <w:kern w:val="0"/>
          <w:sz w:val="22"/>
          <w:szCs w:val="22"/>
          <w:highlight w:val="none"/>
          <w:lang w:val="en-US" w:eastAsia="zh-CN" w:bidi="ar-SA"/>
        </w:rPr>
        <w:t>安全及保密</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576A419">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在本项目实施开始的同时，应指定保密管理负责人。</w:t>
      </w:r>
    </w:p>
    <w:p w14:paraId="1B6128DF">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依据项目的保密管理规则及</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机密保护规定认真履行保密管理义务。本项目实施过程中收集的所有记录和资料不得泄露给外部。</w:t>
      </w:r>
    </w:p>
    <w:p w14:paraId="68DB8538">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得到的和项目实施有关的所有文件和资料，不得用于与本项目无关的其他业务，没有</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的同意，不得给他人借阅。</w:t>
      </w:r>
    </w:p>
    <w:p w14:paraId="74FF18FD">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453" w:name="_Toc13974"/>
      <w:bookmarkStart w:id="454" w:name="_Toc9214"/>
      <w:bookmarkStart w:id="455" w:name="_Toc26950"/>
      <w:bookmarkStart w:id="456" w:name="_Toc14480"/>
      <w:bookmarkStart w:id="457" w:name="_Toc7618"/>
      <w:bookmarkStart w:id="458" w:name="_Toc29278"/>
      <w:bookmarkStart w:id="459" w:name="_Toc13998"/>
      <w:bookmarkStart w:id="460" w:name="_Toc10842"/>
      <w:bookmarkStart w:id="461" w:name="_Toc2245"/>
      <w:bookmarkStart w:id="462" w:name="_Toc27850"/>
      <w:bookmarkStart w:id="463" w:name="_Toc14026"/>
      <w:bookmarkStart w:id="464" w:name="_Toc365"/>
      <w:bookmarkStart w:id="465" w:name="_Toc21771"/>
      <w:bookmarkStart w:id="466" w:name="_Toc28678"/>
      <w:bookmarkStart w:id="467" w:name="_Toc11905"/>
      <w:bookmarkStart w:id="468" w:name="_Toc32569"/>
      <w:bookmarkStart w:id="469" w:name="_Toc853"/>
      <w:bookmarkStart w:id="470" w:name="_Toc31697"/>
      <w:bookmarkStart w:id="471" w:name="_Toc1327"/>
      <w:bookmarkStart w:id="472" w:name="_Toc11274"/>
      <w:bookmarkStart w:id="473" w:name="_Toc25243"/>
      <w:bookmarkStart w:id="474" w:name="_Toc11450"/>
      <w:bookmarkStart w:id="475" w:name="_Toc16102"/>
      <w:bookmarkStart w:id="476" w:name="_Toc6050"/>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8</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.6 </w:t>
      </w:r>
      <w:r>
        <w:rPr>
          <w:rFonts w:hint="eastAsia" w:ascii="宋体" w:hAnsi="宋体" w:eastAsia="宋体" w:cs="宋体"/>
          <w:b/>
          <w:bCs/>
          <w:color w:val="auto"/>
          <w:kern w:val="0"/>
          <w:sz w:val="22"/>
          <w:szCs w:val="22"/>
          <w:highlight w:val="none"/>
          <w:lang w:val="en-US" w:eastAsia="zh-CN" w:bidi="ar-SA"/>
        </w:rPr>
        <w:t>系统集成管理要求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7CC75DA">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必须在本项目实施周期内，牵头组织、管理各系统相关服务开发商，完成设计方案确定的系统集成要求，具体如下：</w:t>
      </w:r>
    </w:p>
    <w:p w14:paraId="4B29C337">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1、完成信创云平台资源网络规划和网址分配，搭建信创基础运行环境，并根据业务系统的部署要求进行相应的配置调整；</w:t>
      </w:r>
    </w:p>
    <w:p w14:paraId="11C0D7F9">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2、牵头组织各应用开发商，进行业务系统的适配改造开发与测试工作，出具完备的业务系统测试用例；</w:t>
      </w:r>
    </w:p>
    <w:p w14:paraId="64C30187">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3、牵头组织各应用开发商，进行业务系统的应用上云与数据迁移。</w:t>
      </w:r>
    </w:p>
    <w:p w14:paraId="0DF2673E">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477" w:name="_Toc28823"/>
      <w:bookmarkStart w:id="478" w:name="_Toc19265"/>
      <w:bookmarkStart w:id="479" w:name="_Toc19536"/>
      <w:bookmarkStart w:id="480" w:name="_Toc9996"/>
      <w:bookmarkStart w:id="481" w:name="_Toc4472"/>
      <w:bookmarkStart w:id="482" w:name="_Toc12548"/>
      <w:bookmarkStart w:id="483" w:name="_Toc11326"/>
      <w:bookmarkStart w:id="484" w:name="_Toc2742"/>
      <w:bookmarkStart w:id="485" w:name="_Toc3209"/>
      <w:bookmarkStart w:id="486" w:name="_Toc31755"/>
      <w:bookmarkStart w:id="487" w:name="_Toc4572"/>
      <w:bookmarkStart w:id="488" w:name="_Toc9721"/>
      <w:bookmarkStart w:id="489" w:name="_Toc30909"/>
      <w:bookmarkStart w:id="490" w:name="_Toc31701"/>
      <w:bookmarkStart w:id="491" w:name="_Toc15433"/>
      <w:bookmarkStart w:id="492" w:name="_Toc852"/>
      <w:bookmarkStart w:id="493" w:name="_Toc17968"/>
      <w:bookmarkStart w:id="494" w:name="_Toc11320"/>
      <w:bookmarkStart w:id="495" w:name="_Toc8572"/>
      <w:bookmarkStart w:id="496" w:name="_Toc30011"/>
      <w:bookmarkStart w:id="497" w:name="_Toc25103"/>
      <w:bookmarkStart w:id="498" w:name="_Toc3716"/>
      <w:bookmarkStart w:id="499" w:name="_Toc8423"/>
      <w:bookmarkStart w:id="500" w:name="_Toc20318"/>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8</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.7 </w:t>
      </w:r>
      <w:r>
        <w:rPr>
          <w:rFonts w:hint="eastAsia" w:ascii="宋体" w:hAnsi="宋体" w:eastAsia="宋体" w:cs="宋体"/>
          <w:b/>
          <w:bCs/>
          <w:color w:val="auto"/>
          <w:kern w:val="0"/>
          <w:sz w:val="22"/>
          <w:szCs w:val="22"/>
          <w:highlight w:val="none"/>
          <w:lang w:val="en-US" w:eastAsia="zh-CN" w:bidi="ar-SA"/>
        </w:rPr>
        <w:t>第三方测试要求</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5CD12057">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需选择经</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认可的、具有资质的第三方测试机构，在系统验收前进行信创适配测试、系统性能测试、系统功能测试，验证系统是否满足了信创改造的相关要求，并督促整改。</w:t>
      </w:r>
    </w:p>
    <w:p w14:paraId="67499F4E">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501" w:name="_Toc23128"/>
      <w:bookmarkStart w:id="502" w:name="_Toc857"/>
      <w:bookmarkStart w:id="503" w:name="_Toc20684"/>
      <w:bookmarkStart w:id="504" w:name="_Toc2246"/>
      <w:bookmarkStart w:id="505" w:name="_Toc11677"/>
      <w:bookmarkStart w:id="506" w:name="_Toc27001"/>
      <w:bookmarkStart w:id="507" w:name="_Toc26668"/>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8</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.8 </w:t>
      </w:r>
      <w:r>
        <w:rPr>
          <w:rFonts w:hint="eastAsia" w:ascii="宋体" w:hAnsi="宋体" w:eastAsia="宋体" w:cs="宋体"/>
          <w:b/>
          <w:bCs/>
          <w:color w:val="auto"/>
          <w:kern w:val="0"/>
          <w:sz w:val="22"/>
          <w:szCs w:val="22"/>
          <w:highlight w:val="none"/>
          <w:lang w:val="en-US" w:eastAsia="zh-CN" w:bidi="ar-SA"/>
        </w:rPr>
        <w:t>信息安全等级保护要求</w:t>
      </w:r>
      <w:bookmarkEnd w:id="501"/>
      <w:bookmarkEnd w:id="502"/>
      <w:bookmarkEnd w:id="503"/>
      <w:bookmarkEnd w:id="504"/>
      <w:bookmarkEnd w:id="505"/>
      <w:bookmarkEnd w:id="506"/>
      <w:bookmarkEnd w:id="507"/>
    </w:p>
    <w:p w14:paraId="3F109662">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要求</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提供</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次二级等保测评服务。对于因</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原因造成的</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无法通过等保认证，或出现信息安全问题，</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需要承担全部责任。</w:t>
      </w:r>
    </w:p>
    <w:p w14:paraId="5D624E20">
      <w:pPr>
        <w:keepNext/>
        <w:keepLines/>
        <w:numPr>
          <w:ilvl w:val="1"/>
          <w:numId w:val="0"/>
        </w:numPr>
        <w:tabs>
          <w:tab w:val="left" w:pos="420"/>
        </w:tabs>
        <w:spacing w:line="300" w:lineRule="auto"/>
        <w:ind w:left="0" w:leftChars="0" w:firstLine="0" w:firstLineChars="0"/>
        <w:jc w:val="left"/>
        <w:outlineLvl w:val="1"/>
        <w:rPr>
          <w:rFonts w:hint="eastAsia" w:ascii="宋体" w:hAnsi="宋体" w:cs="宋体"/>
          <w:b/>
          <w:bCs/>
          <w:color w:val="auto"/>
          <w:kern w:val="0"/>
          <w:sz w:val="22"/>
          <w:szCs w:val="22"/>
          <w:highlight w:val="none"/>
          <w:lang w:val="en-US" w:eastAsia="zh-CN"/>
        </w:rPr>
      </w:pPr>
      <w:bookmarkStart w:id="508" w:name="_Toc11123"/>
      <w:bookmarkStart w:id="509" w:name="_Toc12753"/>
      <w:bookmarkStart w:id="510" w:name="_Toc9465"/>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8</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.9 </w:t>
      </w:r>
      <w:r>
        <w:rPr>
          <w:rFonts w:hint="eastAsia" w:ascii="宋体" w:hAnsi="宋体" w:cs="宋体"/>
          <w:b/>
          <w:bCs/>
          <w:color w:val="auto"/>
          <w:kern w:val="0"/>
          <w:sz w:val="22"/>
          <w:szCs w:val="22"/>
          <w:highlight w:val="none"/>
          <w:lang w:val="en-US" w:eastAsia="zh-CN"/>
        </w:rPr>
        <w:t>学术成果要求</w:t>
      </w:r>
      <w:bookmarkEnd w:id="508"/>
      <w:bookmarkEnd w:id="509"/>
      <w:bookmarkEnd w:id="510"/>
    </w:p>
    <w:p w14:paraId="383D19E8">
      <w:pPr>
        <w:pageBreakBefore w:val="0"/>
        <w:widowControl/>
        <w:kinsoku/>
        <w:wordWrap/>
        <w:overflowPunct/>
        <w:topLinePunct w:val="0"/>
        <w:autoSpaceDE/>
        <w:autoSpaceDN/>
        <w:bidi w:val="0"/>
        <w:adjustRightInd/>
        <w:snapToGrid/>
        <w:spacing w:line="300" w:lineRule="auto"/>
        <w:ind w:firstLine="440" w:firstLineChars="20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u w:val="none"/>
          <w:lang w:val="en-US" w:eastAsia="zh-CN"/>
        </w:rPr>
        <w:t>采购人针对本项目若有学术成果要求的，中标人必须无条件积极配合，取得的学术成果要求知识产权归属为采购人。</w:t>
      </w:r>
    </w:p>
    <w:p w14:paraId="3AC51C85">
      <w:pPr>
        <w:pStyle w:val="6"/>
        <w:keepNext/>
        <w:keepLines/>
        <w:pageBreakBefore w:val="0"/>
        <w:widowControl w:val="0"/>
        <w:numPr>
          <w:ilvl w:val="0"/>
          <w:numId w:val="24"/>
        </w:numPr>
        <w:kinsoku/>
        <w:wordWrap/>
        <w:overflowPunct/>
        <w:topLinePunct w:val="0"/>
        <w:autoSpaceDE/>
        <w:autoSpaceDN/>
        <w:bidi w:val="0"/>
        <w:adjustRightInd/>
        <w:snapToGrid/>
        <w:spacing w:before="490" w:beforeLines="150"/>
        <w:textAlignment w:val="auto"/>
        <w:rPr>
          <w:rFonts w:hint="eastAsia"/>
          <w:color w:val="auto"/>
          <w:sz w:val="28"/>
          <w:szCs w:val="28"/>
          <w:highlight w:val="none"/>
          <w:lang w:val="en-US" w:eastAsia="zh-CN"/>
        </w:rPr>
      </w:pPr>
      <w:bookmarkStart w:id="511" w:name="_Toc21704"/>
      <w:bookmarkStart w:id="512" w:name="_Toc709"/>
      <w:bookmarkStart w:id="513" w:name="_Toc4355"/>
      <w:bookmarkStart w:id="514" w:name="_Toc1756"/>
      <w:bookmarkStart w:id="515" w:name="_Toc21539"/>
      <w:bookmarkStart w:id="516" w:name="_Toc8801"/>
      <w:bookmarkStart w:id="517" w:name="_Toc2961"/>
      <w:bookmarkStart w:id="518" w:name="_Toc31054"/>
      <w:r>
        <w:rPr>
          <w:rFonts w:hint="eastAsia"/>
          <w:color w:val="auto"/>
          <w:sz w:val="28"/>
          <w:szCs w:val="28"/>
          <w:highlight w:val="none"/>
          <w:lang w:val="en-US" w:eastAsia="zh-CN"/>
        </w:rPr>
        <w:t>服务考核</w:t>
      </w:r>
      <w:bookmarkEnd w:id="511"/>
      <w:bookmarkEnd w:id="512"/>
      <w:bookmarkEnd w:id="513"/>
      <w:bookmarkEnd w:id="514"/>
      <w:bookmarkEnd w:id="515"/>
      <w:bookmarkEnd w:id="516"/>
      <w:bookmarkEnd w:id="517"/>
      <w:bookmarkEnd w:id="518"/>
      <w:r>
        <w:rPr>
          <w:rFonts w:hint="eastAsia"/>
          <w:color w:val="auto"/>
          <w:sz w:val="28"/>
          <w:szCs w:val="28"/>
          <w:highlight w:val="none"/>
          <w:lang w:val="en-US" w:eastAsia="zh-CN"/>
        </w:rPr>
        <w:t>要求</w:t>
      </w:r>
    </w:p>
    <w:p w14:paraId="5D2B148C">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519" w:name="_Toc20973"/>
      <w:bookmarkStart w:id="520" w:name="_Toc11868"/>
      <w:bookmarkStart w:id="521" w:name="_Toc25982"/>
      <w:bookmarkStart w:id="522" w:name="_Toc22097"/>
      <w:bookmarkStart w:id="523" w:name="_Toc292"/>
      <w:bookmarkStart w:id="524" w:name="_Toc15973"/>
      <w:bookmarkStart w:id="525" w:name="_Toc16605"/>
      <w:bookmarkStart w:id="526" w:name="_Toc16090"/>
      <w:bookmarkStart w:id="527" w:name="_Toc29367"/>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9</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.1 </w:t>
      </w:r>
      <w:r>
        <w:rPr>
          <w:rFonts w:hint="eastAsia" w:ascii="宋体" w:hAnsi="宋体" w:cs="宋体"/>
          <w:b/>
          <w:bCs/>
          <w:color w:val="auto"/>
          <w:kern w:val="0"/>
          <w:sz w:val="22"/>
          <w:szCs w:val="22"/>
          <w:highlight w:val="none"/>
          <w:lang w:val="en-US" w:eastAsia="zh-CN" w:bidi="ar-SA"/>
        </w:rPr>
        <w:t>考核范围</w:t>
      </w:r>
      <w:bookmarkEnd w:id="519"/>
      <w:bookmarkEnd w:id="520"/>
      <w:bookmarkEnd w:id="521"/>
      <w:bookmarkEnd w:id="522"/>
      <w:bookmarkEnd w:id="523"/>
      <w:bookmarkEnd w:id="524"/>
      <w:bookmarkEnd w:id="525"/>
      <w:bookmarkEnd w:id="526"/>
      <w:bookmarkEnd w:id="527"/>
    </w:p>
    <w:p w14:paraId="4FB36A3C">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b w:val="0"/>
          <w:bCs w:val="0"/>
          <w:color w:val="auto"/>
          <w:kern w:val="2"/>
          <w:sz w:val="22"/>
          <w:szCs w:val="22"/>
          <w:highlight w:val="none"/>
          <w:lang w:val="en-US" w:eastAsia="zh-CN" w:bidi="ar-SA"/>
        </w:rPr>
        <w:t>包括</w:t>
      </w:r>
      <w:r>
        <w:rPr>
          <w:rFonts w:hint="eastAsia" w:ascii="宋体" w:hAnsi="宋体" w:eastAsia="宋体" w:cs="宋体"/>
          <w:b w:val="0"/>
          <w:bCs w:val="0"/>
          <w:color w:val="auto"/>
          <w:sz w:val="22"/>
          <w:szCs w:val="22"/>
          <w:highlight w:val="none"/>
          <w:lang w:val="en-US" w:eastAsia="zh-CN"/>
        </w:rPr>
        <w:t>信创改造适配系统、云资源、信创终端设备</w:t>
      </w:r>
      <w:r>
        <w:rPr>
          <w:rFonts w:hint="eastAsia" w:ascii="宋体" w:hAnsi="宋体" w:cs="宋体"/>
          <w:b w:val="0"/>
          <w:bCs w:val="0"/>
          <w:color w:val="auto"/>
          <w:sz w:val="22"/>
          <w:szCs w:val="22"/>
          <w:highlight w:val="none"/>
          <w:lang w:val="en-US" w:eastAsia="zh-CN"/>
        </w:rPr>
        <w:t>，考核日自完成信创适配认证，试运行日起</w:t>
      </w:r>
      <w:r>
        <w:rPr>
          <w:rFonts w:hint="eastAsia" w:ascii="宋体" w:hAnsi="宋体" w:eastAsia="宋体" w:cs="宋体"/>
          <w:color w:val="auto"/>
          <w:sz w:val="22"/>
          <w:szCs w:val="22"/>
          <w:highlight w:val="none"/>
          <w:lang w:val="en-US" w:eastAsia="zh-CN"/>
        </w:rPr>
        <w:t>。</w:t>
      </w:r>
    </w:p>
    <w:p w14:paraId="36C2014B">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528" w:name="_Toc333"/>
      <w:bookmarkStart w:id="529" w:name="_Toc17808"/>
      <w:bookmarkStart w:id="530" w:name="_Toc19320"/>
      <w:bookmarkStart w:id="531" w:name="_Toc29298"/>
      <w:bookmarkStart w:id="532" w:name="_Toc21808"/>
      <w:bookmarkStart w:id="533" w:name="_Toc10857"/>
      <w:bookmarkStart w:id="534" w:name="_Toc6934"/>
      <w:bookmarkStart w:id="535" w:name="_Toc228"/>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9</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.2 </w:t>
      </w:r>
      <w:r>
        <w:rPr>
          <w:rFonts w:hint="eastAsia" w:ascii="宋体" w:hAnsi="宋体" w:cs="宋体"/>
          <w:b/>
          <w:bCs/>
          <w:color w:val="auto"/>
          <w:kern w:val="0"/>
          <w:sz w:val="22"/>
          <w:szCs w:val="22"/>
          <w:highlight w:val="none"/>
          <w:lang w:val="en-US" w:eastAsia="zh-CN" w:bidi="ar-SA"/>
        </w:rPr>
        <w:t>考核</w:t>
      </w:r>
      <w:r>
        <w:rPr>
          <w:rFonts w:hint="eastAsia" w:ascii="宋体" w:hAnsi="宋体" w:eastAsia="宋体" w:cs="宋体"/>
          <w:b/>
          <w:bCs/>
          <w:color w:val="auto"/>
          <w:kern w:val="0"/>
          <w:sz w:val="22"/>
          <w:szCs w:val="22"/>
          <w:highlight w:val="none"/>
          <w:lang w:val="en-US" w:eastAsia="zh-CN" w:bidi="ar-SA"/>
        </w:rPr>
        <w:t>内容</w:t>
      </w:r>
      <w:bookmarkEnd w:id="528"/>
      <w:bookmarkEnd w:id="529"/>
      <w:bookmarkEnd w:id="530"/>
      <w:bookmarkEnd w:id="531"/>
      <w:bookmarkEnd w:id="532"/>
      <w:bookmarkEnd w:id="533"/>
      <w:bookmarkEnd w:id="534"/>
      <w:bookmarkEnd w:id="535"/>
    </w:p>
    <w:p w14:paraId="1E13D5C3">
      <w:pPr>
        <w:keepNext/>
        <w:keepLines/>
        <w:pageBreakBefore w:val="0"/>
        <w:widowControl w:val="0"/>
        <w:numPr>
          <w:ilvl w:val="2"/>
          <w:numId w:val="0"/>
        </w:numPr>
        <w:tabs>
          <w:tab w:val="left" w:pos="0"/>
          <w:tab w:val="left" w:pos="420"/>
        </w:tabs>
        <w:kinsoku/>
        <w:wordWrap/>
        <w:overflowPunct/>
        <w:topLinePunct w:val="0"/>
        <w:autoSpaceDE/>
        <w:autoSpaceDN/>
        <w:bidi w:val="0"/>
        <w:adjustRightInd/>
        <w:snapToGrid/>
        <w:spacing w:before="0" w:beforeLines="0" w:beforeAutospacing="0" w:after="0" w:afterLines="0" w:afterAutospacing="0" w:line="300" w:lineRule="auto"/>
        <w:ind w:left="0" w:leftChars="0" w:firstLine="0" w:firstLineChars="0"/>
        <w:jc w:val="left"/>
        <w:textAlignment w:val="auto"/>
        <w:outlineLvl w:val="2"/>
        <w:rPr>
          <w:rFonts w:hint="eastAsia" w:ascii="宋体" w:hAnsi="宋体" w:eastAsia="宋体" w:cs="宋体"/>
          <w:b/>
          <w:bCs/>
          <w:color w:val="auto"/>
          <w:kern w:val="0"/>
          <w:sz w:val="22"/>
          <w:szCs w:val="22"/>
          <w:highlight w:val="none"/>
          <w:lang w:val="en-US" w:eastAsia="zh-CN" w:bidi="ar-SA"/>
        </w:rPr>
      </w:pPr>
      <w:bookmarkStart w:id="536" w:name="_Toc28989"/>
      <w:bookmarkStart w:id="537" w:name="_Toc26550"/>
      <w:bookmarkStart w:id="538" w:name="_Toc11370"/>
      <w:bookmarkStart w:id="539" w:name="_Toc32713"/>
      <w:bookmarkStart w:id="540" w:name="_Toc4379"/>
      <w:bookmarkStart w:id="541" w:name="_Toc25931"/>
      <w:bookmarkStart w:id="542" w:name="_Toc9055"/>
      <w:bookmarkStart w:id="543" w:name="_Toc26082"/>
      <w:bookmarkStart w:id="544" w:name="_Toc19660"/>
      <w:bookmarkStart w:id="545" w:name="_Toc30226"/>
      <w:bookmarkStart w:id="546" w:name="_Toc17206"/>
      <w:bookmarkStart w:id="547" w:name="_Toc9156"/>
      <w:bookmarkStart w:id="548" w:name="_Toc8152"/>
      <w:bookmarkStart w:id="549" w:name="_Toc22737"/>
      <w:bookmarkStart w:id="550" w:name="_Toc15148"/>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9</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.2.1 </w:t>
      </w:r>
      <w:r>
        <w:rPr>
          <w:rFonts w:hint="eastAsia" w:ascii="宋体" w:hAnsi="宋体" w:eastAsia="宋体" w:cs="宋体"/>
          <w:b/>
          <w:bCs/>
          <w:color w:val="auto"/>
          <w:kern w:val="0"/>
          <w:sz w:val="22"/>
          <w:szCs w:val="22"/>
          <w:highlight w:val="none"/>
          <w:lang w:val="en-US" w:eastAsia="zh-CN" w:bidi="ar-SA"/>
        </w:rPr>
        <w:t>工作内容</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51674506">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为了保障本项目</w:t>
      </w:r>
      <w:r>
        <w:rPr>
          <w:rFonts w:hint="eastAsia" w:ascii="宋体" w:hAnsi="宋体" w:cs="宋体"/>
          <w:color w:val="auto"/>
          <w:sz w:val="22"/>
          <w:szCs w:val="22"/>
          <w:highlight w:val="none"/>
          <w:lang w:val="en-US" w:eastAsia="zh-CN"/>
        </w:rPr>
        <w:t>于考核内</w:t>
      </w:r>
      <w:r>
        <w:rPr>
          <w:rFonts w:hint="eastAsia" w:ascii="宋体" w:hAnsi="宋体" w:eastAsia="宋体" w:cs="宋体"/>
          <w:color w:val="auto"/>
          <w:sz w:val="22"/>
          <w:szCs w:val="22"/>
          <w:highlight w:val="none"/>
        </w:rPr>
        <w:t>稳定运行，</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需设立专门的办公点，配备一定数量的经验丰富的系统维护技术人员，对各种系统相关的请求做出及时的响应和处理，主要方式及内容如下：</w:t>
      </w:r>
    </w:p>
    <w:p w14:paraId="4887F84E">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1、日常巡检：针对综合办公系统制定运行维护规范，并按照规范执行范围内的周、月度、季度、年度巡检工作。</w:t>
      </w:r>
    </w:p>
    <w:p w14:paraId="45343371">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故障响应：负责综合办公系统故障分析、处理、解决、优化、升级、维修、远程调试等。接到报修工单后，服务响应时间为30分钟，在2小时内解决问题，重大故障应在4小时内解决。若故障无法在4小时内解决的，供应商应提早和</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主管部门进行汇报，会商解决，保证系统正常运行。</w:t>
      </w:r>
    </w:p>
    <w:p w14:paraId="23A8864F">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3、售后技术支持：为</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提供专业的实时软件保修服务。在接到客户软件故障申请后，及时处理和修复业务系统软件故障。</w:t>
      </w:r>
    </w:p>
    <w:p w14:paraId="03B0C122">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4、产品升级维护：</w:t>
      </w:r>
      <w:r>
        <w:rPr>
          <w:rFonts w:hint="eastAsia" w:ascii="宋体" w:hAnsi="宋体" w:cs="宋体"/>
          <w:color w:val="auto"/>
          <w:sz w:val="22"/>
          <w:szCs w:val="22"/>
          <w:highlight w:val="none"/>
          <w:lang w:val="en-US" w:eastAsia="zh-CN"/>
        </w:rPr>
        <w:t>考核期</w:t>
      </w:r>
      <w:r>
        <w:rPr>
          <w:rFonts w:hint="eastAsia" w:ascii="宋体" w:hAnsi="宋体" w:eastAsia="宋体" w:cs="宋体"/>
          <w:color w:val="auto"/>
          <w:sz w:val="22"/>
          <w:szCs w:val="22"/>
          <w:highlight w:val="none"/>
          <w:lang w:val="en-US" w:eastAsia="zh-CN"/>
        </w:rPr>
        <w:t>内免费对产品进行升级、维护、系统问题处理，对系统本身漏洞终身免费提供系统补丁和解决方案</w:t>
      </w:r>
      <w:bookmarkStart w:id="551" w:name="_Toc24345"/>
      <w:bookmarkStart w:id="552" w:name="_Toc25842"/>
      <w:bookmarkStart w:id="553" w:name="_Toc13117"/>
      <w:bookmarkStart w:id="554" w:name="_Toc1454"/>
      <w:bookmarkStart w:id="555" w:name="_Toc519"/>
      <w:bookmarkStart w:id="556" w:name="_Toc10987"/>
      <w:bookmarkStart w:id="557" w:name="_Toc12132"/>
      <w:r>
        <w:rPr>
          <w:rFonts w:hint="eastAsia" w:ascii="宋体" w:hAnsi="宋体" w:eastAsia="宋体" w:cs="宋体"/>
          <w:color w:val="auto"/>
          <w:sz w:val="22"/>
          <w:szCs w:val="22"/>
          <w:highlight w:val="none"/>
          <w:lang w:val="en-US" w:eastAsia="zh-CN"/>
        </w:rPr>
        <w:t>。</w:t>
      </w:r>
    </w:p>
    <w:p w14:paraId="424F9C05">
      <w:pPr>
        <w:keepNext/>
        <w:keepLines/>
        <w:pageBreakBefore w:val="0"/>
        <w:widowControl w:val="0"/>
        <w:numPr>
          <w:ilvl w:val="2"/>
          <w:numId w:val="0"/>
        </w:numPr>
        <w:tabs>
          <w:tab w:val="left" w:pos="0"/>
          <w:tab w:val="left" w:pos="420"/>
        </w:tabs>
        <w:kinsoku/>
        <w:wordWrap/>
        <w:overflowPunct/>
        <w:topLinePunct w:val="0"/>
        <w:autoSpaceDE/>
        <w:autoSpaceDN/>
        <w:bidi w:val="0"/>
        <w:adjustRightInd/>
        <w:snapToGrid/>
        <w:spacing w:before="0" w:beforeLines="0" w:beforeAutospacing="0" w:after="0" w:afterLines="0" w:afterAutospacing="0" w:line="300" w:lineRule="auto"/>
        <w:ind w:left="0" w:leftChars="0" w:firstLine="0" w:firstLineChars="0"/>
        <w:jc w:val="left"/>
        <w:textAlignment w:val="auto"/>
        <w:outlineLvl w:val="2"/>
        <w:rPr>
          <w:rFonts w:hint="eastAsia" w:ascii="宋体" w:hAnsi="宋体" w:eastAsia="宋体" w:cs="宋体"/>
          <w:b/>
          <w:bCs/>
          <w:color w:val="auto"/>
          <w:kern w:val="0"/>
          <w:sz w:val="22"/>
          <w:szCs w:val="22"/>
          <w:highlight w:val="none"/>
          <w:lang w:val="en-US" w:eastAsia="zh-CN" w:bidi="ar-SA"/>
        </w:rPr>
      </w:pPr>
      <w:bookmarkStart w:id="558" w:name="_Toc18391"/>
      <w:bookmarkStart w:id="559" w:name="_Toc6650"/>
      <w:bookmarkStart w:id="560" w:name="_Toc25918"/>
      <w:bookmarkStart w:id="561" w:name="_Toc30056"/>
      <w:bookmarkStart w:id="562" w:name="_Toc15688"/>
      <w:bookmarkStart w:id="563" w:name="_Toc7188"/>
      <w:bookmarkStart w:id="564" w:name="_Toc30449"/>
      <w:bookmarkStart w:id="565" w:name="_Toc31429"/>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9</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.2.2 </w:t>
      </w:r>
      <w:r>
        <w:rPr>
          <w:rFonts w:hint="eastAsia" w:ascii="宋体" w:hAnsi="宋体" w:eastAsia="宋体" w:cs="宋体"/>
          <w:b/>
          <w:bCs/>
          <w:color w:val="auto"/>
          <w:kern w:val="0"/>
          <w:sz w:val="22"/>
          <w:szCs w:val="22"/>
          <w:highlight w:val="none"/>
          <w:lang w:val="en-US" w:eastAsia="zh-CN" w:bidi="ar-SA"/>
        </w:rPr>
        <w:t>提供现场服务</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58A07491">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综合办公</w:t>
      </w:r>
      <w:r>
        <w:rPr>
          <w:rFonts w:hint="eastAsia" w:ascii="宋体" w:hAnsi="宋体" w:eastAsia="宋体" w:cs="宋体"/>
          <w:color w:val="auto"/>
          <w:sz w:val="22"/>
          <w:szCs w:val="22"/>
          <w:highlight w:val="none"/>
        </w:rPr>
        <w:t>系统运行的实际需求，</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需委派技术人员到现场开展</w:t>
      </w:r>
      <w:r>
        <w:rPr>
          <w:rFonts w:hint="eastAsia" w:ascii="宋体" w:hAnsi="宋体" w:cs="宋体"/>
          <w:color w:val="auto"/>
          <w:sz w:val="22"/>
          <w:szCs w:val="22"/>
          <w:highlight w:val="none"/>
          <w:lang w:val="en-US" w:eastAsia="zh-CN"/>
        </w:rPr>
        <w:t>技术支持</w:t>
      </w:r>
      <w:r>
        <w:rPr>
          <w:rFonts w:hint="eastAsia" w:ascii="宋体" w:hAnsi="宋体" w:eastAsia="宋体" w:cs="宋体"/>
          <w:color w:val="auto"/>
          <w:sz w:val="22"/>
          <w:szCs w:val="22"/>
          <w:highlight w:val="none"/>
        </w:rPr>
        <w:t>服务工作</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常驻人员不少于1人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，及时地协助用户应对系统相关的日常和紧急事务的处理，对系统现场相关的请求做出及时的响应和处理，为系统用户方带来便利。</w:t>
      </w:r>
    </w:p>
    <w:p w14:paraId="6E6C63B5">
      <w:pPr>
        <w:keepNext/>
        <w:keepLines/>
        <w:pageBreakBefore w:val="0"/>
        <w:widowControl w:val="0"/>
        <w:numPr>
          <w:ilvl w:val="2"/>
          <w:numId w:val="0"/>
        </w:numPr>
        <w:tabs>
          <w:tab w:val="left" w:pos="0"/>
          <w:tab w:val="left" w:pos="420"/>
        </w:tabs>
        <w:kinsoku/>
        <w:wordWrap/>
        <w:overflowPunct/>
        <w:topLinePunct w:val="0"/>
        <w:autoSpaceDE/>
        <w:autoSpaceDN/>
        <w:bidi w:val="0"/>
        <w:adjustRightInd/>
        <w:snapToGrid/>
        <w:spacing w:before="0" w:beforeLines="0" w:beforeAutospacing="0" w:after="0" w:afterLines="0" w:afterAutospacing="0" w:line="300" w:lineRule="auto"/>
        <w:ind w:left="0" w:leftChars="0" w:firstLine="0" w:firstLineChars="0"/>
        <w:jc w:val="left"/>
        <w:textAlignment w:val="auto"/>
        <w:outlineLvl w:val="2"/>
        <w:rPr>
          <w:rFonts w:hint="eastAsia" w:ascii="宋体" w:hAnsi="宋体" w:eastAsia="宋体" w:cs="宋体"/>
          <w:b/>
          <w:bCs/>
          <w:color w:val="auto"/>
          <w:kern w:val="0"/>
          <w:sz w:val="22"/>
          <w:szCs w:val="22"/>
          <w:highlight w:val="none"/>
          <w:lang w:val="en-US" w:eastAsia="zh-CN" w:bidi="ar-SA"/>
        </w:rPr>
      </w:pPr>
      <w:bookmarkStart w:id="566" w:name="_Toc22535"/>
      <w:bookmarkStart w:id="567" w:name="_Toc23488"/>
      <w:bookmarkStart w:id="568" w:name="_Toc4129"/>
      <w:bookmarkStart w:id="569" w:name="_Toc28322"/>
      <w:bookmarkStart w:id="570" w:name="_Toc21365"/>
      <w:bookmarkStart w:id="571" w:name="_Toc23550"/>
      <w:bookmarkStart w:id="572" w:name="_Toc27366"/>
      <w:bookmarkStart w:id="573" w:name="_Toc10384"/>
      <w:bookmarkStart w:id="574" w:name="_Toc5080"/>
      <w:bookmarkStart w:id="575" w:name="_Toc2537"/>
      <w:bookmarkStart w:id="576" w:name="_Toc21753"/>
      <w:bookmarkStart w:id="577" w:name="_Toc568"/>
      <w:bookmarkStart w:id="578" w:name="_Toc24806"/>
      <w:bookmarkStart w:id="579" w:name="_Toc28912"/>
      <w:bookmarkStart w:id="580" w:name="_Toc22998"/>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9</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.2.3 </w:t>
      </w:r>
      <w:r>
        <w:rPr>
          <w:rFonts w:hint="eastAsia" w:ascii="宋体" w:hAnsi="宋体" w:eastAsia="宋体" w:cs="宋体"/>
          <w:b/>
          <w:bCs/>
          <w:color w:val="auto"/>
          <w:kern w:val="0"/>
          <w:sz w:val="22"/>
          <w:szCs w:val="22"/>
          <w:highlight w:val="none"/>
          <w:lang w:val="en-US" w:eastAsia="zh-CN" w:bidi="ar-SA"/>
        </w:rPr>
        <w:t>建立完善的服务流程</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1FB6AE7A">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建立完善的服务流程，能使服务团队效率最大化，更好地为本项目提供服务。</w:t>
      </w:r>
    </w:p>
    <w:p w14:paraId="389C65BA">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w:t>
      </w:r>
      <w:r>
        <w:rPr>
          <w:rFonts w:hint="eastAsia" w:ascii="宋体" w:hAnsi="宋体" w:cs="宋体"/>
          <w:color w:val="auto"/>
          <w:sz w:val="22"/>
          <w:szCs w:val="22"/>
          <w:highlight w:val="none"/>
          <w:lang w:val="en-US" w:eastAsia="zh-CN"/>
        </w:rPr>
        <w:t>考核期</w:t>
      </w:r>
      <w:r>
        <w:rPr>
          <w:rFonts w:hint="eastAsia" w:ascii="宋体" w:hAnsi="宋体" w:eastAsia="宋体" w:cs="宋体"/>
          <w:color w:val="auto"/>
          <w:sz w:val="22"/>
          <w:szCs w:val="22"/>
          <w:highlight w:val="none"/>
        </w:rPr>
        <w:t>内，需提供7×</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8小时技术咨询服务和远程技术支持服务，各项工作阶段性产出相应文档，所产出文档最终以电子版形式反馈给用户。</w:t>
      </w:r>
    </w:p>
    <w:p w14:paraId="792947EA">
      <w:pPr>
        <w:keepNext/>
        <w:keepLines/>
        <w:pageBreakBefore w:val="0"/>
        <w:widowControl w:val="0"/>
        <w:numPr>
          <w:ilvl w:val="2"/>
          <w:numId w:val="0"/>
        </w:numPr>
        <w:tabs>
          <w:tab w:val="left" w:pos="0"/>
          <w:tab w:val="left" w:pos="420"/>
        </w:tabs>
        <w:kinsoku/>
        <w:wordWrap/>
        <w:overflowPunct/>
        <w:topLinePunct w:val="0"/>
        <w:autoSpaceDE/>
        <w:autoSpaceDN/>
        <w:bidi w:val="0"/>
        <w:adjustRightInd/>
        <w:snapToGrid/>
        <w:spacing w:beforeLines="0" w:afterLines="0" w:line="300" w:lineRule="auto"/>
        <w:ind w:left="0" w:leftChars="0" w:firstLine="0" w:firstLineChars="0"/>
        <w:jc w:val="left"/>
        <w:textAlignment w:val="auto"/>
        <w:outlineLvl w:val="2"/>
        <w:rPr>
          <w:rFonts w:hint="eastAsia" w:ascii="宋体" w:hAnsi="宋体" w:eastAsia="宋体" w:cs="宋体"/>
          <w:color w:val="auto"/>
          <w:sz w:val="22"/>
          <w:szCs w:val="22"/>
          <w:highlight w:val="none"/>
        </w:rPr>
      </w:pPr>
      <w:bookmarkStart w:id="581" w:name="_Toc3226"/>
      <w:bookmarkStart w:id="582" w:name="_Toc19795"/>
      <w:bookmarkStart w:id="583" w:name="_Toc29155"/>
      <w:bookmarkStart w:id="584" w:name="_Toc22054"/>
      <w:bookmarkStart w:id="585" w:name="_Toc31997"/>
      <w:bookmarkStart w:id="586" w:name="_Toc31676"/>
      <w:bookmarkStart w:id="587" w:name="_Toc12682"/>
      <w:bookmarkStart w:id="588" w:name="_Toc6365"/>
      <w:bookmarkStart w:id="589" w:name="_Toc14517"/>
      <w:bookmarkStart w:id="590" w:name="_Toc32513"/>
      <w:bookmarkStart w:id="591" w:name="_Toc28909"/>
      <w:bookmarkStart w:id="592" w:name="_Toc29487"/>
      <w:bookmarkStart w:id="593" w:name="_Toc11753"/>
      <w:bookmarkStart w:id="594" w:name="_Toc22858"/>
      <w:bookmarkStart w:id="595" w:name="_Toc2105"/>
      <w:r>
        <w:rPr>
          <w:rFonts w:hint="eastAsia" w:ascii="黑体" w:hAnsi="黑体" w:eastAsia="黑体" w:cs="宋体"/>
          <w:b w:val="0"/>
          <w:bCs w:val="0"/>
          <w:i w:val="0"/>
          <w:iCs w:val="0"/>
          <w:caps w:val="0"/>
          <w:smallCaps w:val="0"/>
          <w:strike w:val="0"/>
          <w:dstrike w:val="0"/>
          <w:vanish w:val="0"/>
          <w:color w:val="auto"/>
          <w:spacing w:val="0"/>
          <w:kern w:val="2"/>
          <w:position w:val="0"/>
          <w:sz w:val="22"/>
          <w:szCs w:val="22"/>
          <w:highlight w:val="none"/>
          <w:u w:val="none"/>
          <w:vertAlign w:val="baseline"/>
          <w:lang w:val="en-US" w:eastAsia="zh-CN" w:bidi="ar-SA"/>
        </w:rPr>
        <w:t>9</w:t>
      </w:r>
      <w:r>
        <w:rPr>
          <w:rFonts w:hint="default" w:ascii="黑体" w:hAnsi="黑体" w:eastAsia="黑体" w:cs="宋体"/>
          <w:b w:val="0"/>
          <w:bCs w:val="0"/>
          <w:i w:val="0"/>
          <w:iCs w:val="0"/>
          <w:caps w:val="0"/>
          <w:smallCaps w:val="0"/>
          <w:strike w:val="0"/>
          <w:dstrike w:val="0"/>
          <w:vanish w:val="0"/>
          <w:color w:val="auto"/>
          <w:spacing w:val="0"/>
          <w:kern w:val="2"/>
          <w:position w:val="0"/>
          <w:sz w:val="22"/>
          <w:szCs w:val="22"/>
          <w:highlight w:val="none"/>
          <w:u w:val="none"/>
          <w:vertAlign w:val="baseline"/>
          <w:lang w:val="en-US" w:eastAsia="zh-CN" w:bidi="ar-SA"/>
        </w:rPr>
        <w:t xml:space="preserve">.2.4 </w:t>
      </w:r>
      <w:r>
        <w:rPr>
          <w:rFonts w:hint="eastAsia" w:ascii="宋体" w:hAnsi="宋体" w:eastAsia="宋体" w:cs="宋体"/>
          <w:b/>
          <w:bCs/>
          <w:color w:val="auto"/>
          <w:kern w:val="0"/>
          <w:sz w:val="22"/>
          <w:szCs w:val="22"/>
          <w:highlight w:val="none"/>
          <w:lang w:val="en-US" w:eastAsia="zh-CN" w:bidi="ar-SA"/>
        </w:rPr>
        <w:t>工作要求</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50CF8B81">
      <w:pPr>
        <w:keepNext/>
        <w:keepLines/>
        <w:pageBreakBefore w:val="0"/>
        <w:widowControl w:val="0"/>
        <w:numPr>
          <w:ilvl w:val="3"/>
          <w:numId w:val="0"/>
        </w:numPr>
        <w:suppressLineNumbers w:val="0"/>
        <w:tabs>
          <w:tab w:val="left" w:pos="0"/>
          <w:tab w:val="left" w:pos="420"/>
        </w:tabs>
        <w:kinsoku/>
        <w:wordWrap/>
        <w:overflowPunct/>
        <w:topLinePunct w:val="0"/>
        <w:autoSpaceDE/>
        <w:autoSpaceDN/>
        <w:bidi w:val="0"/>
        <w:adjustRightInd/>
        <w:snapToGrid/>
        <w:spacing w:before="0" w:beforeLines="0" w:beforeAutospacing="0" w:after="0" w:afterLines="0" w:afterAutospacing="0" w:line="300" w:lineRule="auto"/>
        <w:ind w:left="0" w:leftChars="0" w:firstLine="0" w:firstLineChars="0"/>
        <w:jc w:val="left"/>
        <w:textAlignment w:val="auto"/>
        <w:outlineLvl w:val="3"/>
        <w:rPr>
          <w:rFonts w:hint="eastAsia" w:ascii="宋体" w:hAnsi="宋体" w:eastAsia="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9</w:t>
      </w:r>
      <w:r>
        <w:rPr>
          <w:rFonts w:hint="default" w:ascii="宋体" w:hAnsi="宋体" w:eastAsia="宋体" w:cs="宋体"/>
          <w:b/>
          <w:bCs/>
          <w:color w:val="auto"/>
          <w:kern w:val="2"/>
          <w:sz w:val="22"/>
          <w:szCs w:val="22"/>
          <w:highlight w:val="none"/>
          <w:lang w:val="en-US" w:eastAsia="zh-CN" w:bidi="ar"/>
        </w:rPr>
        <w:t xml:space="preserve">.2.4.1 </w:t>
      </w:r>
      <w:r>
        <w:rPr>
          <w:rFonts w:hint="eastAsia" w:ascii="宋体" w:hAnsi="宋体" w:eastAsia="宋体" w:cs="宋体"/>
          <w:b/>
          <w:bCs/>
          <w:color w:val="auto"/>
          <w:kern w:val="2"/>
          <w:sz w:val="22"/>
          <w:szCs w:val="22"/>
          <w:highlight w:val="none"/>
          <w:lang w:val="en-US" w:eastAsia="zh-CN" w:bidi="ar"/>
        </w:rPr>
        <w:t>服务响应要求</w:t>
      </w:r>
    </w:p>
    <w:p w14:paraId="47D6F1F3">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为了保障平台正常运行，对服务响应时间要求如下：</w:t>
      </w:r>
    </w:p>
    <w:p w14:paraId="02ACF9A6">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1.每周7×</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8小时在线技术支持与运行维护，其他时间提供电话服务。</w:t>
      </w:r>
    </w:p>
    <w:p w14:paraId="5D4F9E19">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2.系统故障</w:t>
      </w:r>
      <w:r>
        <w:rPr>
          <w:rFonts w:hint="eastAsia" w:ascii="宋体" w:hAnsi="宋体" w:eastAsia="宋体" w:cs="宋体"/>
          <w:color w:val="auto"/>
          <w:sz w:val="22"/>
          <w:szCs w:val="22"/>
          <w:highlight w:val="none"/>
          <w:lang w:val="en-US" w:eastAsia="zh-CN"/>
        </w:rPr>
        <w:t>服务响应时间为30分钟，在2小时内解决问题，重大故障应在4小时内解决。若故障无法在4小时内解决的，供应商应提早和</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主管部门进行汇报，会商解决，保证系统正常运行</w:t>
      </w:r>
      <w:r>
        <w:rPr>
          <w:rFonts w:hint="eastAsia" w:ascii="宋体" w:hAnsi="宋体" w:eastAsia="宋体" w:cs="宋体"/>
          <w:color w:val="auto"/>
          <w:sz w:val="22"/>
          <w:szCs w:val="22"/>
          <w:highlight w:val="none"/>
        </w:rPr>
        <w:t>。</w:t>
      </w:r>
    </w:p>
    <w:p w14:paraId="5E2FEB99">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最终达到发现问题快、响应时间快、解决问题快的效果。</w:t>
      </w:r>
    </w:p>
    <w:p w14:paraId="2D2DF265">
      <w:pPr>
        <w:keepNext/>
        <w:keepLines/>
        <w:pageBreakBefore w:val="0"/>
        <w:widowControl w:val="0"/>
        <w:numPr>
          <w:ilvl w:val="3"/>
          <w:numId w:val="0"/>
        </w:numPr>
        <w:suppressLineNumbers w:val="0"/>
        <w:tabs>
          <w:tab w:val="left" w:pos="0"/>
          <w:tab w:val="left" w:pos="420"/>
        </w:tabs>
        <w:kinsoku/>
        <w:wordWrap/>
        <w:overflowPunct/>
        <w:topLinePunct w:val="0"/>
        <w:autoSpaceDE/>
        <w:autoSpaceDN/>
        <w:bidi w:val="0"/>
        <w:adjustRightInd/>
        <w:snapToGrid/>
        <w:spacing w:before="0" w:beforeLines="0" w:beforeAutospacing="0" w:after="0" w:afterLines="0" w:afterAutospacing="0" w:line="300" w:lineRule="auto"/>
        <w:ind w:left="0" w:leftChars="0" w:firstLine="0" w:firstLineChars="0"/>
        <w:jc w:val="left"/>
        <w:textAlignment w:val="auto"/>
        <w:outlineLvl w:val="3"/>
        <w:rPr>
          <w:rFonts w:hint="eastAsia" w:ascii="宋体" w:hAnsi="宋体" w:eastAsia="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9</w:t>
      </w:r>
      <w:r>
        <w:rPr>
          <w:rFonts w:hint="default" w:ascii="宋体" w:hAnsi="宋体" w:eastAsia="宋体" w:cs="宋体"/>
          <w:b/>
          <w:bCs/>
          <w:color w:val="auto"/>
          <w:kern w:val="2"/>
          <w:sz w:val="22"/>
          <w:szCs w:val="22"/>
          <w:highlight w:val="none"/>
          <w:lang w:val="en-US" w:eastAsia="zh-CN" w:bidi="ar"/>
        </w:rPr>
        <w:t xml:space="preserve">.2.4.2 </w:t>
      </w:r>
      <w:r>
        <w:rPr>
          <w:rFonts w:hint="eastAsia" w:ascii="宋体" w:hAnsi="宋体" w:eastAsia="宋体" w:cs="宋体"/>
          <w:b/>
          <w:bCs/>
          <w:color w:val="auto"/>
          <w:kern w:val="2"/>
          <w:sz w:val="22"/>
          <w:szCs w:val="22"/>
          <w:highlight w:val="none"/>
          <w:lang w:val="en-US" w:eastAsia="zh-CN" w:bidi="ar"/>
        </w:rPr>
        <w:t>系统运行环境检查</w:t>
      </w:r>
    </w:p>
    <w:p w14:paraId="54CA3939">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巡检内容包括以下内容：</w:t>
      </w:r>
    </w:p>
    <w:p w14:paraId="078A5E11">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1、数据库状况：检查数据库能否正常登录、数据处理效率是否正常；</w:t>
      </w:r>
    </w:p>
    <w:p w14:paraId="72428860">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2、数据库日志状况：检查数据库日志，当出现异常时及时作出处理；</w:t>
      </w:r>
    </w:p>
    <w:p w14:paraId="5DDA2019">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3、中间件检查：</w:t>
      </w:r>
      <w:r>
        <w:rPr>
          <w:rFonts w:hint="eastAsia" w:ascii="宋体" w:hAnsi="宋体" w:eastAsia="宋体" w:cs="宋体"/>
          <w:color w:val="auto"/>
          <w:sz w:val="22"/>
          <w:szCs w:val="22"/>
          <w:highlight w:val="none"/>
          <w:lang w:val="en-US" w:eastAsia="zh-CN"/>
        </w:rPr>
        <w:t>检查</w:t>
      </w:r>
      <w:r>
        <w:rPr>
          <w:rFonts w:hint="eastAsia" w:ascii="宋体" w:hAnsi="宋体" w:eastAsia="宋体" w:cs="宋体"/>
          <w:color w:val="auto"/>
          <w:sz w:val="22"/>
          <w:szCs w:val="22"/>
          <w:highlight w:val="none"/>
        </w:rPr>
        <w:t>中间件是否可用，磁盘是否达到预警值，内存是否达到预警值</w:t>
      </w:r>
      <w:r>
        <w:rPr>
          <w:rFonts w:hint="eastAsia" w:ascii="宋体" w:hAnsi="宋体" w:eastAsia="宋体" w:cs="宋体"/>
          <w:color w:val="auto"/>
          <w:sz w:val="22"/>
          <w:szCs w:val="22"/>
          <w:highlight w:val="none"/>
          <w:lang w:eastAsia="zh-CN"/>
        </w:rPr>
        <w:t>；</w:t>
      </w:r>
    </w:p>
    <w:p w14:paraId="11AC3E40">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4、网络情况：检查网络是否正常。</w:t>
      </w:r>
    </w:p>
    <w:p w14:paraId="6C5AE58A">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以上巡检结果统一生成系统巡检记录。</w:t>
      </w:r>
    </w:p>
    <w:p w14:paraId="616AD76E">
      <w:pPr>
        <w:keepNext/>
        <w:keepLines/>
        <w:pageBreakBefore w:val="0"/>
        <w:widowControl w:val="0"/>
        <w:numPr>
          <w:ilvl w:val="3"/>
          <w:numId w:val="0"/>
        </w:numPr>
        <w:suppressLineNumbers w:val="0"/>
        <w:tabs>
          <w:tab w:val="left" w:pos="0"/>
          <w:tab w:val="left" w:pos="420"/>
        </w:tabs>
        <w:kinsoku/>
        <w:wordWrap/>
        <w:overflowPunct/>
        <w:topLinePunct w:val="0"/>
        <w:autoSpaceDE/>
        <w:autoSpaceDN/>
        <w:bidi w:val="0"/>
        <w:adjustRightInd/>
        <w:snapToGrid/>
        <w:spacing w:before="0" w:beforeLines="0" w:beforeAutospacing="0" w:after="0" w:afterLines="0" w:afterAutospacing="0" w:line="300" w:lineRule="auto"/>
        <w:ind w:left="0" w:leftChars="0" w:firstLine="0" w:firstLineChars="0"/>
        <w:jc w:val="left"/>
        <w:textAlignment w:val="auto"/>
        <w:outlineLvl w:val="3"/>
        <w:rPr>
          <w:rFonts w:hint="eastAsia" w:ascii="宋体" w:hAnsi="宋体" w:eastAsia="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9</w:t>
      </w:r>
      <w:r>
        <w:rPr>
          <w:rFonts w:hint="default" w:ascii="宋体" w:hAnsi="宋体" w:eastAsia="宋体" w:cs="宋体"/>
          <w:b/>
          <w:bCs/>
          <w:color w:val="auto"/>
          <w:kern w:val="2"/>
          <w:sz w:val="22"/>
          <w:szCs w:val="22"/>
          <w:highlight w:val="none"/>
          <w:lang w:val="en-US" w:eastAsia="zh-CN" w:bidi="ar"/>
        </w:rPr>
        <w:t xml:space="preserve">.2.4.3 </w:t>
      </w:r>
      <w:r>
        <w:rPr>
          <w:rFonts w:hint="eastAsia" w:ascii="宋体" w:hAnsi="宋体" w:eastAsia="宋体" w:cs="宋体"/>
          <w:b/>
          <w:bCs/>
          <w:color w:val="auto"/>
          <w:kern w:val="2"/>
          <w:sz w:val="22"/>
          <w:szCs w:val="22"/>
          <w:highlight w:val="none"/>
          <w:lang w:val="en-US" w:eastAsia="zh-CN" w:bidi="ar"/>
        </w:rPr>
        <w:t>系统业务功能检查</w:t>
      </w:r>
    </w:p>
    <w:p w14:paraId="6A201AC3">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为保证</w:t>
      </w:r>
      <w:r>
        <w:rPr>
          <w:rFonts w:hint="eastAsia" w:ascii="宋体" w:hAnsi="宋体" w:eastAsia="宋体" w:cs="宋体"/>
          <w:color w:val="auto"/>
          <w:sz w:val="22"/>
          <w:szCs w:val="22"/>
          <w:highlight w:val="none"/>
          <w:lang w:val="en-US" w:eastAsia="zh-CN"/>
        </w:rPr>
        <w:t>改造适配后的系统功能</w:t>
      </w:r>
      <w:r>
        <w:rPr>
          <w:rFonts w:hint="eastAsia" w:ascii="宋体" w:hAnsi="宋体" w:eastAsia="宋体" w:cs="宋体"/>
          <w:color w:val="auto"/>
          <w:sz w:val="22"/>
          <w:szCs w:val="22"/>
          <w:highlight w:val="none"/>
        </w:rPr>
        <w:t>能够正常开展，每月1次对系统的业务功能进行全面的检查。</w:t>
      </w:r>
    </w:p>
    <w:p w14:paraId="72A34E0D">
      <w:pPr>
        <w:keepNext/>
        <w:keepLines/>
        <w:pageBreakBefore w:val="0"/>
        <w:widowControl w:val="0"/>
        <w:numPr>
          <w:ilvl w:val="3"/>
          <w:numId w:val="0"/>
        </w:numPr>
        <w:suppressLineNumbers w:val="0"/>
        <w:tabs>
          <w:tab w:val="left" w:pos="0"/>
          <w:tab w:val="left" w:pos="420"/>
        </w:tabs>
        <w:kinsoku/>
        <w:wordWrap/>
        <w:overflowPunct/>
        <w:topLinePunct w:val="0"/>
        <w:autoSpaceDE/>
        <w:autoSpaceDN/>
        <w:bidi w:val="0"/>
        <w:adjustRightInd/>
        <w:snapToGrid/>
        <w:spacing w:before="0" w:beforeLines="0" w:beforeAutospacing="0" w:after="0" w:afterLines="0" w:afterAutospacing="0" w:line="300" w:lineRule="auto"/>
        <w:ind w:left="0" w:leftChars="0" w:firstLine="0" w:firstLineChars="0"/>
        <w:jc w:val="left"/>
        <w:textAlignment w:val="auto"/>
        <w:outlineLvl w:val="3"/>
        <w:rPr>
          <w:rFonts w:hint="eastAsia" w:ascii="宋体" w:hAnsi="宋体" w:eastAsia="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9</w:t>
      </w:r>
      <w:r>
        <w:rPr>
          <w:rFonts w:hint="default" w:ascii="宋体" w:hAnsi="宋体" w:eastAsia="宋体" w:cs="宋体"/>
          <w:b/>
          <w:bCs/>
          <w:color w:val="auto"/>
          <w:kern w:val="2"/>
          <w:sz w:val="22"/>
          <w:szCs w:val="22"/>
          <w:highlight w:val="none"/>
          <w:lang w:val="en-US" w:eastAsia="zh-CN" w:bidi="ar"/>
        </w:rPr>
        <w:t xml:space="preserve">.2.4.4 </w:t>
      </w:r>
      <w:r>
        <w:rPr>
          <w:rFonts w:hint="eastAsia" w:ascii="宋体" w:hAnsi="宋体" w:eastAsia="宋体" w:cs="宋体"/>
          <w:b/>
          <w:bCs/>
          <w:color w:val="auto"/>
          <w:kern w:val="2"/>
          <w:sz w:val="22"/>
          <w:szCs w:val="22"/>
          <w:highlight w:val="none"/>
          <w:lang w:val="en-US" w:eastAsia="zh-CN" w:bidi="ar"/>
        </w:rPr>
        <w:t>系统数据安全维护</w:t>
      </w:r>
    </w:p>
    <w:p w14:paraId="6C152270">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项目涉及的</w:t>
      </w:r>
      <w:r>
        <w:rPr>
          <w:rFonts w:hint="eastAsia" w:ascii="宋体" w:hAnsi="宋体" w:eastAsia="宋体" w:cs="宋体"/>
          <w:color w:val="auto"/>
          <w:sz w:val="22"/>
          <w:szCs w:val="22"/>
          <w:highlight w:val="none"/>
          <w:lang w:val="en-US" w:eastAsia="zh-CN"/>
        </w:rPr>
        <w:t>相关系统</w:t>
      </w:r>
      <w:r>
        <w:rPr>
          <w:rFonts w:hint="eastAsia" w:ascii="宋体" w:hAnsi="宋体" w:eastAsia="宋体" w:cs="宋体"/>
          <w:color w:val="auto"/>
          <w:sz w:val="22"/>
          <w:szCs w:val="22"/>
          <w:highlight w:val="none"/>
        </w:rPr>
        <w:t>用户量大，数据多样及业务复杂，出现数据交互、数据服务器异常断电、服务器中毒等，都有可能产生数据故障，</w:t>
      </w:r>
      <w:r>
        <w:rPr>
          <w:rFonts w:hint="eastAsia" w:ascii="宋体" w:hAnsi="宋体" w:eastAsia="宋体" w:cs="宋体"/>
          <w:color w:val="auto"/>
          <w:sz w:val="22"/>
          <w:szCs w:val="22"/>
          <w:highlight w:val="none"/>
          <w:lang w:val="en-US" w:eastAsia="zh-CN"/>
        </w:rPr>
        <w:t>对系统造成巨大的破坏。因此</w:t>
      </w:r>
      <w:r>
        <w:rPr>
          <w:rFonts w:hint="eastAsia" w:ascii="宋体" w:hAnsi="宋体" w:eastAsia="宋体" w:cs="宋体"/>
          <w:color w:val="auto"/>
          <w:sz w:val="22"/>
          <w:szCs w:val="22"/>
          <w:highlight w:val="none"/>
        </w:rPr>
        <w:t>保障数据安全是一项不可忽视的系统工作。</w:t>
      </w:r>
    </w:p>
    <w:p w14:paraId="0CDE1D6A">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系统数据安全维护要求如下：</w:t>
      </w:r>
    </w:p>
    <w:p w14:paraId="391A0A7E">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1.定期检查数据库服务器系统运行环境：包括CPU运行状况、内存、网络状况、硬盘使用空间、硬盘剩余空间等，及时清理数据库日志，保证硬盘空间健康；</w:t>
      </w:r>
    </w:p>
    <w:p w14:paraId="5BF790A9">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2.定期检查系统数据库运行情况：检查数据库结构完整性，及时处理数据库故障；</w:t>
      </w:r>
    </w:p>
    <w:p w14:paraId="3CC2BB9D">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3.定期对数据库进行优化：随着系统数据库运行周期的增加，响应时间会变慢，于是要定期对数据库进行优化，提高数据库运行效率</w:t>
      </w:r>
      <w:r>
        <w:rPr>
          <w:rFonts w:hint="eastAsia" w:ascii="宋体" w:hAnsi="宋体" w:eastAsia="宋体" w:cs="宋体"/>
          <w:color w:val="auto"/>
          <w:sz w:val="22"/>
          <w:szCs w:val="22"/>
          <w:highlight w:val="none"/>
          <w:lang w:eastAsia="zh-CN"/>
        </w:rPr>
        <w:t>。</w:t>
      </w:r>
    </w:p>
    <w:p w14:paraId="37229FFF">
      <w:pPr>
        <w:keepNext/>
        <w:keepLines/>
        <w:pageBreakBefore w:val="0"/>
        <w:widowControl w:val="0"/>
        <w:numPr>
          <w:ilvl w:val="3"/>
          <w:numId w:val="0"/>
        </w:numPr>
        <w:suppressLineNumbers w:val="0"/>
        <w:tabs>
          <w:tab w:val="left" w:pos="420"/>
        </w:tabs>
        <w:kinsoku/>
        <w:wordWrap/>
        <w:overflowPunct/>
        <w:topLinePunct w:val="0"/>
        <w:autoSpaceDE/>
        <w:autoSpaceDN/>
        <w:bidi w:val="0"/>
        <w:adjustRightInd/>
        <w:snapToGrid/>
        <w:spacing w:before="0" w:beforeLines="0" w:beforeAutospacing="0" w:after="0" w:afterLines="0" w:afterAutospacing="0" w:line="300" w:lineRule="auto"/>
        <w:ind w:left="0" w:leftChars="0" w:firstLine="0" w:firstLineChars="0"/>
        <w:jc w:val="left"/>
        <w:textAlignment w:val="auto"/>
        <w:outlineLvl w:val="3"/>
        <w:rPr>
          <w:rFonts w:hint="eastAsia" w:ascii="宋体" w:hAnsi="宋体" w:eastAsia="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9</w:t>
      </w:r>
      <w:r>
        <w:rPr>
          <w:rFonts w:hint="default" w:ascii="宋体" w:hAnsi="宋体" w:eastAsia="宋体" w:cs="宋体"/>
          <w:b/>
          <w:bCs/>
          <w:color w:val="auto"/>
          <w:kern w:val="2"/>
          <w:sz w:val="22"/>
          <w:szCs w:val="22"/>
          <w:highlight w:val="none"/>
          <w:lang w:val="en-US" w:eastAsia="zh-CN" w:bidi="ar"/>
        </w:rPr>
        <w:t xml:space="preserve">.2.4.5 </w:t>
      </w:r>
      <w:r>
        <w:rPr>
          <w:rFonts w:hint="eastAsia" w:ascii="宋体" w:hAnsi="宋体" w:eastAsia="宋体" w:cs="宋体"/>
          <w:b/>
          <w:bCs/>
          <w:color w:val="auto"/>
          <w:kern w:val="2"/>
          <w:sz w:val="22"/>
          <w:szCs w:val="22"/>
          <w:highlight w:val="none"/>
          <w:lang w:val="en-US" w:eastAsia="zh-CN" w:bidi="ar"/>
        </w:rPr>
        <w:t>系统突发事件诊断排除</w:t>
      </w:r>
    </w:p>
    <w:p w14:paraId="61DF349F">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成立预防和处理系统突发事件工作协调小组，负责对</w:t>
      </w:r>
      <w:r>
        <w:rPr>
          <w:rFonts w:hint="eastAsia" w:ascii="宋体" w:hAnsi="宋体" w:eastAsia="宋体" w:cs="宋体"/>
          <w:color w:val="auto"/>
          <w:sz w:val="22"/>
          <w:szCs w:val="22"/>
          <w:highlight w:val="none"/>
          <w:lang w:val="en-US" w:eastAsia="zh-CN"/>
        </w:rPr>
        <w:t>项目作</w:t>
      </w:r>
      <w:r>
        <w:rPr>
          <w:rFonts w:hint="eastAsia" w:ascii="宋体" w:hAnsi="宋体" w:eastAsia="宋体" w:cs="宋体"/>
          <w:color w:val="auto"/>
          <w:sz w:val="22"/>
          <w:szCs w:val="22"/>
          <w:highlight w:val="none"/>
        </w:rPr>
        <w:t>应急处理工作，对系统偶然突发事故事件提供及时的远程或现场诊断、排除、跟踪处理，并给出相应的分析报告和防范建议措施。</w:t>
      </w:r>
    </w:p>
    <w:p w14:paraId="7BB6E3BF">
      <w:pPr>
        <w:keepNext/>
        <w:keepLines/>
        <w:pageBreakBefore w:val="0"/>
        <w:widowControl w:val="0"/>
        <w:numPr>
          <w:ilvl w:val="3"/>
          <w:numId w:val="0"/>
        </w:numPr>
        <w:suppressLineNumbers w:val="0"/>
        <w:tabs>
          <w:tab w:val="left" w:pos="420"/>
        </w:tabs>
        <w:kinsoku/>
        <w:wordWrap/>
        <w:overflowPunct/>
        <w:topLinePunct w:val="0"/>
        <w:autoSpaceDE/>
        <w:autoSpaceDN/>
        <w:bidi w:val="0"/>
        <w:adjustRightInd/>
        <w:snapToGrid/>
        <w:spacing w:before="0" w:beforeLines="0" w:beforeAutospacing="0" w:after="0" w:afterLines="0" w:afterAutospacing="0" w:line="300" w:lineRule="auto"/>
        <w:ind w:left="0" w:leftChars="0" w:firstLine="0" w:firstLineChars="0"/>
        <w:jc w:val="left"/>
        <w:textAlignment w:val="auto"/>
        <w:outlineLvl w:val="3"/>
        <w:rPr>
          <w:rFonts w:hint="eastAsia" w:ascii="宋体" w:hAnsi="宋体" w:eastAsia="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9</w:t>
      </w:r>
      <w:r>
        <w:rPr>
          <w:rFonts w:hint="default" w:ascii="宋体" w:hAnsi="宋体" w:eastAsia="宋体" w:cs="宋体"/>
          <w:b/>
          <w:bCs/>
          <w:color w:val="auto"/>
          <w:kern w:val="2"/>
          <w:sz w:val="22"/>
          <w:szCs w:val="22"/>
          <w:highlight w:val="none"/>
          <w:lang w:val="en-US" w:eastAsia="zh-CN" w:bidi="ar"/>
        </w:rPr>
        <w:t xml:space="preserve">.2.4.6 </w:t>
      </w:r>
      <w:r>
        <w:rPr>
          <w:rFonts w:hint="eastAsia" w:ascii="宋体" w:hAnsi="宋体" w:cs="宋体"/>
          <w:b/>
          <w:bCs/>
          <w:color w:val="auto"/>
          <w:kern w:val="2"/>
          <w:sz w:val="22"/>
          <w:szCs w:val="22"/>
          <w:highlight w:val="none"/>
          <w:lang w:val="en-US" w:eastAsia="zh-CN" w:bidi="ar"/>
        </w:rPr>
        <w:t>网络安全与数据安全要求</w:t>
      </w:r>
    </w:p>
    <w:p w14:paraId="10B9253A">
      <w:pPr>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rPr>
        <w:t>成立预防和处理系统突发事件工作协调小组，负责对</w:t>
      </w:r>
      <w:r>
        <w:rPr>
          <w:rFonts w:hint="eastAsia" w:ascii="宋体" w:hAnsi="宋体" w:eastAsia="宋体" w:cs="宋体"/>
          <w:color w:val="auto"/>
          <w:sz w:val="22"/>
          <w:szCs w:val="22"/>
          <w:highlight w:val="none"/>
          <w:lang w:val="en-US" w:eastAsia="zh-CN"/>
        </w:rPr>
        <w:t>项目作</w:t>
      </w:r>
      <w:r>
        <w:rPr>
          <w:rFonts w:hint="eastAsia" w:ascii="宋体" w:hAnsi="宋体" w:eastAsia="宋体" w:cs="宋体"/>
          <w:color w:val="auto"/>
          <w:sz w:val="22"/>
          <w:szCs w:val="22"/>
          <w:highlight w:val="none"/>
        </w:rPr>
        <w:t>应急处理工作，对系统偶然突发事故事件提供及时的远程或现场诊断、排除、跟踪处理，并给出相应的分析报告和防范建议措施。</w:t>
      </w:r>
    </w:p>
    <w:p w14:paraId="61BDE6E4">
      <w:pPr>
        <w:pageBreakBefore w:val="0"/>
        <w:widowControl w:val="0"/>
        <w:numPr>
          <w:ilvl w:val="0"/>
          <w:numId w:val="65"/>
        </w:numPr>
        <w:kinsoku/>
        <w:wordWrap/>
        <w:overflowPunct/>
        <w:topLinePunct w:val="0"/>
        <w:autoSpaceDE/>
        <w:autoSpaceDN/>
        <w:bidi w:val="0"/>
        <w:adjustRightInd/>
        <w:snapToGrid/>
        <w:spacing w:line="300" w:lineRule="auto"/>
        <w:ind w:left="0" w:leftChars="0" w:firstLine="440" w:firstLineChars="200"/>
        <w:jc w:val="left"/>
        <w:textAlignment w:val="auto"/>
        <w:rPr>
          <w:rFonts w:hint="eastAsia" w:ascii="宋体" w:hAnsi="宋体" w:eastAsia="宋体" w:cs="宋体"/>
          <w:color w:val="auto"/>
          <w:sz w:val="22"/>
          <w:szCs w:val="22"/>
          <w:highlight w:val="none"/>
          <w:lang w:bidi="ar"/>
        </w:rPr>
      </w:pP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应按照《中华人民共和国网络安全法》《中华人民共和国数据安全法》《中华人民共和国个人信息保护法》等法律法规及规章制度的要求，履行网络和数据安全保护义务。</w:t>
      </w:r>
    </w:p>
    <w:p w14:paraId="029B0A05">
      <w:pPr>
        <w:pageBreakBefore w:val="0"/>
        <w:widowControl w:val="0"/>
        <w:numPr>
          <w:ilvl w:val="0"/>
          <w:numId w:val="65"/>
        </w:numPr>
        <w:kinsoku/>
        <w:wordWrap/>
        <w:overflowPunct/>
        <w:topLinePunct w:val="0"/>
        <w:autoSpaceDE/>
        <w:autoSpaceDN/>
        <w:bidi w:val="0"/>
        <w:adjustRightInd/>
        <w:snapToGrid/>
        <w:spacing w:line="300" w:lineRule="auto"/>
        <w:ind w:left="0" w:leftChars="0" w:firstLine="440" w:firstLineChars="200"/>
        <w:jc w:val="lef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本项目所涉及的</w:t>
      </w: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工作人员均需签订《保密承诺书》，且</w:t>
      </w: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应对项目涉及工作人员进行背景审查，存在泄密风险的</w:t>
      </w: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工作人员不得接触项目。</w:t>
      </w: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应做好人员保密教育工作。</w:t>
      </w:r>
    </w:p>
    <w:p w14:paraId="29AB93AC">
      <w:pPr>
        <w:pageBreakBefore w:val="0"/>
        <w:widowControl w:val="0"/>
        <w:numPr>
          <w:ilvl w:val="0"/>
          <w:numId w:val="65"/>
        </w:numPr>
        <w:kinsoku/>
        <w:wordWrap/>
        <w:overflowPunct/>
        <w:topLinePunct w:val="0"/>
        <w:autoSpaceDE/>
        <w:autoSpaceDN/>
        <w:bidi w:val="0"/>
        <w:adjustRightInd/>
        <w:snapToGrid/>
        <w:spacing w:line="300" w:lineRule="auto"/>
        <w:ind w:left="0" w:leftChars="0" w:firstLine="440" w:firstLineChars="200"/>
        <w:jc w:val="left"/>
        <w:textAlignment w:val="auto"/>
        <w:rPr>
          <w:rFonts w:hint="eastAsia" w:ascii="宋体" w:hAnsi="宋体" w:eastAsia="宋体" w:cs="宋体"/>
          <w:color w:val="auto"/>
          <w:sz w:val="22"/>
          <w:szCs w:val="22"/>
          <w:highlight w:val="none"/>
          <w:lang w:bidi="ar"/>
        </w:rPr>
      </w:pP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应当采取技术措施和其他必要措施，确保其网络和数据安全，防止出现信息泄露、毁损、丢失等风险。在发生或者可能发生信息泄露、毁损、丢失等情况时，应当立即采取补救措施，并将相关情况及时告知</w:t>
      </w:r>
      <w:r>
        <w:rPr>
          <w:rFonts w:hint="eastAsia" w:ascii="宋体" w:hAnsi="宋体" w:cs="宋体"/>
          <w:color w:val="auto"/>
          <w:sz w:val="22"/>
          <w:szCs w:val="22"/>
          <w:highlight w:val="none"/>
          <w:lang w:eastAsia="zh-CN" w:bidi="ar"/>
        </w:rPr>
        <w:t>采购人</w:t>
      </w:r>
      <w:r>
        <w:rPr>
          <w:rFonts w:hint="eastAsia" w:ascii="宋体" w:hAnsi="宋体" w:eastAsia="宋体" w:cs="宋体"/>
          <w:color w:val="auto"/>
          <w:sz w:val="22"/>
          <w:szCs w:val="22"/>
          <w:highlight w:val="none"/>
          <w:lang w:bidi="ar"/>
        </w:rPr>
        <w:t>。</w:t>
      </w:r>
    </w:p>
    <w:p w14:paraId="125B059D">
      <w:pPr>
        <w:pageBreakBefore w:val="0"/>
        <w:widowControl w:val="0"/>
        <w:numPr>
          <w:ilvl w:val="0"/>
          <w:numId w:val="65"/>
        </w:numPr>
        <w:kinsoku/>
        <w:wordWrap/>
        <w:overflowPunct/>
        <w:topLinePunct w:val="0"/>
        <w:autoSpaceDE/>
        <w:autoSpaceDN/>
        <w:bidi w:val="0"/>
        <w:adjustRightInd/>
        <w:snapToGrid/>
        <w:spacing w:line="300" w:lineRule="auto"/>
        <w:ind w:left="0" w:leftChars="0" w:firstLine="440" w:firstLineChars="200"/>
        <w:jc w:val="left"/>
        <w:textAlignment w:val="auto"/>
        <w:rPr>
          <w:rFonts w:hint="eastAsia" w:ascii="宋体" w:hAnsi="宋体" w:eastAsia="宋体" w:cs="宋体"/>
          <w:color w:val="auto"/>
          <w:sz w:val="22"/>
          <w:szCs w:val="22"/>
          <w:highlight w:val="none"/>
          <w:lang w:bidi="ar"/>
        </w:rPr>
      </w:pP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应合理使用操作账号，严禁</w:t>
      </w: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存在多名工作人员共用一个操作账号的情形，同时操作账号应采用高强度的密码，</w:t>
      </w: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应妥善保管密码并定期更新账号密码。</w:t>
      </w:r>
    </w:p>
    <w:p w14:paraId="7103639F">
      <w:pPr>
        <w:pageBreakBefore w:val="0"/>
        <w:widowControl w:val="0"/>
        <w:numPr>
          <w:ilvl w:val="0"/>
          <w:numId w:val="65"/>
        </w:numPr>
        <w:kinsoku/>
        <w:wordWrap/>
        <w:overflowPunct/>
        <w:topLinePunct w:val="0"/>
        <w:autoSpaceDE/>
        <w:autoSpaceDN/>
        <w:bidi w:val="0"/>
        <w:adjustRightInd/>
        <w:snapToGrid/>
        <w:spacing w:line="300" w:lineRule="auto"/>
        <w:ind w:left="0" w:leftChars="0" w:firstLine="440" w:firstLineChars="200"/>
        <w:jc w:val="lef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未经</w:t>
      </w:r>
      <w:r>
        <w:rPr>
          <w:rFonts w:hint="eastAsia" w:ascii="宋体" w:hAnsi="宋体" w:cs="宋体"/>
          <w:color w:val="auto"/>
          <w:sz w:val="22"/>
          <w:szCs w:val="22"/>
          <w:highlight w:val="none"/>
          <w:lang w:eastAsia="zh-CN" w:bidi="ar"/>
        </w:rPr>
        <w:t>采购人</w:t>
      </w:r>
      <w:r>
        <w:rPr>
          <w:rFonts w:hint="eastAsia" w:ascii="宋体" w:hAnsi="宋体" w:eastAsia="宋体" w:cs="宋体"/>
          <w:color w:val="auto"/>
          <w:sz w:val="22"/>
          <w:szCs w:val="22"/>
          <w:highlight w:val="none"/>
          <w:lang w:bidi="ar"/>
        </w:rPr>
        <w:t>允许，</w:t>
      </w: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不得对项目云资源私开端口，不得利用项目资源进行与该项目无关的工作</w:t>
      </w:r>
      <w:r>
        <w:rPr>
          <w:rFonts w:hint="eastAsia" w:ascii="宋体" w:hAnsi="宋体" w:eastAsia="宋体" w:cs="宋体"/>
          <w:color w:val="auto"/>
          <w:sz w:val="22"/>
          <w:szCs w:val="22"/>
          <w:highlight w:val="none"/>
          <w:lang w:eastAsia="zh-CN" w:bidi="ar"/>
        </w:rPr>
        <w:t>。</w:t>
      </w:r>
    </w:p>
    <w:p w14:paraId="3BAED91E">
      <w:pPr>
        <w:pageBreakBefore w:val="0"/>
        <w:widowControl w:val="0"/>
        <w:numPr>
          <w:ilvl w:val="0"/>
          <w:numId w:val="65"/>
        </w:numPr>
        <w:kinsoku/>
        <w:wordWrap/>
        <w:overflowPunct/>
        <w:topLinePunct w:val="0"/>
        <w:autoSpaceDE/>
        <w:autoSpaceDN/>
        <w:bidi w:val="0"/>
        <w:adjustRightInd/>
        <w:snapToGrid/>
        <w:spacing w:line="300" w:lineRule="auto"/>
        <w:ind w:left="0" w:leftChars="0" w:firstLine="440" w:firstLineChars="200"/>
        <w:jc w:val="left"/>
        <w:textAlignment w:val="auto"/>
        <w:rPr>
          <w:rFonts w:hint="eastAsia" w:ascii="宋体" w:hAnsi="宋体" w:eastAsia="宋体" w:cs="宋体"/>
          <w:color w:val="auto"/>
          <w:sz w:val="22"/>
          <w:szCs w:val="22"/>
          <w:highlight w:val="none"/>
          <w:lang w:bidi="ar"/>
        </w:rPr>
      </w:pP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应</w:t>
      </w:r>
      <w:r>
        <w:rPr>
          <w:rFonts w:hint="eastAsia" w:ascii="宋体" w:hAnsi="宋体" w:eastAsia="宋体" w:cs="宋体"/>
          <w:color w:val="auto"/>
          <w:sz w:val="22"/>
          <w:szCs w:val="22"/>
          <w:highlight w:val="none"/>
          <w:lang w:val="en-US" w:eastAsia="zh-CN" w:bidi="ar"/>
        </w:rPr>
        <w:t>定期进行系统运行环境的检查，包括操作系统、数据库、中间件等内容，并在检查后交付相关报告。</w:t>
      </w:r>
    </w:p>
    <w:p w14:paraId="57EB97C7">
      <w:pPr>
        <w:pageBreakBefore w:val="0"/>
        <w:widowControl w:val="0"/>
        <w:numPr>
          <w:ilvl w:val="0"/>
          <w:numId w:val="65"/>
        </w:numPr>
        <w:kinsoku/>
        <w:wordWrap/>
        <w:overflowPunct/>
        <w:topLinePunct w:val="0"/>
        <w:autoSpaceDE/>
        <w:autoSpaceDN/>
        <w:bidi w:val="0"/>
        <w:adjustRightInd/>
        <w:snapToGrid/>
        <w:spacing w:line="300" w:lineRule="auto"/>
        <w:ind w:left="0" w:leftChars="0" w:firstLine="440" w:firstLineChars="200"/>
        <w:jc w:val="left"/>
        <w:textAlignment w:val="auto"/>
        <w:rPr>
          <w:rFonts w:hint="eastAsia" w:ascii="宋体" w:hAnsi="宋体" w:eastAsia="宋体" w:cs="宋体"/>
          <w:color w:val="auto"/>
          <w:sz w:val="22"/>
          <w:szCs w:val="22"/>
          <w:highlight w:val="none"/>
          <w:lang w:bidi="ar"/>
        </w:rPr>
      </w:pPr>
      <w:r>
        <w:rPr>
          <w:rFonts w:hint="eastAsia" w:ascii="宋体" w:hAnsi="宋体" w:cs="宋体"/>
          <w:color w:val="auto"/>
          <w:sz w:val="22"/>
          <w:szCs w:val="22"/>
          <w:highlight w:val="none"/>
          <w:lang w:eastAsia="zh-CN" w:bidi="ar"/>
        </w:rPr>
        <w:t>中标人</w:t>
      </w:r>
      <w:r>
        <w:rPr>
          <w:rFonts w:hint="eastAsia" w:ascii="宋体" w:hAnsi="宋体" w:eastAsia="宋体" w:cs="宋体"/>
          <w:color w:val="auto"/>
          <w:sz w:val="22"/>
          <w:szCs w:val="22"/>
          <w:highlight w:val="none"/>
          <w:lang w:bidi="ar"/>
        </w:rPr>
        <w:t>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w:t>
      </w:r>
      <w:r>
        <w:rPr>
          <w:rFonts w:hint="eastAsia" w:ascii="宋体" w:hAnsi="宋体" w:cs="宋体"/>
          <w:color w:val="auto"/>
          <w:sz w:val="22"/>
          <w:szCs w:val="22"/>
          <w:highlight w:val="none"/>
          <w:lang w:eastAsia="zh-CN" w:bidi="ar"/>
        </w:rPr>
        <w:t>采购人</w:t>
      </w:r>
      <w:r>
        <w:rPr>
          <w:rFonts w:hint="eastAsia" w:ascii="宋体" w:hAnsi="宋体" w:eastAsia="宋体" w:cs="宋体"/>
          <w:color w:val="auto"/>
          <w:sz w:val="22"/>
          <w:szCs w:val="22"/>
          <w:highlight w:val="none"/>
          <w:lang w:bidi="ar"/>
        </w:rPr>
        <w:t>报告。</w:t>
      </w:r>
    </w:p>
    <w:p w14:paraId="26BAF5DA">
      <w:pPr>
        <w:pageBreakBefore w:val="0"/>
        <w:widowControl w:val="0"/>
        <w:numPr>
          <w:ilvl w:val="0"/>
          <w:numId w:val="65"/>
        </w:numPr>
        <w:kinsoku/>
        <w:wordWrap/>
        <w:overflowPunct/>
        <w:topLinePunct w:val="0"/>
        <w:autoSpaceDE/>
        <w:autoSpaceDN/>
        <w:bidi w:val="0"/>
        <w:adjustRightInd/>
        <w:snapToGrid/>
        <w:spacing w:line="300" w:lineRule="auto"/>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应及时响应、</w:t>
      </w:r>
      <w:r>
        <w:rPr>
          <w:rFonts w:hint="eastAsia" w:ascii="宋体" w:hAnsi="宋体" w:eastAsia="宋体" w:cs="宋体"/>
          <w:color w:val="auto"/>
          <w:sz w:val="22"/>
          <w:szCs w:val="22"/>
          <w:highlight w:val="none"/>
          <w:lang w:val="en-US" w:eastAsia="zh-CN"/>
        </w:rPr>
        <w:t>处理</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布置的安全工作，对其</w:t>
      </w:r>
      <w:r>
        <w:rPr>
          <w:rFonts w:hint="eastAsia" w:ascii="宋体" w:hAnsi="宋体" w:eastAsia="宋体" w:cs="宋体"/>
          <w:color w:val="auto"/>
          <w:sz w:val="22"/>
          <w:szCs w:val="22"/>
          <w:highlight w:val="none"/>
          <w:lang w:val="en-US" w:eastAsia="zh-CN"/>
        </w:rPr>
        <w:t>负责</w:t>
      </w:r>
      <w:r>
        <w:rPr>
          <w:rFonts w:hint="eastAsia" w:ascii="宋体" w:hAnsi="宋体" w:eastAsia="宋体" w:cs="宋体"/>
          <w:color w:val="auto"/>
          <w:sz w:val="22"/>
          <w:szCs w:val="22"/>
          <w:highlight w:val="none"/>
        </w:rPr>
        <w:t>的系统、组件、云资源等所属安全事件、隐患及时发现、阻断、排查、处置、溯源（包括但不限于攻防演练等相关活动中发现的）。</w:t>
      </w:r>
    </w:p>
    <w:p w14:paraId="7B760BA1">
      <w:pPr>
        <w:pageBreakBefore w:val="0"/>
        <w:widowControl w:val="0"/>
        <w:numPr>
          <w:ilvl w:val="0"/>
          <w:numId w:val="65"/>
        </w:numPr>
        <w:kinsoku/>
        <w:wordWrap/>
        <w:overflowPunct/>
        <w:topLinePunct w:val="0"/>
        <w:autoSpaceDE/>
        <w:autoSpaceDN/>
        <w:bidi w:val="0"/>
        <w:adjustRightInd/>
        <w:snapToGrid/>
        <w:spacing w:line="300" w:lineRule="auto"/>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项目中所</w:t>
      </w:r>
      <w:r>
        <w:rPr>
          <w:rFonts w:hint="eastAsia" w:ascii="宋体" w:hAnsi="宋体" w:eastAsia="宋体" w:cs="宋体"/>
          <w:color w:val="auto"/>
          <w:sz w:val="22"/>
          <w:szCs w:val="22"/>
          <w:highlight w:val="none"/>
          <w:lang w:val="en-US" w:eastAsia="zh-CN"/>
        </w:rPr>
        <w:t>改造</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综合办公</w:t>
      </w:r>
      <w:r>
        <w:rPr>
          <w:rFonts w:hint="eastAsia" w:ascii="宋体" w:hAnsi="宋体" w:eastAsia="宋体" w:cs="宋体"/>
          <w:color w:val="auto"/>
          <w:sz w:val="22"/>
          <w:szCs w:val="22"/>
          <w:highlight w:val="none"/>
        </w:rPr>
        <w:t>系统等，</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应无偿提供操作、告警等安全日志以及资产清单，并且按照规范要求与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审计平台实现对接，并且提供相关解析服务（如日志字典等）供</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进行安全审计。</w:t>
      </w:r>
    </w:p>
    <w:p w14:paraId="37B3324C">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line="300" w:lineRule="auto"/>
        <w:ind w:left="0" w:leftChars="0" w:firstLine="0" w:firstLineChars="0"/>
        <w:jc w:val="left"/>
        <w:textAlignment w:val="auto"/>
        <w:outlineLvl w:val="1"/>
        <w:rPr>
          <w:rFonts w:hint="eastAsia" w:ascii="宋体" w:hAnsi="宋体" w:eastAsia="宋体" w:cs="宋体"/>
          <w:b/>
          <w:bCs/>
          <w:color w:val="auto"/>
          <w:kern w:val="0"/>
          <w:sz w:val="22"/>
          <w:szCs w:val="22"/>
          <w:highlight w:val="none"/>
          <w:lang w:val="en-US" w:eastAsia="zh-CN" w:bidi="ar-SA"/>
        </w:rPr>
      </w:pPr>
      <w:bookmarkStart w:id="596" w:name="_Toc1777"/>
      <w:bookmarkStart w:id="597" w:name="_Toc12037"/>
      <w:bookmarkStart w:id="598" w:name="_Toc32203"/>
      <w:bookmarkStart w:id="599" w:name="_Toc16203"/>
      <w:r>
        <w:rPr>
          <w:rFonts w:hint="eastAsia"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9</w:t>
      </w:r>
      <w:r>
        <w:rPr>
          <w:rFonts w:hint="default" w:ascii="黑体" w:hAnsi="黑体" w:eastAsia="黑体" w:cs="宋体"/>
          <w:b w:val="0"/>
          <w:bCs w:val="0"/>
          <w:i w:val="0"/>
          <w:iCs w:val="0"/>
          <w:caps w:val="0"/>
          <w:smallCaps w:val="0"/>
          <w:strike w:val="0"/>
          <w:dstrike w:val="0"/>
          <w:vanish w:val="0"/>
          <w:color w:val="auto"/>
          <w:spacing w:val="0"/>
          <w:kern w:val="0"/>
          <w:position w:val="0"/>
          <w:sz w:val="22"/>
          <w:szCs w:val="22"/>
          <w:highlight w:val="none"/>
          <w:u w:val="none"/>
          <w:vertAlign w:val="baseline"/>
          <w:lang w:val="en-US" w:eastAsia="zh-CN" w:bidi="ar-SA"/>
        </w:rPr>
        <w:t xml:space="preserve">.3 </w:t>
      </w:r>
      <w:r>
        <w:rPr>
          <w:rFonts w:hint="eastAsia" w:ascii="宋体" w:hAnsi="宋体" w:eastAsia="宋体" w:cs="宋体"/>
          <w:b/>
          <w:bCs/>
          <w:color w:val="auto"/>
          <w:kern w:val="0"/>
          <w:sz w:val="22"/>
          <w:szCs w:val="22"/>
          <w:highlight w:val="none"/>
          <w:lang w:val="en-US" w:eastAsia="zh-CN" w:bidi="ar-SA"/>
        </w:rPr>
        <w:t>考核要求</w:t>
      </w:r>
      <w:bookmarkEnd w:id="596"/>
      <w:bookmarkEnd w:id="597"/>
      <w:bookmarkEnd w:id="598"/>
      <w:bookmarkEnd w:id="599"/>
    </w:p>
    <w:tbl>
      <w:tblPr>
        <w:tblStyle w:val="24"/>
        <w:tblW w:w="92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495"/>
        <w:gridCol w:w="1125"/>
        <w:gridCol w:w="4757"/>
        <w:gridCol w:w="2138"/>
        <w:gridCol w:w="755"/>
      </w:tblGrid>
      <w:tr w14:paraId="2E12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9270" w:type="dxa"/>
            <w:gridSpan w:val="5"/>
            <w:tcBorders>
              <w:tl2br w:val="nil"/>
              <w:tr2bl w:val="nil"/>
            </w:tcBorders>
            <w:noWrap w:val="0"/>
            <w:tcMar>
              <w:top w:w="15" w:type="dxa"/>
              <w:left w:w="15" w:type="dxa"/>
              <w:right w:w="15" w:type="dxa"/>
            </w:tcMar>
            <w:vAlign w:val="center"/>
          </w:tcPr>
          <w:p w14:paraId="695A1BC8">
            <w:pPr>
              <w:widowControl/>
              <w:spacing w:line="240" w:lineRule="auto"/>
              <w:jc w:val="center"/>
              <w:textAlignment w:val="center"/>
              <w:outlineLvl w:val="9"/>
              <w:rPr>
                <w:rFonts w:ascii="黑体" w:hAnsi="宋体" w:eastAsia="黑体" w:cs="黑体"/>
                <w:color w:val="auto"/>
                <w:sz w:val="21"/>
                <w:szCs w:val="21"/>
                <w:highlight w:val="none"/>
              </w:rPr>
            </w:pPr>
            <w:r>
              <w:rPr>
                <w:rFonts w:hint="eastAsia" w:ascii="黑体" w:hAnsi="宋体" w:eastAsia="黑体" w:cs="黑体"/>
                <w:color w:val="auto"/>
                <w:kern w:val="0"/>
                <w:sz w:val="21"/>
                <w:szCs w:val="21"/>
                <w:highlight w:val="none"/>
                <w:lang w:val="en-US" w:eastAsia="zh-CN" w:bidi="ar"/>
              </w:rPr>
              <w:t>服务</w:t>
            </w:r>
            <w:r>
              <w:rPr>
                <w:rFonts w:hint="eastAsia" w:ascii="黑体" w:hAnsi="宋体" w:eastAsia="黑体" w:cs="黑体"/>
                <w:color w:val="auto"/>
                <w:kern w:val="0"/>
                <w:sz w:val="21"/>
                <w:szCs w:val="21"/>
                <w:highlight w:val="none"/>
                <w:lang w:bidi="ar"/>
              </w:rPr>
              <w:t>考核指标</w:t>
            </w:r>
          </w:p>
        </w:tc>
      </w:tr>
      <w:tr w14:paraId="722B4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val="0"/>
            <w:tcMar>
              <w:top w:w="15" w:type="dxa"/>
              <w:left w:w="15" w:type="dxa"/>
              <w:right w:w="15" w:type="dxa"/>
            </w:tcMar>
            <w:vAlign w:val="center"/>
          </w:tcPr>
          <w:p w14:paraId="683B2658">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1125" w:type="dxa"/>
            <w:tcBorders>
              <w:tl2br w:val="nil"/>
              <w:tr2bl w:val="nil"/>
            </w:tcBorders>
            <w:noWrap w:val="0"/>
            <w:tcMar>
              <w:top w:w="15" w:type="dxa"/>
              <w:left w:w="15" w:type="dxa"/>
              <w:right w:w="15" w:type="dxa"/>
            </w:tcMar>
            <w:vAlign w:val="center"/>
          </w:tcPr>
          <w:p w14:paraId="69EA0175">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检查类别</w:t>
            </w:r>
          </w:p>
        </w:tc>
        <w:tc>
          <w:tcPr>
            <w:tcW w:w="4757" w:type="dxa"/>
            <w:tcBorders>
              <w:tl2br w:val="nil"/>
              <w:tr2bl w:val="nil"/>
            </w:tcBorders>
            <w:noWrap w:val="0"/>
            <w:tcMar>
              <w:top w:w="15" w:type="dxa"/>
              <w:left w:w="15" w:type="dxa"/>
              <w:right w:w="15" w:type="dxa"/>
            </w:tcMar>
            <w:vAlign w:val="center"/>
          </w:tcPr>
          <w:p w14:paraId="10742031">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检查标准</w:t>
            </w:r>
          </w:p>
        </w:tc>
        <w:tc>
          <w:tcPr>
            <w:tcW w:w="2138" w:type="dxa"/>
            <w:tcBorders>
              <w:tl2br w:val="nil"/>
              <w:tr2bl w:val="nil"/>
            </w:tcBorders>
            <w:noWrap w:val="0"/>
            <w:tcMar>
              <w:top w:w="15" w:type="dxa"/>
              <w:left w:w="15" w:type="dxa"/>
              <w:right w:w="15" w:type="dxa"/>
            </w:tcMar>
            <w:vAlign w:val="center"/>
          </w:tcPr>
          <w:p w14:paraId="2CBDD25E">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检查方法</w:t>
            </w:r>
          </w:p>
        </w:tc>
        <w:tc>
          <w:tcPr>
            <w:tcW w:w="755" w:type="dxa"/>
            <w:tcBorders>
              <w:tl2br w:val="nil"/>
              <w:tr2bl w:val="nil"/>
            </w:tcBorders>
            <w:noWrap w:val="0"/>
            <w:tcMar>
              <w:top w:w="15" w:type="dxa"/>
              <w:left w:w="15" w:type="dxa"/>
              <w:right w:w="15" w:type="dxa"/>
            </w:tcMar>
            <w:vAlign w:val="center"/>
          </w:tcPr>
          <w:p w14:paraId="0C4CCC9C">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分值</w:t>
            </w:r>
          </w:p>
        </w:tc>
      </w:tr>
      <w:tr w14:paraId="36C3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tcMar>
              <w:top w:w="15" w:type="dxa"/>
              <w:left w:w="15" w:type="dxa"/>
              <w:right w:w="15" w:type="dxa"/>
            </w:tcMar>
            <w:vAlign w:val="center"/>
          </w:tcPr>
          <w:p w14:paraId="2F74DF88">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c>
          <w:tcPr>
            <w:tcW w:w="1125" w:type="dxa"/>
            <w:vMerge w:val="restart"/>
            <w:tcBorders>
              <w:tl2br w:val="nil"/>
              <w:tr2bl w:val="nil"/>
            </w:tcBorders>
            <w:noWrap/>
            <w:tcMar>
              <w:top w:w="15" w:type="dxa"/>
              <w:left w:w="15" w:type="dxa"/>
              <w:right w:w="15" w:type="dxa"/>
            </w:tcMar>
            <w:vAlign w:val="center"/>
          </w:tcPr>
          <w:p w14:paraId="16AA0B1F">
            <w:pPr>
              <w:spacing w:line="24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安全管理</w:t>
            </w:r>
          </w:p>
        </w:tc>
        <w:tc>
          <w:tcPr>
            <w:tcW w:w="4757" w:type="dxa"/>
            <w:tcBorders>
              <w:tl2br w:val="nil"/>
              <w:tr2bl w:val="nil"/>
            </w:tcBorders>
            <w:noWrap w:val="0"/>
            <w:tcMar>
              <w:top w:w="15" w:type="dxa"/>
              <w:left w:w="15" w:type="dxa"/>
              <w:right w:w="15" w:type="dxa"/>
            </w:tcMar>
            <w:vAlign w:val="center"/>
          </w:tcPr>
          <w:p w14:paraId="029FA639">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w:t>
            </w:r>
            <w:r>
              <w:rPr>
                <w:rFonts w:hint="eastAsia" w:ascii="宋体" w:hAnsi="宋体" w:eastAsia="宋体" w:cs="宋体"/>
                <w:color w:val="auto"/>
                <w:kern w:val="0"/>
                <w:sz w:val="21"/>
                <w:szCs w:val="21"/>
                <w:highlight w:val="none"/>
                <w:lang w:eastAsia="zh-CN" w:bidi="ar"/>
              </w:rPr>
              <w:t>甲方</w:t>
            </w:r>
            <w:r>
              <w:rPr>
                <w:rFonts w:hint="eastAsia" w:ascii="宋体" w:hAnsi="宋体" w:eastAsia="宋体" w:cs="宋体"/>
                <w:color w:val="auto"/>
                <w:kern w:val="0"/>
                <w:sz w:val="21"/>
                <w:szCs w:val="21"/>
                <w:highlight w:val="none"/>
                <w:lang w:bidi="ar"/>
              </w:rPr>
              <w:t>要求落实安全工作部署，按要求完成安全工作内容，及时与</w:t>
            </w:r>
            <w:r>
              <w:rPr>
                <w:rFonts w:hint="eastAsia" w:ascii="宋体" w:hAnsi="宋体" w:eastAsia="宋体" w:cs="宋体"/>
                <w:color w:val="auto"/>
                <w:kern w:val="0"/>
                <w:sz w:val="21"/>
                <w:szCs w:val="21"/>
                <w:highlight w:val="none"/>
                <w:lang w:eastAsia="zh-CN" w:bidi="ar"/>
              </w:rPr>
              <w:t>甲方</w:t>
            </w:r>
            <w:r>
              <w:rPr>
                <w:rFonts w:hint="eastAsia" w:ascii="宋体" w:hAnsi="宋体" w:eastAsia="宋体" w:cs="宋体"/>
                <w:color w:val="auto"/>
                <w:kern w:val="0"/>
                <w:sz w:val="21"/>
                <w:szCs w:val="21"/>
                <w:highlight w:val="none"/>
                <w:lang w:bidi="ar"/>
              </w:rPr>
              <w:t>汇报进度</w:t>
            </w:r>
          </w:p>
        </w:tc>
        <w:tc>
          <w:tcPr>
            <w:tcW w:w="2138" w:type="dxa"/>
            <w:tcBorders>
              <w:tl2br w:val="nil"/>
              <w:tr2bl w:val="nil"/>
            </w:tcBorders>
            <w:noWrap w:val="0"/>
            <w:tcMar>
              <w:top w:w="15" w:type="dxa"/>
              <w:left w:w="15" w:type="dxa"/>
              <w:right w:w="15" w:type="dxa"/>
            </w:tcMar>
            <w:vAlign w:val="center"/>
          </w:tcPr>
          <w:p w14:paraId="37D9D41D">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现场检查、相关记录</w:t>
            </w:r>
          </w:p>
        </w:tc>
        <w:tc>
          <w:tcPr>
            <w:tcW w:w="755" w:type="dxa"/>
            <w:tcBorders>
              <w:tl2br w:val="nil"/>
              <w:tr2bl w:val="nil"/>
            </w:tcBorders>
            <w:noWrap w:val="0"/>
            <w:tcMar>
              <w:top w:w="15" w:type="dxa"/>
              <w:left w:w="15" w:type="dxa"/>
              <w:right w:w="15" w:type="dxa"/>
            </w:tcMar>
            <w:vAlign w:val="center"/>
          </w:tcPr>
          <w:p w14:paraId="111D95F2">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4514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tcMar>
              <w:top w:w="15" w:type="dxa"/>
              <w:left w:w="15" w:type="dxa"/>
              <w:right w:w="15" w:type="dxa"/>
            </w:tcMar>
            <w:vAlign w:val="center"/>
          </w:tcPr>
          <w:p w14:paraId="07B3636B">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2</w:t>
            </w:r>
          </w:p>
        </w:tc>
        <w:tc>
          <w:tcPr>
            <w:tcW w:w="1125" w:type="dxa"/>
            <w:vMerge w:val="continue"/>
            <w:tcBorders>
              <w:tl2br w:val="nil"/>
              <w:tr2bl w:val="nil"/>
            </w:tcBorders>
            <w:noWrap/>
            <w:tcMar>
              <w:top w:w="15" w:type="dxa"/>
              <w:left w:w="15" w:type="dxa"/>
              <w:right w:w="15" w:type="dxa"/>
            </w:tcMar>
            <w:vAlign w:val="center"/>
          </w:tcPr>
          <w:p w14:paraId="7425FCC8">
            <w:pPr>
              <w:spacing w:line="240" w:lineRule="auto"/>
              <w:jc w:val="center"/>
              <w:outlineLvl w:val="9"/>
              <w:rPr>
                <w:rFonts w:ascii="宋体" w:hAnsi="宋体" w:eastAsia="宋体" w:cs="宋体"/>
                <w:color w:val="auto"/>
                <w:sz w:val="21"/>
                <w:szCs w:val="21"/>
                <w:highlight w:val="none"/>
              </w:rPr>
            </w:pPr>
          </w:p>
        </w:tc>
        <w:tc>
          <w:tcPr>
            <w:tcW w:w="4757" w:type="dxa"/>
            <w:tcBorders>
              <w:tl2br w:val="nil"/>
              <w:tr2bl w:val="nil"/>
            </w:tcBorders>
            <w:noWrap w:val="0"/>
            <w:tcMar>
              <w:top w:w="15" w:type="dxa"/>
              <w:left w:w="15" w:type="dxa"/>
              <w:right w:w="15" w:type="dxa"/>
            </w:tcMar>
            <w:vAlign w:val="center"/>
          </w:tcPr>
          <w:p w14:paraId="0B593701">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不得发生</w:t>
            </w:r>
            <w:r>
              <w:rPr>
                <w:rFonts w:hint="eastAsia" w:ascii="宋体" w:hAnsi="宋体" w:eastAsia="宋体" w:cs="宋体"/>
                <w:color w:val="auto"/>
                <w:sz w:val="21"/>
                <w:szCs w:val="21"/>
                <w:highlight w:val="none"/>
                <w:lang w:bidi="ar"/>
              </w:rPr>
              <w:t>信息泄露、毁损、丢失等情况</w:t>
            </w:r>
          </w:p>
        </w:tc>
        <w:tc>
          <w:tcPr>
            <w:tcW w:w="2138" w:type="dxa"/>
            <w:tcBorders>
              <w:tl2br w:val="nil"/>
              <w:tr2bl w:val="nil"/>
            </w:tcBorders>
            <w:noWrap w:val="0"/>
            <w:tcMar>
              <w:top w:w="15" w:type="dxa"/>
              <w:left w:w="15" w:type="dxa"/>
              <w:right w:w="15" w:type="dxa"/>
            </w:tcMar>
            <w:vAlign w:val="center"/>
          </w:tcPr>
          <w:p w14:paraId="2BC8B185">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现场检查、相关记录</w:t>
            </w:r>
          </w:p>
        </w:tc>
        <w:tc>
          <w:tcPr>
            <w:tcW w:w="755" w:type="dxa"/>
            <w:tcBorders>
              <w:tl2br w:val="nil"/>
              <w:tr2bl w:val="nil"/>
            </w:tcBorders>
            <w:noWrap w:val="0"/>
            <w:tcMar>
              <w:top w:w="15" w:type="dxa"/>
              <w:left w:w="15" w:type="dxa"/>
              <w:right w:w="15" w:type="dxa"/>
            </w:tcMar>
            <w:vAlign w:val="center"/>
          </w:tcPr>
          <w:p w14:paraId="455C820E">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3E66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tcMar>
              <w:top w:w="15" w:type="dxa"/>
              <w:left w:w="15" w:type="dxa"/>
              <w:right w:w="15" w:type="dxa"/>
            </w:tcMar>
            <w:vAlign w:val="center"/>
          </w:tcPr>
          <w:p w14:paraId="1C47D6F3">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p>
        </w:tc>
        <w:tc>
          <w:tcPr>
            <w:tcW w:w="1125" w:type="dxa"/>
            <w:vMerge w:val="restart"/>
            <w:tcBorders>
              <w:tl2br w:val="nil"/>
              <w:tr2bl w:val="nil"/>
            </w:tcBorders>
            <w:noWrap/>
            <w:tcMar>
              <w:top w:w="15" w:type="dxa"/>
              <w:left w:w="15" w:type="dxa"/>
              <w:right w:w="15" w:type="dxa"/>
            </w:tcMar>
            <w:vAlign w:val="center"/>
          </w:tcPr>
          <w:p w14:paraId="37ADF70F">
            <w:pPr>
              <w:spacing w:line="24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w:t>
            </w:r>
          </w:p>
        </w:tc>
        <w:tc>
          <w:tcPr>
            <w:tcW w:w="4757" w:type="dxa"/>
            <w:tcBorders>
              <w:tl2br w:val="nil"/>
              <w:tr2bl w:val="nil"/>
            </w:tcBorders>
            <w:noWrap w:val="0"/>
            <w:tcMar>
              <w:top w:w="15" w:type="dxa"/>
              <w:left w:w="15" w:type="dxa"/>
              <w:right w:w="15" w:type="dxa"/>
            </w:tcMar>
            <w:vAlign w:val="center"/>
          </w:tcPr>
          <w:p w14:paraId="211F5439">
            <w:pPr>
              <w:widowControl/>
              <w:spacing w:line="240" w:lineRule="auto"/>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按要求按时</w:t>
            </w:r>
            <w:r>
              <w:rPr>
                <w:rFonts w:hint="eastAsia" w:ascii="宋体" w:hAnsi="宋体" w:eastAsia="宋体" w:cs="宋体"/>
                <w:color w:val="auto"/>
                <w:kern w:val="0"/>
                <w:sz w:val="21"/>
                <w:szCs w:val="21"/>
                <w:highlight w:val="none"/>
                <w:lang w:val="en-US" w:eastAsia="zh-CN" w:bidi="ar"/>
              </w:rPr>
              <w:t>完成</w:t>
            </w:r>
            <w:r>
              <w:rPr>
                <w:rFonts w:hint="eastAsia" w:ascii="宋体" w:hAnsi="宋体" w:eastAsia="宋体" w:cs="宋体"/>
                <w:color w:val="auto"/>
                <w:kern w:val="0"/>
                <w:sz w:val="21"/>
                <w:szCs w:val="21"/>
                <w:highlight w:val="none"/>
                <w:lang w:bidi="ar"/>
              </w:rPr>
              <w:t>巡检维护、定期保养、计划检修预防性维修等</w:t>
            </w:r>
            <w:r>
              <w:rPr>
                <w:rFonts w:hint="eastAsia" w:ascii="宋体" w:hAnsi="宋体" w:eastAsia="宋体" w:cs="宋体"/>
                <w:color w:val="auto"/>
                <w:kern w:val="0"/>
                <w:sz w:val="21"/>
                <w:szCs w:val="21"/>
                <w:highlight w:val="none"/>
                <w:lang w:val="en-US" w:eastAsia="zh-CN" w:bidi="ar"/>
              </w:rPr>
              <w:t>工作</w:t>
            </w:r>
          </w:p>
        </w:tc>
        <w:tc>
          <w:tcPr>
            <w:tcW w:w="2138" w:type="dxa"/>
            <w:tcBorders>
              <w:tl2br w:val="nil"/>
              <w:tr2bl w:val="nil"/>
            </w:tcBorders>
            <w:noWrap w:val="0"/>
            <w:tcMar>
              <w:top w:w="15" w:type="dxa"/>
              <w:left w:w="15" w:type="dxa"/>
              <w:right w:w="15" w:type="dxa"/>
            </w:tcMar>
            <w:vAlign w:val="center"/>
          </w:tcPr>
          <w:p w14:paraId="28BF9F8C">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现场检查、相关记录</w:t>
            </w:r>
          </w:p>
        </w:tc>
        <w:tc>
          <w:tcPr>
            <w:tcW w:w="755" w:type="dxa"/>
            <w:tcBorders>
              <w:tl2br w:val="nil"/>
              <w:tr2bl w:val="nil"/>
            </w:tcBorders>
            <w:noWrap w:val="0"/>
            <w:tcMar>
              <w:top w:w="15" w:type="dxa"/>
              <w:left w:w="15" w:type="dxa"/>
              <w:right w:w="15" w:type="dxa"/>
            </w:tcMar>
            <w:vAlign w:val="center"/>
          </w:tcPr>
          <w:p w14:paraId="3E0BF162">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0A65B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tcMar>
              <w:top w:w="15" w:type="dxa"/>
              <w:left w:w="15" w:type="dxa"/>
              <w:right w:w="15" w:type="dxa"/>
            </w:tcMar>
            <w:vAlign w:val="center"/>
          </w:tcPr>
          <w:p w14:paraId="07C196C6">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c>
          <w:tcPr>
            <w:tcW w:w="1125" w:type="dxa"/>
            <w:vMerge w:val="continue"/>
            <w:tcBorders>
              <w:tl2br w:val="nil"/>
              <w:tr2bl w:val="nil"/>
            </w:tcBorders>
            <w:noWrap/>
            <w:tcMar>
              <w:top w:w="15" w:type="dxa"/>
              <w:left w:w="15" w:type="dxa"/>
              <w:right w:w="15" w:type="dxa"/>
            </w:tcMar>
            <w:vAlign w:val="center"/>
          </w:tcPr>
          <w:p w14:paraId="43E06619">
            <w:pPr>
              <w:spacing w:line="240" w:lineRule="auto"/>
              <w:jc w:val="center"/>
              <w:outlineLvl w:val="9"/>
              <w:rPr>
                <w:rFonts w:ascii="宋体" w:hAnsi="宋体" w:eastAsia="宋体" w:cs="宋体"/>
                <w:color w:val="auto"/>
                <w:sz w:val="21"/>
                <w:szCs w:val="21"/>
                <w:highlight w:val="none"/>
              </w:rPr>
            </w:pPr>
          </w:p>
        </w:tc>
        <w:tc>
          <w:tcPr>
            <w:tcW w:w="4757" w:type="dxa"/>
            <w:tcBorders>
              <w:tl2br w:val="nil"/>
              <w:tr2bl w:val="nil"/>
            </w:tcBorders>
            <w:noWrap w:val="0"/>
            <w:tcMar>
              <w:top w:w="15" w:type="dxa"/>
              <w:left w:w="15" w:type="dxa"/>
              <w:right w:w="15" w:type="dxa"/>
            </w:tcMar>
            <w:vAlign w:val="center"/>
          </w:tcPr>
          <w:p w14:paraId="1D086CAB">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考核期</w:t>
            </w:r>
            <w:r>
              <w:rPr>
                <w:rFonts w:hint="eastAsia" w:ascii="宋体" w:hAnsi="宋体" w:eastAsia="宋体" w:cs="宋体"/>
                <w:color w:val="auto"/>
                <w:sz w:val="21"/>
                <w:szCs w:val="21"/>
                <w:highlight w:val="none"/>
                <w:lang w:val="en-US" w:eastAsia="zh-CN"/>
              </w:rPr>
              <w:t>内</w:t>
            </w:r>
            <w:r>
              <w:rPr>
                <w:rFonts w:hint="eastAsia" w:ascii="宋体" w:hAnsi="宋体" w:cs="宋体"/>
                <w:color w:val="auto"/>
                <w:sz w:val="21"/>
                <w:szCs w:val="21"/>
                <w:highlight w:val="none"/>
                <w:lang w:val="en-US" w:eastAsia="zh-CN"/>
              </w:rPr>
              <w:t>及时</w:t>
            </w:r>
            <w:r>
              <w:rPr>
                <w:rFonts w:hint="eastAsia" w:ascii="宋体" w:hAnsi="宋体" w:eastAsia="宋体" w:cs="宋体"/>
                <w:color w:val="auto"/>
                <w:sz w:val="21"/>
                <w:szCs w:val="21"/>
                <w:highlight w:val="none"/>
                <w:lang w:val="en-US" w:eastAsia="zh-CN"/>
              </w:rPr>
              <w:t>对产品进行升级、维护、系统问题处理</w:t>
            </w:r>
          </w:p>
        </w:tc>
        <w:tc>
          <w:tcPr>
            <w:tcW w:w="2138" w:type="dxa"/>
            <w:tcBorders>
              <w:tl2br w:val="nil"/>
              <w:tr2bl w:val="nil"/>
            </w:tcBorders>
            <w:noWrap w:val="0"/>
            <w:tcMar>
              <w:top w:w="15" w:type="dxa"/>
              <w:left w:w="15" w:type="dxa"/>
              <w:right w:w="15" w:type="dxa"/>
            </w:tcMar>
            <w:vAlign w:val="center"/>
          </w:tcPr>
          <w:p w14:paraId="5CE024F4">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现场检查、相关记录</w:t>
            </w:r>
          </w:p>
        </w:tc>
        <w:tc>
          <w:tcPr>
            <w:tcW w:w="755" w:type="dxa"/>
            <w:tcBorders>
              <w:tl2br w:val="nil"/>
              <w:tr2bl w:val="nil"/>
            </w:tcBorders>
            <w:noWrap w:val="0"/>
            <w:tcMar>
              <w:top w:w="15" w:type="dxa"/>
              <w:left w:w="15" w:type="dxa"/>
              <w:right w:w="15" w:type="dxa"/>
            </w:tcMar>
            <w:vAlign w:val="center"/>
          </w:tcPr>
          <w:p w14:paraId="05C10573">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70EA5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tcMar>
              <w:top w:w="15" w:type="dxa"/>
              <w:left w:w="15" w:type="dxa"/>
              <w:right w:w="15" w:type="dxa"/>
            </w:tcMar>
            <w:vAlign w:val="center"/>
          </w:tcPr>
          <w:p w14:paraId="654E5791">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p>
        </w:tc>
        <w:tc>
          <w:tcPr>
            <w:tcW w:w="1125" w:type="dxa"/>
            <w:vMerge w:val="restart"/>
            <w:tcBorders>
              <w:tl2br w:val="nil"/>
              <w:tr2bl w:val="nil"/>
            </w:tcBorders>
            <w:noWrap/>
            <w:tcMar>
              <w:top w:w="15" w:type="dxa"/>
              <w:left w:w="15" w:type="dxa"/>
              <w:right w:w="15" w:type="dxa"/>
            </w:tcMar>
            <w:vAlign w:val="center"/>
          </w:tcPr>
          <w:p w14:paraId="1204E3FD">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故障管理</w:t>
            </w:r>
          </w:p>
        </w:tc>
        <w:tc>
          <w:tcPr>
            <w:tcW w:w="4757" w:type="dxa"/>
            <w:tcBorders>
              <w:tl2br w:val="nil"/>
              <w:tr2bl w:val="nil"/>
            </w:tcBorders>
            <w:noWrap w:val="0"/>
            <w:tcMar>
              <w:top w:w="15" w:type="dxa"/>
              <w:left w:w="15" w:type="dxa"/>
              <w:right w:w="15" w:type="dxa"/>
            </w:tcMar>
            <w:vAlign w:val="center"/>
          </w:tcPr>
          <w:p w14:paraId="5D22ED3E">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及时</w:t>
            </w:r>
            <w:r>
              <w:rPr>
                <w:rFonts w:hint="eastAsia" w:ascii="宋体" w:hAnsi="宋体" w:eastAsia="宋体" w:cs="宋体"/>
                <w:color w:val="auto"/>
                <w:kern w:val="0"/>
                <w:sz w:val="21"/>
                <w:szCs w:val="21"/>
                <w:highlight w:val="none"/>
                <w:lang w:bidi="ar"/>
              </w:rPr>
              <w:t>响应</w:t>
            </w:r>
            <w:r>
              <w:rPr>
                <w:rFonts w:hint="eastAsia" w:ascii="宋体" w:hAnsi="宋体" w:eastAsia="宋体" w:cs="宋体"/>
                <w:color w:val="auto"/>
                <w:kern w:val="0"/>
                <w:sz w:val="21"/>
                <w:szCs w:val="21"/>
                <w:highlight w:val="none"/>
                <w:lang w:val="en-US" w:eastAsia="zh-CN" w:bidi="ar"/>
              </w:rPr>
              <w:t>故障并按要求处理</w:t>
            </w:r>
          </w:p>
        </w:tc>
        <w:tc>
          <w:tcPr>
            <w:tcW w:w="2138" w:type="dxa"/>
            <w:tcBorders>
              <w:tl2br w:val="nil"/>
              <w:tr2bl w:val="nil"/>
            </w:tcBorders>
            <w:noWrap w:val="0"/>
            <w:tcMar>
              <w:top w:w="15" w:type="dxa"/>
              <w:left w:w="15" w:type="dxa"/>
              <w:right w:w="15" w:type="dxa"/>
            </w:tcMar>
            <w:vAlign w:val="center"/>
          </w:tcPr>
          <w:p w14:paraId="12D0FCE8">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现场检查、相关记录</w:t>
            </w:r>
          </w:p>
        </w:tc>
        <w:tc>
          <w:tcPr>
            <w:tcW w:w="755" w:type="dxa"/>
            <w:tcBorders>
              <w:tl2br w:val="nil"/>
              <w:tr2bl w:val="nil"/>
            </w:tcBorders>
            <w:noWrap w:val="0"/>
            <w:tcMar>
              <w:top w:w="15" w:type="dxa"/>
              <w:left w:w="15" w:type="dxa"/>
              <w:right w:w="15" w:type="dxa"/>
            </w:tcMar>
            <w:vAlign w:val="center"/>
          </w:tcPr>
          <w:p w14:paraId="4C7186E1">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20</w:t>
            </w:r>
          </w:p>
        </w:tc>
      </w:tr>
      <w:tr w14:paraId="1BF38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tcMar>
              <w:top w:w="15" w:type="dxa"/>
              <w:left w:w="15" w:type="dxa"/>
              <w:right w:w="15" w:type="dxa"/>
            </w:tcMar>
            <w:vAlign w:val="center"/>
          </w:tcPr>
          <w:p w14:paraId="58616E7E">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6</w:t>
            </w:r>
          </w:p>
        </w:tc>
        <w:tc>
          <w:tcPr>
            <w:tcW w:w="1125" w:type="dxa"/>
            <w:vMerge w:val="continue"/>
            <w:tcBorders>
              <w:tl2br w:val="nil"/>
              <w:tr2bl w:val="nil"/>
            </w:tcBorders>
            <w:noWrap/>
            <w:tcMar>
              <w:top w:w="15" w:type="dxa"/>
              <w:left w:w="15" w:type="dxa"/>
              <w:right w:w="15" w:type="dxa"/>
            </w:tcMar>
            <w:vAlign w:val="center"/>
          </w:tcPr>
          <w:p w14:paraId="0AD5B196">
            <w:pPr>
              <w:spacing w:line="240" w:lineRule="auto"/>
              <w:jc w:val="center"/>
              <w:outlineLvl w:val="9"/>
              <w:rPr>
                <w:rFonts w:ascii="宋体" w:hAnsi="宋体" w:eastAsia="宋体" w:cs="宋体"/>
                <w:color w:val="auto"/>
                <w:sz w:val="21"/>
                <w:szCs w:val="21"/>
                <w:highlight w:val="none"/>
              </w:rPr>
            </w:pPr>
          </w:p>
        </w:tc>
        <w:tc>
          <w:tcPr>
            <w:tcW w:w="4757" w:type="dxa"/>
            <w:tcBorders>
              <w:tl2br w:val="nil"/>
              <w:tr2bl w:val="nil"/>
            </w:tcBorders>
            <w:noWrap w:val="0"/>
            <w:tcMar>
              <w:top w:w="15" w:type="dxa"/>
              <w:left w:w="15" w:type="dxa"/>
              <w:right w:w="15" w:type="dxa"/>
            </w:tcMar>
            <w:vAlign w:val="center"/>
          </w:tcPr>
          <w:p w14:paraId="21D50BCB">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根据甲方要求完成故障情况记录</w:t>
            </w:r>
          </w:p>
        </w:tc>
        <w:tc>
          <w:tcPr>
            <w:tcW w:w="2138" w:type="dxa"/>
            <w:tcBorders>
              <w:tl2br w:val="nil"/>
              <w:tr2bl w:val="nil"/>
            </w:tcBorders>
            <w:noWrap w:val="0"/>
            <w:tcMar>
              <w:top w:w="15" w:type="dxa"/>
              <w:left w:w="15" w:type="dxa"/>
              <w:right w:w="15" w:type="dxa"/>
            </w:tcMar>
            <w:vAlign w:val="center"/>
          </w:tcPr>
          <w:p w14:paraId="4D291876">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现场检查、相关记录</w:t>
            </w:r>
          </w:p>
        </w:tc>
        <w:tc>
          <w:tcPr>
            <w:tcW w:w="755" w:type="dxa"/>
            <w:tcBorders>
              <w:tl2br w:val="nil"/>
              <w:tr2bl w:val="nil"/>
            </w:tcBorders>
            <w:noWrap w:val="0"/>
            <w:tcMar>
              <w:top w:w="15" w:type="dxa"/>
              <w:left w:w="15" w:type="dxa"/>
              <w:right w:w="15" w:type="dxa"/>
            </w:tcMar>
            <w:vAlign w:val="center"/>
          </w:tcPr>
          <w:p w14:paraId="6229E291">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w:t>
            </w:r>
          </w:p>
        </w:tc>
      </w:tr>
      <w:tr w14:paraId="515BC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tcMar>
              <w:top w:w="15" w:type="dxa"/>
              <w:left w:w="15" w:type="dxa"/>
              <w:right w:w="15" w:type="dxa"/>
            </w:tcMar>
            <w:vAlign w:val="center"/>
          </w:tcPr>
          <w:p w14:paraId="5DEE41A0">
            <w:pPr>
              <w:widowControl/>
              <w:spacing w:line="240" w:lineRule="auto"/>
              <w:jc w:val="center"/>
              <w:textAlignment w:val="center"/>
              <w:outlineLvl w:val="9"/>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1125" w:type="dxa"/>
            <w:vMerge w:val="continue"/>
            <w:tcBorders>
              <w:tl2br w:val="nil"/>
              <w:tr2bl w:val="nil"/>
            </w:tcBorders>
            <w:noWrap/>
            <w:tcMar>
              <w:top w:w="15" w:type="dxa"/>
              <w:left w:w="15" w:type="dxa"/>
              <w:right w:w="15" w:type="dxa"/>
            </w:tcMar>
            <w:vAlign w:val="center"/>
          </w:tcPr>
          <w:p w14:paraId="2DF78127">
            <w:pPr>
              <w:spacing w:line="240" w:lineRule="auto"/>
              <w:jc w:val="center"/>
              <w:outlineLvl w:val="9"/>
              <w:rPr>
                <w:rFonts w:ascii="宋体" w:hAnsi="宋体" w:eastAsia="宋体" w:cs="宋体"/>
                <w:color w:val="auto"/>
                <w:sz w:val="21"/>
                <w:szCs w:val="21"/>
                <w:highlight w:val="none"/>
              </w:rPr>
            </w:pPr>
          </w:p>
        </w:tc>
        <w:tc>
          <w:tcPr>
            <w:tcW w:w="4757" w:type="dxa"/>
            <w:tcBorders>
              <w:tl2br w:val="nil"/>
              <w:tr2bl w:val="nil"/>
            </w:tcBorders>
            <w:noWrap w:val="0"/>
            <w:tcMar>
              <w:top w:w="15" w:type="dxa"/>
              <w:left w:w="15" w:type="dxa"/>
              <w:right w:w="15" w:type="dxa"/>
            </w:tcMar>
            <w:vAlign w:val="center"/>
          </w:tcPr>
          <w:p w14:paraId="7DA1805B">
            <w:pPr>
              <w:widowControl/>
              <w:spacing w:line="240" w:lineRule="auto"/>
              <w:jc w:val="center"/>
              <w:textAlignment w:val="center"/>
              <w:outlineLvl w:val="9"/>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建立完善的服务流程</w:t>
            </w:r>
          </w:p>
        </w:tc>
        <w:tc>
          <w:tcPr>
            <w:tcW w:w="2138" w:type="dxa"/>
            <w:tcBorders>
              <w:tl2br w:val="nil"/>
              <w:tr2bl w:val="nil"/>
            </w:tcBorders>
            <w:noWrap w:val="0"/>
            <w:tcMar>
              <w:top w:w="15" w:type="dxa"/>
              <w:left w:w="15" w:type="dxa"/>
              <w:right w:w="15" w:type="dxa"/>
            </w:tcMar>
            <w:vAlign w:val="center"/>
          </w:tcPr>
          <w:p w14:paraId="47AB8BE0">
            <w:pPr>
              <w:widowControl/>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现场检查、相关记录</w:t>
            </w:r>
          </w:p>
        </w:tc>
        <w:tc>
          <w:tcPr>
            <w:tcW w:w="755" w:type="dxa"/>
            <w:tcBorders>
              <w:tl2br w:val="nil"/>
              <w:tr2bl w:val="nil"/>
            </w:tcBorders>
            <w:noWrap w:val="0"/>
            <w:tcMar>
              <w:top w:w="15" w:type="dxa"/>
              <w:left w:w="15" w:type="dxa"/>
              <w:right w:w="15" w:type="dxa"/>
            </w:tcMar>
            <w:vAlign w:val="center"/>
          </w:tcPr>
          <w:p w14:paraId="0DB0755C">
            <w:pPr>
              <w:widowControl/>
              <w:spacing w:line="240" w:lineRule="auto"/>
              <w:jc w:val="center"/>
              <w:textAlignment w:val="center"/>
              <w:outlineLvl w:val="9"/>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r>
      <w:tr w14:paraId="495CA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tcMar>
              <w:top w:w="15" w:type="dxa"/>
              <w:left w:w="15" w:type="dxa"/>
              <w:right w:w="15" w:type="dxa"/>
            </w:tcMar>
            <w:vAlign w:val="center"/>
          </w:tcPr>
          <w:p w14:paraId="3FC3EC69">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8</w:t>
            </w:r>
          </w:p>
        </w:tc>
        <w:tc>
          <w:tcPr>
            <w:tcW w:w="1125" w:type="dxa"/>
            <w:vMerge w:val="restart"/>
            <w:tcBorders>
              <w:tl2br w:val="nil"/>
              <w:tr2bl w:val="nil"/>
            </w:tcBorders>
            <w:noWrap/>
            <w:tcMar>
              <w:top w:w="15" w:type="dxa"/>
              <w:left w:w="15" w:type="dxa"/>
              <w:right w:w="15" w:type="dxa"/>
            </w:tcMar>
            <w:vAlign w:val="center"/>
          </w:tcPr>
          <w:p w14:paraId="42F9AF79">
            <w:pPr>
              <w:spacing w:line="240" w:lineRule="auto"/>
              <w:jc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纪律管理</w:t>
            </w:r>
          </w:p>
        </w:tc>
        <w:tc>
          <w:tcPr>
            <w:tcW w:w="4757" w:type="dxa"/>
            <w:tcBorders>
              <w:tl2br w:val="nil"/>
              <w:tr2bl w:val="nil"/>
            </w:tcBorders>
            <w:noWrap w:val="0"/>
            <w:tcMar>
              <w:top w:w="15" w:type="dxa"/>
              <w:left w:w="15" w:type="dxa"/>
              <w:right w:w="15" w:type="dxa"/>
            </w:tcMar>
            <w:vAlign w:val="center"/>
          </w:tcPr>
          <w:p w14:paraId="288CB26F">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服务</w:t>
            </w:r>
            <w:r>
              <w:rPr>
                <w:rFonts w:hint="eastAsia" w:ascii="宋体" w:hAnsi="宋体" w:eastAsia="宋体" w:cs="宋体"/>
                <w:color w:val="auto"/>
                <w:kern w:val="0"/>
                <w:sz w:val="21"/>
                <w:szCs w:val="21"/>
                <w:highlight w:val="none"/>
                <w:lang w:bidi="ar"/>
              </w:rPr>
              <w:t>人员按要求到岗的</w:t>
            </w:r>
          </w:p>
        </w:tc>
        <w:tc>
          <w:tcPr>
            <w:tcW w:w="2138" w:type="dxa"/>
            <w:tcBorders>
              <w:tl2br w:val="nil"/>
              <w:tr2bl w:val="nil"/>
            </w:tcBorders>
            <w:noWrap w:val="0"/>
            <w:tcMar>
              <w:top w:w="15" w:type="dxa"/>
              <w:left w:w="15" w:type="dxa"/>
              <w:right w:w="15" w:type="dxa"/>
            </w:tcMar>
            <w:vAlign w:val="center"/>
          </w:tcPr>
          <w:p w14:paraId="45E2C2FD">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现场检查、相关记录</w:t>
            </w:r>
          </w:p>
        </w:tc>
        <w:tc>
          <w:tcPr>
            <w:tcW w:w="755" w:type="dxa"/>
            <w:tcBorders>
              <w:tl2br w:val="nil"/>
              <w:tr2bl w:val="nil"/>
            </w:tcBorders>
            <w:noWrap w:val="0"/>
            <w:tcMar>
              <w:top w:w="15" w:type="dxa"/>
              <w:left w:w="15" w:type="dxa"/>
              <w:right w:w="15" w:type="dxa"/>
            </w:tcMar>
            <w:vAlign w:val="center"/>
          </w:tcPr>
          <w:p w14:paraId="59B57630">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1D08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495" w:type="dxa"/>
            <w:tcBorders>
              <w:tl2br w:val="nil"/>
              <w:tr2bl w:val="nil"/>
            </w:tcBorders>
            <w:noWrap/>
            <w:tcMar>
              <w:top w:w="15" w:type="dxa"/>
              <w:left w:w="15" w:type="dxa"/>
              <w:right w:w="15" w:type="dxa"/>
            </w:tcMar>
            <w:vAlign w:val="center"/>
          </w:tcPr>
          <w:p w14:paraId="4E09CBD3">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9</w:t>
            </w:r>
          </w:p>
        </w:tc>
        <w:tc>
          <w:tcPr>
            <w:tcW w:w="1125" w:type="dxa"/>
            <w:vMerge w:val="continue"/>
            <w:tcBorders>
              <w:tl2br w:val="nil"/>
              <w:tr2bl w:val="nil"/>
            </w:tcBorders>
            <w:noWrap/>
            <w:tcMar>
              <w:top w:w="15" w:type="dxa"/>
              <w:left w:w="15" w:type="dxa"/>
              <w:right w:w="15" w:type="dxa"/>
            </w:tcMar>
            <w:vAlign w:val="center"/>
          </w:tcPr>
          <w:p w14:paraId="192283ED">
            <w:pPr>
              <w:spacing w:line="240" w:lineRule="auto"/>
              <w:jc w:val="center"/>
              <w:outlineLvl w:val="9"/>
              <w:rPr>
                <w:rFonts w:ascii="宋体" w:hAnsi="宋体" w:eastAsia="宋体" w:cs="宋体"/>
                <w:color w:val="auto"/>
                <w:sz w:val="21"/>
                <w:szCs w:val="21"/>
                <w:highlight w:val="none"/>
              </w:rPr>
            </w:pPr>
          </w:p>
        </w:tc>
        <w:tc>
          <w:tcPr>
            <w:tcW w:w="4757" w:type="dxa"/>
            <w:tcBorders>
              <w:tl2br w:val="nil"/>
              <w:tr2bl w:val="nil"/>
            </w:tcBorders>
            <w:noWrap w:val="0"/>
            <w:tcMar>
              <w:top w:w="15" w:type="dxa"/>
              <w:left w:w="15" w:type="dxa"/>
              <w:right w:w="15" w:type="dxa"/>
            </w:tcMar>
            <w:vAlign w:val="center"/>
          </w:tcPr>
          <w:p w14:paraId="566ED459">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服务态度良好，不得</w:t>
            </w:r>
            <w:r>
              <w:rPr>
                <w:rFonts w:hint="eastAsia" w:ascii="宋体" w:hAnsi="宋体" w:eastAsia="宋体" w:cs="宋体"/>
                <w:color w:val="auto"/>
                <w:kern w:val="0"/>
                <w:sz w:val="21"/>
                <w:szCs w:val="21"/>
                <w:highlight w:val="none"/>
                <w:lang w:bidi="ar"/>
              </w:rPr>
              <w:t>恶意排斥业务指导，影响</w:t>
            </w:r>
            <w:r>
              <w:rPr>
                <w:rFonts w:hint="eastAsia" w:ascii="宋体" w:hAnsi="宋体" w:eastAsia="宋体" w:cs="宋体"/>
                <w:color w:val="auto"/>
                <w:kern w:val="0"/>
                <w:sz w:val="21"/>
                <w:szCs w:val="21"/>
                <w:highlight w:val="none"/>
                <w:lang w:val="en-US" w:eastAsia="zh-CN" w:bidi="ar"/>
              </w:rPr>
              <w:t>甲方业务</w:t>
            </w:r>
            <w:r>
              <w:rPr>
                <w:rFonts w:hint="eastAsia" w:ascii="宋体" w:hAnsi="宋体" w:eastAsia="宋体" w:cs="宋体"/>
                <w:color w:val="auto"/>
                <w:kern w:val="0"/>
                <w:sz w:val="21"/>
                <w:szCs w:val="21"/>
                <w:highlight w:val="none"/>
                <w:lang w:bidi="ar"/>
              </w:rPr>
              <w:t>工作</w:t>
            </w:r>
          </w:p>
        </w:tc>
        <w:tc>
          <w:tcPr>
            <w:tcW w:w="2138" w:type="dxa"/>
            <w:tcBorders>
              <w:tl2br w:val="nil"/>
              <w:tr2bl w:val="nil"/>
            </w:tcBorders>
            <w:noWrap w:val="0"/>
            <w:tcMar>
              <w:top w:w="15" w:type="dxa"/>
              <w:left w:w="15" w:type="dxa"/>
              <w:right w:w="15" w:type="dxa"/>
            </w:tcMar>
            <w:vAlign w:val="center"/>
          </w:tcPr>
          <w:p w14:paraId="5D0E0F1C">
            <w:pPr>
              <w:widowControl/>
              <w:spacing w:line="240" w:lineRule="auto"/>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现场检查、相关记录</w:t>
            </w:r>
          </w:p>
        </w:tc>
        <w:tc>
          <w:tcPr>
            <w:tcW w:w="755" w:type="dxa"/>
            <w:tcBorders>
              <w:tl2br w:val="nil"/>
              <w:tr2bl w:val="nil"/>
            </w:tcBorders>
            <w:noWrap w:val="0"/>
            <w:tcMar>
              <w:top w:w="15" w:type="dxa"/>
              <w:left w:w="15" w:type="dxa"/>
              <w:right w:w="15" w:type="dxa"/>
            </w:tcMar>
            <w:vAlign w:val="center"/>
          </w:tcPr>
          <w:p w14:paraId="6110D136">
            <w:pPr>
              <w:widowControl/>
              <w:spacing w:line="240" w:lineRule="auto"/>
              <w:jc w:val="center"/>
              <w:textAlignment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w:t>
            </w:r>
          </w:p>
        </w:tc>
      </w:tr>
      <w:tr w14:paraId="1D4AD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trPr>
        <w:tc>
          <w:tcPr>
            <w:tcW w:w="9270" w:type="dxa"/>
            <w:gridSpan w:val="5"/>
            <w:tcBorders>
              <w:tl2br w:val="nil"/>
              <w:tr2bl w:val="nil"/>
            </w:tcBorders>
            <w:noWrap w:val="0"/>
            <w:tcMar>
              <w:top w:w="15" w:type="dxa"/>
              <w:left w:w="15" w:type="dxa"/>
              <w:right w:w="15" w:type="dxa"/>
            </w:tcMar>
            <w:vAlign w:val="center"/>
          </w:tcPr>
          <w:p w14:paraId="2CE815B6">
            <w:pPr>
              <w:widowControl/>
              <w:spacing w:line="240" w:lineRule="auto"/>
              <w:jc w:val="left"/>
              <w:textAlignment w:val="center"/>
              <w:outlineLvl w:val="9"/>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备注：</w:t>
            </w:r>
          </w:p>
          <w:p w14:paraId="7A17DE73">
            <w:pPr>
              <w:widowControl/>
              <w:spacing w:line="240" w:lineRule="auto"/>
              <w:jc w:val="left"/>
              <w:textAlignment w:val="center"/>
              <w:outlineLvl w:val="9"/>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甲方</w:t>
            </w:r>
            <w:r>
              <w:rPr>
                <w:rFonts w:hint="eastAsia" w:ascii="宋体" w:hAnsi="宋体" w:eastAsia="宋体" w:cs="宋体"/>
                <w:color w:val="auto"/>
                <w:kern w:val="0"/>
                <w:sz w:val="21"/>
                <w:szCs w:val="21"/>
                <w:highlight w:val="none"/>
                <w:lang w:bidi="ar"/>
              </w:rPr>
              <w:t>有权根据管理工作实际，不定期对本考核内容进行修改、完善。</w:t>
            </w:r>
          </w:p>
        </w:tc>
      </w:tr>
    </w:tbl>
    <w:p w14:paraId="01AFE58A">
      <w:pPr>
        <w:pStyle w:val="49"/>
        <w:rPr>
          <w:rFonts w:hint="eastAsia"/>
          <w:color w:val="auto"/>
          <w:highlight w:val="none"/>
        </w:rPr>
      </w:pPr>
    </w:p>
    <w:p w14:paraId="30704F3E">
      <w:pPr>
        <w:rPr>
          <w:rFonts w:hint="eastAsia" w:ascii="宋体" w:hAnsi="宋体" w:cs="宋体"/>
          <w:color w:val="auto"/>
          <w:sz w:val="36"/>
          <w:szCs w:val="36"/>
          <w:highlight w:val="none"/>
        </w:rPr>
      </w:pPr>
      <w:bookmarkStart w:id="600" w:name="_Toc31269"/>
      <w:bookmarkStart w:id="601" w:name="_Toc18364"/>
      <w:bookmarkStart w:id="602" w:name="_Toc15521"/>
      <w:bookmarkStart w:id="603" w:name="_Toc11366"/>
      <w:r>
        <w:rPr>
          <w:rFonts w:hint="eastAsia" w:ascii="宋体" w:hAnsi="宋体" w:cs="宋体"/>
          <w:color w:val="auto"/>
          <w:sz w:val="36"/>
          <w:szCs w:val="36"/>
          <w:highlight w:val="none"/>
        </w:rPr>
        <w:br w:type="page"/>
      </w:r>
    </w:p>
    <w:p w14:paraId="5A4CAA64">
      <w:pPr>
        <w:pStyle w:val="6"/>
        <w:numPr>
          <w:ilvl w:val="0"/>
          <w:numId w:val="0"/>
        </w:numPr>
        <w:spacing w:line="276" w:lineRule="auto"/>
        <w:ind w:leftChars="0"/>
        <w:jc w:val="center"/>
        <w:rPr>
          <w:rFonts w:ascii="宋体" w:hAnsi="宋体" w:cs="宋体"/>
          <w:color w:val="auto"/>
          <w:sz w:val="36"/>
          <w:szCs w:val="36"/>
          <w:highlight w:val="none"/>
        </w:rPr>
      </w:pPr>
      <w:r>
        <w:rPr>
          <w:rFonts w:hint="eastAsia" w:ascii="宋体" w:hAnsi="宋体" w:cs="宋体"/>
          <w:color w:val="auto"/>
          <w:sz w:val="36"/>
          <w:szCs w:val="36"/>
          <w:highlight w:val="none"/>
        </w:rPr>
        <w:t>第五部分   评标原则及方法</w:t>
      </w:r>
      <w:bookmarkEnd w:id="600"/>
      <w:bookmarkEnd w:id="601"/>
      <w:bookmarkEnd w:id="602"/>
      <w:bookmarkEnd w:id="603"/>
    </w:p>
    <w:p w14:paraId="0BA9CDD5">
      <w:pPr>
        <w:pStyle w:val="3"/>
        <w:overflowPunct w:val="0"/>
        <w:spacing w:before="120"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一、总  则</w:t>
      </w:r>
    </w:p>
    <w:p w14:paraId="1466585E">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供应商不得以任何方式干扰招投标工作的进行，一经发现其投标文件将被拒绝。</w:t>
      </w:r>
    </w:p>
    <w:p w14:paraId="3045D1D5">
      <w:pPr>
        <w:pStyle w:val="3"/>
        <w:overflowPunct w:val="0"/>
        <w:spacing w:before="120"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二、评标组织</w:t>
      </w:r>
    </w:p>
    <w:p w14:paraId="6B26C035">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评标工作由采购人依法组建的评标委员会负责，评标全过程由有关部门指导监督。</w:t>
      </w:r>
    </w:p>
    <w:p w14:paraId="68A0475E">
      <w:pPr>
        <w:pStyle w:val="3"/>
        <w:overflowPunct w:val="0"/>
        <w:spacing w:before="120"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三、评标程序</w:t>
      </w:r>
    </w:p>
    <w:p w14:paraId="6265D8BE">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评标委员会对各投标供应商的投标资格进行审查；然后对合格投标供应商的商务技术文件进行评审；商务技术文件评审结束后即公布商务技术文件得分情况，之后开启报价文件；对报价文件评审后，根据综合评审结果，提交评审报告。</w:t>
      </w:r>
    </w:p>
    <w:p w14:paraId="0D2BB21F">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2、若投标供应商投标报价超出采购预算（最高投标限价），作无效标处理。</w:t>
      </w:r>
    </w:p>
    <w:p w14:paraId="64453628">
      <w:pPr>
        <w:overflowPunct w:val="0"/>
        <w:spacing w:line="360" w:lineRule="auto"/>
        <w:ind w:left="440"/>
        <w:rPr>
          <w:rFonts w:ascii="宋体" w:hAnsi="宋体" w:cs="宋体"/>
          <w:color w:val="auto"/>
          <w:sz w:val="22"/>
          <w:szCs w:val="22"/>
          <w:highlight w:val="none"/>
        </w:rPr>
      </w:pPr>
      <w:r>
        <w:rPr>
          <w:rFonts w:hint="eastAsia" w:ascii="宋体" w:hAnsi="宋体" w:cs="宋体"/>
          <w:color w:val="auto"/>
          <w:sz w:val="22"/>
          <w:szCs w:val="22"/>
          <w:highlight w:val="none"/>
        </w:rPr>
        <w:t>3、询标</w:t>
      </w:r>
    </w:p>
    <w:p w14:paraId="7C922129">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（1）投标文件中有含义不明确的内容、明显文字或计算错误，评标委员会认为需要投标供应商作出必要澄清、说明的，应当组织询标。</w:t>
      </w:r>
    </w:p>
    <w:p w14:paraId="08D6CC47">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凡是评标委员会拟做出投标无效认定的，须组织相关投标供应商询问核实。未进行询问核实的，不得做出投标无效的认定，投标供应商放弃询问核实机会的除外（投标供应商所留联系方式无法联系上、在规定的时限内投标供应商不参加询问核实活动或不予答复的）。</w:t>
      </w:r>
    </w:p>
    <w:p w14:paraId="02C6D9CF">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（3）询标内容及投标供应商的澄清、说明应当采用书面形式（政采云在线发起或其他有效形式），但不得超出投标文件的范围或者改变投标文件的实质性内容。</w:t>
      </w:r>
    </w:p>
    <w:p w14:paraId="4E0EA654">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（4）评标委员会不得暗示或者诱导投标供应商作出澄清、说明，不得接受投标供应商主动提出的澄清、说明。</w:t>
      </w:r>
    </w:p>
    <w:p w14:paraId="1FAB4A76">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（5）投标供应商不得通过补充、修改或撤消投标文件中的内容使其成为实质性响应的投标，投标供应商在投标截止时间以后不得提交任何资料作为评标依据。</w:t>
      </w:r>
    </w:p>
    <w:p w14:paraId="5C0241C2">
      <w:pPr>
        <w:pStyle w:val="3"/>
        <w:overflowPunct w:val="0"/>
        <w:spacing w:before="120"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四、评标办法</w:t>
      </w:r>
    </w:p>
    <w:p w14:paraId="2A538A5B">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本次采购采用综合评分法，即投标供应商最大限度地满足采购文件实质性要求的基础上，按照采购文件的各项因素进行综合评审，总分设定为100分，其中商务技术</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u w:val="single"/>
        </w:rPr>
        <w:t>0</w:t>
      </w:r>
      <w:r>
        <w:rPr>
          <w:rFonts w:hint="eastAsia" w:ascii="宋体" w:hAnsi="宋体" w:cs="宋体"/>
          <w:color w:val="auto"/>
          <w:sz w:val="22"/>
          <w:szCs w:val="22"/>
          <w:highlight w:val="none"/>
        </w:rPr>
        <w:t>分，报价</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u w:val="single"/>
        </w:rPr>
        <w:t>0</w:t>
      </w:r>
      <w:r>
        <w:rPr>
          <w:rFonts w:hint="eastAsia" w:ascii="宋体" w:hAnsi="宋体" w:cs="宋体"/>
          <w:color w:val="auto"/>
          <w:sz w:val="22"/>
          <w:szCs w:val="22"/>
          <w:highlight w:val="none"/>
        </w:rPr>
        <w:t>分,各投标供应商的综合得分为商务技术分+报价分。</w:t>
      </w:r>
    </w:p>
    <w:p w14:paraId="114F48B8">
      <w:pPr>
        <w:overflowPunct w:val="0"/>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五、评分细则</w:t>
      </w:r>
    </w:p>
    <w:p w14:paraId="0C1AF8F7">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 商务技术分评分（</w:t>
      </w:r>
      <w:r>
        <w:rPr>
          <w:rFonts w:hint="eastAsia" w:ascii="宋体" w:hAnsi="宋体" w:cs="宋体"/>
          <w:b/>
          <w:bCs/>
          <w:i/>
          <w:iCs/>
          <w:color w:val="auto"/>
          <w:sz w:val="22"/>
          <w:szCs w:val="22"/>
          <w:highlight w:val="none"/>
        </w:rPr>
        <w:t>满分</w:t>
      </w:r>
      <w:r>
        <w:rPr>
          <w:rFonts w:hint="eastAsia" w:ascii="宋体" w:hAnsi="宋体" w:cs="宋体"/>
          <w:b/>
          <w:bCs/>
          <w:i/>
          <w:iCs/>
          <w:color w:val="auto"/>
          <w:sz w:val="22"/>
          <w:szCs w:val="22"/>
          <w:highlight w:val="none"/>
          <w:u w:val="single"/>
          <w:lang w:val="en-US" w:eastAsia="zh-CN"/>
        </w:rPr>
        <w:t>7</w:t>
      </w:r>
      <w:r>
        <w:rPr>
          <w:rFonts w:hint="eastAsia" w:ascii="宋体" w:hAnsi="宋体" w:cs="宋体"/>
          <w:b/>
          <w:bCs/>
          <w:i/>
          <w:iCs/>
          <w:color w:val="auto"/>
          <w:sz w:val="22"/>
          <w:szCs w:val="22"/>
          <w:highlight w:val="none"/>
          <w:u w:val="single"/>
        </w:rPr>
        <w:t>0</w:t>
      </w:r>
      <w:r>
        <w:rPr>
          <w:rFonts w:hint="eastAsia" w:ascii="宋体" w:hAnsi="宋体" w:cs="宋体"/>
          <w:b/>
          <w:bCs/>
          <w:i/>
          <w:iCs/>
          <w:color w:val="auto"/>
          <w:sz w:val="22"/>
          <w:szCs w:val="22"/>
          <w:highlight w:val="none"/>
        </w:rPr>
        <w:t>分</w:t>
      </w:r>
      <w:r>
        <w:rPr>
          <w:rFonts w:hint="eastAsia" w:ascii="宋体" w:hAnsi="宋体" w:cs="宋体"/>
          <w:color w:val="auto"/>
          <w:sz w:val="22"/>
          <w:szCs w:val="22"/>
          <w:highlight w:val="none"/>
        </w:rPr>
        <w:t>）</w:t>
      </w:r>
    </w:p>
    <w:p w14:paraId="742F18AD">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各评标委员会成员按下列评分项目进行评定，每人一张评分计算表，由评标委员会成员各自评定打分并记实名。各评标委员会成员对各投标供应商的各项评分内容进行评审、独立打分，所有评标委员会成员的评分合计算术平均值为该投标供应商商务技术部分的最终得分（四舍五入，保留小数点后二位）。</w:t>
      </w:r>
    </w:p>
    <w:tbl>
      <w:tblPr>
        <w:tblStyle w:val="24"/>
        <w:tblW w:w="9203"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79" w:type="dxa"/>
          <w:bottom w:w="57" w:type="dxa"/>
          <w:right w:w="79" w:type="dxa"/>
        </w:tblCellMar>
      </w:tblPr>
      <w:tblGrid>
        <w:gridCol w:w="684"/>
        <w:gridCol w:w="1295"/>
        <w:gridCol w:w="7224"/>
      </w:tblGrid>
      <w:tr w14:paraId="0F0A5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660" w:hRule="atLeast"/>
        </w:trPr>
        <w:tc>
          <w:tcPr>
            <w:tcW w:w="684" w:type="dxa"/>
            <w:tcBorders>
              <w:tl2br w:val="nil"/>
              <w:tr2bl w:val="nil"/>
            </w:tcBorders>
            <w:shd w:val="clear" w:color="auto" w:fill="auto"/>
            <w:vAlign w:val="center"/>
          </w:tcPr>
          <w:p w14:paraId="6481D653">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95" w:type="dxa"/>
            <w:tcBorders>
              <w:tl2br w:val="nil"/>
              <w:tr2bl w:val="nil"/>
            </w:tcBorders>
            <w:shd w:val="clear" w:color="auto" w:fill="auto"/>
            <w:vAlign w:val="center"/>
          </w:tcPr>
          <w:p w14:paraId="38683F21">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评分内容</w:t>
            </w:r>
          </w:p>
        </w:tc>
        <w:tc>
          <w:tcPr>
            <w:tcW w:w="7224" w:type="dxa"/>
            <w:tcBorders>
              <w:tl2br w:val="nil"/>
              <w:tr2bl w:val="nil"/>
            </w:tcBorders>
            <w:shd w:val="clear" w:color="auto" w:fill="auto"/>
            <w:vAlign w:val="center"/>
          </w:tcPr>
          <w:p w14:paraId="6583F1FE">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评分细则</w:t>
            </w:r>
          </w:p>
        </w:tc>
      </w:tr>
      <w:tr w14:paraId="45BB9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1200" w:hRule="atLeast"/>
        </w:trPr>
        <w:tc>
          <w:tcPr>
            <w:tcW w:w="684" w:type="dxa"/>
            <w:tcBorders>
              <w:tl2br w:val="nil"/>
              <w:tr2bl w:val="nil"/>
            </w:tcBorders>
            <w:shd w:val="clear" w:color="auto" w:fill="auto"/>
            <w:vAlign w:val="center"/>
          </w:tcPr>
          <w:p w14:paraId="42E3862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95" w:type="dxa"/>
            <w:tcBorders>
              <w:tl2br w:val="nil"/>
              <w:tr2bl w:val="nil"/>
            </w:tcBorders>
            <w:shd w:val="clear" w:color="auto" w:fill="auto"/>
            <w:vAlign w:val="center"/>
          </w:tcPr>
          <w:p w14:paraId="085DFCF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投标供应商综合情况</w:t>
            </w:r>
          </w:p>
          <w:p w14:paraId="5FE847F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7224" w:type="dxa"/>
            <w:tcBorders>
              <w:tl2br w:val="nil"/>
              <w:tr2bl w:val="nil"/>
            </w:tcBorders>
            <w:shd w:val="clear" w:color="auto" w:fill="auto"/>
            <w:vAlign w:val="center"/>
          </w:tcPr>
          <w:p w14:paraId="2A11F876">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供应商具有有效的ISO9001企业质量体系认证证书、ISO20000信息技术服务管理体系认证证书、ISO27001信息安全管理体系认证证书，每提供1个得1分，最高得3分。（注：供应商须提供有效期内的证明材料并加盖公章，否则不得分）</w:t>
            </w:r>
          </w:p>
        </w:tc>
      </w:tr>
      <w:tr w14:paraId="771B5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810" w:hRule="atLeast"/>
        </w:trPr>
        <w:tc>
          <w:tcPr>
            <w:tcW w:w="684" w:type="dxa"/>
            <w:vMerge w:val="restart"/>
            <w:tcBorders>
              <w:tl2br w:val="nil"/>
              <w:tr2bl w:val="nil"/>
            </w:tcBorders>
            <w:shd w:val="clear" w:color="auto" w:fill="auto"/>
            <w:vAlign w:val="center"/>
          </w:tcPr>
          <w:p w14:paraId="621FB92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95" w:type="dxa"/>
            <w:vMerge w:val="restart"/>
            <w:tcBorders>
              <w:tl2br w:val="nil"/>
              <w:tr2bl w:val="nil"/>
            </w:tcBorders>
            <w:shd w:val="clear" w:color="auto" w:fill="auto"/>
            <w:vAlign w:val="center"/>
          </w:tcPr>
          <w:p w14:paraId="7C531ED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系统运行及功能点演示（15分）</w:t>
            </w:r>
          </w:p>
        </w:tc>
        <w:tc>
          <w:tcPr>
            <w:tcW w:w="7224" w:type="dxa"/>
            <w:tcBorders>
              <w:tl2br w:val="nil"/>
              <w:tr2bl w:val="nil"/>
            </w:tcBorders>
            <w:shd w:val="clear" w:color="auto" w:fill="auto"/>
            <w:vAlign w:val="center"/>
          </w:tcPr>
          <w:p w14:paraId="53E0B53A">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供应商需将系统演示内容录制视频，以mp4格式存储于U盘，并于投标截止时间前随投标文件一起递交，采用PPT或图片或word等方式进行演示的，本项不得分，由评委根据系统演示情况酌情打分。投标人演示形式包括系统、原型或者DEMO演示；时长不超过15分钟。具体演示内容如下：</w:t>
            </w:r>
          </w:p>
        </w:tc>
      </w:tr>
      <w:tr w14:paraId="6B12E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640" w:hRule="atLeast"/>
        </w:trPr>
        <w:tc>
          <w:tcPr>
            <w:tcW w:w="684" w:type="dxa"/>
            <w:vMerge w:val="continue"/>
            <w:tcBorders>
              <w:tl2br w:val="nil"/>
              <w:tr2bl w:val="nil"/>
            </w:tcBorders>
            <w:vAlign w:val="center"/>
          </w:tcPr>
          <w:p w14:paraId="075C4117">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754BA6B3">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7F204996">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信创环境展示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（每项</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p w14:paraId="5EA7CC8D">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1、展示OA协同办公系统的在信创环境中的服务端与终端的运行支持</w:t>
            </w:r>
            <w:r>
              <w:rPr>
                <w:rFonts w:hint="eastAsia" w:ascii="宋体" w:hAnsi="宋体" w:eastAsia="宋体" w:cs="宋体"/>
                <w:color w:val="auto"/>
                <w:kern w:val="0"/>
                <w:sz w:val="21"/>
                <w:szCs w:val="21"/>
                <w:highlight w:val="none"/>
                <w:lang w:eastAsia="zh-CN"/>
              </w:rPr>
              <w:t>。</w:t>
            </w:r>
          </w:p>
        </w:tc>
      </w:tr>
      <w:tr w14:paraId="73725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699" w:hRule="atLeast"/>
        </w:trPr>
        <w:tc>
          <w:tcPr>
            <w:tcW w:w="684" w:type="dxa"/>
            <w:vMerge w:val="continue"/>
            <w:tcBorders>
              <w:tl2br w:val="nil"/>
              <w:tr2bl w:val="nil"/>
            </w:tcBorders>
            <w:vAlign w:val="center"/>
          </w:tcPr>
          <w:p w14:paraId="52A4C469">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557F90FF">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5F78BD6D">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OA系统要求：（每项0.5分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最高3分</w:t>
            </w:r>
            <w:r>
              <w:rPr>
                <w:rFonts w:hint="eastAsia" w:ascii="宋体" w:hAnsi="宋体" w:eastAsia="宋体" w:cs="宋体"/>
                <w:color w:val="auto"/>
                <w:kern w:val="0"/>
                <w:sz w:val="21"/>
                <w:szCs w:val="21"/>
                <w:highlight w:val="none"/>
              </w:rPr>
              <w:t>）</w:t>
            </w:r>
          </w:p>
          <w:p w14:paraId="11AC2838">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1、支持组织管理、权限管理、功能模块管理、门户管理、流程管理、公文管理、知识文档管理集团分权，满足集团多级组织架构的系统运营需求；</w:t>
            </w:r>
          </w:p>
          <w:p w14:paraId="239AE82C">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2、支持敏感数据自定义数据库字段存储加密、二次身份校验；</w:t>
            </w:r>
          </w:p>
          <w:p w14:paraId="7137EC2A">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3、支持移动端低代码建模及分权管理、有丰富的插件应用工具、可通过拖拽快速构建个性化移动建模功能，跨系统集成拓展及在线二次开发能力强大且操作便捷；</w:t>
            </w:r>
          </w:p>
          <w:p w14:paraId="1F29D628">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4、支持通过关键字对系统数据进行全文检索的能力、构建系统内部“百度搜索引擎”，支持PC端、移动端文档无插件在线预览功能展示；</w:t>
            </w:r>
          </w:p>
          <w:p w14:paraId="466032DA">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5、流程管理功能支持批量维护流程路径、节点设置、操作者设置等;</w:t>
            </w:r>
          </w:p>
          <w:p w14:paraId="40044BA0">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6、支持系统各模块API接口开放且可供应第三方系统调用。</w:t>
            </w:r>
          </w:p>
        </w:tc>
      </w:tr>
      <w:tr w14:paraId="0F390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1890" w:hRule="atLeast"/>
        </w:trPr>
        <w:tc>
          <w:tcPr>
            <w:tcW w:w="684" w:type="dxa"/>
            <w:vMerge w:val="continue"/>
            <w:tcBorders>
              <w:tl2br w:val="nil"/>
              <w:tr2bl w:val="nil"/>
            </w:tcBorders>
            <w:vAlign w:val="center"/>
          </w:tcPr>
          <w:p w14:paraId="40D11299">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7EE1E134">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2CBBD760">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移动办公管理要求：（每项</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p w14:paraId="74C996F1">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1、移动应用可提供与PC端一致的功能，如门户呈现、流程处理、新闻公告、信息服务、各类业务管理、统计报表等。</w:t>
            </w:r>
          </w:p>
          <w:p w14:paraId="18EDF695">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支持主流前端框架，兼容ios、Android，支持自适配不同机型、操作系统。能够“一次开发，多端自动发布”，后端数据、功能管理与PC端为同一套，无需单独建设，且PC端与移动端之间的信息、数据直接能够自动同步。</w:t>
            </w:r>
          </w:p>
          <w:p w14:paraId="0E7BD5AE">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3、即时通讯提供多端入口，PC端、移动端及网页端。 即时通讯工具必须具备自主知识产权。消息聊天可以进行加密，经过身份认证后才能进行单聊及群聊。</w:t>
            </w:r>
          </w:p>
          <w:p w14:paraId="190038F7">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4、与钉钉、</w:t>
            </w:r>
            <w:r>
              <w:rPr>
                <w:rFonts w:hint="eastAsia" w:ascii="宋体" w:hAnsi="宋体" w:cs="宋体"/>
                <w:color w:val="auto"/>
                <w:kern w:val="0"/>
                <w:sz w:val="21"/>
                <w:szCs w:val="21"/>
                <w:highlight w:val="none"/>
                <w:lang w:val="en-US" w:eastAsia="zh-CN"/>
              </w:rPr>
              <w:t>浙</w:t>
            </w:r>
            <w:r>
              <w:rPr>
                <w:rFonts w:hint="eastAsia" w:ascii="宋体" w:hAnsi="宋体" w:eastAsia="宋体" w:cs="宋体"/>
                <w:color w:val="auto"/>
                <w:kern w:val="0"/>
                <w:sz w:val="21"/>
                <w:szCs w:val="21"/>
                <w:highlight w:val="none"/>
              </w:rPr>
              <w:t>政钉集成。</w:t>
            </w:r>
          </w:p>
        </w:tc>
      </w:tr>
      <w:tr w14:paraId="4C2E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1260" w:hRule="atLeast"/>
        </w:trPr>
        <w:tc>
          <w:tcPr>
            <w:tcW w:w="684" w:type="dxa"/>
            <w:vMerge w:val="continue"/>
            <w:tcBorders>
              <w:tl2br w:val="nil"/>
              <w:tr2bl w:val="nil"/>
            </w:tcBorders>
            <w:vAlign w:val="center"/>
          </w:tcPr>
          <w:p w14:paraId="499C1684">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1DBF3F59">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6F3B4B04">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统一人才管理要求：（每项</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p w14:paraId="5FE35BD8">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1、支持员工流程人员结构等数据报表分析：</w:t>
            </w:r>
          </w:p>
          <w:p w14:paraId="07F544A7">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2、人才相关流程：人才招聘、入职、调岗、离职、年度用工需求等流程。</w:t>
            </w:r>
          </w:p>
          <w:p w14:paraId="2250795A">
            <w:pPr>
              <w:widowControl/>
              <w:spacing w:line="240" w:lineRule="auto"/>
              <w:jc w:val="left"/>
              <w:rPr>
                <w:rFonts w:hint="eastAsia" w:ascii="宋体" w:hAnsi="宋体" w:eastAsia="新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3、系统集成：</w:t>
            </w:r>
            <w:r>
              <w:rPr>
                <w:rFonts w:hint="eastAsia" w:ascii="新宋体" w:hAnsi="新宋体" w:eastAsia="新宋体" w:cs="宋体"/>
                <w:color w:val="auto"/>
                <w:kern w:val="0"/>
                <w:sz w:val="21"/>
                <w:szCs w:val="21"/>
                <w:highlight w:val="none"/>
              </w:rPr>
              <w:t>支持流程数据与现有业务系统数据集成</w:t>
            </w:r>
            <w:r>
              <w:rPr>
                <w:rFonts w:hint="eastAsia" w:ascii="新宋体" w:hAnsi="新宋体" w:eastAsia="新宋体" w:cs="宋体"/>
                <w:color w:val="auto"/>
                <w:kern w:val="0"/>
                <w:sz w:val="21"/>
                <w:szCs w:val="21"/>
                <w:highlight w:val="none"/>
                <w:lang w:eastAsia="zh-CN"/>
              </w:rPr>
              <w:t>。</w:t>
            </w:r>
          </w:p>
        </w:tc>
      </w:tr>
      <w:tr w14:paraId="29A2D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1350" w:hRule="atLeast"/>
        </w:trPr>
        <w:tc>
          <w:tcPr>
            <w:tcW w:w="684" w:type="dxa"/>
            <w:vMerge w:val="continue"/>
            <w:tcBorders>
              <w:tl2br w:val="nil"/>
              <w:tr2bl w:val="nil"/>
            </w:tcBorders>
            <w:vAlign w:val="center"/>
          </w:tcPr>
          <w:p w14:paraId="0DCF2DCB">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49E7E302">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079B8507">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财务管理要求：（每项</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p w14:paraId="2210E5C8">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1、财务系统集成：提供深度整合功能，与财务系统紧密相连，实现会计科目的定时同步。系统通过智能自动化处理，流程中的凭证信息将以财务系统可以匹配被自动推送，确保数据的准确性和流程的高效性。</w:t>
            </w:r>
          </w:p>
          <w:p w14:paraId="77333510">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2、资金系统集成：支持与资金系统集成，资金统一支付，以及由人工确认是否支付。</w:t>
            </w:r>
          </w:p>
        </w:tc>
      </w:tr>
      <w:tr w14:paraId="3FE03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810" w:hRule="atLeast"/>
        </w:trPr>
        <w:tc>
          <w:tcPr>
            <w:tcW w:w="684" w:type="dxa"/>
            <w:vMerge w:val="continue"/>
            <w:tcBorders>
              <w:tl2br w:val="nil"/>
              <w:tr2bl w:val="nil"/>
            </w:tcBorders>
            <w:vAlign w:val="center"/>
          </w:tcPr>
          <w:p w14:paraId="75B98CCA">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06C40DE7">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20814D1A">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统一身份认证系统要求：（每项</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w:t>
            </w:r>
          </w:p>
          <w:p w14:paraId="7BA620A4">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1、支持多种身份认证服务管理可视化配置</w:t>
            </w:r>
          </w:p>
          <w:p w14:paraId="7C773252">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2、支持统一身份认证接入管理</w:t>
            </w:r>
          </w:p>
        </w:tc>
      </w:tr>
      <w:tr w14:paraId="2776D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810" w:hRule="atLeast"/>
        </w:trPr>
        <w:tc>
          <w:tcPr>
            <w:tcW w:w="684" w:type="dxa"/>
            <w:tcBorders>
              <w:tl2br w:val="nil"/>
              <w:tr2bl w:val="nil"/>
            </w:tcBorders>
            <w:shd w:val="clear" w:color="auto" w:fill="auto"/>
            <w:vAlign w:val="center"/>
          </w:tcPr>
          <w:p w14:paraId="191DD52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95" w:type="dxa"/>
            <w:tcBorders>
              <w:tl2br w:val="nil"/>
              <w:tr2bl w:val="nil"/>
            </w:tcBorders>
            <w:shd w:val="clear" w:color="auto" w:fill="auto"/>
            <w:vAlign w:val="center"/>
          </w:tcPr>
          <w:p w14:paraId="44E9CB2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同类项目业绩（1分）</w:t>
            </w:r>
          </w:p>
        </w:tc>
        <w:tc>
          <w:tcPr>
            <w:tcW w:w="7224" w:type="dxa"/>
            <w:tcBorders>
              <w:tl2br w:val="nil"/>
              <w:tr2bl w:val="nil"/>
            </w:tcBorders>
            <w:shd w:val="clear" w:color="auto" w:fill="auto"/>
            <w:vAlign w:val="center"/>
          </w:tcPr>
          <w:p w14:paraId="46C1590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投标供应商2021年1月1日至今（以合同签订时间为准）完成的</w:t>
            </w:r>
            <w:r>
              <w:rPr>
                <w:rFonts w:hint="eastAsia" w:ascii="宋体" w:hAnsi="宋体" w:eastAsia="宋体" w:cs="宋体"/>
                <w:color w:val="auto"/>
                <w:kern w:val="0"/>
                <w:sz w:val="21"/>
                <w:szCs w:val="21"/>
                <w:highlight w:val="none"/>
                <w:lang w:val="en-US" w:eastAsia="zh-CN"/>
              </w:rPr>
              <w:t>类似</w:t>
            </w:r>
            <w:r>
              <w:rPr>
                <w:rFonts w:hint="eastAsia" w:ascii="宋体" w:hAnsi="宋体" w:cs="宋体"/>
                <w:color w:val="auto"/>
                <w:kern w:val="0"/>
                <w:sz w:val="21"/>
                <w:szCs w:val="21"/>
                <w:highlight w:val="none"/>
                <w:lang w:val="en-US" w:eastAsia="zh-CN"/>
              </w:rPr>
              <w:t>信创改造项目</w:t>
            </w:r>
            <w:r>
              <w:rPr>
                <w:rFonts w:hint="eastAsia" w:ascii="宋体" w:hAnsi="宋体" w:eastAsia="宋体" w:cs="宋体"/>
                <w:color w:val="auto"/>
                <w:kern w:val="0"/>
                <w:sz w:val="21"/>
                <w:szCs w:val="21"/>
                <w:highlight w:val="none"/>
              </w:rPr>
              <w:t>业绩，每提供一个有效业绩得0.5分，本项最高得1分。提供完整的合同复印件并加盖公章。</w:t>
            </w:r>
          </w:p>
        </w:tc>
      </w:tr>
      <w:tr w14:paraId="4D9B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900" w:hRule="atLeast"/>
        </w:trPr>
        <w:tc>
          <w:tcPr>
            <w:tcW w:w="684" w:type="dxa"/>
            <w:vMerge w:val="restart"/>
            <w:tcBorders>
              <w:tl2br w:val="nil"/>
              <w:tr2bl w:val="nil"/>
            </w:tcBorders>
            <w:shd w:val="clear" w:color="auto" w:fill="auto"/>
            <w:vAlign w:val="center"/>
          </w:tcPr>
          <w:p w14:paraId="4A76639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95" w:type="dxa"/>
            <w:vMerge w:val="restart"/>
            <w:tcBorders>
              <w:tl2br w:val="nil"/>
              <w:tr2bl w:val="nil"/>
            </w:tcBorders>
            <w:shd w:val="clear" w:color="auto" w:fill="auto"/>
            <w:vAlign w:val="center"/>
          </w:tcPr>
          <w:p w14:paraId="1E9E97C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c>
          <w:tcPr>
            <w:tcW w:w="7224" w:type="dxa"/>
            <w:tcBorders>
              <w:tl2br w:val="nil"/>
              <w:tr2bl w:val="nil"/>
            </w:tcBorders>
            <w:shd w:val="clear" w:color="auto" w:fill="auto"/>
            <w:vAlign w:val="center"/>
          </w:tcPr>
          <w:p w14:paraId="1EADD950">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①据投标产品的总体性能、技术指标与需求的吻合程度和偏差情况由专家评审。完全满足的得15分，其中标“★”项重要技术指标负偏离每一项扣减1分，未标“★”的技术指标负偏离每一项扣减0.5分，扣完为止。</w:t>
            </w:r>
          </w:p>
        </w:tc>
      </w:tr>
      <w:tr w14:paraId="61FF7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540" w:hRule="atLeast"/>
        </w:trPr>
        <w:tc>
          <w:tcPr>
            <w:tcW w:w="684" w:type="dxa"/>
            <w:vMerge w:val="continue"/>
            <w:tcBorders>
              <w:tl2br w:val="nil"/>
              <w:tr2bl w:val="nil"/>
            </w:tcBorders>
            <w:vAlign w:val="center"/>
          </w:tcPr>
          <w:p w14:paraId="6B99E172">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74254256">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4ED847D7">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以上证明材料须提供扫描件并加盖投标人公章，否则不得分。若投标人是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的，其总公司授权分公司参与投标的，提供总公司相关证书予以认可。</w:t>
            </w:r>
          </w:p>
        </w:tc>
      </w:tr>
      <w:tr w14:paraId="46C2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540" w:hRule="atLeast"/>
        </w:trPr>
        <w:tc>
          <w:tcPr>
            <w:tcW w:w="684" w:type="dxa"/>
            <w:vMerge w:val="restart"/>
            <w:tcBorders>
              <w:tl2br w:val="nil"/>
              <w:tr2bl w:val="nil"/>
            </w:tcBorders>
            <w:vAlign w:val="center"/>
          </w:tcPr>
          <w:p w14:paraId="068A063D">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295" w:type="dxa"/>
            <w:vMerge w:val="restart"/>
            <w:tcBorders>
              <w:tl2br w:val="nil"/>
              <w:tr2bl w:val="nil"/>
            </w:tcBorders>
            <w:vAlign w:val="center"/>
          </w:tcPr>
          <w:p w14:paraId="0E54605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cs="宋体"/>
                <w:color w:val="auto"/>
                <w:kern w:val="0"/>
                <w:sz w:val="22"/>
                <w:highlight w:val="none"/>
              </w:rPr>
              <w:t>技术力量保障（</w:t>
            </w:r>
            <w:r>
              <w:rPr>
                <w:rFonts w:ascii="新宋体" w:hAnsi="新宋体" w:eastAsia="新宋体" w:cs="宋体"/>
                <w:color w:val="auto"/>
                <w:kern w:val="0"/>
                <w:sz w:val="22"/>
                <w:highlight w:val="none"/>
              </w:rPr>
              <w:t>1</w:t>
            </w:r>
            <w:r>
              <w:rPr>
                <w:rFonts w:hint="eastAsia" w:ascii="新宋体" w:hAnsi="新宋体" w:eastAsia="新宋体" w:cs="宋体"/>
                <w:color w:val="auto"/>
                <w:kern w:val="0"/>
                <w:sz w:val="22"/>
                <w:highlight w:val="none"/>
                <w:lang w:val="en-US" w:eastAsia="zh-CN"/>
              </w:rPr>
              <w:t>9</w:t>
            </w:r>
            <w:r>
              <w:rPr>
                <w:rFonts w:ascii="宋体" w:hAnsi="宋体" w:cs="宋体"/>
                <w:color w:val="auto"/>
                <w:kern w:val="0"/>
                <w:sz w:val="22"/>
                <w:highlight w:val="none"/>
              </w:rPr>
              <w:t>分）</w:t>
            </w:r>
          </w:p>
        </w:tc>
        <w:tc>
          <w:tcPr>
            <w:tcW w:w="7224" w:type="dxa"/>
            <w:tcBorders>
              <w:tl2br w:val="nil"/>
              <w:tr2bl w:val="nil"/>
            </w:tcBorders>
            <w:shd w:val="clear" w:color="auto" w:fill="auto"/>
            <w:vAlign w:val="center"/>
          </w:tcPr>
          <w:p w14:paraId="6CA9B9A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提高项目云平台的云网数据交互安全性，投标供应商需要具备云网一体化能力以保障整体系统的安全可靠，投标供应商具有云网一体化综合能力水平评估卓越级证书的得3分，先进性级得2分，增强级别得1分，未获得不得分；</w:t>
            </w:r>
          </w:p>
        </w:tc>
      </w:tr>
      <w:tr w14:paraId="33EB7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540" w:hRule="atLeast"/>
        </w:trPr>
        <w:tc>
          <w:tcPr>
            <w:tcW w:w="684" w:type="dxa"/>
            <w:vMerge w:val="continue"/>
            <w:tcBorders>
              <w:tl2br w:val="nil"/>
              <w:tr2bl w:val="nil"/>
            </w:tcBorders>
            <w:vAlign w:val="center"/>
          </w:tcPr>
          <w:p w14:paraId="38FA948D">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51E2C7F7">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6A929D3F">
            <w:pPr>
              <w:widowControl/>
              <w:spacing w:line="240" w:lineRule="auto"/>
              <w:jc w:val="left"/>
              <w:rPr>
                <w:rFonts w:hint="eastAsia" w:ascii="宋体" w:hAnsi="宋体" w:cs="宋体"/>
                <w:color w:val="auto"/>
                <w:kern w:val="0"/>
                <w:sz w:val="22"/>
                <w:highlight w:val="none"/>
              </w:rPr>
            </w:pPr>
            <w:r>
              <w:rPr>
                <w:rFonts w:hint="eastAsia" w:ascii="宋体" w:hAnsi="宋体" w:eastAsia="宋体" w:cs="宋体"/>
                <w:color w:val="auto"/>
                <w:kern w:val="0"/>
                <w:sz w:val="21"/>
                <w:szCs w:val="21"/>
                <w:highlight w:val="none"/>
              </w:rPr>
              <w:t>为保障项目云平台的运行效能，投标供应商需要具备一定云管理服务能力以提高整体系统的稳定性和高效性，投标供应商具有云管理服务能力卓越级证书的得3分，增强版别得2分，基础版得1分，未获得不得分。</w:t>
            </w:r>
          </w:p>
        </w:tc>
      </w:tr>
      <w:tr w14:paraId="1B22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540" w:hRule="atLeast"/>
        </w:trPr>
        <w:tc>
          <w:tcPr>
            <w:tcW w:w="684" w:type="dxa"/>
            <w:vMerge w:val="continue"/>
            <w:tcBorders>
              <w:tl2br w:val="nil"/>
              <w:tr2bl w:val="nil"/>
            </w:tcBorders>
            <w:vAlign w:val="center"/>
          </w:tcPr>
          <w:p w14:paraId="32B88C92">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0759DEBD">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0E8974CF">
            <w:pPr>
              <w:widowControl/>
              <w:spacing w:line="24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项目负责人（一名）具有系统架构设计师、信息系统项目管理师、数据库系统工程师的，每个证书得</w:t>
            </w:r>
            <w:r>
              <w:rPr>
                <w:rFonts w:ascii="新宋体" w:hAnsi="新宋体" w:eastAsia="新宋体" w:cs="宋体"/>
                <w:color w:val="auto"/>
                <w:kern w:val="0"/>
                <w:sz w:val="22"/>
                <w:highlight w:val="none"/>
              </w:rPr>
              <w:t>1</w:t>
            </w:r>
            <w:r>
              <w:rPr>
                <w:rFonts w:ascii="宋体" w:hAnsi="宋体" w:cs="宋体"/>
                <w:color w:val="auto"/>
                <w:kern w:val="0"/>
                <w:sz w:val="22"/>
                <w:highlight w:val="none"/>
              </w:rPr>
              <w:t>分，全部具备得</w:t>
            </w:r>
            <w:r>
              <w:rPr>
                <w:rFonts w:hint="eastAsia" w:ascii="新宋体" w:hAnsi="新宋体" w:eastAsia="新宋体" w:cs="宋体"/>
                <w:color w:val="auto"/>
                <w:kern w:val="0"/>
                <w:sz w:val="22"/>
                <w:highlight w:val="none"/>
                <w:lang w:val="en-US" w:eastAsia="zh-CN"/>
              </w:rPr>
              <w:t>3</w:t>
            </w:r>
            <w:r>
              <w:rPr>
                <w:rFonts w:ascii="宋体" w:hAnsi="宋体" w:cs="宋体"/>
                <w:color w:val="auto"/>
                <w:kern w:val="0"/>
                <w:sz w:val="22"/>
                <w:highlight w:val="none"/>
              </w:rPr>
              <w:t>分。</w:t>
            </w:r>
          </w:p>
        </w:tc>
      </w:tr>
      <w:tr w14:paraId="1DDFD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540" w:hRule="atLeast"/>
        </w:trPr>
        <w:tc>
          <w:tcPr>
            <w:tcW w:w="684" w:type="dxa"/>
            <w:vMerge w:val="continue"/>
            <w:tcBorders>
              <w:tl2br w:val="nil"/>
              <w:tr2bl w:val="nil"/>
            </w:tcBorders>
            <w:vAlign w:val="center"/>
          </w:tcPr>
          <w:p w14:paraId="21EB4B6D">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186ADD9B">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54290D2A">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cs="宋体"/>
                <w:color w:val="auto"/>
                <w:kern w:val="0"/>
                <w:sz w:val="22"/>
                <w:highlight w:val="none"/>
              </w:rPr>
              <w:t>项目技术负责人（一名）具有系统规划与管理师、信息技术应用创新专业人员证书、</w:t>
            </w:r>
            <w:r>
              <w:rPr>
                <w:rFonts w:hint="eastAsia" w:ascii="宋体" w:hAnsi="宋体" w:cs="宋体"/>
                <w:color w:val="auto"/>
                <w:kern w:val="0"/>
                <w:sz w:val="22"/>
                <w:highlight w:val="none"/>
                <w:lang w:val="en-US" w:eastAsia="zh-CN"/>
              </w:rPr>
              <w:t>高级信息技术应用创新人才（系统架构师）</w:t>
            </w:r>
            <w:r>
              <w:rPr>
                <w:rFonts w:hint="eastAsia" w:ascii="宋体" w:hAnsi="宋体" w:cs="宋体"/>
                <w:color w:val="auto"/>
                <w:kern w:val="0"/>
                <w:sz w:val="22"/>
                <w:highlight w:val="none"/>
              </w:rPr>
              <w:t>的，每个证书得1分，全部具备得</w:t>
            </w:r>
            <w:r>
              <w:rPr>
                <w:rFonts w:hint="eastAsia" w:ascii="宋体" w:hAnsi="宋体" w:cs="宋体"/>
                <w:color w:val="auto"/>
                <w:kern w:val="0"/>
                <w:sz w:val="22"/>
                <w:highlight w:val="none"/>
                <w:lang w:val="en-US" w:eastAsia="zh-CN"/>
              </w:rPr>
              <w:t>3</w:t>
            </w:r>
            <w:r>
              <w:rPr>
                <w:rFonts w:hint="eastAsia" w:ascii="宋体" w:hAnsi="宋体" w:cs="宋体"/>
                <w:color w:val="auto"/>
                <w:kern w:val="0"/>
                <w:sz w:val="22"/>
                <w:highlight w:val="none"/>
              </w:rPr>
              <w:t>分。</w:t>
            </w:r>
          </w:p>
        </w:tc>
      </w:tr>
      <w:tr w14:paraId="46991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540" w:hRule="atLeast"/>
        </w:trPr>
        <w:tc>
          <w:tcPr>
            <w:tcW w:w="684" w:type="dxa"/>
            <w:vMerge w:val="continue"/>
            <w:tcBorders>
              <w:tl2br w:val="nil"/>
              <w:tr2bl w:val="nil"/>
            </w:tcBorders>
            <w:vAlign w:val="center"/>
          </w:tcPr>
          <w:p w14:paraId="253C8895">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43C27F5E">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6FCFBCA1">
            <w:pPr>
              <w:widowControl/>
              <w:spacing w:line="240" w:lineRule="auto"/>
              <w:jc w:val="left"/>
              <w:rPr>
                <w:rFonts w:hint="eastAsia" w:ascii="宋体" w:hAnsi="宋体" w:eastAsia="宋体" w:cs="宋体"/>
                <w:color w:val="auto"/>
                <w:kern w:val="0"/>
                <w:sz w:val="21"/>
                <w:szCs w:val="21"/>
                <w:highlight w:val="none"/>
              </w:rPr>
            </w:pPr>
            <w:r>
              <w:rPr>
                <w:rFonts w:ascii="宋体" w:hAnsi="宋体" w:cs="宋体"/>
                <w:color w:val="auto"/>
                <w:kern w:val="0"/>
                <w:sz w:val="22"/>
                <w:highlight w:val="none"/>
              </w:rPr>
              <w:t>项目安全负责人（一名）具有中级信息安全工程师、注册信息安全工程师（</w:t>
            </w:r>
            <w:r>
              <w:rPr>
                <w:rFonts w:ascii="新宋体" w:hAnsi="新宋体" w:eastAsia="新宋体" w:cs="宋体"/>
                <w:color w:val="auto"/>
                <w:kern w:val="0"/>
                <w:sz w:val="22"/>
                <w:highlight w:val="none"/>
              </w:rPr>
              <w:t>CISE</w:t>
            </w:r>
            <w:r>
              <w:rPr>
                <w:rFonts w:ascii="宋体" w:hAnsi="宋体" w:cs="宋体"/>
                <w:color w:val="auto"/>
                <w:kern w:val="0"/>
                <w:sz w:val="22"/>
                <w:highlight w:val="none"/>
              </w:rPr>
              <w:t>）、注册渗透测试专家（</w:t>
            </w:r>
            <w:r>
              <w:rPr>
                <w:rFonts w:ascii="新宋体" w:hAnsi="新宋体" w:eastAsia="新宋体" w:cs="宋体"/>
                <w:color w:val="auto"/>
                <w:kern w:val="0"/>
                <w:sz w:val="22"/>
                <w:highlight w:val="none"/>
              </w:rPr>
              <w:t>CISP-PTS</w:t>
            </w:r>
            <w:r>
              <w:rPr>
                <w:rFonts w:ascii="宋体" w:hAnsi="宋体" w:cs="宋体"/>
                <w:color w:val="auto"/>
                <w:kern w:val="0"/>
                <w:sz w:val="22"/>
                <w:highlight w:val="none"/>
              </w:rPr>
              <w:t>）证书的，每个证书得</w:t>
            </w:r>
            <w:r>
              <w:rPr>
                <w:rFonts w:ascii="新宋体" w:hAnsi="新宋体" w:eastAsia="新宋体" w:cs="宋体"/>
                <w:color w:val="auto"/>
                <w:kern w:val="0"/>
                <w:sz w:val="22"/>
                <w:highlight w:val="none"/>
              </w:rPr>
              <w:t>1</w:t>
            </w:r>
            <w:r>
              <w:rPr>
                <w:rFonts w:ascii="宋体" w:hAnsi="宋体" w:cs="宋体"/>
                <w:color w:val="auto"/>
                <w:kern w:val="0"/>
                <w:sz w:val="22"/>
                <w:highlight w:val="none"/>
              </w:rPr>
              <w:t>分，全部具备得</w:t>
            </w:r>
            <w:r>
              <w:rPr>
                <w:rFonts w:hint="eastAsia" w:ascii="新宋体" w:hAnsi="新宋体" w:eastAsia="新宋体" w:cs="宋体"/>
                <w:color w:val="auto"/>
                <w:kern w:val="0"/>
                <w:sz w:val="22"/>
                <w:highlight w:val="none"/>
                <w:lang w:val="en-US" w:eastAsia="zh-CN"/>
              </w:rPr>
              <w:t>3</w:t>
            </w:r>
            <w:r>
              <w:rPr>
                <w:rFonts w:ascii="宋体" w:hAnsi="宋体" w:cs="宋体"/>
                <w:color w:val="auto"/>
                <w:kern w:val="0"/>
                <w:sz w:val="22"/>
                <w:highlight w:val="none"/>
              </w:rPr>
              <w:t>分。</w:t>
            </w:r>
          </w:p>
        </w:tc>
      </w:tr>
      <w:tr w14:paraId="27AB6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540" w:hRule="atLeast"/>
        </w:trPr>
        <w:tc>
          <w:tcPr>
            <w:tcW w:w="684" w:type="dxa"/>
            <w:vMerge w:val="continue"/>
            <w:tcBorders>
              <w:tl2br w:val="nil"/>
              <w:tr2bl w:val="nil"/>
            </w:tcBorders>
            <w:vAlign w:val="center"/>
          </w:tcPr>
          <w:p w14:paraId="233B3269">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339F25AA">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26E6F434">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cs="宋体"/>
                <w:color w:val="auto"/>
                <w:kern w:val="0"/>
                <w:sz w:val="22"/>
                <w:highlight w:val="none"/>
              </w:rPr>
              <w:t>项目团队成员具有网络规划设计师、注册渗透测试工程师（</w:t>
            </w:r>
            <w:r>
              <w:rPr>
                <w:rFonts w:ascii="新宋体" w:hAnsi="新宋体" w:eastAsia="新宋体" w:cs="宋体"/>
                <w:color w:val="auto"/>
                <w:kern w:val="0"/>
                <w:sz w:val="22"/>
                <w:highlight w:val="none"/>
              </w:rPr>
              <w:t>CISP-PTE</w:t>
            </w:r>
            <w:r>
              <w:rPr>
                <w:rFonts w:ascii="宋体" w:hAnsi="宋体" w:cs="宋体"/>
                <w:color w:val="auto"/>
                <w:kern w:val="0"/>
                <w:sz w:val="22"/>
                <w:highlight w:val="none"/>
              </w:rPr>
              <w:t>）、</w:t>
            </w:r>
            <w:r>
              <w:rPr>
                <w:rFonts w:hint="eastAsia" w:ascii="宋体" w:hAnsi="宋体" w:cs="宋体"/>
                <w:color w:val="auto"/>
                <w:kern w:val="0"/>
                <w:sz w:val="22"/>
                <w:highlight w:val="none"/>
              </w:rPr>
              <w:t>高级软件开发工程师</w:t>
            </w:r>
            <w:r>
              <w:rPr>
                <w:rFonts w:ascii="宋体" w:hAnsi="宋体" w:cs="宋体"/>
                <w:color w:val="auto"/>
                <w:kern w:val="0"/>
                <w:sz w:val="22"/>
                <w:highlight w:val="none"/>
              </w:rPr>
              <w:t>、</w:t>
            </w:r>
            <w:r>
              <w:rPr>
                <w:rFonts w:hint="eastAsia" w:ascii="宋体" w:hAnsi="宋体" w:cs="宋体"/>
                <w:color w:val="auto"/>
                <w:kern w:val="0"/>
                <w:sz w:val="22"/>
                <w:highlight w:val="none"/>
                <w:lang w:val="en-US" w:eastAsia="zh-CN"/>
              </w:rPr>
              <w:t>高级</w:t>
            </w:r>
            <w:r>
              <w:rPr>
                <w:rFonts w:ascii="宋体" w:hAnsi="宋体" w:cs="宋体"/>
                <w:color w:val="auto"/>
                <w:kern w:val="0"/>
                <w:sz w:val="22"/>
                <w:highlight w:val="none"/>
              </w:rPr>
              <w:t>软件设计师。每个证书得</w:t>
            </w:r>
            <w:r>
              <w:rPr>
                <w:rFonts w:ascii="新宋体" w:hAnsi="新宋体" w:eastAsia="新宋体" w:cs="宋体"/>
                <w:color w:val="auto"/>
                <w:kern w:val="0"/>
                <w:sz w:val="22"/>
                <w:highlight w:val="none"/>
              </w:rPr>
              <w:t>1</w:t>
            </w:r>
            <w:r>
              <w:rPr>
                <w:rFonts w:ascii="宋体" w:hAnsi="宋体" w:cs="宋体"/>
                <w:color w:val="auto"/>
                <w:kern w:val="0"/>
                <w:sz w:val="22"/>
                <w:highlight w:val="none"/>
              </w:rPr>
              <w:t>分。最高得</w:t>
            </w:r>
            <w:r>
              <w:rPr>
                <w:rFonts w:ascii="新宋体" w:hAnsi="新宋体" w:eastAsia="新宋体" w:cs="宋体"/>
                <w:color w:val="auto"/>
                <w:kern w:val="0"/>
                <w:sz w:val="22"/>
                <w:highlight w:val="none"/>
              </w:rPr>
              <w:t>4</w:t>
            </w:r>
            <w:r>
              <w:rPr>
                <w:rFonts w:ascii="宋体" w:hAnsi="宋体" w:cs="宋体"/>
                <w:color w:val="auto"/>
                <w:kern w:val="0"/>
                <w:sz w:val="22"/>
                <w:highlight w:val="none"/>
              </w:rPr>
              <w:t>分。</w:t>
            </w:r>
          </w:p>
        </w:tc>
      </w:tr>
      <w:tr w14:paraId="3F900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1881" w:hRule="atLeast"/>
        </w:trPr>
        <w:tc>
          <w:tcPr>
            <w:tcW w:w="684" w:type="dxa"/>
            <w:vMerge w:val="continue"/>
            <w:tcBorders>
              <w:tl2br w:val="nil"/>
              <w:tr2bl w:val="nil"/>
            </w:tcBorders>
            <w:vAlign w:val="center"/>
          </w:tcPr>
          <w:p w14:paraId="6B7F7FA1">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1DE96437">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62D42B84">
            <w:pPr>
              <w:widowControl/>
              <w:spacing w:line="240" w:lineRule="auto"/>
              <w:jc w:val="left"/>
              <w:rPr>
                <w:rFonts w:hint="eastAsia"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注1：</w:t>
            </w:r>
            <w:r>
              <w:rPr>
                <w:rFonts w:hint="eastAsia" w:ascii="宋体" w:hAnsi="宋体" w:cs="宋体"/>
                <w:color w:val="auto"/>
                <w:kern w:val="0"/>
                <w:sz w:val="22"/>
                <w:highlight w:val="none"/>
              </w:rPr>
              <w:t>以上全体人员证书签发机构</w:t>
            </w:r>
            <w:r>
              <w:rPr>
                <w:rFonts w:hint="eastAsia" w:ascii="宋体" w:hAnsi="宋体" w:cs="宋体"/>
                <w:color w:val="auto"/>
                <w:kern w:val="0"/>
                <w:sz w:val="22"/>
                <w:highlight w:val="none"/>
                <w:lang w:val="en-US" w:eastAsia="zh-CN"/>
              </w:rPr>
              <w:t>应</w:t>
            </w:r>
            <w:r>
              <w:rPr>
                <w:rFonts w:hint="eastAsia" w:ascii="宋体" w:hAnsi="宋体" w:cs="宋体"/>
                <w:color w:val="auto"/>
                <w:kern w:val="0"/>
                <w:sz w:val="22"/>
                <w:highlight w:val="none"/>
              </w:rPr>
              <w:t>为人力资源和社会保障部</w:t>
            </w:r>
            <w:r>
              <w:rPr>
                <w:rFonts w:hint="eastAsia" w:ascii="宋体" w:hAnsi="宋体" w:cs="宋体"/>
                <w:color w:val="auto"/>
                <w:kern w:val="0"/>
                <w:sz w:val="22"/>
                <w:highlight w:val="none"/>
                <w:lang w:val="en-US" w:eastAsia="zh-CN"/>
              </w:rPr>
              <w:t>及其下设机构</w:t>
            </w:r>
            <w:r>
              <w:rPr>
                <w:rFonts w:hint="eastAsia" w:ascii="宋体" w:hAnsi="宋体" w:cs="宋体"/>
                <w:color w:val="auto"/>
                <w:kern w:val="0"/>
                <w:sz w:val="22"/>
                <w:highlight w:val="none"/>
              </w:rPr>
              <w:t>（厅、局</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鉴定中心等</w:t>
            </w:r>
            <w:r>
              <w:rPr>
                <w:rFonts w:hint="eastAsia" w:ascii="宋体" w:hAnsi="宋体" w:cs="宋体"/>
                <w:color w:val="auto"/>
                <w:kern w:val="0"/>
                <w:sz w:val="22"/>
                <w:highlight w:val="none"/>
              </w:rPr>
              <w:t>）或工业和信息化部</w:t>
            </w:r>
            <w:r>
              <w:rPr>
                <w:rFonts w:hint="eastAsia" w:ascii="宋体" w:hAnsi="宋体" w:cs="宋体"/>
                <w:color w:val="auto"/>
                <w:kern w:val="0"/>
                <w:sz w:val="22"/>
                <w:highlight w:val="none"/>
                <w:lang w:val="en-US" w:eastAsia="zh-CN"/>
              </w:rPr>
              <w:t>及其下设机构</w:t>
            </w:r>
            <w:r>
              <w:rPr>
                <w:rFonts w:hint="eastAsia" w:ascii="宋体" w:hAnsi="宋体" w:cs="宋体"/>
                <w:color w:val="auto"/>
                <w:kern w:val="0"/>
                <w:sz w:val="22"/>
                <w:highlight w:val="none"/>
              </w:rPr>
              <w:t>（厅、局、教育与考试中心、</w:t>
            </w:r>
            <w:r>
              <w:rPr>
                <w:rFonts w:hint="eastAsia" w:ascii="宋体" w:hAnsi="宋体" w:cs="宋体"/>
                <w:color w:val="auto"/>
                <w:kern w:val="0"/>
                <w:sz w:val="22"/>
                <w:highlight w:val="none"/>
                <w:lang w:val="en-US" w:eastAsia="zh-CN"/>
              </w:rPr>
              <w:t>标准化研究院等</w:t>
            </w: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或中国信息安全测评中心</w:t>
            </w:r>
            <w:r>
              <w:rPr>
                <w:rFonts w:hint="eastAsia" w:ascii="宋体" w:hAnsi="宋体" w:cs="宋体"/>
                <w:color w:val="auto"/>
                <w:kern w:val="0"/>
                <w:sz w:val="22"/>
                <w:highlight w:val="none"/>
              </w:rPr>
              <w:t>，否则不得分。</w:t>
            </w:r>
          </w:p>
          <w:p w14:paraId="46578709">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cs="宋体"/>
                <w:color w:val="auto"/>
                <w:kern w:val="0"/>
                <w:sz w:val="22"/>
                <w:highlight w:val="none"/>
                <w:lang w:val="en-US" w:eastAsia="zh-CN"/>
              </w:rPr>
              <w:t>注2：</w:t>
            </w:r>
            <w:r>
              <w:rPr>
                <w:rFonts w:hint="eastAsia" w:ascii="宋体" w:hAnsi="宋体" w:cs="宋体"/>
                <w:color w:val="auto"/>
                <w:kern w:val="0"/>
                <w:sz w:val="22"/>
                <w:highlight w:val="none"/>
              </w:rPr>
              <w:t>本项目组人员（除项目负责人、安全负责人）同一个人最多计算一种证书；以上项目人员需提供完整有效的证书复印件加盖公章，并提供在</w:t>
            </w:r>
            <w:r>
              <w:rPr>
                <w:rFonts w:hint="eastAsia" w:ascii="宋体" w:hAnsi="宋体" w:cs="宋体"/>
                <w:color w:val="auto"/>
                <w:kern w:val="0"/>
                <w:sz w:val="22"/>
                <w:highlight w:val="none"/>
                <w:lang w:val="en-US" w:eastAsia="zh-CN"/>
              </w:rPr>
              <w:t>投标人近</w:t>
            </w:r>
            <w:r>
              <w:rPr>
                <w:rFonts w:hint="default" w:ascii="宋体" w:hAnsi="宋体" w:cs="宋体"/>
                <w:color w:val="auto"/>
                <w:kern w:val="0"/>
                <w:sz w:val="22"/>
                <w:highlight w:val="none"/>
                <w:lang w:val="en-US" w:eastAsia="zh-CN"/>
              </w:rPr>
              <w:t>3</w:t>
            </w:r>
            <w:r>
              <w:rPr>
                <w:rFonts w:hint="eastAsia" w:ascii="宋体" w:hAnsi="宋体" w:cs="宋体"/>
                <w:color w:val="auto"/>
                <w:kern w:val="0"/>
                <w:sz w:val="22"/>
                <w:highlight w:val="none"/>
                <w:lang w:val="en-US" w:eastAsia="zh-CN"/>
              </w:rPr>
              <w:t>个月的</w:t>
            </w:r>
            <w:r>
              <w:rPr>
                <w:rFonts w:hint="eastAsia" w:ascii="宋体" w:hAnsi="宋体" w:cs="宋体"/>
                <w:color w:val="auto"/>
                <w:kern w:val="0"/>
                <w:sz w:val="22"/>
                <w:highlight w:val="none"/>
              </w:rPr>
              <w:t>社保证明，否则不得分。</w:t>
            </w:r>
          </w:p>
        </w:tc>
      </w:tr>
      <w:tr w14:paraId="1DDAB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680" w:hRule="atLeast"/>
        </w:trPr>
        <w:tc>
          <w:tcPr>
            <w:tcW w:w="684" w:type="dxa"/>
            <w:vMerge w:val="restart"/>
            <w:tcBorders>
              <w:tl2br w:val="nil"/>
              <w:tr2bl w:val="nil"/>
            </w:tcBorders>
            <w:shd w:val="clear" w:color="auto" w:fill="auto"/>
            <w:vAlign w:val="center"/>
          </w:tcPr>
          <w:p w14:paraId="2F4049D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95" w:type="dxa"/>
            <w:vMerge w:val="restart"/>
            <w:tcBorders>
              <w:tl2br w:val="nil"/>
              <w:tr2bl w:val="nil"/>
            </w:tcBorders>
            <w:shd w:val="clear" w:color="auto" w:fill="auto"/>
            <w:vAlign w:val="center"/>
          </w:tcPr>
          <w:p w14:paraId="151D064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技术方案</w:t>
            </w:r>
          </w:p>
          <w:p w14:paraId="0BD91E2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7224" w:type="dxa"/>
            <w:tcBorders>
              <w:tl2br w:val="nil"/>
              <w:tr2bl w:val="nil"/>
            </w:tcBorders>
            <w:shd w:val="clear" w:color="auto" w:fill="auto"/>
            <w:vAlign w:val="center"/>
          </w:tcPr>
          <w:p w14:paraId="2EE7F21F">
            <w:pPr>
              <w:widowControl/>
              <w:spacing w:line="24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根据投标供应商对本项目的调研情况、需求</w:t>
            </w:r>
            <w:r>
              <w:rPr>
                <w:rFonts w:hint="eastAsia" w:ascii="宋体" w:hAnsi="宋体" w:cs="宋体"/>
                <w:color w:val="auto"/>
                <w:kern w:val="0"/>
                <w:sz w:val="21"/>
                <w:szCs w:val="21"/>
                <w:highlight w:val="none"/>
                <w:lang w:val="en-US" w:eastAsia="zh-CN"/>
              </w:rPr>
              <w:t>理解</w:t>
            </w:r>
            <w:r>
              <w:rPr>
                <w:rFonts w:hint="eastAsia" w:ascii="宋体" w:hAnsi="宋体" w:eastAsia="宋体" w:cs="宋体"/>
                <w:color w:val="auto"/>
                <w:kern w:val="0"/>
                <w:sz w:val="21"/>
                <w:szCs w:val="21"/>
                <w:highlight w:val="none"/>
              </w:rPr>
              <w:t>程度等综合评定</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最高3分。</w:t>
            </w:r>
          </w:p>
          <w:p w14:paraId="068F73A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对项目基本情况了解全面，</w:t>
            </w:r>
            <w:r>
              <w:rPr>
                <w:rFonts w:hint="eastAsia" w:ascii="宋体" w:hAnsi="宋体" w:eastAsia="宋体" w:cs="宋体"/>
                <w:color w:val="auto"/>
                <w:kern w:val="0"/>
                <w:sz w:val="21"/>
                <w:szCs w:val="21"/>
                <w:highlight w:val="none"/>
              </w:rPr>
              <w:t>采购人需求</w:t>
            </w:r>
            <w:r>
              <w:rPr>
                <w:rFonts w:hint="eastAsia" w:ascii="宋体" w:hAnsi="宋体" w:eastAsia="宋体" w:cs="宋体"/>
                <w:color w:val="auto"/>
                <w:kern w:val="0"/>
                <w:sz w:val="21"/>
                <w:szCs w:val="21"/>
                <w:highlight w:val="none"/>
                <w:lang w:val="en-US" w:eastAsia="zh-CN"/>
              </w:rPr>
              <w:t>分析到位</w:t>
            </w:r>
            <w:r>
              <w:rPr>
                <w:rFonts w:hint="eastAsia" w:ascii="宋体" w:hAnsi="宋体" w:eastAsia="宋体" w:cs="宋体"/>
                <w:color w:val="auto"/>
                <w:kern w:val="0"/>
                <w:sz w:val="21"/>
                <w:szCs w:val="21"/>
                <w:highlight w:val="none"/>
              </w:rPr>
              <w:t>的得3分；</w:t>
            </w:r>
          </w:p>
          <w:p w14:paraId="6106B62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对项目情况了解片面</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对</w:t>
            </w:r>
            <w:r>
              <w:rPr>
                <w:rFonts w:hint="eastAsia" w:ascii="宋体" w:hAnsi="宋体" w:eastAsia="宋体" w:cs="宋体"/>
                <w:color w:val="auto"/>
                <w:kern w:val="0"/>
                <w:sz w:val="21"/>
                <w:szCs w:val="21"/>
                <w:highlight w:val="none"/>
              </w:rPr>
              <w:t>采购人需求</w:t>
            </w:r>
            <w:r>
              <w:rPr>
                <w:rFonts w:hint="eastAsia" w:ascii="宋体" w:hAnsi="宋体" w:eastAsia="宋体" w:cs="宋体"/>
                <w:color w:val="auto"/>
                <w:kern w:val="0"/>
                <w:sz w:val="21"/>
                <w:szCs w:val="21"/>
                <w:highlight w:val="none"/>
                <w:lang w:val="en-US" w:eastAsia="zh-CN"/>
              </w:rPr>
              <w:t>分析不透彻</w:t>
            </w:r>
            <w:r>
              <w:rPr>
                <w:rFonts w:hint="eastAsia" w:ascii="宋体" w:hAnsi="宋体" w:eastAsia="宋体" w:cs="宋体"/>
                <w:color w:val="auto"/>
                <w:kern w:val="0"/>
                <w:sz w:val="21"/>
                <w:szCs w:val="21"/>
                <w:highlight w:val="none"/>
              </w:rPr>
              <w:t>的得2分；</w:t>
            </w:r>
          </w:p>
          <w:p w14:paraId="00CA8788">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对项目及采购人需求不了解，描述无针对性的</w:t>
            </w:r>
            <w:r>
              <w:rPr>
                <w:rFonts w:hint="eastAsia" w:ascii="宋体" w:hAnsi="宋体" w:eastAsia="宋体" w:cs="宋体"/>
                <w:color w:val="auto"/>
                <w:kern w:val="0"/>
                <w:sz w:val="21"/>
                <w:szCs w:val="21"/>
                <w:highlight w:val="none"/>
              </w:rPr>
              <w:t>得1分</w:t>
            </w:r>
            <w:r>
              <w:rPr>
                <w:rFonts w:hint="eastAsia" w:ascii="宋体" w:hAnsi="宋体" w:eastAsia="宋体" w:cs="宋体"/>
                <w:color w:val="auto"/>
                <w:kern w:val="0"/>
                <w:sz w:val="21"/>
                <w:szCs w:val="21"/>
                <w:highlight w:val="none"/>
                <w:lang w:eastAsia="zh-CN"/>
              </w:rPr>
              <w:t>；</w:t>
            </w:r>
          </w:p>
          <w:p w14:paraId="4B7B683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未提供不得分。</w:t>
            </w:r>
          </w:p>
        </w:tc>
      </w:tr>
      <w:tr w14:paraId="19C0D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525" w:hRule="atLeast"/>
        </w:trPr>
        <w:tc>
          <w:tcPr>
            <w:tcW w:w="684" w:type="dxa"/>
            <w:vMerge w:val="continue"/>
            <w:tcBorders>
              <w:tl2br w:val="nil"/>
              <w:tr2bl w:val="nil"/>
            </w:tcBorders>
            <w:vAlign w:val="center"/>
          </w:tcPr>
          <w:p w14:paraId="70ABCFB1">
            <w:pPr>
              <w:widowControl/>
              <w:spacing w:line="240" w:lineRule="auto"/>
              <w:jc w:val="left"/>
              <w:rPr>
                <w:rFonts w:hint="eastAsia" w:ascii="宋体" w:hAnsi="宋体" w:eastAsia="宋体" w:cs="宋体"/>
                <w:color w:val="auto"/>
                <w:kern w:val="0"/>
                <w:sz w:val="21"/>
                <w:szCs w:val="21"/>
                <w:highlight w:val="none"/>
              </w:rPr>
            </w:pPr>
          </w:p>
        </w:tc>
        <w:tc>
          <w:tcPr>
            <w:tcW w:w="1295" w:type="dxa"/>
            <w:vMerge w:val="continue"/>
            <w:tcBorders>
              <w:tl2br w:val="nil"/>
              <w:tr2bl w:val="nil"/>
            </w:tcBorders>
            <w:vAlign w:val="center"/>
          </w:tcPr>
          <w:p w14:paraId="2971408B">
            <w:pPr>
              <w:widowControl/>
              <w:spacing w:line="240" w:lineRule="auto"/>
              <w:jc w:val="left"/>
              <w:rPr>
                <w:rFonts w:hint="eastAsia" w:ascii="宋体" w:hAnsi="宋体" w:eastAsia="宋体" w:cs="宋体"/>
                <w:color w:val="auto"/>
                <w:kern w:val="0"/>
                <w:sz w:val="21"/>
                <w:szCs w:val="21"/>
                <w:highlight w:val="none"/>
              </w:rPr>
            </w:pPr>
          </w:p>
        </w:tc>
        <w:tc>
          <w:tcPr>
            <w:tcW w:w="7224" w:type="dxa"/>
            <w:tcBorders>
              <w:tl2br w:val="nil"/>
              <w:tr2bl w:val="nil"/>
            </w:tcBorders>
            <w:shd w:val="clear" w:color="auto" w:fill="auto"/>
            <w:vAlign w:val="center"/>
          </w:tcPr>
          <w:p w14:paraId="0E3B5296">
            <w:pPr>
              <w:widowControl/>
              <w:spacing w:line="24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根据投标供应商提供的总体建设方案</w:t>
            </w:r>
            <w:r>
              <w:rPr>
                <w:rFonts w:hint="eastAsia" w:ascii="宋体" w:hAnsi="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进行综合评定</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最高7分。其中：</w:t>
            </w:r>
          </w:p>
          <w:p w14:paraId="60EC68D4">
            <w:pPr>
              <w:widowControl/>
              <w:spacing w:line="240" w:lineRule="auto"/>
              <w:jc w:val="left"/>
              <w:rPr>
                <w:rFonts w:hint="default"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1）建设方案</w:t>
            </w:r>
            <w:r>
              <w:rPr>
                <w:rFonts w:hint="eastAsia" w:ascii="宋体" w:hAnsi="宋体" w:cs="宋体"/>
                <w:color w:val="auto"/>
                <w:kern w:val="0"/>
                <w:sz w:val="21"/>
                <w:szCs w:val="21"/>
                <w:highlight w:val="none"/>
                <w:lang w:val="en-US" w:eastAsia="zh-CN"/>
              </w:rPr>
              <w:t>：最高2分</w:t>
            </w:r>
          </w:p>
          <w:p w14:paraId="1C1D3051">
            <w:pPr>
              <w:widowControl/>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完整，具备架构设计及详细建设内容的得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分，否则不得分；</w:t>
            </w:r>
          </w:p>
          <w:p w14:paraId="799AFF49">
            <w:pPr>
              <w:widowControl/>
              <w:spacing w:line="240" w:lineRule="auto"/>
              <w:jc w:val="left"/>
              <w:rPr>
                <w:rFonts w:hint="eastAsia"/>
                <w:color w:val="auto"/>
                <w:highlight w:val="none"/>
                <w:lang w:val="en-US" w:eastAsia="zh-CN"/>
              </w:rPr>
            </w:pPr>
            <w:r>
              <w:rPr>
                <w:rFonts w:hint="eastAsia" w:ascii="宋体" w:hAnsi="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基本满足</w:t>
            </w:r>
            <w:r>
              <w:rPr>
                <w:rFonts w:hint="eastAsia" w:ascii="宋体" w:hAnsi="宋体" w:eastAsia="宋体" w:cs="宋体"/>
                <w:color w:val="auto"/>
                <w:kern w:val="0"/>
                <w:sz w:val="21"/>
                <w:szCs w:val="21"/>
                <w:highlight w:val="none"/>
                <w:lang w:val="en-US" w:eastAsia="zh-CN"/>
              </w:rPr>
              <w:t>架构设计及建设内容的得1分，否则不得分；</w:t>
            </w:r>
          </w:p>
          <w:p w14:paraId="02DD9E1A">
            <w:pPr>
              <w:widowControl/>
              <w:numPr>
                <w:ilvl w:val="0"/>
                <w:numId w:val="66"/>
              </w:num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建设</w:t>
            </w:r>
            <w:r>
              <w:rPr>
                <w:rFonts w:hint="eastAsia" w:ascii="宋体" w:hAnsi="宋体" w:eastAsia="宋体" w:cs="宋体"/>
                <w:color w:val="auto"/>
                <w:kern w:val="0"/>
                <w:sz w:val="21"/>
                <w:szCs w:val="21"/>
                <w:highlight w:val="none"/>
              </w:rPr>
              <w:t>内容</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最高3分</w:t>
            </w:r>
          </w:p>
          <w:p w14:paraId="75D63CFD">
            <w:pPr>
              <w:widowControl/>
              <w:numPr>
                <w:ilvl w:val="0"/>
                <w:numId w:val="0"/>
              </w:num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详细建设</w:t>
            </w:r>
            <w:r>
              <w:rPr>
                <w:rFonts w:hint="eastAsia" w:ascii="宋体" w:hAnsi="宋体" w:eastAsia="宋体" w:cs="宋体"/>
                <w:color w:val="auto"/>
                <w:kern w:val="0"/>
                <w:sz w:val="21"/>
                <w:szCs w:val="21"/>
                <w:highlight w:val="none"/>
              </w:rPr>
              <w:t>内容全面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功能模块完全满足采购人需求</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4729E8BA">
            <w:pPr>
              <w:widowControl/>
              <w:numPr>
                <w:ilvl w:val="0"/>
                <w:numId w:val="0"/>
              </w:num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详细建设内容、功能模块能满足采购人大部分需求</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2B8D968B">
            <w:pPr>
              <w:widowControl/>
              <w:numPr>
                <w:ilvl w:val="0"/>
                <w:numId w:val="0"/>
              </w:numPr>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建设内容、功能模块只能满足采购人部分需求</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14:paraId="33DDE730">
            <w:pPr>
              <w:widowControl/>
              <w:numPr>
                <w:ilvl w:val="0"/>
                <w:numId w:val="0"/>
              </w:num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建设内容、功能模块与采购人需求偏离较大、功能不完整或</w:t>
            </w:r>
            <w:r>
              <w:rPr>
                <w:rFonts w:hint="eastAsia" w:ascii="宋体" w:hAnsi="宋体" w:eastAsia="宋体" w:cs="宋体"/>
                <w:color w:val="auto"/>
                <w:kern w:val="0"/>
                <w:sz w:val="21"/>
                <w:szCs w:val="21"/>
                <w:highlight w:val="none"/>
              </w:rPr>
              <w:t>未提供不得分。</w:t>
            </w:r>
          </w:p>
          <w:p w14:paraId="49446F9A">
            <w:pPr>
              <w:widowControl/>
              <w:numPr>
                <w:ilvl w:val="0"/>
                <w:numId w:val="66"/>
              </w:numPr>
              <w:spacing w:line="240" w:lineRule="auto"/>
              <w:ind w:left="0" w:leftChars="0" w:firstLine="0" w:firstLineChars="0"/>
              <w:jc w:val="left"/>
              <w:rPr>
                <w:rFonts w:hint="eastAsia" w:ascii="宋体" w:hAnsi="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功能界面</w:t>
            </w:r>
            <w:r>
              <w:rPr>
                <w:rFonts w:hint="eastAsia" w:ascii="宋体" w:hAnsi="宋体" w:cs="宋体"/>
                <w:b w:val="0"/>
                <w:color w:val="auto"/>
                <w:kern w:val="0"/>
                <w:sz w:val="21"/>
                <w:szCs w:val="21"/>
                <w:highlight w:val="none"/>
                <w:lang w:val="en-US" w:eastAsia="zh-CN" w:bidi="ar-SA"/>
              </w:rPr>
              <w:t>：最高2分</w:t>
            </w:r>
          </w:p>
          <w:p w14:paraId="197FC394">
            <w:pPr>
              <w:widowControl/>
              <w:numPr>
                <w:ilvl w:val="0"/>
                <w:numId w:val="0"/>
              </w:numPr>
              <w:spacing w:line="240" w:lineRule="auto"/>
              <w:ind w:leftChars="0"/>
              <w:jc w:val="left"/>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功能界面设计简洁、美观友好的得</w:t>
            </w:r>
            <w:r>
              <w:rPr>
                <w:rFonts w:hint="eastAsia" w:ascii="宋体" w:hAnsi="宋体" w:cs="宋体"/>
                <w:b w:val="0"/>
                <w:color w:val="auto"/>
                <w:kern w:val="0"/>
                <w:sz w:val="21"/>
                <w:szCs w:val="21"/>
                <w:highlight w:val="none"/>
                <w:lang w:val="en-US" w:eastAsia="zh-CN" w:bidi="ar-SA"/>
              </w:rPr>
              <w:t>2</w:t>
            </w:r>
            <w:r>
              <w:rPr>
                <w:rFonts w:hint="eastAsia" w:ascii="宋体" w:hAnsi="宋体" w:eastAsia="宋体" w:cs="宋体"/>
                <w:b w:val="0"/>
                <w:color w:val="auto"/>
                <w:kern w:val="0"/>
                <w:sz w:val="21"/>
                <w:szCs w:val="21"/>
                <w:highlight w:val="none"/>
                <w:lang w:val="en-US" w:eastAsia="zh-CN" w:bidi="ar-SA"/>
              </w:rPr>
              <w:t>分；</w:t>
            </w:r>
          </w:p>
          <w:p w14:paraId="40956176">
            <w:pPr>
              <w:pStyle w:val="2"/>
              <w:rPr>
                <w:rFonts w:hint="eastAsia"/>
                <w:color w:val="auto"/>
                <w:highlight w:val="none"/>
                <w:lang w:val="en-US" w:eastAsia="zh-CN"/>
              </w:rPr>
            </w:pPr>
            <w:r>
              <w:rPr>
                <w:rFonts w:hint="eastAsia" w:ascii="宋体" w:hAnsi="宋体" w:eastAsia="宋体" w:cs="宋体"/>
                <w:b w:val="0"/>
                <w:color w:val="auto"/>
                <w:kern w:val="0"/>
                <w:sz w:val="21"/>
                <w:szCs w:val="21"/>
                <w:highlight w:val="none"/>
                <w:lang w:val="en-US" w:eastAsia="zh-CN" w:bidi="ar-SA"/>
              </w:rPr>
              <w:t>功能界面设计</w:t>
            </w:r>
            <w:r>
              <w:rPr>
                <w:rFonts w:hint="eastAsia" w:hAnsi="宋体" w:cs="宋体"/>
                <w:b w:val="0"/>
                <w:color w:val="auto"/>
                <w:kern w:val="0"/>
                <w:sz w:val="21"/>
                <w:szCs w:val="21"/>
                <w:highlight w:val="none"/>
                <w:lang w:val="en-US" w:eastAsia="zh-CN" w:bidi="ar-SA"/>
              </w:rPr>
              <w:t>一般</w:t>
            </w:r>
            <w:r>
              <w:rPr>
                <w:rFonts w:hint="eastAsia" w:ascii="宋体" w:hAnsi="宋体" w:eastAsia="宋体" w:cs="宋体"/>
                <w:b w:val="0"/>
                <w:color w:val="auto"/>
                <w:kern w:val="0"/>
                <w:sz w:val="21"/>
                <w:szCs w:val="21"/>
                <w:highlight w:val="none"/>
                <w:lang w:val="en-US" w:eastAsia="zh-CN" w:bidi="ar-SA"/>
              </w:rPr>
              <w:t>、</w:t>
            </w:r>
            <w:r>
              <w:rPr>
                <w:rFonts w:hint="eastAsia" w:hAnsi="宋体" w:cs="宋体"/>
                <w:b w:val="0"/>
                <w:color w:val="auto"/>
                <w:kern w:val="0"/>
                <w:sz w:val="21"/>
                <w:szCs w:val="21"/>
                <w:highlight w:val="none"/>
                <w:lang w:val="en-US" w:eastAsia="zh-CN" w:bidi="ar-SA"/>
              </w:rPr>
              <w:t>基本满足使用需求</w:t>
            </w:r>
            <w:r>
              <w:rPr>
                <w:rFonts w:hint="eastAsia" w:ascii="宋体" w:hAnsi="宋体" w:eastAsia="宋体" w:cs="宋体"/>
                <w:b w:val="0"/>
                <w:color w:val="auto"/>
                <w:kern w:val="0"/>
                <w:sz w:val="21"/>
                <w:szCs w:val="21"/>
                <w:highlight w:val="none"/>
                <w:lang w:val="en-US" w:eastAsia="zh-CN" w:bidi="ar-SA"/>
              </w:rPr>
              <w:t>的得</w:t>
            </w:r>
            <w:r>
              <w:rPr>
                <w:rFonts w:hint="eastAsia" w:hAnsi="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lang w:val="en-US" w:eastAsia="zh-CN" w:bidi="ar-SA"/>
              </w:rPr>
              <w:t>分；</w:t>
            </w:r>
          </w:p>
          <w:p w14:paraId="4251C572">
            <w:pPr>
              <w:widowControl/>
              <w:numPr>
                <w:ilvl w:val="0"/>
                <w:numId w:val="0"/>
              </w:numPr>
              <w:spacing w:line="240"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界面简陋或不提供相关功能界面设计图的不得分。</w:t>
            </w:r>
          </w:p>
        </w:tc>
      </w:tr>
      <w:tr w14:paraId="3A85E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900" w:hRule="atLeast"/>
        </w:trPr>
        <w:tc>
          <w:tcPr>
            <w:tcW w:w="684" w:type="dxa"/>
            <w:tcBorders>
              <w:tl2br w:val="nil"/>
              <w:tr2bl w:val="nil"/>
            </w:tcBorders>
            <w:shd w:val="clear" w:color="auto" w:fill="auto"/>
            <w:vAlign w:val="center"/>
          </w:tcPr>
          <w:p w14:paraId="5709FF6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95" w:type="dxa"/>
            <w:tcBorders>
              <w:tl2br w:val="nil"/>
              <w:tr2bl w:val="nil"/>
            </w:tcBorders>
            <w:shd w:val="clear" w:color="auto" w:fill="auto"/>
            <w:vAlign w:val="center"/>
          </w:tcPr>
          <w:p w14:paraId="0229115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实施方案</w:t>
            </w:r>
          </w:p>
          <w:p w14:paraId="2A43972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7224" w:type="dxa"/>
            <w:tcBorders>
              <w:tl2br w:val="nil"/>
              <w:tr2bl w:val="nil"/>
            </w:tcBorders>
            <w:shd w:val="clear" w:color="auto" w:fill="auto"/>
            <w:vAlign w:val="center"/>
          </w:tcPr>
          <w:p w14:paraId="1C4DA6DA">
            <w:pPr>
              <w:widowControl/>
              <w:spacing w:line="240" w:lineRule="auto"/>
              <w:jc w:val="left"/>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根据投标供应商项目工期安排、质量管理体系与保障措施、系统测试、项目验收等进行综合评价</w:t>
            </w:r>
            <w:r>
              <w:rPr>
                <w:rFonts w:hint="eastAsia" w:ascii="宋体" w:hAnsi="宋体" w:cs="宋体"/>
                <w:color w:val="auto"/>
                <w:kern w:val="0"/>
                <w:sz w:val="21"/>
                <w:szCs w:val="21"/>
                <w:highlight w:val="none"/>
                <w:lang w:eastAsia="zh-CN"/>
              </w:rPr>
              <w:t>：</w:t>
            </w:r>
          </w:p>
          <w:p w14:paraId="22F745F8">
            <w:pPr>
              <w:widowControl/>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工期满足，质量管理与措施、系统测试及验收描述</w:t>
            </w:r>
            <w:r>
              <w:rPr>
                <w:rFonts w:hint="eastAsia" w:ascii="宋体" w:hAnsi="宋体" w:eastAsia="宋体" w:cs="宋体"/>
                <w:color w:val="auto"/>
                <w:kern w:val="0"/>
                <w:sz w:val="21"/>
                <w:szCs w:val="21"/>
                <w:highlight w:val="none"/>
              </w:rPr>
              <w:t>详细</w:t>
            </w:r>
            <w:r>
              <w:rPr>
                <w:rFonts w:hint="eastAsia" w:ascii="宋体" w:hAnsi="宋体" w:eastAsia="宋体" w:cs="宋体"/>
                <w:color w:val="auto"/>
                <w:kern w:val="0"/>
                <w:sz w:val="21"/>
                <w:szCs w:val="21"/>
                <w:highlight w:val="none"/>
                <w:lang w:val="en-US" w:eastAsia="zh-CN"/>
              </w:rPr>
              <w:t>全面</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14:paraId="3F205D9F">
            <w:pPr>
              <w:widowControl/>
              <w:spacing w:line="240" w:lineRule="auto"/>
              <w:jc w:val="left"/>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工期满足，质量管理与措施、系统测试及验收描述</w:t>
            </w:r>
            <w:r>
              <w:rPr>
                <w:rFonts w:hint="eastAsia" w:ascii="宋体" w:hAnsi="宋体" w:cs="宋体"/>
                <w:color w:val="auto"/>
                <w:kern w:val="0"/>
                <w:sz w:val="21"/>
                <w:szCs w:val="21"/>
                <w:highlight w:val="none"/>
                <w:lang w:val="en-US" w:eastAsia="zh-CN"/>
              </w:rPr>
              <w:t>基本满足采购需求</w:t>
            </w:r>
            <w:r>
              <w:rPr>
                <w:rFonts w:hint="eastAsia" w:ascii="宋体" w:hAnsi="宋体" w:eastAsia="宋体" w:cs="宋体"/>
                <w:color w:val="auto"/>
                <w:kern w:val="0"/>
                <w:sz w:val="21"/>
                <w:szCs w:val="21"/>
                <w:highlight w:val="none"/>
              </w:rPr>
              <w:t>的得2分</w:t>
            </w:r>
            <w:r>
              <w:rPr>
                <w:rFonts w:hint="eastAsia" w:ascii="宋体" w:hAnsi="宋体" w:cs="宋体"/>
                <w:color w:val="auto"/>
                <w:kern w:val="0"/>
                <w:sz w:val="21"/>
                <w:szCs w:val="21"/>
                <w:highlight w:val="none"/>
                <w:lang w:eastAsia="zh-CN"/>
              </w:rPr>
              <w:t>；</w:t>
            </w:r>
          </w:p>
          <w:p w14:paraId="297FAF54">
            <w:pPr>
              <w:widowControl/>
              <w:spacing w:line="240" w:lineRule="auto"/>
              <w:jc w:val="left"/>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工期满足，质量管理与措施、系统测试及验收内容描述简单的</w:t>
            </w:r>
            <w:r>
              <w:rPr>
                <w:rFonts w:hint="eastAsia" w:ascii="宋体" w:hAnsi="宋体" w:eastAsia="宋体" w:cs="宋体"/>
                <w:color w:val="auto"/>
                <w:kern w:val="0"/>
                <w:sz w:val="21"/>
                <w:szCs w:val="21"/>
                <w:highlight w:val="none"/>
              </w:rPr>
              <w:t>得1分</w:t>
            </w:r>
            <w:r>
              <w:rPr>
                <w:rFonts w:hint="eastAsia" w:ascii="宋体" w:hAnsi="宋体" w:cs="宋体"/>
                <w:color w:val="auto"/>
                <w:kern w:val="0"/>
                <w:sz w:val="21"/>
                <w:szCs w:val="21"/>
                <w:highlight w:val="none"/>
                <w:lang w:eastAsia="zh-CN"/>
              </w:rPr>
              <w:t>；</w:t>
            </w:r>
          </w:p>
          <w:p w14:paraId="6176B6C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工期安排不满足项目需求或者</w:t>
            </w:r>
            <w:r>
              <w:rPr>
                <w:rFonts w:hint="eastAsia" w:ascii="宋体" w:hAnsi="宋体" w:eastAsia="宋体" w:cs="宋体"/>
                <w:color w:val="auto"/>
                <w:kern w:val="0"/>
                <w:sz w:val="21"/>
                <w:szCs w:val="21"/>
                <w:highlight w:val="none"/>
              </w:rPr>
              <w:t>不提供</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不得分。</w:t>
            </w:r>
          </w:p>
        </w:tc>
      </w:tr>
      <w:tr w14:paraId="65FDB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620" w:hRule="atLeast"/>
        </w:trPr>
        <w:tc>
          <w:tcPr>
            <w:tcW w:w="684" w:type="dxa"/>
            <w:tcBorders>
              <w:tl2br w:val="nil"/>
              <w:tr2bl w:val="nil"/>
            </w:tcBorders>
            <w:shd w:val="clear" w:color="auto" w:fill="auto"/>
            <w:vAlign w:val="center"/>
          </w:tcPr>
          <w:p w14:paraId="6E07B84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95" w:type="dxa"/>
            <w:tcBorders>
              <w:tl2br w:val="nil"/>
              <w:tr2bl w:val="nil"/>
            </w:tcBorders>
            <w:shd w:val="clear" w:color="auto" w:fill="auto"/>
            <w:vAlign w:val="center"/>
          </w:tcPr>
          <w:p w14:paraId="29E0F3E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培训计划</w:t>
            </w:r>
          </w:p>
          <w:p w14:paraId="769418A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7224" w:type="dxa"/>
            <w:tcBorders>
              <w:tl2br w:val="nil"/>
              <w:tr2bl w:val="nil"/>
            </w:tcBorders>
            <w:shd w:val="clear" w:color="auto" w:fill="auto"/>
            <w:vAlign w:val="center"/>
          </w:tcPr>
          <w:p w14:paraId="372F29C7">
            <w:pPr>
              <w:widowControl/>
              <w:spacing w:line="240" w:lineRule="auto"/>
              <w:jc w:val="left"/>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根据投标供应商提供的培训计划（包括详细的培训计划、培训内容、培训师资及培训管理措施等）进行综合评价</w:t>
            </w:r>
            <w:r>
              <w:rPr>
                <w:rFonts w:hint="eastAsia" w:ascii="宋体" w:hAnsi="宋体" w:cs="宋体"/>
                <w:color w:val="auto"/>
                <w:kern w:val="0"/>
                <w:sz w:val="21"/>
                <w:szCs w:val="21"/>
                <w:highlight w:val="none"/>
                <w:lang w:eastAsia="zh-CN"/>
              </w:rPr>
              <w:t>：</w:t>
            </w:r>
          </w:p>
          <w:p w14:paraId="535548D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培训方案</w:t>
            </w:r>
            <w:r>
              <w:rPr>
                <w:rFonts w:hint="eastAsia" w:ascii="宋体" w:hAnsi="宋体" w:eastAsia="宋体" w:cs="宋体"/>
                <w:color w:val="auto"/>
                <w:kern w:val="0"/>
                <w:sz w:val="21"/>
                <w:szCs w:val="21"/>
                <w:highlight w:val="none"/>
                <w:lang w:val="en-US" w:eastAsia="zh-CN"/>
              </w:rPr>
              <w:t>内容描述全面、详细的</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69A65086">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培训方案</w:t>
            </w:r>
            <w:r>
              <w:rPr>
                <w:rFonts w:hint="eastAsia" w:ascii="宋体" w:hAnsi="宋体" w:eastAsia="宋体" w:cs="宋体"/>
                <w:color w:val="auto"/>
                <w:kern w:val="0"/>
                <w:sz w:val="21"/>
                <w:szCs w:val="21"/>
                <w:highlight w:val="none"/>
                <w:lang w:val="en-US" w:eastAsia="zh-CN"/>
              </w:rPr>
              <w:t>只阐述部分内容，或内容简单不够详细的</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14:paraId="4FFDCC87">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不提供不得分。</w:t>
            </w:r>
          </w:p>
        </w:tc>
      </w:tr>
      <w:tr w14:paraId="009AC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1350" w:hRule="atLeast"/>
        </w:trPr>
        <w:tc>
          <w:tcPr>
            <w:tcW w:w="684" w:type="dxa"/>
            <w:tcBorders>
              <w:tl2br w:val="nil"/>
              <w:tr2bl w:val="nil"/>
            </w:tcBorders>
            <w:shd w:val="clear" w:color="auto" w:fill="auto"/>
            <w:vAlign w:val="center"/>
          </w:tcPr>
          <w:p w14:paraId="6C56276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95" w:type="dxa"/>
            <w:tcBorders>
              <w:tl2br w:val="nil"/>
              <w:tr2bl w:val="nil"/>
            </w:tcBorders>
            <w:shd w:val="clear" w:color="auto" w:fill="auto"/>
            <w:vAlign w:val="center"/>
          </w:tcPr>
          <w:p w14:paraId="1473436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p w14:paraId="6BB2FA4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（2分）</w:t>
            </w:r>
          </w:p>
        </w:tc>
        <w:tc>
          <w:tcPr>
            <w:tcW w:w="7224" w:type="dxa"/>
            <w:tcBorders>
              <w:tl2br w:val="nil"/>
              <w:tr2bl w:val="nil"/>
            </w:tcBorders>
            <w:shd w:val="clear" w:color="auto" w:fill="auto"/>
            <w:vAlign w:val="center"/>
          </w:tcPr>
          <w:p w14:paraId="794B896F">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根据售后服务方案（包括售后服务标准、响应时间、响应程度、售后服务保障人员等）合理性、完整性、服务能力等情况进行综合打分</w:t>
            </w:r>
            <w:r>
              <w:rPr>
                <w:rFonts w:hint="eastAsia" w:ascii="宋体" w:hAnsi="宋体" w:cs="宋体"/>
                <w:color w:val="auto"/>
                <w:kern w:val="0"/>
                <w:sz w:val="21"/>
                <w:szCs w:val="21"/>
                <w:highlight w:val="none"/>
                <w:lang w:eastAsia="zh-CN"/>
              </w:rPr>
              <w:t>：</w:t>
            </w:r>
          </w:p>
          <w:p w14:paraId="55207722">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售后服务方案</w:t>
            </w:r>
            <w:r>
              <w:rPr>
                <w:rFonts w:hint="eastAsia" w:ascii="宋体" w:hAnsi="宋体" w:eastAsia="宋体" w:cs="宋体"/>
                <w:color w:val="auto"/>
                <w:kern w:val="0"/>
                <w:sz w:val="21"/>
                <w:szCs w:val="21"/>
                <w:highlight w:val="none"/>
                <w:lang w:val="en-US" w:eastAsia="zh-CN"/>
              </w:rPr>
              <w:t>描述全面，各模块阐述详细，能够满足采购人需求的</w:t>
            </w:r>
            <w:r>
              <w:rPr>
                <w:rFonts w:hint="eastAsia" w:ascii="宋体" w:hAnsi="宋体" w:eastAsia="宋体" w:cs="宋体"/>
                <w:color w:val="auto"/>
                <w:kern w:val="0"/>
                <w:sz w:val="21"/>
                <w:szCs w:val="21"/>
                <w:highlight w:val="none"/>
              </w:rPr>
              <w:t>得2分；</w:t>
            </w:r>
          </w:p>
          <w:p w14:paraId="31A22D45">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售后服务方案</w:t>
            </w:r>
            <w:r>
              <w:rPr>
                <w:rFonts w:hint="eastAsia" w:ascii="宋体" w:hAnsi="宋体" w:eastAsia="宋体" w:cs="宋体"/>
                <w:color w:val="auto"/>
                <w:kern w:val="0"/>
                <w:sz w:val="21"/>
                <w:szCs w:val="21"/>
                <w:highlight w:val="none"/>
                <w:lang w:val="en-US" w:eastAsia="zh-CN"/>
              </w:rPr>
              <w:t>描述内容不全，或者内容较为简单不够详细</w:t>
            </w:r>
            <w:r>
              <w:rPr>
                <w:rFonts w:hint="eastAsia" w:ascii="宋体" w:hAnsi="宋体" w:eastAsia="宋体" w:cs="宋体"/>
                <w:color w:val="auto"/>
                <w:kern w:val="0"/>
                <w:sz w:val="21"/>
                <w:szCs w:val="21"/>
                <w:highlight w:val="none"/>
              </w:rPr>
              <w:t>的得1分；</w:t>
            </w:r>
          </w:p>
          <w:p w14:paraId="5CDA70C5">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售后服务方案措施</w:t>
            </w:r>
            <w:r>
              <w:rPr>
                <w:rFonts w:hint="eastAsia" w:ascii="宋体" w:hAnsi="宋体" w:eastAsia="宋体" w:cs="宋体"/>
                <w:color w:val="auto"/>
                <w:kern w:val="0"/>
                <w:sz w:val="21"/>
                <w:szCs w:val="21"/>
                <w:highlight w:val="none"/>
                <w:lang w:val="en-US" w:eastAsia="zh-CN"/>
              </w:rPr>
              <w:t>无法满足采购人要求或不提供</w:t>
            </w:r>
            <w:r>
              <w:rPr>
                <w:rFonts w:hint="eastAsia" w:ascii="宋体" w:hAnsi="宋体" w:eastAsia="宋体" w:cs="宋体"/>
                <w:color w:val="auto"/>
                <w:kern w:val="0"/>
                <w:sz w:val="21"/>
                <w:szCs w:val="21"/>
                <w:highlight w:val="none"/>
              </w:rPr>
              <w:t>的不得分。</w:t>
            </w:r>
          </w:p>
        </w:tc>
      </w:tr>
      <w:tr w14:paraId="659FA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79" w:type="dxa"/>
            <w:bottom w:w="57" w:type="dxa"/>
            <w:right w:w="79" w:type="dxa"/>
          </w:tblCellMar>
        </w:tblPrEx>
        <w:trPr>
          <w:trHeight w:val="717" w:hRule="atLeast"/>
        </w:trPr>
        <w:tc>
          <w:tcPr>
            <w:tcW w:w="684" w:type="dxa"/>
            <w:tcBorders>
              <w:tl2br w:val="nil"/>
              <w:tr2bl w:val="nil"/>
            </w:tcBorders>
            <w:shd w:val="clear" w:color="auto" w:fill="auto"/>
            <w:vAlign w:val="center"/>
          </w:tcPr>
          <w:p w14:paraId="4F87E122">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295" w:type="dxa"/>
            <w:tcBorders>
              <w:tl2br w:val="nil"/>
              <w:tr2bl w:val="nil"/>
            </w:tcBorders>
            <w:shd w:val="clear" w:color="auto" w:fill="auto"/>
            <w:vAlign w:val="center"/>
          </w:tcPr>
          <w:p w14:paraId="318BA36A">
            <w:pPr>
              <w:widowControl/>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优惠承诺</w:t>
            </w:r>
          </w:p>
          <w:p w14:paraId="3B2FE343">
            <w:pPr>
              <w:pStyle w:val="2"/>
              <w:ind w:firstLine="210" w:firstLineChars="100"/>
              <w:rPr>
                <w:rFonts w:hint="eastAsia"/>
                <w:color w:val="auto"/>
                <w:highlight w:val="none"/>
                <w:lang w:val="en-US" w:eastAsia="zh-CN"/>
              </w:rPr>
            </w:pPr>
            <w:r>
              <w:rPr>
                <w:rFonts w:hint="eastAsia" w:hAnsi="宋体" w:cs="宋体"/>
                <w:b w:val="0"/>
                <w:bCs/>
                <w:color w:val="auto"/>
                <w:kern w:val="0"/>
                <w:sz w:val="21"/>
                <w:szCs w:val="21"/>
                <w:highlight w:val="none"/>
                <w:lang w:val="en-US" w:eastAsia="zh-CN"/>
              </w:rPr>
              <w:t>（1分）</w:t>
            </w:r>
          </w:p>
        </w:tc>
        <w:tc>
          <w:tcPr>
            <w:tcW w:w="7224" w:type="dxa"/>
            <w:tcBorders>
              <w:tl2br w:val="nil"/>
              <w:tr2bl w:val="nil"/>
            </w:tcBorders>
            <w:shd w:val="clear" w:color="auto" w:fill="auto"/>
            <w:vAlign w:val="center"/>
          </w:tcPr>
          <w:p w14:paraId="6013B6FD">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提供对采购人实际有利的其他特色服务或者优惠条款，</w:t>
            </w:r>
            <w:r>
              <w:rPr>
                <w:rFonts w:hint="eastAsia" w:ascii="宋体" w:hAnsi="宋体" w:cs="宋体"/>
                <w:bCs/>
                <w:color w:val="auto"/>
                <w:sz w:val="21"/>
                <w:szCs w:val="21"/>
                <w:highlight w:val="none"/>
                <w:lang w:val="en-US" w:eastAsia="zh-CN"/>
              </w:rPr>
              <w:t>优惠对本项目有实质意义的，每条得0.2分，最高1分</w:t>
            </w:r>
            <w:r>
              <w:rPr>
                <w:rFonts w:hint="eastAsia" w:ascii="宋体" w:hAnsi="宋体" w:eastAsia="宋体" w:cs="宋体"/>
                <w:bCs/>
                <w:color w:val="auto"/>
                <w:sz w:val="21"/>
                <w:szCs w:val="21"/>
                <w:highlight w:val="none"/>
              </w:rPr>
              <w:t>。备注:提供承诺函，格式自拟。</w:t>
            </w:r>
          </w:p>
        </w:tc>
      </w:tr>
    </w:tbl>
    <w:p w14:paraId="45827F6E">
      <w:pPr>
        <w:overflowPunct w:val="0"/>
        <w:spacing w:line="360" w:lineRule="auto"/>
        <w:rPr>
          <w:rFonts w:ascii="宋体" w:hAnsi="宋体" w:cs="宋体"/>
          <w:color w:val="auto"/>
          <w:sz w:val="22"/>
          <w:szCs w:val="22"/>
          <w:highlight w:val="none"/>
        </w:rPr>
      </w:pPr>
      <w:r>
        <w:rPr>
          <w:rFonts w:hint="eastAsia" w:ascii="宋体" w:hAnsi="宋体" w:cs="宋体"/>
          <w:b/>
          <w:bCs/>
          <w:color w:val="auto"/>
          <w:sz w:val="22"/>
          <w:szCs w:val="22"/>
          <w:highlight w:val="none"/>
        </w:rPr>
        <w:t>注：①如果上述某项评分细则在技术标中不符合评分要求或严重离题，</w:t>
      </w:r>
      <w:r>
        <w:rPr>
          <w:rFonts w:hint="eastAsia" w:ascii="宋体" w:hAnsi="宋体" w:cs="宋体"/>
          <w:b/>
          <w:bCs/>
          <w:color w:val="auto"/>
          <w:sz w:val="22"/>
          <w:szCs w:val="22"/>
          <w:highlight w:val="none"/>
          <w:lang w:val="en-US" w:eastAsia="zh-CN"/>
        </w:rPr>
        <w:t>经评标委员会决议后</w:t>
      </w:r>
      <w:r>
        <w:rPr>
          <w:rFonts w:hint="eastAsia" w:ascii="宋体" w:hAnsi="宋体" w:cs="宋体"/>
          <w:b/>
          <w:bCs/>
          <w:color w:val="auto"/>
          <w:sz w:val="22"/>
          <w:szCs w:val="22"/>
          <w:highlight w:val="none"/>
        </w:rPr>
        <w:t>此项可按零分处理。</w:t>
      </w:r>
    </w:p>
    <w:p w14:paraId="619AC874">
      <w:pPr>
        <w:overflowPunct w:val="0"/>
        <w:spacing w:line="360" w:lineRule="auto"/>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②</w:t>
      </w:r>
      <w:r>
        <w:rPr>
          <w:rFonts w:hint="eastAsia" w:ascii="宋体" w:hAnsi="宋体" w:cs="宋体"/>
          <w:color w:val="auto"/>
          <w:sz w:val="22"/>
          <w:szCs w:val="22"/>
          <w:highlight w:val="none"/>
        </w:rPr>
        <w:t>电子投标文件中提供的证明材料（如证书、截图等）复制件应清晰可辨，如无法辨识，将不予给分。</w:t>
      </w:r>
    </w:p>
    <w:p w14:paraId="0AEEA808">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2、报价评分（</w:t>
      </w:r>
      <w:r>
        <w:rPr>
          <w:rFonts w:hint="eastAsia" w:ascii="宋体" w:hAnsi="宋体" w:cs="宋体"/>
          <w:b/>
          <w:bCs/>
          <w:color w:val="auto"/>
          <w:sz w:val="22"/>
          <w:szCs w:val="22"/>
          <w:highlight w:val="none"/>
        </w:rPr>
        <w:t>满分</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3</w:t>
      </w:r>
      <w:r>
        <w:rPr>
          <w:rFonts w:hint="eastAsia" w:ascii="宋体" w:hAnsi="宋体" w:cs="宋体"/>
          <w:b/>
          <w:bCs/>
          <w:color w:val="auto"/>
          <w:sz w:val="22"/>
          <w:szCs w:val="22"/>
          <w:highlight w:val="none"/>
          <w:u w:val="single"/>
        </w:rPr>
        <w:t>0</w:t>
      </w:r>
      <w:r>
        <w:rPr>
          <w:rFonts w:hint="eastAsia" w:ascii="宋体" w:hAnsi="宋体" w:cs="宋体"/>
          <w:b/>
          <w:bCs/>
          <w:color w:val="auto"/>
          <w:sz w:val="22"/>
          <w:szCs w:val="22"/>
          <w:highlight w:val="none"/>
        </w:rPr>
        <w:t>分</w:t>
      </w:r>
      <w:r>
        <w:rPr>
          <w:rFonts w:hint="eastAsia" w:ascii="宋体" w:hAnsi="宋体" w:cs="宋体"/>
          <w:color w:val="auto"/>
          <w:sz w:val="22"/>
          <w:szCs w:val="22"/>
          <w:highlight w:val="none"/>
        </w:rPr>
        <w:t xml:space="preserve">）： </w:t>
      </w:r>
    </w:p>
    <w:p w14:paraId="7E9F7DBF">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满足采购文件要求且投标价格最低的投标报价为评标基准价；</w:t>
      </w:r>
    </w:p>
    <w:p w14:paraId="217532A7">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1）有效投标供应商的投标报价等于评标基准价时，其报价得分为</w:t>
      </w:r>
      <w:r>
        <w:rPr>
          <w:rFonts w:hint="eastAsia" w:ascii="宋体" w:hAnsi="宋体" w:cs="宋体"/>
          <w:b/>
          <w:bCs/>
          <w:color w:val="auto"/>
          <w:sz w:val="22"/>
          <w:szCs w:val="22"/>
          <w:highlight w:val="none"/>
        </w:rPr>
        <w:t>满分</w:t>
      </w:r>
      <w:r>
        <w:rPr>
          <w:rFonts w:hint="eastAsia" w:ascii="宋体" w:hAnsi="宋体" w:cs="宋体"/>
          <w:b/>
          <w:bCs/>
          <w:color w:val="auto"/>
          <w:sz w:val="22"/>
          <w:szCs w:val="22"/>
          <w:highlight w:val="none"/>
          <w:u w:val="single"/>
          <w:lang w:val="en-US" w:eastAsia="zh-CN"/>
        </w:rPr>
        <w:t>3</w:t>
      </w:r>
      <w:r>
        <w:rPr>
          <w:rFonts w:hint="eastAsia" w:ascii="宋体" w:hAnsi="宋体" w:cs="宋体"/>
          <w:b/>
          <w:bCs/>
          <w:color w:val="auto"/>
          <w:sz w:val="22"/>
          <w:szCs w:val="22"/>
          <w:highlight w:val="none"/>
          <w:u w:val="single"/>
        </w:rPr>
        <w:t xml:space="preserve">0 </w:t>
      </w:r>
      <w:r>
        <w:rPr>
          <w:rFonts w:hint="eastAsia" w:ascii="宋体" w:hAnsi="宋体" w:cs="宋体"/>
          <w:b/>
          <w:bCs/>
          <w:color w:val="auto"/>
          <w:sz w:val="22"/>
          <w:szCs w:val="22"/>
          <w:highlight w:val="none"/>
        </w:rPr>
        <w:t>分</w:t>
      </w:r>
      <w:r>
        <w:rPr>
          <w:rFonts w:hint="eastAsia" w:ascii="宋体" w:hAnsi="宋体" w:cs="宋体"/>
          <w:color w:val="auto"/>
          <w:sz w:val="22"/>
          <w:szCs w:val="22"/>
          <w:highlight w:val="none"/>
        </w:rPr>
        <w:t>；</w:t>
      </w:r>
    </w:p>
    <w:p w14:paraId="3FD88133">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2）其他投标供应商的报价得分按以下公式计算：</w:t>
      </w:r>
    </w:p>
    <w:p w14:paraId="28DF0A5F">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报价得分=（评标基准价/投标供应商投标报价）×</w:t>
      </w:r>
      <w:r>
        <w:rPr>
          <w:rFonts w:hint="eastAsia" w:ascii="宋体" w:hAnsi="宋体" w:cs="宋体"/>
          <w:b/>
          <w:bCs/>
          <w:color w:val="auto"/>
          <w:sz w:val="22"/>
          <w:szCs w:val="22"/>
          <w:highlight w:val="none"/>
          <w:lang w:val="en-US" w:eastAsia="zh-CN"/>
        </w:rPr>
        <w:t>3</w:t>
      </w:r>
      <w:r>
        <w:rPr>
          <w:rFonts w:hint="eastAsia" w:ascii="宋体" w:hAnsi="宋体" w:cs="宋体"/>
          <w:b/>
          <w:bCs/>
          <w:color w:val="auto"/>
          <w:sz w:val="22"/>
          <w:szCs w:val="22"/>
          <w:highlight w:val="none"/>
        </w:rPr>
        <w:t>0分。</w:t>
      </w:r>
    </w:p>
    <w:p w14:paraId="4D69C553">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3）如投标供应商投标报价超过采购预算（最高投标限价）的，作无效标处理。</w:t>
      </w:r>
    </w:p>
    <w:p w14:paraId="4D0FEF20">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4）所有投标供应商投标报价均超采购预算（最高投标限价）的，重新组织采购。</w:t>
      </w:r>
    </w:p>
    <w:p w14:paraId="60CF20C2">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3、有效投标供应商的综合得分为商务技术分和报价分的总和。</w:t>
      </w:r>
    </w:p>
    <w:p w14:paraId="638FAA6F">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评标委员会依据法律、法规及采购文件有关规定在有效投标供应商的综合得分高到低进行排序，综合得分前两名投标供应商依次作为该项目第一中标候选人和第二中标候选人向采购人推荐，并提交评标报告。综合得分相同的，按投标报价由低到高进行排序；综合得分且投标报价相同的，由评标委员会抽签决定排序。</w:t>
      </w:r>
    </w:p>
    <w:p w14:paraId="486EB617">
      <w:pPr>
        <w:overflowPunct w:val="0"/>
        <w:spacing w:before="120" w:after="120"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六、定标办法</w:t>
      </w:r>
    </w:p>
    <w:p w14:paraId="2C764427">
      <w:pPr>
        <w:overflowPunct w:val="0"/>
        <w:spacing w:line="360" w:lineRule="auto"/>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本次采购由评标委员会推荐中标候选人，采购人根据评标委员会的推荐结果进行最终确认。若出现中标候选人放弃中标；或者因不可抗力提出不能签定合同；或者采购文件规定应当提交履约保证金而在规定的期限内未能提交的；或未能在规定时间内与采购人签订合同的；或者经质疑，采购人审查后，确因排名第一的中标候选人在本次采购活动中存在违法违规行为或其他原因使质疑成立的，</w:t>
      </w:r>
      <w:r>
        <w:rPr>
          <w:rFonts w:hint="eastAsia" w:ascii="宋体" w:hAnsi="宋体" w:cs="宋体"/>
          <w:b/>
          <w:bCs/>
          <w:color w:val="auto"/>
          <w:sz w:val="22"/>
          <w:szCs w:val="22"/>
          <w:highlight w:val="none"/>
        </w:rPr>
        <w:t>采购人可以视具体情况确定是否由排名第二的中标候选人为中标（成交）供应商，或重新组织采购。</w:t>
      </w:r>
    </w:p>
    <w:p w14:paraId="2D6B7E57">
      <w:pPr>
        <w:overflowPunct w:val="0"/>
        <w:spacing w:before="120" w:after="120"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七、确定中标（成交）供应商</w:t>
      </w:r>
    </w:p>
    <w:p w14:paraId="72BB04D7">
      <w:pPr>
        <w:overflowPunct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评标结束后，采购人将在指定媒介上公示中标结果。公示期结束后向中标（成交）供应商发出中标（成交）通知书。</w:t>
      </w:r>
    </w:p>
    <w:p w14:paraId="4C56BE39">
      <w:pPr>
        <w:spacing w:after="120" w:line="360" w:lineRule="auto"/>
        <w:rPr>
          <w:rFonts w:ascii="Arial" w:hAnsi="Arial"/>
          <w:color w:val="auto"/>
          <w:highlight w:val="none"/>
        </w:rPr>
      </w:pPr>
    </w:p>
    <w:p w14:paraId="7DDED1A3">
      <w:pPr>
        <w:pStyle w:val="30"/>
        <w:ind w:firstLine="0" w:firstLineChars="0"/>
        <w:rPr>
          <w:rFonts w:cs="宋体"/>
          <w:color w:val="auto"/>
          <w:highlight w:val="none"/>
        </w:rPr>
      </w:pPr>
    </w:p>
    <w:sectPr>
      <w:footerReference r:id="rId12" w:type="default"/>
      <w:pgSz w:w="11906" w:h="16838"/>
      <w:pgMar w:top="1247" w:right="1247" w:bottom="1247" w:left="1417" w:header="851" w:footer="992" w:gutter="0"/>
      <w:pgBorders>
        <w:top w:val="none" w:sz="0" w:space="0"/>
        <w:left w:val="none" w:sz="0" w:space="0"/>
        <w:bottom w:val="none" w:sz="0" w:space="0"/>
        <w:right w:val="none" w:sz="0" w:space="0"/>
      </w:pgBorders>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2C1E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F9FA">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75C3D8">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3B75C3D8">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CFB07">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5050CB">
                          <w:pPr>
                            <w:pStyle w:val="19"/>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C5050CB">
                    <w:pPr>
                      <w:pStyle w:val="19"/>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AC9A6D9">
                          <w:pPr>
                            <w:snapToGrid w:val="0"/>
                            <w:rPr>
                              <w:sz w:val="18"/>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1kTcHEAQAAmgMAAA4AAAAAAAAAAQAgAAAAHwEAAGRycy9lMm9Eb2MueG1s&#10;UEsFBgAAAAAGAAYAWQEAAFUFAAAAAA==&#10;">
              <v:fill on="f" focussize="0,0"/>
              <v:stroke on="f"/>
              <v:imagedata o:title=""/>
              <o:lock v:ext="edit" aspectratio="f"/>
              <v:textbox inset="0mm,0mm,0mm,0mm" style="mso-fit-shape-to-text:t;">
                <w:txbxContent>
                  <w:p w14:paraId="1AC9A6D9">
                    <w:pPr>
                      <w:snapToGrid w:val="0"/>
                      <w:rPr>
                        <w:sz w:val="1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8373">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4658F8">
                          <w:pPr>
                            <w:pStyle w:val="19"/>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544658F8">
                    <w:pPr>
                      <w:pStyle w:val="1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1D78">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3B819F">
                          <w:pPr>
                            <w:pStyle w:val="19"/>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663B819F">
                    <w:pPr>
                      <w:pStyle w:val="19"/>
                    </w:pPr>
                    <w:r>
                      <w:fldChar w:fldCharType="begin"/>
                    </w:r>
                    <w:r>
                      <w:instrText xml:space="preserve"> PAGE  \* MERGEFORMAT </w:instrText>
                    </w:r>
                    <w:r>
                      <w:fldChar w:fldCharType="separate"/>
                    </w:r>
                    <w:r>
                      <w:t>46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0E7EECF">
                          <w:pPr>
                            <w:snapToGrid w:val="0"/>
                            <w:rPr>
                              <w:sz w:val="18"/>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k+1OHEAQAAmgMAAA4AAAAAAAAAAQAgAAAAHwEAAGRycy9lMm9Eb2MueG1s&#10;UEsFBgAAAAAGAAYAWQEAAFUFAAAAAA==&#10;">
              <v:fill on="f" focussize="0,0"/>
              <v:stroke on="f"/>
              <v:imagedata o:title=""/>
              <o:lock v:ext="edit" aspectratio="f"/>
              <v:textbox inset="0mm,0mm,0mm,0mm" style="mso-fit-shape-to-text:t;">
                <w:txbxContent>
                  <w:p w14:paraId="30E7EECF">
                    <w:pPr>
                      <w:snapToGrid w:val="0"/>
                      <w:rPr>
                        <w:sz w:val="18"/>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40D0">
    <w:pPr>
      <w:widowControl w:val="0"/>
      <w:tabs>
        <w:tab w:val="center" w:pos="4153"/>
        <w:tab w:val="right" w:pos="8306"/>
      </w:tabs>
      <w:snapToGrid w:val="0"/>
      <w:spacing w:line="360" w:lineRule="auto"/>
      <w:ind w:firstLine="480" w:firstLineChars="200"/>
      <w:jc w:val="left"/>
      <w:rPr>
        <w:rFonts w:ascii="仿宋" w:hAnsi="仿宋" w:eastAsia="仿宋" w:cs="宋体"/>
        <w:sz w:val="24"/>
        <w:szCs w:val="28"/>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AB5E6E">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19AB5E6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5613">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8D4EA">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C991D"/>
    <w:multiLevelType w:val="singleLevel"/>
    <w:tmpl w:val="9EDC991D"/>
    <w:lvl w:ilvl="0" w:tentative="0">
      <w:start w:val="1"/>
      <w:numFmt w:val="bullet"/>
      <w:lvlText w:val=""/>
      <w:lvlJc w:val="left"/>
      <w:pPr>
        <w:ind w:left="420" w:hanging="420"/>
      </w:pPr>
      <w:rPr>
        <w:rFonts w:hint="default" w:ascii="Wingdings" w:hAnsi="Wingdings"/>
      </w:rPr>
    </w:lvl>
  </w:abstractNum>
  <w:abstractNum w:abstractNumId="1">
    <w:nsid w:val="A9A36EB2"/>
    <w:multiLevelType w:val="singleLevel"/>
    <w:tmpl w:val="A9A36EB2"/>
    <w:lvl w:ilvl="0" w:tentative="0">
      <w:start w:val="1"/>
      <w:numFmt w:val="bullet"/>
      <w:lvlText w:val=""/>
      <w:lvlJc w:val="left"/>
      <w:pPr>
        <w:ind w:left="420" w:hanging="420"/>
      </w:pPr>
      <w:rPr>
        <w:rFonts w:hint="default" w:ascii="Wingdings" w:hAnsi="Wingdings"/>
      </w:rPr>
    </w:lvl>
  </w:abstractNum>
  <w:abstractNum w:abstractNumId="2">
    <w:nsid w:val="AA89AFC5"/>
    <w:multiLevelType w:val="singleLevel"/>
    <w:tmpl w:val="AA89AFC5"/>
    <w:lvl w:ilvl="0" w:tentative="0">
      <w:start w:val="2"/>
      <w:numFmt w:val="chineseCounting"/>
      <w:suff w:val="nothing"/>
      <w:lvlText w:val="%1、"/>
      <w:lvlJc w:val="left"/>
      <w:rPr>
        <w:rFonts w:hint="eastAsia"/>
      </w:rPr>
    </w:lvl>
  </w:abstractNum>
  <w:abstractNum w:abstractNumId="3">
    <w:nsid w:val="ABF3A20D"/>
    <w:multiLevelType w:val="multilevel"/>
    <w:tmpl w:val="ABF3A20D"/>
    <w:lvl w:ilvl="0" w:tentative="0">
      <w:start w:val="1"/>
      <w:numFmt w:val="decimal"/>
      <w:pStyle w:val="6"/>
      <w:suff w:val="space"/>
      <w:lvlText w:val="第%1章 "/>
      <w:lvlJc w:val="left"/>
      <w:pPr>
        <w:tabs>
          <w:tab w:val="left" w:pos="0"/>
        </w:tabs>
        <w:ind w:left="0" w:firstLine="0"/>
      </w:pPr>
      <w:rPr>
        <w:rFonts w:hint="default" w:ascii="Times New Roman" w:hAnsi="Times New Roman" w:eastAsia="宋体" w:cs="宋体"/>
      </w:rPr>
    </w:lvl>
    <w:lvl w:ilvl="1" w:tentative="0">
      <w:start w:val="1"/>
      <w:numFmt w:val="decimal"/>
      <w:pStyle w:val="7"/>
      <w:suff w:val="space"/>
      <w:lvlText w:val="%1.%2"/>
      <w:lvlJc w:val="left"/>
      <w:pPr>
        <w:ind w:left="0" w:firstLine="0"/>
      </w:pPr>
      <w:rPr>
        <w:rFonts w:hint="default" w:ascii="Times New Roman" w:hAnsi="Times New Roman" w:eastAsia="宋体" w:cs="宋体"/>
      </w:rPr>
    </w:lvl>
    <w:lvl w:ilvl="2" w:tentative="0">
      <w:start w:val="1"/>
      <w:numFmt w:val="decimal"/>
      <w:pStyle w:val="8"/>
      <w:suff w:val="space"/>
      <w:lvlText w:val="%1.%2.%3"/>
      <w:lvlJc w:val="left"/>
      <w:pPr>
        <w:ind w:left="0" w:firstLine="0"/>
      </w:pPr>
      <w:rPr>
        <w:rFonts w:hint="default" w:ascii="Times New Roman" w:hAnsi="Times New Roman" w:eastAsia="宋体" w:cs="宋体"/>
      </w:rPr>
    </w:lvl>
    <w:lvl w:ilvl="3" w:tentative="0">
      <w:start w:val="1"/>
      <w:numFmt w:val="decimal"/>
      <w:pStyle w:val="9"/>
      <w:suff w:val="space"/>
      <w:lvlText w:val="%1.%2.%3.%4"/>
      <w:lvlJc w:val="left"/>
      <w:pPr>
        <w:ind w:left="0" w:firstLine="0"/>
      </w:pPr>
      <w:rPr>
        <w:rFonts w:hint="default" w:ascii="Times New Roman" w:hAnsi="Times New Roman" w:eastAsia="宋体" w:cs="宋体"/>
      </w:rPr>
    </w:lvl>
    <w:lvl w:ilvl="4" w:tentative="0">
      <w:start w:val="1"/>
      <w:numFmt w:val="decimal"/>
      <w:pStyle w:val="10"/>
      <w:suff w:val="space"/>
      <w:lvlText w:val="%1.%2.%3.%4.%5"/>
      <w:lvlJc w:val="left"/>
      <w:pPr>
        <w:ind w:left="0" w:firstLine="0"/>
      </w:pPr>
      <w:rPr>
        <w:rFonts w:hint="default" w:ascii="Times New Roman" w:hAnsi="Times New Roman" w:eastAsia="宋体" w:cs="宋体"/>
      </w:rPr>
    </w:lvl>
    <w:lvl w:ilvl="5" w:tentative="0">
      <w:start w:val="1"/>
      <w:numFmt w:val="decimal"/>
      <w:pStyle w:val="11"/>
      <w:suff w:val="space"/>
      <w:lvlText w:val="%1.%2.%3.%4.%5.%6"/>
      <w:lvlJc w:val="left"/>
      <w:pPr>
        <w:ind w:left="0" w:firstLine="0"/>
      </w:pPr>
      <w:rPr>
        <w:rFonts w:hint="default" w:ascii="Times New Roman" w:hAnsi="Times New Roman" w:eastAsia="宋体" w:cs="宋体"/>
      </w:rPr>
    </w:lvl>
    <w:lvl w:ilvl="6" w:tentative="0">
      <w:start w:val="1"/>
      <w:numFmt w:val="decimal"/>
      <w:pStyle w:val="12"/>
      <w:suff w:val="space"/>
      <w:lvlText w:val="%1.%2.%3.%4.%5.%6.%7"/>
      <w:lvlJc w:val="left"/>
      <w:pPr>
        <w:ind w:left="0" w:firstLine="0"/>
      </w:pPr>
      <w:rPr>
        <w:rFonts w:hint="default" w:ascii="Times New Roman" w:hAnsi="Times New Roman" w:eastAsia="宋体" w:cs="宋体"/>
      </w:rPr>
    </w:lvl>
    <w:lvl w:ilvl="7" w:tentative="0">
      <w:start w:val="1"/>
      <w:numFmt w:val="decimal"/>
      <w:pStyle w:val="13"/>
      <w:suff w:val="space"/>
      <w:lvlText w:val="%1.%2.%3.%4.%5.%6.%7.%8"/>
      <w:lvlJc w:val="left"/>
      <w:pPr>
        <w:ind w:left="0" w:firstLine="0"/>
      </w:pPr>
      <w:rPr>
        <w:rFonts w:hint="default" w:ascii="Times New Roman" w:hAnsi="Times New Roman" w:eastAsia="宋体" w:cs="宋体"/>
      </w:rPr>
    </w:lvl>
    <w:lvl w:ilvl="8" w:tentative="0">
      <w:start w:val="1"/>
      <w:numFmt w:val="decimal"/>
      <w:pStyle w:val="14"/>
      <w:suff w:val="space"/>
      <w:lvlText w:val="%1.%2.%3.%4.%5.%6.%7.%8.%9"/>
      <w:lvlJc w:val="left"/>
      <w:pPr>
        <w:ind w:left="0" w:firstLine="0"/>
      </w:pPr>
      <w:rPr>
        <w:rFonts w:hint="default" w:ascii="Times New Roman" w:hAnsi="Times New Roman" w:eastAsia="宋体" w:cs="宋体"/>
      </w:rPr>
    </w:lvl>
  </w:abstractNum>
  <w:abstractNum w:abstractNumId="4">
    <w:nsid w:val="ADB11A69"/>
    <w:multiLevelType w:val="singleLevel"/>
    <w:tmpl w:val="ADB11A69"/>
    <w:lvl w:ilvl="0" w:tentative="0">
      <w:start w:val="1"/>
      <w:numFmt w:val="bullet"/>
      <w:lvlText w:val=""/>
      <w:lvlJc w:val="left"/>
      <w:pPr>
        <w:ind w:left="420" w:hanging="420"/>
      </w:pPr>
      <w:rPr>
        <w:rFonts w:hint="default" w:ascii="Wingdings" w:hAnsi="Wingdings"/>
      </w:rPr>
    </w:lvl>
  </w:abstractNum>
  <w:abstractNum w:abstractNumId="5">
    <w:nsid w:val="B6EA01B0"/>
    <w:multiLevelType w:val="singleLevel"/>
    <w:tmpl w:val="B6EA01B0"/>
    <w:lvl w:ilvl="0" w:tentative="0">
      <w:start w:val="1"/>
      <w:numFmt w:val="bullet"/>
      <w:lvlText w:val=""/>
      <w:lvlJc w:val="left"/>
      <w:pPr>
        <w:ind w:left="420" w:hanging="420"/>
      </w:pPr>
      <w:rPr>
        <w:rFonts w:hint="default" w:ascii="Wingdings" w:hAnsi="Wingdings"/>
      </w:rPr>
    </w:lvl>
  </w:abstractNum>
  <w:abstractNum w:abstractNumId="6">
    <w:nsid w:val="BA450BC3"/>
    <w:multiLevelType w:val="singleLevel"/>
    <w:tmpl w:val="BA450BC3"/>
    <w:lvl w:ilvl="0" w:tentative="0">
      <w:start w:val="1"/>
      <w:numFmt w:val="bullet"/>
      <w:lvlText w:val=""/>
      <w:lvlJc w:val="left"/>
      <w:pPr>
        <w:ind w:left="420" w:hanging="420"/>
      </w:pPr>
      <w:rPr>
        <w:rFonts w:hint="default" w:ascii="Wingdings" w:hAnsi="Wingdings"/>
      </w:rPr>
    </w:lvl>
  </w:abstractNum>
  <w:abstractNum w:abstractNumId="7">
    <w:nsid w:val="BF76BFF7"/>
    <w:multiLevelType w:val="singleLevel"/>
    <w:tmpl w:val="BF76BFF7"/>
    <w:lvl w:ilvl="0" w:tentative="0">
      <w:start w:val="1"/>
      <w:numFmt w:val="bullet"/>
      <w:lvlText w:val=""/>
      <w:lvlJc w:val="left"/>
      <w:pPr>
        <w:ind w:left="420" w:hanging="420"/>
      </w:pPr>
      <w:rPr>
        <w:rFonts w:hint="default" w:ascii="Wingdings" w:hAnsi="Wingdings"/>
      </w:rPr>
    </w:lvl>
  </w:abstractNum>
  <w:abstractNum w:abstractNumId="8">
    <w:nsid w:val="C6EA9785"/>
    <w:multiLevelType w:val="singleLevel"/>
    <w:tmpl w:val="C6EA9785"/>
    <w:lvl w:ilvl="0" w:tentative="0">
      <w:start w:val="1"/>
      <w:numFmt w:val="bullet"/>
      <w:lvlText w:val=""/>
      <w:lvlJc w:val="left"/>
      <w:pPr>
        <w:ind w:left="420" w:hanging="420"/>
      </w:pPr>
      <w:rPr>
        <w:rFonts w:hint="default" w:ascii="Wingdings" w:hAnsi="Wingdings"/>
      </w:rPr>
    </w:lvl>
  </w:abstractNum>
  <w:abstractNum w:abstractNumId="9">
    <w:nsid w:val="C74873A0"/>
    <w:multiLevelType w:val="singleLevel"/>
    <w:tmpl w:val="C74873A0"/>
    <w:lvl w:ilvl="0" w:tentative="0">
      <w:start w:val="1"/>
      <w:numFmt w:val="bullet"/>
      <w:lvlText w:val=""/>
      <w:lvlJc w:val="left"/>
      <w:pPr>
        <w:ind w:left="420" w:hanging="420"/>
      </w:pPr>
      <w:rPr>
        <w:rFonts w:hint="default" w:ascii="Wingdings" w:hAnsi="Wingdings"/>
      </w:rPr>
    </w:lvl>
  </w:abstractNum>
  <w:abstractNum w:abstractNumId="10">
    <w:nsid w:val="C93AC4E4"/>
    <w:multiLevelType w:val="singleLevel"/>
    <w:tmpl w:val="C93AC4E4"/>
    <w:lvl w:ilvl="0" w:tentative="0">
      <w:start w:val="1"/>
      <w:numFmt w:val="bullet"/>
      <w:lvlText w:val=""/>
      <w:lvlJc w:val="left"/>
      <w:pPr>
        <w:ind w:left="420" w:hanging="420"/>
      </w:pPr>
      <w:rPr>
        <w:rFonts w:hint="default" w:ascii="Wingdings" w:hAnsi="Wingdings"/>
      </w:rPr>
    </w:lvl>
  </w:abstractNum>
  <w:abstractNum w:abstractNumId="11">
    <w:nsid w:val="CE23C501"/>
    <w:multiLevelType w:val="singleLevel"/>
    <w:tmpl w:val="CE23C501"/>
    <w:lvl w:ilvl="0" w:tentative="0">
      <w:start w:val="1"/>
      <w:numFmt w:val="bullet"/>
      <w:lvlText w:val=""/>
      <w:lvlJc w:val="left"/>
      <w:pPr>
        <w:ind w:left="420" w:hanging="420"/>
      </w:pPr>
      <w:rPr>
        <w:rFonts w:hint="default" w:ascii="Wingdings" w:hAnsi="Wingdings"/>
      </w:rPr>
    </w:lvl>
  </w:abstractNum>
  <w:abstractNum w:abstractNumId="12">
    <w:nsid w:val="D1705B5E"/>
    <w:multiLevelType w:val="singleLevel"/>
    <w:tmpl w:val="D1705B5E"/>
    <w:lvl w:ilvl="0" w:tentative="0">
      <w:start w:val="1"/>
      <w:numFmt w:val="bullet"/>
      <w:lvlText w:val=""/>
      <w:lvlJc w:val="left"/>
      <w:pPr>
        <w:ind w:left="420" w:hanging="420"/>
      </w:pPr>
      <w:rPr>
        <w:rFonts w:hint="default" w:ascii="Wingdings" w:hAnsi="Wingdings"/>
      </w:rPr>
    </w:lvl>
  </w:abstractNum>
  <w:abstractNum w:abstractNumId="13">
    <w:nsid w:val="DFFF8339"/>
    <w:multiLevelType w:val="singleLevel"/>
    <w:tmpl w:val="DFFF8339"/>
    <w:lvl w:ilvl="0" w:tentative="0">
      <w:start w:val="1"/>
      <w:numFmt w:val="bullet"/>
      <w:lvlText w:val=""/>
      <w:lvlJc w:val="left"/>
      <w:pPr>
        <w:ind w:left="420" w:hanging="420"/>
      </w:pPr>
      <w:rPr>
        <w:rFonts w:hint="default" w:ascii="Wingdings" w:hAnsi="Wingdings"/>
      </w:rPr>
    </w:lvl>
  </w:abstractNum>
  <w:abstractNum w:abstractNumId="14">
    <w:nsid w:val="EC7765BF"/>
    <w:multiLevelType w:val="multilevel"/>
    <w:tmpl w:val="EC7765B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F587A252"/>
    <w:multiLevelType w:val="singleLevel"/>
    <w:tmpl w:val="F587A252"/>
    <w:lvl w:ilvl="0" w:tentative="0">
      <w:start w:val="1"/>
      <w:numFmt w:val="bullet"/>
      <w:lvlText w:val=""/>
      <w:lvlJc w:val="left"/>
      <w:pPr>
        <w:ind w:left="420" w:hanging="420"/>
      </w:pPr>
      <w:rPr>
        <w:rFonts w:hint="default" w:ascii="Wingdings" w:hAnsi="Wingdings"/>
      </w:rPr>
    </w:lvl>
  </w:abstractNum>
  <w:abstractNum w:abstractNumId="16">
    <w:nsid w:val="00000031"/>
    <w:multiLevelType w:val="multilevel"/>
    <w:tmpl w:val="00000031"/>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2744C14"/>
    <w:multiLevelType w:val="multilevel"/>
    <w:tmpl w:val="02744C14"/>
    <w:lvl w:ilvl="0" w:tentative="0">
      <w:start w:val="1"/>
      <w:numFmt w:val="decimal"/>
      <w:lvlText w:val="%1)"/>
      <w:lvlJc w:val="left"/>
      <w:pPr>
        <w:ind w:left="920" w:hanging="440"/>
      </w:pPr>
      <w:rPr>
        <w:b w:val="0"/>
        <w:bCs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8">
    <w:nsid w:val="041710BC"/>
    <w:multiLevelType w:val="multilevel"/>
    <w:tmpl w:val="041710BC"/>
    <w:lvl w:ilvl="0" w:tentative="0">
      <w:start w:val="28"/>
      <w:numFmt w:val="decimal"/>
      <w:lvlText w:val="%1"/>
      <w:lvlJc w:val="left"/>
      <w:pPr>
        <w:tabs>
          <w:tab w:val="left" w:pos="0"/>
        </w:tabs>
        <w:ind w:left="450" w:hanging="450"/>
      </w:pPr>
      <w:rPr>
        <w:rFonts w:hint="default"/>
      </w:rPr>
    </w:lvl>
    <w:lvl w:ilvl="1" w:tentative="0">
      <w:start w:val="1"/>
      <w:numFmt w:val="decimal"/>
      <w:lvlText w:val="%1.%2"/>
      <w:lvlJc w:val="left"/>
      <w:pPr>
        <w:tabs>
          <w:tab w:val="left" w:pos="0"/>
        </w:tabs>
        <w:ind w:left="450" w:hanging="450"/>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800" w:hanging="180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19">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0BAC12B5"/>
    <w:multiLevelType w:val="singleLevel"/>
    <w:tmpl w:val="0BAC12B5"/>
    <w:lvl w:ilvl="0" w:tentative="0">
      <w:start w:val="1"/>
      <w:numFmt w:val="bullet"/>
      <w:lvlText w:val=""/>
      <w:lvlJc w:val="left"/>
      <w:pPr>
        <w:ind w:left="420" w:hanging="420"/>
      </w:pPr>
      <w:rPr>
        <w:rFonts w:hint="default" w:ascii="Wingdings" w:hAnsi="Wingdings"/>
      </w:rPr>
    </w:lvl>
  </w:abstractNum>
  <w:abstractNum w:abstractNumId="21">
    <w:nsid w:val="0E631A2B"/>
    <w:multiLevelType w:val="multilevel"/>
    <w:tmpl w:val="0E631A2B"/>
    <w:lvl w:ilvl="0" w:tentative="0">
      <w:start w:val="1"/>
      <w:numFmt w:val="decimal"/>
      <w:lvlText w:val="%1."/>
      <w:lvlJc w:val="left"/>
      <w:pPr>
        <w:tabs>
          <w:tab w:val="left" w:pos="420"/>
        </w:tabs>
        <w:ind w:left="420" w:hanging="420"/>
      </w:pPr>
      <w:rPr>
        <w:rFonts w:hint="eastAsia" w:ascii="长城仿宋" w:hAnsi="黑体" w:eastAsia="长城仿宋" w:cs="黑体"/>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0FEE5CA2"/>
    <w:multiLevelType w:val="multilevel"/>
    <w:tmpl w:val="0FEE5CA2"/>
    <w:lvl w:ilvl="0" w:tentative="0">
      <w:start w:val="1"/>
      <w:numFmt w:val="decimal"/>
      <w:lvlText w:val="%1)"/>
      <w:lvlJc w:val="left"/>
      <w:pPr>
        <w:ind w:left="860" w:hanging="440"/>
      </w:pPr>
      <w:rPr>
        <w:b w:val="0"/>
        <w:bCs w:val="0"/>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3">
    <w:nsid w:val="140457B4"/>
    <w:multiLevelType w:val="singleLevel"/>
    <w:tmpl w:val="140457B4"/>
    <w:lvl w:ilvl="0" w:tentative="0">
      <w:start w:val="1"/>
      <w:numFmt w:val="bullet"/>
      <w:lvlText w:val=""/>
      <w:lvlJc w:val="left"/>
      <w:pPr>
        <w:ind w:left="420" w:hanging="420"/>
      </w:pPr>
      <w:rPr>
        <w:rFonts w:hint="default" w:ascii="Wingdings" w:hAnsi="Wingdings"/>
      </w:rPr>
    </w:lvl>
  </w:abstractNum>
  <w:abstractNum w:abstractNumId="24">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12.%2"/>
      <w:lvlJc w:val="left"/>
      <w:pPr>
        <w:tabs>
          <w:tab w:val="left" w:pos="567"/>
        </w:tabs>
        <w:ind w:left="567"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182A8E50"/>
    <w:multiLevelType w:val="singleLevel"/>
    <w:tmpl w:val="182A8E50"/>
    <w:lvl w:ilvl="0" w:tentative="0">
      <w:start w:val="1"/>
      <w:numFmt w:val="bullet"/>
      <w:lvlText w:val=""/>
      <w:lvlJc w:val="left"/>
      <w:pPr>
        <w:ind w:left="420" w:hanging="420"/>
      </w:pPr>
      <w:rPr>
        <w:rFonts w:hint="default" w:ascii="Wingdings" w:hAnsi="Wingdings"/>
      </w:rPr>
    </w:lvl>
  </w:abstractNum>
  <w:abstractNum w:abstractNumId="26">
    <w:nsid w:val="18EF380F"/>
    <w:multiLevelType w:val="multilevel"/>
    <w:tmpl w:val="18EF380F"/>
    <w:lvl w:ilvl="0" w:tentative="0">
      <w:start w:val="1"/>
      <w:numFmt w:val="none"/>
      <w:lvlText w:val="2"/>
      <w:lvlJc w:val="left"/>
      <w:pPr>
        <w:tabs>
          <w:tab w:val="left" w:pos="425"/>
        </w:tabs>
        <w:ind w:left="425" w:hanging="425"/>
      </w:pPr>
      <w:rPr>
        <w:rFonts w:hint="eastAsia"/>
      </w:rPr>
    </w:lvl>
    <w:lvl w:ilvl="1" w:tentative="0">
      <w:start w:val="1"/>
      <w:numFmt w:val="decimal"/>
      <w:lvlText w:val="%114.%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1A5DCDAE"/>
    <w:multiLevelType w:val="singleLevel"/>
    <w:tmpl w:val="1A5DCDAE"/>
    <w:lvl w:ilvl="0" w:tentative="0">
      <w:start w:val="1"/>
      <w:numFmt w:val="bullet"/>
      <w:lvlText w:val=""/>
      <w:lvlJc w:val="left"/>
      <w:pPr>
        <w:ind w:left="420" w:hanging="420"/>
      </w:pPr>
      <w:rPr>
        <w:rFonts w:hint="default" w:ascii="Wingdings" w:hAnsi="Wingdings"/>
      </w:rPr>
    </w:lvl>
  </w:abstractNum>
  <w:abstractNum w:abstractNumId="28">
    <w:nsid w:val="1EE44279"/>
    <w:multiLevelType w:val="multilevel"/>
    <w:tmpl w:val="1EE44279"/>
    <w:lvl w:ilvl="0" w:tentative="0">
      <w:start w:val="1"/>
      <w:numFmt w:val="decimal"/>
      <w:lvlText w:val="%1)"/>
      <w:lvlJc w:val="left"/>
      <w:pPr>
        <w:ind w:left="920" w:hanging="440"/>
      </w:pPr>
      <w:rPr>
        <w:b w:val="0"/>
        <w:bCs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9">
    <w:nsid w:val="1FB6D413"/>
    <w:multiLevelType w:val="singleLevel"/>
    <w:tmpl w:val="1FB6D413"/>
    <w:lvl w:ilvl="0" w:tentative="0">
      <w:start w:val="1"/>
      <w:numFmt w:val="bullet"/>
      <w:lvlText w:val=""/>
      <w:lvlJc w:val="left"/>
      <w:pPr>
        <w:ind w:left="420" w:hanging="420"/>
      </w:pPr>
      <w:rPr>
        <w:rFonts w:hint="default" w:ascii="Wingdings" w:hAnsi="Wingdings"/>
      </w:rPr>
    </w:lvl>
  </w:abstractNum>
  <w:abstractNum w:abstractNumId="30">
    <w:nsid w:val="2338CFF9"/>
    <w:multiLevelType w:val="singleLevel"/>
    <w:tmpl w:val="2338CFF9"/>
    <w:lvl w:ilvl="0" w:tentative="0">
      <w:start w:val="1"/>
      <w:numFmt w:val="bullet"/>
      <w:lvlText w:val=""/>
      <w:lvlJc w:val="left"/>
      <w:pPr>
        <w:ind w:left="420" w:hanging="420"/>
      </w:pPr>
      <w:rPr>
        <w:rFonts w:hint="default" w:ascii="Wingdings" w:hAnsi="Wingdings"/>
      </w:rPr>
    </w:lvl>
  </w:abstractNum>
  <w:abstractNum w:abstractNumId="31">
    <w:nsid w:val="2434239E"/>
    <w:multiLevelType w:val="multilevel"/>
    <w:tmpl w:val="2434239E"/>
    <w:lvl w:ilvl="0" w:tentative="0">
      <w:start w:val="1"/>
      <w:numFmt w:val="decimal"/>
      <w:lvlText w:val="%1."/>
      <w:lvlJc w:val="left"/>
      <w:pPr>
        <w:tabs>
          <w:tab w:val="left" w:pos="420"/>
        </w:tabs>
        <w:ind w:left="420" w:hanging="420"/>
      </w:pPr>
      <w:rPr>
        <w:rFonts w:hint="eastAsia" w:ascii="新宋体" w:hAnsi="新宋体" w:eastAsia="新宋体" w:cs="黑体"/>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2">
    <w:nsid w:val="277616FF"/>
    <w:multiLevelType w:val="multilevel"/>
    <w:tmpl w:val="277616F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9530730"/>
    <w:multiLevelType w:val="multilevel"/>
    <w:tmpl w:val="29530730"/>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4">
    <w:nsid w:val="2B0F1347"/>
    <w:multiLevelType w:val="multilevel"/>
    <w:tmpl w:val="2B0F1347"/>
    <w:lvl w:ilvl="0" w:tentative="0">
      <w:start w:val="1"/>
      <w:numFmt w:val="decimal"/>
      <w:lvlText w:val="%1)"/>
      <w:lvlJc w:val="left"/>
      <w:pPr>
        <w:ind w:left="920" w:hanging="440"/>
      </w:pPr>
      <w:rPr>
        <w:b w:val="0"/>
        <w:bCs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5">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3D71D046"/>
    <w:multiLevelType w:val="singleLevel"/>
    <w:tmpl w:val="3D71D046"/>
    <w:lvl w:ilvl="0" w:tentative="0">
      <w:start w:val="1"/>
      <w:numFmt w:val="bullet"/>
      <w:lvlText w:val=""/>
      <w:lvlJc w:val="left"/>
      <w:pPr>
        <w:ind w:left="420" w:hanging="420"/>
      </w:pPr>
      <w:rPr>
        <w:rFonts w:hint="default" w:ascii="Wingdings" w:hAnsi="Wingdings"/>
      </w:rPr>
    </w:lvl>
  </w:abstractNum>
  <w:abstractNum w:abstractNumId="37">
    <w:nsid w:val="3DA52CBD"/>
    <w:multiLevelType w:val="singleLevel"/>
    <w:tmpl w:val="3DA52CBD"/>
    <w:lvl w:ilvl="0" w:tentative="0">
      <w:start w:val="1"/>
      <w:numFmt w:val="bullet"/>
      <w:lvlText w:val=""/>
      <w:lvlJc w:val="left"/>
      <w:pPr>
        <w:ind w:left="420" w:hanging="420"/>
      </w:pPr>
      <w:rPr>
        <w:rFonts w:hint="default" w:ascii="Wingdings" w:hAnsi="Wingdings"/>
      </w:rPr>
    </w:lvl>
  </w:abstractNum>
  <w:abstractNum w:abstractNumId="38">
    <w:nsid w:val="468A61D0"/>
    <w:multiLevelType w:val="singleLevel"/>
    <w:tmpl w:val="468A61D0"/>
    <w:lvl w:ilvl="0" w:tentative="0">
      <w:start w:val="2"/>
      <w:numFmt w:val="chineseCounting"/>
      <w:suff w:val="space"/>
      <w:lvlText w:val="第%1部分"/>
      <w:lvlJc w:val="left"/>
      <w:rPr>
        <w:rFonts w:hint="eastAsia"/>
      </w:rPr>
    </w:lvl>
  </w:abstractNum>
  <w:abstractNum w:abstractNumId="39">
    <w:nsid w:val="4A5D258E"/>
    <w:multiLevelType w:val="multilevel"/>
    <w:tmpl w:val="4A5D258E"/>
    <w:lvl w:ilvl="0" w:tentative="0">
      <w:start w:val="5"/>
      <w:numFmt w:val="decimal"/>
      <w:lvlText w:val="%1."/>
      <w:lvlJc w:val="left"/>
      <w:pPr>
        <w:tabs>
          <w:tab w:val="left" w:pos="2264"/>
        </w:tabs>
        <w:ind w:left="2264" w:hanging="420"/>
      </w:pPr>
      <w:rPr>
        <w:rFonts w:hint="eastAsia" w:ascii="新宋体" w:hAnsi="新宋体" w:eastAsia="新宋体" w:cs="Tahoma"/>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40">
    <w:nsid w:val="4ABDF4CF"/>
    <w:multiLevelType w:val="singleLevel"/>
    <w:tmpl w:val="4ABDF4CF"/>
    <w:lvl w:ilvl="0" w:tentative="0">
      <w:start w:val="1"/>
      <w:numFmt w:val="bullet"/>
      <w:lvlText w:val=""/>
      <w:lvlJc w:val="left"/>
      <w:pPr>
        <w:ind w:left="420" w:hanging="420"/>
      </w:pPr>
      <w:rPr>
        <w:rFonts w:hint="default" w:ascii="Wingdings" w:hAnsi="Wingdings"/>
      </w:rPr>
    </w:lvl>
  </w:abstractNum>
  <w:abstractNum w:abstractNumId="41">
    <w:nsid w:val="4DD0725B"/>
    <w:multiLevelType w:val="multilevel"/>
    <w:tmpl w:val="4DD072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4DE33280"/>
    <w:multiLevelType w:val="multilevel"/>
    <w:tmpl w:val="4DE33280"/>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1701"/>
        </w:tabs>
        <w:ind w:left="1701" w:hanging="567"/>
      </w:pPr>
      <w:rPr>
        <w:rFonts w:hint="eastAsia" w:ascii="新宋体" w:hAnsi="新宋体" w:eastAsia="新宋体" w:cs="Tahom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3">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13.%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4">
    <w:nsid w:val="54E7480A"/>
    <w:multiLevelType w:val="singleLevel"/>
    <w:tmpl w:val="54E7480A"/>
    <w:lvl w:ilvl="0" w:tentative="0">
      <w:start w:val="1"/>
      <w:numFmt w:val="bullet"/>
      <w:lvlText w:val=""/>
      <w:lvlJc w:val="left"/>
      <w:pPr>
        <w:ind w:left="420" w:hanging="420"/>
      </w:pPr>
      <w:rPr>
        <w:rFonts w:hint="default" w:ascii="Wingdings" w:hAnsi="Wingdings"/>
      </w:rPr>
    </w:lvl>
  </w:abstractNum>
  <w:abstractNum w:abstractNumId="45">
    <w:nsid w:val="5A635D4D"/>
    <w:multiLevelType w:val="multilevel"/>
    <w:tmpl w:val="5A635D4D"/>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5D955C3D"/>
    <w:multiLevelType w:val="multilevel"/>
    <w:tmpl w:val="5D955C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609A4426"/>
    <w:multiLevelType w:val="multilevel"/>
    <w:tmpl w:val="609A44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62313067"/>
    <w:multiLevelType w:val="multilevel"/>
    <w:tmpl w:val="62313067"/>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64EE7D0F"/>
    <w:multiLevelType w:val="singleLevel"/>
    <w:tmpl w:val="64EE7D0F"/>
    <w:lvl w:ilvl="0" w:tentative="0">
      <w:start w:val="1"/>
      <w:numFmt w:val="bullet"/>
      <w:lvlText w:val=""/>
      <w:lvlJc w:val="left"/>
      <w:pPr>
        <w:ind w:left="420" w:hanging="420"/>
      </w:pPr>
      <w:rPr>
        <w:rFonts w:hint="default" w:ascii="Wingdings" w:hAnsi="Wingdings"/>
      </w:rPr>
    </w:lvl>
  </w:abstractNum>
  <w:abstractNum w:abstractNumId="50">
    <w:nsid w:val="66E938A8"/>
    <w:multiLevelType w:val="multilevel"/>
    <w:tmpl w:val="66E938A8"/>
    <w:lvl w:ilvl="0" w:tentative="0">
      <w:start w:val="23"/>
      <w:numFmt w:val="decimal"/>
      <w:lvlText w:val="%1"/>
      <w:lvlJc w:val="left"/>
      <w:pPr>
        <w:tabs>
          <w:tab w:val="left" w:pos="0"/>
        </w:tabs>
        <w:ind w:left="480" w:hanging="480"/>
      </w:pPr>
      <w:rPr>
        <w:rFonts w:hint="default"/>
      </w:rPr>
    </w:lvl>
    <w:lvl w:ilvl="1" w:tentative="0">
      <w:start w:val="1"/>
      <w:numFmt w:val="decimal"/>
      <w:lvlText w:val="%1.%2"/>
      <w:lvlJc w:val="left"/>
      <w:pPr>
        <w:tabs>
          <w:tab w:val="left" w:pos="0"/>
        </w:tabs>
        <w:ind w:left="480" w:hanging="480"/>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800" w:hanging="180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51">
    <w:nsid w:val="67AAAAC5"/>
    <w:multiLevelType w:val="singleLevel"/>
    <w:tmpl w:val="67AAAAC5"/>
    <w:lvl w:ilvl="0" w:tentative="0">
      <w:start w:val="1"/>
      <w:numFmt w:val="bullet"/>
      <w:lvlText w:val=""/>
      <w:lvlJc w:val="left"/>
      <w:pPr>
        <w:ind w:left="420" w:hanging="420"/>
      </w:pPr>
      <w:rPr>
        <w:rFonts w:hint="default" w:ascii="Wingdings" w:hAnsi="Wingdings"/>
      </w:rPr>
    </w:lvl>
  </w:abstractNum>
  <w:abstractNum w:abstractNumId="52">
    <w:nsid w:val="6A0C2561"/>
    <w:multiLevelType w:val="multilevel"/>
    <w:tmpl w:val="6A0C2561"/>
    <w:lvl w:ilvl="0" w:tentative="0">
      <w:start w:val="1"/>
      <w:numFmt w:val="bullet"/>
      <w:lvlText w:val=""/>
      <w:lvlJc w:val="left"/>
      <w:pPr>
        <w:ind w:left="1258" w:hanging="420"/>
      </w:pPr>
      <w:rPr>
        <w:rFonts w:hint="default" w:ascii="Wingdings" w:hAnsi="Wingdings"/>
      </w:rPr>
    </w:lvl>
    <w:lvl w:ilvl="1" w:tentative="0">
      <w:start w:val="1"/>
      <w:numFmt w:val="bullet"/>
      <w:lvlText w:val=""/>
      <w:lvlJc w:val="left"/>
      <w:pPr>
        <w:ind w:left="1678" w:hanging="420"/>
      </w:pPr>
      <w:rPr>
        <w:rFonts w:hint="default" w:ascii="Wingdings" w:hAnsi="Wingdings"/>
      </w:rPr>
    </w:lvl>
    <w:lvl w:ilvl="2" w:tentative="0">
      <w:start w:val="1"/>
      <w:numFmt w:val="bullet"/>
      <w:lvlText w:val=""/>
      <w:lvlJc w:val="left"/>
      <w:pPr>
        <w:ind w:left="2098" w:hanging="420"/>
      </w:pPr>
      <w:rPr>
        <w:rFonts w:hint="default" w:ascii="Wingdings" w:hAnsi="Wingdings"/>
      </w:rPr>
    </w:lvl>
    <w:lvl w:ilvl="3" w:tentative="0">
      <w:start w:val="1"/>
      <w:numFmt w:val="bullet"/>
      <w:lvlText w:val=""/>
      <w:lvlJc w:val="left"/>
      <w:pPr>
        <w:ind w:left="2518" w:hanging="420"/>
      </w:pPr>
      <w:rPr>
        <w:rFonts w:hint="default" w:ascii="Wingdings" w:hAnsi="Wingdings"/>
      </w:rPr>
    </w:lvl>
    <w:lvl w:ilvl="4" w:tentative="0">
      <w:start w:val="1"/>
      <w:numFmt w:val="bullet"/>
      <w:lvlText w:val=""/>
      <w:lvlJc w:val="left"/>
      <w:pPr>
        <w:ind w:left="2938" w:hanging="420"/>
      </w:pPr>
      <w:rPr>
        <w:rFonts w:hint="default" w:ascii="Wingdings" w:hAnsi="Wingdings"/>
      </w:rPr>
    </w:lvl>
    <w:lvl w:ilvl="5" w:tentative="0">
      <w:start w:val="1"/>
      <w:numFmt w:val="bullet"/>
      <w:lvlText w:val=""/>
      <w:lvlJc w:val="left"/>
      <w:pPr>
        <w:ind w:left="3358" w:hanging="420"/>
      </w:pPr>
      <w:rPr>
        <w:rFonts w:hint="default" w:ascii="Wingdings" w:hAnsi="Wingdings"/>
      </w:rPr>
    </w:lvl>
    <w:lvl w:ilvl="6" w:tentative="0">
      <w:start w:val="1"/>
      <w:numFmt w:val="bullet"/>
      <w:lvlText w:val=""/>
      <w:lvlJc w:val="left"/>
      <w:pPr>
        <w:ind w:left="3778" w:hanging="420"/>
      </w:pPr>
      <w:rPr>
        <w:rFonts w:hint="default" w:ascii="Wingdings" w:hAnsi="Wingdings"/>
      </w:rPr>
    </w:lvl>
    <w:lvl w:ilvl="7" w:tentative="0">
      <w:start w:val="1"/>
      <w:numFmt w:val="bullet"/>
      <w:lvlText w:val=""/>
      <w:lvlJc w:val="left"/>
      <w:pPr>
        <w:ind w:left="4198" w:hanging="420"/>
      </w:pPr>
      <w:rPr>
        <w:rFonts w:hint="default" w:ascii="Wingdings" w:hAnsi="Wingdings"/>
      </w:rPr>
    </w:lvl>
    <w:lvl w:ilvl="8" w:tentative="0">
      <w:start w:val="1"/>
      <w:numFmt w:val="bullet"/>
      <w:lvlText w:val=""/>
      <w:lvlJc w:val="left"/>
      <w:pPr>
        <w:ind w:left="4618" w:hanging="420"/>
      </w:pPr>
      <w:rPr>
        <w:rFonts w:hint="default" w:ascii="Wingdings" w:hAnsi="Wingdings"/>
      </w:rPr>
    </w:lvl>
  </w:abstractNum>
  <w:abstractNum w:abstractNumId="53">
    <w:nsid w:val="6A7849A8"/>
    <w:multiLevelType w:val="multilevel"/>
    <w:tmpl w:val="6A7849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6D06A3EC"/>
    <w:multiLevelType w:val="singleLevel"/>
    <w:tmpl w:val="6D06A3EC"/>
    <w:lvl w:ilvl="0" w:tentative="0">
      <w:start w:val="1"/>
      <w:numFmt w:val="bullet"/>
      <w:lvlText w:val=""/>
      <w:lvlJc w:val="left"/>
      <w:pPr>
        <w:ind w:left="420" w:hanging="420"/>
      </w:pPr>
      <w:rPr>
        <w:rFonts w:hint="default" w:ascii="Wingdings" w:hAnsi="Wingdings"/>
      </w:rPr>
    </w:lvl>
  </w:abstractNum>
  <w:abstractNum w:abstractNumId="55">
    <w:nsid w:val="6D092A5B"/>
    <w:multiLevelType w:val="singleLevel"/>
    <w:tmpl w:val="6D092A5B"/>
    <w:lvl w:ilvl="0" w:tentative="0">
      <w:start w:val="2"/>
      <w:numFmt w:val="decimal"/>
      <w:suff w:val="nothing"/>
      <w:lvlText w:val="%1）"/>
      <w:lvlJc w:val="left"/>
    </w:lvl>
  </w:abstractNum>
  <w:abstractNum w:abstractNumId="56">
    <w:nsid w:val="6F04E6FA"/>
    <w:multiLevelType w:val="singleLevel"/>
    <w:tmpl w:val="6F04E6FA"/>
    <w:lvl w:ilvl="0" w:tentative="0">
      <w:start w:val="1"/>
      <w:numFmt w:val="bullet"/>
      <w:lvlText w:val=""/>
      <w:lvlJc w:val="left"/>
      <w:pPr>
        <w:ind w:left="420" w:hanging="420"/>
      </w:pPr>
      <w:rPr>
        <w:rFonts w:hint="default" w:ascii="Wingdings" w:hAnsi="Wingdings"/>
      </w:rPr>
    </w:lvl>
  </w:abstractNum>
  <w:abstractNum w:abstractNumId="57">
    <w:nsid w:val="6F9E3E9C"/>
    <w:multiLevelType w:val="multilevel"/>
    <w:tmpl w:val="6F9E3E9C"/>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8">
    <w:nsid w:val="6FFB5221"/>
    <w:multiLevelType w:val="multilevel"/>
    <w:tmpl w:val="6FFB5221"/>
    <w:lvl w:ilvl="0" w:tentative="0">
      <w:start w:val="1"/>
      <w:numFmt w:val="none"/>
      <w:lvlText w:val="2"/>
      <w:lvlJc w:val="left"/>
      <w:pPr>
        <w:tabs>
          <w:tab w:val="left" w:pos="425"/>
        </w:tabs>
        <w:ind w:left="425" w:hanging="425"/>
      </w:pPr>
      <w:rPr>
        <w:rFonts w:hint="eastAsia"/>
      </w:rPr>
    </w:lvl>
    <w:lvl w:ilvl="1" w:tentative="0">
      <w:start w:val="1"/>
      <w:numFmt w:val="decimal"/>
      <w:lvlText w:val="%121.%2"/>
      <w:lvlJc w:val="left"/>
      <w:pPr>
        <w:tabs>
          <w:tab w:val="left" w:pos="850"/>
        </w:tabs>
        <w:ind w:left="850"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9">
    <w:nsid w:val="7104691F"/>
    <w:multiLevelType w:val="singleLevel"/>
    <w:tmpl w:val="7104691F"/>
    <w:lvl w:ilvl="0" w:tentative="0">
      <w:start w:val="1"/>
      <w:numFmt w:val="decimal"/>
      <w:suff w:val="nothing"/>
      <w:lvlText w:val="%1．"/>
      <w:lvlJc w:val="left"/>
      <w:pPr>
        <w:ind w:left="0" w:firstLine="400"/>
      </w:pPr>
      <w:rPr>
        <w:rFonts w:hint="default"/>
      </w:rPr>
    </w:lvl>
  </w:abstractNum>
  <w:abstractNum w:abstractNumId="60">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10.%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1">
    <w:nsid w:val="75780114"/>
    <w:multiLevelType w:val="singleLevel"/>
    <w:tmpl w:val="75780114"/>
    <w:lvl w:ilvl="0" w:tentative="0">
      <w:start w:val="1"/>
      <w:numFmt w:val="bullet"/>
      <w:lvlText w:val=""/>
      <w:lvlJc w:val="left"/>
      <w:pPr>
        <w:ind w:left="420" w:hanging="420"/>
      </w:pPr>
      <w:rPr>
        <w:rFonts w:hint="default" w:ascii="Wingdings" w:hAnsi="Wingdings"/>
      </w:rPr>
    </w:lvl>
  </w:abstractNum>
  <w:abstractNum w:abstractNumId="62">
    <w:nsid w:val="75E23BFC"/>
    <w:multiLevelType w:val="multilevel"/>
    <w:tmpl w:val="75E23BFC"/>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3">
    <w:nsid w:val="76DF1F21"/>
    <w:multiLevelType w:val="multilevel"/>
    <w:tmpl w:val="76DF1F21"/>
    <w:lvl w:ilvl="0" w:tentative="0">
      <w:start w:val="1"/>
      <w:numFmt w:val="none"/>
      <w:lvlText w:val="2"/>
      <w:lvlJc w:val="left"/>
      <w:pPr>
        <w:tabs>
          <w:tab w:val="left" w:pos="425"/>
        </w:tabs>
        <w:ind w:left="425" w:hanging="425"/>
      </w:pPr>
      <w:rPr>
        <w:rFonts w:hint="eastAsia"/>
      </w:rPr>
    </w:lvl>
    <w:lvl w:ilvl="1" w:tentative="0">
      <w:start w:val="1"/>
      <w:numFmt w:val="decimal"/>
      <w:lvlText w:val="%111.%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4">
    <w:nsid w:val="794E7442"/>
    <w:multiLevelType w:val="multilevel"/>
    <w:tmpl w:val="794E7442"/>
    <w:lvl w:ilvl="0" w:tentative="0">
      <w:start w:val="22"/>
      <w:numFmt w:val="decimal"/>
      <w:lvlText w:val="%1"/>
      <w:lvlJc w:val="left"/>
      <w:pPr>
        <w:tabs>
          <w:tab w:val="left" w:pos="0"/>
        </w:tabs>
        <w:ind w:left="450" w:hanging="450"/>
      </w:pPr>
      <w:rPr>
        <w:rFonts w:hint="default"/>
      </w:rPr>
    </w:lvl>
    <w:lvl w:ilvl="1" w:tentative="0">
      <w:start w:val="1"/>
      <w:numFmt w:val="decimal"/>
      <w:lvlText w:val="22.%2"/>
      <w:lvlJc w:val="left"/>
      <w:pPr>
        <w:tabs>
          <w:tab w:val="left" w:pos="0"/>
        </w:tabs>
        <w:ind w:left="985" w:hanging="450"/>
      </w:pPr>
      <w:rPr>
        <w:rFonts w:hint="default"/>
      </w:rPr>
    </w:lvl>
    <w:lvl w:ilvl="2" w:tentative="0">
      <w:start w:val="1"/>
      <w:numFmt w:val="decimal"/>
      <w:lvlText w:val="%1.%2.%3"/>
      <w:lvlJc w:val="left"/>
      <w:pPr>
        <w:tabs>
          <w:tab w:val="left" w:pos="0"/>
        </w:tabs>
        <w:ind w:left="1790" w:hanging="720"/>
      </w:pPr>
      <w:rPr>
        <w:rFonts w:hint="default"/>
      </w:rPr>
    </w:lvl>
    <w:lvl w:ilvl="3" w:tentative="0">
      <w:start w:val="1"/>
      <w:numFmt w:val="decimal"/>
      <w:lvlText w:val="%1.%2.%3.%4"/>
      <w:lvlJc w:val="left"/>
      <w:pPr>
        <w:tabs>
          <w:tab w:val="left" w:pos="0"/>
        </w:tabs>
        <w:ind w:left="2685" w:hanging="1080"/>
      </w:pPr>
      <w:rPr>
        <w:rFonts w:hint="default"/>
      </w:rPr>
    </w:lvl>
    <w:lvl w:ilvl="4" w:tentative="0">
      <w:start w:val="1"/>
      <w:numFmt w:val="decimal"/>
      <w:lvlText w:val="%1.%2.%3.%4.%5"/>
      <w:lvlJc w:val="left"/>
      <w:pPr>
        <w:tabs>
          <w:tab w:val="left" w:pos="0"/>
        </w:tabs>
        <w:ind w:left="3220" w:hanging="1080"/>
      </w:pPr>
      <w:rPr>
        <w:rFonts w:hint="default"/>
      </w:rPr>
    </w:lvl>
    <w:lvl w:ilvl="5" w:tentative="0">
      <w:start w:val="1"/>
      <w:numFmt w:val="decimal"/>
      <w:lvlText w:val="%1.%2.%3.%4.%5.%6"/>
      <w:lvlJc w:val="left"/>
      <w:pPr>
        <w:tabs>
          <w:tab w:val="left" w:pos="0"/>
        </w:tabs>
        <w:ind w:left="4115" w:hanging="1440"/>
      </w:pPr>
      <w:rPr>
        <w:rFonts w:hint="default"/>
      </w:rPr>
    </w:lvl>
    <w:lvl w:ilvl="6" w:tentative="0">
      <w:start w:val="1"/>
      <w:numFmt w:val="decimal"/>
      <w:lvlText w:val="%1.%2.%3.%4.%5.%6.%7"/>
      <w:lvlJc w:val="left"/>
      <w:pPr>
        <w:tabs>
          <w:tab w:val="left" w:pos="0"/>
        </w:tabs>
        <w:ind w:left="4650" w:hanging="1440"/>
      </w:pPr>
      <w:rPr>
        <w:rFonts w:hint="default"/>
      </w:rPr>
    </w:lvl>
    <w:lvl w:ilvl="7" w:tentative="0">
      <w:start w:val="1"/>
      <w:numFmt w:val="decimal"/>
      <w:lvlText w:val="%1.%2.%3.%4.%5.%6.%7.%8"/>
      <w:lvlJc w:val="left"/>
      <w:pPr>
        <w:tabs>
          <w:tab w:val="left" w:pos="0"/>
        </w:tabs>
        <w:ind w:left="5545" w:hanging="1800"/>
      </w:pPr>
      <w:rPr>
        <w:rFonts w:hint="default"/>
      </w:rPr>
    </w:lvl>
    <w:lvl w:ilvl="8" w:tentative="0">
      <w:start w:val="1"/>
      <w:numFmt w:val="decimal"/>
      <w:lvlText w:val="%1.%2.%3.%4.%5.%6.%7.%8.%9"/>
      <w:lvlJc w:val="left"/>
      <w:pPr>
        <w:tabs>
          <w:tab w:val="left" w:pos="0"/>
        </w:tabs>
        <w:ind w:left="6440" w:hanging="2160"/>
      </w:pPr>
      <w:rPr>
        <w:rFonts w:hint="default"/>
      </w:rPr>
    </w:lvl>
  </w:abstractNum>
  <w:num w:numId="1">
    <w:abstractNumId w:val="3"/>
  </w:num>
  <w:num w:numId="2">
    <w:abstractNumId w:val="31"/>
  </w:num>
  <w:num w:numId="3">
    <w:abstractNumId w:val="39"/>
  </w:num>
  <w:num w:numId="4">
    <w:abstractNumId w:val="42"/>
  </w:num>
  <w:num w:numId="5">
    <w:abstractNumId w:val="60"/>
  </w:num>
  <w:num w:numId="6">
    <w:abstractNumId w:val="63"/>
  </w:num>
  <w:num w:numId="7">
    <w:abstractNumId w:val="24"/>
  </w:num>
  <w:num w:numId="8">
    <w:abstractNumId w:val="21"/>
  </w:num>
  <w:num w:numId="9">
    <w:abstractNumId w:val="48"/>
  </w:num>
  <w:num w:numId="10">
    <w:abstractNumId w:val="43"/>
  </w:num>
  <w:num w:numId="11">
    <w:abstractNumId w:val="26"/>
  </w:num>
  <w:num w:numId="12">
    <w:abstractNumId w:val="57"/>
  </w:num>
  <w:num w:numId="13">
    <w:abstractNumId w:val="16"/>
  </w:num>
  <w:num w:numId="14">
    <w:abstractNumId w:val="19"/>
  </w:num>
  <w:num w:numId="15">
    <w:abstractNumId w:val="35"/>
  </w:num>
  <w:num w:numId="16">
    <w:abstractNumId w:val="58"/>
  </w:num>
  <w:num w:numId="17">
    <w:abstractNumId w:val="45"/>
  </w:num>
  <w:num w:numId="18">
    <w:abstractNumId w:val="64"/>
  </w:num>
  <w:num w:numId="19">
    <w:abstractNumId w:val="50"/>
  </w:num>
  <w:num w:numId="20">
    <w:abstractNumId w:val="18"/>
  </w:num>
  <w:num w:numId="21">
    <w:abstractNumId w:val="38"/>
  </w:num>
  <w:num w:numId="22">
    <w:abstractNumId w:val="14"/>
  </w:num>
  <w:num w:numId="23">
    <w:abstractNumId w:val="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1"/>
  </w:num>
  <w:num w:numId="27">
    <w:abstractNumId w:val="9"/>
  </w:num>
  <w:num w:numId="28">
    <w:abstractNumId w:val="29"/>
  </w:num>
  <w:num w:numId="29">
    <w:abstractNumId w:val="30"/>
  </w:num>
  <w:num w:numId="30">
    <w:abstractNumId w:val="36"/>
  </w:num>
  <w:num w:numId="31">
    <w:abstractNumId w:val="4"/>
  </w:num>
  <w:num w:numId="32">
    <w:abstractNumId w:val="25"/>
  </w:num>
  <w:num w:numId="33">
    <w:abstractNumId w:val="54"/>
  </w:num>
  <w:num w:numId="34">
    <w:abstractNumId w:val="5"/>
  </w:num>
  <w:num w:numId="35">
    <w:abstractNumId w:val="56"/>
  </w:num>
  <w:num w:numId="36">
    <w:abstractNumId w:val="27"/>
  </w:num>
  <w:num w:numId="37">
    <w:abstractNumId w:val="12"/>
  </w:num>
  <w:num w:numId="38">
    <w:abstractNumId w:val="15"/>
  </w:num>
  <w:num w:numId="39">
    <w:abstractNumId w:val="10"/>
  </w:num>
  <w:num w:numId="40">
    <w:abstractNumId w:val="0"/>
  </w:num>
  <w:num w:numId="41">
    <w:abstractNumId w:val="51"/>
  </w:num>
  <w:num w:numId="42">
    <w:abstractNumId w:val="44"/>
  </w:num>
  <w:num w:numId="43">
    <w:abstractNumId w:val="40"/>
  </w:num>
  <w:num w:numId="44">
    <w:abstractNumId w:val="32"/>
  </w:num>
  <w:num w:numId="45">
    <w:abstractNumId w:val="41"/>
  </w:num>
  <w:num w:numId="46">
    <w:abstractNumId w:val="52"/>
  </w:num>
  <w:num w:numId="47">
    <w:abstractNumId w:val="46"/>
  </w:num>
  <w:num w:numId="48">
    <w:abstractNumId w:val="62"/>
  </w:num>
  <w:num w:numId="49">
    <w:abstractNumId w:val="37"/>
  </w:num>
  <w:num w:numId="50">
    <w:abstractNumId w:val="6"/>
  </w:num>
  <w:num w:numId="51">
    <w:abstractNumId w:val="61"/>
  </w:num>
  <w:num w:numId="52">
    <w:abstractNumId w:val="20"/>
  </w:num>
  <w:num w:numId="53">
    <w:abstractNumId w:val="23"/>
  </w:num>
  <w:num w:numId="54">
    <w:abstractNumId w:val="13"/>
  </w:num>
  <w:num w:numId="55">
    <w:abstractNumId w:val="7"/>
  </w:num>
  <w:num w:numId="56">
    <w:abstractNumId w:val="1"/>
  </w:num>
  <w:num w:numId="57">
    <w:abstractNumId w:val="49"/>
  </w:num>
  <w:num w:numId="58">
    <w:abstractNumId w:val="53"/>
  </w:num>
  <w:num w:numId="59">
    <w:abstractNumId w:val="47"/>
  </w:num>
  <w:num w:numId="60">
    <w:abstractNumId w:val="28"/>
  </w:num>
  <w:num w:numId="61">
    <w:abstractNumId w:val="34"/>
  </w:num>
  <w:num w:numId="62">
    <w:abstractNumId w:val="22"/>
  </w:num>
  <w:num w:numId="63">
    <w:abstractNumId w:val="17"/>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num>
  <w:num w:numId="6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N2IxOTExMTI3NjhmMDFhMTkwZmRhYzFiMTY5OTUifQ=="/>
  </w:docVars>
  <w:rsids>
    <w:rsidRoot w:val="9FFCD81E"/>
    <w:rsid w:val="0000401C"/>
    <w:rsid w:val="000621BC"/>
    <w:rsid w:val="001968C8"/>
    <w:rsid w:val="001A2F39"/>
    <w:rsid w:val="002E6971"/>
    <w:rsid w:val="002F2F81"/>
    <w:rsid w:val="00310649"/>
    <w:rsid w:val="00341499"/>
    <w:rsid w:val="00543C92"/>
    <w:rsid w:val="0063377B"/>
    <w:rsid w:val="006D34DA"/>
    <w:rsid w:val="0072769F"/>
    <w:rsid w:val="00774FD0"/>
    <w:rsid w:val="007B2B4F"/>
    <w:rsid w:val="0083320D"/>
    <w:rsid w:val="008C0691"/>
    <w:rsid w:val="00961560"/>
    <w:rsid w:val="00A320E1"/>
    <w:rsid w:val="00A76C17"/>
    <w:rsid w:val="00AC1B10"/>
    <w:rsid w:val="00B153F8"/>
    <w:rsid w:val="00BF0D0A"/>
    <w:rsid w:val="00CE206E"/>
    <w:rsid w:val="00CE61CB"/>
    <w:rsid w:val="00EB751A"/>
    <w:rsid w:val="03C92A42"/>
    <w:rsid w:val="09410F65"/>
    <w:rsid w:val="0F231E64"/>
    <w:rsid w:val="111B02EE"/>
    <w:rsid w:val="12150991"/>
    <w:rsid w:val="159D1AE9"/>
    <w:rsid w:val="160D3E83"/>
    <w:rsid w:val="17D90767"/>
    <w:rsid w:val="190F698A"/>
    <w:rsid w:val="1B572D7A"/>
    <w:rsid w:val="1E2C1658"/>
    <w:rsid w:val="1EA118F4"/>
    <w:rsid w:val="1EF02DBA"/>
    <w:rsid w:val="1FF61C36"/>
    <w:rsid w:val="21A701B7"/>
    <w:rsid w:val="26B307AB"/>
    <w:rsid w:val="2EA2247D"/>
    <w:rsid w:val="2FF55B63"/>
    <w:rsid w:val="319105BA"/>
    <w:rsid w:val="3205716F"/>
    <w:rsid w:val="336B67BA"/>
    <w:rsid w:val="33AB4808"/>
    <w:rsid w:val="346A6D13"/>
    <w:rsid w:val="350120F7"/>
    <w:rsid w:val="354D78A7"/>
    <w:rsid w:val="387B38FC"/>
    <w:rsid w:val="391159AF"/>
    <w:rsid w:val="394552E0"/>
    <w:rsid w:val="3DBB0DE1"/>
    <w:rsid w:val="3DE6620B"/>
    <w:rsid w:val="3F15023A"/>
    <w:rsid w:val="3F774149"/>
    <w:rsid w:val="3F8646C1"/>
    <w:rsid w:val="44BE6888"/>
    <w:rsid w:val="45A40715"/>
    <w:rsid w:val="467F0AA7"/>
    <w:rsid w:val="46B75DE7"/>
    <w:rsid w:val="47DABC87"/>
    <w:rsid w:val="4921694D"/>
    <w:rsid w:val="49C16D4C"/>
    <w:rsid w:val="49C24614"/>
    <w:rsid w:val="4A031481"/>
    <w:rsid w:val="4A673DAF"/>
    <w:rsid w:val="4B7816CA"/>
    <w:rsid w:val="4BD01D15"/>
    <w:rsid w:val="4CCF4510"/>
    <w:rsid w:val="509A791A"/>
    <w:rsid w:val="527463D6"/>
    <w:rsid w:val="5288022E"/>
    <w:rsid w:val="575B27BF"/>
    <w:rsid w:val="5D2B41B6"/>
    <w:rsid w:val="5DAB5B22"/>
    <w:rsid w:val="5DEB4780"/>
    <w:rsid w:val="5F6366B5"/>
    <w:rsid w:val="602A31A1"/>
    <w:rsid w:val="63E95634"/>
    <w:rsid w:val="65705EF9"/>
    <w:rsid w:val="65ED4F2A"/>
    <w:rsid w:val="65FE0EE5"/>
    <w:rsid w:val="67C9789C"/>
    <w:rsid w:val="6852049F"/>
    <w:rsid w:val="6AAA0750"/>
    <w:rsid w:val="6BDFD331"/>
    <w:rsid w:val="6C1463B8"/>
    <w:rsid w:val="6D4B3198"/>
    <w:rsid w:val="6FBB7E47"/>
    <w:rsid w:val="6FFB125E"/>
    <w:rsid w:val="737FF3F6"/>
    <w:rsid w:val="74636FA8"/>
    <w:rsid w:val="74D23FB8"/>
    <w:rsid w:val="77DFD66B"/>
    <w:rsid w:val="78736479"/>
    <w:rsid w:val="78E17F85"/>
    <w:rsid w:val="78EF0B61"/>
    <w:rsid w:val="79AD7FA9"/>
    <w:rsid w:val="7ACE1B68"/>
    <w:rsid w:val="7B7C5C84"/>
    <w:rsid w:val="7BD340AB"/>
    <w:rsid w:val="7C1A5229"/>
    <w:rsid w:val="7C2A25DC"/>
    <w:rsid w:val="7C7F3151"/>
    <w:rsid w:val="7DF73115"/>
    <w:rsid w:val="7E6B7388"/>
    <w:rsid w:val="7E9D4B21"/>
    <w:rsid w:val="7EBB325C"/>
    <w:rsid w:val="7F974FB9"/>
    <w:rsid w:val="7FBB0E6E"/>
    <w:rsid w:val="7FF63ED2"/>
    <w:rsid w:val="7FFCA809"/>
    <w:rsid w:val="977D5D32"/>
    <w:rsid w:val="9FF1A19A"/>
    <w:rsid w:val="9FFCD81E"/>
    <w:rsid w:val="AFBB4942"/>
    <w:rsid w:val="AFEB47EF"/>
    <w:rsid w:val="B1FFA634"/>
    <w:rsid w:val="BBB9A3A5"/>
    <w:rsid w:val="BF6F9191"/>
    <w:rsid w:val="BFFF5778"/>
    <w:rsid w:val="C4FFB8AA"/>
    <w:rsid w:val="DFF7E031"/>
    <w:rsid w:val="DFFEFD2C"/>
    <w:rsid w:val="E69FE727"/>
    <w:rsid w:val="E9F7E4ED"/>
    <w:rsid w:val="EEE74702"/>
    <w:rsid w:val="EF7FD888"/>
    <w:rsid w:val="EFCB21ED"/>
    <w:rsid w:val="F37AB1C3"/>
    <w:rsid w:val="FFFE17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6">
    <w:name w:val="heading 1"/>
    <w:basedOn w:val="1"/>
    <w:next w:val="1"/>
    <w:link w:val="33"/>
    <w:qFormat/>
    <w:uiPriority w:val="9"/>
    <w:pPr>
      <w:keepNext/>
      <w:keepLines/>
      <w:numPr>
        <w:ilvl w:val="0"/>
        <w:numId w:val="1"/>
      </w:numPr>
      <w:outlineLvl w:val="0"/>
    </w:pPr>
    <w:rPr>
      <w:b/>
      <w:bCs/>
      <w:kern w:val="44"/>
      <w:sz w:val="36"/>
      <w:szCs w:val="44"/>
    </w:rPr>
  </w:style>
  <w:style w:type="paragraph" w:styleId="7">
    <w:name w:val="heading 2"/>
    <w:basedOn w:val="1"/>
    <w:next w:val="1"/>
    <w:link w:val="34"/>
    <w:unhideWhenUsed/>
    <w:qFormat/>
    <w:uiPriority w:val="9"/>
    <w:pPr>
      <w:keepNext/>
      <w:keepLines/>
      <w:numPr>
        <w:ilvl w:val="1"/>
        <w:numId w:val="1"/>
      </w:numPr>
      <w:tabs>
        <w:tab w:val="left" w:pos="0"/>
      </w:tabs>
      <w:outlineLvl w:val="1"/>
    </w:pPr>
    <w:rPr>
      <w:rFonts w:cstheme="majorBidi"/>
      <w:b/>
      <w:bCs/>
      <w:sz w:val="32"/>
      <w:szCs w:val="32"/>
    </w:rPr>
  </w:style>
  <w:style w:type="paragraph" w:styleId="8">
    <w:name w:val="heading 3"/>
    <w:basedOn w:val="1"/>
    <w:next w:val="1"/>
    <w:link w:val="35"/>
    <w:unhideWhenUsed/>
    <w:qFormat/>
    <w:uiPriority w:val="9"/>
    <w:pPr>
      <w:keepNext/>
      <w:keepLines/>
      <w:numPr>
        <w:ilvl w:val="2"/>
        <w:numId w:val="1"/>
      </w:numPr>
      <w:tabs>
        <w:tab w:val="left" w:pos="0"/>
      </w:tabs>
      <w:outlineLvl w:val="2"/>
    </w:pPr>
    <w:rPr>
      <w:b/>
      <w:bCs/>
      <w:sz w:val="30"/>
      <w:szCs w:val="32"/>
    </w:rPr>
  </w:style>
  <w:style w:type="paragraph" w:styleId="9">
    <w:name w:val="heading 4"/>
    <w:basedOn w:val="1"/>
    <w:next w:val="1"/>
    <w:link w:val="36"/>
    <w:unhideWhenUsed/>
    <w:qFormat/>
    <w:uiPriority w:val="9"/>
    <w:pPr>
      <w:keepNext/>
      <w:keepLines/>
      <w:numPr>
        <w:ilvl w:val="3"/>
        <w:numId w:val="1"/>
      </w:numPr>
      <w:tabs>
        <w:tab w:val="left" w:pos="0"/>
      </w:tabs>
      <w:outlineLvl w:val="3"/>
    </w:pPr>
    <w:rPr>
      <w:rFonts w:cstheme="majorBidi"/>
      <w:b/>
      <w:bCs/>
      <w:sz w:val="28"/>
      <w:szCs w:val="28"/>
    </w:rPr>
  </w:style>
  <w:style w:type="paragraph" w:styleId="10">
    <w:name w:val="heading 5"/>
    <w:basedOn w:val="1"/>
    <w:next w:val="1"/>
    <w:link w:val="37"/>
    <w:unhideWhenUsed/>
    <w:qFormat/>
    <w:uiPriority w:val="9"/>
    <w:pPr>
      <w:keepNext/>
      <w:keepLines/>
      <w:numPr>
        <w:ilvl w:val="4"/>
        <w:numId w:val="1"/>
      </w:numPr>
      <w:tabs>
        <w:tab w:val="left" w:pos="0"/>
      </w:tabs>
      <w:outlineLvl w:val="4"/>
    </w:pPr>
    <w:rPr>
      <w:b/>
      <w:bCs/>
      <w:sz w:val="28"/>
      <w:szCs w:val="28"/>
    </w:rPr>
  </w:style>
  <w:style w:type="paragraph" w:styleId="11">
    <w:name w:val="heading 6"/>
    <w:basedOn w:val="1"/>
    <w:next w:val="1"/>
    <w:link w:val="38"/>
    <w:unhideWhenUsed/>
    <w:qFormat/>
    <w:uiPriority w:val="9"/>
    <w:pPr>
      <w:keepNext/>
      <w:keepLines/>
      <w:numPr>
        <w:ilvl w:val="5"/>
        <w:numId w:val="1"/>
      </w:numPr>
      <w:tabs>
        <w:tab w:val="left" w:pos="0"/>
      </w:tabs>
      <w:outlineLvl w:val="5"/>
    </w:pPr>
    <w:rPr>
      <w:rFonts w:cs="Times New Roman" w:eastAsiaTheme="majorEastAsia"/>
      <w:b/>
      <w:bCs/>
      <w:szCs w:val="24"/>
    </w:rPr>
  </w:style>
  <w:style w:type="paragraph" w:styleId="12">
    <w:name w:val="heading 7"/>
    <w:basedOn w:val="1"/>
    <w:next w:val="1"/>
    <w:link w:val="39"/>
    <w:unhideWhenUsed/>
    <w:qFormat/>
    <w:uiPriority w:val="9"/>
    <w:pPr>
      <w:keepNext/>
      <w:keepLines/>
      <w:numPr>
        <w:ilvl w:val="6"/>
        <w:numId w:val="1"/>
      </w:numPr>
      <w:tabs>
        <w:tab w:val="left" w:pos="0"/>
      </w:tabs>
      <w:outlineLvl w:val="6"/>
    </w:pPr>
    <w:rPr>
      <w:b/>
      <w:bCs/>
      <w:szCs w:val="24"/>
    </w:rPr>
  </w:style>
  <w:style w:type="paragraph" w:styleId="13">
    <w:name w:val="heading 8"/>
    <w:basedOn w:val="1"/>
    <w:next w:val="1"/>
    <w:link w:val="40"/>
    <w:unhideWhenUsed/>
    <w:qFormat/>
    <w:uiPriority w:val="9"/>
    <w:pPr>
      <w:keepNext/>
      <w:keepLines/>
      <w:numPr>
        <w:ilvl w:val="7"/>
        <w:numId w:val="1"/>
      </w:numPr>
      <w:tabs>
        <w:tab w:val="left" w:pos="0"/>
      </w:tabs>
      <w:outlineLvl w:val="7"/>
    </w:pPr>
    <w:rPr>
      <w:rFonts w:asciiTheme="majorHAnsi" w:hAnsiTheme="majorHAnsi" w:eastAsiaTheme="majorEastAsia" w:cstheme="majorBidi"/>
      <w:b/>
      <w:szCs w:val="24"/>
    </w:rPr>
  </w:style>
  <w:style w:type="paragraph" w:styleId="14">
    <w:name w:val="heading 9"/>
    <w:basedOn w:val="1"/>
    <w:next w:val="1"/>
    <w:link w:val="41"/>
    <w:unhideWhenUsed/>
    <w:qFormat/>
    <w:uiPriority w:val="9"/>
    <w:pPr>
      <w:keepNext/>
      <w:keepLines/>
      <w:numPr>
        <w:ilvl w:val="8"/>
        <w:numId w:val="1"/>
      </w:numPr>
      <w:outlineLvl w:val="8"/>
    </w:pPr>
    <w:rPr>
      <w:rFonts w:asciiTheme="majorHAnsi" w:hAnsiTheme="majorHAnsi" w:eastAsiaTheme="majorEastAsia" w:cstheme="majorBidi"/>
      <w:b/>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表格文字"/>
    <w:next w:val="3"/>
    <w:qFormat/>
    <w:uiPriority w:val="0"/>
    <w:pPr>
      <w:widowControl/>
      <w:overflowPunct w:val="0"/>
      <w:autoSpaceDE w:val="0"/>
      <w:autoSpaceDN w:val="0"/>
      <w:adjustRightInd w:val="0"/>
      <w:jc w:val="left"/>
      <w:textAlignment w:val="baseline"/>
    </w:pPr>
    <w:rPr>
      <w:rFonts w:ascii="宋体" w:hAnsi="Courier New" w:eastAsia="宋体" w:cs="Times New Roman"/>
      <w:b/>
      <w:kern w:val="0"/>
      <w:sz w:val="21"/>
      <w:szCs w:val="24"/>
      <w:lang w:val="zh-CN" w:eastAsia="zh-CN" w:bidi="ar-SA"/>
    </w:rPr>
  </w:style>
  <w:style w:type="paragraph" w:styleId="3">
    <w:name w:val="Body Text"/>
    <w:basedOn w:val="1"/>
    <w:next w:val="4"/>
    <w:qFormat/>
    <w:uiPriority w:val="0"/>
    <w:pPr>
      <w:spacing w:after="120"/>
    </w:pPr>
    <w:rPr>
      <w:rFonts w:ascii="仿宋_GB2312"/>
      <w:b/>
    </w:rPr>
  </w:style>
  <w:style w:type="paragraph" w:styleId="4">
    <w:name w:val="Body Text First Indent"/>
    <w:basedOn w:val="3"/>
    <w:next w:val="5"/>
    <w:qFormat/>
    <w:uiPriority w:val="0"/>
    <w:pPr>
      <w:autoSpaceDE w:val="0"/>
      <w:autoSpaceDN w:val="0"/>
      <w:adjustRightInd w:val="0"/>
      <w:ind w:firstLine="420" w:firstLineChars="100"/>
      <w:jc w:val="left"/>
    </w:pPr>
    <w:rPr>
      <w:rFonts w:ascii="Times New Roman"/>
      <w:b w:val="0"/>
      <w:kern w:val="0"/>
      <w:sz w:val="20"/>
      <w:szCs w:val="20"/>
    </w:rPr>
  </w:style>
  <w:style w:type="paragraph" w:styleId="5">
    <w:name w:val="toc 6"/>
    <w:basedOn w:val="1"/>
    <w:next w:val="1"/>
    <w:qFormat/>
    <w:uiPriority w:val="0"/>
    <w:pPr>
      <w:autoSpaceDE w:val="0"/>
      <w:autoSpaceDN w:val="0"/>
      <w:adjustRightInd w:val="0"/>
      <w:ind w:left="2100" w:leftChars="1000"/>
      <w:jc w:val="left"/>
    </w:pPr>
    <w:rPr>
      <w:kern w:val="0"/>
      <w:sz w:val="20"/>
      <w:szCs w:val="20"/>
    </w:rPr>
  </w:style>
  <w:style w:type="paragraph" w:styleId="15">
    <w:name w:val="Normal Indent"/>
    <w:basedOn w:val="1"/>
    <w:qFormat/>
    <w:uiPriority w:val="0"/>
    <w:pPr>
      <w:ind w:firstLine="200" w:firstLineChars="200"/>
    </w:pPr>
  </w:style>
  <w:style w:type="paragraph" w:styleId="16">
    <w:name w:val="Body Text Indent"/>
    <w:basedOn w:val="1"/>
    <w:qFormat/>
    <w:uiPriority w:val="0"/>
    <w:pPr>
      <w:ind w:left="480" w:hanging="480" w:hangingChars="200"/>
    </w:pPr>
    <w:rPr>
      <w:sz w:val="24"/>
    </w:rPr>
  </w:style>
  <w:style w:type="paragraph" w:styleId="17">
    <w:name w:val="toc 3"/>
    <w:basedOn w:val="1"/>
    <w:next w:val="1"/>
    <w:unhideWhenUsed/>
    <w:qFormat/>
    <w:uiPriority w:val="39"/>
    <w:pPr>
      <w:ind w:left="840" w:leftChars="400"/>
    </w:pPr>
    <w:rPr>
      <w:rFonts w:ascii="Calibri" w:hAnsi="Calibri"/>
      <w:szCs w:val="22"/>
    </w:rPr>
  </w:style>
  <w:style w:type="paragraph" w:styleId="18">
    <w:name w:val="Plain Text"/>
    <w:basedOn w:val="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1">
    <w:name w:val="toc 1"/>
    <w:basedOn w:val="1"/>
    <w:next w:val="1"/>
    <w:qFormat/>
    <w:uiPriority w:val="39"/>
    <w:pPr>
      <w:tabs>
        <w:tab w:val="right" w:leader="dot" w:pos="9061"/>
      </w:tabs>
      <w:spacing w:line="480" w:lineRule="auto"/>
      <w:ind w:left="358" w:hanging="358" w:hangingChars="128"/>
    </w:pPr>
  </w:style>
  <w:style w:type="paragraph" w:styleId="22">
    <w:name w:val="toc 2"/>
    <w:basedOn w:val="1"/>
    <w:next w:val="1"/>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Wingdings" w:hAnsi="Wingdings" w:cs="Wingdings"/>
      <w:kern w:val="0"/>
      <w:sz w:val="24"/>
    </w:rPr>
  </w:style>
  <w:style w:type="table" w:styleId="25">
    <w:name w:val="Table Grid"/>
    <w:basedOn w:val="24"/>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qFormat/>
    <w:uiPriority w:val="99"/>
    <w:rPr>
      <w:color w:val="0000FF"/>
      <w:u w:val="single"/>
    </w:rPr>
  </w:style>
  <w:style w:type="paragraph" w:customStyle="1" w:styleId="29">
    <w:name w:val="图片居中"/>
    <w:basedOn w:val="1"/>
    <w:next w:val="1"/>
    <w:link w:val="31"/>
    <w:qFormat/>
    <w:uiPriority w:val="0"/>
    <w:pPr>
      <w:jc w:val="center"/>
    </w:pPr>
    <w:rPr>
      <w:rFonts w:ascii="宋体" w:hAnsi="宋体"/>
    </w:rPr>
  </w:style>
  <w:style w:type="paragraph" w:customStyle="1" w:styleId="30">
    <w:name w:val="宋体小四正文"/>
    <w:basedOn w:val="1"/>
    <w:qFormat/>
    <w:uiPriority w:val="0"/>
    <w:pPr>
      <w:ind w:firstLine="200" w:firstLineChars="200"/>
    </w:pPr>
    <w:rPr>
      <w:rFonts w:ascii="宋体" w:hAnsi="宋体"/>
      <w:color w:val="000000"/>
      <w:szCs w:val="28"/>
    </w:rPr>
  </w:style>
  <w:style w:type="character" w:customStyle="1" w:styleId="31">
    <w:name w:val="图片居中 字符"/>
    <w:basedOn w:val="26"/>
    <w:link w:val="29"/>
    <w:qFormat/>
    <w:uiPriority w:val="0"/>
    <w:rPr>
      <w:rFonts w:ascii="宋体" w:hAnsi="宋体" w:cstheme="minorBidi"/>
      <w:kern w:val="2"/>
      <w:sz w:val="24"/>
      <w:szCs w:val="22"/>
    </w:rPr>
  </w:style>
  <w:style w:type="paragraph" w:styleId="32">
    <w:name w:val="List Paragraph"/>
    <w:basedOn w:val="1"/>
    <w:qFormat/>
    <w:uiPriority w:val="0"/>
    <w:pPr>
      <w:ind w:firstLine="420" w:firstLineChars="200"/>
    </w:pPr>
    <w:rPr>
      <w:rFonts w:ascii="Cambria" w:hAnsi="Cambria"/>
    </w:rPr>
  </w:style>
  <w:style w:type="character" w:customStyle="1" w:styleId="33">
    <w:name w:val="标题 1 字符"/>
    <w:basedOn w:val="26"/>
    <w:link w:val="6"/>
    <w:qFormat/>
    <w:uiPriority w:val="9"/>
    <w:rPr>
      <w:rFonts w:cstheme="minorBidi"/>
      <w:b/>
      <w:bCs/>
      <w:kern w:val="44"/>
      <w:sz w:val="36"/>
      <w:szCs w:val="44"/>
    </w:rPr>
  </w:style>
  <w:style w:type="character" w:customStyle="1" w:styleId="34">
    <w:name w:val="标题 2 字符"/>
    <w:basedOn w:val="26"/>
    <w:link w:val="7"/>
    <w:qFormat/>
    <w:uiPriority w:val="9"/>
    <w:rPr>
      <w:rFonts w:cstheme="majorBidi"/>
      <w:b/>
      <w:bCs/>
      <w:kern w:val="2"/>
      <w:sz w:val="32"/>
      <w:szCs w:val="32"/>
    </w:rPr>
  </w:style>
  <w:style w:type="character" w:customStyle="1" w:styleId="35">
    <w:name w:val="标题 3 字符"/>
    <w:basedOn w:val="26"/>
    <w:link w:val="8"/>
    <w:qFormat/>
    <w:uiPriority w:val="9"/>
    <w:rPr>
      <w:rFonts w:cstheme="minorBidi"/>
      <w:b/>
      <w:bCs/>
      <w:kern w:val="2"/>
      <w:sz w:val="30"/>
      <w:szCs w:val="32"/>
    </w:rPr>
  </w:style>
  <w:style w:type="character" w:customStyle="1" w:styleId="36">
    <w:name w:val="标题 4 字符"/>
    <w:basedOn w:val="26"/>
    <w:link w:val="9"/>
    <w:qFormat/>
    <w:uiPriority w:val="9"/>
    <w:rPr>
      <w:rFonts w:cstheme="majorBidi"/>
      <w:b/>
      <w:bCs/>
      <w:kern w:val="2"/>
      <w:sz w:val="28"/>
      <w:szCs w:val="28"/>
    </w:rPr>
  </w:style>
  <w:style w:type="character" w:customStyle="1" w:styleId="37">
    <w:name w:val="标题 5 字符"/>
    <w:basedOn w:val="26"/>
    <w:link w:val="10"/>
    <w:qFormat/>
    <w:uiPriority w:val="9"/>
    <w:rPr>
      <w:rFonts w:cstheme="minorBidi"/>
      <w:b/>
      <w:bCs/>
      <w:kern w:val="2"/>
      <w:sz w:val="28"/>
      <w:szCs w:val="28"/>
    </w:rPr>
  </w:style>
  <w:style w:type="character" w:customStyle="1" w:styleId="38">
    <w:name w:val="标题 6 字符"/>
    <w:basedOn w:val="26"/>
    <w:link w:val="11"/>
    <w:qFormat/>
    <w:uiPriority w:val="9"/>
    <w:rPr>
      <w:rFonts w:eastAsiaTheme="majorEastAsia"/>
      <w:b/>
      <w:bCs/>
      <w:kern w:val="2"/>
      <w:sz w:val="24"/>
      <w:szCs w:val="24"/>
    </w:rPr>
  </w:style>
  <w:style w:type="character" w:customStyle="1" w:styleId="39">
    <w:name w:val="标题 7 字符"/>
    <w:basedOn w:val="26"/>
    <w:link w:val="12"/>
    <w:qFormat/>
    <w:uiPriority w:val="9"/>
    <w:rPr>
      <w:rFonts w:cstheme="minorBidi"/>
      <w:b/>
      <w:bCs/>
      <w:kern w:val="2"/>
      <w:sz w:val="24"/>
      <w:szCs w:val="24"/>
    </w:rPr>
  </w:style>
  <w:style w:type="character" w:customStyle="1" w:styleId="40">
    <w:name w:val="标题 8 字符"/>
    <w:basedOn w:val="26"/>
    <w:link w:val="13"/>
    <w:qFormat/>
    <w:uiPriority w:val="9"/>
    <w:rPr>
      <w:rFonts w:asciiTheme="majorHAnsi" w:hAnsiTheme="majorHAnsi" w:eastAsiaTheme="majorEastAsia" w:cstheme="majorBidi"/>
      <w:b/>
      <w:kern w:val="2"/>
      <w:sz w:val="24"/>
      <w:szCs w:val="24"/>
    </w:rPr>
  </w:style>
  <w:style w:type="character" w:customStyle="1" w:styleId="41">
    <w:name w:val="标题 9 字符"/>
    <w:basedOn w:val="26"/>
    <w:link w:val="14"/>
    <w:qFormat/>
    <w:uiPriority w:val="9"/>
    <w:rPr>
      <w:rFonts w:asciiTheme="majorHAnsi" w:hAnsiTheme="majorHAnsi" w:eastAsiaTheme="majorEastAsia" w:cstheme="majorBidi"/>
      <w:b/>
      <w:kern w:val="2"/>
      <w:sz w:val="24"/>
      <w:szCs w:val="21"/>
    </w:rPr>
  </w:style>
  <w:style w:type="paragraph" w:customStyle="1" w:styleId="42">
    <w:name w:val="模板正文"/>
    <w:basedOn w:val="1"/>
    <w:next w:val="3"/>
    <w:qFormat/>
    <w:uiPriority w:val="0"/>
    <w:pPr>
      <w:wordWrap w:val="0"/>
      <w:adjustRightInd w:val="0"/>
      <w:snapToGrid w:val="0"/>
      <w:spacing w:beforeLines="50" w:afterLines="50" w:line="240" w:lineRule="auto"/>
      <w:ind w:firstLine="480" w:firstLineChars="200"/>
    </w:pPr>
    <w:rPr>
      <w:rFonts w:ascii="Calibri" w:hAnsi="Calibri" w:cs="Times New Roman"/>
      <w:kern w:val="0"/>
      <w:sz w:val="21"/>
      <w:szCs w:val="21"/>
    </w:rPr>
  </w:style>
  <w:style w:type="character" w:customStyle="1" w:styleId="43">
    <w:name w:val="font21"/>
    <w:basedOn w:val="26"/>
    <w:qFormat/>
    <w:uiPriority w:val="0"/>
    <w:rPr>
      <w:rFonts w:hint="eastAsia" w:ascii="新宋体" w:hAnsi="新宋体" w:eastAsia="新宋体"/>
      <w:color w:val="000000"/>
      <w:sz w:val="22"/>
      <w:szCs w:val="22"/>
      <w:u w:val="none"/>
    </w:rPr>
  </w:style>
  <w:style w:type="character" w:customStyle="1" w:styleId="44">
    <w:name w:val="font01"/>
    <w:basedOn w:val="26"/>
    <w:qFormat/>
    <w:uiPriority w:val="0"/>
    <w:rPr>
      <w:rFonts w:hint="eastAsia" w:ascii="宋体" w:hAnsi="宋体" w:eastAsia="宋体"/>
      <w:color w:val="000000"/>
      <w:sz w:val="22"/>
      <w:szCs w:val="22"/>
      <w:u w:val="none"/>
    </w:rPr>
  </w:style>
  <w:style w:type="paragraph" w:customStyle="1" w:styleId="45">
    <w:name w:val="列出段落2"/>
    <w:basedOn w:val="1"/>
    <w:qFormat/>
    <w:uiPriority w:val="0"/>
    <w:pPr>
      <w:spacing w:line="240" w:lineRule="auto"/>
      <w:ind w:firstLine="200" w:firstLineChars="200"/>
    </w:pPr>
    <w:rPr>
      <w:rFonts w:ascii="Calibri" w:hAnsi="Calibri" w:cs="Times New Roman"/>
      <w:szCs w:val="24"/>
    </w:rPr>
  </w:style>
  <w:style w:type="paragraph" w:customStyle="1" w:styleId="46">
    <w:name w:val="_Style 2"/>
    <w:basedOn w:val="1"/>
    <w:qFormat/>
    <w:uiPriority w:val="0"/>
    <w:pPr>
      <w:ind w:firstLine="420" w:firstLineChars="200"/>
    </w:pPr>
    <w:rPr>
      <w:rFonts w:ascii="Calibri" w:hAnsi="Calibri"/>
      <w:szCs w:val="22"/>
    </w:rPr>
  </w:style>
  <w:style w:type="paragraph" w:customStyle="1" w:styleId="47">
    <w:name w:val="正文_1_0_0"/>
    <w:qFormat/>
    <w:uiPriority w:val="0"/>
    <w:pPr>
      <w:widowControl w:val="0"/>
      <w:jc w:val="both"/>
    </w:pPr>
    <w:rPr>
      <w:rFonts w:ascii="Calibri" w:hAnsi="Calibri" w:eastAsia="等线" w:cs="Calibri Light"/>
      <w:kern w:val="2"/>
      <w:sz w:val="21"/>
      <w:szCs w:val="21"/>
      <w:lang w:val="en-US" w:eastAsia="zh-CN" w:bidi="ar-SA"/>
    </w:rPr>
  </w:style>
  <w:style w:type="paragraph" w:customStyle="1" w:styleId="48">
    <w:name w:val="正文_1"/>
    <w:basedOn w:val="1"/>
    <w:qFormat/>
    <w:uiPriority w:val="0"/>
    <w:rPr>
      <w:rFonts w:ascii="Calibri" w:hAnsi="Calibri" w:cs="Calibri"/>
      <w:szCs w:val="21"/>
    </w:rPr>
  </w:style>
  <w:style w:type="paragraph" w:customStyle="1" w:styleId="49">
    <w:name w:val="Normal Indent1"/>
    <w:basedOn w:val="1"/>
    <w:next w:val="3"/>
    <w:qFormat/>
    <w:uiPriority w:val="0"/>
    <w:pPr>
      <w:ind w:firstLine="420"/>
    </w:pPr>
    <w:rPr>
      <w:rFonts w:ascii="Calibri" w:hAnsi="Calibri" w:eastAsia="宋体" w:cs="Arial"/>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62654</Words>
  <Characters>65483</Characters>
  <Lines>1</Lines>
  <Paragraphs>1</Paragraphs>
  <TotalTime>51</TotalTime>
  <ScaleCrop>false</ScaleCrop>
  <LinksUpToDate>false</LinksUpToDate>
  <CharactersWithSpaces>68147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2024-06-27T09:37:00Z</dcterms:created>
  <dc:creator>WPS_1481935680</dc:creator>
  <cp:lastModifiedBy>byj</cp:lastModifiedBy>
  <dcterms:modified xsi:type="dcterms:W3CDTF">2024-07-26T08:50:00Z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3B1666958B5141E7829922DFC0F5BF8E_13</vt:lpwstr>
  </property>
</Properties>
</file>