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rPr>
          <w:rFonts w:hint="eastAsia" w:ascii="宋体" w:hAnsi="宋体" w:eastAsia="宋体" w:cs="宋体"/>
          <w:b/>
          <w:bCs/>
          <w:spacing w:val="120"/>
          <w:sz w:val="72"/>
          <w:szCs w:val="72"/>
          <w:highlight w:val="none"/>
        </w:rPr>
      </w:pPr>
    </w:p>
    <w:p>
      <w:pPr>
        <w:autoSpaceDE w:val="0"/>
        <w:autoSpaceDN w:val="0"/>
        <w:spacing w:line="500" w:lineRule="atLeast"/>
        <w:jc w:val="center"/>
        <w:textAlignment w:val="bottom"/>
        <w:rPr>
          <w:rFonts w:hint="eastAsia" w:ascii="宋体" w:hAnsi="宋体" w:eastAsia="宋体" w:cs="宋体"/>
          <w:bCs/>
          <w:spacing w:val="227"/>
          <w:sz w:val="72"/>
          <w:szCs w:val="72"/>
          <w:highlight w:val="none"/>
        </w:rPr>
      </w:pPr>
      <w:r>
        <w:rPr>
          <w:rFonts w:hint="eastAsia" w:ascii="宋体" w:hAnsi="宋体" w:eastAsia="宋体" w:cs="宋体"/>
          <w:bCs/>
          <w:spacing w:val="227"/>
          <w:sz w:val="72"/>
          <w:szCs w:val="72"/>
          <w:highlight w:val="none"/>
        </w:rPr>
        <w:t>温州市国有企业</w:t>
      </w:r>
    </w:p>
    <w:p>
      <w:pPr>
        <w:spacing w:line="400" w:lineRule="atLeast"/>
        <w:jc w:val="center"/>
        <w:rPr>
          <w:rFonts w:hint="eastAsia" w:ascii="宋体" w:hAnsi="宋体" w:eastAsia="宋体" w:cs="宋体"/>
          <w:b/>
          <w:sz w:val="52"/>
          <w:szCs w:val="24"/>
          <w:highlight w:val="none"/>
        </w:rPr>
      </w:pPr>
    </w:p>
    <w:p>
      <w:pPr>
        <w:spacing w:line="400" w:lineRule="atLeast"/>
        <w:jc w:val="center"/>
        <w:rPr>
          <w:rFonts w:hint="eastAsia" w:ascii="宋体" w:hAnsi="宋体" w:eastAsia="宋体" w:cs="宋体"/>
          <w:b/>
          <w:sz w:val="52"/>
          <w:szCs w:val="24"/>
          <w:highlight w:val="none"/>
        </w:rPr>
      </w:pPr>
    </w:p>
    <w:p>
      <w:pPr>
        <w:autoSpaceDE w:val="0"/>
        <w:autoSpaceDN w:val="0"/>
        <w:spacing w:line="500" w:lineRule="atLeast"/>
        <w:jc w:val="center"/>
        <w:textAlignment w:val="bottom"/>
        <w:rPr>
          <w:rFonts w:hint="eastAsia" w:ascii="宋体" w:hAnsi="宋体" w:eastAsia="宋体" w:cs="宋体"/>
          <w:b/>
          <w:sz w:val="72"/>
          <w:szCs w:val="72"/>
          <w:highlight w:val="none"/>
        </w:rPr>
      </w:pPr>
      <w:r>
        <w:rPr>
          <w:rFonts w:hint="eastAsia" w:ascii="宋体" w:hAnsi="宋体" w:eastAsia="宋体" w:cs="宋体"/>
          <w:b/>
          <w:sz w:val="72"/>
          <w:szCs w:val="72"/>
          <w:highlight w:val="none"/>
        </w:rPr>
        <w:t>采  购  文  件</w:t>
      </w:r>
    </w:p>
    <w:p>
      <w:pPr>
        <w:spacing w:line="400" w:lineRule="exact"/>
        <w:jc w:val="center"/>
        <w:rPr>
          <w:rFonts w:hint="eastAsia" w:ascii="宋体" w:hAnsi="宋体" w:eastAsia="宋体" w:cs="宋体"/>
          <w:b/>
          <w:sz w:val="32"/>
          <w:szCs w:val="24"/>
          <w:highlight w:val="none"/>
        </w:rPr>
      </w:pPr>
    </w:p>
    <w:p>
      <w:pPr>
        <w:spacing w:line="400" w:lineRule="exact"/>
        <w:jc w:val="center"/>
        <w:rPr>
          <w:rFonts w:hint="eastAsia" w:ascii="宋体" w:hAnsi="宋体" w:eastAsia="宋体" w:cs="宋体"/>
          <w:b/>
          <w:sz w:val="32"/>
          <w:szCs w:val="24"/>
          <w:highlight w:val="none"/>
        </w:rPr>
      </w:pPr>
    </w:p>
    <w:tbl>
      <w:tblPr>
        <w:tblStyle w:val="25"/>
        <w:tblW w:w="0" w:type="auto"/>
        <w:jc w:val="center"/>
        <w:tblLayout w:type="fixed"/>
        <w:tblCellMar>
          <w:top w:w="0" w:type="dxa"/>
          <w:left w:w="108" w:type="dxa"/>
          <w:bottom w:w="0" w:type="dxa"/>
          <w:right w:w="108" w:type="dxa"/>
        </w:tblCellMar>
      </w:tblPr>
      <w:tblGrid>
        <w:gridCol w:w="1584"/>
        <w:gridCol w:w="240"/>
        <w:gridCol w:w="3712"/>
      </w:tblGrid>
      <w:tr>
        <w:tblPrEx>
          <w:tblCellMar>
            <w:top w:w="0" w:type="dxa"/>
            <w:left w:w="108" w:type="dxa"/>
            <w:bottom w:w="0" w:type="dxa"/>
            <w:right w:w="108" w:type="dxa"/>
          </w:tblCellMar>
        </w:tblPrEx>
        <w:trPr>
          <w:trHeight w:val="659" w:hRule="atLeast"/>
          <w:jc w:val="center"/>
        </w:trPr>
        <w:tc>
          <w:tcPr>
            <w:tcW w:w="1584" w:type="dxa"/>
            <w:vAlign w:val="center"/>
          </w:tcPr>
          <w:p>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采购编号</w:t>
            </w:r>
          </w:p>
        </w:tc>
        <w:tc>
          <w:tcPr>
            <w:tcW w:w="24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712" w:type="dxa"/>
            <w:vAlign w:val="center"/>
          </w:tcPr>
          <w:p>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WGSS-JFJT-Z-2024008</w:t>
            </w:r>
          </w:p>
        </w:tc>
      </w:tr>
      <w:tr>
        <w:tblPrEx>
          <w:tblCellMar>
            <w:top w:w="0" w:type="dxa"/>
            <w:left w:w="108" w:type="dxa"/>
            <w:bottom w:w="0" w:type="dxa"/>
            <w:right w:w="108" w:type="dxa"/>
          </w:tblCellMar>
        </w:tblPrEx>
        <w:trPr>
          <w:trHeight w:val="614" w:hRule="atLeast"/>
          <w:jc w:val="center"/>
        </w:trPr>
        <w:tc>
          <w:tcPr>
            <w:tcW w:w="1584" w:type="dxa"/>
            <w:vAlign w:val="center"/>
          </w:tcPr>
          <w:p>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项目名称</w:t>
            </w:r>
          </w:p>
        </w:tc>
        <w:tc>
          <w:tcPr>
            <w:tcW w:w="24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712" w:type="dxa"/>
            <w:vAlign w:val="center"/>
          </w:tcPr>
          <w:p>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“瓯江红·畅美高速”党群服务中心物业服务</w:t>
            </w:r>
          </w:p>
        </w:tc>
      </w:tr>
      <w:tr>
        <w:tblPrEx>
          <w:tblCellMar>
            <w:top w:w="0" w:type="dxa"/>
            <w:left w:w="108" w:type="dxa"/>
            <w:bottom w:w="0" w:type="dxa"/>
            <w:right w:w="108" w:type="dxa"/>
          </w:tblCellMar>
        </w:tblPrEx>
        <w:trPr>
          <w:trHeight w:val="614" w:hRule="atLeast"/>
          <w:jc w:val="center"/>
        </w:trPr>
        <w:tc>
          <w:tcPr>
            <w:tcW w:w="1584" w:type="dxa"/>
            <w:vAlign w:val="center"/>
          </w:tcPr>
          <w:p>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采购方式</w:t>
            </w:r>
          </w:p>
        </w:tc>
        <w:tc>
          <w:tcPr>
            <w:tcW w:w="24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712" w:type="dxa"/>
            <w:vAlign w:val="center"/>
          </w:tcPr>
          <w:p>
            <w:pPr>
              <w:adjustRightInd w:val="0"/>
              <w:snapToGrid w:val="0"/>
              <w:spacing w:line="44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公开招标</w:t>
            </w:r>
          </w:p>
        </w:tc>
      </w:tr>
    </w:tbl>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tbl>
      <w:tblPr>
        <w:tblStyle w:val="25"/>
        <w:tblW w:w="0" w:type="auto"/>
        <w:jc w:val="center"/>
        <w:tblLayout w:type="fixed"/>
        <w:tblCellMar>
          <w:top w:w="0" w:type="dxa"/>
          <w:left w:w="108" w:type="dxa"/>
          <w:bottom w:w="0" w:type="dxa"/>
          <w:right w:w="108" w:type="dxa"/>
        </w:tblCellMar>
      </w:tblPr>
      <w:tblGrid>
        <w:gridCol w:w="2199"/>
        <w:gridCol w:w="360"/>
        <w:gridCol w:w="4789"/>
      </w:tblGrid>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采购人</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温州市高速公路资产经营有限公司</w:t>
            </w:r>
          </w:p>
        </w:tc>
      </w:tr>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采购代理机构</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浙江国际招投标有限公司</w:t>
            </w:r>
          </w:p>
        </w:tc>
      </w:tr>
    </w:tbl>
    <w:p>
      <w:pPr>
        <w:spacing w:before="156" w:beforeLines="50" w:line="360" w:lineRule="auto"/>
        <w:jc w:val="center"/>
        <w:rPr>
          <w:rFonts w:hint="eastAsia" w:ascii="宋体" w:hAnsi="宋体" w:eastAsia="宋体" w:cs="宋体"/>
          <w:spacing w:val="40"/>
          <w:sz w:val="30"/>
          <w:szCs w:val="30"/>
          <w:highlight w:val="none"/>
          <w:lang w:val="en-US" w:eastAsia="zh-CN"/>
        </w:rPr>
      </w:pPr>
      <w:r>
        <w:rPr>
          <w:rFonts w:hint="eastAsia" w:ascii="宋体" w:hAnsi="宋体" w:eastAsia="宋体" w:cs="宋体"/>
          <w:spacing w:val="40"/>
          <w:sz w:val="30"/>
          <w:szCs w:val="30"/>
          <w:highlight w:val="none"/>
        </w:rPr>
        <w:t>二〇二</w:t>
      </w:r>
      <w:r>
        <w:rPr>
          <w:rFonts w:hint="eastAsia" w:ascii="宋体" w:hAnsi="宋体" w:eastAsia="宋体" w:cs="宋体"/>
          <w:spacing w:val="40"/>
          <w:sz w:val="30"/>
          <w:szCs w:val="30"/>
          <w:highlight w:val="none"/>
          <w:lang w:val="en-US" w:eastAsia="zh-CN"/>
        </w:rPr>
        <w:t>四</w:t>
      </w:r>
      <w:r>
        <w:rPr>
          <w:rFonts w:hint="eastAsia" w:ascii="宋体" w:hAnsi="宋体" w:eastAsia="宋体" w:cs="宋体"/>
          <w:spacing w:val="40"/>
          <w:sz w:val="30"/>
          <w:szCs w:val="30"/>
          <w:highlight w:val="none"/>
        </w:rPr>
        <w:t>年</w:t>
      </w:r>
      <w:r>
        <w:rPr>
          <w:rFonts w:hint="eastAsia" w:ascii="宋体" w:hAnsi="宋体" w:eastAsia="宋体" w:cs="宋体"/>
          <w:spacing w:val="40"/>
          <w:sz w:val="30"/>
          <w:szCs w:val="30"/>
          <w:highlight w:val="none"/>
          <w:lang w:val="en-US" w:eastAsia="zh-CN"/>
        </w:rPr>
        <w:t>三月</w:t>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pPr>
        <w:tabs>
          <w:tab w:val="right" w:leader="dot" w:pos="9660"/>
        </w:tabs>
        <w:spacing w:line="480" w:lineRule="auto"/>
        <w:rPr>
          <w:rFonts w:hint="eastAsia" w:ascii="宋体" w:hAnsi="宋体" w:eastAsia="宋体" w:cs="宋体"/>
          <w:szCs w:val="21"/>
          <w:highlight w:val="none"/>
        </w:rPr>
      </w:pPr>
      <w:r>
        <w:rPr>
          <w:rFonts w:hint="eastAsia" w:ascii="宋体" w:hAnsi="宋体" w:eastAsia="宋体" w:cs="宋体"/>
          <w:sz w:val="33"/>
          <w:szCs w:val="24"/>
          <w:highlight w:val="none"/>
        </w:rPr>
        <w:fldChar w:fldCharType="begin"/>
      </w:r>
      <w:r>
        <w:rPr>
          <w:rFonts w:hint="eastAsia" w:ascii="宋体" w:hAnsi="宋体" w:eastAsia="宋体" w:cs="宋体"/>
          <w:sz w:val="33"/>
          <w:szCs w:val="24"/>
          <w:highlight w:val="none"/>
          <w:u w:val="single"/>
        </w:rPr>
        <w:instrText xml:space="preserve"> TOC \o "1-3" \h \z \u </w:instrText>
      </w:r>
      <w:r>
        <w:rPr>
          <w:rFonts w:hint="eastAsia" w:ascii="宋体" w:hAnsi="宋体" w:eastAsia="宋体" w:cs="宋体"/>
          <w:sz w:val="33"/>
          <w:szCs w:val="24"/>
          <w:highlight w:val="none"/>
        </w:rPr>
        <w:fldChar w:fldCharType="separate"/>
      </w:r>
    </w:p>
    <w:p>
      <w:pPr>
        <w:tabs>
          <w:tab w:val="right" w:leader="dot" w:pos="9660"/>
        </w:tabs>
        <w:spacing w:line="480" w:lineRule="auto"/>
        <w:rPr>
          <w:rFonts w:hint="eastAsia" w:ascii="宋体" w:hAnsi="宋体" w:eastAsia="宋体" w:cs="宋体"/>
          <w:spacing w:val="-20"/>
          <w:szCs w:val="24"/>
          <w:highlight w:val="none"/>
          <w:u w:val="single"/>
        </w:rPr>
      </w:pPr>
      <w:r>
        <w:rPr>
          <w:rFonts w:hint="eastAsia" w:ascii="宋体" w:hAnsi="宋体" w:eastAsia="宋体" w:cs="宋体"/>
          <w:snapToGrid w:val="0"/>
          <w:spacing w:val="-20"/>
          <w:kern w:val="0"/>
          <w:szCs w:val="24"/>
          <w:highlight w:val="none"/>
          <w:u w:val="single"/>
          <w:lang w:eastAsia="zh-CN"/>
        </w:rPr>
        <w:t>温州市交发集团所属温州市高速公路资产经营有限公司关于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"_Toc491780521" </w:instrText>
      </w:r>
      <w:r>
        <w:rPr>
          <w:rFonts w:hint="eastAsia" w:ascii="宋体" w:hAnsi="宋体" w:eastAsia="宋体" w:cs="宋体"/>
          <w:highlight w:val="none"/>
        </w:rPr>
        <w:fldChar w:fldCharType="separate"/>
      </w:r>
      <w:r>
        <w:rPr>
          <w:rFonts w:hint="eastAsia" w:ascii="宋体" w:hAnsi="宋体" w:eastAsia="宋体" w:cs="宋体"/>
          <w:snapToGrid w:val="0"/>
          <w:spacing w:val="-20"/>
          <w:kern w:val="0"/>
          <w:szCs w:val="24"/>
          <w:highlight w:val="none"/>
          <w:u w:val="single"/>
          <w:lang w:eastAsia="zh-CN"/>
        </w:rPr>
        <w:t>“瓯江红·畅美高速”党群服务中心物业服务</w:t>
      </w:r>
      <w:r>
        <w:rPr>
          <w:rFonts w:hint="eastAsia" w:ascii="宋体" w:hAnsi="宋体" w:eastAsia="宋体" w:cs="宋体"/>
          <w:snapToGrid w:val="0"/>
          <w:spacing w:val="-20"/>
          <w:kern w:val="0"/>
          <w:szCs w:val="24"/>
          <w:highlight w:val="none"/>
          <w:u w:val="single"/>
          <w:lang w:val="en-US" w:eastAsia="zh-CN"/>
        </w:rPr>
        <w:t>项目</w:t>
      </w:r>
      <w:r>
        <w:rPr>
          <w:rFonts w:hint="eastAsia" w:ascii="宋体" w:hAnsi="宋体" w:eastAsia="宋体" w:cs="宋体"/>
          <w:snapToGrid w:val="0"/>
          <w:spacing w:val="-20"/>
          <w:kern w:val="0"/>
          <w:szCs w:val="24"/>
          <w:highlight w:val="none"/>
          <w:u w:val="single"/>
          <w:lang w:eastAsia="zh-CN"/>
        </w:rPr>
        <w:t>（</w:t>
      </w:r>
      <w:r>
        <w:rPr>
          <w:rFonts w:hint="eastAsia" w:ascii="宋体" w:hAnsi="宋体" w:eastAsia="宋体" w:cs="宋体"/>
          <w:snapToGrid w:val="0"/>
          <w:spacing w:val="-20"/>
          <w:kern w:val="0"/>
          <w:szCs w:val="24"/>
          <w:highlight w:val="none"/>
          <w:u w:val="single"/>
          <w:lang w:val="en-US" w:eastAsia="zh-CN"/>
        </w:rPr>
        <w:t>自主</w:t>
      </w:r>
      <w:r>
        <w:rPr>
          <w:rFonts w:hint="eastAsia" w:ascii="宋体" w:hAnsi="宋体" w:eastAsia="宋体" w:cs="宋体"/>
          <w:snapToGrid w:val="0"/>
          <w:spacing w:val="-20"/>
          <w:kern w:val="0"/>
          <w:szCs w:val="24"/>
          <w:highlight w:val="none"/>
          <w:u w:val="single"/>
          <w:lang w:eastAsia="zh-CN"/>
        </w:rPr>
        <w:t>）</w:t>
      </w:r>
      <w:r>
        <w:rPr>
          <w:rFonts w:hint="eastAsia" w:ascii="宋体" w:hAnsi="宋体" w:eastAsia="宋体" w:cs="宋体"/>
          <w:snapToGrid w:val="0"/>
          <w:spacing w:val="-20"/>
          <w:kern w:val="0"/>
          <w:szCs w:val="24"/>
          <w:highlight w:val="none"/>
          <w:u w:val="single"/>
        </w:rPr>
        <w:t>的采购公告</w:t>
      </w:r>
      <w:r>
        <w:rPr>
          <w:rFonts w:hint="eastAsia" w:ascii="宋体" w:hAnsi="宋体" w:eastAsia="宋体" w:cs="宋体"/>
          <w:snapToGrid w:val="0"/>
          <w:spacing w:val="-20"/>
          <w:kern w:val="0"/>
          <w:szCs w:val="24"/>
          <w:highlight w:val="none"/>
          <w:u w:val="single"/>
        </w:rPr>
        <w:tab/>
      </w:r>
      <w:r>
        <w:rPr>
          <w:rFonts w:hint="eastAsia" w:ascii="宋体" w:hAnsi="宋体" w:eastAsia="宋体" w:cs="宋体"/>
          <w:snapToGrid w:val="0"/>
          <w:spacing w:val="-20"/>
          <w:kern w:val="0"/>
          <w:szCs w:val="24"/>
          <w:highlight w:val="none"/>
          <w:u w:val="single"/>
        </w:rPr>
        <w:t>3</w:t>
      </w:r>
      <w:r>
        <w:rPr>
          <w:rFonts w:hint="eastAsia" w:ascii="宋体" w:hAnsi="宋体" w:eastAsia="宋体" w:cs="宋体"/>
          <w:snapToGrid w:val="0"/>
          <w:spacing w:val="-20"/>
          <w:kern w:val="0"/>
          <w:szCs w:val="24"/>
          <w:highlight w:val="none"/>
          <w:u w:val="single"/>
        </w:rPr>
        <w:fldChar w:fldCharType="end"/>
      </w:r>
    </w:p>
    <w:p>
      <w:pPr>
        <w:tabs>
          <w:tab w:val="right" w:leader="dot" w:pos="9660"/>
        </w:tabs>
        <w:spacing w:line="480" w:lineRule="auto"/>
        <w:rPr>
          <w:rFonts w:hint="eastAsia" w:ascii="宋体" w:hAnsi="宋体" w:eastAsia="宋体" w:cs="宋体"/>
          <w:spacing w:val="-20"/>
          <w:szCs w:val="24"/>
          <w:highlight w:val="none"/>
          <w:u w:val="single"/>
          <w:lang w:eastAsia="zh-CN"/>
        </w:rPr>
      </w:pPr>
      <w:r>
        <w:rPr>
          <w:rFonts w:hint="eastAsia" w:ascii="宋体" w:hAnsi="宋体" w:eastAsia="宋体" w:cs="宋体"/>
          <w:spacing w:val="-20"/>
          <w:szCs w:val="24"/>
          <w:highlight w:val="none"/>
          <w:u w:val="single"/>
          <w:lang w:eastAsia="zh-CN"/>
        </w:rPr>
        <w:t>温州市交发集团所属温州市高速公路资产经营有限公司关于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"_Toc491780522" </w:instrText>
      </w:r>
      <w:r>
        <w:rPr>
          <w:rFonts w:hint="eastAsia" w:ascii="宋体" w:hAnsi="宋体" w:eastAsia="宋体" w:cs="宋体"/>
          <w:highlight w:val="none"/>
        </w:rPr>
        <w:fldChar w:fldCharType="separate"/>
      </w:r>
      <w:r>
        <w:rPr>
          <w:rFonts w:hint="eastAsia" w:ascii="宋体" w:hAnsi="宋体" w:eastAsia="宋体" w:cs="宋体"/>
          <w:spacing w:val="-20"/>
          <w:szCs w:val="24"/>
          <w:highlight w:val="none"/>
          <w:u w:val="single"/>
          <w:lang w:eastAsia="zh-CN"/>
        </w:rPr>
        <w:t>“瓯江红·畅美高速”党群服务中心物业服务</w:t>
      </w:r>
      <w:r>
        <w:rPr>
          <w:rFonts w:hint="eastAsia" w:ascii="宋体" w:hAnsi="宋体" w:eastAsia="宋体" w:cs="宋体"/>
          <w:spacing w:val="-20"/>
          <w:szCs w:val="24"/>
          <w:highlight w:val="none"/>
          <w:u w:val="single"/>
          <w:lang w:val="en-US" w:eastAsia="zh-CN"/>
        </w:rPr>
        <w:t>项目</w:t>
      </w:r>
      <w:r>
        <w:rPr>
          <w:rFonts w:hint="eastAsia" w:ascii="宋体" w:hAnsi="宋体" w:eastAsia="宋体" w:cs="宋体"/>
          <w:spacing w:val="-20"/>
          <w:szCs w:val="24"/>
          <w:highlight w:val="none"/>
          <w:u w:val="single"/>
          <w:lang w:eastAsia="zh-CN"/>
        </w:rPr>
        <w:t>（</w:t>
      </w:r>
      <w:r>
        <w:rPr>
          <w:rFonts w:hint="eastAsia" w:ascii="宋体" w:hAnsi="宋体" w:eastAsia="宋体" w:cs="宋体"/>
          <w:spacing w:val="-20"/>
          <w:szCs w:val="24"/>
          <w:highlight w:val="none"/>
          <w:u w:val="single"/>
          <w:lang w:val="en-US" w:eastAsia="zh-CN"/>
        </w:rPr>
        <w:t>自主</w:t>
      </w:r>
      <w:r>
        <w:rPr>
          <w:rFonts w:hint="eastAsia" w:ascii="宋体" w:hAnsi="宋体" w:eastAsia="宋体" w:cs="宋体"/>
          <w:spacing w:val="-20"/>
          <w:szCs w:val="24"/>
          <w:highlight w:val="none"/>
          <w:u w:val="single"/>
          <w:lang w:eastAsia="zh-CN"/>
        </w:rPr>
        <w:t>）</w:t>
      </w:r>
      <w:r>
        <w:rPr>
          <w:rFonts w:hint="eastAsia" w:ascii="宋体" w:hAnsi="宋体" w:eastAsia="宋体" w:cs="宋体"/>
          <w:spacing w:val="-20"/>
          <w:szCs w:val="24"/>
          <w:highlight w:val="none"/>
          <w:u w:val="single"/>
        </w:rPr>
        <w:t>征求意见示</w:t>
      </w:r>
      <w:r>
        <w:rPr>
          <w:rFonts w:hint="eastAsia" w:ascii="宋体" w:hAnsi="宋体" w:eastAsia="宋体" w:cs="宋体"/>
          <w:spacing w:val="-20"/>
          <w:szCs w:val="24"/>
          <w:highlight w:val="none"/>
          <w:u w:val="single"/>
        </w:rPr>
        <w:tab/>
      </w:r>
      <w:r>
        <w:rPr>
          <w:rFonts w:hint="eastAsia" w:ascii="宋体" w:hAnsi="宋体" w:eastAsia="宋体" w:cs="宋体"/>
          <w:spacing w:val="-20"/>
          <w:szCs w:val="24"/>
          <w:highlight w:val="none"/>
          <w:u w:val="single"/>
        </w:rPr>
        <w:fldChar w:fldCharType="end"/>
      </w:r>
      <w:r>
        <w:rPr>
          <w:rFonts w:hint="eastAsia" w:ascii="宋体" w:hAnsi="宋体" w:eastAsia="宋体" w:cs="宋体"/>
          <w:spacing w:val="-20"/>
          <w:szCs w:val="24"/>
          <w:highlight w:val="none"/>
          <w:u w:val="single"/>
          <w:lang w:val="en-US" w:eastAsia="zh-CN"/>
        </w:rPr>
        <w:t>4</w:t>
      </w:r>
    </w:p>
    <w:p>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"_Toc491780523"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第一部分 投标人须知及投标人须知前附表</w:t>
      </w:r>
      <w:r>
        <w:rPr>
          <w:rFonts w:hint="eastAsia" w:ascii="宋体" w:hAnsi="宋体" w:eastAsia="宋体" w:cs="宋体"/>
          <w:szCs w:val="24"/>
          <w:highlight w:val="none"/>
        </w:rPr>
        <w:tab/>
      </w:r>
      <w:r>
        <w:rPr>
          <w:rFonts w:hint="eastAsia" w:ascii="宋体" w:hAnsi="宋体" w:eastAsia="宋体" w:cs="宋体"/>
          <w:szCs w:val="24"/>
          <w:highlight w:val="none"/>
        </w:rPr>
        <w:t>6</w:t>
      </w:r>
      <w:r>
        <w:rPr>
          <w:rFonts w:hint="eastAsia" w:ascii="宋体" w:hAnsi="宋体" w:eastAsia="宋体" w:cs="宋体"/>
          <w:szCs w:val="24"/>
          <w:highlight w:val="none"/>
        </w:rPr>
        <w:fldChar w:fldCharType="end"/>
      </w:r>
    </w:p>
    <w:p>
      <w:pPr>
        <w:tabs>
          <w:tab w:val="right" w:leader="dot" w:pos="9660"/>
        </w:tabs>
        <w:spacing w:line="480" w:lineRule="auto"/>
        <w:rPr>
          <w:rFonts w:hint="eastAsia" w:ascii="宋体" w:hAnsi="宋体" w:eastAsia="宋体" w:cs="宋体"/>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"_Toc491780524"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第二部分 合同条款</w:t>
      </w:r>
      <w:r>
        <w:rPr>
          <w:rFonts w:hint="eastAsia" w:ascii="宋体" w:hAnsi="宋体" w:eastAsia="宋体" w:cs="宋体"/>
          <w:szCs w:val="24"/>
          <w:highlight w:val="none"/>
        </w:rPr>
        <w:tab/>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PAGEREF _Toc491780524 \h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1</w:t>
      </w:r>
      <w:r>
        <w:rPr>
          <w:rFonts w:hint="eastAsia" w:ascii="宋体" w:hAnsi="宋体" w:eastAsia="宋体" w:cs="宋体"/>
          <w:szCs w:val="24"/>
          <w:highlight w:val="none"/>
        </w:rPr>
        <w:fldChar w:fldCharType="end"/>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7</w:t>
      </w:r>
    </w:p>
    <w:p>
      <w:pPr>
        <w:tabs>
          <w:tab w:val="right" w:leader="dot" w:pos="9660"/>
        </w:tabs>
        <w:spacing w:line="480" w:lineRule="auto"/>
        <w:rPr>
          <w:rFonts w:hint="default"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"_Toc491780525"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第三部分 投标文件的编制格式</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22</w:t>
      </w:r>
    </w:p>
    <w:p>
      <w:pPr>
        <w:tabs>
          <w:tab w:val="right" w:leader="dot" w:pos="9660"/>
        </w:tabs>
        <w:spacing w:line="480" w:lineRule="auto"/>
        <w:rPr>
          <w:rFonts w:hint="default"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"_Toc491780526"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第四部分 采购内</w:t>
      </w:r>
      <w:bookmarkStart w:id="0" w:name="_Hlt491780538"/>
      <w:r>
        <w:rPr>
          <w:rFonts w:hint="eastAsia" w:ascii="宋体" w:hAnsi="宋体" w:eastAsia="宋体" w:cs="宋体"/>
          <w:szCs w:val="24"/>
          <w:highlight w:val="none"/>
          <w:u w:val="single"/>
        </w:rPr>
        <w:t>容</w:t>
      </w:r>
      <w:bookmarkEnd w:id="0"/>
      <w:r>
        <w:rPr>
          <w:rFonts w:hint="eastAsia" w:ascii="宋体" w:hAnsi="宋体" w:eastAsia="宋体" w:cs="宋体"/>
          <w:szCs w:val="24"/>
          <w:highlight w:val="none"/>
          <w:u w:val="single"/>
        </w:rPr>
        <w:t>及要求</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34</w:t>
      </w:r>
    </w:p>
    <w:p>
      <w:pPr>
        <w:tabs>
          <w:tab w:val="right" w:leader="dot" w:pos="9660"/>
        </w:tabs>
        <w:spacing w:line="480" w:lineRule="auto"/>
        <w:rPr>
          <w:rFonts w:hint="default"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"_Toc491780527"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第五部分 评标原则及方法</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36</w:t>
      </w:r>
    </w:p>
    <w:p>
      <w:pPr>
        <w:tabs>
          <w:tab w:val="right" w:leader="dot" w:pos="9660"/>
        </w:tabs>
        <w:spacing w:line="360" w:lineRule="auto"/>
        <w:rPr>
          <w:rFonts w:hint="eastAsia" w:ascii="宋体" w:hAnsi="宋体" w:eastAsia="宋体" w:cs="宋体"/>
          <w:b/>
          <w:bCs/>
          <w:sz w:val="28"/>
          <w:szCs w:val="30"/>
          <w:highlight w:val="none"/>
        </w:rPr>
      </w:pPr>
      <w:r>
        <w:rPr>
          <w:rFonts w:hint="eastAsia" w:ascii="宋体" w:hAnsi="宋体" w:eastAsia="宋体" w:cs="宋体"/>
          <w:sz w:val="33"/>
          <w:szCs w:val="24"/>
          <w:highlight w:val="none"/>
        </w:rPr>
        <w:fldChar w:fldCharType="end"/>
      </w:r>
      <w:r>
        <w:rPr>
          <w:rFonts w:hint="eastAsia" w:ascii="宋体" w:hAnsi="宋体" w:eastAsia="宋体" w:cs="宋体"/>
          <w:b/>
          <w:bCs/>
          <w:sz w:val="28"/>
          <w:szCs w:val="30"/>
          <w:highlight w:val="none"/>
        </w:rPr>
        <w:t>注：本采购文件中加“▲”</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的条款，为采购文件的实质性要求和条件，着重提醒各投标人注意（不响应</w:t>
      </w:r>
      <w:r>
        <w:rPr>
          <w:rFonts w:hint="eastAsia" w:ascii="宋体" w:hAnsi="宋体" w:eastAsia="宋体" w:cs="宋体"/>
          <w:b/>
          <w:bCs/>
          <w:sz w:val="28"/>
          <w:szCs w:val="30"/>
          <w:highlight w:val="none"/>
          <w:lang w:val="en-US" w:eastAsia="zh-CN"/>
        </w:rPr>
        <w:t>加</w:t>
      </w:r>
      <w:r>
        <w:rPr>
          <w:rFonts w:hint="eastAsia" w:ascii="宋体" w:hAnsi="宋体" w:eastAsia="宋体" w:cs="宋体"/>
          <w:b/>
          <w:bCs/>
          <w:sz w:val="28"/>
          <w:szCs w:val="30"/>
          <w:highlight w:val="none"/>
        </w:rPr>
        <w:t>“▲”</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条款的作无效标处理），并认真查看采购文件中的每一个条款及要求，因误读采购文件而造成的后果，采购人概不负责。</w:t>
      </w:r>
    </w:p>
    <w:p>
      <w:pPr>
        <w:jc w:val="center"/>
        <w:rPr>
          <w:rFonts w:hint="eastAsia" w:ascii="宋体" w:hAnsi="宋体" w:eastAsia="宋体" w:cs="宋体"/>
          <w:sz w:val="24"/>
          <w:highlight w:val="none"/>
        </w:rPr>
      </w:pPr>
      <w:bookmarkStart w:id="1" w:name="_Hlk10719563"/>
      <w:bookmarkStart w:id="2" w:name="_Hlk10921265"/>
      <w:r>
        <w:rPr>
          <w:rFonts w:hint="eastAsia" w:ascii="宋体" w:hAnsi="宋体" w:eastAsia="宋体" w:cs="宋体"/>
          <w:sz w:val="24"/>
          <w:szCs w:val="24"/>
          <w:highlight w:val="none"/>
        </w:rPr>
        <w:br w:type="page"/>
      </w:r>
      <w:bookmarkEnd w:id="1"/>
      <w:r>
        <w:rPr>
          <w:rFonts w:hint="eastAsia" w:ascii="宋体" w:hAnsi="宋体" w:eastAsia="宋体" w:cs="宋体"/>
          <w:sz w:val="24"/>
          <w:highlight w:val="none"/>
          <w:lang w:eastAsia="zh-CN"/>
        </w:rPr>
        <w:t>温州市交发集团</w:t>
      </w:r>
      <w:r>
        <w:rPr>
          <w:rFonts w:hint="eastAsia" w:ascii="宋体" w:hAnsi="宋体" w:eastAsia="宋体" w:cs="宋体"/>
          <w:sz w:val="24"/>
          <w:highlight w:val="none"/>
          <w:lang w:val="en-US" w:eastAsia="zh-CN"/>
        </w:rPr>
        <w:t>所属</w:t>
      </w:r>
      <w:r>
        <w:rPr>
          <w:rFonts w:hint="eastAsia" w:ascii="宋体" w:hAnsi="宋体" w:eastAsia="宋体" w:cs="宋体"/>
          <w:sz w:val="24"/>
          <w:highlight w:val="none"/>
          <w:lang w:eastAsia="zh-CN"/>
        </w:rPr>
        <w:t>温州市高速公路资产经营有限公司关于“瓯江红·畅美高速”党群服务中心物业服务</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自主</w:t>
      </w:r>
      <w:r>
        <w:rPr>
          <w:rFonts w:hint="eastAsia" w:ascii="宋体" w:hAnsi="宋体" w:eastAsia="宋体" w:cs="宋体"/>
          <w:sz w:val="24"/>
          <w:highlight w:val="none"/>
          <w:lang w:eastAsia="zh-CN"/>
        </w:rPr>
        <w:t>）</w:t>
      </w:r>
      <w:r>
        <w:rPr>
          <w:rFonts w:hint="eastAsia" w:ascii="宋体" w:hAnsi="宋体" w:eastAsia="宋体" w:cs="宋体"/>
          <w:sz w:val="24"/>
          <w:highlight w:val="none"/>
        </w:rPr>
        <w:t>的采购公告</w:t>
      </w:r>
    </w:p>
    <w:p>
      <w:pPr>
        <w:widowControl/>
        <w:spacing w:before="60" w:after="60"/>
        <w:ind w:right="60" w:firstLine="420" w:firstLineChars="200"/>
        <w:jc w:val="left"/>
        <w:rPr>
          <w:rFonts w:hint="eastAsia" w:ascii="宋体" w:hAnsi="宋体" w:eastAsia="宋体" w:cs="宋体"/>
          <w:highlight w:val="none"/>
        </w:rPr>
      </w:pPr>
      <w:r>
        <w:rPr>
          <w:rFonts w:hint="eastAsia" w:ascii="宋体" w:hAnsi="宋体" w:eastAsia="宋体" w:cs="宋体"/>
          <w:highlight w:val="none"/>
        </w:rPr>
        <w:t>根据《温州市市属国有企业采购管理办法（试行）》等有关规定，</w:t>
      </w:r>
      <w:r>
        <w:rPr>
          <w:rFonts w:hint="eastAsia" w:ascii="宋体" w:hAnsi="宋体" w:eastAsia="宋体" w:cs="宋体"/>
          <w:highlight w:val="none"/>
          <w:lang w:eastAsia="zh-CN"/>
        </w:rPr>
        <w:t>浙江国际招投标有限公司</w:t>
      </w:r>
      <w:r>
        <w:rPr>
          <w:rFonts w:hint="eastAsia" w:ascii="宋体" w:hAnsi="宋体" w:eastAsia="宋体" w:cs="宋体"/>
          <w:highlight w:val="none"/>
        </w:rPr>
        <w:t>受</w:t>
      </w:r>
      <w:r>
        <w:rPr>
          <w:rFonts w:hint="eastAsia" w:ascii="宋体" w:hAnsi="宋体" w:eastAsia="宋体" w:cs="宋体"/>
          <w:highlight w:val="none"/>
          <w:lang w:eastAsia="zh-CN"/>
        </w:rPr>
        <w:t>温州市高速公路资产经营有限公司</w:t>
      </w:r>
      <w:r>
        <w:rPr>
          <w:rFonts w:hint="eastAsia" w:ascii="宋体" w:hAnsi="宋体" w:eastAsia="宋体" w:cs="宋体"/>
          <w:highlight w:val="none"/>
        </w:rPr>
        <w:t>的委托，就</w:t>
      </w:r>
      <w:r>
        <w:rPr>
          <w:rFonts w:hint="eastAsia" w:ascii="宋体" w:hAnsi="宋体" w:eastAsia="宋体" w:cs="宋体"/>
          <w:highlight w:val="none"/>
          <w:lang w:eastAsia="zh-CN"/>
        </w:rPr>
        <w:t>“瓯江红·畅美高速”党群服务中心物业服务</w:t>
      </w:r>
      <w:r>
        <w:rPr>
          <w:rFonts w:hint="eastAsia" w:ascii="宋体" w:hAnsi="宋体" w:eastAsia="宋体" w:cs="宋体"/>
          <w:highlight w:val="none"/>
          <w:lang w:val="en-US" w:eastAsia="zh-CN"/>
        </w:rPr>
        <w:t>项目</w:t>
      </w:r>
      <w:r>
        <w:rPr>
          <w:rFonts w:hint="eastAsia" w:ascii="宋体" w:hAnsi="宋体" w:eastAsia="宋体" w:cs="宋体"/>
          <w:highlight w:val="none"/>
        </w:rPr>
        <w:t>以公开招标方式进行国企采购，欢迎国内合格的投标供应商前来投标。</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一</w:t>
      </w:r>
      <w:r>
        <w:rPr>
          <w:rFonts w:hint="eastAsia" w:ascii="宋体" w:hAnsi="宋体" w:eastAsia="宋体" w:cs="宋体"/>
          <w:bCs/>
          <w:kern w:val="0"/>
          <w:szCs w:val="21"/>
          <w:highlight w:val="none"/>
        </w:rPr>
        <w:t>、项目编号：WGSS-JFJT-Z-2024008</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项目名称：</w:t>
      </w:r>
      <w:r>
        <w:rPr>
          <w:rFonts w:hint="eastAsia" w:ascii="宋体" w:hAnsi="宋体" w:eastAsia="宋体" w:cs="宋体"/>
          <w:bCs/>
          <w:kern w:val="0"/>
          <w:szCs w:val="21"/>
          <w:highlight w:val="none"/>
          <w:lang w:eastAsia="zh-CN"/>
        </w:rPr>
        <w:t>“瓯江红·畅美高速”党群服务中心物业服务</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w:t>
      </w:r>
      <w:r>
        <w:rPr>
          <w:rFonts w:hint="eastAsia" w:ascii="宋体" w:hAnsi="宋体" w:eastAsia="宋体" w:cs="宋体"/>
          <w:bCs/>
          <w:kern w:val="0"/>
          <w:szCs w:val="21"/>
          <w:highlight w:val="none"/>
          <w:lang w:val="en-US" w:eastAsia="zh-CN"/>
        </w:rPr>
        <w:t>项目</w:t>
      </w:r>
      <w:r>
        <w:rPr>
          <w:rFonts w:hint="eastAsia" w:ascii="宋体" w:hAnsi="宋体" w:eastAsia="宋体" w:cs="宋体"/>
          <w:bCs/>
          <w:kern w:val="0"/>
          <w:szCs w:val="21"/>
          <w:highlight w:val="none"/>
        </w:rPr>
        <w:t>性质：</w:t>
      </w:r>
      <w:r>
        <w:rPr>
          <w:rFonts w:hint="eastAsia" w:ascii="宋体" w:hAnsi="宋体" w:eastAsia="宋体" w:cs="宋体"/>
          <w:bCs/>
          <w:kern w:val="0"/>
          <w:szCs w:val="21"/>
          <w:highlight w:val="none"/>
          <w:lang w:val="en-US" w:eastAsia="zh-CN"/>
        </w:rPr>
        <w:t>国企</w:t>
      </w:r>
      <w:r>
        <w:rPr>
          <w:rFonts w:hint="eastAsia" w:ascii="宋体" w:hAnsi="宋体" w:eastAsia="宋体" w:cs="宋体"/>
          <w:bCs/>
          <w:kern w:val="0"/>
          <w:szCs w:val="21"/>
          <w:highlight w:val="none"/>
        </w:rPr>
        <w:t>采购（非政府采购）</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、预算金额：人民币</w:t>
      </w:r>
      <w:r>
        <w:rPr>
          <w:rFonts w:hint="eastAsia" w:ascii="宋体" w:hAnsi="宋体" w:eastAsia="宋体" w:cs="宋体"/>
          <w:bCs/>
          <w:kern w:val="0"/>
          <w:szCs w:val="21"/>
          <w:highlight w:val="none"/>
          <w:lang w:val="en-US" w:eastAsia="zh-CN"/>
        </w:rPr>
        <w:t>21万元</w:t>
      </w:r>
    </w:p>
    <w:p>
      <w:pPr>
        <w:widowControl/>
        <w:spacing w:before="60" w:after="60"/>
        <w:ind w:right="60"/>
        <w:jc w:val="left"/>
        <w:rPr>
          <w:rFonts w:hint="eastAsia" w:ascii="宋体" w:hAnsi="宋体" w:eastAsia="宋体" w:cs="宋体"/>
          <w:highlight w:val="none"/>
        </w:rPr>
      </w:pPr>
      <w:r>
        <w:rPr>
          <w:rFonts w:hint="eastAsia" w:ascii="宋体" w:hAnsi="宋体" w:eastAsia="宋体" w:cs="宋体"/>
          <w:bCs/>
          <w:kern w:val="0"/>
          <w:szCs w:val="21"/>
          <w:highlight w:val="none"/>
          <w:lang w:val="en-US" w:eastAsia="zh-CN"/>
        </w:rPr>
        <w:t>五</w:t>
      </w:r>
      <w:r>
        <w:rPr>
          <w:rFonts w:hint="eastAsia" w:ascii="宋体" w:hAnsi="宋体" w:eastAsia="宋体" w:cs="宋体"/>
          <w:bCs/>
          <w:kern w:val="0"/>
          <w:szCs w:val="21"/>
          <w:highlight w:val="none"/>
        </w:rPr>
        <w:t>、采购内容（内容、数量、简要技术要求等）：</w:t>
      </w:r>
    </w:p>
    <w:tbl>
      <w:tblPr>
        <w:tblStyle w:val="25"/>
        <w:tblW w:w="0" w:type="auto"/>
        <w:jc w:val="center"/>
        <w:tblLayout w:type="fixed"/>
        <w:tblCellMar>
          <w:top w:w="0" w:type="dxa"/>
          <w:left w:w="108" w:type="dxa"/>
          <w:bottom w:w="0" w:type="dxa"/>
          <w:right w:w="108" w:type="dxa"/>
        </w:tblCellMar>
      </w:tblPr>
      <w:tblGrid>
        <w:gridCol w:w="763"/>
        <w:gridCol w:w="1509"/>
        <w:gridCol w:w="621"/>
        <w:gridCol w:w="653"/>
        <w:gridCol w:w="1105"/>
        <w:gridCol w:w="4305"/>
      </w:tblGrid>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序号</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标项内容</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数量</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单位</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预算金额(万元)</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简要技术要求、用途</w:t>
            </w:r>
          </w:p>
        </w:tc>
      </w:tr>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eastAsia="zh-CN"/>
              </w:rPr>
            </w:pPr>
            <w:r>
              <w:rPr>
                <w:rFonts w:hint="eastAsia" w:ascii="宋体" w:hAnsi="宋体" w:eastAsia="宋体" w:cs="宋体"/>
                <w:bCs/>
                <w:kern w:val="0"/>
                <w:sz w:val="18"/>
                <w:szCs w:val="18"/>
                <w:highlight w:val="none"/>
                <w:lang w:eastAsia="zh-CN"/>
              </w:rPr>
              <w:t>“瓯江红·畅美高速”党群服务中心物业服务</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项</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21</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温州市高速公路资产经营有限公司所需</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lang w:eastAsia="zh-CN"/>
              </w:rPr>
              <w:t>“瓯江红·畅美高速”党群服务中心物业服务</w:t>
            </w:r>
            <w:r>
              <w:rPr>
                <w:rFonts w:hint="eastAsia" w:ascii="宋体" w:hAnsi="宋体" w:eastAsia="宋体" w:cs="宋体"/>
                <w:sz w:val="18"/>
                <w:szCs w:val="18"/>
                <w:highlight w:val="none"/>
              </w:rPr>
              <w:t>，具体</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内容及详细技术要求见采购文件相关部分。</w:t>
            </w:r>
          </w:p>
        </w:tc>
      </w:tr>
    </w:tbl>
    <w:p>
      <w:pPr>
        <w:widowControl/>
        <w:spacing w:before="60" w:after="60" w:line="240" w:lineRule="auto"/>
        <w:ind w:right="60"/>
        <w:jc w:val="left"/>
        <w:rPr>
          <w:rFonts w:hint="eastAsia" w:ascii="宋体" w:hAnsi="宋体" w:eastAsia="宋体" w:cs="宋体"/>
          <w:bCs/>
          <w:kern w:val="0"/>
          <w:szCs w:val="21"/>
          <w:highlight w:val="none"/>
        </w:rPr>
      </w:pPr>
      <w:bookmarkStart w:id="3" w:name="B09_招标内容"/>
      <w:bookmarkEnd w:id="3"/>
      <w:r>
        <w:rPr>
          <w:rFonts w:hint="eastAsia" w:ascii="宋体" w:hAnsi="宋体" w:eastAsia="宋体" w:cs="宋体"/>
          <w:bCs/>
          <w:kern w:val="0"/>
          <w:szCs w:val="21"/>
          <w:highlight w:val="none"/>
          <w:lang w:val="en-US" w:eastAsia="zh-CN"/>
        </w:rPr>
        <w:t>六</w:t>
      </w:r>
      <w:r>
        <w:rPr>
          <w:rFonts w:hint="eastAsia" w:ascii="宋体" w:hAnsi="宋体" w:eastAsia="宋体" w:cs="宋体"/>
          <w:bCs/>
          <w:kern w:val="0"/>
          <w:szCs w:val="21"/>
          <w:highlight w:val="none"/>
        </w:rPr>
        <w:t>、投标供应商资格要求：</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1、符合《温州市市属国有企业采购管理办法（试行）》第十五条对投标供应商参加温州市国有企业采购活动应当具备的基本资格条件；</w:t>
      </w:r>
    </w:p>
    <w:p>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color w:val="auto"/>
          <w:kern w:val="0"/>
          <w:szCs w:val="21"/>
          <w:highlight w:val="none"/>
          <w:lang w:val="en-US" w:eastAsia="zh-CN"/>
        </w:rPr>
        <w:t>至本项目投标截止前未被列入“信用中国”网站(www.creditchina.gov.cn)“记录失信被执行人或重大税收违法案件当事人名单”记录名单</w:t>
      </w:r>
      <w:r>
        <w:rPr>
          <w:rFonts w:hint="eastAsia" w:ascii="宋体" w:hAnsi="宋体" w:eastAsia="宋体" w:cs="宋体"/>
          <w:szCs w:val="21"/>
          <w:highlight w:val="none"/>
        </w:rPr>
        <w:t>；</w:t>
      </w:r>
    </w:p>
    <w:p>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、单位负责人为同一人或者存在直接控股、管理关系的不同供应商，不得同时参加本项目投标活动</w:t>
      </w:r>
      <w:r>
        <w:rPr>
          <w:rFonts w:hint="eastAsia" w:ascii="宋体" w:hAnsi="宋体" w:eastAsia="宋体" w:cs="宋体"/>
          <w:szCs w:val="21"/>
          <w:highlight w:val="none"/>
          <w:lang w:eastAsia="zh-CN"/>
        </w:rPr>
        <w:t>。违反该款规定的，相关投标均无效</w:t>
      </w:r>
      <w:r>
        <w:rPr>
          <w:rFonts w:hint="eastAsia" w:ascii="宋体" w:hAnsi="宋体" w:eastAsia="宋体" w:cs="宋体"/>
          <w:szCs w:val="21"/>
          <w:highlight w:val="none"/>
        </w:rPr>
        <w:t>；</w:t>
      </w:r>
    </w:p>
    <w:p>
      <w:pPr>
        <w:widowControl/>
        <w:spacing w:line="24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kern w:val="0"/>
          <w:szCs w:val="21"/>
          <w:highlight w:val="none"/>
        </w:rPr>
        <w:t>本项目不接受联合体投标。</w:t>
      </w:r>
      <w:r>
        <w:rPr>
          <w:rFonts w:hint="eastAsia" w:ascii="宋体" w:hAnsi="宋体" w:eastAsia="宋体" w:cs="宋体"/>
          <w:kern w:val="0"/>
          <w:szCs w:val="21"/>
          <w:highlight w:val="none"/>
        </w:rPr>
        <w:tab/>
      </w:r>
    </w:p>
    <w:p>
      <w:pPr>
        <w:widowControl/>
        <w:spacing w:before="60" w:after="60" w:line="240" w:lineRule="auto"/>
        <w:ind w:right="60"/>
        <w:jc w:val="left"/>
        <w:rPr>
          <w:rFonts w:hint="eastAsia" w:ascii="宋体" w:hAnsi="宋体" w:eastAsia="宋体" w:cs="宋体"/>
          <w:kern w:val="0"/>
          <w:szCs w:val="21"/>
          <w:highlight w:val="none"/>
        </w:rPr>
      </w:pPr>
      <w:r>
        <w:rPr>
          <w:rFonts w:hint="eastAsia" w:ascii="宋体" w:hAnsi="宋体" w:eastAsia="宋体" w:cs="宋体"/>
          <w:bCs/>
          <w:kern w:val="0"/>
          <w:szCs w:val="21"/>
          <w:highlight w:val="none"/>
          <w:lang w:val="en-US" w:eastAsia="zh-CN"/>
        </w:rPr>
        <w:t>七</w:t>
      </w:r>
      <w:r>
        <w:rPr>
          <w:rFonts w:hint="eastAsia" w:ascii="宋体" w:hAnsi="宋体" w:eastAsia="宋体" w:cs="宋体"/>
          <w:bCs/>
          <w:kern w:val="0"/>
          <w:szCs w:val="21"/>
          <w:highlight w:val="none"/>
        </w:rPr>
        <w:t>、发售</w:t>
      </w:r>
      <w:r>
        <w:rPr>
          <w:rFonts w:hint="eastAsia" w:ascii="宋体" w:hAnsi="宋体" w:eastAsia="宋体" w:cs="宋体"/>
          <w:kern w:val="0"/>
          <w:szCs w:val="21"/>
          <w:highlight w:val="none"/>
        </w:rPr>
        <w:t>采购文件时间及地点：</w:t>
      </w:r>
    </w:p>
    <w:p>
      <w:pPr>
        <w:widowControl/>
        <w:spacing w:line="24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1、报名时间及采购文件发售时间：公告发布之日起至投标截止时间止（上午08：30-11：30，下午14：00-17：00，节假日除外，未购买采购文件的潜在投标人拒绝参加投标。）</w:t>
      </w:r>
    </w:p>
    <w:p>
      <w:pPr>
        <w:widowControl/>
        <w:spacing w:line="24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2、购领采购文件地址：本项目暂不接受现场获取采购文件；</w:t>
      </w:r>
    </w:p>
    <w:p>
      <w:pPr>
        <w:widowControl/>
        <w:spacing w:line="24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3、采购文件售价：人民币500元整（售后不退）；</w:t>
      </w:r>
    </w:p>
    <w:p>
      <w:pPr>
        <w:widowControl/>
        <w:spacing w:line="24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4、报名方式、购买标书及注意事项：</w:t>
      </w:r>
    </w:p>
    <w:p>
      <w:pPr>
        <w:widowControl/>
        <w:spacing w:line="24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网上报名（政采云报名）：请供应商登录浙江政府采购网（http://zfcg.czt.zj.gov.cn），进入“政采云”平台进行注册并报名（未注册的供应商请尽早注册，客服电话：95763），（操作路径：浙江政府采购网：供应商注册-项目采购-获取采购文件-申请获取采购文件）。网上报名后，请将标书购买费汇入代理公司账户（将缴纳报名费凭证、开票信息）等资料发代理机构电子邮箱1826066763@qq.com）并联系采购代理公司审核。标书款汇入账户信息：</w:t>
      </w:r>
    </w:p>
    <w:p>
      <w:pPr>
        <w:widowControl/>
        <w:spacing w:line="24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单位名称：浙江国际招投标有限公司</w:t>
      </w:r>
    </w:p>
    <w:p>
      <w:pPr>
        <w:widowControl/>
        <w:spacing w:line="24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开户银行：工商银行杭州市武林支行</w:t>
      </w:r>
    </w:p>
    <w:p>
      <w:pPr>
        <w:widowControl/>
        <w:spacing w:line="24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账    号：1202021209906782015</w:t>
      </w:r>
    </w:p>
    <w:p>
      <w:pPr>
        <w:widowControl/>
        <w:spacing w:before="60" w:after="60" w:line="240" w:lineRule="auto"/>
        <w:ind w:left="60" w:right="60"/>
        <w:jc w:val="left"/>
        <w:rPr>
          <w:rFonts w:hint="eastAsia" w:ascii="宋体" w:hAnsi="宋体" w:eastAsia="宋体" w:cs="宋体"/>
          <w:bCs/>
          <w:color w:val="auto"/>
          <w:kern w:val="0"/>
          <w:szCs w:val="21"/>
          <w:highlight w:val="none"/>
        </w:rPr>
      </w:pPr>
      <w:r>
        <w:rPr>
          <w:rFonts w:hint="eastAsia" w:ascii="宋体" w:hAnsi="宋体" w:eastAsia="宋体" w:cs="宋体"/>
          <w:bCs/>
          <w:kern w:val="0"/>
          <w:szCs w:val="21"/>
          <w:highlight w:val="none"/>
          <w:lang w:val="en-US" w:eastAsia="zh-CN"/>
        </w:rPr>
        <w:t>八</w:t>
      </w:r>
      <w:r>
        <w:rPr>
          <w:rFonts w:hint="eastAsia" w:ascii="宋体" w:hAnsi="宋体" w:eastAsia="宋体" w:cs="宋体"/>
          <w:bCs/>
          <w:kern w:val="0"/>
          <w:szCs w:val="21"/>
          <w:highlight w:val="none"/>
        </w:rPr>
        <w:t>、投标截止时间：</w:t>
      </w:r>
      <w:bookmarkStart w:id="4" w:name="B23_谈判响应文件提交截止日期"/>
      <w:bookmarkEnd w:id="4"/>
      <w:r>
        <w:rPr>
          <w:rFonts w:hint="eastAsia" w:ascii="宋体" w:hAnsi="宋体" w:eastAsia="宋体" w:cs="宋体"/>
          <w:bCs/>
          <w:kern w:val="0"/>
          <w:szCs w:val="21"/>
          <w:highlight w:val="none"/>
        </w:rPr>
        <w:t>投标截止时间：</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4</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22</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下午14</w:t>
      </w:r>
      <w:r>
        <w:rPr>
          <w:rFonts w:hint="eastAsia" w:ascii="宋体" w:hAnsi="宋体" w:eastAsia="宋体" w:cs="宋体"/>
          <w:bCs/>
          <w:color w:val="0000FF"/>
          <w:kern w:val="0"/>
          <w:szCs w:val="21"/>
          <w:highlight w:val="none"/>
        </w:rPr>
        <w:t>时30分</w:t>
      </w:r>
      <w:r>
        <w:rPr>
          <w:rFonts w:hint="eastAsia" w:ascii="宋体" w:hAnsi="宋体" w:eastAsia="宋体" w:cs="宋体"/>
          <w:bCs/>
          <w:color w:val="auto"/>
          <w:kern w:val="0"/>
          <w:szCs w:val="21"/>
          <w:highlight w:val="none"/>
        </w:rPr>
        <w:t>(北京时间，下同)。</w:t>
      </w:r>
    </w:p>
    <w:p>
      <w:pPr>
        <w:widowControl/>
        <w:spacing w:before="60" w:after="60" w:line="240" w:lineRule="auto"/>
        <w:ind w:left="575" w:leftChars="29" w:right="60" w:hanging="514" w:hangingChars="245"/>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九</w:t>
      </w:r>
      <w:r>
        <w:rPr>
          <w:rFonts w:hint="eastAsia" w:ascii="宋体" w:hAnsi="宋体" w:eastAsia="宋体" w:cs="宋体"/>
          <w:bCs/>
          <w:kern w:val="0"/>
          <w:szCs w:val="21"/>
          <w:highlight w:val="none"/>
        </w:rPr>
        <w:t>、投标文件提交地点：温州市黎明西路342号人保财险鹿城支公司办公大楼401室。</w:t>
      </w:r>
    </w:p>
    <w:p>
      <w:pPr>
        <w:widowControl/>
        <w:spacing w:before="60" w:after="60" w:line="240" w:lineRule="auto"/>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十、开标时间：</w:t>
      </w:r>
      <w:bookmarkStart w:id="5" w:name="B26_谈判时间日期"/>
      <w:bookmarkEnd w:id="5"/>
      <w:r>
        <w:rPr>
          <w:rFonts w:hint="eastAsia" w:ascii="宋体" w:hAnsi="宋体" w:eastAsia="宋体" w:cs="宋体"/>
          <w:bCs/>
          <w:kern w:val="0"/>
          <w:szCs w:val="21"/>
          <w:highlight w:val="none"/>
        </w:rPr>
        <w:t>同投标截止时间。</w:t>
      </w:r>
    </w:p>
    <w:p>
      <w:pPr>
        <w:widowControl/>
        <w:spacing w:before="60" w:after="60" w:line="240" w:lineRule="auto"/>
        <w:ind w:left="575" w:leftChars="29" w:right="60" w:hanging="514" w:hangingChars="245"/>
        <w:jc w:val="left"/>
        <w:rPr>
          <w:rFonts w:hint="eastAsia" w:ascii="宋体" w:hAnsi="宋体" w:eastAsia="宋体" w:cs="宋体"/>
          <w:szCs w:val="21"/>
          <w:highlight w:val="none"/>
          <w:shd w:val="clear" w:color="auto" w:fill="FFFFFF"/>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一</w:t>
      </w:r>
      <w:r>
        <w:rPr>
          <w:rFonts w:hint="eastAsia" w:ascii="宋体" w:hAnsi="宋体" w:eastAsia="宋体" w:cs="宋体"/>
          <w:bCs/>
          <w:kern w:val="0"/>
          <w:szCs w:val="21"/>
          <w:highlight w:val="none"/>
        </w:rPr>
        <w:t>、开标地点：</w:t>
      </w:r>
      <w:r>
        <w:rPr>
          <w:rFonts w:hint="eastAsia" w:ascii="宋体" w:hAnsi="宋体" w:eastAsia="宋体" w:cs="宋体"/>
          <w:highlight w:val="none"/>
        </w:rPr>
        <w:t>温州市黎明西路342号人保财险鹿城支公司办公大楼401室</w:t>
      </w:r>
      <w:r>
        <w:rPr>
          <w:rFonts w:hint="eastAsia" w:ascii="宋体" w:hAnsi="宋体" w:eastAsia="宋体" w:cs="宋体"/>
          <w:szCs w:val="21"/>
          <w:highlight w:val="none"/>
          <w:shd w:val="clear" w:color="auto" w:fill="FFFFFF"/>
        </w:rPr>
        <w:t>。</w:t>
      </w:r>
    </w:p>
    <w:p>
      <w:pPr>
        <w:widowControl/>
        <w:spacing w:before="60" w:after="60" w:line="240" w:lineRule="auto"/>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、投标保证金及交付方式：</w:t>
      </w:r>
    </w:p>
    <w:p>
      <w:pPr>
        <w:keepNext w:val="0"/>
        <w:keepLines w:val="0"/>
        <w:pageBreakBefore w:val="0"/>
        <w:widowControl/>
        <w:kinsoku/>
        <w:overflowPunct/>
        <w:topLinePunct w:val="0"/>
        <w:autoSpaceDE/>
        <w:autoSpaceDN/>
        <w:bidi w:val="0"/>
        <w:spacing w:before="60" w:after="60" w:line="240" w:lineRule="auto"/>
        <w:ind w:right="62" w:firstLine="420" w:firstLineChars="200"/>
        <w:jc w:val="left"/>
        <w:textAlignment w:val="auto"/>
        <w:rPr>
          <w:rFonts w:hint="eastAsia" w:ascii="宋体" w:hAnsi="宋体" w:eastAsia="宋体" w:cs="宋体"/>
          <w:kern w:val="0"/>
          <w:szCs w:val="21"/>
          <w:highlight w:val="none"/>
        </w:rPr>
      </w:pPr>
      <w:bookmarkStart w:id="6" w:name="B29_谈判保证金"/>
      <w:bookmarkEnd w:id="6"/>
      <w:bookmarkStart w:id="7" w:name="_Hlk3381632"/>
      <w:bookmarkStart w:id="8" w:name="_Hlk516555339"/>
      <w:r>
        <w:rPr>
          <w:rFonts w:hint="eastAsia" w:ascii="宋体" w:hAnsi="宋体" w:eastAsia="宋体" w:cs="宋体"/>
          <w:kern w:val="0"/>
          <w:szCs w:val="21"/>
          <w:highlight w:val="none"/>
        </w:rPr>
        <w:t>投标保证金：</w:t>
      </w:r>
      <w:r>
        <w:rPr>
          <w:rFonts w:hint="eastAsia" w:ascii="宋体" w:hAnsi="宋体" w:eastAsia="宋体" w:cs="宋体"/>
          <w:kern w:val="0"/>
          <w:szCs w:val="21"/>
          <w:highlight w:val="none"/>
          <w:lang w:val="en-US" w:eastAsia="zh-CN"/>
        </w:rPr>
        <w:t>人民币2</w:t>
      </w:r>
      <w:r>
        <w:rPr>
          <w:rFonts w:hint="eastAsia" w:ascii="宋体" w:hAnsi="宋体" w:eastAsia="宋体" w:cs="宋体"/>
          <w:color w:val="0000FF"/>
          <w:kern w:val="0"/>
          <w:szCs w:val="21"/>
          <w:highlight w:val="none"/>
        </w:rPr>
        <w:t>00</w:t>
      </w:r>
      <w:r>
        <w:rPr>
          <w:rFonts w:hint="eastAsia" w:ascii="宋体" w:hAnsi="宋体" w:eastAsia="宋体" w:cs="宋体"/>
          <w:color w:val="0000FF"/>
          <w:kern w:val="0"/>
          <w:szCs w:val="21"/>
          <w:highlight w:val="none"/>
          <w:lang w:val="en-US" w:eastAsia="zh-CN"/>
        </w:rPr>
        <w:t>0</w:t>
      </w:r>
      <w:r>
        <w:rPr>
          <w:rFonts w:hint="eastAsia" w:ascii="宋体" w:hAnsi="宋体" w:eastAsia="宋体" w:cs="宋体"/>
          <w:kern w:val="0"/>
          <w:szCs w:val="21"/>
          <w:highlight w:val="none"/>
          <w:lang w:val="en-US" w:eastAsia="zh-CN"/>
        </w:rPr>
        <w:t>元整，</w:t>
      </w:r>
      <w:r>
        <w:rPr>
          <w:rFonts w:hint="eastAsia" w:ascii="宋体" w:hAnsi="宋体" w:eastAsia="宋体" w:cs="宋体"/>
          <w:kern w:val="0"/>
          <w:szCs w:val="21"/>
          <w:highlight w:val="none"/>
        </w:rPr>
        <w:t>采用银行转账形式</w:t>
      </w:r>
      <w:r>
        <w:rPr>
          <w:rFonts w:hint="eastAsia" w:ascii="宋体" w:hAnsi="宋体" w:eastAsia="宋体" w:cs="宋体"/>
          <w:highlight w:val="none"/>
        </w:rPr>
        <w:t>，</w:t>
      </w:r>
      <w:r>
        <w:rPr>
          <w:rFonts w:hint="eastAsia" w:ascii="宋体" w:hAnsi="宋体" w:eastAsia="宋体" w:cs="宋体"/>
          <w:b/>
          <w:bCs/>
          <w:kern w:val="0"/>
          <w:szCs w:val="21"/>
          <w:highlight w:val="none"/>
          <w:u w:val="single"/>
        </w:rPr>
        <w:t>投标保证金要求从</w:t>
      </w:r>
      <w:r>
        <w:rPr>
          <w:rFonts w:hint="eastAsia" w:ascii="宋体" w:hAnsi="宋体" w:eastAsia="宋体" w:cs="宋体"/>
          <w:b/>
          <w:bCs/>
          <w:kern w:val="0"/>
          <w:szCs w:val="21"/>
          <w:highlight w:val="none"/>
          <w:u w:val="single"/>
          <w:lang w:eastAsia="zh-CN"/>
        </w:rPr>
        <w:t>投标供应商</w:t>
      </w:r>
      <w:r>
        <w:rPr>
          <w:rFonts w:hint="eastAsia" w:ascii="宋体" w:hAnsi="宋体" w:eastAsia="宋体" w:cs="宋体"/>
          <w:b/>
          <w:bCs/>
          <w:kern w:val="0"/>
          <w:szCs w:val="21"/>
          <w:highlight w:val="none"/>
          <w:u w:val="single"/>
        </w:rPr>
        <w:t>的银行账号汇出，保证金缴纳时间以到账时间为准。</w:t>
      </w:r>
      <w:r>
        <w:rPr>
          <w:rFonts w:hint="eastAsia" w:ascii="宋体" w:hAnsi="宋体" w:eastAsia="宋体" w:cs="宋体"/>
          <w:kern w:val="0"/>
          <w:szCs w:val="21"/>
          <w:highlight w:val="none"/>
        </w:rPr>
        <w:t>保证金缴纳截止时间：</w:t>
      </w:r>
      <w:r>
        <w:rPr>
          <w:rFonts w:hint="eastAsia" w:ascii="宋体" w:hAnsi="宋体" w:eastAsia="宋体" w:cs="宋体"/>
          <w:color w:val="0000FF"/>
          <w:kern w:val="0"/>
          <w:szCs w:val="21"/>
          <w:highlight w:val="none"/>
        </w:rPr>
        <w:t>与投标截止时间相同</w:t>
      </w:r>
      <w:r>
        <w:rPr>
          <w:rFonts w:hint="eastAsia" w:ascii="宋体" w:hAnsi="宋体" w:eastAsia="宋体" w:cs="宋体"/>
          <w:kern w:val="0"/>
          <w:szCs w:val="21"/>
          <w:highlight w:val="none"/>
        </w:rPr>
        <w:t>。</w:t>
      </w:r>
    </w:p>
    <w:p>
      <w:pPr>
        <w:keepNext w:val="0"/>
        <w:keepLines w:val="0"/>
        <w:pageBreakBefore w:val="0"/>
        <w:widowControl/>
        <w:kinsoku/>
        <w:overflowPunct/>
        <w:topLinePunct w:val="0"/>
        <w:autoSpaceDE/>
        <w:autoSpaceDN/>
        <w:bidi w:val="0"/>
        <w:spacing w:before="60" w:after="60" w:line="240" w:lineRule="auto"/>
        <w:ind w:right="62" w:firstLine="422" w:firstLineChars="200"/>
        <w:jc w:val="left"/>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单  位 名 称：浙江国际招投标有限公司</w:t>
      </w:r>
    </w:p>
    <w:p>
      <w:pPr>
        <w:keepNext w:val="0"/>
        <w:keepLines w:val="0"/>
        <w:pageBreakBefore w:val="0"/>
        <w:widowControl/>
        <w:kinsoku/>
        <w:overflowPunct/>
        <w:topLinePunct w:val="0"/>
        <w:autoSpaceDE/>
        <w:autoSpaceDN/>
        <w:bidi w:val="0"/>
        <w:spacing w:before="60" w:after="60" w:line="240" w:lineRule="auto"/>
        <w:ind w:right="62" w:firstLine="422" w:firstLineChars="200"/>
        <w:jc w:val="left"/>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开  户 银 行：工商银行杭州市武林支行</w:t>
      </w:r>
    </w:p>
    <w:p>
      <w:pPr>
        <w:widowControl/>
        <w:spacing w:before="60" w:after="60" w:line="240" w:lineRule="auto"/>
        <w:ind w:right="62"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kern w:val="0"/>
          <w:szCs w:val="21"/>
          <w:highlight w:val="none"/>
        </w:rPr>
        <w:t>账        号：1202021209906782015</w:t>
      </w:r>
    </w:p>
    <w:bookmarkEnd w:id="7"/>
    <w:bookmarkEnd w:id="8"/>
    <w:p>
      <w:pPr>
        <w:widowControl/>
        <w:spacing w:before="60" w:after="60" w:line="240" w:lineRule="auto"/>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、其他事项：</w:t>
      </w:r>
    </w:p>
    <w:p>
      <w:pPr>
        <w:keepNext w:val="0"/>
        <w:keepLines w:val="0"/>
        <w:pageBreakBefore w:val="0"/>
        <w:widowControl/>
        <w:kinsoku/>
        <w:wordWrap/>
        <w:overflowPunct/>
        <w:topLinePunct w:val="0"/>
        <w:autoSpaceDE/>
        <w:autoSpaceDN/>
        <w:bidi w:val="0"/>
        <w:adjustRightInd/>
        <w:snapToGrid/>
        <w:spacing w:line="240" w:lineRule="auto"/>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1、采购公告期限：5个工作日，从公告在浙江政府采购网上发布的次日起算；</w:t>
      </w:r>
    </w:p>
    <w:p>
      <w:pPr>
        <w:keepNext w:val="0"/>
        <w:keepLines w:val="0"/>
        <w:pageBreakBefore w:val="0"/>
        <w:widowControl/>
        <w:kinsoku/>
        <w:wordWrap/>
        <w:overflowPunct/>
        <w:topLinePunct w:val="0"/>
        <w:autoSpaceDE/>
        <w:autoSpaceDN/>
        <w:bidi w:val="0"/>
        <w:adjustRightInd/>
        <w:snapToGrid/>
        <w:spacing w:line="240" w:lineRule="auto"/>
        <w:ind w:left="0" w:right="0" w:firstLine="420" w:firstLineChars="200"/>
        <w:jc w:val="left"/>
        <w:textAlignment w:val="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u w:val="single"/>
        </w:rPr>
        <w:t>2、投标人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keepNext w:val="0"/>
        <w:keepLines w:val="0"/>
        <w:pageBreakBefore w:val="0"/>
        <w:widowControl/>
        <w:kinsoku/>
        <w:wordWrap/>
        <w:overflowPunct/>
        <w:topLinePunct w:val="0"/>
        <w:autoSpaceDE/>
        <w:autoSpaceDN/>
        <w:bidi w:val="0"/>
        <w:adjustRightInd/>
        <w:snapToGrid/>
        <w:spacing w:line="240" w:lineRule="auto"/>
        <w:ind w:left="0" w:right="0" w:firstLine="420" w:firstLineChars="200"/>
        <w:jc w:val="left"/>
        <w:textAlignment w:val="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u w:val="single"/>
        </w:rPr>
        <w:t>采购公告附件的采购文件仅供阅览使用，未按照本公告规定的方式获取采购文件的潜在投标人提起的质疑，采购人及采购代理机构将不予受理、答复。</w:t>
      </w:r>
    </w:p>
    <w:p>
      <w:pPr>
        <w:keepNext w:val="0"/>
        <w:keepLines w:val="0"/>
        <w:pageBreakBefore w:val="0"/>
        <w:widowControl/>
        <w:kinsoku/>
        <w:wordWrap/>
        <w:overflowPunct/>
        <w:topLinePunct w:val="0"/>
        <w:autoSpaceDE/>
        <w:autoSpaceDN/>
        <w:bidi w:val="0"/>
        <w:adjustRightInd/>
        <w:snapToGrid/>
        <w:spacing w:line="240" w:lineRule="auto"/>
        <w:ind w:left="0" w:right="0" w:firstLine="420" w:firstLineChars="200"/>
        <w:jc w:val="left"/>
        <w:textAlignment w:val="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u w:val="single"/>
        </w:rPr>
        <w:t>3、质疑投标人对采购人、采购代理机构的答复不满意或者采购人、采购代理机构未在规定的时间内作出答复的，可以在答复期满后15个工作日内向采购人（集团）的内设监管职能部门投诉。</w:t>
      </w:r>
    </w:p>
    <w:p>
      <w:pPr>
        <w:keepNext w:val="0"/>
        <w:keepLines w:val="0"/>
        <w:pageBreakBefore w:val="0"/>
        <w:widowControl/>
        <w:kinsoku/>
        <w:wordWrap/>
        <w:overflowPunct/>
        <w:topLinePunct w:val="0"/>
        <w:autoSpaceDE/>
        <w:autoSpaceDN/>
        <w:bidi w:val="0"/>
        <w:adjustRightInd/>
        <w:snapToGrid/>
        <w:spacing w:line="240" w:lineRule="auto"/>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u w:val="single"/>
        </w:rPr>
        <w:t>4、</w:t>
      </w:r>
      <w:r>
        <w:rPr>
          <w:rFonts w:hint="eastAsia" w:ascii="宋体" w:hAnsi="宋体" w:eastAsia="宋体" w:cs="宋体"/>
          <w:bCs/>
          <w:kern w:val="0"/>
          <w:szCs w:val="21"/>
          <w:highlight w:val="none"/>
          <w:u w:val="single"/>
          <w:lang w:eastAsia="zh-CN"/>
        </w:rPr>
        <w:t>温州市交通发展集团有限公司</w:t>
      </w:r>
      <w:r>
        <w:rPr>
          <w:rFonts w:hint="eastAsia" w:ascii="宋体" w:hAnsi="宋体" w:eastAsia="宋体" w:cs="宋体"/>
          <w:bCs/>
          <w:kern w:val="0"/>
          <w:szCs w:val="21"/>
          <w:highlight w:val="none"/>
          <w:u w:val="single"/>
        </w:rPr>
        <w:t>负责对投标人反映的企业本部及所属企业在采购活动中出现的违法违规问题进行答疑回复。投标人认为</w:t>
      </w:r>
      <w:r>
        <w:rPr>
          <w:rFonts w:hint="eastAsia" w:ascii="宋体" w:hAnsi="宋体" w:eastAsia="宋体" w:cs="宋体"/>
          <w:bCs/>
          <w:kern w:val="0"/>
          <w:szCs w:val="21"/>
          <w:highlight w:val="none"/>
          <w:u w:val="single"/>
          <w:lang w:eastAsia="zh-CN"/>
        </w:rPr>
        <w:t>温州市交通发展集团有限公司</w:t>
      </w:r>
      <w:r>
        <w:rPr>
          <w:rFonts w:hint="eastAsia" w:ascii="宋体" w:hAnsi="宋体" w:eastAsia="宋体" w:cs="宋体"/>
          <w:bCs/>
          <w:kern w:val="0"/>
          <w:szCs w:val="21"/>
          <w:highlight w:val="none"/>
          <w:u w:val="single"/>
        </w:rPr>
        <w:t>答疑回复处理结果不合法的，可以采购人或采购代理机构为对象依法向人民法院提起诉讼。</w:t>
      </w:r>
    </w:p>
    <w:p>
      <w:pPr>
        <w:keepNext w:val="0"/>
        <w:keepLines w:val="0"/>
        <w:pageBreakBefore w:val="0"/>
        <w:widowControl/>
        <w:kinsoku/>
        <w:wordWrap/>
        <w:overflowPunct/>
        <w:topLinePunct w:val="0"/>
        <w:autoSpaceDE/>
        <w:autoSpaceDN/>
        <w:bidi w:val="0"/>
        <w:adjustRightInd/>
        <w:snapToGrid/>
        <w:spacing w:line="240" w:lineRule="auto"/>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5、投标人如对采购文件有疑问应按采购文件规定的询疑截止时间前提出，逾期提出的，采购组织机构可以不予受理、答复。</w:t>
      </w:r>
    </w:p>
    <w:p>
      <w:pPr>
        <w:widowControl/>
        <w:spacing w:before="60" w:after="60" w:line="240" w:lineRule="auto"/>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、联系方式</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采购人名称：</w:t>
      </w:r>
      <w:r>
        <w:rPr>
          <w:rFonts w:hint="eastAsia" w:ascii="宋体" w:hAnsi="宋体" w:eastAsia="宋体" w:cs="宋体"/>
          <w:highlight w:val="none"/>
          <w:lang w:eastAsia="zh-CN"/>
        </w:rPr>
        <w:t>温州市高速公路资产经营有限公司</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温州市汤家桥国大广场东首5-6楼</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蔡先生</w:t>
      </w:r>
      <w:r>
        <w:rPr>
          <w:rFonts w:hint="eastAsia" w:ascii="宋体" w:hAnsi="宋体" w:eastAsia="宋体" w:cs="宋体"/>
          <w:highlight w:val="none"/>
        </w:rPr>
        <w:t>，联系电话：</w:t>
      </w:r>
      <w:r>
        <w:rPr>
          <w:rFonts w:hint="eastAsia" w:ascii="宋体" w:hAnsi="宋体" w:eastAsia="宋体" w:cs="宋体"/>
          <w:highlight w:val="none"/>
          <w:lang w:eastAsia="zh-CN"/>
        </w:rPr>
        <w:t>13376871622</w:t>
      </w:r>
    </w:p>
    <w:p>
      <w:pPr>
        <w:widowControl/>
        <w:spacing w:before="60" w:after="60" w:line="240" w:lineRule="auto"/>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采购代理机构：浙江国际招投标有限公司</w:t>
      </w:r>
    </w:p>
    <w:p>
      <w:pPr>
        <w:widowControl/>
        <w:spacing w:before="60" w:after="60" w:line="240" w:lineRule="auto"/>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联系人：冯先生</w:t>
      </w:r>
    </w:p>
    <w:p>
      <w:pPr>
        <w:widowControl/>
        <w:spacing w:before="60" w:after="60" w:line="240" w:lineRule="auto"/>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联系方式：13857723185 邮箱：1826066763@qq.com</w:t>
      </w:r>
    </w:p>
    <w:p>
      <w:pPr>
        <w:widowControl/>
        <w:spacing w:before="60" w:after="60" w:line="240" w:lineRule="auto"/>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质疑联系人：易先生，联系电话：15305718087</w:t>
      </w:r>
    </w:p>
    <w:p>
      <w:pPr>
        <w:widowControl/>
        <w:spacing w:before="60" w:after="60" w:line="240" w:lineRule="auto"/>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书面质疑受理地点：温州市黎明西路342号人保财险鹿城支公司办公大楼401室</w:t>
      </w:r>
    </w:p>
    <w:p>
      <w:pPr>
        <w:widowControl/>
        <w:spacing w:before="60" w:after="60" w:line="240" w:lineRule="auto"/>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采购监管部门：</w:t>
      </w:r>
      <w:r>
        <w:rPr>
          <w:rFonts w:hint="eastAsia" w:ascii="宋体" w:hAnsi="宋体" w:eastAsia="宋体" w:cs="宋体"/>
          <w:highlight w:val="none"/>
          <w:lang w:eastAsia="zh-CN"/>
        </w:rPr>
        <w:t>温州市交通发展集团有限公司</w:t>
      </w:r>
      <w:r>
        <w:rPr>
          <w:rFonts w:hint="eastAsia" w:ascii="宋体" w:hAnsi="宋体" w:eastAsia="宋体" w:cs="宋体"/>
          <w:highlight w:val="none"/>
        </w:rPr>
        <w:t>纪检监察室    </w:t>
      </w:r>
    </w:p>
    <w:p>
      <w:pPr>
        <w:widowControl/>
        <w:spacing w:before="60" w:after="60" w:line="240" w:lineRule="auto"/>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胡先生</w:t>
      </w:r>
    </w:p>
    <w:p>
      <w:pPr>
        <w:widowControl/>
        <w:spacing w:before="60" w:after="60" w:line="240" w:lineRule="auto"/>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联系电话：0577-85559092</w:t>
      </w:r>
    </w:p>
    <w:p>
      <w:pPr>
        <w:widowControl/>
        <w:spacing w:before="60" w:after="60" w:line="240" w:lineRule="auto"/>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kern w:val="0"/>
          <w:szCs w:val="21"/>
          <w:highlight w:val="none"/>
          <w:lang w:eastAsia="zh-CN"/>
        </w:rPr>
        <w:t>温州市高速公路资产经营有限公司</w:t>
      </w:r>
      <w:r>
        <w:rPr>
          <w:rFonts w:hint="eastAsia" w:ascii="宋体" w:hAnsi="宋体" w:eastAsia="宋体" w:cs="宋体"/>
          <w:bCs/>
          <w:kern w:val="0"/>
          <w:szCs w:val="21"/>
          <w:highlight w:val="none"/>
        </w:rPr>
        <w:t xml:space="preserve"> </w:t>
      </w:r>
    </w:p>
    <w:p>
      <w:pPr>
        <w:widowControl/>
        <w:spacing w:before="60" w:after="60" w:line="240" w:lineRule="auto"/>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pPr>
        <w:widowControl/>
        <w:spacing w:before="60" w:after="60" w:line="240" w:lineRule="auto"/>
        <w:ind w:left="62" w:right="62" w:firstLine="420" w:firstLineChars="200"/>
        <w:jc w:val="right"/>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rPr>
        <w:t>202</w:t>
      </w:r>
      <w:r>
        <w:rPr>
          <w:rFonts w:hint="eastAsia" w:ascii="宋体" w:hAnsi="宋体" w:eastAsia="宋体" w:cs="宋体"/>
          <w:color w:val="0000FF"/>
          <w:kern w:val="0"/>
          <w:szCs w:val="21"/>
          <w:highlight w:val="none"/>
          <w:lang w:val="en-US" w:eastAsia="zh-CN"/>
        </w:rPr>
        <w:t>4</w:t>
      </w:r>
      <w:r>
        <w:rPr>
          <w:rFonts w:hint="eastAsia" w:ascii="宋体" w:hAnsi="宋体" w:eastAsia="宋体" w:cs="宋体"/>
          <w:color w:val="0000FF"/>
          <w:kern w:val="0"/>
          <w:szCs w:val="21"/>
          <w:highlight w:val="none"/>
        </w:rPr>
        <w:t>年</w:t>
      </w:r>
      <w:r>
        <w:rPr>
          <w:rFonts w:hint="eastAsia" w:ascii="宋体" w:hAnsi="宋体" w:eastAsia="宋体" w:cs="宋体"/>
          <w:color w:val="0000FF"/>
          <w:kern w:val="0"/>
          <w:szCs w:val="21"/>
          <w:highlight w:val="none"/>
          <w:lang w:val="en-US" w:eastAsia="zh-CN"/>
        </w:rPr>
        <w:t>3</w:t>
      </w:r>
      <w:r>
        <w:rPr>
          <w:rFonts w:hint="eastAsia" w:ascii="宋体" w:hAnsi="宋体" w:eastAsia="宋体" w:cs="宋体"/>
          <w:color w:val="0000FF"/>
          <w:kern w:val="0"/>
          <w:szCs w:val="21"/>
          <w:highlight w:val="none"/>
        </w:rPr>
        <w:t>月</w:t>
      </w:r>
      <w:r>
        <w:rPr>
          <w:rFonts w:hint="eastAsia" w:ascii="宋体" w:hAnsi="宋体" w:eastAsia="宋体" w:cs="宋体"/>
          <w:color w:val="0000FF"/>
          <w:kern w:val="0"/>
          <w:szCs w:val="21"/>
          <w:highlight w:val="none"/>
          <w:lang w:val="en-US" w:eastAsia="zh-CN"/>
        </w:rPr>
        <w:t>1</w:t>
      </w:r>
      <w:r>
        <w:rPr>
          <w:rFonts w:hint="eastAsia" w:ascii="宋体" w:hAnsi="宋体" w:eastAsia="宋体" w:cs="宋体"/>
          <w:color w:val="0000FF"/>
          <w:kern w:val="0"/>
          <w:szCs w:val="21"/>
          <w:highlight w:val="none"/>
        </w:rPr>
        <w:t>日</w:t>
      </w:r>
    </w:p>
    <w:p>
      <w:pPr>
        <w:spacing w:line="240" w:lineRule="auto"/>
        <w:jc w:val="center"/>
        <w:rPr>
          <w:rFonts w:hint="eastAsia" w:ascii="宋体" w:hAnsi="宋体" w:eastAsia="宋体" w:cs="宋体"/>
          <w:sz w:val="24"/>
          <w:highlight w:val="none"/>
        </w:rPr>
      </w:pPr>
      <w:bookmarkStart w:id="9" w:name="_Toc491780522"/>
    </w:p>
    <w:p>
      <w:pPr>
        <w:spacing w:line="240" w:lineRule="auto"/>
        <w:jc w:val="center"/>
        <w:rPr>
          <w:rFonts w:hint="eastAsia" w:ascii="宋体" w:hAnsi="宋体" w:eastAsia="宋体" w:cs="宋体"/>
          <w:sz w:val="24"/>
          <w:highlight w:val="none"/>
        </w:rPr>
      </w:pPr>
      <w:r>
        <w:rPr>
          <w:rFonts w:hint="eastAsia" w:ascii="宋体" w:hAnsi="宋体" w:eastAsia="宋体" w:cs="宋体"/>
          <w:sz w:val="24"/>
          <w:highlight w:val="none"/>
          <w:lang w:eastAsia="zh-CN"/>
        </w:rPr>
        <w:t>温州市交发集团</w:t>
      </w:r>
      <w:r>
        <w:rPr>
          <w:rFonts w:hint="eastAsia" w:ascii="宋体" w:hAnsi="宋体" w:eastAsia="宋体" w:cs="宋体"/>
          <w:sz w:val="24"/>
          <w:highlight w:val="none"/>
          <w:lang w:val="en-US" w:eastAsia="zh-CN"/>
        </w:rPr>
        <w:t>所属</w:t>
      </w:r>
      <w:r>
        <w:rPr>
          <w:rFonts w:hint="eastAsia" w:ascii="宋体" w:hAnsi="宋体" w:eastAsia="宋体" w:cs="宋体"/>
          <w:sz w:val="24"/>
          <w:highlight w:val="none"/>
          <w:lang w:eastAsia="zh-CN"/>
        </w:rPr>
        <w:t>温州市高速公路资产经营有限公司关于“瓯江红·畅美高速”党群服务中心物业服务</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自主</w:t>
      </w:r>
      <w:r>
        <w:rPr>
          <w:rFonts w:hint="eastAsia" w:ascii="宋体" w:hAnsi="宋体" w:eastAsia="宋体" w:cs="宋体"/>
          <w:sz w:val="24"/>
          <w:highlight w:val="none"/>
          <w:lang w:eastAsia="zh-CN"/>
        </w:rPr>
        <w:t>）的征求意见公示</w:t>
      </w:r>
      <w:bookmarkEnd w:id="9"/>
      <w:bookmarkStart w:id="226" w:name="_GoBack"/>
      <w:bookmarkEnd w:id="226"/>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受</w:t>
      </w:r>
      <w:r>
        <w:rPr>
          <w:rFonts w:hint="eastAsia" w:ascii="宋体" w:hAnsi="宋体" w:eastAsia="宋体" w:cs="宋体"/>
          <w:bCs/>
          <w:kern w:val="0"/>
          <w:szCs w:val="21"/>
          <w:highlight w:val="none"/>
          <w:lang w:eastAsia="zh-CN"/>
        </w:rPr>
        <w:t>温州市高速公路资产经营有限公司</w:t>
      </w:r>
      <w:r>
        <w:rPr>
          <w:rFonts w:hint="eastAsia" w:ascii="宋体" w:hAnsi="宋体" w:eastAsia="宋体" w:cs="宋体"/>
          <w:bCs/>
          <w:kern w:val="0"/>
          <w:szCs w:val="21"/>
          <w:highlight w:val="none"/>
        </w:rPr>
        <w:t>的委托，就</w:t>
      </w:r>
      <w:r>
        <w:rPr>
          <w:rFonts w:hint="eastAsia" w:ascii="宋体" w:hAnsi="宋体" w:eastAsia="宋体" w:cs="宋体"/>
          <w:bCs/>
          <w:kern w:val="0"/>
          <w:szCs w:val="21"/>
          <w:highlight w:val="none"/>
          <w:lang w:eastAsia="zh-CN"/>
        </w:rPr>
        <w:t>“瓯江红·畅美高速”党群服务中心物业服务</w:t>
      </w:r>
      <w:r>
        <w:rPr>
          <w:rFonts w:hint="eastAsia" w:ascii="宋体" w:hAnsi="宋体" w:eastAsia="宋体" w:cs="宋体"/>
          <w:bCs/>
          <w:kern w:val="0"/>
          <w:szCs w:val="21"/>
          <w:highlight w:val="none"/>
        </w:rPr>
        <w:t>以公开招标方式进行采购。现将本项目采购文件公布如下（详见附件），并公开征求投标供应商及专家意见。</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一、征求意见范围：</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1、是否出现明显的倾向性意见和特定的性能指标；</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2、投标供应商资格条件是否具有明显倾向性和歧视性；</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3、影响温州市国有企业采购“公开、公平、公正”原则的其他情况。 </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二、征求意见的回复：</w:t>
      </w:r>
    </w:p>
    <w:p>
      <w:pPr>
        <w:widowControl/>
        <w:spacing w:before="60" w:after="60"/>
        <w:ind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各投标供应商及专家提出修改理由和建议的，请于</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4</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6</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下</w:t>
      </w:r>
      <w:r>
        <w:rPr>
          <w:rFonts w:hint="eastAsia" w:ascii="宋体" w:hAnsi="宋体" w:eastAsia="宋体" w:cs="宋体"/>
          <w:bCs/>
          <w:color w:val="0000FF"/>
          <w:kern w:val="0"/>
          <w:szCs w:val="21"/>
          <w:highlight w:val="none"/>
        </w:rPr>
        <w:t>午</w:t>
      </w:r>
      <w:r>
        <w:rPr>
          <w:rFonts w:hint="eastAsia" w:ascii="宋体" w:hAnsi="宋体" w:eastAsia="宋体" w:cs="宋体"/>
          <w:bCs/>
          <w:color w:val="0000FF"/>
          <w:kern w:val="0"/>
          <w:szCs w:val="21"/>
          <w:highlight w:val="none"/>
          <w:lang w:val="en-US" w:eastAsia="zh-CN"/>
        </w:rPr>
        <w:t>17</w:t>
      </w:r>
      <w:r>
        <w:rPr>
          <w:rFonts w:hint="eastAsia" w:ascii="宋体" w:hAnsi="宋体" w:eastAsia="宋体" w:cs="宋体"/>
          <w:bCs/>
          <w:color w:val="0000FF"/>
          <w:kern w:val="0"/>
          <w:szCs w:val="21"/>
          <w:highlight w:val="none"/>
        </w:rPr>
        <w:t>时00分</w:t>
      </w:r>
      <w:r>
        <w:rPr>
          <w:rFonts w:hint="eastAsia" w:ascii="宋体" w:hAnsi="宋体" w:eastAsia="宋体" w:cs="宋体"/>
          <w:bCs/>
          <w:kern w:val="0"/>
          <w:szCs w:val="21"/>
          <w:highlight w:val="none"/>
        </w:rPr>
        <w:t>前将书面材料签字（盖公章）并密封后送至</w:t>
      </w:r>
      <w:r>
        <w:rPr>
          <w:rFonts w:hint="eastAsia" w:ascii="宋体" w:hAnsi="宋体" w:eastAsia="宋体" w:cs="宋体"/>
          <w:bCs/>
          <w:kern w:val="0"/>
          <w:szCs w:val="21"/>
          <w:highlight w:val="none"/>
          <w:lang w:eastAsia="zh-CN"/>
        </w:rPr>
        <w:t>温州市黎明西路342号人保财险鹿城支公司办公大楼401室</w:t>
      </w:r>
      <w:r>
        <w:rPr>
          <w:rFonts w:hint="eastAsia" w:ascii="宋体" w:hAnsi="宋体" w:eastAsia="宋体" w:cs="宋体"/>
          <w:bCs/>
          <w:kern w:val="0"/>
          <w:szCs w:val="21"/>
          <w:highlight w:val="none"/>
        </w:rPr>
        <w:t>采购代理公司，或先将扫描件及电子版发送至邮箱</w:t>
      </w:r>
      <w:r>
        <w:rPr>
          <w:rFonts w:hint="eastAsia" w:ascii="宋体" w:hAnsi="宋体" w:eastAsia="宋体" w:cs="宋体"/>
          <w:bCs/>
          <w:kern w:val="0"/>
          <w:szCs w:val="21"/>
          <w:highlight w:val="none"/>
          <w:lang w:eastAsia="zh-CN"/>
        </w:rPr>
        <w:t>1826066763</w:t>
      </w:r>
      <w:r>
        <w:rPr>
          <w:rFonts w:hint="eastAsia" w:ascii="宋体" w:hAnsi="宋体" w:eastAsia="宋体" w:cs="宋体"/>
          <w:bCs/>
          <w:kern w:val="0"/>
          <w:szCs w:val="21"/>
          <w:highlight w:val="none"/>
        </w:rPr>
        <w:t>3@qq.com，并同时将该原件书面寄至</w:t>
      </w: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联系人：易先生，联系电话：</w:t>
      </w:r>
      <w:r>
        <w:rPr>
          <w:rFonts w:hint="eastAsia" w:ascii="宋体" w:hAnsi="宋体" w:eastAsia="宋体" w:cs="宋体"/>
          <w:highlight w:val="none"/>
        </w:rPr>
        <w:t>15305718087</w:t>
      </w:r>
      <w:r>
        <w:rPr>
          <w:rFonts w:hint="eastAsia" w:ascii="宋体" w:hAnsi="宋体" w:eastAsia="宋体" w:cs="宋体"/>
          <w:bCs/>
          <w:kern w:val="0"/>
          <w:szCs w:val="21"/>
          <w:highlight w:val="none"/>
        </w:rPr>
        <w:t>。</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对逾期送达的意见、建议书恕不接受。</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三、附本项目采购文件</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温州市高速公路资产经营有限公司</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4</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1</w:t>
      </w:r>
      <w:r>
        <w:rPr>
          <w:rFonts w:hint="eastAsia" w:ascii="宋体" w:hAnsi="宋体" w:eastAsia="宋体" w:cs="宋体"/>
          <w:bCs/>
          <w:color w:val="0000FF"/>
          <w:kern w:val="0"/>
          <w:szCs w:val="21"/>
          <w:highlight w:val="none"/>
        </w:rPr>
        <w:t>日</w:t>
      </w:r>
      <w:bookmarkEnd w:id="2"/>
    </w:p>
    <w:p>
      <w:pPr>
        <w:widowControl/>
        <w:spacing w:before="60" w:after="60"/>
        <w:ind w:left="62" w:right="62" w:firstLine="420" w:firstLineChars="200"/>
        <w:jc w:val="center"/>
        <w:rPr>
          <w:rFonts w:hint="eastAsia" w:ascii="宋体" w:hAnsi="宋体" w:eastAsia="宋体" w:cs="宋体"/>
          <w:sz w:val="36"/>
          <w:szCs w:val="36"/>
          <w:highlight w:val="none"/>
        </w:rPr>
      </w:pPr>
      <w:r>
        <w:rPr>
          <w:rFonts w:hint="eastAsia" w:ascii="宋体" w:hAnsi="宋体" w:eastAsia="宋体" w:cs="宋体"/>
          <w:bCs/>
          <w:kern w:val="0"/>
          <w:szCs w:val="21"/>
          <w:highlight w:val="none"/>
        </w:rPr>
        <w:br w:type="page"/>
      </w:r>
      <w:bookmarkStart w:id="10" w:name="_Toc223717603"/>
      <w:bookmarkStart w:id="11" w:name="_Toc217460684"/>
      <w:bookmarkStart w:id="12" w:name="_Toc223933220"/>
      <w:bookmarkStart w:id="13" w:name="_Toc218041725"/>
      <w:bookmarkStart w:id="14" w:name="_Toc227056845"/>
      <w:bookmarkStart w:id="15" w:name="_Toc227057032"/>
      <w:bookmarkStart w:id="16" w:name="_Toc215415529"/>
      <w:bookmarkStart w:id="17" w:name="_Toc491780523"/>
      <w:bookmarkStart w:id="18" w:name="_Toc227489886"/>
      <w:bookmarkStart w:id="19" w:name="_Toc216667819"/>
      <w:bookmarkStart w:id="20" w:name="_Toc219538612"/>
      <w:r>
        <w:rPr>
          <w:rFonts w:hint="eastAsia" w:ascii="宋体" w:hAnsi="宋体" w:eastAsia="宋体" w:cs="宋体"/>
          <w:sz w:val="36"/>
          <w:szCs w:val="36"/>
          <w:highlight w:val="none"/>
        </w:rPr>
        <w:t>第一部分 投标人须知</w:t>
      </w:r>
      <w:bookmarkEnd w:id="10"/>
      <w:bookmarkEnd w:id="11"/>
      <w:bookmarkEnd w:id="12"/>
      <w:bookmarkEnd w:id="13"/>
      <w:bookmarkEnd w:id="14"/>
      <w:bookmarkEnd w:id="15"/>
      <w:bookmarkEnd w:id="16"/>
      <w:bookmarkEnd w:id="17"/>
      <w:bookmarkEnd w:id="18"/>
      <w:bookmarkEnd w:id="19"/>
      <w:bookmarkEnd w:id="20"/>
      <w:r>
        <w:rPr>
          <w:rFonts w:hint="eastAsia" w:ascii="宋体" w:hAnsi="宋体" w:eastAsia="宋体" w:cs="宋体"/>
          <w:sz w:val="36"/>
          <w:szCs w:val="36"/>
          <w:highlight w:val="none"/>
        </w:rPr>
        <w:t>及投标人须知前附表</w:t>
      </w:r>
    </w:p>
    <w:p>
      <w:pPr>
        <w:spacing w:before="156" w:beforeLines="50" w:after="156" w:afterLines="50"/>
        <w:jc w:val="center"/>
        <w:rPr>
          <w:rFonts w:hint="eastAsia" w:ascii="宋体" w:hAnsi="宋体" w:eastAsia="宋体" w:cs="宋体"/>
          <w:b/>
          <w:sz w:val="28"/>
          <w:szCs w:val="28"/>
          <w:highlight w:val="none"/>
        </w:rPr>
      </w:pPr>
      <w:bookmarkStart w:id="21" w:name="_Toc401243876"/>
      <w:bookmarkStart w:id="22" w:name="_Toc433729304"/>
      <w:bookmarkStart w:id="23" w:name="_Toc216667820"/>
      <w:bookmarkStart w:id="24" w:name="_Toc223717604"/>
      <w:bookmarkStart w:id="25" w:name="_Toc227489887"/>
      <w:bookmarkStart w:id="26" w:name="_Toc227056846"/>
      <w:bookmarkStart w:id="27" w:name="_Toc218041726"/>
      <w:bookmarkStart w:id="28" w:name="_Toc217460685"/>
      <w:bookmarkStart w:id="29" w:name="_Toc219538613"/>
      <w:bookmarkStart w:id="30" w:name="_Toc215415530"/>
      <w:bookmarkStart w:id="31" w:name="_Toc227057033"/>
      <w:bookmarkStart w:id="32" w:name="_Toc223933221"/>
      <w:r>
        <w:rPr>
          <w:rFonts w:hint="eastAsia" w:ascii="宋体" w:hAnsi="宋体" w:eastAsia="宋体" w:cs="宋体"/>
          <w:b/>
          <w:sz w:val="28"/>
          <w:szCs w:val="28"/>
          <w:highlight w:val="none"/>
        </w:rPr>
        <w:t>投标人须知前附表</w:t>
      </w:r>
      <w:bookmarkEnd w:id="21"/>
      <w:bookmarkEnd w:id="22"/>
    </w:p>
    <w:tbl>
      <w:tblPr>
        <w:tblStyle w:val="25"/>
        <w:tblW w:w="0" w:type="auto"/>
        <w:jc w:val="center"/>
        <w:tblLayout w:type="fixed"/>
        <w:tblCellMar>
          <w:top w:w="0" w:type="dxa"/>
          <w:left w:w="108" w:type="dxa"/>
          <w:bottom w:w="0" w:type="dxa"/>
          <w:right w:w="108" w:type="dxa"/>
        </w:tblCellMar>
      </w:tblPr>
      <w:tblGrid>
        <w:gridCol w:w="836"/>
        <w:gridCol w:w="1624"/>
        <w:gridCol w:w="6528"/>
      </w:tblGrid>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编列内容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“瓯江红·畅美高速”党群服务中心物业服务</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WGSS-JFJT-Z-2024008</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温州市高速公路资产经营有限公司</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温州市汤家桥国大广场东首5-6楼</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val="en-US" w:eastAsia="zh-CN"/>
              </w:rPr>
              <w:t>蔡先生</w:t>
            </w: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eastAsia="zh-CN"/>
              </w:rPr>
              <w:t>13376871622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代理机构名称：</w:t>
            </w:r>
            <w:r>
              <w:rPr>
                <w:rFonts w:hint="eastAsia" w:ascii="宋体" w:hAnsi="宋体" w:eastAsia="宋体" w:cs="宋体"/>
                <w:kern w:val="0"/>
                <w:sz w:val="18"/>
                <w:szCs w:val="18"/>
                <w:highlight w:val="none"/>
                <w:lang w:eastAsia="zh-CN"/>
              </w:rPr>
              <w:t>浙江国际招投标有限公司</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代理机构地址：温州市黎明西路342号人保财险鹿城支公司办公大楼401室</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联系人：冯先生</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联系方式：13857723185 邮箱：1826066763@qq.com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温州市高速公路资产经营有限公司所需</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lang w:eastAsia="zh-CN"/>
              </w:rPr>
              <w:t>“瓯江红·畅美高速”党群服务中心物业服务</w:t>
            </w:r>
            <w:r>
              <w:rPr>
                <w:rFonts w:hint="eastAsia" w:ascii="宋体" w:hAnsi="宋体" w:eastAsia="宋体" w:cs="宋体"/>
                <w:sz w:val="18"/>
                <w:szCs w:val="18"/>
                <w:highlight w:val="none"/>
              </w:rPr>
              <w:t>，具体</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内容及详细技术要求见采购文件相关部分</w:t>
            </w:r>
            <w:r>
              <w:rPr>
                <w:rFonts w:hint="eastAsia" w:ascii="宋体" w:hAnsi="宋体" w:eastAsia="宋体" w:cs="宋体"/>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u w:val="single"/>
              </w:rPr>
              <w:t>▲本项目采购预算为人民币</w:t>
            </w:r>
            <w:r>
              <w:rPr>
                <w:rFonts w:hint="eastAsia" w:ascii="宋体" w:hAnsi="宋体" w:eastAsia="宋体" w:cs="宋体"/>
                <w:b/>
                <w:kern w:val="0"/>
                <w:sz w:val="18"/>
                <w:szCs w:val="18"/>
                <w:highlight w:val="none"/>
                <w:u w:val="single"/>
                <w:lang w:val="en-US" w:eastAsia="zh-CN"/>
              </w:rPr>
              <w:t>21万元</w:t>
            </w:r>
            <w:r>
              <w:rPr>
                <w:rFonts w:hint="eastAsia" w:ascii="宋体" w:hAnsi="宋体" w:eastAsia="宋体" w:cs="宋体"/>
                <w:b/>
                <w:kern w:val="0"/>
                <w:sz w:val="18"/>
                <w:szCs w:val="18"/>
                <w:highlight w:val="none"/>
                <w:u w:val="single"/>
              </w:rPr>
              <w:t>，投标供应商的投标报价超出</w:t>
            </w:r>
            <w:r>
              <w:rPr>
                <w:rFonts w:hint="eastAsia" w:ascii="宋体" w:hAnsi="宋体" w:eastAsia="宋体" w:cs="宋体"/>
                <w:b/>
                <w:kern w:val="0"/>
                <w:sz w:val="18"/>
                <w:szCs w:val="18"/>
                <w:highlight w:val="none"/>
                <w:u w:val="single"/>
                <w:lang w:val="en-US" w:eastAsia="zh-CN"/>
              </w:rPr>
              <w:t>采购预算</w:t>
            </w:r>
            <w:r>
              <w:rPr>
                <w:rFonts w:hint="eastAsia" w:ascii="宋体" w:hAnsi="宋体" w:eastAsia="宋体" w:cs="宋体"/>
                <w:b/>
                <w:kern w:val="0"/>
                <w:sz w:val="18"/>
                <w:szCs w:val="18"/>
                <w:highlight w:val="none"/>
                <w:u w:val="single"/>
              </w:rPr>
              <w:t>（大于</w:t>
            </w:r>
            <w:r>
              <w:rPr>
                <w:rFonts w:hint="eastAsia" w:ascii="宋体" w:hAnsi="宋体" w:eastAsia="宋体" w:cs="宋体"/>
                <w:b/>
                <w:kern w:val="0"/>
                <w:sz w:val="18"/>
                <w:szCs w:val="18"/>
                <w:highlight w:val="none"/>
                <w:u w:val="single"/>
                <w:lang w:val="en-US" w:eastAsia="zh-CN"/>
              </w:rPr>
              <w:t>21万元</w:t>
            </w:r>
            <w:r>
              <w:rPr>
                <w:rFonts w:hint="eastAsia" w:ascii="宋体" w:hAnsi="宋体" w:eastAsia="宋体" w:cs="宋体"/>
                <w:b/>
                <w:kern w:val="0"/>
                <w:sz w:val="18"/>
                <w:szCs w:val="18"/>
                <w:highlight w:val="none"/>
                <w:u w:val="single"/>
              </w:rPr>
              <w:t>）的作无效标处理</w:t>
            </w:r>
            <w:r>
              <w:rPr>
                <w:rFonts w:hint="eastAsia" w:ascii="宋体" w:hAnsi="宋体" w:eastAsia="宋体" w:cs="宋体"/>
                <w:b/>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服务</w:t>
            </w:r>
            <w:r>
              <w:rPr>
                <w:rFonts w:hint="eastAsia" w:ascii="宋体" w:hAnsi="宋体" w:eastAsia="宋体" w:cs="宋体"/>
                <w:kern w:val="0"/>
                <w:sz w:val="18"/>
                <w:szCs w:val="18"/>
                <w:highlight w:val="none"/>
              </w:rPr>
              <w:t>期限</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合同签订之日起1年</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投标供应商资格要求</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b/>
                <w:bCs/>
                <w:kern w:val="0"/>
                <w:sz w:val="18"/>
                <w:szCs w:val="18"/>
                <w:highlight w:val="none"/>
              </w:rPr>
              <w:t>见采购公告中的要求</w:t>
            </w:r>
            <w:r>
              <w:rPr>
                <w:rFonts w:hint="eastAsia" w:ascii="宋体" w:hAnsi="宋体" w:eastAsia="宋体" w:cs="宋体"/>
                <w:b/>
                <w:bCs/>
                <w:kern w:val="0"/>
                <w:sz w:val="18"/>
                <w:szCs w:val="18"/>
                <w:highlight w:val="none"/>
                <w:lang w:eastAsia="zh-CN"/>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不接受</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不组织</w:t>
            </w:r>
            <w:r>
              <w:rPr>
                <w:rFonts w:hint="eastAsia" w:ascii="宋体" w:hAnsi="宋体" w:eastAsia="宋体" w:cs="宋体"/>
                <w:kern w:val="0"/>
                <w:sz w:val="18"/>
                <w:szCs w:val="18"/>
                <w:highlight w:val="none"/>
                <w:lang w:eastAsia="zh-CN"/>
              </w:rPr>
              <w:t>，投标供应商若需踏勘现场，请联系</w:t>
            </w:r>
            <w:r>
              <w:rPr>
                <w:rFonts w:hint="eastAsia" w:ascii="宋体" w:hAnsi="宋体" w:eastAsia="宋体" w:cs="宋体"/>
                <w:kern w:val="0"/>
                <w:sz w:val="18"/>
                <w:szCs w:val="18"/>
                <w:highlight w:val="none"/>
                <w:lang w:val="en-US" w:eastAsia="zh-CN"/>
              </w:rPr>
              <w:t>采购</w:t>
            </w:r>
            <w:r>
              <w:rPr>
                <w:rFonts w:hint="eastAsia" w:ascii="宋体" w:hAnsi="宋体" w:eastAsia="宋体" w:cs="宋体"/>
                <w:kern w:val="0"/>
                <w:sz w:val="18"/>
                <w:szCs w:val="18"/>
                <w:highlight w:val="none"/>
                <w:lang w:eastAsia="zh-CN"/>
              </w:rPr>
              <w:t>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不召开</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询疑</w:t>
            </w:r>
            <w:r>
              <w:rPr>
                <w:rFonts w:hint="eastAsia" w:ascii="宋体" w:hAnsi="宋体" w:eastAsia="宋体" w:cs="宋体"/>
                <w:kern w:val="0"/>
                <w:sz w:val="18"/>
                <w:szCs w:val="18"/>
                <w:highlight w:val="none"/>
              </w:rPr>
              <w:t>截止时间：</w:t>
            </w:r>
            <w:r>
              <w:rPr>
                <w:rFonts w:hint="eastAsia" w:ascii="宋体" w:hAnsi="宋体" w:eastAsia="宋体" w:cs="宋体"/>
                <w:color w:val="0000FF"/>
                <w:kern w:val="0"/>
                <w:sz w:val="18"/>
                <w:szCs w:val="18"/>
                <w:highlight w:val="none"/>
              </w:rPr>
              <w:t>202</w:t>
            </w:r>
            <w:r>
              <w:rPr>
                <w:rFonts w:hint="eastAsia" w:ascii="宋体" w:hAnsi="宋体" w:eastAsia="宋体" w:cs="宋体"/>
                <w:color w:val="0000FF"/>
                <w:kern w:val="0"/>
                <w:sz w:val="18"/>
                <w:szCs w:val="18"/>
                <w:highlight w:val="none"/>
                <w:lang w:val="en-US" w:eastAsia="zh-CN"/>
              </w:rPr>
              <w:t>4</w:t>
            </w:r>
            <w:r>
              <w:rPr>
                <w:rFonts w:hint="eastAsia" w:ascii="宋体" w:hAnsi="宋体" w:eastAsia="宋体" w:cs="宋体"/>
                <w:color w:val="0000FF"/>
                <w:kern w:val="0"/>
                <w:sz w:val="18"/>
                <w:szCs w:val="18"/>
                <w:highlight w:val="none"/>
              </w:rPr>
              <w:t>年</w:t>
            </w:r>
            <w:r>
              <w:rPr>
                <w:rFonts w:hint="eastAsia" w:ascii="宋体" w:hAnsi="宋体" w:eastAsia="宋体" w:cs="宋体"/>
                <w:color w:val="0000FF"/>
                <w:kern w:val="0"/>
                <w:sz w:val="18"/>
                <w:szCs w:val="18"/>
                <w:highlight w:val="none"/>
                <w:lang w:val="en-US" w:eastAsia="zh-CN"/>
              </w:rPr>
              <w:t>3</w:t>
            </w:r>
            <w:r>
              <w:rPr>
                <w:rFonts w:hint="eastAsia" w:ascii="宋体" w:hAnsi="宋体" w:eastAsia="宋体" w:cs="宋体"/>
                <w:color w:val="0000FF"/>
                <w:kern w:val="0"/>
                <w:sz w:val="18"/>
                <w:szCs w:val="18"/>
                <w:highlight w:val="none"/>
              </w:rPr>
              <w:t>月</w:t>
            </w:r>
            <w:r>
              <w:rPr>
                <w:rFonts w:hint="eastAsia" w:ascii="宋体" w:hAnsi="宋体" w:eastAsia="宋体" w:cs="宋体"/>
                <w:color w:val="0000FF"/>
                <w:kern w:val="0"/>
                <w:sz w:val="18"/>
                <w:szCs w:val="18"/>
                <w:highlight w:val="none"/>
                <w:lang w:val="en-US" w:eastAsia="zh-CN"/>
              </w:rPr>
              <w:t>6</w:t>
            </w:r>
            <w:r>
              <w:rPr>
                <w:rFonts w:hint="eastAsia" w:ascii="宋体" w:hAnsi="宋体" w:eastAsia="宋体" w:cs="宋体"/>
                <w:color w:val="0000FF"/>
                <w:kern w:val="0"/>
                <w:sz w:val="18"/>
                <w:szCs w:val="18"/>
                <w:highlight w:val="none"/>
              </w:rPr>
              <w:t>日</w:t>
            </w:r>
            <w:r>
              <w:rPr>
                <w:rFonts w:hint="eastAsia" w:ascii="宋体" w:hAnsi="宋体" w:eastAsia="宋体" w:cs="宋体"/>
                <w:color w:val="0000FF"/>
                <w:kern w:val="0"/>
                <w:sz w:val="18"/>
                <w:szCs w:val="18"/>
                <w:highlight w:val="none"/>
                <w:lang w:val="en-US" w:eastAsia="zh-CN"/>
              </w:rPr>
              <w:t>下</w:t>
            </w:r>
            <w:r>
              <w:rPr>
                <w:rFonts w:hint="eastAsia" w:ascii="宋体" w:hAnsi="宋体" w:eastAsia="宋体" w:cs="宋体"/>
                <w:color w:val="0000FF"/>
                <w:kern w:val="0"/>
                <w:sz w:val="18"/>
                <w:szCs w:val="18"/>
                <w:highlight w:val="none"/>
              </w:rPr>
              <w:t>午</w:t>
            </w:r>
            <w:r>
              <w:rPr>
                <w:rFonts w:hint="eastAsia" w:ascii="宋体" w:hAnsi="宋体" w:eastAsia="宋体" w:cs="宋体"/>
                <w:color w:val="0000FF"/>
                <w:kern w:val="0"/>
                <w:sz w:val="18"/>
                <w:szCs w:val="18"/>
                <w:highlight w:val="none"/>
                <w:lang w:val="en-US" w:eastAsia="zh-CN"/>
              </w:rPr>
              <w:t>17</w:t>
            </w:r>
            <w:r>
              <w:rPr>
                <w:rFonts w:hint="eastAsia" w:ascii="宋体" w:hAnsi="宋体" w:eastAsia="宋体" w:cs="宋体"/>
                <w:color w:val="0000FF"/>
                <w:kern w:val="0"/>
                <w:sz w:val="18"/>
                <w:szCs w:val="18"/>
                <w:highlight w:val="none"/>
              </w:rPr>
              <w:t>时00分前</w:t>
            </w:r>
            <w:r>
              <w:rPr>
                <w:rFonts w:hint="eastAsia" w:ascii="宋体" w:hAnsi="宋体" w:eastAsia="宋体" w:cs="宋体"/>
                <w:kern w:val="0"/>
                <w:sz w:val="18"/>
                <w:szCs w:val="18"/>
                <w:highlight w:val="none"/>
              </w:rPr>
              <w:t>（以公告为准）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澄清文件提交：</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"mailto:质疑文件加盖公章后以照片或扫描件发送至邮箱517411407@qq.com" </w:instrText>
            </w:r>
            <w:r>
              <w:rPr>
                <w:rFonts w:hint="eastAsia" w:ascii="宋体" w:hAnsi="宋体" w:eastAsia="宋体" w:cs="宋体"/>
                <w:highlight w:val="none"/>
              </w:rPr>
              <w:fldChar w:fldCharType="separate"/>
            </w:r>
            <w:r>
              <w:rPr>
                <w:rStyle w:val="31"/>
                <w:rFonts w:hint="eastAsia" w:ascii="宋体" w:hAnsi="宋体" w:eastAsia="宋体" w:cs="宋体"/>
                <w:color w:val="auto"/>
                <w:kern w:val="0"/>
                <w:sz w:val="18"/>
                <w:szCs w:val="18"/>
                <w:highlight w:val="none"/>
              </w:rPr>
              <w:t>澄清文件加盖公章后以扫描件发送至邮箱</w:t>
            </w:r>
            <w:r>
              <w:rPr>
                <w:rStyle w:val="31"/>
                <w:rFonts w:hint="eastAsia" w:ascii="宋体" w:hAnsi="宋体" w:eastAsia="宋体" w:cs="宋体"/>
                <w:color w:val="auto"/>
                <w:kern w:val="0"/>
                <w:sz w:val="18"/>
                <w:szCs w:val="18"/>
                <w:highlight w:val="none"/>
                <w:lang w:eastAsia="zh-CN"/>
              </w:rPr>
              <w:t>1826066763</w:t>
            </w:r>
            <w:r>
              <w:rPr>
                <w:rStyle w:val="31"/>
                <w:rFonts w:hint="eastAsia" w:ascii="宋体" w:hAnsi="宋体" w:eastAsia="宋体" w:cs="宋体"/>
                <w:color w:val="auto"/>
                <w:kern w:val="0"/>
                <w:sz w:val="18"/>
                <w:szCs w:val="18"/>
                <w:highlight w:val="none"/>
              </w:rPr>
              <w:t>@qq.com</w:t>
            </w:r>
            <w:r>
              <w:rPr>
                <w:rStyle w:val="31"/>
                <w:rFonts w:hint="eastAsia" w:ascii="宋体" w:hAnsi="宋体" w:eastAsia="宋体" w:cs="宋体"/>
                <w:color w:val="auto"/>
                <w:kern w:val="0"/>
                <w:sz w:val="18"/>
                <w:szCs w:val="18"/>
                <w:highlight w:val="none"/>
              </w:rPr>
              <w:fldChar w:fldCharType="end"/>
            </w:r>
            <w:r>
              <w:rPr>
                <w:rFonts w:hint="eastAsia" w:ascii="宋体" w:hAnsi="宋体" w:eastAsia="宋体" w:cs="宋体"/>
                <w:kern w:val="0"/>
                <w:sz w:val="18"/>
                <w:szCs w:val="18"/>
                <w:highlight w:val="none"/>
              </w:rPr>
              <w:t>，并将原件同时寄出。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textAlignment w:val="baseline"/>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不允许</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left"/>
              <w:textAlignment w:val="baseline"/>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否，证照、证件和证明文件的原件除外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差允许幅度及其处理方法：允许细微偏差，不允许重大偏差。由评标委员会判断，细微偏差要求投标供应商在评标结束前予以澄清、说明或补正，不接受要求进行的，评标委员会有权做无效标处理，详见第一部分投标供应商须知条款“23.</w:t>
            </w:r>
            <w:r>
              <w:rPr>
                <w:rFonts w:hint="eastAsia" w:ascii="宋体" w:hAnsi="宋体" w:eastAsia="宋体" w:cs="宋体"/>
                <w:sz w:val="18"/>
                <w:szCs w:val="18"/>
                <w:highlight w:val="none"/>
              </w:rPr>
              <w:t>投标文件的澄清</w:t>
            </w:r>
            <w:r>
              <w:rPr>
                <w:rFonts w:hint="eastAsia" w:ascii="宋体" w:hAnsi="宋体" w:eastAsia="宋体" w:cs="宋体"/>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投标文件自投标文件递交截止时间起生效，有效期90天。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kern w:val="0"/>
                <w:sz w:val="18"/>
                <w:szCs w:val="18"/>
                <w:highlight w:val="none"/>
              </w:rPr>
            </w:pPr>
            <w:r>
              <w:rPr>
                <w:rFonts w:hint="eastAsia" w:ascii="宋体" w:hAnsi="宋体" w:eastAsia="宋体" w:cs="宋体"/>
                <w:kern w:val="0"/>
                <w:sz w:val="18"/>
                <w:szCs w:val="18"/>
                <w:highlight w:val="none"/>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sz w:val="18"/>
                <w:szCs w:val="18"/>
                <w:highlight w:val="none"/>
              </w:rPr>
            </w:pPr>
            <w:r>
              <w:rPr>
                <w:rFonts w:hint="eastAsia" w:ascii="宋体" w:hAnsi="宋体" w:eastAsia="宋体" w:cs="宋体"/>
                <w:b/>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提供技术资信标一式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p>
            <w:pPr>
              <w:spacing w:line="240" w:lineRule="exact"/>
              <w:rPr>
                <w:rFonts w:hint="eastAsia" w:ascii="宋体" w:hAnsi="宋体" w:eastAsia="宋体" w:cs="宋体"/>
                <w:b/>
                <w:sz w:val="18"/>
                <w:szCs w:val="18"/>
                <w:highlight w:val="none"/>
              </w:rPr>
            </w:pPr>
            <w:r>
              <w:rPr>
                <w:rFonts w:hint="eastAsia" w:ascii="宋体" w:hAnsi="宋体" w:eastAsia="宋体" w:cs="宋体"/>
                <w:sz w:val="18"/>
                <w:szCs w:val="18"/>
                <w:highlight w:val="none"/>
              </w:rPr>
              <w:t>提供商务（报价）标一式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w:t>
            </w:r>
            <w:r>
              <w:rPr>
                <w:rFonts w:hint="eastAsia" w:ascii="宋体" w:hAnsi="宋体" w:eastAsia="宋体" w:cs="宋体"/>
                <w:b/>
                <w:bCs/>
                <w:color w:val="0000FF"/>
                <w:kern w:val="0"/>
                <w:sz w:val="18"/>
                <w:szCs w:val="18"/>
                <w:highlight w:val="none"/>
              </w:rPr>
              <w:t>202</w:t>
            </w:r>
            <w:r>
              <w:rPr>
                <w:rFonts w:hint="eastAsia" w:ascii="宋体" w:hAnsi="宋体" w:eastAsia="宋体" w:cs="宋体"/>
                <w:b/>
                <w:bCs/>
                <w:color w:val="0000FF"/>
                <w:kern w:val="0"/>
                <w:sz w:val="18"/>
                <w:szCs w:val="18"/>
                <w:highlight w:val="none"/>
                <w:lang w:val="en-US" w:eastAsia="zh-CN"/>
              </w:rPr>
              <w:t>4</w:t>
            </w:r>
            <w:r>
              <w:rPr>
                <w:rFonts w:hint="eastAsia" w:ascii="宋体" w:hAnsi="宋体" w:eastAsia="宋体" w:cs="宋体"/>
                <w:b/>
                <w:bCs/>
                <w:color w:val="0000FF"/>
                <w:kern w:val="0"/>
                <w:sz w:val="18"/>
                <w:szCs w:val="18"/>
                <w:highlight w:val="none"/>
              </w:rPr>
              <w:t>年</w:t>
            </w:r>
            <w:r>
              <w:rPr>
                <w:rFonts w:hint="eastAsia" w:ascii="宋体" w:hAnsi="宋体" w:eastAsia="宋体" w:cs="宋体"/>
                <w:b/>
                <w:bCs/>
                <w:color w:val="0000FF"/>
                <w:kern w:val="0"/>
                <w:sz w:val="18"/>
                <w:szCs w:val="18"/>
                <w:highlight w:val="none"/>
                <w:lang w:val="en-US" w:eastAsia="zh-CN"/>
              </w:rPr>
              <w:t>3</w:t>
            </w:r>
            <w:r>
              <w:rPr>
                <w:rFonts w:hint="eastAsia" w:ascii="宋体" w:hAnsi="宋体" w:eastAsia="宋体" w:cs="宋体"/>
                <w:b/>
                <w:bCs/>
                <w:color w:val="0000FF"/>
                <w:kern w:val="0"/>
                <w:sz w:val="18"/>
                <w:szCs w:val="18"/>
                <w:highlight w:val="none"/>
              </w:rPr>
              <w:t>月</w:t>
            </w:r>
            <w:r>
              <w:rPr>
                <w:rFonts w:hint="eastAsia" w:ascii="宋体" w:hAnsi="宋体" w:eastAsia="宋体" w:cs="宋体"/>
                <w:b/>
                <w:bCs/>
                <w:color w:val="0000FF"/>
                <w:kern w:val="0"/>
                <w:sz w:val="18"/>
                <w:szCs w:val="18"/>
                <w:highlight w:val="none"/>
                <w:lang w:val="en-US" w:eastAsia="zh-CN"/>
              </w:rPr>
              <w:t>22</w:t>
            </w:r>
            <w:r>
              <w:rPr>
                <w:rFonts w:hint="eastAsia" w:ascii="宋体" w:hAnsi="宋体" w:eastAsia="宋体" w:cs="宋体"/>
                <w:b/>
                <w:bCs/>
                <w:color w:val="0000FF"/>
                <w:kern w:val="0"/>
                <w:sz w:val="18"/>
                <w:szCs w:val="18"/>
                <w:highlight w:val="none"/>
              </w:rPr>
              <w:t>日</w:t>
            </w:r>
            <w:r>
              <w:rPr>
                <w:rFonts w:hint="eastAsia" w:ascii="宋体" w:hAnsi="宋体" w:eastAsia="宋体" w:cs="宋体"/>
                <w:b/>
                <w:bCs/>
                <w:color w:val="0000FF"/>
                <w:kern w:val="0"/>
                <w:sz w:val="18"/>
                <w:szCs w:val="18"/>
                <w:highlight w:val="none"/>
                <w:lang w:val="en-US" w:eastAsia="zh-CN"/>
              </w:rPr>
              <w:t>下午14</w:t>
            </w:r>
            <w:r>
              <w:rPr>
                <w:rFonts w:hint="eastAsia" w:ascii="宋体" w:hAnsi="宋体" w:eastAsia="宋体" w:cs="宋体"/>
                <w:b/>
                <w:bCs/>
                <w:color w:val="0000FF"/>
                <w:kern w:val="0"/>
                <w:sz w:val="18"/>
                <w:szCs w:val="18"/>
                <w:highlight w:val="none"/>
              </w:rPr>
              <w:t>时30分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递交地点：温州市黎明西路342号人保财险鹿城支公司办公大楼401室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和地点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开标时间：同投标文件递交截止时间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开标地点：温州市黎明西路342号人保财险鹿城支公司办公大楼401室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1.宣布开标纪律；</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2.公布在投标截止时间前递交投标文件的投标供应商名称，并点名确认投标供应商是否派授权代表到场；</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3.宣布唱标人、记录人、监督人员等有关人员姓名；</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4.密封情况检查：由投标供应商或其推选的代表检查投标文件密封情况；</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5.开标顺序：</w:t>
            </w:r>
            <w:r>
              <w:rPr>
                <w:rFonts w:hint="eastAsia" w:ascii="宋体" w:hAnsi="宋体" w:eastAsia="宋体" w:cs="宋体"/>
                <w:sz w:val="18"/>
                <w:szCs w:val="18"/>
                <w:highlight w:val="none"/>
                <w:lang w:val="en-US" w:eastAsia="zh-CN"/>
              </w:rPr>
              <w:t>同时</w:t>
            </w:r>
            <w:r>
              <w:rPr>
                <w:rFonts w:hint="eastAsia" w:ascii="宋体" w:hAnsi="宋体" w:eastAsia="宋体" w:cs="宋体"/>
                <w:sz w:val="18"/>
                <w:szCs w:val="18"/>
                <w:highlight w:val="none"/>
              </w:rPr>
              <w:t>开启技术资信部分投标文件、开启商务（报价）文件；</w:t>
            </w:r>
            <w:r>
              <w:rPr>
                <w:rFonts w:hint="eastAsia" w:ascii="宋体" w:hAnsi="宋体" w:eastAsia="宋体" w:cs="宋体"/>
                <w:bCs/>
                <w:sz w:val="18"/>
                <w:szCs w:val="18"/>
                <w:highlight w:val="none"/>
              </w:rPr>
              <w:t>宣读“开标一览表”中包括投标报价等内容。</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6.确认开标结果：投标供应商授权代表对开标记录进行当场校核及勘误，并签字确认；并同时由记录人、核对人当场签字确认。</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7.宣布开标结束。</w:t>
            </w:r>
          </w:p>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8.投标供应商授权代表未参加开标会议；未到场签字确认的，不影响开标，评标过程，视同认可开标结果；事后不得对采购相关人员、开标过程和开标结果提出异议。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评标委员会</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的组建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highlight w:val="yellow"/>
                <w:lang w:val="en-US" w:eastAsia="zh-CN" w:bidi="ar-SA"/>
              </w:rPr>
            </w:pPr>
            <w:r>
              <w:rPr>
                <w:rFonts w:hint="eastAsia" w:ascii="宋体" w:hAnsi="宋体" w:eastAsia="宋体" w:cs="宋体"/>
                <w:color w:val="auto"/>
                <w:sz w:val="18"/>
                <w:szCs w:val="18"/>
                <w:highlight w:val="none"/>
              </w:rPr>
              <w:t>评标委员会成员依法由采购人代表和有关技术、经济等方面的专家组成，人数为5人及以上单数，除采购人代表外的专家将在浙江省政府采购云平台的评标专家库中按规定抽取产生。</w:t>
            </w:r>
          </w:p>
        </w:tc>
      </w:tr>
      <w:tr>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Cs/>
                <w:kern w:val="0"/>
                <w:sz w:val="18"/>
                <w:szCs w:val="18"/>
                <w:highlight w:val="none"/>
              </w:rPr>
            </w:pPr>
            <w:r>
              <w:rPr>
                <w:rFonts w:hint="eastAsia" w:ascii="宋体" w:hAnsi="宋体" w:eastAsia="宋体" w:cs="宋体"/>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本项目不需要。</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sz w:val="18"/>
                <w:szCs w:val="18"/>
                <w:highlight w:val="none"/>
              </w:rPr>
            </w:pPr>
            <w:r>
              <w:rPr>
                <w:rFonts w:hint="eastAsia" w:ascii="宋体" w:hAnsi="宋体" w:eastAsia="宋体" w:cs="宋体"/>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hint="eastAsia" w:ascii="宋体" w:hAnsi="宋体" w:eastAsia="宋体" w:cs="宋体"/>
                <w:bCs/>
                <w:snapToGrid w:val="0"/>
                <w:sz w:val="18"/>
                <w:szCs w:val="18"/>
                <w:highlight w:val="none"/>
              </w:rPr>
            </w:pPr>
            <w:r>
              <w:rPr>
                <w:rFonts w:hint="eastAsia" w:ascii="宋体" w:hAnsi="宋体" w:eastAsia="宋体" w:cs="宋体"/>
                <w:bCs/>
                <w:snapToGrid w:val="0"/>
                <w:sz w:val="18"/>
                <w:szCs w:val="18"/>
                <w:highlight w:val="none"/>
              </w:rPr>
              <w:t>（1）中标人须在收到中标通知书之日起30天内与采购人签订合同。</w:t>
            </w:r>
          </w:p>
          <w:p>
            <w:pPr>
              <w:spacing w:line="240" w:lineRule="exact"/>
              <w:rPr>
                <w:rFonts w:hint="eastAsia" w:ascii="宋体" w:hAnsi="宋体" w:eastAsia="宋体" w:cs="宋体"/>
                <w:b/>
                <w:sz w:val="18"/>
                <w:szCs w:val="18"/>
                <w:highlight w:val="none"/>
              </w:rPr>
            </w:pPr>
            <w:r>
              <w:rPr>
                <w:rFonts w:hint="eastAsia" w:ascii="宋体" w:hAnsi="宋体" w:eastAsia="宋体" w:cs="宋体"/>
                <w:bCs/>
                <w:snapToGrid w:val="0"/>
                <w:sz w:val="18"/>
                <w:szCs w:val="18"/>
                <w:highlight w:val="none"/>
              </w:rPr>
              <w:t>（2）合同签订后，中标人应在2个工作日内将合同扫描件电子版发给采购代理机构，由采购代理机构负责备案。邮箱：</w:t>
            </w:r>
            <w:r>
              <w:rPr>
                <w:rFonts w:hint="eastAsia" w:ascii="宋体" w:hAnsi="宋体" w:eastAsia="宋体" w:cs="宋体"/>
                <w:bCs/>
                <w:snapToGrid w:val="0"/>
                <w:sz w:val="18"/>
                <w:szCs w:val="18"/>
                <w:highlight w:val="none"/>
                <w:lang w:eastAsia="zh-CN"/>
              </w:rPr>
              <w:t>1826066763</w:t>
            </w:r>
            <w:r>
              <w:rPr>
                <w:rFonts w:hint="eastAsia" w:ascii="宋体" w:hAnsi="宋体" w:eastAsia="宋体" w:cs="宋体"/>
                <w:bCs/>
                <w:snapToGrid w:val="0"/>
                <w:sz w:val="18"/>
                <w:szCs w:val="18"/>
                <w:highlight w:val="none"/>
              </w:rPr>
              <w:t>@qq.com。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1、采购文件、采购公告中如有前后不一致的，一律以本“投标供应商须知前附表”为准；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4、采购监督管理部门：温州市交通发展集团有限公司纪检监察室</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 系 人：</w:t>
            </w:r>
            <w:r>
              <w:rPr>
                <w:rFonts w:hint="eastAsia" w:ascii="宋体" w:hAnsi="宋体" w:eastAsia="宋体" w:cs="宋体"/>
                <w:kern w:val="0"/>
                <w:sz w:val="18"/>
                <w:szCs w:val="18"/>
                <w:highlight w:val="none"/>
                <w:lang w:val="en-US" w:eastAsia="zh-CN"/>
              </w:rPr>
              <w:t>胡先生</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联系电话：0577-85559092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u w:val="single"/>
              </w:rPr>
              <w:t>如发现采购文件中存在含糊不清的，请在规定的</w:t>
            </w:r>
            <w:r>
              <w:rPr>
                <w:rFonts w:hint="eastAsia" w:ascii="宋体" w:hAnsi="宋体" w:eastAsia="宋体" w:cs="宋体"/>
                <w:b/>
                <w:bCs/>
                <w:kern w:val="0"/>
                <w:sz w:val="18"/>
                <w:szCs w:val="18"/>
                <w:highlight w:val="none"/>
                <w:u w:val="single"/>
                <w:lang w:eastAsia="zh-CN"/>
              </w:rPr>
              <w:t>询疑</w:t>
            </w:r>
            <w:r>
              <w:rPr>
                <w:rFonts w:hint="eastAsia" w:ascii="宋体" w:hAnsi="宋体" w:eastAsia="宋体" w:cs="宋体"/>
                <w:b/>
                <w:bCs/>
                <w:kern w:val="0"/>
                <w:sz w:val="18"/>
                <w:szCs w:val="18"/>
                <w:highlight w:val="none"/>
                <w:u w:val="single"/>
              </w:rPr>
              <w:t>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kern w:val="0"/>
                <w:sz w:val="18"/>
                <w:szCs w:val="18"/>
                <w:highlight w:val="none"/>
                <w:u w:val="single"/>
              </w:rPr>
            </w:pPr>
            <w:r>
              <w:rPr>
                <w:rFonts w:hint="eastAsia" w:ascii="宋体" w:hAnsi="宋体" w:eastAsia="宋体" w:cs="宋体"/>
                <w:bCs/>
                <w:sz w:val="18"/>
                <w:szCs w:val="18"/>
                <w:highlight w:val="none"/>
              </w:rPr>
              <w:t>“投标人须知前附表”中的内容是对“投标人须知”正文的补充和说明，“投标人须知”正文与“投标人须知前附表”的内容不一致时，以“投标人须知前附表”为准。</w:t>
            </w:r>
          </w:p>
        </w:tc>
      </w:tr>
    </w:tbl>
    <w:p>
      <w:pPr>
        <w:rPr>
          <w:rFonts w:hint="eastAsia" w:ascii="宋体" w:hAnsi="宋体" w:eastAsia="宋体" w:cs="宋体"/>
          <w:szCs w:val="24"/>
          <w:highlight w:val="none"/>
        </w:rPr>
      </w:pPr>
    </w:p>
    <w:p>
      <w:pPr>
        <w:spacing w:before="156" w:beforeLines="50" w:after="156" w:afterLines="50"/>
        <w:jc w:val="center"/>
        <w:rPr>
          <w:rFonts w:hint="eastAsia" w:ascii="宋体" w:hAnsi="宋体" w:eastAsia="宋体" w:cs="宋体"/>
          <w:sz w:val="36"/>
          <w:szCs w:val="36"/>
          <w:highlight w:val="none"/>
        </w:rPr>
      </w:pPr>
      <w:r>
        <w:rPr>
          <w:rFonts w:hint="eastAsia" w:ascii="宋体" w:hAnsi="宋体" w:eastAsia="宋体" w:cs="宋体"/>
          <w:szCs w:val="24"/>
          <w:highlight w:val="none"/>
        </w:rPr>
        <w:br w:type="page"/>
      </w:r>
      <w:r>
        <w:rPr>
          <w:rFonts w:hint="eastAsia" w:ascii="宋体" w:hAnsi="宋体" w:eastAsia="宋体" w:cs="宋体"/>
          <w:b/>
          <w:sz w:val="36"/>
          <w:szCs w:val="36"/>
          <w:highlight w:val="none"/>
        </w:rPr>
        <w:t>投标人须知</w:t>
      </w:r>
    </w:p>
    <w:p>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一、 说明</w:t>
      </w:r>
      <w:bookmarkEnd w:id="23"/>
      <w:bookmarkEnd w:id="24"/>
      <w:bookmarkEnd w:id="25"/>
      <w:bookmarkEnd w:id="26"/>
      <w:bookmarkEnd w:id="27"/>
      <w:bookmarkEnd w:id="28"/>
      <w:bookmarkEnd w:id="29"/>
      <w:bookmarkEnd w:id="30"/>
      <w:bookmarkEnd w:id="31"/>
      <w:bookmarkEnd w:id="32"/>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本次采购工作是按照《温州市市属国有企业采购管理办法（试行）》等有关法律、法规组织和实施的。</w:t>
      </w:r>
    </w:p>
    <w:p>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采购人和采购代理机构：见投标人须知前附表。</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b/>
          <w:bCs/>
          <w:sz w:val="22"/>
          <w:highlight w:val="none"/>
          <w:u w:val="single"/>
        </w:rPr>
        <w:t>合格的投标人：以本项目采购公告及投标人须知前附表表述为准</w:t>
      </w:r>
      <w:r>
        <w:rPr>
          <w:rFonts w:hint="eastAsia" w:ascii="宋体" w:hAnsi="宋体" w:eastAsia="宋体" w:cs="宋体"/>
          <w:sz w:val="22"/>
          <w:highlight w:val="non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投标人代表</w:t>
      </w:r>
    </w:p>
    <w:p>
      <w:pPr>
        <w:ind w:left="538" w:leftChars="256"/>
        <w:rPr>
          <w:rFonts w:hint="eastAsia" w:ascii="宋体" w:hAnsi="宋体" w:eastAsia="宋体" w:cs="宋体"/>
          <w:sz w:val="22"/>
          <w:highlight w:val="none"/>
        </w:rPr>
      </w:pPr>
      <w:r>
        <w:rPr>
          <w:rFonts w:hint="eastAsia" w:ascii="宋体" w:hAnsi="宋体" w:eastAsia="宋体" w:cs="宋体"/>
          <w:sz w:val="22"/>
          <w:highlight w:val="none"/>
        </w:rPr>
        <w:t>指全权代表投标人参加投标活动并签署投标文件的人。如果投标人代表不是</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，须持有《</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授权书》。</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现场勘察及投标费用</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5.1  投标人须知前附表规定组织踏勘现场、召开标前会的，采购人按投标人须知前附表规定的时间、地点组织投标人踏勘项目现场、召开标前会。</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5.2  为了便于编制投标文件，投标人自行对现场和周围环境进行现场察勘，察勘现场的费用由投标人自行承担。</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5.3  在现场察勘中所发生的人员伤亡和财产损失应由投标人自行负责。</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5.4  投标人应承担所有与准备和参加投标有关费用，不论投标的结果如何，采购人和采购代理机构（以下统称“采购单位”）均无义务和责任承担这些费用。</w:t>
      </w:r>
    </w:p>
    <w:p>
      <w:pPr>
        <w:spacing w:before="156" w:beforeLines="50" w:after="156" w:afterLines="50"/>
        <w:jc w:val="center"/>
        <w:rPr>
          <w:rFonts w:hint="eastAsia" w:ascii="宋体" w:hAnsi="宋体" w:eastAsia="宋体" w:cs="宋体"/>
          <w:b/>
          <w:sz w:val="28"/>
          <w:szCs w:val="28"/>
          <w:highlight w:val="none"/>
        </w:rPr>
      </w:pPr>
      <w:bookmarkStart w:id="33" w:name="_Toc218041727"/>
      <w:bookmarkStart w:id="34" w:name="_Toc214365791"/>
      <w:bookmarkStart w:id="35" w:name="_Toc215415531"/>
      <w:bookmarkStart w:id="36" w:name="_Toc209261433"/>
      <w:bookmarkStart w:id="37" w:name="_Toc204491318"/>
      <w:bookmarkStart w:id="38" w:name="_Toc205877558"/>
      <w:bookmarkStart w:id="39" w:name="_Toc209251128"/>
      <w:bookmarkStart w:id="40" w:name="_Toc219538614"/>
      <w:bookmarkStart w:id="41" w:name="_Toc209250720"/>
      <w:bookmarkStart w:id="42" w:name="_Toc205004969"/>
      <w:bookmarkStart w:id="43" w:name="_Toc223933222"/>
      <w:bookmarkStart w:id="44" w:name="_Toc209332634"/>
      <w:bookmarkStart w:id="45" w:name="_Toc204578576"/>
      <w:bookmarkStart w:id="46" w:name="_Toc205877453"/>
      <w:bookmarkStart w:id="47" w:name="_Toc207609182"/>
      <w:bookmarkStart w:id="48" w:name="_Toc227056847"/>
      <w:bookmarkStart w:id="49" w:name="_Toc205703103"/>
      <w:bookmarkStart w:id="50" w:name="_Toc227057034"/>
      <w:bookmarkStart w:id="51" w:name="_Toc227489888"/>
      <w:bookmarkStart w:id="52" w:name="_Toc209261366"/>
      <w:bookmarkStart w:id="53" w:name="_Toc210879709"/>
      <w:bookmarkStart w:id="54" w:name="_Toc223717605"/>
      <w:bookmarkStart w:id="55" w:name="_Toc205005287"/>
      <w:bookmarkStart w:id="56" w:name="_Toc216667821"/>
      <w:bookmarkStart w:id="57" w:name="_Toc217460686"/>
      <w:r>
        <w:rPr>
          <w:rFonts w:hint="eastAsia" w:ascii="宋体" w:hAnsi="宋体" w:eastAsia="宋体" w:cs="宋体"/>
          <w:b/>
          <w:sz w:val="28"/>
          <w:szCs w:val="28"/>
          <w:highlight w:val="none"/>
        </w:rPr>
        <w:t>二、 采购文件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采购文件由采购文件目录所列内容及相关资料等组成。</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采购文件的澄清</w:t>
      </w:r>
    </w:p>
    <w:p>
      <w:pPr>
        <w:tabs>
          <w:tab w:val="left" w:pos="625"/>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7.1  </w:t>
      </w:r>
      <w:r>
        <w:rPr>
          <w:rFonts w:hint="eastAsia" w:ascii="宋体" w:hAnsi="宋体" w:eastAsia="宋体" w:cs="宋体"/>
          <w:sz w:val="22"/>
          <w:highlight w:val="none"/>
        </w:rPr>
        <w:tab/>
      </w:r>
      <w:r>
        <w:rPr>
          <w:rFonts w:hint="eastAsia" w:ascii="宋体" w:hAnsi="宋体" w:eastAsia="宋体" w:cs="宋体"/>
          <w:sz w:val="22"/>
          <w:highlight w:val="none"/>
        </w:rPr>
        <w:t>投标人对采购文件如有疑点或未尽事宜要求澄清，或认为有必要与采购人或采购代理机构进行说明或交流，应于“投标人须知前附表”中规定的</w:t>
      </w:r>
      <w:r>
        <w:rPr>
          <w:rFonts w:hint="eastAsia" w:ascii="宋体" w:hAnsi="宋体" w:eastAsia="宋体" w:cs="宋体"/>
          <w:sz w:val="22"/>
          <w:highlight w:val="none"/>
          <w:lang w:val="en-US" w:eastAsia="zh-CN"/>
        </w:rPr>
        <w:t>询疑</w:t>
      </w:r>
      <w:r>
        <w:rPr>
          <w:rFonts w:hint="eastAsia" w:ascii="宋体" w:hAnsi="宋体" w:eastAsia="宋体" w:cs="宋体"/>
          <w:sz w:val="22"/>
          <w:highlight w:val="none"/>
        </w:rPr>
        <w:t>截止时间之前，将书面材料（盖公章）递交或邮寄给采购人或采购代理机构，截止期后的疑问将不予受理、答复。如果采购文件</w:t>
      </w:r>
      <w:r>
        <w:rPr>
          <w:rFonts w:hint="eastAsia" w:ascii="宋体" w:hAnsi="宋体" w:eastAsia="宋体" w:cs="宋体"/>
          <w:sz w:val="22"/>
          <w:highlight w:val="none"/>
          <w:lang w:eastAsia="zh-CN"/>
        </w:rPr>
        <w:t>询疑</w:t>
      </w:r>
      <w:r>
        <w:rPr>
          <w:rFonts w:hint="eastAsia" w:ascii="宋体" w:hAnsi="宋体" w:eastAsia="宋体" w:cs="宋体"/>
          <w:sz w:val="22"/>
          <w:highlight w:val="none"/>
        </w:rPr>
        <w:t>期内未收到有关疑问，视为投标人完全同意采购文件所有条款，且对于采购文件相关表述以及未尽事宜如有争议，以采购人解释为准。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采购文件的修改</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8.2  采购文件的澄清修改将以更正公告形式在原采购公告发布平台上予以公示，以通知所有获取采购文件的潜在投标人。</w:t>
      </w:r>
    </w:p>
    <w:p>
      <w:pPr>
        <w:tabs>
          <w:tab w:val="left" w:pos="1080"/>
        </w:tabs>
        <w:ind w:left="524" w:hanging="523" w:hangingChars="238"/>
        <w:rPr>
          <w:rFonts w:hint="eastAsia" w:ascii="宋体" w:hAnsi="宋体" w:eastAsia="宋体" w:cs="宋体"/>
          <w:szCs w:val="24"/>
          <w:highlight w:val="none"/>
        </w:rPr>
      </w:pPr>
      <w:r>
        <w:rPr>
          <w:rFonts w:hint="eastAsia" w:ascii="宋体" w:hAnsi="宋体" w:eastAsia="宋体" w:cs="宋体"/>
          <w:sz w:val="22"/>
          <w:highlight w:val="none"/>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8.4</w:t>
      </w:r>
      <w:r>
        <w:rPr>
          <w:rFonts w:hint="eastAsia" w:ascii="宋体" w:hAnsi="宋体" w:eastAsia="宋体" w:cs="宋体"/>
          <w:sz w:val="22"/>
          <w:highlight w:val="none"/>
        </w:rPr>
        <w:tab/>
      </w:r>
      <w:r>
        <w:rPr>
          <w:rFonts w:hint="eastAsia" w:ascii="宋体" w:hAnsi="宋体" w:eastAsia="宋体" w:cs="宋体"/>
          <w:sz w:val="22"/>
          <w:highlight w:val="none"/>
        </w:rPr>
        <w:t>本项目投标人均可在本项目采购公告附件下载采购文件，并按采购文件规定的时间、地点递交投标文件。投标人须在开标前自行查看是否有补充更正文件，并按补充更正文件要求投标，否则责任自负。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8.5  在采购文件规定的</w:t>
      </w:r>
      <w:r>
        <w:rPr>
          <w:rFonts w:hint="eastAsia" w:ascii="宋体" w:hAnsi="宋体" w:eastAsia="宋体" w:cs="宋体"/>
          <w:sz w:val="22"/>
          <w:highlight w:val="none"/>
          <w:lang w:eastAsia="zh-CN"/>
        </w:rPr>
        <w:t>询疑</w:t>
      </w:r>
      <w:r>
        <w:rPr>
          <w:rFonts w:hint="eastAsia" w:ascii="宋体" w:hAnsi="宋体" w:eastAsia="宋体" w:cs="宋体"/>
          <w:sz w:val="22"/>
          <w:highlight w:val="none"/>
        </w:rPr>
        <w:t>截止时间后，经采购人及采购机构同意购买采购文件的投标人不得对采购文件及其补充文件提出澄清</w:t>
      </w:r>
      <w:r>
        <w:rPr>
          <w:rFonts w:hint="eastAsia" w:ascii="宋体" w:hAnsi="宋体" w:eastAsia="宋体" w:cs="宋体"/>
          <w:sz w:val="22"/>
          <w:highlight w:val="none"/>
          <w:lang w:eastAsia="zh-CN"/>
        </w:rPr>
        <w:t>询疑</w:t>
      </w:r>
      <w:r>
        <w:rPr>
          <w:rFonts w:hint="eastAsia" w:ascii="宋体" w:hAnsi="宋体" w:eastAsia="宋体" w:cs="宋体"/>
          <w:sz w:val="22"/>
          <w:highlight w:val="none"/>
        </w:rPr>
        <w:t>要求。</w:t>
      </w:r>
    </w:p>
    <w:p>
      <w:pPr>
        <w:spacing w:before="156" w:beforeLines="50" w:after="156" w:afterLines="50"/>
        <w:jc w:val="center"/>
        <w:rPr>
          <w:rFonts w:hint="eastAsia" w:ascii="宋体" w:hAnsi="宋体" w:eastAsia="宋体" w:cs="宋体"/>
          <w:b/>
          <w:sz w:val="28"/>
          <w:szCs w:val="28"/>
          <w:highlight w:val="none"/>
        </w:rPr>
      </w:pPr>
      <w:bookmarkStart w:id="58" w:name="_Toc227056848"/>
      <w:bookmarkStart w:id="59" w:name="_Toc227057035"/>
      <w:bookmarkStart w:id="60" w:name="_Toc219538615"/>
      <w:bookmarkStart w:id="61" w:name="_Toc209251129"/>
      <w:bookmarkStart w:id="62" w:name="_Toc209261367"/>
      <w:bookmarkStart w:id="63" w:name="_Toc209261434"/>
      <w:bookmarkStart w:id="64" w:name="_Toc215415532"/>
      <w:bookmarkStart w:id="65" w:name="_Toc207609183"/>
      <w:bookmarkStart w:id="66" w:name="_Toc205703104"/>
      <w:bookmarkStart w:id="67" w:name="_Toc205004970"/>
      <w:bookmarkStart w:id="68" w:name="_Toc205877454"/>
      <w:bookmarkStart w:id="69" w:name="_Toc209250721"/>
      <w:bookmarkStart w:id="70" w:name="_Toc216667822"/>
      <w:bookmarkStart w:id="71" w:name="_Toc205005288"/>
      <w:bookmarkStart w:id="72" w:name="_Toc217460687"/>
      <w:bookmarkStart w:id="73" w:name="_Toc204578577"/>
      <w:bookmarkStart w:id="74" w:name="_Toc223933223"/>
      <w:bookmarkStart w:id="75" w:name="_Toc218041728"/>
      <w:bookmarkStart w:id="76" w:name="_Toc209332635"/>
      <w:bookmarkStart w:id="77" w:name="_Toc214365792"/>
      <w:bookmarkStart w:id="78" w:name="_Toc205877559"/>
      <w:bookmarkStart w:id="79" w:name="_Toc223717606"/>
      <w:bookmarkStart w:id="80" w:name="_Toc210879710"/>
      <w:bookmarkStart w:id="81" w:name="_Toc227489889"/>
      <w:bookmarkStart w:id="82" w:name="_Toc204491319"/>
      <w:r>
        <w:rPr>
          <w:rFonts w:hint="eastAsia" w:ascii="宋体" w:hAnsi="宋体" w:eastAsia="宋体" w:cs="宋体"/>
          <w:b/>
          <w:sz w:val="28"/>
          <w:szCs w:val="28"/>
          <w:highlight w:val="none"/>
        </w:rPr>
        <w:t>三、 投标文件的编制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投标文件的构成：</w:t>
      </w:r>
    </w:p>
    <w:p>
      <w:pPr>
        <w:rPr>
          <w:rFonts w:hint="eastAsia" w:ascii="宋体" w:hAnsi="宋体" w:eastAsia="宋体" w:cs="宋体"/>
          <w:sz w:val="22"/>
          <w:highlight w:val="none"/>
        </w:rPr>
      </w:pPr>
      <w:r>
        <w:rPr>
          <w:rFonts w:hint="eastAsia" w:ascii="宋体" w:hAnsi="宋体" w:eastAsia="宋体" w:cs="宋体"/>
          <w:sz w:val="22"/>
          <w:highlight w:val="none"/>
        </w:rPr>
        <w:t>11.1 投标文件由技术资信标、商务（报价）标二部分构成：</w:t>
      </w:r>
    </w:p>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（1）技术资信标</w:t>
      </w:r>
    </w:p>
    <w:tbl>
      <w:tblPr>
        <w:tblStyle w:val="2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7122" w:type="dxa"/>
            <w:vAlign w:val="center"/>
          </w:tcPr>
          <w:p>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u w:val="single"/>
              </w:rPr>
              <w:t>投标声明书</w:t>
            </w:r>
          </w:p>
        </w:tc>
        <w:tc>
          <w:tcPr>
            <w:tcW w:w="1105"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参加国企采购活动前三年内，在经营活动中没有重大违法记录。请在投标声明书中如实填写</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pPr>
              <w:spacing w:line="280" w:lineRule="exact"/>
              <w:rPr>
                <w:rFonts w:hint="eastAsia" w:ascii="宋体" w:hAnsi="宋体" w:eastAsia="宋体" w:cs="宋体"/>
                <w:kern w:val="2"/>
                <w:sz w:val="18"/>
                <w:szCs w:val="18"/>
                <w:lang w:val="en-US" w:eastAsia="zh-CN" w:bidi="ar-SA"/>
              </w:rPr>
            </w:pPr>
            <w:r>
              <w:rPr>
                <w:rFonts w:hint="eastAsia" w:ascii="宋体" w:hAnsi="宋体" w:eastAsia="宋体" w:cs="宋体"/>
                <w:sz w:val="18"/>
                <w:szCs w:val="18"/>
              </w:rPr>
              <w:t>根据采购文件中的采购内容及要求以及技术资信评分细则，需要提供的文件和资料（格式自拟）</w:t>
            </w:r>
          </w:p>
        </w:tc>
        <w:tc>
          <w:tcPr>
            <w:tcW w:w="1105" w:type="dxa"/>
            <w:vAlign w:val="center"/>
          </w:tcPr>
          <w:p>
            <w:pPr>
              <w:jc w:val="center"/>
              <w:rPr>
                <w:rFonts w:hint="eastAsia" w:ascii="宋体" w:hAnsi="宋体" w:eastAsia="宋体" w:cs="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投标供应商需要说明的其他文件和说明</w:t>
            </w:r>
          </w:p>
        </w:tc>
        <w:tc>
          <w:tcPr>
            <w:tcW w:w="1105" w:type="dxa"/>
            <w:vAlign w:val="center"/>
          </w:tcPr>
          <w:p>
            <w:pPr>
              <w:jc w:val="center"/>
              <w:rPr>
                <w:rFonts w:hint="eastAsia" w:ascii="宋体" w:hAnsi="宋体" w:eastAsia="宋体" w:cs="宋体"/>
                <w:sz w:val="18"/>
                <w:szCs w:val="18"/>
                <w:highlight w:val="none"/>
              </w:rPr>
            </w:pPr>
          </w:p>
        </w:tc>
      </w:tr>
    </w:tbl>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技术资信标说明：</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1）投标供应商可根据采购文件中的技术规格书以及技术资信评分表，提供投标供应商认为需要提供的文件和资料。</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2）投标文件中应承诺：投标供应商所提供的服务及货物在合同执行过程中如若发生侵权事件，其侵权责任与</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人及</w:t>
      </w:r>
      <w:r>
        <w:rPr>
          <w:rFonts w:hint="eastAsia" w:ascii="宋体" w:hAnsi="宋体" w:eastAsia="宋体" w:cs="宋体"/>
          <w:sz w:val="22"/>
          <w:highlight w:val="none"/>
          <w:lang w:eastAsia="zh-CN"/>
        </w:rPr>
        <w:t>采购</w:t>
      </w:r>
      <w:r>
        <w:rPr>
          <w:rFonts w:hint="eastAsia" w:ascii="宋体" w:hAnsi="宋体" w:eastAsia="宋体" w:cs="宋体"/>
          <w:sz w:val="22"/>
          <w:highlight w:val="none"/>
        </w:rPr>
        <w:t>代理机构无关，由投标供应商承担全部责任。侵权造成的所有相关费用，均由投标供应商支付，保证不伤害</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人的利益。</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3）</w:t>
      </w:r>
      <w:r>
        <w:rPr>
          <w:rFonts w:hint="eastAsia" w:ascii="宋体" w:hAnsi="宋体" w:eastAsia="宋体" w:cs="宋体"/>
          <w:b/>
          <w:bCs/>
          <w:sz w:val="22"/>
          <w:highlight w:val="none"/>
          <w:u w:val="single"/>
        </w:rPr>
        <w:t>以上所需的各种证书、证件、证明、执照若系复印件，须在复印件上加盖投标供应商有效的公章</w:t>
      </w:r>
      <w:r>
        <w:rPr>
          <w:rFonts w:hint="eastAsia" w:ascii="宋体" w:hAnsi="宋体" w:eastAsia="宋体" w:cs="宋体"/>
          <w:sz w:val="22"/>
          <w:highlight w:val="none"/>
        </w:rPr>
        <w:t>。</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4）投标供应商可在采购文件中对采购服务的技术规格和要求选用替代标准，但这些替代标准必须相当于或优于采购文件中提出的相应要求，并使采购人满意。同时在技术偏离表中作出详细说明。</w:t>
      </w:r>
    </w:p>
    <w:p>
      <w:pPr>
        <w:tabs>
          <w:tab w:val="left" w:pos="5355"/>
        </w:tabs>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（2） 商务（报价）标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6323"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内  容</w:t>
            </w:r>
          </w:p>
        </w:tc>
        <w:tc>
          <w:tcPr>
            <w:tcW w:w="1496"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开标一览表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投标分项报价表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六</w:t>
            </w:r>
          </w:p>
        </w:tc>
      </w:tr>
    </w:tbl>
    <w:p>
      <w:pPr>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11.2  投标文件格式</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投标人应根据采购文件中所提供的格式，内容按顺序填写并装订成册，不允许以活页夹形式装订投标文件，</w:t>
      </w:r>
      <w:r>
        <w:rPr>
          <w:rFonts w:hint="eastAsia" w:ascii="宋体" w:hAnsi="宋体" w:eastAsia="宋体" w:cs="宋体"/>
          <w:b/>
          <w:bCs/>
          <w:sz w:val="22"/>
          <w:highlight w:val="none"/>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收</w:t>
      </w:r>
      <w:r>
        <w:rPr>
          <w:rFonts w:hint="eastAsia" w:ascii="宋体" w:hAnsi="宋体" w:eastAsia="宋体" w:cs="宋体"/>
          <w:sz w:val="22"/>
          <w:highlight w:val="none"/>
        </w:rPr>
        <w:t>。</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投标文件应有目录以及页码，以便评委检索。</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投标文件尽可能简练有针对性，双面打印/复印后装订。</w:t>
      </w:r>
    </w:p>
    <w:p>
      <w:pPr>
        <w:numPr>
          <w:ilvl w:val="0"/>
          <w:numId w:val="3"/>
        </w:numPr>
        <w:tabs>
          <w:tab w:val="left" w:pos="525"/>
          <w:tab w:val="left" w:pos="900"/>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投标报价</w:t>
      </w:r>
    </w:p>
    <w:p>
      <w:pPr>
        <w:ind w:left="526" w:hanging="526" w:hangingChars="238"/>
        <w:rPr>
          <w:rFonts w:hint="eastAsia" w:ascii="宋体" w:hAnsi="宋体" w:eastAsia="宋体" w:cs="宋体"/>
          <w:b/>
          <w:bCs/>
          <w:sz w:val="22"/>
          <w:szCs w:val="22"/>
          <w:highlight w:val="none"/>
        </w:rPr>
      </w:pPr>
      <w:r>
        <w:rPr>
          <w:rFonts w:hint="eastAsia" w:ascii="宋体" w:hAnsi="宋体" w:eastAsia="宋体" w:cs="宋体"/>
          <w:b/>
          <w:bCs/>
          <w:sz w:val="22"/>
          <w:highlight w:val="none"/>
        </w:rPr>
        <w:t>12.1</w:t>
      </w:r>
      <w:r>
        <w:rPr>
          <w:rFonts w:hint="eastAsia" w:ascii="宋体" w:hAnsi="宋体" w:eastAsia="宋体" w:cs="宋体"/>
          <w:b/>
          <w:bCs/>
          <w:sz w:val="22"/>
          <w:szCs w:val="22"/>
          <w:highlight w:val="none"/>
        </w:rPr>
        <w:t xml:space="preserve"> </w:t>
      </w:r>
      <w:r>
        <w:rPr>
          <w:rFonts w:hint="eastAsia" w:ascii="宋体" w:hAnsi="宋体" w:eastAsia="宋体" w:cs="宋体"/>
          <w:b/>
          <w:sz w:val="22"/>
          <w:szCs w:val="22"/>
          <w:highlight w:val="none"/>
          <w:u w:val="single"/>
        </w:rPr>
        <w:t>▲本项目投标报价为期限壹年的承包费用报价，并采用固定总价承包。投标报价是指</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在正确地完全履行合同义务后</w:t>
      </w:r>
      <w:r>
        <w:rPr>
          <w:rFonts w:hint="eastAsia" w:ascii="宋体" w:hAnsi="宋体" w:eastAsia="宋体" w:cs="宋体"/>
          <w:b/>
          <w:sz w:val="22"/>
          <w:szCs w:val="22"/>
          <w:highlight w:val="none"/>
          <w:u w:val="single"/>
          <w:lang w:val="en-US" w:eastAsia="zh-CN"/>
        </w:rPr>
        <w:t>采购人</w:t>
      </w:r>
      <w:r>
        <w:rPr>
          <w:rFonts w:hint="eastAsia" w:ascii="宋体" w:hAnsi="宋体" w:eastAsia="宋体" w:cs="宋体"/>
          <w:b/>
          <w:sz w:val="22"/>
          <w:szCs w:val="22"/>
          <w:highlight w:val="none"/>
          <w:u w:val="single"/>
        </w:rPr>
        <w:t>应支付给</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所有的价款，包括但不限于所有服务所需的人工费（包括工人工资、奖金、房补、劳保福利、社保、工伤费、教育培训费、暂住费及处理一切伤亡事故等费用）、服装摊销</w:t>
      </w:r>
      <w:r>
        <w:rPr>
          <w:rFonts w:hint="eastAsia" w:ascii="宋体" w:hAnsi="宋体" w:eastAsia="宋体" w:cs="宋体"/>
          <w:b/>
          <w:sz w:val="22"/>
          <w:szCs w:val="22"/>
          <w:highlight w:val="none"/>
          <w:u w:val="single"/>
          <w:lang w:val="en-US" w:eastAsia="zh-CN"/>
        </w:rPr>
        <w:t>及</w:t>
      </w:r>
      <w:r>
        <w:rPr>
          <w:rFonts w:hint="eastAsia" w:ascii="宋体" w:hAnsi="宋体" w:eastAsia="宋体" w:cs="宋体"/>
          <w:b/>
          <w:sz w:val="22"/>
          <w:szCs w:val="22"/>
          <w:highlight w:val="none"/>
          <w:u w:val="single"/>
        </w:rPr>
        <w:t>物业服务人员的装备费【包括人员各季节工作服和相关装备费用（</w:t>
      </w:r>
      <w:r>
        <w:rPr>
          <w:rFonts w:hint="eastAsia" w:ascii="宋体" w:hAnsi="宋体" w:eastAsia="宋体" w:cs="宋体"/>
          <w:b/>
          <w:sz w:val="22"/>
          <w:szCs w:val="22"/>
          <w:highlight w:val="none"/>
          <w:u w:val="single"/>
          <w:lang w:val="en-US" w:eastAsia="zh-CN"/>
        </w:rPr>
        <w:t>如有</w:t>
      </w:r>
      <w:r>
        <w:rPr>
          <w:rFonts w:hint="eastAsia" w:ascii="宋体" w:hAnsi="宋体" w:eastAsia="宋体" w:cs="宋体"/>
          <w:b/>
          <w:sz w:val="22"/>
          <w:szCs w:val="22"/>
          <w:highlight w:val="none"/>
          <w:u w:val="single"/>
        </w:rPr>
        <w:t>）】、交通费用、食宿费用、办公费用、保险费用、企业应缴税金和应得利润、突发应急及上级布置的专项任务、物价因素等完成合同所需的一切本身和不可或缺的所有工作开支、政策性文件规定及合同包含的所有风险、责任等各项全部费用并承担一切风险责任。投标供应商应根据上述因素自行考虑含入投标总价</w:t>
      </w:r>
      <w:r>
        <w:rPr>
          <w:rFonts w:hint="eastAsia" w:ascii="宋体" w:hAnsi="宋体" w:eastAsia="宋体" w:cs="宋体"/>
          <w:b/>
          <w:bCs/>
          <w:sz w:val="22"/>
          <w:szCs w:val="22"/>
          <w:highlight w:val="none"/>
        </w:rPr>
        <w:t>。</w:t>
      </w:r>
    </w:p>
    <w:p>
      <w:pPr>
        <w:ind w:left="526" w:hanging="526" w:hangingChars="238"/>
        <w:rPr>
          <w:rFonts w:hint="eastAsia" w:ascii="宋体" w:hAnsi="宋体" w:eastAsia="宋体" w:cs="宋体"/>
          <w:b/>
          <w:bCs/>
          <w:sz w:val="22"/>
          <w:highlight w:val="none"/>
          <w:lang w:val="zh-CN"/>
        </w:rPr>
      </w:pPr>
      <w:r>
        <w:rPr>
          <w:rFonts w:hint="eastAsia" w:ascii="宋体" w:hAnsi="宋体" w:eastAsia="宋体" w:cs="宋体"/>
          <w:b/>
          <w:bCs/>
          <w:sz w:val="22"/>
          <w:highlight w:val="none"/>
        </w:rPr>
        <w:t>12.2 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pPr>
        <w:tabs>
          <w:tab w:val="left" w:pos="1080"/>
        </w:tabs>
        <w:ind w:left="526" w:hanging="526" w:hangingChars="238"/>
        <w:rPr>
          <w:rFonts w:hint="eastAsia" w:ascii="宋体" w:hAnsi="宋体" w:eastAsia="宋体" w:cs="宋体"/>
          <w:b/>
          <w:bCs/>
          <w:sz w:val="22"/>
          <w:highlight w:val="none"/>
        </w:rPr>
      </w:pPr>
      <w:r>
        <w:rPr>
          <w:rFonts w:hint="eastAsia" w:ascii="宋体" w:hAnsi="宋体" w:eastAsia="宋体" w:cs="宋体"/>
          <w:b/>
          <w:bCs/>
          <w:sz w:val="22"/>
          <w:highlight w:val="none"/>
        </w:rPr>
        <w:t>12.3 投标人必须按附件中的开标一览表、投标分项报价表（均统一格式）内容填写单价、合价和总价，并由</w:t>
      </w:r>
      <w:r>
        <w:rPr>
          <w:rFonts w:hint="eastAsia" w:ascii="宋体" w:hAnsi="宋体" w:eastAsia="宋体" w:cs="宋体"/>
          <w:b/>
          <w:bCs/>
          <w:sz w:val="22"/>
          <w:highlight w:val="none"/>
          <w:lang w:eastAsia="zh-CN"/>
        </w:rPr>
        <w:t>法定代表人</w:t>
      </w:r>
      <w:r>
        <w:rPr>
          <w:rFonts w:hint="eastAsia" w:ascii="宋体" w:hAnsi="宋体" w:eastAsia="宋体" w:cs="宋体"/>
          <w:b/>
          <w:bCs/>
          <w:sz w:val="22"/>
          <w:highlight w:val="none"/>
        </w:rPr>
        <w:t>或投标人代表签署。</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12.4 所有报价均以人民币报价，投标人如需外汇购入某些货物，须折合成人民币计入投标报价中。</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12.5 </w:t>
      </w:r>
      <w:r>
        <w:rPr>
          <w:rFonts w:hint="eastAsia" w:ascii="宋体" w:hAnsi="宋体" w:eastAsia="宋体" w:cs="宋体"/>
          <w:b/>
          <w:bCs/>
          <w:sz w:val="22"/>
          <w:highlight w:val="none"/>
        </w:rPr>
        <w:t>采购人不接受任何选择报价，对每一种货物/服务只允许一个报价。</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12.6采购单位要求分类报价是为了方便评标，但在任何情况下不限制采购人以其认为最合适的条款、条件签订合同的权利。</w:t>
      </w:r>
    </w:p>
    <w:p>
      <w:pPr>
        <w:keepNext w:val="0"/>
        <w:keepLines w:val="0"/>
        <w:pageBreakBefore w:val="0"/>
        <w:widowControl/>
        <w:tabs>
          <w:tab w:val="left" w:pos="1080"/>
        </w:tabs>
        <w:kinsoku/>
        <w:wordWrap/>
        <w:overflowPunct/>
        <w:topLinePunct w:val="0"/>
        <w:autoSpaceDE/>
        <w:autoSpaceDN/>
        <w:bidi w:val="0"/>
        <w:adjustRightInd/>
        <w:snapToGrid/>
        <w:ind w:left="524" w:hanging="523" w:hangingChars="238"/>
        <w:textAlignment w:val="auto"/>
        <w:rPr>
          <w:rFonts w:hint="eastAsia" w:ascii="宋体" w:hAnsi="宋体" w:eastAsia="宋体" w:cs="宋体"/>
          <w:sz w:val="22"/>
          <w:highlight w:val="none"/>
        </w:rPr>
      </w:pPr>
      <w:r>
        <w:rPr>
          <w:rFonts w:hint="eastAsia" w:ascii="宋体" w:hAnsi="宋体" w:eastAsia="宋体" w:cs="宋体"/>
          <w:bCs/>
          <w:sz w:val="22"/>
          <w:highlight w:val="none"/>
          <w:u w:val="single"/>
        </w:rPr>
        <w:t>12.7▲</w:t>
      </w:r>
      <w:r>
        <w:rPr>
          <w:rFonts w:hint="eastAsia" w:ascii="宋体" w:hAnsi="宋体" w:eastAsia="宋体" w:cs="宋体"/>
          <w:b/>
          <w:sz w:val="22"/>
          <w:highlight w:val="none"/>
          <w:u w:val="single"/>
        </w:rPr>
        <w:t>投标报价报出后，投标人不得以任何理由予以变更。任何包含价格调整的要求，将被认为是非实质性响应投标而予以拒绝。</w:t>
      </w:r>
    </w:p>
    <w:p>
      <w:pPr>
        <w:tabs>
          <w:tab w:val="left" w:pos="1080"/>
        </w:tabs>
        <w:ind w:left="524" w:hanging="523" w:hangingChars="238"/>
        <w:rPr>
          <w:rFonts w:hint="eastAsia" w:ascii="宋体" w:hAnsi="宋体" w:eastAsia="宋体" w:cs="宋体"/>
          <w:strike/>
          <w:sz w:val="22"/>
          <w:highlight w:val="none"/>
        </w:rPr>
      </w:pPr>
      <w:r>
        <w:rPr>
          <w:rFonts w:hint="eastAsia" w:ascii="宋体" w:hAnsi="宋体" w:eastAsia="宋体" w:cs="宋体"/>
          <w:sz w:val="22"/>
          <w:highlight w:val="none"/>
        </w:rPr>
        <w:t>12.8</w:t>
      </w:r>
      <w:r>
        <w:rPr>
          <w:rFonts w:hint="eastAsia" w:ascii="宋体" w:hAnsi="宋体" w:eastAsia="宋体" w:cs="宋体"/>
          <w:b/>
          <w:bCs/>
          <w:sz w:val="22"/>
          <w:highlight w:val="none"/>
        </w:rPr>
        <w:t>最低报价不作为中标的保证。</w:t>
      </w:r>
    </w:p>
    <w:p>
      <w:pPr>
        <w:numPr>
          <w:ilvl w:val="0"/>
          <w:numId w:val="3"/>
        </w:numPr>
        <w:tabs>
          <w:tab w:val="left" w:pos="525"/>
          <w:tab w:val="left" w:pos="900"/>
        </w:tabs>
        <w:ind w:left="525" w:hanging="525"/>
        <w:rPr>
          <w:rFonts w:hint="eastAsia" w:ascii="宋体" w:hAnsi="宋体" w:eastAsia="宋体" w:cs="宋体"/>
          <w:b/>
          <w:sz w:val="22"/>
          <w:highlight w:val="none"/>
          <w:u w:val="single"/>
        </w:rPr>
      </w:pPr>
      <w:r>
        <w:rPr>
          <w:rFonts w:hint="eastAsia" w:ascii="宋体" w:hAnsi="宋体" w:eastAsia="宋体" w:cs="宋体"/>
          <w:b/>
          <w:sz w:val="22"/>
          <w:highlight w:val="none"/>
          <w:u w:val="single"/>
        </w:rPr>
        <w:t>▲投标保证金</w:t>
      </w:r>
    </w:p>
    <w:p>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13.1 </w:t>
      </w:r>
      <w:r>
        <w:rPr>
          <w:rFonts w:hint="eastAsia" w:ascii="宋体" w:hAnsi="宋体" w:eastAsia="宋体" w:cs="宋体"/>
          <w:b/>
          <w:bCs/>
          <w:sz w:val="22"/>
          <w:highlight w:val="none"/>
          <w:u w:val="single"/>
        </w:rPr>
        <w:t>投标人须按投标人须知前附表规定交纳投标保证金，否则采购人将不接受其投标</w:t>
      </w:r>
      <w:r>
        <w:rPr>
          <w:rFonts w:hint="eastAsia" w:ascii="宋体" w:hAnsi="宋体" w:eastAsia="宋体" w:cs="宋体"/>
          <w:sz w:val="22"/>
          <w:highlight w:val="none"/>
        </w:rPr>
        <w:t>。</w:t>
      </w:r>
    </w:p>
    <w:p>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13.2</w:t>
      </w:r>
      <w:r>
        <w:rPr>
          <w:rFonts w:hint="eastAsia" w:ascii="宋体" w:hAnsi="宋体" w:eastAsia="宋体" w:cs="宋体"/>
          <w:b/>
          <w:bCs/>
          <w:sz w:val="22"/>
          <w:highlight w:val="none"/>
          <w:u w:val="single"/>
        </w:rPr>
        <w:t>投标保证金金额及形式详见采购公告及投标须知前附表规定。</w:t>
      </w:r>
    </w:p>
    <w:p>
      <w:pPr>
        <w:tabs>
          <w:tab w:val="left" w:pos="851"/>
          <w:tab w:val="left" w:pos="1080"/>
        </w:tabs>
        <w:ind w:left="524" w:hanging="523" w:hangingChars="238"/>
        <w:rPr>
          <w:rFonts w:hint="eastAsia" w:ascii="宋体" w:hAnsi="宋体" w:eastAsia="宋体" w:cs="宋体"/>
          <w:b/>
          <w:bCs/>
          <w:sz w:val="22"/>
          <w:highlight w:val="none"/>
        </w:rPr>
      </w:pPr>
      <w:r>
        <w:rPr>
          <w:rFonts w:hint="eastAsia" w:ascii="宋体" w:hAnsi="宋体" w:eastAsia="宋体" w:cs="宋体"/>
          <w:sz w:val="22"/>
          <w:highlight w:val="none"/>
        </w:rPr>
        <w:t>13.3 投标人的投标保证金在中标人提交履约担保并与采购人签订了合同且合同经备案后无息退还，未中标投标人的投标保证金将在确定中标人后无息退还。</w:t>
      </w:r>
    </w:p>
    <w:p>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13.4 </w:t>
      </w:r>
      <w:r>
        <w:rPr>
          <w:rFonts w:hint="eastAsia" w:ascii="宋体" w:hAnsi="宋体" w:eastAsia="宋体" w:cs="宋体"/>
          <w:b/>
          <w:sz w:val="22"/>
          <w:highlight w:val="none"/>
          <w:u w:val="single"/>
        </w:rPr>
        <w:t>如发生下列情况之一，投标保证金将不予退还：</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投标人在采购文件规定的投标有效期内撤回投标；</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中标人未按中标通知书中规定的时间与采购人签订合同；</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中标人在规定期限内未能根据采购文件要求提供履约担保；</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投标人在投标文件中提供虚假技术指标及参数，经评标委员会确认属实的；</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经国企采购监督管理部门审查认定投标供应商有违反《温州市市属国有企业采购管理办法（试行）》等有关法律法规的行为。</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投标有效期</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14.1 </w:t>
      </w:r>
      <w:r>
        <w:rPr>
          <w:rFonts w:hint="eastAsia" w:ascii="宋体" w:hAnsi="宋体" w:eastAsia="宋体" w:cs="宋体"/>
          <w:b/>
          <w:sz w:val="22"/>
          <w:highlight w:val="none"/>
          <w:u w:val="single"/>
        </w:rPr>
        <w:t>▲投标有效期见投标人须知前附表，投标文件有效期短于这个规定期限的将被拒绝。</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14.2在投标人须知前附表规定的投标有效期内，投标人不得要求撤销或修改其投标文件。</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投标文件的签署和规定</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投标人应提供技术资信标、商务（报价）标各一式</w:t>
      </w:r>
      <w:r>
        <w:rPr>
          <w:rFonts w:hint="eastAsia" w:ascii="宋体" w:hAnsi="宋体" w:eastAsia="宋体" w:cs="宋体"/>
          <w:b/>
          <w:sz w:val="22"/>
          <w:highlight w:val="none"/>
          <w:lang w:val="en-US" w:eastAsia="zh-CN"/>
        </w:rPr>
        <w:t>五</w:t>
      </w:r>
      <w:r>
        <w:rPr>
          <w:rFonts w:hint="eastAsia" w:ascii="宋体" w:hAnsi="宋体" w:eastAsia="宋体" w:cs="宋体"/>
          <w:b/>
          <w:sz w:val="22"/>
          <w:highlight w:val="none"/>
        </w:rPr>
        <w:t>份的投标文件，分别装订成册。其中正本一份、副本</w:t>
      </w:r>
      <w:r>
        <w:rPr>
          <w:rFonts w:hint="eastAsia" w:ascii="宋体" w:hAnsi="宋体" w:eastAsia="宋体" w:cs="宋体"/>
          <w:b/>
          <w:sz w:val="22"/>
          <w:highlight w:val="none"/>
          <w:lang w:val="en-US" w:eastAsia="zh-CN"/>
        </w:rPr>
        <w:t>四</w:t>
      </w:r>
      <w:r>
        <w:rPr>
          <w:rFonts w:hint="eastAsia" w:ascii="宋体" w:hAnsi="宋体" w:eastAsia="宋体" w:cs="宋体"/>
          <w:b/>
          <w:sz w:val="22"/>
          <w:highlight w:val="none"/>
        </w:rPr>
        <w:t>份，每套投标文件的封面应清楚标明“正本”或“副本”字样，若“正本”与“副本”不符，以“正本”为准。</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投标文件的正本必须打印或用不褪色的墨水书写，并由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或其授权代表签署，副本可用正本的复印件。</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投标文件如有修改和增删必须由投标文件签字人在修改和增删处旁签署或盖章，方才有效。</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投标文件字迹模糊或在关键的技术、商务条款上表述不清楚，将可能导致其投标被拒绝。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投标文件的密封及标记</w:t>
      </w:r>
    </w:p>
    <w:p>
      <w:pPr>
        <w:numPr>
          <w:ilvl w:val="1"/>
          <w:numId w:val="7"/>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投标人必须将投标文件的“技术资信标”、“商务（报价）标”分别单独密封，且在各自的密封袋上标明“技术资信标”、“商务（报价）标”字样。</w:t>
      </w:r>
      <w:r>
        <w:rPr>
          <w:rFonts w:hint="eastAsia" w:ascii="宋体" w:hAnsi="宋体" w:eastAsia="宋体" w:cs="宋体"/>
          <w:sz w:val="22"/>
          <w:highlight w:val="none"/>
        </w:rPr>
        <w:t>封口处贴上封条，启封处加盖投标单位公章并由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或其授权代表签字。</w:t>
      </w:r>
      <w:r>
        <w:rPr>
          <w:rFonts w:hint="eastAsia" w:ascii="宋体" w:hAnsi="宋体" w:eastAsia="宋体" w:cs="宋体"/>
          <w:b/>
          <w:sz w:val="22"/>
          <w:highlight w:val="none"/>
        </w:rPr>
        <w:t>封皮上写明投标项目名称、采购编号，并注明“开标时启封”字样。</w:t>
      </w:r>
    </w:p>
    <w:p>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如果投标人未按上述要求密封及加写标记，采购人对投标文件的误投和提前启封不负责任。</w:t>
      </w:r>
    </w:p>
    <w:p>
      <w:pPr>
        <w:spacing w:before="156" w:beforeLines="50" w:after="156" w:afterLines="50"/>
        <w:jc w:val="center"/>
        <w:rPr>
          <w:rFonts w:hint="eastAsia" w:ascii="宋体" w:hAnsi="宋体" w:eastAsia="宋体" w:cs="宋体"/>
          <w:b/>
          <w:sz w:val="28"/>
          <w:szCs w:val="28"/>
          <w:highlight w:val="none"/>
        </w:rPr>
      </w:pPr>
      <w:bookmarkStart w:id="83" w:name="_Toc223933224"/>
      <w:bookmarkStart w:id="84" w:name="_Toc204578578"/>
      <w:bookmarkStart w:id="85" w:name="_Toc219538616"/>
      <w:bookmarkStart w:id="86" w:name="_Toc214365793"/>
      <w:bookmarkStart w:id="87" w:name="_Toc215415533"/>
      <w:bookmarkStart w:id="88" w:name="_Toc205005289"/>
      <w:bookmarkStart w:id="89" w:name="_Toc209251130"/>
      <w:bookmarkStart w:id="90" w:name="_Toc210879711"/>
      <w:bookmarkStart w:id="91" w:name="_Toc227056849"/>
      <w:bookmarkStart w:id="92" w:name="_Toc205703105"/>
      <w:bookmarkStart w:id="93" w:name="_Toc209250722"/>
      <w:bookmarkStart w:id="94" w:name="_Toc216667823"/>
      <w:bookmarkStart w:id="95" w:name="_Toc217460688"/>
      <w:bookmarkStart w:id="96" w:name="_Toc205877560"/>
      <w:bookmarkStart w:id="97" w:name="_Toc209261368"/>
      <w:bookmarkStart w:id="98" w:name="_Toc223717607"/>
      <w:bookmarkStart w:id="99" w:name="_Toc218041729"/>
      <w:bookmarkStart w:id="100" w:name="_Toc209261435"/>
      <w:bookmarkStart w:id="101" w:name="_Toc227057036"/>
      <w:bookmarkStart w:id="102" w:name="_Toc227489890"/>
      <w:bookmarkStart w:id="103" w:name="_Toc204491320"/>
      <w:bookmarkStart w:id="104" w:name="_Toc207609184"/>
      <w:bookmarkStart w:id="105" w:name="_Toc205877455"/>
      <w:bookmarkStart w:id="106" w:name="_Toc209332636"/>
      <w:bookmarkStart w:id="107" w:name="_Toc205004971"/>
      <w:r>
        <w:rPr>
          <w:rFonts w:hint="eastAsia" w:ascii="宋体" w:hAnsi="宋体" w:eastAsia="宋体" w:cs="宋体"/>
          <w:b/>
          <w:sz w:val="28"/>
          <w:szCs w:val="28"/>
          <w:highlight w:val="none"/>
        </w:rPr>
        <w:t>四、 投标文件的递交</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投标文件的递交</w:t>
      </w:r>
    </w:p>
    <w:p>
      <w:pPr>
        <w:numPr>
          <w:ilvl w:val="1"/>
          <w:numId w:val="8"/>
        </w:numPr>
        <w:tabs>
          <w:tab w:val="left" w:pos="525"/>
        </w:tabs>
        <w:ind w:left="527" w:hanging="527"/>
        <w:rPr>
          <w:rFonts w:hint="eastAsia" w:ascii="宋体" w:hAnsi="宋体" w:eastAsia="宋体" w:cs="宋体"/>
          <w:b/>
          <w:sz w:val="22"/>
          <w:highlight w:val="none"/>
          <w:u w:val="single"/>
        </w:rPr>
      </w:pPr>
      <w:r>
        <w:rPr>
          <w:rFonts w:hint="eastAsia" w:ascii="宋体" w:hAnsi="宋体" w:eastAsia="宋体" w:cs="宋体"/>
          <w:b/>
          <w:bCs/>
          <w:sz w:val="22"/>
          <w:highlight w:val="none"/>
          <w:u w:val="single"/>
        </w:rPr>
        <w:t>▲</w:t>
      </w:r>
      <w:r>
        <w:rPr>
          <w:rFonts w:hint="eastAsia" w:ascii="宋体" w:hAnsi="宋体" w:eastAsia="宋体" w:cs="宋体"/>
          <w:b/>
          <w:sz w:val="22"/>
          <w:highlight w:val="none"/>
          <w:u w:val="single"/>
        </w:rPr>
        <w:t>投标文件必须在规定的投标文件递交截止时间前送达到投标文件递交地点；</w:t>
      </w:r>
    </w:p>
    <w:p>
      <w:pPr>
        <w:numPr>
          <w:ilvl w:val="1"/>
          <w:numId w:val="8"/>
        </w:numPr>
        <w:tabs>
          <w:tab w:val="left" w:pos="525"/>
        </w:tabs>
        <w:ind w:left="527" w:hanging="527"/>
        <w:rPr>
          <w:rFonts w:hint="eastAsia" w:ascii="宋体" w:hAnsi="宋体" w:eastAsia="宋体" w:cs="宋体"/>
          <w:b/>
          <w:sz w:val="22"/>
          <w:highlight w:val="none"/>
        </w:rPr>
      </w:pPr>
      <w:r>
        <w:rPr>
          <w:rFonts w:hint="eastAsia" w:ascii="宋体" w:hAnsi="宋体" w:eastAsia="宋体" w:cs="宋体"/>
          <w:b/>
          <w:sz w:val="22"/>
          <w:highlight w:val="none"/>
        </w:rPr>
        <w:t>在递交投标文件同时递交以下证明文件，由评标委员会确认投标资格：</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投标保证金缴纳凭证；</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投标人代表有效身份证件；</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如企业/事业单位</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委派投标人代表的，需提交</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授权书（原件）。</w:t>
      </w:r>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投标文件的修改和撤回</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在投标文件递交截止时间前，投标人可以用书面形式提出修改或撤回其投标并送达到采购人，但不得影响开标活动的正常进行。</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“投标文件修改”或“投标文件撤回通知”都应密封并在密封袋上写明投标项目名称、编号、投标单位名称，并注明“投标文件修改”或“投标文件撤回通知”字样。</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hint="eastAsia" w:ascii="宋体" w:hAnsi="宋体" w:eastAsia="宋体" w:cs="宋体"/>
          <w:b/>
          <w:sz w:val="22"/>
          <w:highlight w:val="none"/>
          <w:u w:val="single"/>
        </w:rPr>
      </w:pPr>
      <w:r>
        <w:rPr>
          <w:rFonts w:hint="eastAsia" w:ascii="宋体" w:hAnsi="宋体" w:eastAsia="宋体" w:cs="宋体"/>
          <w:b/>
          <w:sz w:val="22"/>
          <w:highlight w:val="none"/>
          <w:u w:val="single"/>
        </w:rPr>
        <w:t>▲发生下列情况之一的投标文件将拒收：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在投标文件递交截止时间以后送达的投标文件；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未购买采购文件；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未密封或未装订的投标文件及由于包装不妥</w:t>
      </w:r>
      <w:r>
        <w:rPr>
          <w:rFonts w:hint="eastAsia" w:ascii="宋体" w:hAnsi="宋体" w:eastAsia="宋体" w:cs="宋体"/>
          <w:bCs/>
          <w:sz w:val="22"/>
          <w:highlight w:val="none"/>
          <w:u w:val="single"/>
          <w:lang w:val="en-US" w:eastAsia="zh-CN"/>
        </w:rPr>
        <w:t>造成</w:t>
      </w:r>
      <w:r>
        <w:rPr>
          <w:rFonts w:hint="eastAsia" w:ascii="宋体" w:hAnsi="宋体" w:eastAsia="宋体" w:cs="宋体"/>
          <w:bCs/>
          <w:sz w:val="22"/>
          <w:highlight w:val="none"/>
          <w:u w:val="single"/>
        </w:rPr>
        <w:t>在送达途中严重破损或失散的投标文件；</w:t>
      </w:r>
    </w:p>
    <w:p>
      <w:pPr>
        <w:numPr>
          <w:ilvl w:val="1"/>
          <w:numId w:val="11"/>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u w:val="single"/>
        </w:rPr>
        <w:t>以电讯形式递交的投标文件</w:t>
      </w:r>
      <w:r>
        <w:rPr>
          <w:rFonts w:hint="eastAsia" w:ascii="宋体" w:hAnsi="宋体" w:eastAsia="宋体" w:cs="宋体"/>
          <w:bCs/>
          <w:sz w:val="22"/>
          <w:highlight w:val="none"/>
        </w:rPr>
        <w:t>。</w:t>
      </w:r>
    </w:p>
    <w:p>
      <w:pPr>
        <w:spacing w:before="156" w:beforeLines="50" w:after="156" w:afterLines="50"/>
        <w:jc w:val="center"/>
        <w:rPr>
          <w:rFonts w:hint="eastAsia" w:ascii="宋体" w:hAnsi="宋体" w:eastAsia="宋体" w:cs="宋体"/>
          <w:b/>
          <w:sz w:val="28"/>
          <w:szCs w:val="28"/>
          <w:highlight w:val="none"/>
        </w:rPr>
      </w:pPr>
      <w:bookmarkStart w:id="108" w:name="_Toc217460689"/>
      <w:bookmarkStart w:id="109" w:name="_Toc218041730"/>
      <w:bookmarkStart w:id="110" w:name="_Toc209332637"/>
      <w:bookmarkStart w:id="111" w:name="_Toc209250723"/>
      <w:bookmarkStart w:id="112" w:name="_Toc207609185"/>
      <w:bookmarkStart w:id="113" w:name="_Toc219538617"/>
      <w:bookmarkStart w:id="114" w:name="_Toc227057037"/>
      <w:bookmarkStart w:id="115" w:name="_Toc205877561"/>
      <w:bookmarkStart w:id="116" w:name="_Toc205877456"/>
      <w:bookmarkStart w:id="117" w:name="_Toc227056850"/>
      <w:bookmarkStart w:id="118" w:name="_Toc223717608"/>
      <w:bookmarkStart w:id="119" w:name="_Toc209251131"/>
      <w:bookmarkStart w:id="120" w:name="_Toc209261369"/>
      <w:bookmarkStart w:id="121" w:name="_Toc223933225"/>
      <w:bookmarkStart w:id="122" w:name="_Toc215415534"/>
      <w:bookmarkStart w:id="123" w:name="_Toc204578579"/>
      <w:bookmarkStart w:id="124" w:name="_Toc205004972"/>
      <w:bookmarkStart w:id="125" w:name="_Toc204491321"/>
      <w:bookmarkStart w:id="126" w:name="_Toc210879712"/>
      <w:bookmarkStart w:id="127" w:name="_Toc214365794"/>
      <w:bookmarkStart w:id="128" w:name="_Toc205005290"/>
      <w:bookmarkStart w:id="129" w:name="_Toc216667824"/>
      <w:bookmarkStart w:id="130" w:name="_Toc209261436"/>
      <w:bookmarkStart w:id="131" w:name="_Toc205703106"/>
      <w:bookmarkStart w:id="132" w:name="_Toc227489891"/>
      <w:r>
        <w:rPr>
          <w:rFonts w:hint="eastAsia" w:ascii="宋体" w:hAnsi="宋体" w:eastAsia="宋体" w:cs="宋体"/>
          <w:b/>
          <w:sz w:val="28"/>
          <w:szCs w:val="28"/>
          <w:highlight w:val="none"/>
        </w:rPr>
        <w:t>五、 开标和评审</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numPr>
          <w:ilvl w:val="0"/>
          <w:numId w:val="3"/>
        </w:numPr>
        <w:tabs>
          <w:tab w:val="left" w:pos="525"/>
          <w:tab w:val="left" w:pos="900"/>
        </w:tabs>
        <w:ind w:left="525" w:hanging="525"/>
        <w:rPr>
          <w:rFonts w:hint="eastAsia" w:ascii="宋体" w:hAnsi="宋体" w:eastAsia="宋体" w:cs="宋体"/>
          <w:sz w:val="22"/>
          <w:highlight w:val="none"/>
        </w:rPr>
      </w:pPr>
      <w:bookmarkStart w:id="133" w:name="_Toc227057038"/>
      <w:bookmarkStart w:id="134" w:name="_Toc209261370"/>
      <w:bookmarkStart w:id="135" w:name="_Toc219538618"/>
      <w:bookmarkStart w:id="136" w:name="_Toc216667825"/>
      <w:bookmarkStart w:id="137" w:name="_Toc223717609"/>
      <w:bookmarkStart w:id="138" w:name="_Toc205005291"/>
      <w:bookmarkStart w:id="139" w:name="_Toc205004973"/>
      <w:bookmarkStart w:id="140" w:name="_Toc205877562"/>
      <w:bookmarkStart w:id="141" w:name="_Toc227056851"/>
      <w:bookmarkStart w:id="142" w:name="_Toc209251132"/>
      <w:bookmarkStart w:id="143" w:name="_Toc209332638"/>
      <w:bookmarkStart w:id="144" w:name="_Toc210879713"/>
      <w:bookmarkStart w:id="145" w:name="_Toc204491322"/>
      <w:bookmarkStart w:id="146" w:name="_Toc223933226"/>
      <w:bookmarkStart w:id="147" w:name="_Toc205703107"/>
      <w:bookmarkStart w:id="148" w:name="_Toc209261437"/>
      <w:bookmarkStart w:id="149" w:name="_Toc209250724"/>
      <w:bookmarkStart w:id="150" w:name="_Toc205877457"/>
      <w:bookmarkStart w:id="151" w:name="_Toc215415535"/>
      <w:bookmarkStart w:id="152" w:name="_Toc218041731"/>
      <w:bookmarkStart w:id="153" w:name="_Toc207609186"/>
      <w:bookmarkStart w:id="154" w:name="_Toc204578580"/>
      <w:bookmarkStart w:id="155" w:name="_Toc217460690"/>
      <w:bookmarkStart w:id="156" w:name="_Toc214365795"/>
      <w:bookmarkStart w:id="157" w:name="_Toc227489892"/>
      <w:r>
        <w:rPr>
          <w:rFonts w:hint="eastAsia" w:ascii="宋体" w:hAnsi="宋体" w:eastAsia="宋体" w:cs="宋体"/>
          <w:sz w:val="22"/>
          <w:highlight w:val="none"/>
        </w:rPr>
        <w:t>评标委员会</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评标过程的保密性</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开标后直至向中标人授予合同时止，凡与评审有关的资料均不得向投标人及与评标无关人员透露。如果投标人在评标过程中试图向</w:t>
      </w:r>
      <w:r>
        <w:rPr>
          <w:rFonts w:hint="eastAsia" w:ascii="宋体" w:hAnsi="宋体" w:eastAsia="宋体" w:cs="宋体"/>
          <w:sz w:val="22"/>
          <w:highlight w:val="none"/>
        </w:rPr>
        <w:t>采购单位、评标委员会</w:t>
      </w:r>
      <w:r>
        <w:rPr>
          <w:rFonts w:hint="eastAsia" w:ascii="宋体" w:hAnsi="宋体" w:eastAsia="宋体" w:cs="宋体"/>
          <w:bCs/>
          <w:sz w:val="22"/>
          <w:highlight w:val="none"/>
        </w:rPr>
        <w:t>施加影响，其投标将被拒绝。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开标、评标</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开标程序：</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宣布开标纪律；</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公布在投标截止时间前递交投标文件的投标供应商名称，并点名确认投标供应商是否派授权代表到场；</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宣布唱标人、记录人、监督人员等有关人员姓名；</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密封情况检查：由投标供应商或其推选的代表检查投标文件密封情况；</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开标顺序：</w:t>
      </w:r>
      <w:r>
        <w:rPr>
          <w:rFonts w:hint="eastAsia" w:ascii="宋体" w:hAnsi="宋体" w:eastAsia="宋体" w:cs="宋体"/>
          <w:bCs/>
          <w:sz w:val="22"/>
          <w:highlight w:val="none"/>
          <w:lang w:val="en-US" w:eastAsia="zh-CN"/>
        </w:rPr>
        <w:t>同时</w:t>
      </w:r>
      <w:r>
        <w:rPr>
          <w:rFonts w:hint="eastAsia" w:ascii="宋体" w:hAnsi="宋体" w:eastAsia="宋体" w:cs="宋体"/>
          <w:bCs/>
          <w:sz w:val="22"/>
          <w:highlight w:val="none"/>
        </w:rPr>
        <w:t>开启技术资信部分投标文件、开启商务（报价）文件；</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确认开标结果：投标供应商授权代表对开标书面记录进行当场校核及勘误，并签字确认；并同时由记录人、核对人当场签字确认。</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宣布开标结束。</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投标供应商授权代表未参加开标会议；未到场签字确认的，不影响开标，评标过程，视同认可开标结果；事后不得对采购相关人员、开标过程和开标结果提出异议。</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评标程序：先对各投标文件进行初审，然后对初审合格的投标文件进行技术资信标评审，技术资信标评审结束后，再对各有效标进行商务（报价）评审。</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投标文件的初审。初审分为资格性审查和符合性检查。</w:t>
      </w:r>
    </w:p>
    <w:p>
      <w:pPr>
        <w:numPr>
          <w:ilvl w:val="0"/>
          <w:numId w:val="14"/>
        </w:numPr>
        <w:tabs>
          <w:tab w:val="left" w:pos="525"/>
        </w:tabs>
        <w:ind w:left="525" w:hanging="315"/>
        <w:rPr>
          <w:rFonts w:hint="eastAsia" w:ascii="宋体" w:hAnsi="宋体" w:eastAsia="宋体" w:cs="宋体"/>
          <w:b/>
          <w:bCs/>
          <w:sz w:val="22"/>
          <w:highlight w:val="none"/>
          <w:u w:val="single"/>
        </w:rPr>
      </w:pPr>
      <w:r>
        <w:rPr>
          <w:rFonts w:hint="eastAsia" w:ascii="宋体" w:hAnsi="宋体" w:eastAsia="宋体" w:cs="宋体"/>
          <w:bCs/>
          <w:sz w:val="22"/>
          <w:highlight w:val="none"/>
        </w:rPr>
        <w:t>资格性审查。依据法律、法规和采购文件的规定，评标委员会对各投标人进行资格性审查，资格性审查内容包括但不仅限于审查随投标文件一同提交的</w:t>
      </w:r>
      <w:r>
        <w:rPr>
          <w:rFonts w:hint="eastAsia" w:ascii="宋体" w:hAnsi="宋体" w:eastAsia="宋体" w:cs="宋体"/>
          <w:bCs/>
          <w:sz w:val="22"/>
          <w:highlight w:val="none"/>
          <w:lang w:eastAsia="zh-CN"/>
        </w:rPr>
        <w:t>法定代表人</w:t>
      </w:r>
      <w:r>
        <w:rPr>
          <w:rFonts w:hint="eastAsia" w:ascii="宋体" w:hAnsi="宋体" w:eastAsia="宋体" w:cs="宋体"/>
          <w:bCs/>
          <w:sz w:val="22"/>
          <w:highlight w:val="none"/>
        </w:rPr>
        <w:t>授权书（原件）、投标代表人有效身份证件、投标保证金缴纳凭证，以及投标文件所提交证明材料是否能证明符合本项目对投标人资格的实质性要求。</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审查不合格的投标文件将作无效标处理。</w:t>
      </w:r>
    </w:p>
    <w:p>
      <w:pPr>
        <w:numPr>
          <w:ilvl w:val="0"/>
          <w:numId w:val="14"/>
        </w:numPr>
        <w:tabs>
          <w:tab w:val="left" w:pos="525"/>
        </w:tabs>
        <w:ind w:left="525" w:hanging="315"/>
        <w:rPr>
          <w:rFonts w:hint="eastAsia" w:ascii="宋体" w:hAnsi="宋体" w:eastAsia="宋体" w:cs="宋体"/>
          <w:bCs/>
          <w:sz w:val="22"/>
          <w:highlight w:val="none"/>
        </w:rPr>
      </w:pPr>
      <w:r>
        <w:rPr>
          <w:rFonts w:hint="eastAsia" w:ascii="宋体" w:hAnsi="宋体" w:eastAsia="宋体" w:cs="宋体"/>
          <w:bCs/>
          <w:sz w:val="22"/>
          <w:highlight w:val="none"/>
        </w:rPr>
        <w:t>符合性检查。依据采购文件的规定，对投标文件的有效性、完整性和对采购文件的响应程度进行审查，以确定是否对采购文件的实质性要求作出响应。</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审查不合格的投标文件将作无效标处理。</w:t>
      </w:r>
    </w:p>
    <w:p>
      <w:pPr>
        <w:tabs>
          <w:tab w:val="left" w:pos="525"/>
        </w:tabs>
        <w:ind w:left="548" w:leftChars="261"/>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▲通过资格性审查与符合性审查的技术资信标由评委进行综合评审，审查确认未通过的技术资信标不予评审。</w:t>
      </w:r>
    </w:p>
    <w:p>
      <w:pPr>
        <w:numPr>
          <w:ilvl w:val="1"/>
          <w:numId w:val="12"/>
        </w:numPr>
        <w:tabs>
          <w:tab w:val="left" w:pos="525"/>
        </w:tabs>
        <w:ind w:left="525" w:hanging="525"/>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▲在对各投标人的投标文件进行综合评审时，投标文件有下列情况之一的，经评标委员会认定后按无效标处理：</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w:t>
      </w:r>
      <w:r>
        <w:rPr>
          <w:rFonts w:hint="eastAsia" w:ascii="宋体" w:hAnsi="宋体" w:eastAsia="宋体" w:cs="宋体"/>
          <w:bCs/>
          <w:sz w:val="22"/>
          <w:highlight w:val="none"/>
          <w:u w:val="single"/>
          <w:lang w:val="en-US" w:eastAsia="zh-CN"/>
        </w:rPr>
        <w:t>主要内容</w:t>
      </w:r>
      <w:r>
        <w:rPr>
          <w:rFonts w:hint="eastAsia" w:ascii="宋体" w:hAnsi="宋体" w:eastAsia="宋体" w:cs="宋体"/>
          <w:bCs/>
          <w:sz w:val="22"/>
          <w:highlight w:val="none"/>
          <w:u w:val="single"/>
        </w:rPr>
        <w:t>未按要求加盖单位公章、无</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或其授权代表签字或盖章的；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投标文件附有采购人不能接受的条件；</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授权代表参加投标没有</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合法、有效委托的；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投标单位递交两份以上内容不同的投标书，未声明哪一份有效的；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投标单位未能按要求提交投标保证金的；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未实质性响应采购文件中</w:t>
      </w:r>
      <w:r>
        <w:rPr>
          <w:rFonts w:hint="eastAsia" w:ascii="宋体" w:hAnsi="宋体" w:eastAsia="宋体" w:cs="宋体"/>
          <w:bCs/>
          <w:sz w:val="22"/>
          <w:highlight w:val="none"/>
          <w:u w:val="single"/>
          <w:lang w:val="en-US" w:eastAsia="zh-CN"/>
        </w:rPr>
        <w:t>加</w:t>
      </w:r>
      <w:r>
        <w:rPr>
          <w:rFonts w:hint="eastAsia" w:ascii="宋体" w:hAnsi="宋体" w:eastAsia="宋体" w:cs="宋体"/>
          <w:bCs/>
          <w:sz w:val="22"/>
          <w:highlight w:val="none"/>
          <w:u w:val="single"/>
        </w:rPr>
        <w:t>“▲”同时加下划线</w:t>
      </w:r>
      <w:r>
        <w:rPr>
          <w:rFonts w:hint="eastAsia" w:ascii="宋体" w:hAnsi="宋体" w:eastAsia="宋体" w:cs="宋体"/>
          <w:bCs/>
          <w:sz w:val="22"/>
          <w:highlight w:val="none"/>
          <w:u w:val="single"/>
          <w:lang w:val="en-US" w:eastAsia="zh-CN"/>
        </w:rPr>
        <w:t>的</w:t>
      </w:r>
      <w:r>
        <w:rPr>
          <w:rFonts w:hint="eastAsia" w:ascii="宋体" w:hAnsi="宋体" w:eastAsia="宋体" w:cs="宋体"/>
          <w:bCs/>
          <w:sz w:val="22"/>
          <w:highlight w:val="none"/>
          <w:u w:val="single"/>
        </w:rPr>
        <w:t>条款；</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投标报价超过</w:t>
      </w:r>
      <w:r>
        <w:rPr>
          <w:rFonts w:hint="eastAsia" w:ascii="宋体" w:hAnsi="宋体" w:eastAsia="宋体" w:cs="宋体"/>
          <w:bCs/>
          <w:sz w:val="22"/>
          <w:highlight w:val="none"/>
          <w:u w:val="single"/>
          <w:lang w:eastAsia="zh-CN"/>
        </w:rPr>
        <w:t>采购预算</w:t>
      </w:r>
      <w:r>
        <w:rPr>
          <w:rFonts w:hint="eastAsia" w:ascii="宋体" w:hAnsi="宋体" w:eastAsia="宋体" w:cs="宋体"/>
          <w:bCs/>
          <w:sz w:val="22"/>
          <w:highlight w:val="none"/>
          <w:u w:val="single"/>
        </w:rPr>
        <w:t>（大于</w:t>
      </w:r>
      <w:r>
        <w:rPr>
          <w:rFonts w:hint="eastAsia" w:ascii="宋体" w:hAnsi="宋体" w:eastAsia="宋体" w:cs="宋体"/>
          <w:bCs/>
          <w:sz w:val="22"/>
          <w:highlight w:val="none"/>
          <w:u w:val="single"/>
          <w:lang w:val="en-US" w:eastAsia="zh-CN"/>
        </w:rPr>
        <w:t>21万元</w:t>
      </w:r>
      <w:r>
        <w:rPr>
          <w:rFonts w:hint="eastAsia" w:ascii="宋体" w:hAnsi="宋体" w:eastAsia="宋体" w:cs="宋体"/>
          <w:bCs/>
          <w:sz w:val="22"/>
          <w:highlight w:val="none"/>
          <w:u w:val="single"/>
        </w:rPr>
        <w:t>）的；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投标人提交的投标文件相关证书、材料经评标委员会认定有弄虚作假情况的；</w:t>
      </w:r>
    </w:p>
    <w:p>
      <w:pPr>
        <w:numPr>
          <w:ilvl w:val="0"/>
          <w:numId w:val="15"/>
        </w:numPr>
        <w:rPr>
          <w:rFonts w:hint="eastAsia" w:ascii="宋体" w:hAnsi="宋体" w:eastAsia="宋体" w:cs="宋体"/>
          <w:bCs/>
          <w:sz w:val="22"/>
          <w:highlight w:val="none"/>
        </w:rPr>
      </w:pPr>
      <w:r>
        <w:rPr>
          <w:rFonts w:hint="eastAsia" w:ascii="宋体" w:hAnsi="宋体" w:eastAsia="宋体" w:cs="宋体"/>
          <w:bCs/>
          <w:sz w:val="22"/>
          <w:highlight w:val="none"/>
          <w:u w:val="single"/>
        </w:rPr>
        <w:t>评标委员会认定不符合法律、法规和采购文件中规定的其他实质性要求的。</w:t>
      </w:r>
    </w:p>
    <w:p>
      <w:pPr>
        <w:tabs>
          <w:tab w:val="left" w:pos="525"/>
        </w:tabs>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w:t>
      </w:r>
      <w:r>
        <w:rPr>
          <w:rFonts w:hint="eastAsia" w:ascii="宋体" w:hAnsi="宋体" w:eastAsia="宋体" w:cs="宋体"/>
          <w:kern w:val="0"/>
          <w:sz w:val="22"/>
          <w:highlight w:val="none"/>
          <w:u w:val="single"/>
          <w:lang w:val="en-US" w:eastAsia="zh-CN"/>
        </w:rPr>
        <w:t>主要内容</w:t>
      </w:r>
      <w:r>
        <w:rPr>
          <w:rFonts w:hint="eastAsia" w:ascii="宋体" w:hAnsi="宋体" w:eastAsia="宋体" w:cs="宋体"/>
          <w:kern w:val="0"/>
          <w:sz w:val="22"/>
          <w:highlight w:val="none"/>
          <w:u w:val="single"/>
        </w:rPr>
        <w:t>未按采购文件要求编制、</w:t>
      </w:r>
      <w:r>
        <w:rPr>
          <w:rFonts w:hint="eastAsia" w:ascii="宋体" w:hAnsi="宋体" w:eastAsia="宋体" w:cs="宋体"/>
          <w:bCs/>
          <w:sz w:val="22"/>
          <w:highlight w:val="none"/>
          <w:u w:val="single"/>
        </w:rPr>
        <w:t>内容不全</w:t>
      </w:r>
      <w:r>
        <w:rPr>
          <w:rFonts w:hint="eastAsia" w:ascii="宋体" w:hAnsi="宋体" w:eastAsia="宋体" w:cs="宋体"/>
          <w:kern w:val="0"/>
          <w:sz w:val="22"/>
          <w:highlight w:val="none"/>
          <w:u w:val="single"/>
        </w:rPr>
        <w:t>或实质性内容字迹模糊、辨认不清的投标文件；</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2）除22.4条款以外，出现其它明显不符合服务内容要求、技术服务标准要求或不满足采购文件“</w:t>
      </w:r>
      <w:r>
        <w:rPr>
          <w:rFonts w:hint="eastAsia" w:ascii="宋体" w:hAnsi="宋体" w:eastAsia="宋体" w:cs="宋体"/>
          <w:kern w:val="0"/>
          <w:sz w:val="22"/>
          <w:highlight w:val="none"/>
          <w:u w:val="single"/>
          <w:lang w:eastAsia="zh-CN"/>
        </w:rPr>
        <w:t>“瓯江红·畅美高速”党群服务中心物业服务</w:t>
      </w:r>
      <w:r>
        <w:rPr>
          <w:rFonts w:hint="eastAsia" w:ascii="宋体" w:hAnsi="宋体" w:eastAsia="宋体" w:cs="宋体"/>
          <w:kern w:val="0"/>
          <w:sz w:val="22"/>
          <w:highlight w:val="none"/>
          <w:u w:val="single"/>
        </w:rPr>
        <w:t>内容及要求”中的主要技术指标</w:t>
      </w:r>
      <w:r>
        <w:rPr>
          <w:rFonts w:hint="eastAsia" w:ascii="宋体" w:hAnsi="宋体" w:eastAsia="宋体" w:cs="宋体"/>
          <w:bCs/>
          <w:sz w:val="22"/>
          <w:highlight w:val="none"/>
          <w:u w:val="single"/>
        </w:rPr>
        <w:t>，对服务质量产生重大影响</w:t>
      </w:r>
      <w:r>
        <w:rPr>
          <w:rFonts w:hint="eastAsia" w:ascii="宋体" w:hAnsi="宋体" w:eastAsia="宋体" w:cs="宋体"/>
          <w:kern w:val="0"/>
          <w:sz w:val="22"/>
          <w:highlight w:val="none"/>
          <w:u w:val="single"/>
        </w:rPr>
        <w:t>的投标文件；</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3）除22.4条款以外，出现投标项目服务工作量与采购文件对比出现较大偏差；商务报价明细表计算错误，出现较大差错；</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4）除22.4条款以外，出现其它不符合采购文件中规定的实质性要求的投标文件，是否为偏离实质性要求由评标委员会认定。</w:t>
      </w:r>
    </w:p>
    <w:p>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有下列情形之一的，视为投标供应商串通投标，其投标无效</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1)不同投标供应商的投标文件由同一单位或者个人编制；</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2)不同投标供应商委托同一单位或者个人办理投标事宜；</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3)不同投标供应商的投标文件载明的项目管理成员或者联系人员为同一人；</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4）不同投标供应商的投标文件异常一致或者投标报价呈规律性差异；</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5）不同投标供应商的投标文件相互混装；</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u w:val="single"/>
        </w:rPr>
        <w:t>6）不同投标供应商的投标保证金从同一单位或者个人的账户转出</w:t>
      </w:r>
      <w:r>
        <w:rPr>
          <w:rFonts w:hint="eastAsia" w:ascii="宋体" w:hAnsi="宋体" w:eastAsia="宋体" w:cs="宋体"/>
          <w:kern w:val="0"/>
          <w:sz w:val="22"/>
          <w:highlight w:val="none"/>
        </w:rPr>
        <w:t>。</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 xml:space="preserve"> “技术资信标”评审结束后，由评标委员会对各投标人的商务报价进行核查，核查时发现投标报价内容不清楚可要求投标人书面澄清，计算上的错误，可按下面方法修正：</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投标文件中开标一览表(报价表)内容与投标文件中相应内容不一致的，以开标一览表(报价表)为准；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大写金额和小写金额不一致的，以大写金额为准；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单价金额小数点或者百分比有明显错位的，以开标一览表的总价为准，并修改单价；</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总价金额与按单价汇总金额不一致的，以单价金额计算结果为准。</w:t>
      </w:r>
    </w:p>
    <w:p>
      <w:pPr>
        <w:tabs>
          <w:tab w:val="left" w:pos="420"/>
          <w:tab w:val="left" w:pos="735"/>
        </w:tabs>
        <w:ind w:left="420"/>
        <w:rPr>
          <w:rFonts w:hint="eastAsia" w:ascii="宋体" w:hAnsi="宋体" w:eastAsia="宋体" w:cs="宋体"/>
          <w:sz w:val="22"/>
          <w:highlight w:val="none"/>
        </w:rPr>
      </w:pPr>
      <w:r>
        <w:rPr>
          <w:rFonts w:hint="eastAsia" w:ascii="宋体" w:hAnsi="宋体" w:eastAsia="宋体" w:cs="宋体"/>
          <w:sz w:val="22"/>
          <w:highlight w:val="none"/>
        </w:rPr>
        <w:t>同时出现两种以上不一致的，按照前款规定的顺序修正（前款优先顺序为1）→2）→3）→4））。</w:t>
      </w:r>
    </w:p>
    <w:p>
      <w:pPr>
        <w:tabs>
          <w:tab w:val="left" w:pos="735"/>
        </w:tabs>
        <w:ind w:left="420"/>
        <w:rPr>
          <w:rFonts w:hint="eastAsia" w:ascii="宋体" w:hAnsi="宋体" w:eastAsia="宋体" w:cs="宋体"/>
          <w:sz w:val="22"/>
          <w:highlight w:val="none"/>
          <w:u w:val="single"/>
        </w:rPr>
      </w:pPr>
      <w:r>
        <w:rPr>
          <w:rFonts w:hint="eastAsia" w:ascii="宋体" w:hAnsi="宋体" w:eastAsia="宋体" w:cs="宋体"/>
          <w:kern w:val="0"/>
          <w:sz w:val="22"/>
          <w:highlight w:val="none"/>
          <w:u w:val="single"/>
        </w:rPr>
        <w:t>▲</w:t>
      </w:r>
      <w:r>
        <w:rPr>
          <w:rFonts w:hint="eastAsia" w:ascii="宋体" w:hAnsi="宋体" w:eastAsia="宋体" w:cs="宋体"/>
          <w:b/>
          <w:bCs/>
          <w:sz w:val="22"/>
          <w:highlight w:val="none"/>
          <w:u w:val="single"/>
        </w:rPr>
        <w:t>修正后的报价按照本投标须知第23.1条的规定经投标人确认后产生约束力，投标人不确认的，其投标无效。</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highlight w:val="none"/>
        </w:rPr>
        <w:t>评标委员会决定投标的响应性只根据投标文件本身的内容，而不寻求外部的证据。</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实质上没有响应采购文件要求的投标将被拒绝，投标人不得通过修正或撤消不合要求的偏离或保留从而使其投标成为实质上响应的投标。</w:t>
      </w:r>
    </w:p>
    <w:p>
      <w:pPr>
        <w:numPr>
          <w:ilvl w:val="1"/>
          <w:numId w:val="12"/>
        </w:numPr>
        <w:tabs>
          <w:tab w:val="left" w:pos="525"/>
        </w:tabs>
        <w:ind w:left="525" w:hanging="525"/>
        <w:rPr>
          <w:rFonts w:hint="eastAsia" w:ascii="宋体" w:hAnsi="宋体" w:eastAsia="宋体" w:cs="宋体"/>
          <w:szCs w:val="24"/>
          <w:highlight w:val="none"/>
        </w:rPr>
      </w:pPr>
      <w:r>
        <w:rPr>
          <w:rFonts w:hint="eastAsia" w:ascii="宋体" w:hAnsi="宋体" w:eastAsia="宋体" w:cs="宋体"/>
          <w:kern w:val="0"/>
          <w:sz w:val="22"/>
          <w:highlight w:val="none"/>
        </w:rPr>
        <w:t>▲</w:t>
      </w:r>
      <w:r>
        <w:rPr>
          <w:rFonts w:hint="eastAsia" w:ascii="宋体" w:hAnsi="宋体" w:eastAsia="宋体" w:cs="宋体"/>
          <w:b/>
          <w:bCs/>
          <w:kern w:val="0"/>
          <w:sz w:val="22"/>
          <w:highlight w:val="none"/>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highlight w:val="none"/>
        </w:rPr>
        <w:t>。</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评标委员会对审查合格的投标文件按照采购文件中制订的评标方法进行综合评定打分。</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评标过程中遇到特殊情况，由评标委员会遵循公开、公正原则，采取投票方式按照少数服从多数原则决定。</w:t>
      </w:r>
    </w:p>
    <w:p>
      <w:pPr>
        <w:numPr>
          <w:ilvl w:val="1"/>
          <w:numId w:val="12"/>
        </w:numPr>
        <w:tabs>
          <w:tab w:val="left" w:pos="525"/>
        </w:tabs>
        <w:ind w:left="525" w:hanging="525"/>
        <w:rPr>
          <w:rFonts w:hint="eastAsia" w:ascii="宋体" w:hAnsi="宋体" w:eastAsia="宋体" w:cs="宋体"/>
          <w:b/>
          <w:bCs/>
          <w:sz w:val="22"/>
          <w:highlight w:val="none"/>
          <w:u w:val="single"/>
          <w:shd w:val="clear" w:color="auto" w:fill="FFFF00"/>
        </w:rPr>
      </w:pPr>
      <w:r>
        <w:rPr>
          <w:rFonts w:hint="eastAsia" w:ascii="宋体" w:hAnsi="宋体" w:eastAsia="宋体" w:cs="宋体"/>
          <w:b/>
          <w:bCs/>
          <w:sz w:val="22"/>
          <w:highlight w:val="none"/>
          <w:u w:val="single"/>
        </w:rPr>
        <w:t>▲如果供应商的报价超出</w:t>
      </w:r>
      <w:r>
        <w:rPr>
          <w:rFonts w:hint="eastAsia" w:ascii="宋体" w:hAnsi="宋体" w:eastAsia="宋体" w:cs="宋体"/>
          <w:b/>
          <w:bCs/>
          <w:sz w:val="22"/>
          <w:highlight w:val="none"/>
          <w:u w:val="single"/>
          <w:lang w:eastAsia="zh-CN"/>
        </w:rPr>
        <w:t>采购预算</w:t>
      </w:r>
      <w:r>
        <w:rPr>
          <w:rFonts w:hint="eastAsia" w:ascii="宋体" w:hAnsi="宋体" w:eastAsia="宋体" w:cs="宋体"/>
          <w:b/>
          <w:bCs/>
          <w:sz w:val="22"/>
          <w:highlight w:val="none"/>
          <w:u w:val="single"/>
        </w:rPr>
        <w:t>，则该供应商的报价作无效标处理。本次采购如果所有供应商的报价均超出</w:t>
      </w:r>
      <w:r>
        <w:rPr>
          <w:rFonts w:hint="eastAsia" w:ascii="宋体" w:hAnsi="宋体" w:eastAsia="宋体" w:cs="宋体"/>
          <w:b/>
          <w:bCs/>
          <w:sz w:val="22"/>
          <w:highlight w:val="none"/>
          <w:u w:val="single"/>
          <w:lang w:eastAsia="zh-CN"/>
        </w:rPr>
        <w:t>采购预算</w:t>
      </w:r>
      <w:r>
        <w:rPr>
          <w:rFonts w:hint="eastAsia" w:ascii="宋体" w:hAnsi="宋体" w:eastAsia="宋体" w:cs="宋体"/>
          <w:b/>
          <w:bCs/>
          <w:sz w:val="22"/>
          <w:highlight w:val="none"/>
          <w:u w:val="single"/>
        </w:rPr>
        <w:t>，则本采购项目做废标处理。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投标文件的澄清</w:t>
      </w:r>
    </w:p>
    <w:p>
      <w:pPr>
        <w:numPr>
          <w:ilvl w:val="1"/>
          <w:numId w:val="17"/>
        </w:numPr>
        <w:tabs>
          <w:tab w:val="left" w:pos="420"/>
          <w:tab w:val="left" w:pos="450"/>
        </w:tabs>
        <w:ind w:left="525" w:hanging="525"/>
        <w:rPr>
          <w:rFonts w:hint="eastAsia" w:ascii="宋体" w:hAnsi="宋体" w:eastAsia="宋体" w:cs="宋体"/>
          <w:sz w:val="22"/>
          <w:highlight w:val="none"/>
          <w:u w:val="single"/>
        </w:rPr>
      </w:pPr>
      <w:r>
        <w:rPr>
          <w:rFonts w:hint="eastAsia" w:ascii="宋体" w:hAnsi="宋体" w:eastAsia="宋体" w:cs="宋体"/>
          <w:sz w:val="22"/>
          <w:highlight w:val="none"/>
        </w:rPr>
        <w:t xml:space="preserve"> 在评标期间，评标委员会可以书面方式要求投标人对投标文件中含义不明确、对同类问题表述不一致或者有明显文字和计算错误的内容作必要的澄清、说明或补正。澄清、说明或补正应以书面形式并由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r>
        <w:rPr>
          <w:rFonts w:hint="eastAsia" w:ascii="宋体" w:hAnsi="宋体" w:eastAsia="宋体" w:cs="宋体"/>
          <w:sz w:val="22"/>
          <w:highlight w:val="none"/>
          <w:u w:val="none"/>
        </w:rPr>
        <w:t>。</w:t>
      </w:r>
      <w:r>
        <w:rPr>
          <w:rFonts w:hint="eastAsia" w:ascii="宋体" w:hAnsi="宋体" w:eastAsia="宋体" w:cs="宋体"/>
          <w:b/>
          <w:bCs/>
          <w:sz w:val="22"/>
          <w:highlight w:val="none"/>
          <w:u w:val="single"/>
        </w:rPr>
        <w:t>▲拒不按要求对其投标文件进行澄清，说明或补正的投标人，评标委员会将其作无效标处理</w:t>
      </w:r>
      <w:r>
        <w:rPr>
          <w:rFonts w:hint="eastAsia" w:ascii="宋体" w:hAnsi="宋体" w:eastAsia="宋体" w:cs="宋体"/>
          <w:sz w:val="22"/>
          <w:highlight w:val="none"/>
          <w:u w:val="single"/>
        </w:rPr>
        <w:t>。</w:t>
      </w:r>
    </w:p>
    <w:p>
      <w:pPr>
        <w:numPr>
          <w:ilvl w:val="1"/>
          <w:numId w:val="17"/>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b/>
          <w:bCs/>
          <w:sz w:val="22"/>
          <w:highlight w:val="none"/>
          <w:u w:val="single"/>
        </w:rPr>
        <w:t>▲经澄清后，若偏差仍存在，且不可接受，</w:t>
      </w:r>
      <w:r>
        <w:rPr>
          <w:rFonts w:hint="eastAsia" w:ascii="宋体" w:hAnsi="宋体" w:eastAsia="宋体" w:cs="宋体"/>
          <w:b/>
          <w:bCs/>
          <w:sz w:val="22"/>
          <w:highlight w:val="none"/>
          <w:u w:val="single"/>
          <w:lang w:val="en-US" w:eastAsia="zh-CN"/>
        </w:rPr>
        <w:t>投标人则被认为是</w:t>
      </w:r>
      <w:r>
        <w:rPr>
          <w:rFonts w:hint="eastAsia" w:ascii="宋体" w:hAnsi="宋体" w:eastAsia="宋体" w:cs="宋体"/>
          <w:b/>
          <w:bCs/>
          <w:sz w:val="22"/>
          <w:highlight w:val="none"/>
          <w:u w:val="single"/>
        </w:rPr>
        <w:t>“没有实质性响应采购文件要求”，其投标</w:t>
      </w:r>
      <w:r>
        <w:rPr>
          <w:rFonts w:hint="eastAsia" w:ascii="宋体" w:hAnsi="宋体" w:eastAsia="宋体" w:cs="宋体"/>
          <w:b/>
          <w:bCs/>
          <w:sz w:val="22"/>
          <w:highlight w:val="none"/>
          <w:u w:val="single"/>
          <w:lang w:val="en-US" w:eastAsia="zh-CN"/>
        </w:rPr>
        <w:t>将作无效标处理</w:t>
      </w:r>
      <w:r>
        <w:rPr>
          <w:rFonts w:hint="eastAsia" w:ascii="宋体" w:hAnsi="宋体" w:eastAsia="宋体" w:cs="宋体"/>
          <w:sz w:val="22"/>
          <w:highlight w:val="none"/>
          <w:u w:val="singl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确定中标候选人</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本次采购由评标委员会推荐中标候选人，采购人根据评标委员会的推荐结果进行最终确认。</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采购人将把中标通知书授予最佳投标者，最低报价不是中标的保证。</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采购单位对决标结果不做任何解释。</w:t>
      </w:r>
    </w:p>
    <w:p>
      <w:pPr>
        <w:numPr>
          <w:ilvl w:val="0"/>
          <w:numId w:val="3"/>
        </w:numPr>
        <w:tabs>
          <w:tab w:val="left" w:pos="525"/>
          <w:tab w:val="left" w:pos="900"/>
        </w:tabs>
        <w:ind w:left="525" w:hanging="525"/>
        <w:rPr>
          <w:rFonts w:hint="eastAsia" w:ascii="宋体" w:hAnsi="宋体" w:eastAsia="宋体" w:cs="宋体"/>
          <w:b/>
          <w:szCs w:val="21"/>
          <w:highlight w:val="none"/>
        </w:rPr>
      </w:pPr>
      <w:r>
        <w:rPr>
          <w:rFonts w:hint="eastAsia" w:ascii="宋体" w:hAnsi="宋体" w:eastAsia="宋体" w:cs="宋体"/>
          <w:b/>
          <w:szCs w:val="21"/>
          <w:highlight w:val="none"/>
        </w:rPr>
        <w:t>重新采购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如本项目第一次采购因有效投标人数量不足3家作废标处理，根据《温州市市属国有企业采购管理办法（试行）的通知》相关条款规定，采购人将重新组织采购。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属于国有企业自主采购项目，如重新采购后，在投标截止时间止及评审期间，出现有效供应商不足三家的情形，采购人可根据实际情况决定本项目继续按原有采购方式继续进行采购活动或转变采购方式或流标。</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评标细则详见本采购文件《评标原则及方法》。</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未尽事宜遵循相关法律法规及规范性文件执行。</w:t>
      </w:r>
    </w:p>
    <w:p>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六、 授予合同</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numPr>
          <w:ilvl w:val="0"/>
          <w:numId w:val="3"/>
        </w:numPr>
        <w:tabs>
          <w:tab w:val="left" w:pos="540"/>
          <w:tab w:val="left" w:pos="90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确定中标供应商</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采购</w:t>
      </w:r>
      <w:r>
        <w:rPr>
          <w:rFonts w:hint="eastAsia" w:ascii="宋体" w:hAnsi="宋体" w:eastAsia="宋体" w:cs="宋体"/>
          <w:bCs/>
          <w:sz w:val="22"/>
          <w:highlight w:val="none"/>
        </w:rPr>
        <w:t>人自收到评标报告之日起5个工作日内，在评标报告确定的中标候选人名单中按顺序确定中标供应商。</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中标</w:t>
      </w:r>
      <w:r>
        <w:rPr>
          <w:rFonts w:hint="eastAsia" w:ascii="宋体" w:hAnsi="宋体" w:eastAsia="宋体" w:cs="宋体"/>
          <w:bCs/>
          <w:sz w:val="22"/>
          <w:highlight w:val="none"/>
        </w:rPr>
        <w:t>供应商确定之日起2个工作日内，在</w:t>
      </w:r>
      <w:r>
        <w:rPr>
          <w:rFonts w:hint="eastAsia" w:ascii="宋体" w:hAnsi="宋体" w:eastAsia="宋体" w:cs="宋体"/>
          <w:sz w:val="22"/>
          <w:highlight w:val="none"/>
        </w:rPr>
        <w:t>发布项目采购公告的网站上</w:t>
      </w:r>
      <w:r>
        <w:rPr>
          <w:rFonts w:hint="eastAsia" w:ascii="宋体" w:hAnsi="宋体" w:eastAsia="宋体" w:cs="宋体"/>
          <w:bCs/>
          <w:sz w:val="22"/>
          <w:highlight w:val="none"/>
        </w:rPr>
        <w:t>公告中标结果，中标公告期限为1个工作日。</w:t>
      </w:r>
    </w:p>
    <w:p>
      <w:pPr>
        <w:numPr>
          <w:ilvl w:val="1"/>
          <w:numId w:val="19"/>
        </w:numPr>
        <w:tabs>
          <w:tab w:val="left" w:pos="540"/>
        </w:tabs>
        <w:rPr>
          <w:rFonts w:hint="eastAsia" w:ascii="宋体" w:hAnsi="宋体" w:eastAsia="宋体" w:cs="宋体"/>
          <w:b/>
          <w:bCs/>
          <w:szCs w:val="24"/>
          <w:highlight w:val="none"/>
          <w:u w:val="single"/>
        </w:rPr>
      </w:pPr>
      <w:r>
        <w:rPr>
          <w:rFonts w:hint="eastAsia" w:ascii="宋体" w:hAnsi="宋体" w:eastAsia="宋体" w:cs="宋体"/>
          <w:b/>
          <w:bCs/>
          <w:sz w:val="22"/>
          <w:highlight w:val="none"/>
          <w:u w:val="single"/>
        </w:rPr>
        <w:t>各投标供应商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温州市交通发展集团有限公司纪检监察室投诉。</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签订合同</w:t>
      </w:r>
    </w:p>
    <w:p>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公告期结束后，中标投标供应商须在5个工作日内主动联系采购人或采购机构领取中标通知书。中标投标供应商应当在收到中标通知书之日起30日内与采购人签订合同。中标投标供应商未经采购人许可，在规定时间内未到采购人处与采购人签订合同，则视为拒签合同。</w:t>
      </w:r>
    </w:p>
    <w:p>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采购文件、中标投标供应商的投标文件及投标修改文件、评标过程中有关澄清文件及经双方签字的询标纪要（承诺）和中标通知书均作为合同附件。</w:t>
      </w:r>
    </w:p>
    <w:p>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拒签合同的责任</w:t>
      </w:r>
    </w:p>
    <w:p>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Cs/>
          <w:sz w:val="22"/>
          <w:szCs w:val="22"/>
          <w:highlight w:val="none"/>
        </w:rPr>
        <w:t>中标投标供应商在规定时间内（30日历天）借故否认已经承诺的条件、拒签合同，以投标违约处理，其投标保证金不予退回，并赔偿采购人由此造成的直接经济损失；采购人重</w:t>
      </w:r>
      <w:r>
        <w:rPr>
          <w:rFonts w:hint="eastAsia" w:ascii="宋体" w:hAnsi="宋体" w:eastAsia="宋体" w:cs="宋体"/>
          <w:b w:val="0"/>
          <w:bCs/>
          <w:sz w:val="22"/>
          <w:szCs w:val="22"/>
          <w:highlight w:val="none"/>
        </w:rPr>
        <w:t>新组织采购的，所需费用由原中标投标供应商承担。</w:t>
      </w:r>
    </w:p>
    <w:p>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中标人在收到中标通知书后，须按投标须知前附表的规定向采购人提交履约担保。</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履约担保用于补偿采购人因中标人不能履行其合同义务而蒙受的损失。</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履约担保自合同签订之日起至项目验收合格止有效。有效期满后，采购人应及时将履约保证金无息退还给中标人。</w:t>
      </w:r>
    </w:p>
    <w:p>
      <w:pPr>
        <w:numPr>
          <w:ilvl w:val="0"/>
          <w:numId w:val="3"/>
        </w:numPr>
        <w:tabs>
          <w:tab w:val="left" w:pos="540"/>
          <w:tab w:val="left" w:pos="900"/>
        </w:tabs>
        <w:ind w:left="525" w:hanging="525"/>
        <w:rPr>
          <w:rFonts w:hint="eastAsia" w:ascii="宋体" w:hAnsi="宋体" w:eastAsia="宋体" w:cs="宋体"/>
          <w:b w:val="0"/>
          <w:bCs/>
          <w:sz w:val="22"/>
          <w:szCs w:val="22"/>
          <w:highlight w:val="none"/>
          <w:shd w:val="clear" w:color="auto" w:fill="FFFF00"/>
        </w:rPr>
      </w:pPr>
      <w:r>
        <w:rPr>
          <w:rFonts w:hint="eastAsia" w:ascii="宋体" w:hAnsi="宋体" w:eastAsia="宋体" w:cs="宋体"/>
          <w:b w:val="0"/>
          <w:bCs/>
          <w:sz w:val="22"/>
          <w:szCs w:val="22"/>
          <w:highlight w:val="none"/>
        </w:rPr>
        <w:t>采购代理服务费</w:t>
      </w:r>
    </w:p>
    <w:p>
      <w:pPr>
        <w:tabs>
          <w:tab w:val="left" w:pos="2800"/>
        </w:tabs>
        <w:autoSpaceDE w:val="0"/>
        <w:autoSpaceDN w:val="0"/>
        <w:ind w:firstLine="440" w:firstLineChars="200"/>
        <w:jc w:val="left"/>
        <w:rPr>
          <w:rFonts w:hint="eastAsia" w:ascii="宋体" w:hAnsi="宋体" w:eastAsia="宋体" w:cs="宋体"/>
          <w:b w:val="0"/>
          <w:bCs/>
          <w:sz w:val="22"/>
          <w:szCs w:val="22"/>
          <w:highlight w:val="none"/>
        </w:rPr>
      </w:pPr>
      <w:bookmarkStart w:id="158" w:name="_Toc216667826"/>
      <w:bookmarkStart w:id="159" w:name="_Toc215415536"/>
      <w:bookmarkStart w:id="160" w:name="_Toc227489893"/>
      <w:bookmarkStart w:id="161" w:name="_Toc217460691"/>
      <w:bookmarkStart w:id="162" w:name="_Toc223717610"/>
      <w:bookmarkStart w:id="163" w:name="_Toc223933227"/>
      <w:bookmarkStart w:id="164" w:name="_Toc227056852"/>
      <w:bookmarkStart w:id="165" w:name="_Toc227057039"/>
      <w:bookmarkStart w:id="166" w:name="_Toc219538619"/>
      <w:bookmarkStart w:id="167" w:name="_Toc218041732"/>
      <w:r>
        <w:rPr>
          <w:rFonts w:hint="eastAsia" w:ascii="宋体" w:hAnsi="宋体" w:eastAsia="宋体" w:cs="宋体"/>
          <w:b w:val="0"/>
          <w:bCs/>
          <w:sz w:val="22"/>
          <w:szCs w:val="22"/>
          <w:highlight w:val="none"/>
        </w:rPr>
        <w:t>本次</w:t>
      </w:r>
      <w:r>
        <w:rPr>
          <w:rFonts w:hint="eastAsia" w:ascii="宋体" w:hAnsi="宋体" w:eastAsia="宋体" w:cs="宋体"/>
          <w:b w:val="0"/>
          <w:bCs/>
          <w:sz w:val="22"/>
          <w:szCs w:val="22"/>
          <w:highlight w:val="none"/>
          <w:lang w:val="en-US" w:eastAsia="zh-CN"/>
        </w:rPr>
        <w:t>采购</w:t>
      </w:r>
      <w:r>
        <w:rPr>
          <w:rFonts w:hint="eastAsia" w:ascii="宋体" w:hAnsi="宋体" w:eastAsia="宋体" w:cs="宋体"/>
          <w:b w:val="0"/>
          <w:bCs/>
          <w:sz w:val="22"/>
          <w:szCs w:val="22"/>
          <w:highlight w:val="none"/>
        </w:rPr>
        <w:t>代理服务费按固定金额</w:t>
      </w:r>
      <w:r>
        <w:rPr>
          <w:rFonts w:hint="eastAsia" w:ascii="宋体" w:hAnsi="宋体" w:eastAsia="宋体" w:cs="宋体"/>
          <w:b w:val="0"/>
          <w:bCs/>
          <w:sz w:val="22"/>
          <w:szCs w:val="22"/>
          <w:highlight w:val="none"/>
          <w:lang w:val="en-US" w:eastAsia="zh-CN"/>
        </w:rPr>
        <w:t>捌仟元整（¥8</w:t>
      </w:r>
      <w:r>
        <w:rPr>
          <w:rFonts w:hint="eastAsia" w:ascii="宋体" w:hAnsi="宋体" w:eastAsia="宋体" w:cs="宋体"/>
          <w:b w:val="0"/>
          <w:bCs/>
          <w:sz w:val="22"/>
          <w:szCs w:val="22"/>
          <w:highlight w:val="none"/>
        </w:rPr>
        <w:t>000.00元</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计取，在领取中标通知书前支付给采购代理机构，采购代理服务费包含在投标总价中（报价不需要单列）</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代理服务费汇入以下账号：</w:t>
      </w:r>
    </w:p>
    <w:p>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开户银行：工商银行杭州市武林支行</w:t>
      </w:r>
    </w:p>
    <w:p>
      <w:pPr>
        <w:ind w:left="538" w:leftChars="256" w:firstLine="440" w:firstLineChars="200"/>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开户名称：</w:t>
      </w:r>
      <w:r>
        <w:rPr>
          <w:rFonts w:hint="eastAsia" w:ascii="宋体" w:hAnsi="宋体" w:eastAsia="宋体" w:cs="宋体"/>
          <w:b w:val="0"/>
          <w:bCs/>
          <w:sz w:val="22"/>
          <w:szCs w:val="22"/>
          <w:highlight w:val="none"/>
          <w:lang w:eastAsia="zh-CN"/>
        </w:rPr>
        <w:t>浙江国际招投标有限公司</w:t>
      </w:r>
    </w:p>
    <w:p>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开户账号：1202021209906782015</w:t>
      </w:r>
    </w:p>
    <w:p>
      <w:pPr>
        <w:ind w:left="538" w:leftChars="256"/>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采购代理服务费可以是现金、支票或汇票。</w:t>
      </w:r>
    </w:p>
    <w:p>
      <w:pPr>
        <w:numPr>
          <w:ilvl w:val="0"/>
          <w:numId w:val="3"/>
        </w:numPr>
        <w:tabs>
          <w:tab w:val="left" w:pos="540"/>
          <w:tab w:val="left" w:pos="900"/>
        </w:tabs>
        <w:ind w:left="525" w:hanging="525"/>
        <w:rPr>
          <w:rFonts w:hint="eastAsia" w:ascii="宋体" w:hAnsi="宋体" w:eastAsia="宋体" w:cs="宋体"/>
          <w:b/>
          <w:sz w:val="22"/>
          <w:highlight w:val="none"/>
        </w:rPr>
      </w:pPr>
      <w:r>
        <w:rPr>
          <w:rFonts w:hint="eastAsia" w:ascii="宋体" w:hAnsi="宋体" w:eastAsia="宋体" w:cs="宋体"/>
          <w:b/>
          <w:sz w:val="22"/>
          <w:highlight w:val="none"/>
          <w:lang w:val="en-US" w:eastAsia="zh-CN"/>
        </w:rPr>
        <w:t>乐采云技术服务费：</w:t>
      </w:r>
    </w:p>
    <w:p>
      <w:pPr>
        <w:keepNext w:val="0"/>
        <w:keepLines w:val="0"/>
        <w:pageBreakBefore w:val="0"/>
        <w:widowControl w:val="0"/>
        <w:numPr>
          <w:ilvl w:val="-1"/>
          <w:numId w:val="0"/>
        </w:numPr>
        <w:tabs>
          <w:tab w:val="left" w:pos="540"/>
          <w:tab w:val="left" w:pos="900"/>
        </w:tabs>
        <w:kinsoku/>
        <w:wordWrap w:val="0"/>
        <w:overflowPunct/>
        <w:topLinePunct w:val="0"/>
        <w:autoSpaceDE/>
        <w:autoSpaceDN/>
        <w:bidi w:val="0"/>
        <w:adjustRightInd/>
        <w:snapToGrid/>
        <w:ind w:left="0" w:firstLine="442" w:firstLineChars="200"/>
        <w:textAlignment w:val="auto"/>
        <w:rPr>
          <w:rFonts w:hint="eastAsia" w:ascii="宋体" w:hAnsi="宋体" w:eastAsia="宋体" w:cs="宋体"/>
          <w:sz w:val="22"/>
          <w:szCs w:val="22"/>
          <w:highlight w:val="none"/>
        </w:rPr>
      </w:pPr>
      <w:r>
        <w:rPr>
          <w:rFonts w:hint="eastAsia" w:ascii="宋体" w:hAnsi="宋体" w:eastAsia="宋体" w:cs="宋体"/>
          <w:b/>
          <w:color w:val="auto"/>
          <w:sz w:val="22"/>
          <w:highlight w:val="none"/>
        </w:rPr>
        <w:t>根据乐采云（https://www.lecaiyun.com/helpcenter/document#/document/detail?siteCode=lecaiyun&amp;manualId=2061&amp;topicId=8625）2023年9月6日发布的乐采云国企采购平台项目采购收费标准（温州市市属国企区）规定</w:t>
      </w:r>
      <w:r>
        <w:rPr>
          <w:rFonts w:hint="eastAsia" w:ascii="宋体" w:hAnsi="宋体" w:eastAsia="宋体" w:cs="宋体"/>
          <w:b/>
          <w:color w:val="auto"/>
          <w:sz w:val="22"/>
          <w:highlight w:val="none"/>
          <w:lang w:eastAsia="zh-CN"/>
        </w:rPr>
        <w:t>，乐采云技术服务费</w:t>
      </w:r>
      <w:r>
        <w:rPr>
          <w:rFonts w:hint="eastAsia" w:ascii="宋体" w:hAnsi="宋体" w:eastAsia="宋体" w:cs="宋体"/>
          <w:b/>
          <w:color w:val="auto"/>
          <w:sz w:val="22"/>
          <w:highlight w:val="none"/>
          <w:lang w:val="en-US" w:eastAsia="zh-CN"/>
        </w:rPr>
        <w:t>收费标准为</w:t>
      </w:r>
      <w:r>
        <w:rPr>
          <w:rFonts w:hint="eastAsia" w:ascii="宋体" w:hAnsi="宋体" w:eastAsia="宋体" w:cs="宋体"/>
          <w:b/>
          <w:color w:val="auto"/>
          <w:sz w:val="22"/>
          <w:highlight w:val="none"/>
          <w:lang w:eastAsia="zh-CN"/>
        </w:rPr>
        <w:t>：</w:t>
      </w:r>
    </w:p>
    <w:p>
      <w:pPr>
        <w:keepNext w:val="0"/>
        <w:keepLines w:val="0"/>
        <w:pageBreakBefore w:val="0"/>
        <w:widowControl w:val="0"/>
        <w:numPr>
          <w:ilvl w:val="0"/>
          <w:numId w:val="22"/>
        </w:numPr>
        <w:tabs>
          <w:tab w:val="left" w:pos="540"/>
          <w:tab w:val="left" w:pos="900"/>
        </w:tabs>
        <w:kinsoku/>
        <w:wordWrap w:val="0"/>
        <w:overflowPunct/>
        <w:topLinePunct w:val="0"/>
        <w:autoSpaceDE/>
        <w:autoSpaceDN/>
        <w:bidi w:val="0"/>
        <w:adjustRightInd/>
        <w:snapToGrid/>
        <w:ind w:leftChars="200"/>
        <w:textAlignment w:val="auto"/>
        <w:rPr>
          <w:rFonts w:hint="eastAsia" w:ascii="宋体" w:hAnsi="宋体" w:eastAsia="宋体" w:cs="宋体"/>
          <w:b/>
          <w:sz w:val="22"/>
          <w:highlight w:val="none"/>
          <w:lang w:val="en-US" w:eastAsia="zh-CN"/>
        </w:rPr>
      </w:pPr>
      <w:r>
        <w:rPr>
          <w:rFonts w:hint="eastAsia" w:ascii="宋体" w:hAnsi="宋体" w:eastAsia="宋体" w:cs="宋体"/>
          <w:b/>
          <w:sz w:val="22"/>
          <w:highlight w:val="none"/>
        </w:rPr>
        <w:t>不涉及具体金额的采购项目，技术服务费800元/件</w:t>
      </w:r>
      <w:r>
        <w:rPr>
          <w:rFonts w:hint="eastAsia" w:ascii="宋体" w:hAnsi="宋体" w:eastAsia="宋体" w:cs="宋体"/>
          <w:b/>
          <w:sz w:val="22"/>
          <w:highlight w:val="none"/>
          <w:lang w:val="en-US" w:eastAsia="zh-CN"/>
        </w:rPr>
        <w:t>；</w:t>
      </w:r>
    </w:p>
    <w:p>
      <w:pPr>
        <w:keepNext w:val="0"/>
        <w:keepLines w:val="0"/>
        <w:pageBreakBefore w:val="0"/>
        <w:widowControl w:val="0"/>
        <w:numPr>
          <w:ilvl w:val="0"/>
          <w:numId w:val="22"/>
        </w:numPr>
        <w:tabs>
          <w:tab w:val="left" w:pos="540"/>
          <w:tab w:val="left" w:pos="900"/>
        </w:tabs>
        <w:kinsoku/>
        <w:wordWrap w:val="0"/>
        <w:overflowPunct/>
        <w:topLinePunct w:val="0"/>
        <w:autoSpaceDE/>
        <w:autoSpaceDN/>
        <w:bidi w:val="0"/>
        <w:adjustRightInd/>
        <w:snapToGrid/>
        <w:ind w:leftChars="200"/>
        <w:textAlignment w:val="auto"/>
        <w:rPr>
          <w:rFonts w:hint="eastAsia" w:ascii="宋体" w:hAnsi="宋体" w:eastAsia="宋体" w:cs="宋体"/>
          <w:b/>
          <w:sz w:val="22"/>
          <w:highlight w:val="none"/>
        </w:rPr>
      </w:pPr>
      <w:r>
        <w:rPr>
          <w:rFonts w:hint="eastAsia" w:ascii="宋体" w:hAnsi="宋体" w:eastAsia="宋体" w:cs="宋体"/>
          <w:b/>
          <w:sz w:val="22"/>
          <w:highlight w:val="none"/>
        </w:rPr>
        <w:t>涉及具体金额的采购项目，根据标的额，按照以下比例收取技术服务费</w:t>
      </w:r>
      <w:r>
        <w:rPr>
          <w:rFonts w:hint="eastAsia" w:ascii="宋体" w:hAnsi="宋体" w:eastAsia="宋体" w:cs="宋体"/>
          <w:b/>
          <w:sz w:val="22"/>
          <w:highlight w:val="none"/>
          <w:lang w:eastAsia="zh-CN"/>
        </w:rPr>
        <w:t>：</w:t>
      </w:r>
    </w:p>
    <w:p>
      <w:pPr>
        <w:keepNext w:val="0"/>
        <w:keepLines w:val="0"/>
        <w:pageBreakBefore w:val="0"/>
        <w:widowControl w:val="0"/>
        <w:numPr>
          <w:ilvl w:val="0"/>
          <w:numId w:val="23"/>
        </w:numPr>
        <w:tabs>
          <w:tab w:val="left" w:pos="540"/>
          <w:tab w:val="left" w:pos="900"/>
        </w:tabs>
        <w:kinsoku/>
        <w:wordWrap w:val="0"/>
        <w:overflowPunct/>
        <w:topLinePunct w:val="0"/>
        <w:autoSpaceDE/>
        <w:autoSpaceDN/>
        <w:bidi w:val="0"/>
        <w:adjustRightInd/>
        <w:snapToGrid/>
        <w:ind w:leftChars="0" w:firstLine="442" w:firstLineChars="200"/>
        <w:textAlignment w:val="auto"/>
        <w:rPr>
          <w:rFonts w:hint="eastAsia" w:ascii="宋体" w:hAnsi="宋体" w:eastAsia="宋体" w:cs="宋体"/>
          <w:b/>
          <w:sz w:val="22"/>
          <w:highlight w:val="none"/>
        </w:rPr>
      </w:pPr>
      <w:r>
        <w:rPr>
          <w:rFonts w:hint="eastAsia" w:ascii="宋体" w:hAnsi="宋体" w:eastAsia="宋体" w:cs="宋体"/>
          <w:b/>
          <w:sz w:val="22"/>
          <w:highlight w:val="none"/>
        </w:rPr>
        <w:t>中标价80万元以下（含80万元的）：按800元收取；</w:t>
      </w:r>
    </w:p>
    <w:p>
      <w:pPr>
        <w:keepNext w:val="0"/>
        <w:keepLines w:val="0"/>
        <w:pageBreakBefore w:val="0"/>
        <w:widowControl w:val="0"/>
        <w:numPr>
          <w:ilvl w:val="0"/>
          <w:numId w:val="23"/>
        </w:numPr>
        <w:tabs>
          <w:tab w:val="left" w:pos="540"/>
          <w:tab w:val="left" w:pos="900"/>
        </w:tabs>
        <w:kinsoku/>
        <w:wordWrap w:val="0"/>
        <w:overflowPunct/>
        <w:topLinePunct w:val="0"/>
        <w:autoSpaceDE/>
        <w:autoSpaceDN/>
        <w:bidi w:val="0"/>
        <w:adjustRightInd/>
        <w:snapToGrid/>
        <w:ind w:leftChars="0" w:firstLine="442" w:firstLineChars="200"/>
        <w:textAlignment w:val="auto"/>
        <w:rPr>
          <w:rFonts w:hint="eastAsia" w:ascii="宋体" w:hAnsi="宋体" w:eastAsia="宋体" w:cs="宋体"/>
          <w:b/>
          <w:sz w:val="22"/>
          <w:highlight w:val="none"/>
        </w:rPr>
      </w:pPr>
      <w:r>
        <w:rPr>
          <w:rFonts w:hint="eastAsia" w:ascii="宋体" w:hAnsi="宋体" w:eastAsia="宋体" w:cs="宋体"/>
          <w:b/>
          <w:sz w:val="22"/>
          <w:highlight w:val="none"/>
        </w:rPr>
        <w:t>中标价超过80万元的：</w:t>
      </w:r>
      <w:r>
        <w:rPr>
          <w:rFonts w:hint="eastAsia" w:ascii="宋体" w:hAnsi="宋体" w:eastAsia="宋体" w:cs="宋体"/>
          <w:b/>
          <w:sz w:val="22"/>
          <w:highlight w:val="none"/>
          <w:lang w:val="en-US" w:eastAsia="zh-CN"/>
        </w:rPr>
        <w:t>按</w:t>
      </w:r>
      <w:r>
        <w:rPr>
          <w:rFonts w:hint="eastAsia" w:ascii="宋体" w:hAnsi="宋体" w:eastAsia="宋体" w:cs="宋体"/>
          <w:b/>
          <w:sz w:val="22"/>
          <w:highlight w:val="none"/>
        </w:rPr>
        <w:t>中标价的千分之一（0.1%）</w:t>
      </w:r>
      <w:r>
        <w:rPr>
          <w:rFonts w:hint="eastAsia" w:ascii="宋体" w:hAnsi="宋体" w:eastAsia="宋体" w:cs="宋体"/>
          <w:b/>
          <w:sz w:val="22"/>
          <w:highlight w:val="none"/>
          <w:lang w:val="en-US" w:eastAsia="zh-CN"/>
        </w:rPr>
        <w:t>收取</w:t>
      </w:r>
      <w:r>
        <w:rPr>
          <w:rFonts w:hint="eastAsia" w:ascii="宋体" w:hAnsi="宋体" w:eastAsia="宋体" w:cs="宋体"/>
          <w:b/>
          <w:sz w:val="22"/>
          <w:highlight w:val="none"/>
        </w:rPr>
        <w:t>，以30000元封顶。</w:t>
      </w:r>
    </w:p>
    <w:p>
      <w:pPr>
        <w:numPr>
          <w:ilvl w:val="-1"/>
          <w:numId w:val="0"/>
        </w:numPr>
        <w:tabs>
          <w:tab w:val="left" w:pos="540"/>
          <w:tab w:val="left" w:pos="900"/>
        </w:tabs>
        <w:ind w:left="0" w:firstLine="442" w:firstLineChars="200"/>
        <w:rPr>
          <w:rFonts w:hint="eastAsia" w:ascii="宋体" w:hAnsi="宋体" w:eastAsia="宋体" w:cs="宋体"/>
          <w:sz w:val="21"/>
          <w:szCs w:val="21"/>
          <w:highlight w:val="none"/>
        </w:rPr>
      </w:pPr>
      <w:r>
        <w:rPr>
          <w:rFonts w:hint="eastAsia" w:ascii="宋体" w:hAnsi="宋体" w:eastAsia="宋体" w:cs="宋体"/>
          <w:b/>
          <w:color w:val="auto"/>
          <w:sz w:val="22"/>
          <w:highlight w:val="none"/>
        </w:rPr>
        <w:t>由</w:t>
      </w:r>
      <w:r>
        <w:rPr>
          <w:rFonts w:hint="eastAsia" w:ascii="宋体" w:hAnsi="宋体" w:eastAsia="宋体" w:cs="宋体"/>
          <w:b/>
          <w:color w:val="auto"/>
          <w:sz w:val="22"/>
          <w:highlight w:val="none"/>
          <w:lang w:val="en-US" w:eastAsia="zh-CN"/>
        </w:rPr>
        <w:t>成交</w:t>
      </w:r>
      <w:r>
        <w:rPr>
          <w:rFonts w:hint="eastAsia" w:ascii="宋体" w:hAnsi="宋体" w:eastAsia="宋体" w:cs="宋体"/>
          <w:b/>
          <w:color w:val="auto"/>
          <w:sz w:val="22"/>
          <w:highlight w:val="none"/>
        </w:rPr>
        <w:t>供应商于中标</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lang w:val="en-US" w:eastAsia="zh-CN"/>
        </w:rPr>
        <w:t>成交</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结果公示后支付该项目的技术服务费。各供应商投标总报价须包含该乐采云技术服务费。</w:t>
      </w:r>
    </w:p>
    <w:p>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解释权</w:t>
      </w:r>
    </w:p>
    <w:p>
      <w:pPr>
        <w:autoSpaceDE w:val="0"/>
        <w:autoSpaceDN w:val="0"/>
        <w:adjustRightInd w:val="0"/>
        <w:spacing w:after="120"/>
        <w:ind w:firstLine="220" w:firstLineChars="1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采购文件的解释权均属于采购人和浙江国际招投标有限公司。</w:t>
      </w:r>
    </w:p>
    <w:p>
      <w:pPr>
        <w:pStyle w:val="6"/>
        <w:rPr>
          <w:rFonts w:hint="eastAsia"/>
        </w:rPr>
      </w:pPr>
    </w:p>
    <w:p>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七、 质疑与投诉</w:t>
      </w:r>
    </w:p>
    <w:p>
      <w:pPr>
        <w:numPr>
          <w:ilvl w:val="0"/>
          <w:numId w:val="0"/>
        </w:numPr>
        <w:tabs>
          <w:tab w:val="left" w:pos="210"/>
        </w:tabs>
        <w:snapToGrid w:val="0"/>
        <w:spacing w:line="240" w:lineRule="auto"/>
        <w:ind w:left="400" w:left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lang w:val="zh-CN"/>
        </w:rPr>
        <w:t>供应商质疑</w:t>
      </w:r>
    </w:p>
    <w:p>
      <w:pPr>
        <w:numPr>
          <w:ilvl w:val="2"/>
          <w:numId w:val="24"/>
        </w:numPr>
        <w:tabs>
          <w:tab w:val="left" w:pos="21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提出质疑的供应商应当是参与所质疑项目采购活动的供应商。潜在供应商已依法获取其可质疑的采购文件的，可以对该文件提出质疑。</w:t>
      </w:r>
    </w:p>
    <w:p>
      <w:pPr>
        <w:numPr>
          <w:ilvl w:val="2"/>
          <w:numId w:val="24"/>
        </w:numPr>
        <w:tabs>
          <w:tab w:val="left" w:pos="21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供应商认为采购文件、采购过程和中标结果使自己的权益受到损害的，可以在知道或者应知其权益受到损害之日起七个工作日内，以书面形式向采购人或者</w:t>
      </w:r>
      <w:r>
        <w:rPr>
          <w:rFonts w:hint="eastAsia" w:ascii="宋体" w:hAnsi="宋体" w:eastAsia="宋体" w:cs="宋体"/>
          <w:b w:val="0"/>
          <w:bCs/>
          <w:sz w:val="22"/>
          <w:szCs w:val="22"/>
          <w:lang w:val="zh-CN" w:eastAsia="zh-CN"/>
        </w:rPr>
        <w:t>采购代理机构</w:t>
      </w:r>
      <w:r>
        <w:rPr>
          <w:rFonts w:hint="eastAsia" w:ascii="宋体" w:hAnsi="宋体" w:eastAsia="宋体" w:cs="宋体"/>
          <w:b w:val="0"/>
          <w:bCs/>
          <w:sz w:val="22"/>
          <w:szCs w:val="22"/>
          <w:lang w:val="zh-CN"/>
        </w:rPr>
        <w:t>提出质疑，否则，采购人或者</w:t>
      </w:r>
      <w:r>
        <w:rPr>
          <w:rFonts w:hint="eastAsia" w:ascii="宋体" w:hAnsi="宋体" w:eastAsia="宋体" w:cs="宋体"/>
          <w:b w:val="0"/>
          <w:bCs/>
          <w:sz w:val="22"/>
          <w:szCs w:val="22"/>
          <w:lang w:val="zh-CN" w:eastAsia="zh-CN"/>
        </w:rPr>
        <w:t>采购代理机构</w:t>
      </w:r>
      <w:r>
        <w:rPr>
          <w:rFonts w:hint="eastAsia" w:ascii="宋体" w:hAnsi="宋体" w:eastAsia="宋体" w:cs="宋体"/>
          <w:b w:val="0"/>
          <w:bCs/>
          <w:sz w:val="22"/>
          <w:szCs w:val="22"/>
          <w:lang w:val="zh-CN"/>
        </w:rPr>
        <w:t>不予受理：</w:t>
      </w:r>
    </w:p>
    <w:p>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对采购文件提出质疑的，质疑期限为供应商获得采购文件之日或者采购文件公告期限届满之日起计算。</w:t>
      </w:r>
    </w:p>
    <w:p>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对采购过程提出质疑的，质疑期限为各采购程序环节结束之日起计算。</w:t>
      </w:r>
    </w:p>
    <w:p>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对采购结果提出质疑的，质疑期限自采购结果公告期限届满之日起计算。</w:t>
      </w:r>
    </w:p>
    <w:p>
      <w:pPr>
        <w:numPr>
          <w:ilvl w:val="2"/>
          <w:numId w:val="24"/>
        </w:numPr>
        <w:tabs>
          <w:tab w:val="left" w:pos="21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供应商提出质疑应当提交质疑函和必要的证明材料。质疑函应当包括下列内容：</w:t>
      </w:r>
    </w:p>
    <w:p>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供应商的姓名或者名称、地址、邮编、联系人及联系电话；</w:t>
      </w:r>
    </w:p>
    <w:p>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质疑项目的名称、编号；</w:t>
      </w:r>
    </w:p>
    <w:p>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具体、明确的质疑事项和与质疑事项相关的请求；</w:t>
      </w:r>
    </w:p>
    <w:p>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事实依据；</w:t>
      </w:r>
    </w:p>
    <w:p>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必要的法律依据；</w:t>
      </w:r>
    </w:p>
    <w:p>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提出质疑的日期。</w:t>
      </w:r>
    </w:p>
    <w:p>
      <w:pPr>
        <w:numPr>
          <w:ilvl w:val="0"/>
          <w:numId w:val="0"/>
        </w:numPr>
        <w:tabs>
          <w:tab w:val="left" w:pos="210"/>
        </w:tabs>
        <w:snapToGrid w:val="0"/>
        <w:spacing w:line="240" w:lineRule="auto"/>
        <w:ind w:leftChars="0" w:firstLine="440" w:firstLineChars="200"/>
        <w:jc w:val="left"/>
        <w:outlineLvl w:val="2"/>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供应商提交的质疑函需一式三份。供应商为自然人的，应当由本人签字；供应商为法人或者其他组织的，应当由法定代表人、主要负责人，或者其授权代表签字或者盖章，并加盖公章。</w:t>
      </w:r>
    </w:p>
    <w:p>
      <w:pPr>
        <w:numPr>
          <w:ilvl w:val="2"/>
          <w:numId w:val="24"/>
        </w:numPr>
        <w:tabs>
          <w:tab w:val="left" w:pos="210"/>
          <w:tab w:val="left" w:pos="840"/>
        </w:tabs>
        <w:snapToGrid w:val="0"/>
        <w:spacing w:line="240" w:lineRule="auto"/>
        <w:ind w:left="0" w:leftChars="0" w:firstLine="402" w:firstLineChars="0"/>
        <w:jc w:val="left"/>
        <w:outlineLvl w:val="2"/>
        <w:rPr>
          <w:rFonts w:hint="eastAsia" w:ascii="宋体" w:hAnsi="宋体" w:eastAsia="宋体" w:cs="宋体"/>
          <w:b/>
          <w:bCs w:val="0"/>
          <w:strike w:val="0"/>
          <w:dstrike w:val="0"/>
          <w:color w:val="auto"/>
          <w:sz w:val="22"/>
          <w:szCs w:val="22"/>
          <w:highlight w:val="none"/>
          <w:u w:val="single"/>
          <w:lang w:val="zh-CN"/>
        </w:rPr>
      </w:pPr>
      <w:r>
        <w:rPr>
          <w:rFonts w:hint="eastAsia" w:ascii="宋体" w:hAnsi="宋体" w:eastAsia="宋体" w:cs="宋体"/>
          <w:b/>
          <w:bCs w:val="0"/>
          <w:strike w:val="0"/>
          <w:dstrike w:val="0"/>
          <w:color w:val="auto"/>
          <w:sz w:val="22"/>
          <w:szCs w:val="22"/>
          <w:highlight w:val="none"/>
          <w:u w:val="single"/>
          <w:lang w:val="zh-CN"/>
        </w:rPr>
        <w:t>对同一采购程序环节的质疑，供应商须在法定质疑期内一次性提出，已经提出过质疑的投标供应商在质疑期内不能提出新的质疑。</w:t>
      </w:r>
    </w:p>
    <w:p>
      <w:pPr>
        <w:numPr>
          <w:ilvl w:val="2"/>
          <w:numId w:val="24"/>
        </w:numPr>
        <w:tabs>
          <w:tab w:val="left" w:pos="210"/>
          <w:tab w:val="left" w:pos="84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采购人负责供应商质疑答复。采购人委托采购代理机构采购的，采购代理机构对委托授权范围内质疑事项作出答复。委托授权范围应当在采购代理协议中明确。</w:t>
      </w:r>
    </w:p>
    <w:p>
      <w:pPr>
        <w:keepNext w:val="0"/>
        <w:numPr>
          <w:ilvl w:val="2"/>
          <w:numId w:val="24"/>
        </w:numPr>
        <w:tabs>
          <w:tab w:val="left" w:pos="210"/>
          <w:tab w:val="left" w:pos="840"/>
        </w:tabs>
        <w:snapToGrid w:val="0"/>
        <w:spacing w:before="0" w:beforeLines="-2147483648"/>
        <w:ind w:firstLine="402"/>
        <w:jc w:val="left"/>
        <w:outlineLvl w:val="2"/>
        <w:rPr>
          <w:rFonts w:hint="eastAsia" w:ascii="宋体" w:hAnsi="宋体" w:eastAsia="宋体" w:cs="宋体"/>
          <w:b w:val="0"/>
          <w:bCs/>
          <w:sz w:val="22"/>
          <w:szCs w:val="22"/>
          <w:highlight w:val="none"/>
        </w:rPr>
      </w:pPr>
      <w:r>
        <w:rPr>
          <w:rFonts w:hint="eastAsia" w:ascii="宋体" w:hAnsi="宋体" w:eastAsia="宋体" w:cs="宋体"/>
          <w:b w:val="0"/>
          <w:bCs/>
          <w:color w:val="auto"/>
          <w:sz w:val="22"/>
          <w:szCs w:val="22"/>
          <w:highlight w:val="none"/>
          <w:lang w:val="zh-CN"/>
        </w:rPr>
        <w:t>采购人或者</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应当在收到供应商的书面质疑后七个工作日内作出答复</w:t>
      </w:r>
      <w:r>
        <w:rPr>
          <w:rFonts w:hint="eastAsia" w:ascii="宋体" w:hAnsi="宋体" w:eastAsia="宋体" w:cs="宋体"/>
          <w:b w:val="0"/>
          <w:bCs/>
          <w:strike w:val="0"/>
          <w:dstrike w:val="0"/>
          <w:color w:val="auto"/>
          <w:sz w:val="22"/>
          <w:szCs w:val="22"/>
          <w:highlight w:val="none"/>
          <w:lang w:val="zh-CN"/>
        </w:rPr>
        <w:t>，但答复的内容不得涉及商业秘密</w:t>
      </w:r>
      <w:r>
        <w:rPr>
          <w:rFonts w:hint="eastAsia" w:ascii="宋体" w:hAnsi="宋体" w:eastAsia="宋体" w:cs="宋体"/>
          <w:b w:val="0"/>
          <w:bCs/>
          <w:color w:val="auto"/>
          <w:sz w:val="22"/>
          <w:szCs w:val="22"/>
          <w:highlight w:val="none"/>
          <w:lang w:val="zh-CN"/>
        </w:rPr>
        <w:t>。</w:t>
      </w:r>
    </w:p>
    <w:p>
      <w:pPr>
        <w:keepNext w:val="0"/>
        <w:numPr>
          <w:ilvl w:val="-1"/>
          <w:numId w:val="0"/>
        </w:numPr>
        <w:tabs>
          <w:tab w:val="left" w:pos="210"/>
          <w:tab w:val="left" w:pos="840"/>
        </w:tabs>
        <w:snapToGrid w:val="0"/>
        <w:spacing w:before="0" w:beforeLines="-2147483648"/>
        <w:ind w:firstLine="0"/>
        <w:jc w:val="center"/>
        <w:outlineLvl w:val="2"/>
        <w:rPr>
          <w:rFonts w:hint="eastAsia" w:ascii="宋体" w:hAnsi="宋体" w:eastAsia="宋体" w:cs="宋体"/>
          <w:b/>
          <w:bCs/>
          <w:sz w:val="36"/>
          <w:szCs w:val="36"/>
          <w:highlight w:val="none"/>
        </w:rPr>
      </w:pPr>
      <w:r>
        <w:rPr>
          <w:rFonts w:hint="eastAsia" w:ascii="宋体" w:hAnsi="宋体" w:eastAsia="宋体" w:cs="宋体"/>
          <w:b w:val="0"/>
          <w:bCs/>
          <w:color w:val="auto"/>
          <w:sz w:val="22"/>
          <w:szCs w:val="22"/>
          <w:highlight w:val="none"/>
          <w:lang w:val="zh-CN"/>
        </w:rPr>
        <w:br w:type="page"/>
      </w:r>
      <w:bookmarkStart w:id="168" w:name="_Toc491780524"/>
      <w:r>
        <w:rPr>
          <w:rFonts w:hint="eastAsia" w:ascii="宋体" w:hAnsi="宋体" w:eastAsia="宋体" w:cs="宋体"/>
          <w:b/>
          <w:bCs/>
          <w:sz w:val="36"/>
          <w:szCs w:val="36"/>
          <w:highlight w:val="none"/>
        </w:rPr>
        <w:t>第二部分 合同条款</w:t>
      </w:r>
      <w:bookmarkEnd w:id="168"/>
    </w:p>
    <w:bookmarkEnd w:id="158"/>
    <w:bookmarkEnd w:id="159"/>
    <w:bookmarkEnd w:id="160"/>
    <w:bookmarkEnd w:id="161"/>
    <w:bookmarkEnd w:id="162"/>
    <w:bookmarkEnd w:id="163"/>
    <w:bookmarkEnd w:id="164"/>
    <w:bookmarkEnd w:id="165"/>
    <w:bookmarkEnd w:id="166"/>
    <w:bookmarkEnd w:id="167"/>
    <w:p>
      <w:pPr>
        <w:rPr>
          <w:rFonts w:hint="eastAsia" w:ascii="宋体" w:hAnsi="宋体" w:eastAsia="宋体" w:cs="宋体"/>
          <w:szCs w:val="21"/>
          <w:highlight w:val="none"/>
        </w:rPr>
      </w:pPr>
      <w:bookmarkStart w:id="169" w:name="_Toc227057040"/>
      <w:bookmarkStart w:id="170" w:name="_Toc227489894"/>
      <w:bookmarkStart w:id="171" w:name="_Toc223933228"/>
      <w:bookmarkStart w:id="172" w:name="_Toc227056853"/>
      <w:bookmarkStart w:id="173" w:name="_Toc215415537"/>
      <w:bookmarkStart w:id="174" w:name="_Toc216667827"/>
      <w:bookmarkStart w:id="175" w:name="_Toc223717611"/>
      <w:bookmarkStart w:id="176" w:name="_Toc217460692"/>
      <w:bookmarkStart w:id="177" w:name="_Toc218041733"/>
      <w:bookmarkStart w:id="178" w:name="_Toc219538620"/>
      <w:bookmarkStart w:id="179" w:name="_Toc217460693"/>
      <w:bookmarkStart w:id="180" w:name="_Toc215415538"/>
      <w:bookmarkStart w:id="181" w:name="_Toc223717612"/>
      <w:bookmarkStart w:id="182" w:name="_Toc227056854"/>
      <w:bookmarkStart w:id="183" w:name="_Toc218041734"/>
      <w:bookmarkStart w:id="184" w:name="_Toc223933229"/>
      <w:bookmarkStart w:id="185" w:name="_Toc227489895"/>
      <w:bookmarkStart w:id="186" w:name="_Toc219538621"/>
      <w:bookmarkStart w:id="187" w:name="_Toc227057041"/>
      <w:bookmarkStart w:id="188" w:name="_Toc216667828"/>
    </w:p>
    <w:p>
      <w:pPr>
        <w:jc w:val="center"/>
        <w:rPr>
          <w:rFonts w:hint="eastAsia" w:ascii="宋体" w:hAnsi="宋体" w:eastAsia="宋体" w:cs="宋体"/>
          <w:szCs w:val="21"/>
          <w:highlight w:val="none"/>
        </w:rPr>
      </w:pPr>
      <w:r>
        <w:rPr>
          <w:rFonts w:hint="eastAsia" w:ascii="宋体" w:hAnsi="宋体" w:eastAsia="宋体" w:cs="宋体"/>
          <w:szCs w:val="21"/>
          <w:highlight w:val="none"/>
        </w:rPr>
        <w:t>（1）合同主要条款</w:t>
      </w:r>
    </w:p>
    <w:p>
      <w:pPr>
        <w:pStyle w:val="14"/>
        <w:snapToGrid w:val="0"/>
        <w:jc w:val="both"/>
        <w:rPr>
          <w:rFonts w:hint="eastAsia" w:ascii="宋体" w:hAnsi="宋体" w:eastAsia="宋体" w:cs="宋体"/>
          <w:kern w:val="2"/>
          <w:highlight w:val="none"/>
        </w:rPr>
      </w:pP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号：</w:t>
      </w:r>
    </w:p>
    <w:p>
      <w:pPr>
        <w:spacing w:line="240" w:lineRule="auto"/>
        <w:rPr>
          <w:rFonts w:hint="eastAsia" w:ascii="宋体" w:hAnsi="宋体" w:eastAsia="宋体" w:cs="宋体"/>
          <w:color w:val="auto"/>
          <w:sz w:val="21"/>
          <w:szCs w:val="21"/>
          <w:highlight w:val="none"/>
          <w:lang w:val="zh-CN"/>
        </w:rPr>
      </w:pPr>
    </w:p>
    <w:p>
      <w:pPr>
        <w:adjustRightInd w:val="0"/>
        <w:snapToGrid w:val="0"/>
        <w:spacing w:line="360" w:lineRule="auto"/>
        <w:rPr>
          <w:rFonts w:hint="eastAsia" w:ascii="宋体" w:hAnsi="宋体" w:eastAsia="宋体" w:cs="宋体"/>
          <w:sz w:val="22"/>
        </w:rPr>
      </w:pPr>
      <w:r>
        <w:rPr>
          <w:rFonts w:hint="eastAsia" w:ascii="宋体" w:hAnsi="宋体" w:eastAsia="宋体" w:cs="宋体"/>
          <w:sz w:val="22"/>
        </w:rPr>
        <w:t>甲方：</w:t>
      </w:r>
      <w:r>
        <w:rPr>
          <w:rFonts w:hint="eastAsia" w:ascii="宋体" w:hAnsi="宋体" w:eastAsia="宋体" w:cs="宋体"/>
          <w:sz w:val="22"/>
          <w:lang w:eastAsia="zh-CN"/>
        </w:rPr>
        <w:t>温州市高速公路资产经营有限公司</w:t>
      </w:r>
      <w:r>
        <w:rPr>
          <w:rFonts w:hint="eastAsia" w:ascii="宋体" w:hAnsi="宋体" w:eastAsia="宋体" w:cs="宋体"/>
          <w:sz w:val="22"/>
        </w:rPr>
        <w:t>（以下简称甲方）</w:t>
      </w:r>
    </w:p>
    <w:p>
      <w:pPr>
        <w:adjustRightInd w:val="0"/>
        <w:snapToGrid w:val="0"/>
        <w:spacing w:line="360" w:lineRule="auto"/>
        <w:rPr>
          <w:rFonts w:hint="eastAsia" w:ascii="宋体" w:hAnsi="宋体" w:eastAsia="宋体" w:cs="宋体"/>
          <w:sz w:val="22"/>
        </w:rPr>
      </w:pPr>
      <w:r>
        <w:rPr>
          <w:rFonts w:hint="eastAsia" w:ascii="宋体" w:hAnsi="宋体" w:eastAsia="宋体" w:cs="宋体"/>
          <w:sz w:val="22"/>
        </w:rPr>
        <w:t>乙方：　　　　　　　　　            （以下简称乙方）</w:t>
      </w:r>
    </w:p>
    <w:p>
      <w:pPr>
        <w:adjustRightInd w:val="0"/>
        <w:snapToGrid w:val="0"/>
        <w:spacing w:line="240" w:lineRule="auto"/>
        <w:ind w:firstLine="420"/>
        <w:rPr>
          <w:rFonts w:hint="eastAsia" w:ascii="宋体" w:hAnsi="宋体" w:eastAsia="宋体" w:cs="宋体"/>
          <w:sz w:val="22"/>
        </w:rPr>
      </w:pPr>
    </w:p>
    <w:p>
      <w:pPr>
        <w:adjustRightInd w:val="0"/>
        <w:snapToGrid w:val="0"/>
        <w:spacing w:line="240" w:lineRule="auto"/>
        <w:ind w:firstLine="420"/>
        <w:rPr>
          <w:rFonts w:hint="eastAsia" w:ascii="宋体" w:hAnsi="宋体" w:eastAsia="宋体" w:cs="宋体"/>
          <w:b/>
          <w:sz w:val="22"/>
        </w:rPr>
      </w:pPr>
      <w:r>
        <w:rPr>
          <w:rFonts w:hint="eastAsia" w:ascii="宋体" w:hAnsi="宋体" w:eastAsia="宋体" w:cs="宋体"/>
          <w:sz w:val="22"/>
        </w:rPr>
        <w:t>经过招标，甲方</w:t>
      </w:r>
      <w:r>
        <w:rPr>
          <w:rFonts w:hint="eastAsia" w:ascii="宋体" w:hAnsi="宋体" w:eastAsia="宋体" w:cs="宋体"/>
          <w:sz w:val="22"/>
          <w:lang w:val="en-US" w:eastAsia="zh-CN"/>
        </w:rPr>
        <w:t>确定</w:t>
      </w:r>
      <w:r>
        <w:rPr>
          <w:rFonts w:hint="eastAsia" w:ascii="宋体" w:hAnsi="宋体" w:eastAsia="宋体" w:cs="宋体"/>
          <w:sz w:val="22"/>
        </w:rPr>
        <w:t>乙方为</w:t>
      </w:r>
      <w:r>
        <w:rPr>
          <w:rFonts w:hint="eastAsia" w:ascii="宋体" w:hAnsi="宋体" w:eastAsia="宋体" w:cs="宋体"/>
          <w:sz w:val="22"/>
          <w:lang w:eastAsia="zh-CN"/>
        </w:rPr>
        <w:t>“瓯江红·畅美高速”党群服务中心物业服务采购</w:t>
      </w:r>
      <w:r>
        <w:rPr>
          <w:rFonts w:hint="eastAsia" w:ascii="宋体" w:hAnsi="宋体" w:eastAsia="宋体" w:cs="宋体"/>
          <w:sz w:val="22"/>
        </w:rPr>
        <w:t>的中标供应商。遵循平等、自愿、公平和诚信的原则，甲方将</w:t>
      </w:r>
      <w:r>
        <w:rPr>
          <w:rFonts w:hint="eastAsia" w:ascii="宋体" w:hAnsi="宋体" w:eastAsia="宋体" w:cs="宋体"/>
          <w:sz w:val="22"/>
          <w:lang w:eastAsia="zh-CN"/>
        </w:rPr>
        <w:t>“瓯江红·畅美高速”党群服务中心物业服务</w:t>
      </w:r>
      <w:r>
        <w:rPr>
          <w:rFonts w:hint="eastAsia" w:ascii="宋体" w:hAnsi="宋体" w:eastAsia="宋体" w:cs="宋体"/>
          <w:sz w:val="22"/>
        </w:rPr>
        <w:t>工作委托乙方实施。乙方接受甲方委托，在甲方委托事宜范围内依法组织开展</w:t>
      </w:r>
      <w:r>
        <w:rPr>
          <w:rFonts w:hint="eastAsia" w:ascii="宋体" w:hAnsi="宋体" w:eastAsia="宋体" w:cs="宋体"/>
          <w:sz w:val="22"/>
          <w:lang w:eastAsia="zh-CN"/>
        </w:rPr>
        <w:t>“瓯江红·畅美高速”党群服务中心物业服务</w:t>
      </w:r>
      <w:r>
        <w:rPr>
          <w:rFonts w:hint="eastAsia" w:ascii="宋体" w:hAnsi="宋体" w:eastAsia="宋体" w:cs="宋体"/>
          <w:sz w:val="22"/>
        </w:rPr>
        <w:t>工作。经甲乙双方协商一致，签订如下协议：</w:t>
      </w:r>
    </w:p>
    <w:p>
      <w:pPr>
        <w:numPr>
          <w:ilvl w:val="0"/>
          <w:numId w:val="25"/>
        </w:numPr>
        <w:adjustRightInd w:val="0"/>
        <w:snapToGrid w:val="0"/>
        <w:spacing w:line="240" w:lineRule="auto"/>
        <w:ind w:left="0" w:leftChars="0" w:firstLine="420" w:firstLineChars="0"/>
        <w:rPr>
          <w:rFonts w:hint="eastAsia" w:ascii="宋体" w:hAnsi="宋体" w:eastAsia="宋体" w:cs="宋体"/>
          <w:b/>
          <w:bCs/>
        </w:rPr>
      </w:pPr>
      <w:bookmarkStart w:id="189" w:name="_Toc393791426"/>
      <w:r>
        <w:rPr>
          <w:rFonts w:hint="eastAsia" w:ascii="宋体" w:hAnsi="宋体" w:eastAsia="宋体" w:cs="宋体"/>
          <w:b/>
          <w:bCs/>
        </w:rPr>
        <w:t>服务内容：</w:t>
      </w:r>
      <w:r>
        <w:rPr>
          <w:rFonts w:hint="eastAsia" w:ascii="宋体" w:hAnsi="宋体" w:eastAsia="宋体" w:cs="宋体"/>
          <w:b/>
          <w:bCs/>
          <w:lang w:eastAsia="zh-CN"/>
        </w:rPr>
        <w:t>“瓯江红·畅美高速”党群服务中心物业服务</w:t>
      </w:r>
    </w:p>
    <w:p>
      <w:pPr>
        <w:numPr>
          <w:ilvl w:val="0"/>
          <w:numId w:val="25"/>
        </w:numPr>
        <w:adjustRightInd w:val="0"/>
        <w:snapToGrid w:val="0"/>
        <w:spacing w:line="240" w:lineRule="auto"/>
        <w:ind w:left="0" w:leftChars="0" w:firstLine="420" w:firstLineChars="0"/>
        <w:rPr>
          <w:rFonts w:hint="eastAsia" w:ascii="宋体" w:hAnsi="宋体" w:eastAsia="宋体" w:cs="宋体"/>
          <w:b/>
          <w:bCs/>
        </w:rPr>
      </w:pPr>
      <w:r>
        <w:rPr>
          <w:rFonts w:hint="eastAsia" w:ascii="宋体" w:hAnsi="宋体" w:eastAsia="宋体" w:cs="宋体"/>
          <w:b/>
          <w:bCs/>
        </w:rPr>
        <w:t>服务区域：温州绕城高速陶山服务区</w:t>
      </w:r>
      <w:r>
        <w:rPr>
          <w:rFonts w:hint="eastAsia" w:ascii="宋体" w:hAnsi="宋体" w:eastAsia="宋体" w:cs="宋体"/>
          <w:sz w:val="22"/>
        </w:rPr>
        <w:t>。</w:t>
      </w:r>
    </w:p>
    <w:p>
      <w:pPr>
        <w:numPr>
          <w:ilvl w:val="0"/>
          <w:numId w:val="25"/>
        </w:numPr>
        <w:adjustRightInd w:val="0"/>
        <w:snapToGrid w:val="0"/>
        <w:spacing w:line="240" w:lineRule="auto"/>
        <w:ind w:left="0" w:leftChars="0" w:firstLine="420" w:firstLineChars="0"/>
        <w:rPr>
          <w:rFonts w:hint="eastAsia" w:ascii="宋体" w:hAnsi="宋体" w:eastAsia="宋体" w:cs="宋体"/>
          <w:b/>
          <w:szCs w:val="21"/>
          <w:highlight w:val="none"/>
          <w:lang w:val="en-US" w:eastAsia="zh-CN"/>
        </w:rPr>
      </w:pPr>
      <w:r>
        <w:rPr>
          <w:rFonts w:hint="eastAsia" w:ascii="宋体" w:hAnsi="宋体" w:eastAsia="宋体" w:cs="宋体"/>
          <w:b/>
          <w:bCs/>
          <w:highlight w:val="none"/>
        </w:rPr>
        <w:t>服务期限：</w:t>
      </w:r>
      <w:bookmarkEnd w:id="189"/>
      <w:r>
        <w:rPr>
          <w:rFonts w:hint="eastAsia" w:ascii="宋体" w:hAnsi="宋体" w:eastAsia="宋体" w:cs="宋体"/>
          <w:b/>
          <w:szCs w:val="21"/>
          <w:highlight w:val="none"/>
          <w:lang w:val="en-US" w:eastAsia="zh-CN"/>
        </w:rPr>
        <w:t>自</w:t>
      </w:r>
      <w:r>
        <w:rPr>
          <w:rFonts w:hint="eastAsia" w:ascii="宋体" w:hAnsi="宋体" w:eastAsia="宋体" w:cs="宋体"/>
          <w:b/>
          <w:szCs w:val="21"/>
          <w:highlight w:val="none"/>
          <w:u w:val="single"/>
          <w:lang w:val="en-US" w:eastAsia="zh-CN"/>
        </w:rPr>
        <w:t>2024</w:t>
      </w:r>
      <w:r>
        <w:rPr>
          <w:rFonts w:hint="eastAsia" w:ascii="宋体" w:hAnsi="宋体" w:eastAsia="宋体" w:cs="宋体"/>
          <w:b/>
          <w:szCs w:val="21"/>
          <w:highlight w:val="none"/>
          <w:lang w:val="en-US" w:eastAsia="zh-CN"/>
        </w:rPr>
        <w:t xml:space="preserve">年 </w:t>
      </w:r>
      <w:r>
        <w:rPr>
          <w:rFonts w:hint="eastAsia" w:ascii="宋体" w:hAnsi="宋体" w:eastAsia="宋体" w:cs="宋体"/>
          <w:b/>
          <w:szCs w:val="21"/>
          <w:highlight w:val="none"/>
          <w:u w:val="single"/>
          <w:lang w:val="en-US" w:eastAsia="zh-CN"/>
        </w:rPr>
        <w:t>1</w:t>
      </w:r>
      <w:r>
        <w:rPr>
          <w:rFonts w:hint="eastAsia" w:ascii="宋体" w:hAnsi="宋体" w:eastAsia="宋体" w:cs="宋体"/>
          <w:b/>
          <w:szCs w:val="21"/>
          <w:highlight w:val="none"/>
          <w:lang w:val="en-US" w:eastAsia="zh-CN"/>
        </w:rPr>
        <w:t>月</w:t>
      </w:r>
      <w:r>
        <w:rPr>
          <w:rFonts w:hint="eastAsia" w:ascii="宋体" w:hAnsi="宋体" w:eastAsia="宋体" w:cs="宋体"/>
          <w:b/>
          <w:szCs w:val="21"/>
          <w:highlight w:val="none"/>
          <w:u w:val="single"/>
          <w:lang w:val="en-US" w:eastAsia="zh-CN"/>
        </w:rPr>
        <w:t>1</w:t>
      </w:r>
      <w:r>
        <w:rPr>
          <w:rFonts w:hint="eastAsia" w:ascii="宋体" w:hAnsi="宋体" w:eastAsia="宋体" w:cs="宋体"/>
          <w:b/>
          <w:szCs w:val="21"/>
          <w:highlight w:val="none"/>
          <w:lang w:val="en-US" w:eastAsia="zh-CN"/>
        </w:rPr>
        <w:t>日起至</w:t>
      </w:r>
      <w:r>
        <w:rPr>
          <w:rFonts w:hint="eastAsia" w:ascii="宋体" w:hAnsi="宋体" w:eastAsia="宋体" w:cs="宋体"/>
          <w:b/>
          <w:szCs w:val="21"/>
          <w:highlight w:val="none"/>
          <w:u w:val="single"/>
          <w:lang w:val="en-US" w:eastAsia="zh-CN"/>
        </w:rPr>
        <w:t xml:space="preserve">     </w:t>
      </w:r>
      <w:r>
        <w:rPr>
          <w:rFonts w:hint="eastAsia" w:ascii="宋体" w:hAnsi="宋体" w:eastAsia="宋体" w:cs="宋体"/>
          <w:b/>
          <w:szCs w:val="21"/>
          <w:highlight w:val="none"/>
          <w:lang w:val="en-US" w:eastAsia="zh-CN"/>
        </w:rPr>
        <w:t>年</w:t>
      </w:r>
      <w:r>
        <w:rPr>
          <w:rFonts w:hint="eastAsia" w:ascii="宋体" w:hAnsi="宋体" w:eastAsia="宋体" w:cs="宋体"/>
          <w:b/>
          <w:szCs w:val="21"/>
          <w:highlight w:val="none"/>
          <w:u w:val="single"/>
          <w:lang w:val="en-US" w:eastAsia="zh-CN"/>
        </w:rPr>
        <w:t xml:space="preserve">    </w:t>
      </w:r>
      <w:r>
        <w:rPr>
          <w:rFonts w:hint="eastAsia" w:ascii="宋体" w:hAnsi="宋体" w:eastAsia="宋体" w:cs="宋体"/>
          <w:b/>
          <w:szCs w:val="21"/>
          <w:highlight w:val="none"/>
          <w:lang w:val="en-US" w:eastAsia="zh-CN"/>
        </w:rPr>
        <w:t xml:space="preserve">月 </w:t>
      </w:r>
      <w:r>
        <w:rPr>
          <w:rFonts w:hint="eastAsia" w:ascii="宋体" w:hAnsi="宋体" w:eastAsia="宋体" w:cs="宋体"/>
          <w:b/>
          <w:szCs w:val="21"/>
          <w:highlight w:val="none"/>
          <w:u w:val="single"/>
          <w:lang w:val="en-US" w:eastAsia="zh-CN"/>
        </w:rPr>
        <w:t xml:space="preserve">   </w:t>
      </w:r>
      <w:r>
        <w:rPr>
          <w:rFonts w:hint="eastAsia" w:ascii="宋体" w:hAnsi="宋体" w:eastAsia="宋体" w:cs="宋体"/>
          <w:b/>
          <w:szCs w:val="21"/>
          <w:highlight w:val="none"/>
          <w:lang w:val="en-US" w:eastAsia="zh-CN"/>
        </w:rPr>
        <w:t>日（一年）。</w:t>
      </w:r>
    </w:p>
    <w:p>
      <w:pPr>
        <w:numPr>
          <w:ilvl w:val="0"/>
          <w:numId w:val="0"/>
        </w:numPr>
        <w:adjustRightInd w:val="0"/>
        <w:snapToGrid w:val="0"/>
        <w:spacing w:line="240" w:lineRule="auto"/>
        <w:ind w:firstLine="422" w:firstLineChars="200"/>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如承包期内，若成交供应商有违约行为，采购人有权单方面解除合同</w:t>
      </w:r>
      <w:r>
        <w:rPr>
          <w:rFonts w:hint="eastAsia" w:ascii="宋体" w:hAnsi="宋体" w:eastAsia="宋体" w:cs="宋体"/>
          <w:szCs w:val="21"/>
          <w:highlight w:val="none"/>
        </w:rPr>
        <w:t>。</w:t>
      </w:r>
    </w:p>
    <w:p>
      <w:pPr>
        <w:numPr>
          <w:ilvl w:val="0"/>
          <w:numId w:val="25"/>
        </w:numPr>
        <w:adjustRightInd w:val="0"/>
        <w:snapToGrid w:val="0"/>
        <w:spacing w:line="240" w:lineRule="auto"/>
        <w:ind w:left="0" w:leftChars="0" w:firstLine="420" w:firstLineChars="0"/>
        <w:rPr>
          <w:rFonts w:hint="eastAsia" w:ascii="宋体" w:hAnsi="宋体" w:eastAsia="宋体" w:cs="宋体"/>
          <w:b/>
          <w:bCs/>
        </w:rPr>
      </w:pPr>
      <w:r>
        <w:rPr>
          <w:rFonts w:hint="eastAsia" w:ascii="宋体" w:hAnsi="宋体" w:eastAsia="宋体" w:cs="宋体"/>
          <w:b/>
          <w:bCs/>
        </w:rPr>
        <w:t>合同价款：</w:t>
      </w:r>
      <w:r>
        <w:rPr>
          <w:rFonts w:hint="eastAsia" w:ascii="宋体" w:hAnsi="宋体" w:eastAsia="宋体" w:cs="宋体"/>
          <w:b/>
          <w:bCs/>
          <w:u w:val="single"/>
        </w:rPr>
        <w:t xml:space="preserve">大写： </w:t>
      </w:r>
      <w:r>
        <w:rPr>
          <w:rFonts w:hint="eastAsia" w:ascii="宋体" w:hAnsi="宋体" w:eastAsia="宋体" w:cs="宋体"/>
          <w:b/>
          <w:bCs/>
          <w:u w:val="single"/>
          <w:lang w:val="en-US" w:eastAsia="zh-CN"/>
        </w:rPr>
        <w:t xml:space="preserve">    </w:t>
      </w:r>
      <w:r>
        <w:rPr>
          <w:rFonts w:hint="eastAsia" w:ascii="宋体" w:hAnsi="宋体" w:eastAsia="宋体" w:cs="宋体"/>
          <w:b/>
          <w:bCs/>
          <w:u w:val="single"/>
        </w:rPr>
        <w:t xml:space="preserve">  整（小写：￥  </w:t>
      </w:r>
      <w:r>
        <w:rPr>
          <w:rFonts w:hint="eastAsia" w:ascii="宋体" w:hAnsi="宋体" w:eastAsia="宋体" w:cs="宋体"/>
          <w:b/>
          <w:bCs/>
          <w:u w:val="single"/>
          <w:lang w:val="en-US" w:eastAsia="zh-CN"/>
        </w:rPr>
        <w:t xml:space="preserve">   </w:t>
      </w:r>
      <w:r>
        <w:rPr>
          <w:rFonts w:hint="eastAsia" w:ascii="宋体" w:hAnsi="宋体" w:eastAsia="宋体" w:cs="宋体"/>
          <w:b/>
          <w:bCs/>
          <w:u w:val="single"/>
        </w:rPr>
        <w:t xml:space="preserve"> 元</w:t>
      </w:r>
      <w:r>
        <w:rPr>
          <w:rFonts w:hint="eastAsia" w:ascii="宋体" w:hAnsi="宋体" w:eastAsia="宋体" w:cs="宋体"/>
          <w:b/>
          <w:bCs/>
        </w:rPr>
        <w:t>）</w:t>
      </w:r>
      <w:r>
        <w:rPr>
          <w:rFonts w:hint="eastAsia" w:ascii="宋体" w:hAnsi="宋体" w:eastAsia="宋体" w:cs="宋体"/>
          <w:b/>
          <w:bCs/>
          <w:lang w:eastAsia="zh-CN"/>
        </w:rPr>
        <w:t>。包含奖励金</w:t>
      </w:r>
      <w:r>
        <w:rPr>
          <w:rFonts w:hint="eastAsia" w:ascii="宋体" w:hAnsi="宋体" w:eastAsia="宋体" w:cs="宋体"/>
          <w:b/>
          <w:bCs/>
          <w:lang w:val="en-US" w:eastAsia="zh-CN"/>
        </w:rPr>
        <w:t>400元/人月，奖励金根据考核结果结算，其他费用按实结算。</w:t>
      </w:r>
    </w:p>
    <w:p>
      <w:pPr>
        <w:numPr>
          <w:ilvl w:val="0"/>
          <w:numId w:val="25"/>
        </w:numPr>
        <w:adjustRightInd w:val="0"/>
        <w:snapToGrid w:val="0"/>
        <w:spacing w:line="240" w:lineRule="auto"/>
        <w:ind w:left="0" w:leftChars="0" w:firstLine="420" w:firstLineChars="0"/>
        <w:rPr>
          <w:rFonts w:hint="eastAsia" w:ascii="宋体" w:hAnsi="宋体" w:eastAsia="宋体" w:cs="宋体"/>
          <w:b/>
          <w:bCs/>
        </w:rPr>
      </w:pPr>
      <w:r>
        <w:rPr>
          <w:rFonts w:hint="eastAsia" w:ascii="宋体" w:hAnsi="宋体" w:eastAsia="宋体" w:cs="宋体"/>
          <w:b/>
          <w:bCs/>
        </w:rPr>
        <w:t>管理要求：</w:t>
      </w:r>
    </w:p>
    <w:p>
      <w:pPr>
        <w:numPr>
          <w:ilvl w:val="0"/>
          <w:numId w:val="26"/>
        </w:numPr>
        <w:tabs>
          <w:tab w:val="left" w:pos="640"/>
        </w:tabs>
        <w:spacing w:line="240" w:lineRule="auto"/>
        <w:ind w:left="0" w:leftChars="0" w:firstLine="420" w:firstLineChars="200"/>
        <w:jc w:val="both"/>
        <w:rPr>
          <w:rFonts w:hint="eastAsia" w:ascii="宋体" w:hAnsi="宋体" w:eastAsia="宋体" w:cs="宋体"/>
          <w:szCs w:val="21"/>
        </w:rPr>
      </w:pPr>
      <w:r>
        <w:rPr>
          <w:rFonts w:hint="eastAsia" w:ascii="宋体" w:hAnsi="宋体" w:eastAsia="宋体" w:cs="宋体"/>
          <w:szCs w:val="21"/>
        </w:rPr>
        <w:t>由乙方负责与</w:t>
      </w:r>
      <w:r>
        <w:rPr>
          <w:rFonts w:hint="eastAsia" w:ascii="宋体" w:hAnsi="宋体" w:eastAsia="宋体" w:cs="宋体"/>
          <w:szCs w:val="21"/>
          <w:lang w:eastAsia="zh-CN"/>
        </w:rPr>
        <w:t>配备</w:t>
      </w:r>
      <w:r>
        <w:rPr>
          <w:rFonts w:hint="eastAsia" w:ascii="宋体" w:hAnsi="宋体" w:eastAsia="宋体" w:cs="宋体"/>
          <w:szCs w:val="21"/>
        </w:rPr>
        <w:t>的员工签订劳动合同，确定劳动关系。</w:t>
      </w:r>
    </w:p>
    <w:p>
      <w:pPr>
        <w:numPr>
          <w:ilvl w:val="0"/>
          <w:numId w:val="26"/>
        </w:numPr>
        <w:tabs>
          <w:tab w:val="left" w:pos="640"/>
        </w:tabs>
        <w:spacing w:line="240" w:lineRule="auto"/>
        <w:ind w:left="0" w:leftChars="0" w:firstLine="420" w:firstLineChars="200"/>
        <w:jc w:val="both"/>
        <w:rPr>
          <w:rFonts w:hint="eastAsia" w:ascii="宋体" w:hAnsi="宋体" w:eastAsia="宋体" w:cs="宋体"/>
          <w:szCs w:val="21"/>
        </w:rPr>
      </w:pPr>
      <w:r>
        <w:rPr>
          <w:rFonts w:hint="eastAsia" w:ascii="宋体" w:hAnsi="宋体" w:eastAsia="宋体" w:cs="宋体"/>
          <w:szCs w:val="21"/>
        </w:rPr>
        <w:t>由乙方负责</w:t>
      </w:r>
      <w:r>
        <w:rPr>
          <w:rFonts w:hint="eastAsia" w:ascii="宋体" w:hAnsi="宋体" w:eastAsia="宋体" w:cs="宋体"/>
          <w:szCs w:val="21"/>
          <w:lang w:eastAsia="zh-CN"/>
        </w:rPr>
        <w:t>配备</w:t>
      </w:r>
      <w:r>
        <w:rPr>
          <w:rFonts w:hint="eastAsia" w:ascii="宋体" w:hAnsi="宋体" w:eastAsia="宋体" w:cs="宋体"/>
          <w:szCs w:val="21"/>
        </w:rPr>
        <w:t>员工的薪酬发放，社保</w:t>
      </w:r>
      <w:r>
        <w:rPr>
          <w:rFonts w:hint="eastAsia" w:ascii="宋体" w:hAnsi="宋体" w:eastAsia="宋体" w:cs="宋体"/>
          <w:szCs w:val="21"/>
          <w:lang w:val="en-US" w:eastAsia="zh-CN"/>
        </w:rPr>
        <w:t>福利</w:t>
      </w:r>
      <w:r>
        <w:rPr>
          <w:rFonts w:hint="eastAsia" w:ascii="宋体" w:hAnsi="宋体" w:eastAsia="宋体" w:cs="宋体"/>
          <w:szCs w:val="21"/>
        </w:rPr>
        <w:t>及个税代扣代缴，劳动关系维护，代办员工有关证件，有关法律法规咨询等。</w:t>
      </w:r>
    </w:p>
    <w:p>
      <w:pPr>
        <w:numPr>
          <w:ilvl w:val="0"/>
          <w:numId w:val="26"/>
        </w:numPr>
        <w:tabs>
          <w:tab w:val="left" w:pos="640"/>
        </w:tabs>
        <w:spacing w:line="240" w:lineRule="auto"/>
        <w:ind w:left="0" w:leftChars="0" w:firstLine="420" w:firstLineChars="200"/>
        <w:jc w:val="both"/>
        <w:rPr>
          <w:rFonts w:hint="eastAsia" w:ascii="宋体" w:hAnsi="宋体" w:eastAsia="宋体" w:cs="宋体"/>
          <w:szCs w:val="21"/>
        </w:rPr>
      </w:pPr>
      <w:r>
        <w:rPr>
          <w:rFonts w:hint="eastAsia" w:ascii="宋体" w:hAnsi="宋体" w:eastAsia="宋体" w:cs="宋体"/>
          <w:szCs w:val="21"/>
        </w:rPr>
        <w:t>由乙方负责处理</w:t>
      </w:r>
      <w:r>
        <w:rPr>
          <w:rFonts w:hint="eastAsia" w:ascii="宋体" w:hAnsi="宋体" w:eastAsia="宋体" w:cs="宋体"/>
          <w:szCs w:val="21"/>
          <w:lang w:eastAsia="zh-CN"/>
        </w:rPr>
        <w:t>配备</w:t>
      </w:r>
      <w:r>
        <w:rPr>
          <w:rFonts w:hint="eastAsia" w:ascii="宋体" w:hAnsi="宋体" w:eastAsia="宋体" w:cs="宋体"/>
          <w:szCs w:val="21"/>
        </w:rPr>
        <w:t>员工提出的劳动仲裁、诉讼等事宜。</w:t>
      </w:r>
    </w:p>
    <w:p>
      <w:pPr>
        <w:numPr>
          <w:ilvl w:val="0"/>
          <w:numId w:val="26"/>
        </w:numPr>
        <w:tabs>
          <w:tab w:val="left" w:pos="640"/>
        </w:tabs>
        <w:spacing w:line="240" w:lineRule="auto"/>
        <w:ind w:left="0" w:leftChars="0" w:firstLine="420" w:firstLineChars="200"/>
        <w:jc w:val="both"/>
        <w:rPr>
          <w:rFonts w:hint="eastAsia" w:ascii="宋体" w:hAnsi="宋体" w:eastAsia="宋体" w:cs="宋体"/>
          <w:szCs w:val="21"/>
        </w:rPr>
      </w:pPr>
      <w:r>
        <w:rPr>
          <w:rFonts w:hint="eastAsia" w:ascii="宋体" w:hAnsi="宋体" w:eastAsia="宋体" w:cs="宋体"/>
          <w:szCs w:val="21"/>
        </w:rPr>
        <w:t>由乙方负责</w:t>
      </w:r>
      <w:r>
        <w:rPr>
          <w:rFonts w:hint="eastAsia" w:ascii="宋体" w:hAnsi="宋体" w:eastAsia="宋体" w:cs="宋体"/>
          <w:szCs w:val="21"/>
          <w:lang w:eastAsia="zh-CN"/>
        </w:rPr>
        <w:t>配备</w:t>
      </w:r>
      <w:r>
        <w:rPr>
          <w:rFonts w:hint="eastAsia" w:ascii="宋体" w:hAnsi="宋体" w:eastAsia="宋体" w:cs="宋体"/>
          <w:szCs w:val="21"/>
        </w:rPr>
        <w:t>员工的档案管理、党员组织关系管理以及专业技术人员的职称申报、评定等。</w:t>
      </w:r>
    </w:p>
    <w:p>
      <w:pPr>
        <w:numPr>
          <w:ilvl w:val="0"/>
          <w:numId w:val="26"/>
        </w:numPr>
        <w:tabs>
          <w:tab w:val="left" w:pos="640"/>
        </w:tabs>
        <w:spacing w:line="240" w:lineRule="auto"/>
        <w:ind w:left="0" w:leftChars="0" w:firstLine="420" w:firstLineChars="200"/>
        <w:jc w:val="both"/>
        <w:rPr>
          <w:rFonts w:hint="eastAsia" w:ascii="宋体" w:hAnsi="宋体" w:eastAsia="宋体" w:cs="宋体"/>
          <w:szCs w:val="21"/>
          <w:highlight w:val="none"/>
        </w:rPr>
      </w:pPr>
      <w:r>
        <w:rPr>
          <w:rFonts w:hint="eastAsia" w:ascii="宋体" w:hAnsi="宋体" w:eastAsia="宋体" w:cs="宋体"/>
          <w:szCs w:val="21"/>
        </w:rPr>
        <w:t>由</w:t>
      </w:r>
      <w:r>
        <w:rPr>
          <w:rFonts w:hint="eastAsia" w:ascii="宋体" w:hAnsi="宋体" w:eastAsia="宋体" w:cs="宋体"/>
          <w:szCs w:val="21"/>
          <w:highlight w:val="none"/>
        </w:rPr>
        <w:t>甲方制定考核标准，并以此为依据对</w:t>
      </w:r>
      <w:r>
        <w:rPr>
          <w:rFonts w:hint="eastAsia" w:ascii="宋体" w:hAnsi="宋体" w:eastAsia="宋体" w:cs="宋体"/>
          <w:szCs w:val="21"/>
          <w:highlight w:val="none"/>
          <w:lang w:eastAsia="zh-CN"/>
        </w:rPr>
        <w:t>配备</w:t>
      </w:r>
      <w:r>
        <w:rPr>
          <w:rFonts w:hint="eastAsia" w:ascii="宋体" w:hAnsi="宋体" w:eastAsia="宋体" w:cs="宋体"/>
          <w:szCs w:val="21"/>
          <w:highlight w:val="none"/>
        </w:rPr>
        <w:t>人员进行每月考核。</w:t>
      </w:r>
    </w:p>
    <w:p>
      <w:pPr>
        <w:numPr>
          <w:ilvl w:val="0"/>
          <w:numId w:val="25"/>
        </w:numPr>
        <w:adjustRightInd w:val="0"/>
        <w:snapToGrid w:val="0"/>
        <w:spacing w:line="240" w:lineRule="auto"/>
        <w:ind w:left="0" w:leftChars="0" w:firstLine="420" w:firstLineChars="0"/>
        <w:rPr>
          <w:rFonts w:hint="eastAsia" w:ascii="宋体" w:hAnsi="宋体" w:eastAsia="宋体" w:cs="宋体"/>
          <w:b/>
          <w:bCs/>
        </w:rPr>
      </w:pPr>
      <w:r>
        <w:rPr>
          <w:rFonts w:hint="eastAsia" w:ascii="宋体" w:hAnsi="宋体" w:eastAsia="宋体" w:cs="宋体"/>
          <w:b/>
          <w:bCs/>
        </w:rPr>
        <w:t>服务质量要求：</w:t>
      </w:r>
    </w:p>
    <w:p>
      <w:pPr>
        <w:numPr>
          <w:ilvl w:val="0"/>
          <w:numId w:val="27"/>
        </w:numPr>
        <w:tabs>
          <w:tab w:val="left" w:pos="640"/>
        </w:tabs>
        <w:spacing w:line="240" w:lineRule="auto"/>
        <w:ind w:left="0" w:leftChars="0" w:firstLine="422" w:firstLineChars="200"/>
        <w:jc w:val="both"/>
        <w:rPr>
          <w:rFonts w:hint="eastAsia" w:ascii="宋体" w:hAnsi="宋体" w:eastAsia="宋体" w:cs="宋体"/>
          <w:b/>
          <w:szCs w:val="21"/>
        </w:rPr>
      </w:pPr>
      <w:r>
        <w:rPr>
          <w:rFonts w:hint="eastAsia" w:ascii="宋体" w:hAnsi="宋体" w:eastAsia="宋体" w:cs="宋体"/>
          <w:b/>
          <w:szCs w:val="21"/>
        </w:rPr>
        <w:t>甲方确定员工的名单后，由乙方确保5个工作日内办理完毕劳动签订手续、</w:t>
      </w:r>
      <w:r>
        <w:rPr>
          <w:rFonts w:hint="eastAsia" w:ascii="宋体" w:hAnsi="宋体" w:eastAsia="宋体" w:cs="宋体"/>
          <w:b/>
          <w:szCs w:val="21"/>
          <w:lang w:eastAsia="zh-CN"/>
        </w:rPr>
        <w:t>配备</w:t>
      </w:r>
      <w:r>
        <w:rPr>
          <w:rFonts w:hint="eastAsia" w:ascii="宋体" w:hAnsi="宋体" w:eastAsia="宋体" w:cs="宋体"/>
          <w:b/>
          <w:szCs w:val="21"/>
        </w:rPr>
        <w:t>手续，及时向甲方</w:t>
      </w:r>
      <w:r>
        <w:rPr>
          <w:rFonts w:hint="eastAsia" w:ascii="宋体" w:hAnsi="宋体" w:eastAsia="宋体" w:cs="宋体"/>
          <w:b/>
          <w:szCs w:val="21"/>
          <w:lang w:eastAsia="zh-CN"/>
        </w:rPr>
        <w:t>配备</w:t>
      </w:r>
      <w:r>
        <w:rPr>
          <w:rFonts w:hint="eastAsia" w:ascii="宋体" w:hAnsi="宋体" w:eastAsia="宋体" w:cs="宋体"/>
          <w:b/>
          <w:szCs w:val="21"/>
        </w:rPr>
        <w:t>。</w:t>
      </w:r>
    </w:p>
    <w:p>
      <w:pPr>
        <w:numPr>
          <w:ilvl w:val="0"/>
          <w:numId w:val="27"/>
        </w:numPr>
        <w:tabs>
          <w:tab w:val="left" w:pos="640"/>
        </w:tabs>
        <w:spacing w:line="240" w:lineRule="auto"/>
        <w:ind w:left="0" w:leftChars="0" w:firstLine="420" w:firstLineChars="200"/>
        <w:jc w:val="both"/>
        <w:rPr>
          <w:rFonts w:hint="eastAsia" w:ascii="宋体" w:hAnsi="宋体" w:eastAsia="宋体" w:cs="宋体"/>
          <w:szCs w:val="21"/>
        </w:rPr>
      </w:pPr>
      <w:r>
        <w:rPr>
          <w:rFonts w:hint="eastAsia" w:ascii="宋体" w:hAnsi="宋体" w:eastAsia="宋体" w:cs="宋体"/>
          <w:szCs w:val="21"/>
        </w:rPr>
        <w:t>乙方应确保及时、准确、妥善的处理</w:t>
      </w:r>
      <w:r>
        <w:rPr>
          <w:rFonts w:hint="eastAsia" w:ascii="宋体" w:hAnsi="宋体" w:eastAsia="宋体" w:cs="宋体"/>
          <w:szCs w:val="21"/>
          <w:lang w:eastAsia="zh-CN"/>
        </w:rPr>
        <w:t>配备</w:t>
      </w:r>
      <w:r>
        <w:rPr>
          <w:rFonts w:hint="eastAsia" w:ascii="宋体" w:hAnsi="宋体" w:eastAsia="宋体" w:cs="宋体"/>
          <w:szCs w:val="21"/>
        </w:rPr>
        <w:t>员工的薪酬管理（薪酬发放以甲方的相关政策为准）、社保、个税代扣代缴工作，避免发生劳动仲裁、诉讼事件。</w:t>
      </w:r>
    </w:p>
    <w:p>
      <w:pPr>
        <w:numPr>
          <w:ilvl w:val="0"/>
          <w:numId w:val="27"/>
        </w:numPr>
        <w:tabs>
          <w:tab w:val="left" w:pos="640"/>
        </w:tabs>
        <w:spacing w:line="240" w:lineRule="auto"/>
        <w:ind w:left="0" w:leftChars="0" w:firstLine="420" w:firstLineChars="200"/>
        <w:jc w:val="both"/>
        <w:rPr>
          <w:rFonts w:hint="eastAsia" w:ascii="宋体" w:hAnsi="宋体" w:eastAsia="宋体" w:cs="宋体"/>
          <w:szCs w:val="21"/>
        </w:rPr>
      </w:pPr>
      <w:r>
        <w:rPr>
          <w:rFonts w:hint="eastAsia" w:ascii="宋体" w:hAnsi="宋体" w:eastAsia="宋体" w:cs="宋体"/>
          <w:szCs w:val="21"/>
        </w:rPr>
        <w:t>乙方应确保及时、准确、妥善的处理</w:t>
      </w:r>
      <w:r>
        <w:rPr>
          <w:rFonts w:hint="eastAsia" w:ascii="宋体" w:hAnsi="宋体" w:eastAsia="宋体" w:cs="宋体"/>
          <w:szCs w:val="21"/>
          <w:lang w:eastAsia="zh-CN"/>
        </w:rPr>
        <w:t>配备</w:t>
      </w:r>
      <w:r>
        <w:rPr>
          <w:rFonts w:hint="eastAsia" w:ascii="宋体" w:hAnsi="宋体" w:eastAsia="宋体" w:cs="宋体"/>
          <w:szCs w:val="21"/>
        </w:rPr>
        <w:t>员工的档案管理、党员组织关系管理以及专业技术人员的职称申报、评定等工作，避免发生人事仲裁事件。</w:t>
      </w:r>
    </w:p>
    <w:p>
      <w:pPr>
        <w:numPr>
          <w:ilvl w:val="0"/>
          <w:numId w:val="27"/>
        </w:numPr>
        <w:tabs>
          <w:tab w:val="left" w:pos="640"/>
        </w:tabs>
        <w:spacing w:line="240" w:lineRule="auto"/>
        <w:ind w:left="0" w:leftChars="0" w:firstLine="420" w:firstLineChars="200"/>
        <w:jc w:val="both"/>
        <w:rPr>
          <w:rFonts w:hint="eastAsia" w:ascii="宋体" w:hAnsi="宋体" w:eastAsia="宋体" w:cs="宋体"/>
          <w:szCs w:val="21"/>
        </w:rPr>
      </w:pPr>
      <w:r>
        <w:rPr>
          <w:rFonts w:hint="eastAsia" w:ascii="宋体" w:hAnsi="宋体" w:eastAsia="宋体" w:cs="宋体"/>
          <w:szCs w:val="21"/>
        </w:rPr>
        <w:t>乙方应确保和谐、稳妥的处理</w:t>
      </w:r>
      <w:r>
        <w:rPr>
          <w:rFonts w:hint="eastAsia" w:ascii="宋体" w:hAnsi="宋体" w:eastAsia="宋体" w:cs="宋体"/>
          <w:szCs w:val="21"/>
          <w:lang w:eastAsia="zh-CN"/>
        </w:rPr>
        <w:t>配备</w:t>
      </w:r>
      <w:r>
        <w:rPr>
          <w:rFonts w:hint="eastAsia" w:ascii="宋体" w:hAnsi="宋体" w:eastAsia="宋体" w:cs="宋体"/>
          <w:szCs w:val="21"/>
        </w:rPr>
        <w:t>员工的劳动仲裁、劳动诉讼及人事仲裁事件，避免妨碍甲方的正常工作或给甲方带来不利社会影响。</w:t>
      </w:r>
    </w:p>
    <w:p>
      <w:pPr>
        <w:numPr>
          <w:ilvl w:val="0"/>
          <w:numId w:val="27"/>
        </w:numPr>
        <w:tabs>
          <w:tab w:val="left" w:pos="640"/>
        </w:tabs>
        <w:spacing w:line="240" w:lineRule="auto"/>
        <w:ind w:left="0" w:leftChars="0" w:firstLine="420" w:firstLineChars="200"/>
        <w:jc w:val="both"/>
        <w:rPr>
          <w:rFonts w:hint="eastAsia" w:ascii="宋体" w:hAnsi="宋体" w:eastAsia="宋体" w:cs="宋体"/>
          <w:szCs w:val="21"/>
        </w:rPr>
      </w:pPr>
      <w:r>
        <w:rPr>
          <w:rFonts w:hint="eastAsia" w:ascii="宋体" w:hAnsi="宋体" w:eastAsia="宋体" w:cs="宋体"/>
          <w:szCs w:val="21"/>
        </w:rPr>
        <w:t>乙方与</w:t>
      </w:r>
      <w:r>
        <w:rPr>
          <w:rFonts w:hint="eastAsia" w:ascii="宋体" w:hAnsi="宋体" w:eastAsia="宋体" w:cs="宋体"/>
          <w:szCs w:val="21"/>
          <w:lang w:eastAsia="zh-CN"/>
        </w:rPr>
        <w:t>配备</w:t>
      </w:r>
      <w:r>
        <w:rPr>
          <w:rFonts w:hint="eastAsia" w:ascii="宋体" w:hAnsi="宋体" w:eastAsia="宋体" w:cs="宋体"/>
          <w:szCs w:val="21"/>
        </w:rPr>
        <w:t>员工确定聘用关系后（提供相应的证明材料），须将该材料原件提供至甲方备案后方可成立。</w:t>
      </w:r>
    </w:p>
    <w:p>
      <w:pPr>
        <w:numPr>
          <w:ilvl w:val="0"/>
          <w:numId w:val="25"/>
        </w:numPr>
        <w:adjustRightInd w:val="0"/>
        <w:snapToGrid w:val="0"/>
        <w:spacing w:line="240" w:lineRule="auto"/>
        <w:ind w:left="0" w:leftChars="0" w:firstLine="420" w:firstLineChars="0"/>
        <w:rPr>
          <w:rFonts w:hint="eastAsia" w:ascii="宋体" w:hAnsi="宋体" w:eastAsia="宋体" w:cs="宋体"/>
          <w:b/>
          <w:bCs/>
        </w:rPr>
      </w:pPr>
      <w:r>
        <w:rPr>
          <w:rFonts w:hint="eastAsia" w:ascii="宋体" w:hAnsi="宋体" w:eastAsia="宋体" w:cs="宋体"/>
          <w:b/>
          <w:bCs/>
        </w:rPr>
        <w:t>结算方法：</w:t>
      </w:r>
    </w:p>
    <w:p>
      <w:pPr>
        <w:numPr>
          <w:ilvl w:val="0"/>
          <w:numId w:val="28"/>
        </w:numPr>
        <w:tabs>
          <w:tab w:val="left" w:pos="640"/>
        </w:tabs>
        <w:spacing w:line="240" w:lineRule="auto"/>
        <w:ind w:left="0" w:leftChars="0" w:firstLine="420" w:firstLineChars="200"/>
        <w:jc w:val="both"/>
        <w:rPr>
          <w:rFonts w:hint="eastAsia" w:ascii="宋体" w:hAnsi="宋体" w:eastAsia="宋体" w:cs="宋体"/>
          <w:szCs w:val="21"/>
        </w:rPr>
      </w:pPr>
      <w:r>
        <w:rPr>
          <w:rFonts w:hint="eastAsia" w:ascii="宋体" w:hAnsi="宋体" w:eastAsia="宋体" w:cs="宋体"/>
          <w:szCs w:val="21"/>
        </w:rPr>
        <w:t>本项目的费用包含：人员经费：含薪酬、奖金、劳保福利、社保、意外保险、工伤费、延长工作时间加班费、教育培训费、工作餐费、服装摊销费和法律法规规定的劳动福利待遇，企业应缴税金和应得利润，应急等完成合同所需的一切本身和不可或缺的所有工作开支、政策性文件规定计合同包含的所有风险、责任等各项全部费用。</w:t>
      </w:r>
    </w:p>
    <w:p>
      <w:pPr>
        <w:numPr>
          <w:ilvl w:val="0"/>
          <w:numId w:val="28"/>
        </w:numPr>
        <w:tabs>
          <w:tab w:val="left" w:pos="640"/>
        </w:tabs>
        <w:spacing w:line="240" w:lineRule="auto"/>
        <w:ind w:left="0" w:leftChars="0" w:firstLine="420" w:firstLineChars="200"/>
        <w:jc w:val="both"/>
        <w:rPr>
          <w:rFonts w:hint="eastAsia" w:ascii="宋体" w:hAnsi="宋体" w:eastAsia="宋体" w:cs="宋体"/>
          <w:szCs w:val="21"/>
          <w:lang w:eastAsia="zh-CN"/>
        </w:rPr>
      </w:pPr>
      <w:r>
        <w:rPr>
          <w:rFonts w:hint="eastAsia" w:ascii="宋体" w:hAnsi="宋体" w:eastAsia="宋体" w:cs="宋体"/>
          <w:szCs w:val="21"/>
        </w:rPr>
        <w:t>本项目的服务费采用费用</w:t>
      </w:r>
      <w:r>
        <w:rPr>
          <w:rFonts w:hint="eastAsia" w:ascii="宋体" w:hAnsi="宋体" w:eastAsia="宋体" w:cs="宋体"/>
          <w:szCs w:val="21"/>
          <w:lang w:val="en-US" w:eastAsia="zh-CN"/>
        </w:rPr>
        <w:t>按实结算</w:t>
      </w:r>
      <w:r>
        <w:rPr>
          <w:rFonts w:hint="eastAsia" w:ascii="宋体" w:hAnsi="宋体" w:eastAsia="宋体" w:cs="宋体"/>
          <w:szCs w:val="21"/>
        </w:rPr>
        <w:t>方式服务，投标供应商应根据项目要求和现场情况，详细列明项目所需的人力、物力、财力等,以及所有人工、管理、财务、税金等所有费用，如一旦中标，在服务过程中出现任何遗漏，均由中标供应商免费提供，采购人不再支付任何费用</w:t>
      </w:r>
      <w:r>
        <w:rPr>
          <w:rFonts w:hint="eastAsia" w:ascii="宋体" w:hAnsi="宋体" w:eastAsia="宋体" w:cs="宋体"/>
          <w:szCs w:val="21"/>
          <w:lang w:eastAsia="zh-CN"/>
        </w:rPr>
        <w:t>。</w:t>
      </w:r>
    </w:p>
    <w:p>
      <w:pPr>
        <w:numPr>
          <w:ilvl w:val="0"/>
          <w:numId w:val="28"/>
        </w:numPr>
        <w:tabs>
          <w:tab w:val="left" w:pos="640"/>
        </w:tabs>
        <w:spacing w:line="240" w:lineRule="auto"/>
        <w:ind w:left="0" w:leftChars="0" w:firstLine="420" w:firstLineChars="200"/>
        <w:jc w:val="both"/>
        <w:rPr>
          <w:rFonts w:hint="eastAsia" w:ascii="宋体" w:hAnsi="宋体" w:eastAsia="宋体" w:cs="宋体"/>
          <w:szCs w:val="21"/>
        </w:rPr>
      </w:pPr>
      <w:r>
        <w:rPr>
          <w:rFonts w:hint="eastAsia" w:ascii="宋体" w:hAnsi="宋体" w:eastAsia="宋体" w:cs="宋体"/>
          <w:szCs w:val="21"/>
        </w:rPr>
        <w:t>本项目投标报价实行综合总价，投标供应商报价应为承包完成上述所规定服务内容的全部工作所发生的管理费，并承担一切风险责任。投标供应商应从特点，市场行情及自身的能力，技术、管理水平，确定最终报价。</w:t>
      </w:r>
    </w:p>
    <w:p>
      <w:pPr>
        <w:numPr>
          <w:ilvl w:val="0"/>
          <w:numId w:val="25"/>
        </w:numPr>
        <w:adjustRightInd w:val="0"/>
        <w:snapToGrid w:val="0"/>
        <w:spacing w:line="240" w:lineRule="auto"/>
        <w:ind w:left="0" w:leftChars="0" w:firstLine="420" w:firstLineChars="0"/>
        <w:rPr>
          <w:rFonts w:hint="eastAsia" w:ascii="宋体" w:hAnsi="宋体" w:eastAsia="宋体" w:cs="宋体"/>
          <w:b/>
          <w:szCs w:val="21"/>
          <w:highlight w:val="none"/>
          <w:lang w:eastAsia="zh-CN"/>
        </w:rPr>
      </w:pPr>
      <w:r>
        <w:rPr>
          <w:rFonts w:hint="eastAsia" w:ascii="宋体" w:hAnsi="宋体" w:eastAsia="宋体" w:cs="宋体"/>
          <w:b/>
          <w:szCs w:val="21"/>
          <w:highlight w:val="none"/>
        </w:rPr>
        <w:t>付款</w:t>
      </w:r>
      <w:r>
        <w:rPr>
          <w:rFonts w:hint="eastAsia" w:ascii="宋体" w:hAnsi="宋体" w:eastAsia="宋体" w:cs="宋体"/>
          <w:b/>
          <w:bCs/>
        </w:rPr>
        <w:t>方式</w:t>
      </w:r>
      <w:r>
        <w:rPr>
          <w:rFonts w:hint="eastAsia" w:ascii="宋体" w:hAnsi="宋体" w:eastAsia="宋体" w:cs="宋体"/>
          <w:b/>
          <w:szCs w:val="21"/>
          <w:highlight w:val="none"/>
          <w:lang w:eastAsia="zh-CN"/>
        </w:rPr>
        <w:t>：</w:t>
      </w:r>
    </w:p>
    <w:p>
      <w:pPr>
        <w:numPr>
          <w:ilvl w:val="0"/>
          <w:numId w:val="29"/>
        </w:numPr>
        <w:tabs>
          <w:tab w:val="left" w:pos="640"/>
        </w:tabs>
        <w:spacing w:line="240" w:lineRule="auto"/>
        <w:ind w:left="0" w:leftChars="0" w:firstLine="422" w:firstLineChars="200"/>
        <w:jc w:val="both"/>
        <w:rPr>
          <w:rFonts w:hint="eastAsia" w:ascii="宋体" w:hAnsi="宋体" w:eastAsia="宋体" w:cs="宋体"/>
          <w:b/>
          <w:szCs w:val="21"/>
          <w:highlight w:val="none"/>
          <w:lang w:eastAsia="zh-CN"/>
        </w:rPr>
      </w:pPr>
      <w:r>
        <w:rPr>
          <w:rFonts w:hint="eastAsia" w:ascii="宋体" w:hAnsi="宋体" w:eastAsia="宋体" w:cs="宋体"/>
          <w:b/>
          <w:szCs w:val="21"/>
          <w:highlight w:val="none"/>
        </w:rPr>
        <w:t>付款方式为先服务后支付，半年支付一次，中标供应商凭正式税务</w:t>
      </w:r>
      <w:r>
        <w:rPr>
          <w:rFonts w:hint="eastAsia" w:ascii="宋体" w:hAnsi="宋体" w:eastAsia="宋体" w:cs="宋体"/>
          <w:b/>
          <w:szCs w:val="21"/>
          <w:highlight w:val="none"/>
          <w:lang w:val="en-US" w:eastAsia="zh-CN"/>
        </w:rPr>
        <w:t>增值税专用</w:t>
      </w:r>
      <w:r>
        <w:rPr>
          <w:rFonts w:hint="eastAsia" w:ascii="宋体" w:hAnsi="宋体" w:eastAsia="宋体" w:cs="宋体"/>
          <w:b/>
          <w:szCs w:val="21"/>
          <w:highlight w:val="none"/>
        </w:rPr>
        <w:t>发票向采购人结算</w:t>
      </w:r>
      <w:r>
        <w:rPr>
          <w:rFonts w:hint="eastAsia" w:ascii="宋体" w:hAnsi="宋体" w:eastAsia="宋体" w:cs="宋体"/>
          <w:b/>
          <w:szCs w:val="21"/>
          <w:highlight w:val="none"/>
          <w:lang w:val="en-US" w:eastAsia="zh-CN"/>
        </w:rPr>
        <w:t>费用</w:t>
      </w:r>
      <w:r>
        <w:rPr>
          <w:rFonts w:hint="eastAsia" w:ascii="宋体" w:hAnsi="宋体" w:eastAsia="宋体" w:cs="宋体"/>
          <w:b/>
          <w:szCs w:val="21"/>
          <w:highlight w:val="none"/>
        </w:rPr>
        <w:t>，按实结算</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最后一次费用在合同结束前提前支付</w:t>
      </w:r>
      <w:r>
        <w:rPr>
          <w:rFonts w:hint="eastAsia" w:ascii="宋体" w:hAnsi="宋体" w:eastAsia="宋体" w:cs="宋体"/>
          <w:b/>
          <w:szCs w:val="21"/>
          <w:highlight w:val="none"/>
          <w:lang w:eastAsia="zh-CN"/>
        </w:rPr>
        <w:t>。</w:t>
      </w:r>
    </w:p>
    <w:p>
      <w:pPr>
        <w:numPr>
          <w:ilvl w:val="0"/>
          <w:numId w:val="29"/>
        </w:numPr>
        <w:tabs>
          <w:tab w:val="left" w:pos="640"/>
        </w:tabs>
        <w:spacing w:line="240" w:lineRule="auto"/>
        <w:ind w:left="0" w:leftChars="0" w:firstLine="422" w:firstLineChars="200"/>
        <w:jc w:val="both"/>
        <w:rPr>
          <w:rFonts w:hint="eastAsia" w:ascii="宋体" w:hAnsi="宋体" w:eastAsia="宋体" w:cs="宋体"/>
          <w:b/>
          <w:szCs w:val="21"/>
        </w:rPr>
      </w:pPr>
      <w:r>
        <w:rPr>
          <w:rFonts w:hint="eastAsia" w:ascii="宋体" w:hAnsi="宋体" w:eastAsia="宋体" w:cs="宋体"/>
          <w:b/>
          <w:szCs w:val="21"/>
        </w:rPr>
        <w:t>甲方可随时根据实际情况进行核实，一经发现存在克扣员工工资及福利或者拖欠员工工资问题及福利将按照相关要求及法律规定对相关责任人严肃查处。</w:t>
      </w:r>
    </w:p>
    <w:p>
      <w:pPr>
        <w:numPr>
          <w:ilvl w:val="0"/>
          <w:numId w:val="25"/>
        </w:numPr>
        <w:adjustRightInd w:val="0"/>
        <w:snapToGrid w:val="0"/>
        <w:spacing w:line="240" w:lineRule="auto"/>
        <w:ind w:left="0" w:leftChars="0" w:firstLine="420" w:firstLineChars="0"/>
        <w:rPr>
          <w:rFonts w:hint="eastAsia" w:ascii="宋体" w:hAnsi="宋体" w:eastAsia="宋体" w:cs="宋体"/>
          <w:b/>
          <w:bCs/>
        </w:rPr>
      </w:pPr>
      <w:r>
        <w:rPr>
          <w:rFonts w:hint="eastAsia" w:ascii="宋体" w:hAnsi="宋体" w:eastAsia="宋体" w:cs="宋体"/>
          <w:b/>
          <w:bCs/>
        </w:rPr>
        <w:t>甲方的权利及义务：</w:t>
      </w:r>
    </w:p>
    <w:p>
      <w:pPr>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1.甲方有权要求乙方的相关人员按合同要求约定保质、保量完成工作，对乙方提供的人员的工作情况有权通过电话或书面向乙方反馈。</w:t>
      </w:r>
    </w:p>
    <w:p>
      <w:pPr>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2.在合同履行中，若因乙方的相关人员自身的过错造成甲方财产损毁或人身受到伤害，甲方有权要求乙方的相关人员承担赔偿责任，但因不可抗拒力甲方或服务对象自身的过错造成的除外。</w:t>
      </w:r>
    </w:p>
    <w:p>
      <w:pPr>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3.甲方有权根据实际情况，变更、增加服务内容和服务时间，但需经双方协商同意，并签订补充协议。</w:t>
      </w:r>
    </w:p>
    <w:p>
      <w:pPr>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4.甲方有权合理选择、更换和辞退相关人员。协议期内，符合下列情况之一，甲方有权解除协议：</w:t>
      </w:r>
    </w:p>
    <w:p>
      <w:pPr>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(1) 有效证据证明乙方项目服务人员在本次项目服务中有违法犯罪行为的；</w:t>
      </w:r>
    </w:p>
    <w:p>
      <w:pPr>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(2)提出调换人员后，间隔5个工作日乙方累计3次以上无法选派新的人员到岗工作的；</w:t>
      </w:r>
    </w:p>
    <w:p>
      <w:pPr>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(3) 根据乙方在服务期内被投诉的情况，甲方可根据投诉事件的情节严重性、投诉事件的数量及整改措施等情况做出对乙方是否解除协议的处理决定。</w:t>
      </w:r>
    </w:p>
    <w:p>
      <w:pPr>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(4)乙方的服务人员在上岗七个工作日的适应期后，仍不能完成合同所要求的工作，且乙方先后调换3人均未能达到甲方所要求的相应服务标准的。</w:t>
      </w:r>
    </w:p>
    <w:p>
      <w:pPr>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 xml:space="preserve">5.在合同履行期间，甲方有义务维护乙方的人员的人格尊严，并应为乙方的人员履行职责提供必要的工作条件。 </w:t>
      </w:r>
    </w:p>
    <w:p>
      <w:pPr>
        <w:adjustRightInd w:val="0"/>
        <w:snapToGrid w:val="0"/>
        <w:spacing w:line="240" w:lineRule="auto"/>
        <w:ind w:firstLine="420" w:firstLineChars="200"/>
        <w:rPr>
          <w:rFonts w:hint="eastAsia" w:ascii="宋体" w:hAnsi="宋体" w:eastAsia="宋体" w:cs="宋体"/>
          <w:sz w:val="24"/>
          <w:szCs w:val="24"/>
        </w:rPr>
      </w:pPr>
      <w:r>
        <w:rPr>
          <w:rFonts w:hint="eastAsia" w:ascii="宋体" w:hAnsi="宋体" w:eastAsia="宋体" w:cs="宋体"/>
          <w:lang w:val="en-US" w:eastAsia="zh-CN"/>
        </w:rPr>
        <w:t>6</w:t>
      </w:r>
      <w:r>
        <w:rPr>
          <w:rFonts w:hint="eastAsia" w:ascii="宋体" w:hAnsi="宋体" w:eastAsia="宋体" w:cs="宋体"/>
        </w:rPr>
        <w:t>、甲方不得将连续用工期间分割成数个短期劳务</w:t>
      </w:r>
      <w:r>
        <w:rPr>
          <w:rFonts w:hint="eastAsia" w:ascii="宋体" w:hAnsi="宋体" w:eastAsia="宋体" w:cs="宋体"/>
          <w:lang w:eastAsia="zh-CN"/>
        </w:rPr>
        <w:t>配备</w:t>
      </w:r>
      <w:r>
        <w:rPr>
          <w:rFonts w:hint="eastAsia" w:ascii="宋体" w:hAnsi="宋体" w:eastAsia="宋体" w:cs="宋体"/>
        </w:rPr>
        <w:t>协议。</w:t>
      </w:r>
    </w:p>
    <w:p>
      <w:pPr>
        <w:numPr>
          <w:ilvl w:val="0"/>
          <w:numId w:val="25"/>
        </w:numPr>
        <w:adjustRightInd w:val="0"/>
        <w:snapToGrid w:val="0"/>
        <w:spacing w:line="240" w:lineRule="auto"/>
        <w:ind w:left="0" w:leftChars="0" w:firstLine="420" w:firstLineChars="0"/>
        <w:rPr>
          <w:rFonts w:hint="eastAsia" w:ascii="宋体" w:hAnsi="宋体" w:eastAsia="宋体" w:cs="宋体"/>
          <w:b/>
          <w:bCs/>
        </w:rPr>
      </w:pPr>
      <w:r>
        <w:rPr>
          <w:rFonts w:hint="eastAsia" w:ascii="宋体" w:hAnsi="宋体" w:eastAsia="宋体" w:cs="宋体"/>
          <w:b/>
          <w:bCs/>
        </w:rPr>
        <w:t>乙方的权利及义务：</w:t>
      </w:r>
    </w:p>
    <w:p>
      <w:pPr>
        <w:adjustRightInd w:val="0"/>
        <w:snapToGrid w:val="0"/>
        <w:spacing w:line="24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1、乙方应根据甲方要求选任体检合格和具备相应服务能力、资质的</w:t>
      </w:r>
      <w:r>
        <w:rPr>
          <w:rFonts w:hint="eastAsia" w:ascii="宋体" w:hAnsi="宋体" w:eastAsia="宋体" w:cs="宋体"/>
          <w:b w:val="0"/>
          <w:bCs w:val="0"/>
          <w:szCs w:val="21"/>
          <w:lang w:eastAsia="zh-CN"/>
        </w:rPr>
        <w:t>配备</w:t>
      </w:r>
      <w:r>
        <w:rPr>
          <w:rFonts w:hint="eastAsia" w:ascii="宋体" w:hAnsi="宋体" w:eastAsia="宋体" w:cs="宋体"/>
          <w:b w:val="0"/>
          <w:bCs w:val="0"/>
          <w:szCs w:val="21"/>
        </w:rPr>
        <w:t>人员，方可从事相关服务。</w:t>
      </w:r>
    </w:p>
    <w:p>
      <w:pPr>
        <w:adjustRightInd w:val="0"/>
        <w:snapToGrid w:val="0"/>
        <w:spacing w:line="24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2、乙方应为其人员依法缴纳社会养老、工伤等五项社会保障保险。</w:t>
      </w:r>
    </w:p>
    <w:p>
      <w:pPr>
        <w:adjustRightInd w:val="0"/>
        <w:snapToGrid w:val="0"/>
        <w:spacing w:line="24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3、在合同履行中，乙方</w:t>
      </w:r>
      <w:r>
        <w:rPr>
          <w:rFonts w:hint="eastAsia" w:ascii="宋体" w:hAnsi="宋体" w:eastAsia="宋体" w:cs="宋体"/>
          <w:b w:val="0"/>
          <w:bCs w:val="0"/>
          <w:szCs w:val="21"/>
          <w:lang w:eastAsia="zh-CN"/>
        </w:rPr>
        <w:t>配备</w:t>
      </w:r>
      <w:r>
        <w:rPr>
          <w:rFonts w:hint="eastAsia" w:ascii="宋体" w:hAnsi="宋体" w:eastAsia="宋体" w:cs="宋体"/>
          <w:b w:val="0"/>
          <w:bCs w:val="0"/>
          <w:szCs w:val="21"/>
        </w:rPr>
        <w:t>人员应严格遵守甲方的工作制度做到不迟到，不早退，按期保质保量完成服务项目和工作。</w:t>
      </w:r>
    </w:p>
    <w:p>
      <w:pPr>
        <w:adjustRightInd w:val="0"/>
        <w:snapToGrid w:val="0"/>
        <w:spacing w:line="24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4、乙方</w:t>
      </w:r>
      <w:r>
        <w:rPr>
          <w:rFonts w:hint="eastAsia" w:ascii="宋体" w:hAnsi="宋体" w:eastAsia="宋体" w:cs="宋体"/>
          <w:b w:val="0"/>
          <w:bCs w:val="0"/>
          <w:szCs w:val="21"/>
          <w:lang w:eastAsia="zh-CN"/>
        </w:rPr>
        <w:t>配备</w:t>
      </w:r>
      <w:r>
        <w:rPr>
          <w:rFonts w:hint="eastAsia" w:ascii="宋体" w:hAnsi="宋体" w:eastAsia="宋体" w:cs="宋体"/>
          <w:b w:val="0"/>
          <w:bCs w:val="0"/>
          <w:szCs w:val="21"/>
        </w:rPr>
        <w:t>人员如对甲方有违约行为，乙方应为甲方和相关部门对相关事项的处理提供必要的帮助。</w:t>
      </w:r>
    </w:p>
    <w:p>
      <w:pPr>
        <w:adjustRightInd w:val="0"/>
        <w:snapToGrid w:val="0"/>
        <w:spacing w:line="24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5、乙方</w:t>
      </w:r>
      <w:r>
        <w:rPr>
          <w:rFonts w:hint="eastAsia" w:ascii="宋体" w:hAnsi="宋体" w:eastAsia="宋体" w:cs="宋体"/>
          <w:b w:val="0"/>
          <w:bCs w:val="0"/>
          <w:szCs w:val="21"/>
          <w:lang w:eastAsia="zh-CN"/>
        </w:rPr>
        <w:t>配备</w:t>
      </w:r>
      <w:r>
        <w:rPr>
          <w:rFonts w:hint="eastAsia" w:ascii="宋体" w:hAnsi="宋体" w:eastAsia="宋体" w:cs="宋体"/>
          <w:b w:val="0"/>
          <w:bCs w:val="0"/>
          <w:szCs w:val="21"/>
        </w:rPr>
        <w:t>人员应遵守甲方的各项规章制度，服从甲方的管理。</w:t>
      </w:r>
    </w:p>
    <w:p>
      <w:pPr>
        <w:adjustRightInd w:val="0"/>
        <w:snapToGrid w:val="0"/>
        <w:spacing w:line="24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6、乙方有权利要求甲方严格执行国家及地方有关休息休假的规定，保障乙方</w:t>
      </w:r>
      <w:r>
        <w:rPr>
          <w:rFonts w:hint="eastAsia" w:ascii="宋体" w:hAnsi="宋体" w:eastAsia="宋体" w:cs="宋体"/>
          <w:b w:val="0"/>
          <w:bCs w:val="0"/>
          <w:szCs w:val="21"/>
          <w:lang w:eastAsia="zh-CN"/>
        </w:rPr>
        <w:t>配备</w:t>
      </w:r>
      <w:r>
        <w:rPr>
          <w:rFonts w:hint="eastAsia" w:ascii="宋体" w:hAnsi="宋体" w:eastAsia="宋体" w:cs="宋体"/>
          <w:b w:val="0"/>
          <w:bCs w:val="0"/>
          <w:szCs w:val="21"/>
        </w:rPr>
        <w:t>人员的休息休假权益。乙方有权对甲方提供有关劳动保障条件等内容予以监督。</w:t>
      </w:r>
    </w:p>
    <w:p>
      <w:pPr>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b w:val="0"/>
          <w:bCs w:val="0"/>
          <w:szCs w:val="21"/>
        </w:rPr>
        <w:t>7、本协议期</w:t>
      </w:r>
      <w:r>
        <w:rPr>
          <w:rFonts w:hint="eastAsia" w:ascii="宋体" w:hAnsi="宋体" w:eastAsia="宋体" w:cs="宋体"/>
          <w:szCs w:val="21"/>
        </w:rPr>
        <w:t>满，如甲方仍有劳务需求，乙方享有优先续约的权利。</w:t>
      </w:r>
    </w:p>
    <w:p>
      <w:pPr>
        <w:numPr>
          <w:ilvl w:val="0"/>
          <w:numId w:val="25"/>
        </w:numPr>
        <w:adjustRightInd w:val="0"/>
        <w:snapToGrid w:val="0"/>
        <w:spacing w:line="240" w:lineRule="auto"/>
        <w:ind w:left="0" w:leftChars="0" w:firstLine="420" w:firstLineChars="0"/>
        <w:rPr>
          <w:rFonts w:hint="eastAsia" w:ascii="宋体" w:hAnsi="宋体" w:eastAsia="宋体" w:cs="宋体"/>
        </w:rPr>
      </w:pPr>
      <w:r>
        <w:rPr>
          <w:rFonts w:hint="eastAsia" w:ascii="宋体" w:hAnsi="宋体" w:eastAsia="宋体" w:cs="宋体"/>
        </w:rPr>
        <w:t>违约责任</w:t>
      </w:r>
    </w:p>
    <w:p>
      <w:pPr>
        <w:adjustRightInd w:val="0"/>
        <w:snapToGrid w:val="0"/>
        <w:spacing w:line="240" w:lineRule="auto"/>
        <w:ind w:firstLine="422" w:firstLineChars="200"/>
        <w:rPr>
          <w:rFonts w:hint="eastAsia" w:ascii="宋体" w:hAnsi="宋体" w:eastAsia="宋体" w:cs="宋体"/>
          <w:szCs w:val="21"/>
        </w:rPr>
      </w:pPr>
      <w:r>
        <w:rPr>
          <w:rFonts w:hint="eastAsia" w:ascii="宋体" w:hAnsi="宋体" w:eastAsia="宋体" w:cs="宋体"/>
          <w:b/>
          <w:bCs/>
          <w:szCs w:val="21"/>
        </w:rPr>
        <w:t>1、</w:t>
      </w:r>
      <w:r>
        <w:rPr>
          <w:rFonts w:hint="eastAsia" w:ascii="宋体" w:hAnsi="宋体" w:eastAsia="宋体" w:cs="宋体"/>
          <w:szCs w:val="21"/>
        </w:rPr>
        <w:t>甲乙双方应遵守合同约定，任何一方违反合同约定，另外一方均有权解 除合同并要求赔偿因违约造成的损失，合同另有约定的除外。</w:t>
      </w:r>
    </w:p>
    <w:p>
      <w:pPr>
        <w:adjustRightInd w:val="0"/>
        <w:snapToGrid w:val="0"/>
        <w:spacing w:line="240" w:lineRule="auto"/>
        <w:ind w:firstLine="422" w:firstLineChars="200"/>
        <w:rPr>
          <w:rFonts w:hint="eastAsia" w:ascii="宋体" w:hAnsi="宋体" w:eastAsia="宋体" w:cs="宋体"/>
          <w:szCs w:val="21"/>
        </w:rPr>
      </w:pPr>
      <w:r>
        <w:rPr>
          <w:rFonts w:hint="eastAsia" w:ascii="宋体" w:hAnsi="宋体" w:eastAsia="宋体" w:cs="宋体"/>
          <w:b/>
          <w:bCs/>
          <w:szCs w:val="21"/>
        </w:rPr>
        <w:t>2、</w:t>
      </w:r>
      <w:r>
        <w:rPr>
          <w:rFonts w:hint="eastAsia" w:ascii="宋体" w:hAnsi="宋体" w:eastAsia="宋体" w:cs="宋体"/>
          <w:szCs w:val="21"/>
        </w:rPr>
        <w:t>不可抗力：由于不可抗力的原因不能履行合同时，应及时向对方通报不能履行或不能完全履行的理由，在取得有关权威部门的证明以后，允许延期履行、部分履行或者不履行合同，并根据情况可部分或全部免予承担违约责任。</w:t>
      </w:r>
    </w:p>
    <w:p>
      <w:pPr>
        <w:numPr>
          <w:ilvl w:val="0"/>
          <w:numId w:val="25"/>
        </w:numPr>
        <w:adjustRightInd w:val="0"/>
        <w:snapToGrid w:val="0"/>
        <w:spacing w:line="240" w:lineRule="auto"/>
        <w:ind w:left="0" w:leftChars="0" w:firstLine="420" w:firstLineChars="0"/>
        <w:rPr>
          <w:rFonts w:hint="eastAsia" w:ascii="宋体" w:hAnsi="宋体" w:eastAsia="宋体" w:cs="宋体"/>
          <w:szCs w:val="21"/>
        </w:rPr>
      </w:pPr>
      <w:r>
        <w:rPr>
          <w:rFonts w:hint="eastAsia" w:ascii="宋体" w:hAnsi="宋体" w:eastAsia="宋体" w:cs="宋体"/>
          <w:b/>
          <w:bCs/>
          <w:szCs w:val="21"/>
        </w:rPr>
        <w:t>协议的变更、解除、终止</w:t>
      </w:r>
    </w:p>
    <w:p>
      <w:pPr>
        <w:adjustRightInd w:val="0"/>
        <w:snapToGrid w:val="0"/>
        <w:spacing w:line="240" w:lineRule="auto"/>
        <w:ind w:firstLine="422" w:firstLineChars="200"/>
        <w:rPr>
          <w:rFonts w:hint="eastAsia" w:ascii="宋体" w:hAnsi="宋体" w:eastAsia="宋体" w:cs="宋体"/>
          <w:szCs w:val="21"/>
        </w:rPr>
      </w:pPr>
      <w:r>
        <w:rPr>
          <w:rFonts w:hint="eastAsia" w:ascii="宋体" w:hAnsi="宋体" w:eastAsia="宋体" w:cs="宋体"/>
          <w:b/>
          <w:bCs/>
          <w:szCs w:val="21"/>
        </w:rPr>
        <w:t>1、</w:t>
      </w:r>
      <w:r>
        <w:rPr>
          <w:rFonts w:hint="eastAsia" w:ascii="宋体" w:hAnsi="宋体" w:eastAsia="宋体" w:cs="宋体"/>
          <w:szCs w:val="21"/>
        </w:rPr>
        <w:t>合同补充和修改：对合同条款作任何改动或偏离，增加补充条款，均须由甲、乙双方签订书面的补充合同。</w:t>
      </w:r>
    </w:p>
    <w:p>
      <w:pPr>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2、确因政策变化等不可归责于甲乙双方的事由导致本合同不能履行或履行严重有违公平的，甲乙双方应当协商一致予以解除或变更本合同。</w:t>
      </w:r>
    </w:p>
    <w:p>
      <w:pPr>
        <w:numPr>
          <w:ilvl w:val="0"/>
          <w:numId w:val="25"/>
        </w:numPr>
        <w:adjustRightInd w:val="0"/>
        <w:snapToGrid w:val="0"/>
        <w:spacing w:line="240" w:lineRule="auto"/>
        <w:ind w:left="0" w:leftChars="0" w:firstLine="420" w:firstLineChars="0"/>
        <w:rPr>
          <w:rFonts w:hint="eastAsia" w:ascii="宋体" w:hAnsi="宋体" w:eastAsia="宋体" w:cs="宋体"/>
          <w:szCs w:val="21"/>
        </w:rPr>
      </w:pPr>
      <w:r>
        <w:rPr>
          <w:rFonts w:hint="eastAsia" w:ascii="宋体" w:hAnsi="宋体" w:eastAsia="宋体" w:cs="宋体"/>
          <w:szCs w:val="21"/>
        </w:rPr>
        <w:t>本合同的其他组成文件：</w:t>
      </w:r>
    </w:p>
    <w:p>
      <w:pPr>
        <w:adjustRightInd w:val="0"/>
        <w:snapToGrid w:val="0"/>
        <w:spacing w:line="240" w:lineRule="auto"/>
        <w:ind w:firstLine="422" w:firstLineChars="200"/>
        <w:rPr>
          <w:rFonts w:hint="eastAsia" w:ascii="宋体" w:hAnsi="宋体" w:eastAsia="宋体" w:cs="宋体"/>
          <w:szCs w:val="21"/>
        </w:rPr>
      </w:pPr>
      <w:r>
        <w:rPr>
          <w:rFonts w:hint="eastAsia" w:ascii="宋体" w:hAnsi="宋体" w:eastAsia="宋体" w:cs="宋体"/>
          <w:b/>
          <w:bCs/>
          <w:szCs w:val="21"/>
        </w:rPr>
        <w:t>1、</w:t>
      </w:r>
      <w:r>
        <w:rPr>
          <w:rFonts w:hint="eastAsia" w:ascii="宋体" w:hAnsi="宋体" w:eastAsia="宋体" w:cs="宋体"/>
          <w:szCs w:val="21"/>
        </w:rPr>
        <w:t>采购文件（含补充、修改文件）</w:t>
      </w:r>
    </w:p>
    <w:p>
      <w:pPr>
        <w:adjustRightInd w:val="0"/>
        <w:snapToGrid w:val="0"/>
        <w:spacing w:line="240" w:lineRule="auto"/>
        <w:ind w:firstLine="422" w:firstLineChars="200"/>
        <w:rPr>
          <w:rFonts w:hint="eastAsia" w:ascii="宋体" w:hAnsi="宋体" w:eastAsia="宋体" w:cs="宋体"/>
          <w:szCs w:val="21"/>
        </w:rPr>
      </w:pPr>
      <w:r>
        <w:rPr>
          <w:rFonts w:hint="eastAsia" w:ascii="宋体" w:hAnsi="宋体" w:eastAsia="宋体" w:cs="宋体"/>
          <w:b/>
          <w:bCs/>
          <w:szCs w:val="21"/>
        </w:rPr>
        <w:t>2、</w:t>
      </w:r>
      <w:r>
        <w:rPr>
          <w:rFonts w:hint="eastAsia" w:ascii="宋体" w:hAnsi="宋体" w:eastAsia="宋体" w:cs="宋体"/>
          <w:szCs w:val="21"/>
        </w:rPr>
        <w:t>乙方的采购响应文件（含澄清、补充文件）</w:t>
      </w:r>
    </w:p>
    <w:p>
      <w:pPr>
        <w:adjustRightInd w:val="0"/>
        <w:snapToGrid w:val="0"/>
        <w:spacing w:line="240" w:lineRule="auto"/>
        <w:ind w:firstLine="422" w:firstLineChars="200"/>
        <w:rPr>
          <w:rFonts w:hint="eastAsia" w:ascii="宋体" w:hAnsi="宋体" w:eastAsia="宋体" w:cs="宋体"/>
          <w:szCs w:val="21"/>
        </w:rPr>
      </w:pPr>
      <w:r>
        <w:rPr>
          <w:rFonts w:hint="eastAsia" w:ascii="宋体" w:hAnsi="宋体" w:eastAsia="宋体" w:cs="宋体"/>
          <w:b/>
          <w:bCs/>
          <w:szCs w:val="21"/>
        </w:rPr>
        <w:t>3、</w:t>
      </w:r>
      <w:r>
        <w:rPr>
          <w:rFonts w:hint="eastAsia" w:ascii="宋体" w:hAnsi="宋体" w:eastAsia="宋体" w:cs="宋体"/>
          <w:szCs w:val="21"/>
        </w:rPr>
        <w:t>甲方的工作制度及各项规章制度</w:t>
      </w:r>
    </w:p>
    <w:p>
      <w:pPr>
        <w:adjustRightInd w:val="0"/>
        <w:snapToGrid w:val="0"/>
        <w:spacing w:line="240" w:lineRule="auto"/>
        <w:ind w:firstLine="422" w:firstLineChars="200"/>
        <w:rPr>
          <w:rFonts w:hint="eastAsia" w:ascii="宋体" w:hAnsi="宋体" w:eastAsia="宋体" w:cs="宋体"/>
          <w:szCs w:val="21"/>
        </w:rPr>
      </w:pPr>
      <w:r>
        <w:rPr>
          <w:rFonts w:hint="eastAsia" w:ascii="宋体" w:hAnsi="宋体" w:eastAsia="宋体" w:cs="宋体"/>
          <w:b/>
          <w:bCs/>
          <w:szCs w:val="21"/>
        </w:rPr>
        <w:t>4、___________________________________</w:t>
      </w:r>
      <w:r>
        <w:rPr>
          <w:rFonts w:hint="eastAsia" w:ascii="宋体" w:hAnsi="宋体" w:eastAsia="宋体" w:cs="宋体"/>
          <w:szCs w:val="21"/>
        </w:rPr>
        <w:t>。</w:t>
      </w:r>
    </w:p>
    <w:p>
      <w:pPr>
        <w:numPr>
          <w:ilvl w:val="0"/>
          <w:numId w:val="25"/>
        </w:numPr>
        <w:adjustRightInd w:val="0"/>
        <w:snapToGrid w:val="0"/>
        <w:spacing w:line="240" w:lineRule="auto"/>
        <w:ind w:left="0" w:leftChars="0" w:firstLine="420" w:firstLineChars="0"/>
        <w:rPr>
          <w:rFonts w:hint="eastAsia" w:ascii="宋体" w:hAnsi="宋体" w:eastAsia="宋体" w:cs="宋体"/>
        </w:rPr>
      </w:pPr>
      <w:r>
        <w:rPr>
          <w:rFonts w:hint="eastAsia" w:ascii="宋体" w:hAnsi="宋体" w:eastAsia="宋体" w:cs="宋体"/>
        </w:rPr>
        <w:t>其他事项</w:t>
      </w:r>
    </w:p>
    <w:p>
      <w:pPr>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1、合同纠纷：如发生合同纠纷，甲、乙双方协商解决；协商不成时，可提请相关部门调解；调解不成，双方约定</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协商不能解决的，任何一方有权在合同签约地选择仲裁或诉讼的途径解决。</w:t>
      </w:r>
    </w:p>
    <w:p>
      <w:pPr>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2、未尽事宜：合同如有未尽事宜，须经甲、乙双方共同协商，作出补充约定；补充约定与本合同具有同等效力。</w:t>
      </w:r>
    </w:p>
    <w:p>
      <w:pPr>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3、合同份数及生效：本合同一式</w:t>
      </w:r>
      <w:r>
        <w:rPr>
          <w:rFonts w:hint="eastAsia" w:ascii="宋体" w:hAnsi="宋体" w:eastAsia="宋体" w:cs="宋体"/>
          <w:lang w:val="en-US" w:eastAsia="zh-CN"/>
        </w:rPr>
        <w:t>贰</w:t>
      </w:r>
      <w:r>
        <w:rPr>
          <w:rFonts w:hint="eastAsia" w:ascii="宋体" w:hAnsi="宋体" w:eastAsia="宋体" w:cs="宋体"/>
        </w:rPr>
        <w:t>份，甲方、乙方各</w:t>
      </w:r>
      <w:r>
        <w:rPr>
          <w:rFonts w:hint="eastAsia" w:ascii="宋体" w:hAnsi="宋体" w:eastAsia="宋体" w:cs="宋体"/>
          <w:lang w:val="en-US" w:eastAsia="zh-CN"/>
        </w:rPr>
        <w:t>壹</w:t>
      </w:r>
      <w:r>
        <w:rPr>
          <w:rFonts w:hint="eastAsia" w:ascii="宋体" w:hAnsi="宋体" w:eastAsia="宋体" w:cs="宋体"/>
        </w:rPr>
        <w:t xml:space="preserve">份。本合同经甲、乙双方盖章后生效。 </w:t>
      </w:r>
    </w:p>
    <w:p>
      <w:pPr>
        <w:adjustRightInd w:val="0"/>
        <w:snapToGrid w:val="0"/>
        <w:spacing w:line="240" w:lineRule="auto"/>
        <w:rPr>
          <w:rFonts w:hint="eastAsia" w:ascii="宋体" w:hAnsi="宋体" w:eastAsia="宋体" w:cs="宋体"/>
          <w:szCs w:val="28"/>
        </w:rPr>
      </w:pPr>
    </w:p>
    <w:p>
      <w:pPr>
        <w:adjustRightInd w:val="0"/>
        <w:snapToGrid w:val="0"/>
        <w:spacing w:line="240" w:lineRule="auto"/>
        <w:rPr>
          <w:rFonts w:hint="eastAsia" w:ascii="宋体" w:hAnsi="宋体" w:eastAsia="宋体" w:cs="宋体"/>
          <w:szCs w:val="28"/>
        </w:rPr>
      </w:pPr>
    </w:p>
    <w:p>
      <w:pPr>
        <w:adjustRightInd w:val="0"/>
        <w:snapToGrid w:val="0"/>
        <w:spacing w:line="600" w:lineRule="auto"/>
        <w:rPr>
          <w:rFonts w:hint="eastAsia" w:ascii="宋体" w:hAnsi="宋体" w:eastAsia="宋体" w:cs="宋体"/>
          <w:szCs w:val="28"/>
        </w:rPr>
      </w:pPr>
    </w:p>
    <w:p>
      <w:pPr>
        <w:adjustRightInd w:val="0"/>
        <w:snapToGrid w:val="0"/>
        <w:spacing w:line="600" w:lineRule="auto"/>
        <w:rPr>
          <w:rFonts w:hint="eastAsia" w:ascii="宋体" w:hAnsi="宋体" w:eastAsia="宋体" w:cs="宋体"/>
          <w:szCs w:val="28"/>
        </w:rPr>
      </w:pPr>
    </w:p>
    <w:p>
      <w:pPr>
        <w:adjustRightInd w:val="0"/>
        <w:snapToGrid w:val="0"/>
        <w:spacing w:line="600" w:lineRule="auto"/>
        <w:rPr>
          <w:rFonts w:hint="eastAsia" w:ascii="宋体" w:hAnsi="宋体" w:eastAsia="宋体" w:cs="宋体"/>
          <w:b/>
          <w:bCs/>
          <w:szCs w:val="28"/>
        </w:rPr>
      </w:pPr>
      <w:r>
        <w:rPr>
          <w:rFonts w:hint="eastAsia" w:ascii="宋体" w:hAnsi="宋体" w:eastAsia="宋体" w:cs="宋体"/>
          <w:szCs w:val="28"/>
        </w:rPr>
        <w:t>甲    方：（盖章）</w:t>
      </w:r>
      <w:r>
        <w:rPr>
          <w:rFonts w:hint="eastAsia" w:ascii="宋体" w:hAnsi="宋体" w:eastAsia="宋体" w:cs="宋体"/>
          <w:szCs w:val="28"/>
          <w:u w:val="single"/>
        </w:rPr>
        <w:t xml:space="preserve">               </w:t>
      </w:r>
      <w:r>
        <w:rPr>
          <w:rFonts w:hint="eastAsia" w:ascii="宋体" w:hAnsi="宋体" w:eastAsia="宋体" w:cs="宋体"/>
          <w:szCs w:val="28"/>
        </w:rPr>
        <w:t xml:space="preserve">        </w:t>
      </w:r>
      <w:r>
        <w:rPr>
          <w:rFonts w:hint="eastAsia" w:ascii="宋体" w:hAnsi="宋体" w:eastAsia="宋体" w:cs="宋体"/>
          <w:szCs w:val="28"/>
          <w:lang w:val="en-US" w:eastAsia="zh-CN"/>
        </w:rPr>
        <w:t xml:space="preserve"> </w:t>
      </w:r>
      <w:r>
        <w:rPr>
          <w:rFonts w:hint="eastAsia" w:ascii="宋体" w:hAnsi="宋体" w:eastAsia="宋体" w:cs="宋体"/>
          <w:szCs w:val="28"/>
        </w:rPr>
        <w:t xml:space="preserve">    乙    方：（盖章）</w:t>
      </w:r>
      <w:r>
        <w:rPr>
          <w:rFonts w:hint="eastAsia" w:ascii="宋体" w:hAnsi="宋体" w:eastAsia="宋体" w:cs="宋体"/>
          <w:szCs w:val="28"/>
          <w:u w:val="single"/>
        </w:rPr>
        <w:t xml:space="preserve">        </w:t>
      </w:r>
      <w:r>
        <w:rPr>
          <w:rFonts w:hint="eastAsia" w:ascii="宋体" w:hAnsi="宋体" w:eastAsia="宋体" w:cs="宋体"/>
          <w:szCs w:val="28"/>
          <w:u w:val="single"/>
          <w:lang w:val="en-US" w:eastAsia="zh-CN"/>
        </w:rPr>
        <w:t xml:space="preserve">     </w:t>
      </w:r>
      <w:r>
        <w:rPr>
          <w:rFonts w:hint="eastAsia" w:ascii="宋体" w:hAnsi="宋体" w:eastAsia="宋体" w:cs="宋体"/>
          <w:szCs w:val="28"/>
          <w:u w:val="single"/>
        </w:rPr>
        <w:t xml:space="preserve">      </w:t>
      </w:r>
    </w:p>
    <w:p>
      <w:pPr>
        <w:adjustRightInd w:val="0"/>
        <w:snapToGrid w:val="0"/>
        <w:spacing w:line="600" w:lineRule="auto"/>
        <w:rPr>
          <w:rFonts w:hint="eastAsia" w:ascii="宋体" w:hAnsi="宋体" w:eastAsia="宋体" w:cs="宋体"/>
          <w:szCs w:val="28"/>
          <w:u w:val="single"/>
        </w:rPr>
      </w:pPr>
      <w:r>
        <w:rPr>
          <w:rFonts w:hint="eastAsia" w:ascii="宋体" w:hAnsi="宋体" w:eastAsia="宋体" w:cs="宋体"/>
          <w:szCs w:val="28"/>
        </w:rPr>
        <w:t>法定代表人或授权代表：</w:t>
      </w:r>
      <w:r>
        <w:rPr>
          <w:rFonts w:hint="eastAsia" w:ascii="宋体" w:hAnsi="宋体" w:eastAsia="宋体" w:cs="宋体"/>
          <w:szCs w:val="28"/>
          <w:u w:val="single"/>
        </w:rPr>
        <w:t xml:space="preserve">          </w:t>
      </w:r>
      <w:r>
        <w:rPr>
          <w:rFonts w:hint="eastAsia" w:ascii="宋体" w:hAnsi="宋体" w:eastAsia="宋体" w:cs="宋体"/>
          <w:szCs w:val="28"/>
        </w:rPr>
        <w:t xml:space="preserve">             法定代表人或授权代表：</w:t>
      </w:r>
      <w:r>
        <w:rPr>
          <w:rFonts w:hint="eastAsia" w:ascii="宋体" w:hAnsi="宋体" w:eastAsia="宋体" w:cs="宋体"/>
          <w:szCs w:val="28"/>
          <w:u w:val="single"/>
        </w:rPr>
        <w:t xml:space="preserve">       </w:t>
      </w:r>
      <w:r>
        <w:rPr>
          <w:rFonts w:hint="eastAsia" w:ascii="宋体" w:hAnsi="宋体" w:eastAsia="宋体" w:cs="宋体"/>
          <w:szCs w:val="28"/>
          <w:u w:val="single"/>
          <w:lang w:val="en-US" w:eastAsia="zh-CN"/>
        </w:rPr>
        <w:t xml:space="preserve">    </w:t>
      </w:r>
      <w:r>
        <w:rPr>
          <w:rFonts w:hint="eastAsia" w:ascii="宋体" w:hAnsi="宋体" w:eastAsia="宋体" w:cs="宋体"/>
          <w:szCs w:val="28"/>
          <w:u w:val="single"/>
        </w:rPr>
        <w:t xml:space="preserve">   </w:t>
      </w:r>
    </w:p>
    <w:p>
      <w:pPr>
        <w:adjustRightInd w:val="0"/>
        <w:snapToGrid w:val="0"/>
        <w:spacing w:line="600" w:lineRule="auto"/>
        <w:rPr>
          <w:rFonts w:hint="eastAsia" w:ascii="宋体" w:hAnsi="宋体" w:eastAsia="宋体" w:cs="宋体"/>
          <w:szCs w:val="28"/>
        </w:rPr>
      </w:pPr>
      <w:r>
        <w:rPr>
          <w:rFonts w:hint="eastAsia" w:ascii="宋体" w:hAnsi="宋体" w:eastAsia="宋体" w:cs="宋体"/>
          <w:szCs w:val="28"/>
        </w:rPr>
        <w:t>合同订立时间：</w:t>
      </w:r>
      <w:r>
        <w:rPr>
          <w:rFonts w:hint="eastAsia" w:ascii="宋体" w:hAnsi="宋体" w:eastAsia="宋体" w:cs="宋体"/>
          <w:szCs w:val="28"/>
          <w:u w:val="single"/>
        </w:rPr>
        <w:t xml:space="preserve">        </w:t>
      </w:r>
      <w:r>
        <w:rPr>
          <w:rFonts w:hint="eastAsia" w:ascii="宋体" w:hAnsi="宋体" w:eastAsia="宋体" w:cs="宋体"/>
          <w:szCs w:val="28"/>
        </w:rPr>
        <w:t>年</w:t>
      </w:r>
      <w:r>
        <w:rPr>
          <w:rFonts w:hint="eastAsia" w:ascii="宋体" w:hAnsi="宋体" w:eastAsia="宋体" w:cs="宋体"/>
          <w:szCs w:val="28"/>
          <w:u w:val="single"/>
        </w:rPr>
        <w:t xml:space="preserve">    </w:t>
      </w:r>
      <w:r>
        <w:rPr>
          <w:rFonts w:hint="eastAsia" w:ascii="宋体" w:hAnsi="宋体" w:eastAsia="宋体" w:cs="宋体"/>
          <w:szCs w:val="28"/>
        </w:rPr>
        <w:t>月</w:t>
      </w:r>
      <w:r>
        <w:rPr>
          <w:rFonts w:hint="eastAsia" w:ascii="宋体" w:hAnsi="宋体" w:eastAsia="宋体" w:cs="宋体"/>
          <w:szCs w:val="28"/>
          <w:u w:val="single"/>
        </w:rPr>
        <w:t xml:space="preserve">    </w:t>
      </w:r>
      <w:r>
        <w:rPr>
          <w:rFonts w:hint="eastAsia" w:ascii="宋体" w:hAnsi="宋体" w:eastAsia="宋体" w:cs="宋体"/>
          <w:szCs w:val="28"/>
        </w:rPr>
        <w:t>日</w:t>
      </w:r>
    </w:p>
    <w:p>
      <w:pPr>
        <w:pStyle w:val="2"/>
        <w:ind w:left="0" w:leftChars="0" w:firstLine="0" w:firstLineChars="0"/>
        <w:rPr>
          <w:rFonts w:hint="eastAsia" w:ascii="宋体" w:hAnsi="宋体" w:eastAsia="宋体" w:cs="宋体"/>
          <w:lang w:val="zh-CN"/>
        </w:rPr>
      </w:pPr>
    </w:p>
    <w:bookmarkEnd w:id="169"/>
    <w:bookmarkEnd w:id="170"/>
    <w:bookmarkEnd w:id="171"/>
    <w:bookmarkEnd w:id="172"/>
    <w:bookmarkEnd w:id="173"/>
    <w:bookmarkEnd w:id="174"/>
    <w:bookmarkEnd w:id="175"/>
    <w:bookmarkEnd w:id="176"/>
    <w:bookmarkEnd w:id="177"/>
    <w:bookmarkEnd w:id="178"/>
    <w:p>
      <w:pPr>
        <w:pStyle w:val="13"/>
        <w:spacing w:line="240" w:lineRule="auto"/>
        <w:rPr>
          <w:rFonts w:hint="eastAsia" w:ascii="宋体" w:hAnsi="宋体" w:eastAsia="宋体" w:cs="宋体"/>
          <w:color w:val="auto"/>
          <w:kern w:val="0"/>
          <w:sz w:val="21"/>
          <w:szCs w:val="21"/>
          <w:highlight w:val="none"/>
          <w:lang w:val="en-US" w:eastAsia="zh-CN" w:bidi="ar-SA"/>
        </w:rPr>
      </w:pPr>
      <w:bookmarkStart w:id="190" w:name="_Toc491780525"/>
    </w:p>
    <w:p>
      <w:pPr>
        <w:pStyle w:val="13"/>
        <w:spacing w:line="240" w:lineRule="auto"/>
        <w:rPr>
          <w:rFonts w:hint="eastAsia" w:ascii="宋体" w:hAnsi="宋体" w:eastAsia="宋体" w:cs="宋体"/>
          <w:color w:val="auto"/>
          <w:kern w:val="0"/>
          <w:sz w:val="21"/>
          <w:szCs w:val="21"/>
          <w:highlight w:val="none"/>
          <w:lang w:val="en-US" w:eastAsia="zh-CN" w:bidi="ar-SA"/>
        </w:rPr>
      </w:pPr>
    </w:p>
    <w:p>
      <w:pPr>
        <w:rPr>
          <w:rFonts w:hint="eastAsia" w:ascii="宋体" w:hAnsi="宋体" w:eastAsia="宋体" w:cs="宋体"/>
          <w:b/>
          <w:bCs/>
          <w:color w:val="auto"/>
          <w:sz w:val="36"/>
          <w:szCs w:val="36"/>
          <w:highlight w:val="none"/>
        </w:rPr>
      </w:pPr>
    </w:p>
    <w:p>
      <w:pPr>
        <w:rPr>
          <w:rFonts w:hint="eastAsia" w:ascii="宋体" w:hAnsi="宋体" w:eastAsia="宋体" w:cs="宋体"/>
          <w:highlight w:val="none"/>
        </w:rPr>
        <w:sectPr>
          <w:footerReference r:id="rId3" w:type="default"/>
          <w:pgSz w:w="11906" w:h="16838"/>
          <w:pgMar w:top="1417" w:right="1417" w:bottom="1361" w:left="1417" w:header="851" w:footer="992" w:gutter="0"/>
          <w:pgNumType w:fmt="decimal" w:start="1"/>
          <w:cols w:space="720" w:num="1"/>
          <w:docGrid w:type="lines" w:linePitch="312" w:charSpace="0"/>
        </w:sectPr>
      </w:pPr>
    </w:p>
    <w:p>
      <w:pPr>
        <w:pStyle w:val="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w:t>
      </w:r>
    </w:p>
    <w:p>
      <w:pPr>
        <w:bidi w:val="0"/>
        <w:jc w:val="center"/>
        <w:rPr>
          <w:rFonts w:hint="eastAsia" w:ascii="宋体" w:hAnsi="宋体" w:eastAsia="宋体" w:cs="宋体"/>
          <w:sz w:val="28"/>
          <w:szCs w:val="28"/>
        </w:rPr>
      </w:pPr>
      <w:r>
        <w:rPr>
          <w:rFonts w:hint="eastAsia" w:ascii="宋体" w:hAnsi="宋体" w:eastAsia="宋体" w:cs="宋体"/>
          <w:sz w:val="28"/>
          <w:szCs w:val="28"/>
          <w:lang w:eastAsia="zh-CN"/>
        </w:rPr>
        <w:t>“瓯江红·畅美高速”党群服务中心物业服务</w:t>
      </w:r>
      <w:r>
        <w:rPr>
          <w:rFonts w:hint="eastAsia" w:ascii="宋体" w:hAnsi="宋体" w:eastAsia="宋体" w:cs="宋体"/>
          <w:sz w:val="28"/>
          <w:szCs w:val="28"/>
        </w:rPr>
        <w:t>考核评分表</w:t>
      </w:r>
    </w:p>
    <w:tbl>
      <w:tblPr>
        <w:tblStyle w:val="25"/>
        <w:tblW w:w="14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04"/>
        <w:gridCol w:w="6239"/>
        <w:gridCol w:w="4407"/>
        <w:gridCol w:w="123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bookmarkStart w:id="191" w:name="_Hlk14013497"/>
            <w:r>
              <w:rPr>
                <w:rFonts w:hint="eastAsia" w:ascii="宋体" w:hAnsi="宋体" w:eastAsia="宋体" w:cs="宋体"/>
                <w:b/>
                <w:color w:val="auto"/>
                <w:sz w:val="18"/>
                <w:szCs w:val="18"/>
              </w:rPr>
              <w:t>项目</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考核标准</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考核办法</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扣分事项</w:t>
            </w: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总</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体</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要</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求</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（50分）</w:t>
            </w: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规</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章</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制</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度</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分）</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18"/>
                <w:szCs w:val="18"/>
              </w:rPr>
            </w:pPr>
            <w:r>
              <w:rPr>
                <w:rFonts w:hint="eastAsia" w:ascii="宋体" w:hAnsi="宋体" w:eastAsia="宋体" w:cs="宋体"/>
                <w:color w:val="auto"/>
                <w:sz w:val="18"/>
                <w:szCs w:val="18"/>
              </w:rPr>
              <w:t>1、健全内部各项规章制度及应急预案</w:t>
            </w:r>
            <w:r>
              <w:rPr>
                <w:rFonts w:hint="eastAsia" w:ascii="宋体" w:hAnsi="宋体" w:eastAsia="宋体" w:cs="宋体"/>
                <w:bCs/>
                <w:color w:val="auto"/>
                <w:sz w:val="18"/>
                <w:szCs w:val="18"/>
              </w:rPr>
              <w:t>；</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未建立扣5分，不健全扣2扣</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2、熟悉</w:t>
            </w:r>
            <w:r>
              <w:rPr>
                <w:rFonts w:hint="eastAsia" w:ascii="宋体" w:hAnsi="宋体" w:eastAsia="宋体" w:cs="宋体"/>
                <w:color w:val="auto"/>
                <w:sz w:val="18"/>
                <w:szCs w:val="18"/>
                <w:lang w:val="en-US" w:eastAsia="zh-CN"/>
              </w:rPr>
              <w:t>党群服务中心和服务区</w:t>
            </w:r>
            <w:r>
              <w:rPr>
                <w:rFonts w:hint="eastAsia" w:ascii="宋体" w:hAnsi="宋体" w:eastAsia="宋体" w:cs="宋体"/>
                <w:color w:val="auto"/>
                <w:sz w:val="18"/>
                <w:szCs w:val="18"/>
              </w:rPr>
              <w:t>各项管理制度及应急预案，并有效组织实施；</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不熟悉扣1分，不能有效组织实施扣2分；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3、建立内部岗位绩效考核办法；</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未建立绩效考核办法扣2分，未落实考核奖罚办法执行扣5分；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人</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员</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配</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备</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分）</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1、人员编制符合要求；</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highlight w:val="none"/>
              </w:rPr>
              <w:t>达不到要求，缺少1人扣</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val="en-US" w:eastAsia="zh-CN"/>
              </w:rPr>
              <w:t>连续15天未整改，考核分扣10分，连续30天未整改，考核做0分处理。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2、人员招聘符合业主要求</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队伍保持稳定；影响</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sz w:val="18"/>
                <w:szCs w:val="18"/>
              </w:rPr>
              <w:t>正常运转扣5分，</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不符合要求的每人扣</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、人员无犯罪证明，人员花名册每月更新</w:t>
            </w:r>
            <w:r>
              <w:rPr>
                <w:rFonts w:hint="eastAsia" w:ascii="宋体" w:hAnsi="宋体" w:eastAsia="宋体" w:cs="宋体"/>
                <w:color w:val="auto"/>
                <w:sz w:val="18"/>
                <w:szCs w:val="18"/>
                <w:lang w:val="en-US" w:eastAsia="zh-CN"/>
              </w:rPr>
              <w:t>.</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未建立人员信息管理台帐的扣2分；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bookmarkEnd w:id="1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教</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育</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培</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训</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（10分）</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1、制订内部教育培训计划，并按规定执行。</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无培训计划扣2分，未按计划组织培训1次扣1分；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rPr>
                <w:rFonts w:hint="eastAsia" w:ascii="宋体" w:hAnsi="宋体" w:eastAsia="宋体" w:cs="宋体"/>
                <w:b/>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2、组织员工开展安全培训，形成岗前安全教育培训台帐；</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357" w:hanging="306" w:hangingChars="170"/>
              <w:jc w:val="left"/>
              <w:rPr>
                <w:rFonts w:hint="eastAsia" w:ascii="宋体" w:hAnsi="宋体" w:eastAsia="宋体" w:cs="宋体"/>
                <w:color w:val="auto"/>
                <w:sz w:val="18"/>
                <w:szCs w:val="18"/>
              </w:rPr>
            </w:pPr>
            <w:r>
              <w:rPr>
                <w:rFonts w:hint="eastAsia" w:ascii="宋体" w:hAnsi="宋体" w:eastAsia="宋体" w:cs="宋体"/>
                <w:color w:val="auto"/>
                <w:sz w:val="18"/>
                <w:szCs w:val="18"/>
              </w:rPr>
              <w:t>未能做到扣2分；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rPr>
                <w:rFonts w:hint="eastAsia" w:ascii="宋体" w:hAnsi="宋体" w:eastAsia="宋体" w:cs="宋体"/>
                <w:b/>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3、积极组织员工参加</w:t>
            </w:r>
            <w:r>
              <w:rPr>
                <w:rFonts w:hint="eastAsia" w:ascii="宋体" w:hAnsi="宋体" w:eastAsia="宋体" w:cs="宋体"/>
                <w:color w:val="auto"/>
                <w:sz w:val="18"/>
                <w:szCs w:val="18"/>
                <w:lang w:eastAsia="zh-CN"/>
              </w:rPr>
              <w:t>服务区</w:t>
            </w:r>
            <w:r>
              <w:rPr>
                <w:rFonts w:hint="eastAsia" w:ascii="宋体" w:hAnsi="宋体" w:eastAsia="宋体" w:cs="宋体"/>
                <w:color w:val="auto"/>
                <w:sz w:val="18"/>
                <w:szCs w:val="18"/>
              </w:rPr>
              <w:t>组织各项教育培训活动；</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357" w:hanging="306" w:hangingChars="170"/>
              <w:jc w:val="left"/>
              <w:rPr>
                <w:rFonts w:hint="eastAsia" w:ascii="宋体" w:hAnsi="宋体" w:eastAsia="宋体" w:cs="宋体"/>
                <w:color w:val="auto"/>
                <w:sz w:val="18"/>
                <w:szCs w:val="18"/>
              </w:rPr>
            </w:pPr>
            <w:r>
              <w:rPr>
                <w:rFonts w:hint="eastAsia" w:ascii="宋体" w:hAnsi="宋体" w:eastAsia="宋体" w:cs="宋体"/>
                <w:color w:val="auto"/>
                <w:sz w:val="18"/>
                <w:szCs w:val="18"/>
              </w:rPr>
              <w:t>未能有效组织参加扣2分；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rPr>
                <w:rFonts w:hint="eastAsia" w:ascii="宋体" w:hAnsi="宋体" w:eastAsia="宋体" w:cs="宋体"/>
                <w:b/>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4、每年组织开展员工技能培训活动不少于4次；</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357" w:hanging="306" w:hangingChars="170"/>
              <w:jc w:val="left"/>
              <w:rPr>
                <w:rFonts w:hint="eastAsia" w:ascii="宋体" w:hAnsi="宋体" w:eastAsia="宋体" w:cs="宋体"/>
                <w:color w:val="auto"/>
                <w:sz w:val="18"/>
                <w:szCs w:val="18"/>
              </w:rPr>
            </w:pPr>
            <w:r>
              <w:rPr>
                <w:rFonts w:hint="eastAsia" w:ascii="宋体" w:hAnsi="宋体" w:eastAsia="宋体" w:cs="宋体"/>
                <w:color w:val="auto"/>
                <w:sz w:val="18"/>
                <w:szCs w:val="18"/>
              </w:rPr>
              <w:t>未能有效组织实施一次扣2分；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center"/>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安</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全</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生</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产</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（10分）</w:t>
            </w:r>
          </w:p>
          <w:p>
            <w:pPr>
              <w:spacing w:line="240" w:lineRule="auto"/>
              <w:jc w:val="left"/>
              <w:rPr>
                <w:rFonts w:hint="eastAsia" w:ascii="宋体" w:hAnsi="宋体" w:eastAsia="宋体" w:cs="宋体"/>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、应急突发事件处置及时，响应迅速有效，措施到位。</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处置不及时或处置方法不当，发现一次扣5分。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2、定期开展安全检查工作，发现安全隐患，进行记录登记和上报，及落实整改及防范措施；</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未及时发现安全隐患扣5分/次，安全隐患整改落实不到位扣3分/次。</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3、现场安全措施落实到位，无“三违”现象。</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违反一次扣5分/次。</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、不得出现责任性安全生产事故，因</w:t>
            </w:r>
            <w:r>
              <w:rPr>
                <w:rFonts w:hint="eastAsia" w:ascii="宋体" w:hAnsi="宋体" w:eastAsia="宋体" w:cs="宋体"/>
                <w:color w:val="auto"/>
                <w:sz w:val="18"/>
                <w:szCs w:val="18"/>
                <w:lang w:val="en-US" w:eastAsia="zh-CN"/>
              </w:rPr>
              <w:t>现场</w:t>
            </w:r>
            <w:r>
              <w:rPr>
                <w:rFonts w:hint="eastAsia" w:ascii="宋体" w:hAnsi="宋体" w:eastAsia="宋体" w:cs="宋体"/>
                <w:color w:val="auto"/>
                <w:sz w:val="18"/>
                <w:szCs w:val="18"/>
              </w:rPr>
              <w:t>管理不当造成安全生产事故。</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当月考核0分处理，并按合同约定，承担相应经济责任。</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质</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量</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管</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理</w:t>
            </w:r>
          </w:p>
          <w:p>
            <w:pPr>
              <w:spacing w:line="240" w:lineRule="auto"/>
              <w:jc w:val="center"/>
              <w:rPr>
                <w:rFonts w:hint="eastAsia" w:ascii="宋体" w:hAnsi="宋体" w:eastAsia="宋体" w:cs="宋体"/>
                <w:bCs/>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50</w:t>
            </w:r>
            <w:r>
              <w:rPr>
                <w:rFonts w:hint="eastAsia" w:ascii="宋体" w:hAnsi="宋体" w:eastAsia="宋体" w:cs="宋体"/>
                <w:color w:val="auto"/>
                <w:sz w:val="18"/>
                <w:szCs w:val="18"/>
              </w:rPr>
              <w:t>分）</w:t>
            </w: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六</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大</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禁</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令</w:t>
            </w:r>
          </w:p>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（10分）</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1、严禁员工将</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kern w:val="0"/>
                <w:sz w:val="18"/>
                <w:szCs w:val="18"/>
              </w:rPr>
              <w:t>物品占为自有。</w:t>
            </w:r>
          </w:p>
        </w:tc>
        <w:tc>
          <w:tcPr>
            <w:tcW w:w="44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违者辞退处理，考核扣10分。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2、严禁员工利用</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kern w:val="0"/>
                <w:sz w:val="18"/>
                <w:szCs w:val="18"/>
              </w:rPr>
              <w:t>私卖物品，谋取私利。</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3、严禁员工向</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kern w:val="0"/>
                <w:sz w:val="18"/>
                <w:szCs w:val="18"/>
                <w:lang w:val="en-US" w:eastAsia="zh-CN"/>
              </w:rPr>
              <w:t>供应商</w:t>
            </w:r>
            <w:r>
              <w:rPr>
                <w:rFonts w:hint="eastAsia" w:ascii="宋体" w:hAnsi="宋体" w:eastAsia="宋体" w:cs="宋体"/>
                <w:color w:val="auto"/>
                <w:kern w:val="0"/>
                <w:sz w:val="18"/>
                <w:szCs w:val="18"/>
              </w:rPr>
              <w:t>“吃、拿、卡、要”。</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4、严禁员工与司乘人员吵闹、殴打。</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5、严禁聚众赌博、班中饮酒、员工之间打架等</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6、严禁利用工作之便偷盗、侵吞公共财物或串通外来人员进行违法行为。</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劳动纪律</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分）</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1、准时上下岗，保证内外现场不断人</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每日保证有人员在岗</w:t>
            </w:r>
            <w:r>
              <w:rPr>
                <w:rFonts w:hint="eastAsia" w:ascii="宋体" w:hAnsi="宋体" w:eastAsia="宋体" w:cs="宋体"/>
                <w:color w:val="auto"/>
                <w:kern w:val="0"/>
                <w:sz w:val="18"/>
                <w:szCs w:val="18"/>
              </w:rPr>
              <w:t>。</w:t>
            </w:r>
          </w:p>
        </w:tc>
        <w:tc>
          <w:tcPr>
            <w:tcW w:w="44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违反一条每次扣2分，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2、上岗期间不能发生脱岗、睡岗、聚众闲聊、玩游戏等行为。</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3、按上报的排班表上岗，不发生岗位缺岗。</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4、上岗期间需配合</w:t>
            </w:r>
            <w:r>
              <w:rPr>
                <w:rFonts w:hint="eastAsia" w:ascii="宋体" w:hAnsi="宋体" w:eastAsia="宋体" w:cs="宋体"/>
                <w:color w:val="auto"/>
                <w:kern w:val="0"/>
                <w:sz w:val="18"/>
                <w:szCs w:val="18"/>
                <w:lang w:eastAsia="zh-CN"/>
              </w:rPr>
              <w:t>服务区</w:t>
            </w:r>
            <w:r>
              <w:rPr>
                <w:rFonts w:hint="eastAsia" w:ascii="宋体" w:hAnsi="宋体" w:eastAsia="宋体" w:cs="宋体"/>
                <w:color w:val="auto"/>
                <w:kern w:val="0"/>
                <w:sz w:val="18"/>
                <w:szCs w:val="18"/>
              </w:rPr>
              <w:t>稽查人员稽查。</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行为规范</w:t>
            </w:r>
          </w:p>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分</w:t>
            </w:r>
            <w:r>
              <w:rPr>
                <w:rFonts w:hint="eastAsia" w:ascii="宋体" w:hAnsi="宋体" w:eastAsia="宋体" w:cs="宋体"/>
                <w:color w:val="auto"/>
                <w:sz w:val="18"/>
                <w:szCs w:val="18"/>
                <w:lang w:val="en-US" w:eastAsia="zh-CN"/>
              </w:rPr>
              <w:t>)</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1、正确的使用礼貌用语。</w:t>
            </w:r>
          </w:p>
        </w:tc>
        <w:tc>
          <w:tcPr>
            <w:tcW w:w="44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违反一条每次扣2分，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2、发生司乘人员求助时，应热情服务、积极帮助，不能借故推脱。</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具备讲解能力，</w:t>
            </w:r>
            <w:r>
              <w:rPr>
                <w:rFonts w:hint="eastAsia" w:ascii="宋体" w:hAnsi="宋体" w:eastAsia="宋体" w:cs="宋体"/>
                <w:color w:val="auto"/>
                <w:kern w:val="0"/>
                <w:sz w:val="18"/>
                <w:szCs w:val="18"/>
              </w:rPr>
              <w:t>掌握</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kern w:val="0"/>
                <w:sz w:val="18"/>
                <w:szCs w:val="18"/>
              </w:rPr>
              <w:t>所在周边环境、道路交通、服务场所、旅游景点情况，能为司乘人员提供咨询服务。</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质</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量</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管</w:t>
            </w:r>
          </w:p>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理</w:t>
            </w:r>
          </w:p>
          <w:p>
            <w:pPr>
              <w:spacing w:line="240" w:lineRule="auto"/>
              <w:jc w:val="center"/>
              <w:rPr>
                <w:rFonts w:hint="eastAsia" w:ascii="宋体" w:hAnsi="宋体" w:eastAsia="宋体" w:cs="宋体"/>
                <w:bCs/>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50</w:t>
            </w:r>
            <w:r>
              <w:rPr>
                <w:rFonts w:hint="eastAsia" w:ascii="宋体" w:hAnsi="宋体" w:eastAsia="宋体" w:cs="宋体"/>
                <w:color w:val="auto"/>
                <w:sz w:val="18"/>
                <w:szCs w:val="18"/>
              </w:rPr>
              <w:t>分）</w:t>
            </w: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行为规范</w:t>
            </w: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分）</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4、仪表、仪容端正、大方；男员工不留长发，不蓄胡须；女员工不浓妆艳抹。</w:t>
            </w:r>
          </w:p>
        </w:tc>
        <w:tc>
          <w:tcPr>
            <w:tcW w:w="44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违反一条每次扣2分。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5、佩证（工号牌）上岗，证（工号牌）不被遮挡。</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6、上岗时应按规定着工装</w:t>
            </w:r>
            <w:r>
              <w:rPr>
                <w:rFonts w:hint="eastAsia" w:ascii="宋体" w:hAnsi="宋体" w:eastAsia="宋体" w:cs="宋体"/>
                <w:color w:val="auto"/>
                <w:kern w:val="0"/>
                <w:sz w:val="18"/>
                <w:szCs w:val="18"/>
                <w:lang w:eastAsia="zh-CN"/>
              </w:rPr>
              <w:t>。</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7、熟悉工作岗位职责，保质保量完成交办的各项工作</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台</w:t>
            </w:r>
            <w:r>
              <w:rPr>
                <w:rFonts w:hint="eastAsia" w:ascii="宋体" w:hAnsi="宋体" w:eastAsia="宋体" w:cs="宋体"/>
                <w:color w:val="auto"/>
                <w:kern w:val="0"/>
                <w:sz w:val="18"/>
                <w:szCs w:val="18"/>
              </w:rPr>
              <w:t>帐管理</w:t>
            </w:r>
          </w:p>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10</w:t>
            </w:r>
            <w:r>
              <w:rPr>
                <w:rFonts w:hint="eastAsia" w:ascii="宋体" w:hAnsi="宋体" w:eastAsia="宋体" w:cs="宋体"/>
                <w:color w:val="auto"/>
                <w:kern w:val="0"/>
                <w:sz w:val="18"/>
                <w:szCs w:val="18"/>
              </w:rPr>
              <w:t>分）</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1、及时按要求填写规定台帐；</w:t>
            </w:r>
          </w:p>
        </w:tc>
        <w:tc>
          <w:tcPr>
            <w:tcW w:w="44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违反一条每次扣1分。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2、台帐内容须填写规范；</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3、按</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kern w:val="0"/>
                <w:sz w:val="18"/>
                <w:szCs w:val="18"/>
              </w:rPr>
              <w:t>要求及时上报台帐。</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其</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他</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考</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核</w:t>
            </w:r>
          </w:p>
        </w:tc>
        <w:tc>
          <w:tcPr>
            <w:tcW w:w="1104"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其</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他</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处</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罚</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由于工作不当被新闻媒体曝光。</w:t>
            </w:r>
          </w:p>
        </w:tc>
        <w:tc>
          <w:tcPr>
            <w:tcW w:w="44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视情况给予考核0分处理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发生有责投诉事件</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因管理不当被行业主管理部门或集团公司通报批评。</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18"/>
                <w:szCs w:val="18"/>
              </w:rPr>
            </w:pPr>
            <w:r>
              <w:rPr>
                <w:rFonts w:hint="eastAsia" w:ascii="宋体" w:hAnsi="宋体" w:eastAsia="宋体" w:cs="宋体"/>
                <w:color w:val="auto"/>
                <w:kern w:val="0"/>
                <w:sz w:val="18"/>
                <w:szCs w:val="18"/>
              </w:rPr>
              <w:t>对</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kern w:val="0"/>
                <w:sz w:val="18"/>
                <w:szCs w:val="18"/>
              </w:rPr>
              <w:t>交办的其他临时性工作完成较差。</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加</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分</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项</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见义勇为、拾金不昧、好人好事被司乘人员或上级部门表扬和新闻媒体报道的。</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视情况给予2-20分加分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因</w:t>
            </w:r>
            <w:r>
              <w:rPr>
                <w:rFonts w:hint="eastAsia" w:ascii="宋体" w:hAnsi="宋体" w:eastAsia="宋体" w:cs="宋体"/>
                <w:color w:val="auto"/>
                <w:kern w:val="0"/>
                <w:sz w:val="18"/>
                <w:szCs w:val="18"/>
                <w:lang w:val="en-US" w:eastAsia="zh-CN"/>
              </w:rPr>
              <w:t>表现</w:t>
            </w:r>
            <w:r>
              <w:rPr>
                <w:rFonts w:hint="eastAsia" w:ascii="宋体" w:hAnsi="宋体" w:eastAsia="宋体" w:cs="宋体"/>
                <w:color w:val="auto"/>
                <w:kern w:val="0"/>
                <w:sz w:val="18"/>
                <w:szCs w:val="18"/>
              </w:rPr>
              <w:t>优秀被上级部门表彰</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加2-15分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该</w:t>
            </w:r>
            <w:r>
              <w:rPr>
                <w:rFonts w:hint="eastAsia" w:ascii="宋体" w:hAnsi="宋体" w:eastAsia="宋体" w:cs="宋体"/>
                <w:color w:val="auto"/>
                <w:kern w:val="0"/>
                <w:sz w:val="18"/>
                <w:szCs w:val="18"/>
              </w:rPr>
              <w:t>项目被评为市级以上优秀称号</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加20分</w:t>
            </w: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jc w:val="center"/>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综合得分</w:t>
            </w:r>
          </w:p>
        </w:tc>
        <w:tc>
          <w:tcPr>
            <w:tcW w:w="1104"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100分</w:t>
            </w:r>
          </w:p>
        </w:tc>
        <w:tc>
          <w:tcPr>
            <w:tcW w:w="6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考核分数在80分及以上，为考核合格。</w:t>
            </w:r>
          </w:p>
        </w:tc>
        <w:tc>
          <w:tcPr>
            <w:tcW w:w="4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bl>
    <w:p>
      <w:pPr>
        <w:pStyle w:val="13"/>
        <w:rPr>
          <w:rFonts w:hint="eastAsia" w:ascii="宋体" w:hAnsi="宋体" w:eastAsia="宋体" w:cs="宋体"/>
          <w:color w:val="auto"/>
          <w:sz w:val="21"/>
          <w:szCs w:val="21"/>
          <w:highlight w:val="none"/>
          <w:lang w:val="en-US" w:eastAsia="zh-CN"/>
        </w:rPr>
      </w:pPr>
    </w:p>
    <w:p>
      <w:pPr>
        <w:rPr>
          <w:rFonts w:hint="eastAsia" w:ascii="宋体" w:hAnsi="宋体" w:eastAsia="宋体" w:cs="宋体"/>
          <w:highlight w:val="none"/>
        </w:rPr>
        <w:sectPr>
          <w:headerReference r:id="rId4" w:type="default"/>
          <w:footerReference r:id="rId5" w:type="default"/>
          <w:pgSz w:w="16838" w:h="11906" w:orient="landscape"/>
          <w:pgMar w:top="1474" w:right="1474" w:bottom="1474" w:left="1417" w:header="737" w:footer="737" w:gutter="0"/>
          <w:cols w:space="720" w:num="1"/>
          <w:docGrid w:linePitch="312" w:charSpace="0"/>
        </w:sectPr>
      </w:pPr>
      <w:r>
        <w:rPr>
          <w:rFonts w:hint="eastAsia" w:ascii="宋体" w:hAnsi="宋体" w:eastAsia="宋体" w:cs="宋体"/>
          <w:highlight w:val="none"/>
        </w:rPr>
        <w:br w:type="page"/>
      </w:r>
    </w:p>
    <w:p>
      <w:pPr>
        <w:pStyle w:val="13"/>
        <w:rPr>
          <w:rFonts w:hint="eastAsia" w:ascii="宋体" w:hAnsi="宋体" w:eastAsia="宋体" w:cs="宋体"/>
          <w:highlight w:val="none"/>
        </w:rPr>
      </w:pPr>
    </w:p>
    <w:p>
      <w:pPr>
        <w:pStyle w:val="2"/>
        <w:ind w:firstLine="440"/>
        <w:jc w:val="center"/>
        <w:rPr>
          <w:rFonts w:hint="eastAsia" w:ascii="宋体" w:hAnsi="宋体" w:eastAsia="宋体" w:cs="宋体"/>
          <w:szCs w:val="21"/>
          <w:highlight w:val="none"/>
        </w:rPr>
      </w:pPr>
      <w:r>
        <w:rPr>
          <w:rFonts w:hint="eastAsia" w:ascii="宋体" w:hAnsi="宋体" w:eastAsia="宋体" w:cs="宋体"/>
          <w:sz w:val="44"/>
          <w:szCs w:val="44"/>
          <w:highlight w:val="none"/>
        </w:rPr>
        <w:t>第三部分</w:t>
      </w:r>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sz w:val="44"/>
          <w:szCs w:val="44"/>
          <w:highlight w:val="none"/>
        </w:rPr>
        <w:t xml:space="preserve"> 投标文件的编制格式</w:t>
      </w:r>
      <w:bookmarkEnd w:id="190"/>
    </w:p>
    <w:p>
      <w:pPr>
        <w:spacing w:before="120" w:beforeLines="50" w:after="120" w:afterLines="50"/>
        <w:rPr>
          <w:rFonts w:hint="eastAsia" w:ascii="宋体" w:hAnsi="宋体" w:eastAsia="宋体" w:cs="宋体"/>
          <w:sz w:val="22"/>
          <w:highlight w:val="none"/>
        </w:rPr>
      </w:pPr>
    </w:p>
    <w:p>
      <w:pPr>
        <w:spacing w:before="120" w:beforeLines="50" w:after="120" w:afterLines="50"/>
        <w:rPr>
          <w:rFonts w:hint="eastAsia" w:ascii="宋体" w:hAnsi="宋体" w:eastAsia="宋体" w:cs="宋体"/>
          <w:sz w:val="22"/>
          <w:highlight w:val="none"/>
        </w:rPr>
      </w:pPr>
      <w:r>
        <w:rPr>
          <w:rFonts w:hint="eastAsia" w:ascii="宋体" w:hAnsi="宋体" w:eastAsia="宋体" w:cs="宋体"/>
          <w:sz w:val="22"/>
          <w:highlight w:val="none"/>
        </w:rPr>
        <w:t>（技术资信标封面，供参考）</w:t>
      </w:r>
    </w:p>
    <w:p>
      <w:pPr>
        <w:spacing w:line="460" w:lineRule="exact"/>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jc w:val="right"/>
        <w:rPr>
          <w:rFonts w:hint="eastAsia" w:ascii="宋体" w:hAnsi="宋体" w:eastAsia="宋体" w:cs="宋体"/>
          <w:szCs w:val="24"/>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rPr>
          <w:rFonts w:hint="eastAsia" w:ascii="宋体" w:hAnsi="宋体" w:eastAsia="宋体" w:cs="宋体"/>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（项目名称）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技 术 资 信 标</w:t>
      </w:r>
    </w:p>
    <w:p>
      <w:pPr>
        <w:spacing w:line="480" w:lineRule="auto"/>
        <w:jc w:val="center"/>
        <w:rPr>
          <w:rFonts w:hint="eastAsia" w:ascii="宋体" w:hAnsi="宋体" w:eastAsia="宋体" w:cs="宋体"/>
          <w:sz w:val="44"/>
          <w:szCs w:val="44"/>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autoSpaceDE w:val="0"/>
        <w:autoSpaceDN w:val="0"/>
        <w:adjustRightInd w:val="0"/>
        <w:spacing w:after="120"/>
        <w:ind w:firstLine="210" w:firstLineChars="100"/>
        <w:jc w:val="left"/>
        <w:rPr>
          <w:rFonts w:hint="eastAsia" w:ascii="宋体" w:hAnsi="宋体" w:eastAsia="宋体" w:cs="宋体"/>
          <w:szCs w:val="24"/>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（盖单位公章）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autoSpaceDE w:val="0"/>
        <w:autoSpaceDN w:val="0"/>
        <w:adjustRightInd w:val="0"/>
        <w:spacing w:after="120"/>
        <w:jc w:val="center"/>
        <w:rPr>
          <w:rFonts w:hint="eastAsia" w:ascii="宋体" w:hAnsi="宋体" w:eastAsia="宋体" w:cs="宋体"/>
          <w:b/>
          <w:bCs/>
          <w:sz w:val="52"/>
          <w:szCs w:val="52"/>
          <w:highlight w:val="none"/>
        </w:rPr>
      </w:pPr>
      <w:r>
        <w:rPr>
          <w:rFonts w:hint="eastAsia" w:ascii="宋体" w:hAnsi="宋体" w:eastAsia="宋体" w:cs="宋体"/>
          <w:szCs w:val="24"/>
          <w:highlight w:val="none"/>
        </w:rPr>
        <w:br w:type="page"/>
      </w:r>
    </w:p>
    <w:p>
      <w:pPr>
        <w:jc w:val="center"/>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t>目录</w:t>
      </w:r>
    </w:p>
    <w:tbl>
      <w:tblPr>
        <w:tblStyle w:val="2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7122" w:type="dxa"/>
            <w:vAlign w:val="center"/>
          </w:tcPr>
          <w:p>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rPr>
              <w:t>投标声明书</w:t>
            </w:r>
          </w:p>
        </w:tc>
        <w:tc>
          <w:tcPr>
            <w:tcW w:w="1105"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参加国企采购活动前三年内，在经营活动中没有重大违法记录。请在投标声明书中如实填写</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pPr>
              <w:spacing w:line="280" w:lineRule="exact"/>
              <w:rPr>
                <w:rFonts w:hint="eastAsia" w:ascii="宋体" w:hAnsi="宋体" w:eastAsia="宋体" w:cs="宋体"/>
                <w:kern w:val="2"/>
                <w:sz w:val="18"/>
                <w:szCs w:val="18"/>
                <w:lang w:val="en-US" w:eastAsia="zh-CN" w:bidi="ar-SA"/>
              </w:rPr>
            </w:pPr>
            <w:r>
              <w:rPr>
                <w:rFonts w:hint="eastAsia" w:ascii="宋体" w:hAnsi="宋体" w:eastAsia="宋体" w:cs="宋体"/>
                <w:sz w:val="18"/>
                <w:szCs w:val="18"/>
              </w:rPr>
              <w:t>根据采购文件中的采购内容及要求以及技术资信评分细则，需要提供的文件和资料（格式自拟）</w:t>
            </w:r>
          </w:p>
        </w:tc>
        <w:tc>
          <w:tcPr>
            <w:tcW w:w="1105" w:type="dxa"/>
            <w:vAlign w:val="center"/>
          </w:tcPr>
          <w:p>
            <w:pPr>
              <w:jc w:val="center"/>
              <w:rPr>
                <w:rFonts w:hint="eastAsia" w:ascii="宋体" w:hAnsi="宋体" w:eastAsia="宋体" w:cs="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投标供应商需要说明的其他文件和说明</w:t>
            </w:r>
          </w:p>
        </w:tc>
        <w:tc>
          <w:tcPr>
            <w:tcW w:w="1105" w:type="dxa"/>
            <w:vAlign w:val="center"/>
          </w:tcPr>
          <w:p>
            <w:pPr>
              <w:jc w:val="center"/>
              <w:rPr>
                <w:rFonts w:hint="eastAsia" w:ascii="宋体" w:hAnsi="宋体" w:eastAsia="宋体" w:cs="宋体"/>
                <w:sz w:val="18"/>
                <w:szCs w:val="18"/>
                <w:highlight w:val="none"/>
              </w:rPr>
            </w:pPr>
          </w:p>
        </w:tc>
      </w:tr>
    </w:tbl>
    <w:p>
      <w:pPr>
        <w:pStyle w:val="13"/>
        <w:rPr>
          <w:rFonts w:hint="eastAsia" w:ascii="宋体" w:hAnsi="宋体" w:eastAsia="宋体" w:cs="宋体"/>
          <w:snapToGrid w:val="0"/>
          <w:sz w:val="32"/>
          <w:szCs w:val="20"/>
          <w:highlight w:val="none"/>
        </w:rPr>
      </w:pPr>
    </w:p>
    <w:p>
      <w:pPr>
        <w:pStyle w:val="13"/>
        <w:rPr>
          <w:rFonts w:hint="eastAsia" w:ascii="宋体" w:hAnsi="宋体" w:eastAsia="宋体" w:cs="宋体"/>
          <w:snapToGrid w:val="0"/>
          <w:sz w:val="32"/>
          <w:szCs w:val="20"/>
          <w:highlight w:val="none"/>
        </w:rPr>
      </w:pPr>
    </w:p>
    <w:p>
      <w:pPr>
        <w:jc w:val="left"/>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br w:type="page"/>
      </w:r>
    </w:p>
    <w:p>
      <w:pPr>
        <w:pStyle w:val="2"/>
        <w:ind w:firstLine="210"/>
        <w:rPr>
          <w:rFonts w:hint="eastAsia" w:ascii="宋体" w:hAnsi="宋体" w:eastAsia="宋体" w:cs="宋体"/>
          <w:highlight w:val="none"/>
        </w:rPr>
      </w:pPr>
    </w:p>
    <w:p>
      <w:pPr>
        <w:spacing w:line="460" w:lineRule="exact"/>
        <w:jc w:val="center"/>
        <w:rPr>
          <w:rFonts w:hint="eastAsia" w:ascii="宋体" w:hAnsi="宋体" w:eastAsia="宋体" w:cs="宋体"/>
          <w:highlight w:val="none"/>
        </w:rPr>
      </w:pPr>
      <w:r>
        <w:rPr>
          <w:rFonts w:hint="eastAsia" w:ascii="宋体" w:hAnsi="宋体" w:eastAsia="宋体" w:cs="宋体"/>
          <w:b/>
          <w:bCs/>
          <w:sz w:val="30"/>
          <w:szCs w:val="30"/>
          <w:highlight w:val="none"/>
        </w:rPr>
        <w:t>评分索引表</w:t>
      </w:r>
    </w:p>
    <w:p>
      <w:pPr>
        <w:spacing w:line="460" w:lineRule="exact"/>
        <w:jc w:val="center"/>
        <w:rPr>
          <w:rFonts w:hint="eastAsia" w:ascii="宋体" w:hAnsi="宋体" w:eastAsia="宋体" w:cs="宋体"/>
          <w:b/>
          <w:bCs/>
          <w:sz w:val="30"/>
          <w:szCs w:val="30"/>
          <w:highlight w:val="none"/>
        </w:rPr>
      </w:pPr>
      <w:r>
        <w:rPr>
          <w:rFonts w:hint="eastAsia" w:ascii="宋体" w:hAnsi="宋体" w:eastAsia="宋体" w:cs="宋体"/>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5144"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评分项目</w:t>
            </w:r>
          </w:p>
        </w:tc>
        <w:tc>
          <w:tcPr>
            <w:tcW w:w="2690"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bl>
    <w:p>
      <w:pPr>
        <w:spacing w:line="42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说明：</w:t>
      </w:r>
    </w:p>
    <w:p>
      <w:pPr>
        <w:pStyle w:val="56"/>
        <w:numPr>
          <w:ilvl w:val="0"/>
          <w:numId w:val="30"/>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建议此表放在技术资信标封面后第一页，</w:t>
      </w:r>
      <w:r>
        <w:rPr>
          <w:rFonts w:hint="eastAsia" w:ascii="宋体" w:hAnsi="宋体" w:eastAsia="宋体" w:cs="宋体"/>
          <w:sz w:val="24"/>
          <w:szCs w:val="24"/>
        </w:rPr>
        <w:t>方便评委打分时可以快速查阅到与评分项有关的内容。</w:t>
      </w:r>
    </w:p>
    <w:p>
      <w:pPr>
        <w:pStyle w:val="56"/>
        <w:numPr>
          <w:ilvl w:val="0"/>
          <w:numId w:val="30"/>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格式可自拟。</w:t>
      </w:r>
    </w:p>
    <w:p>
      <w:pPr>
        <w:pStyle w:val="2"/>
        <w:ind w:firstLine="210"/>
        <w:rPr>
          <w:rFonts w:hint="eastAsia" w:ascii="宋体" w:hAnsi="宋体" w:eastAsia="宋体" w:cs="宋体"/>
          <w:highlight w:val="none"/>
        </w:rPr>
      </w:pPr>
    </w:p>
    <w:p>
      <w:pPr>
        <w:overflowPunct w:val="0"/>
        <w:spacing w:line="460" w:lineRule="exact"/>
        <w:rPr>
          <w:rFonts w:hint="eastAsia" w:ascii="宋体" w:hAnsi="宋体" w:eastAsia="宋体" w:cs="宋体"/>
          <w:b/>
          <w:bCs/>
          <w:sz w:val="22"/>
          <w:highlight w:val="none"/>
        </w:rPr>
      </w:pPr>
      <w:r>
        <w:rPr>
          <w:rFonts w:hint="eastAsia" w:ascii="宋体" w:hAnsi="宋体" w:eastAsia="宋体" w:cs="宋体"/>
          <w:b/>
          <w:bCs/>
          <w:sz w:val="22"/>
          <w:highlight w:val="none"/>
        </w:rPr>
        <w:br w:type="page"/>
      </w:r>
      <w:r>
        <w:rPr>
          <w:rFonts w:hint="eastAsia" w:ascii="宋体" w:hAnsi="宋体" w:eastAsia="宋体" w:cs="宋体"/>
          <w:b/>
          <w:bCs/>
          <w:sz w:val="22"/>
          <w:highlight w:val="none"/>
        </w:rPr>
        <w:t>附件一</w:t>
      </w:r>
    </w:p>
    <w:p>
      <w:pPr>
        <w:overflowPunct w:val="0"/>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 标 函</w:t>
      </w:r>
    </w:p>
    <w:p>
      <w:pPr>
        <w:overflowPunct w:val="0"/>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pPr>
        <w:overflowPunct w:val="0"/>
        <w:spacing w:line="4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根据贵方为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项目（采购编号：</w:t>
      </w:r>
      <w:r>
        <w:rPr>
          <w:rFonts w:hint="eastAsia" w:ascii="宋体" w:hAnsi="宋体" w:eastAsia="宋体" w:cs="宋体"/>
          <w:b/>
          <w:sz w:val="22"/>
          <w:highlight w:val="none"/>
          <w:u w:val="single"/>
        </w:rPr>
        <w:t xml:space="preserve">             </w:t>
      </w:r>
      <w:r>
        <w:rPr>
          <w:rFonts w:hint="eastAsia" w:ascii="宋体" w:hAnsi="宋体" w:eastAsia="宋体" w:cs="宋体"/>
          <w:b/>
          <w:sz w:val="22"/>
          <w:highlight w:val="none"/>
        </w:rPr>
        <w:t xml:space="preserve"> </w:t>
      </w:r>
      <w:r>
        <w:rPr>
          <w:rFonts w:hint="eastAsia" w:ascii="宋体" w:hAnsi="宋体" w:eastAsia="宋体" w:cs="宋体"/>
          <w:sz w:val="22"/>
          <w:highlight w:val="none"/>
        </w:rPr>
        <w:t>）的投标邀请，我方</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（投标供应商名称）作为投标供应商正式授权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（授权代表全名，职务）代表我方处理有关本投标的一切事宜。</w:t>
      </w:r>
    </w:p>
    <w:p>
      <w:pPr>
        <w:overflowPunct w:val="0"/>
        <w:adjustRightInd w:val="0"/>
        <w:spacing w:line="420" w:lineRule="exact"/>
        <w:ind w:firstLine="440"/>
        <w:textAlignment w:val="baseline"/>
        <w:rPr>
          <w:rFonts w:hint="eastAsia" w:ascii="宋体" w:hAnsi="宋体" w:eastAsia="宋体" w:cs="宋体"/>
          <w:kern w:val="0"/>
          <w:sz w:val="22"/>
          <w:szCs w:val="20"/>
          <w:highlight w:val="none"/>
        </w:rPr>
      </w:pPr>
      <w:r>
        <w:rPr>
          <w:rFonts w:hint="eastAsia" w:ascii="宋体" w:hAnsi="宋体" w:eastAsia="宋体" w:cs="宋体"/>
          <w:kern w:val="0"/>
          <w:sz w:val="22"/>
          <w:highlight w:val="none"/>
        </w:rPr>
        <w:t>在此提交的投标文件中，包括如下内</w:t>
      </w:r>
      <w:r>
        <w:rPr>
          <w:rFonts w:hint="eastAsia" w:ascii="宋体" w:hAnsi="宋体" w:eastAsia="宋体" w:cs="宋体"/>
          <w:kern w:val="0"/>
          <w:sz w:val="22"/>
          <w:szCs w:val="20"/>
          <w:highlight w:val="none"/>
        </w:rPr>
        <w:t>容，并已分别单独密封装袋：</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（—）按“投标供应商须知”要求编制的投标文件技术标【正本一份，副本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（二）按“投标供应商须知”要求编制的投标文件商务（报价）标【正本一份，副本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我方己完全明白采购文件的所有条款要求，并重申以下几点：</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（一）本投标文件的有效期自投标截止日起</w:t>
      </w:r>
      <w:r>
        <w:rPr>
          <w:rFonts w:hint="eastAsia" w:ascii="宋体" w:hAnsi="宋体" w:eastAsia="宋体" w:cs="宋体"/>
          <w:b/>
          <w:sz w:val="22"/>
          <w:szCs w:val="24"/>
          <w:highlight w:val="none"/>
          <w:u w:val="single"/>
        </w:rPr>
        <w:t xml:space="preserve"> 90 </w:t>
      </w:r>
      <w:r>
        <w:rPr>
          <w:rFonts w:hint="eastAsia" w:ascii="宋体" w:hAnsi="宋体" w:eastAsia="宋体" w:cs="宋体"/>
          <w:b/>
          <w:sz w:val="22"/>
          <w:szCs w:val="24"/>
          <w:highlight w:val="none"/>
        </w:rPr>
        <w:t>天内</w:t>
      </w:r>
      <w:r>
        <w:rPr>
          <w:rFonts w:hint="eastAsia" w:ascii="宋体" w:hAnsi="宋体" w:eastAsia="宋体" w:cs="宋体"/>
          <w:sz w:val="22"/>
          <w:szCs w:val="24"/>
          <w:highlight w:val="none"/>
        </w:rPr>
        <w:t>有效，如中标，有效期将延至合同终止日为止；</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（二）我方已详细研究了采购文件的所有内容包括修改书（如有）和所有已提供的参考资料以及有关附件，我方完全理解并同意放弃在此方面提出含糊意见或误解的一切权力；</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（三）我方明白并愿意在规定的开标时间之后，</w:t>
      </w:r>
      <w:r>
        <w:rPr>
          <w:rFonts w:hint="eastAsia" w:ascii="宋体" w:hAnsi="宋体" w:eastAsia="宋体" w:cs="宋体"/>
          <w:sz w:val="22"/>
          <w:szCs w:val="24"/>
          <w:highlight w:val="none"/>
          <w:lang w:val="en-US" w:eastAsia="zh-CN"/>
        </w:rPr>
        <w:t>如我方出现投标人须知第三条第13.4款规定的情况之一的，我方</w:t>
      </w:r>
      <w:r>
        <w:rPr>
          <w:rFonts w:hint="eastAsia" w:ascii="宋体" w:hAnsi="宋体" w:eastAsia="宋体" w:cs="宋体"/>
          <w:sz w:val="22"/>
          <w:szCs w:val="24"/>
          <w:highlight w:val="none"/>
        </w:rPr>
        <w:t>投标保证金将被贵方没收；</w:t>
      </w:r>
    </w:p>
    <w:p>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）我方同意提供按照贵方可能要求的与投标有关的一切数据或资料；</w:t>
      </w:r>
    </w:p>
    <w:p>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五</w:t>
      </w:r>
      <w:r>
        <w:rPr>
          <w:rFonts w:hint="eastAsia" w:ascii="宋体" w:hAnsi="宋体" w:eastAsia="宋体" w:cs="宋体"/>
          <w:sz w:val="22"/>
          <w:szCs w:val="24"/>
          <w:highlight w:val="none"/>
        </w:rPr>
        <w:t>）我方理解贵方不一定接受最低报价。</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）我方如果中标，将保证履行采购文件以及采购文件修改书（如有）中的全部责任和义务，按质、按量、按期完成《合同书》中的全部任务。</w:t>
      </w:r>
    </w:p>
    <w:p>
      <w:pPr>
        <w:overflowPunct w:val="0"/>
        <w:spacing w:line="420" w:lineRule="exact"/>
        <w:ind w:left="315"/>
        <w:rPr>
          <w:rFonts w:hint="eastAsia" w:ascii="宋体" w:hAnsi="宋体" w:eastAsia="宋体" w:cs="宋体"/>
          <w:sz w:val="22"/>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七</w:t>
      </w:r>
      <w:r>
        <w:rPr>
          <w:rFonts w:hint="eastAsia" w:ascii="宋体" w:hAnsi="宋体" w:eastAsia="宋体" w:cs="宋体"/>
          <w:sz w:val="22"/>
          <w:szCs w:val="24"/>
          <w:highlight w:val="none"/>
        </w:rPr>
        <w:t>）所有与本投标有关的函件请发往下列地址：</w:t>
      </w:r>
    </w:p>
    <w:p>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地址</w:t>
      </w:r>
      <w:r>
        <w:rPr>
          <w:rFonts w:hint="eastAsia" w:ascii="宋体" w:hAnsi="宋体" w:eastAsia="宋体" w:cs="宋体"/>
          <w:sz w:val="22"/>
          <w:highlight w:val="none"/>
          <w:u w:val="single"/>
        </w:rPr>
        <w:t xml:space="preserve">                           </w:t>
      </w:r>
    </w:p>
    <w:p>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电话</w:t>
      </w:r>
      <w:r>
        <w:rPr>
          <w:rFonts w:hint="eastAsia" w:ascii="宋体" w:hAnsi="宋体" w:eastAsia="宋体" w:cs="宋体"/>
          <w:sz w:val="22"/>
          <w:highlight w:val="none"/>
          <w:u w:val="single"/>
        </w:rPr>
        <w:t xml:space="preserve">                           </w:t>
      </w:r>
    </w:p>
    <w:p>
      <w:pPr>
        <w:overflowPunct w:val="0"/>
        <w:spacing w:line="42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 xml:space="preserve">   传真</w:t>
      </w:r>
      <w:r>
        <w:rPr>
          <w:rFonts w:hint="eastAsia" w:ascii="宋体" w:hAnsi="宋体" w:eastAsia="宋体" w:cs="宋体"/>
          <w:sz w:val="22"/>
          <w:highlight w:val="none"/>
          <w:u w:val="single"/>
        </w:rPr>
        <w:t xml:space="preserve">                           </w:t>
      </w:r>
    </w:p>
    <w:p>
      <w:pPr>
        <w:overflowPunct w:val="0"/>
        <w:spacing w:line="420" w:lineRule="exact"/>
        <w:ind w:firstLine="770" w:firstLineChars="350"/>
        <w:rPr>
          <w:rFonts w:hint="eastAsia" w:ascii="宋体" w:hAnsi="宋体" w:eastAsia="宋体" w:cs="宋体"/>
          <w:sz w:val="22"/>
          <w:highlight w:val="none"/>
          <w:u w:val="single"/>
        </w:rPr>
      </w:pPr>
      <w:r>
        <w:rPr>
          <w:rFonts w:hint="eastAsia" w:ascii="宋体" w:hAnsi="宋体" w:eastAsia="宋体" w:cs="宋体"/>
          <w:sz w:val="22"/>
          <w:highlight w:val="none"/>
        </w:rPr>
        <w:t>电子邮件</w:t>
      </w:r>
      <w:r>
        <w:rPr>
          <w:rFonts w:hint="eastAsia" w:ascii="宋体" w:hAnsi="宋体" w:eastAsia="宋体" w:cs="宋体"/>
          <w:sz w:val="22"/>
          <w:highlight w:val="none"/>
          <w:u w:val="single"/>
        </w:rPr>
        <w:t xml:space="preserve">                       </w:t>
      </w:r>
    </w:p>
    <w:p>
      <w:pPr>
        <w:spacing w:line="360" w:lineRule="auto"/>
        <w:rPr>
          <w:rFonts w:hint="eastAsia" w:ascii="宋体" w:hAnsi="宋体" w:eastAsia="宋体" w:cs="宋体"/>
          <w:bCs/>
          <w:sz w:val="22"/>
          <w:highlight w:val="none"/>
        </w:rPr>
      </w:pPr>
    </w:p>
    <w:p>
      <w:pPr>
        <w:spacing w:line="360" w:lineRule="auto"/>
        <w:rPr>
          <w:rFonts w:hint="eastAsia" w:ascii="宋体" w:hAnsi="宋体" w:eastAsia="宋体" w:cs="宋体"/>
          <w:bCs/>
          <w:sz w:val="22"/>
          <w:highlight w:val="none"/>
        </w:rPr>
      </w:pPr>
      <w:r>
        <w:rPr>
          <w:rFonts w:hint="eastAsia" w:ascii="宋体" w:hAnsi="宋体" w:eastAsia="宋体" w:cs="宋体"/>
          <w:bCs/>
          <w:sz w:val="22"/>
          <w:highlight w:val="none"/>
        </w:rPr>
        <w:t>投标人全称（盖公章）：</w:t>
      </w:r>
    </w:p>
    <w:p>
      <w:pPr>
        <w:spacing w:line="360" w:lineRule="auto"/>
        <w:rPr>
          <w:rFonts w:hint="eastAsia" w:ascii="宋体" w:hAnsi="宋体" w:eastAsia="宋体" w:cs="宋体"/>
          <w:bCs/>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w:t>
      </w:r>
      <w:r>
        <w:rPr>
          <w:rFonts w:hint="eastAsia" w:ascii="宋体" w:hAnsi="宋体" w:eastAsia="宋体" w:cs="宋体"/>
          <w:bCs/>
          <w:sz w:val="22"/>
          <w:highlight w:val="none"/>
        </w:rPr>
        <w:t>（签字</w:t>
      </w:r>
      <w:r>
        <w:rPr>
          <w:rFonts w:hint="eastAsia" w:ascii="宋体" w:hAnsi="宋体" w:eastAsia="宋体" w:cs="宋体"/>
          <w:sz w:val="22"/>
          <w:highlight w:val="none"/>
        </w:rPr>
        <w:t>或盖章</w:t>
      </w:r>
      <w:r>
        <w:rPr>
          <w:rFonts w:hint="eastAsia" w:ascii="宋体" w:hAnsi="宋体" w:eastAsia="宋体" w:cs="宋体"/>
          <w:bCs/>
          <w:sz w:val="22"/>
          <w:highlight w:val="none"/>
        </w:rPr>
        <w:t>）：</w:t>
      </w:r>
    </w:p>
    <w:p>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日  期：</w:t>
      </w:r>
    </w:p>
    <w:p>
      <w:pPr>
        <w:spacing w:line="380" w:lineRule="exact"/>
        <w:rPr>
          <w:rFonts w:hint="eastAsia" w:ascii="宋体" w:hAnsi="宋体" w:eastAsia="宋体" w:cs="宋体"/>
          <w:sz w:val="22"/>
          <w:highlight w:val="none"/>
        </w:rPr>
      </w:pPr>
      <w:r>
        <w:rPr>
          <w:rFonts w:hint="eastAsia" w:ascii="宋体" w:hAnsi="宋体" w:eastAsia="宋体" w:cs="宋体"/>
          <w:b/>
          <w:sz w:val="22"/>
          <w:highlight w:val="none"/>
          <w:u w:val="single"/>
        </w:rPr>
        <w:t>▲不提供投标函的投标文件将被视为未实质性响应采购文件。</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tabs>
          <w:tab w:val="left" w:pos="900"/>
        </w:tabs>
        <w:rPr>
          <w:rFonts w:hint="eastAsia" w:ascii="宋体" w:hAnsi="宋体" w:eastAsia="宋体" w:cs="宋体"/>
          <w:sz w:val="22"/>
          <w:highlight w:val="none"/>
        </w:rPr>
      </w:pPr>
      <w:r>
        <w:rPr>
          <w:rFonts w:hint="eastAsia" w:ascii="宋体" w:hAnsi="宋体" w:eastAsia="宋体" w:cs="宋体"/>
          <w:b/>
          <w:sz w:val="24"/>
          <w:szCs w:val="24"/>
          <w:highlight w:val="none"/>
        </w:rPr>
        <w:t>附件二</w:t>
      </w:r>
    </w:p>
    <w:p>
      <w:pPr>
        <w:spacing w:line="460" w:lineRule="exact"/>
        <w:ind w:firstLine="437"/>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技术规格、商务条款偏离表</w:t>
      </w:r>
    </w:p>
    <w:p>
      <w:pPr>
        <w:spacing w:line="380" w:lineRule="exact"/>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采购编号：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210" w:type="dxa"/>
            <w:gridSpan w:val="2"/>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23"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实际响应的具体内容</w:t>
            </w:r>
          </w:p>
        </w:tc>
        <w:tc>
          <w:tcPr>
            <w:tcW w:w="1147" w:type="dxa"/>
            <w:vMerge w:val="continue"/>
            <w:vAlign w:val="center"/>
          </w:tcPr>
          <w:p>
            <w:pPr>
              <w:autoSpaceDE w:val="0"/>
              <w:autoSpaceDN w:val="0"/>
              <w:adjustRightInd w:val="0"/>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技  术  偏  离</w:t>
            </w: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48" w:hRule="atLeas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96"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37" w:type="dxa"/>
            <w:gridSpan w:val="2"/>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47" w:type="dxa"/>
            <w:vAlign w:val="center"/>
          </w:tcPr>
          <w:p>
            <w:pPr>
              <w:autoSpaceDE w:val="0"/>
              <w:autoSpaceDN w:val="0"/>
              <w:adjustRightInd w:val="0"/>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商  务  偏  离</w:t>
            </w: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exact"/>
          <w:jc w:val="center"/>
        </w:trPr>
        <w:tc>
          <w:tcPr>
            <w:tcW w:w="679" w:type="dxa"/>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bl>
    <w:p>
      <w:pPr>
        <w:rPr>
          <w:rFonts w:hint="eastAsia" w:ascii="宋体" w:hAnsi="宋体" w:eastAsia="宋体" w:cs="宋体"/>
          <w:szCs w:val="21"/>
          <w:highlight w:val="none"/>
        </w:rPr>
      </w:pPr>
      <w:r>
        <w:rPr>
          <w:rFonts w:hint="eastAsia" w:ascii="宋体" w:hAnsi="宋体" w:eastAsia="宋体" w:cs="宋体"/>
          <w:szCs w:val="21"/>
          <w:highlight w:val="none"/>
        </w:rPr>
        <w:t>注：1、此表可扩展使用。</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2、不填写此表视为完全响应采购文件内容。</w:t>
      </w:r>
    </w:p>
    <w:p>
      <w:pPr>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rPr>
        <w:t>3、▲不提供“技术规格、商务条款偏离表”的投标文件将被视为未实质性响应采购文件。</w:t>
      </w:r>
    </w:p>
    <w:p>
      <w:pPr>
        <w:spacing w:line="380" w:lineRule="exact"/>
        <w:ind w:firstLine="4417" w:firstLineChars="2000"/>
        <w:rPr>
          <w:rFonts w:hint="eastAsia" w:ascii="宋体" w:hAnsi="宋体" w:eastAsia="宋体" w:cs="宋体"/>
          <w:b/>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附件三</w:t>
      </w:r>
    </w:p>
    <w:p>
      <w:pPr>
        <w:spacing w:line="460" w:lineRule="exact"/>
        <w:jc w:val="center"/>
        <w:rPr>
          <w:rFonts w:hint="eastAsia" w:ascii="宋体" w:hAnsi="宋体" w:eastAsia="宋体" w:cs="宋体"/>
          <w:b/>
          <w:sz w:val="28"/>
          <w:szCs w:val="28"/>
          <w:highlight w:val="none"/>
        </w:rPr>
      </w:pPr>
      <w:r>
        <w:rPr>
          <w:rFonts w:hint="eastAsia" w:ascii="宋体" w:hAnsi="宋体" w:eastAsia="宋体" w:cs="宋体"/>
          <w:b/>
          <w:bCs/>
          <w:sz w:val="28"/>
          <w:szCs w:val="28"/>
          <w:highlight w:val="none"/>
        </w:rPr>
        <w:t>资格证明文件</w:t>
      </w:r>
    </w:p>
    <w:p>
      <w:pPr>
        <w:tabs>
          <w:tab w:val="left" w:pos="0"/>
          <w:tab w:val="left" w:pos="420"/>
        </w:tabs>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授权书</w:t>
      </w:r>
    </w:p>
    <w:p>
      <w:pPr>
        <w:spacing w:line="420" w:lineRule="exact"/>
        <w:jc w:val="center"/>
        <w:rPr>
          <w:rFonts w:hint="eastAsia" w:ascii="宋体" w:hAnsi="宋体" w:eastAsia="宋体" w:cs="宋体"/>
          <w:sz w:val="22"/>
          <w:highlight w:val="none"/>
        </w:rPr>
      </w:pPr>
      <w:r>
        <w:rPr>
          <w:rFonts w:hint="eastAsia" w:ascii="宋体" w:hAnsi="宋体" w:eastAsia="宋体" w:cs="宋体"/>
          <w:sz w:val="22"/>
          <w:highlight w:val="none"/>
        </w:rPr>
        <w:t>（授权代表参加投标时提供）</w:t>
      </w:r>
    </w:p>
    <w:p>
      <w:pPr>
        <w:spacing w:line="420" w:lineRule="exact"/>
        <w:rPr>
          <w:rFonts w:hint="eastAsia" w:ascii="宋体" w:hAnsi="宋体" w:eastAsia="宋体" w:cs="宋体"/>
          <w:sz w:val="22"/>
          <w:highlight w:val="none"/>
          <w:lang w:eastAsia="zh-CN"/>
        </w:rPr>
      </w:pPr>
    </w:p>
    <w:p>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pPr>
        <w:spacing w:line="460" w:lineRule="exact"/>
        <w:rPr>
          <w:rFonts w:hint="eastAsia" w:ascii="宋体" w:hAnsi="宋体" w:eastAsia="宋体" w:cs="宋体"/>
          <w:sz w:val="22"/>
          <w:highlight w:val="none"/>
        </w:rPr>
      </w:pPr>
    </w:p>
    <w:p>
      <w:pPr>
        <w:spacing w:line="460" w:lineRule="exact"/>
        <w:ind w:firstLine="550" w:firstLineChars="25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（投标人全称）</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（全权代表姓名）为全权代表，参加贵处组织的（采购项目名称、编号）的采购活动，全权代表我方处理采购活动中的一切事宜。</w:t>
      </w:r>
    </w:p>
    <w:p>
      <w:pPr>
        <w:spacing w:line="460" w:lineRule="exact"/>
        <w:ind w:firstLine="2955"/>
        <w:rPr>
          <w:rFonts w:hint="eastAsia" w:ascii="宋体" w:hAnsi="宋体" w:eastAsia="宋体" w:cs="宋体"/>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 xml:space="preserve"> (签字或盖章)：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     年    月   日</w:t>
      </w:r>
    </w:p>
    <w:p>
      <w:pPr>
        <w:spacing w:line="460" w:lineRule="exact"/>
        <w:rPr>
          <w:rFonts w:hint="eastAsia" w:ascii="宋体" w:hAnsi="宋体" w:eastAsia="宋体" w:cs="宋体"/>
          <w:sz w:val="22"/>
          <w:highlight w:val="none"/>
        </w:rPr>
      </w:pPr>
      <w:r>
        <w:rPr>
          <w:rFonts w:hint="eastAsia" w:ascii="宋体" w:hAnsi="宋体" w:eastAsia="宋体" w:cs="宋体"/>
          <w:sz w:val="22"/>
          <w:highlight w:val="none"/>
        </w:rPr>
        <w:t>附：</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授权代表姓名：</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职务：</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详细通讯地址：</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电话：</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传真：</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邮政编码:</w:t>
      </w:r>
    </w:p>
    <w:p>
      <w:pPr>
        <w:spacing w:line="460" w:lineRule="exact"/>
        <w:rPr>
          <w:rFonts w:hint="eastAsia" w:ascii="宋体" w:hAnsi="宋体" w:eastAsia="宋体" w:cs="宋体"/>
          <w:bCs/>
          <w:sz w:val="22"/>
          <w:highlight w:val="none"/>
        </w:rPr>
      </w:pPr>
    </w:p>
    <w:tbl>
      <w:tblPr>
        <w:tblStyle w:val="25"/>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投标人代表身份证复印件</w:t>
            </w:r>
          </w:p>
          <w:p>
            <w:pPr>
              <w:spacing w:line="380" w:lineRule="exact"/>
              <w:jc w:val="center"/>
              <w:rPr>
                <w:rFonts w:hint="eastAsia" w:ascii="宋体" w:hAnsi="宋体" w:eastAsia="宋体" w:cs="宋体"/>
                <w:bCs/>
                <w:sz w:val="28"/>
                <w:szCs w:val="24"/>
                <w:highlight w:val="none"/>
              </w:rPr>
            </w:pPr>
          </w:p>
        </w:tc>
      </w:tr>
    </w:tbl>
    <w:p>
      <w:pPr>
        <w:spacing w:line="400" w:lineRule="exact"/>
        <w:ind w:firstLine="140" w:firstLineChars="64"/>
        <w:rPr>
          <w:rFonts w:hint="eastAsia" w:ascii="宋体" w:hAnsi="宋体" w:eastAsia="宋体" w:cs="宋体"/>
          <w:sz w:val="22"/>
          <w:szCs w:val="24"/>
          <w:highlight w:val="none"/>
        </w:rPr>
      </w:pPr>
    </w:p>
    <w:p>
      <w:pPr>
        <w:widowControl/>
        <w:spacing w:line="480" w:lineRule="atLeast"/>
        <w:jc w:val="center"/>
        <w:rPr>
          <w:rFonts w:hint="eastAsia" w:ascii="宋体" w:hAnsi="宋体" w:eastAsia="宋体" w:cs="宋体"/>
          <w:bCs/>
          <w:kern w:val="0"/>
          <w:sz w:val="32"/>
          <w:szCs w:val="32"/>
          <w:highlight w:val="none"/>
        </w:rPr>
      </w:pPr>
      <w:r>
        <w:rPr>
          <w:rFonts w:hint="eastAsia" w:ascii="宋体" w:hAnsi="宋体" w:eastAsia="宋体" w:cs="宋体"/>
          <w:sz w:val="22"/>
          <w:szCs w:val="24"/>
          <w:highlight w:val="none"/>
        </w:rPr>
        <w:br w:type="page"/>
      </w:r>
      <w:r>
        <w:rPr>
          <w:rFonts w:hint="eastAsia" w:ascii="宋体" w:hAnsi="宋体" w:eastAsia="宋体" w:cs="宋体"/>
          <w:bCs/>
          <w:kern w:val="0"/>
          <w:sz w:val="32"/>
          <w:szCs w:val="32"/>
          <w:highlight w:val="none"/>
          <w:lang w:eastAsia="zh-CN"/>
        </w:rPr>
        <w:t>法定代表人</w:t>
      </w:r>
      <w:r>
        <w:rPr>
          <w:rFonts w:hint="eastAsia" w:ascii="宋体" w:hAnsi="宋体" w:eastAsia="宋体" w:cs="宋体"/>
          <w:bCs/>
          <w:kern w:val="0"/>
          <w:sz w:val="32"/>
          <w:szCs w:val="32"/>
          <w:highlight w:val="none"/>
        </w:rPr>
        <w:t>资格证明书</w:t>
      </w:r>
    </w:p>
    <w:p>
      <w:pPr>
        <w:widowControl/>
        <w:spacing w:line="480" w:lineRule="atLeast"/>
        <w:jc w:val="center"/>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（如</w:t>
      </w:r>
      <w:r>
        <w:rPr>
          <w:rFonts w:hint="eastAsia" w:ascii="宋体" w:hAnsi="宋体" w:eastAsia="宋体" w:cs="宋体"/>
          <w:bCs/>
          <w:kern w:val="0"/>
          <w:sz w:val="28"/>
          <w:szCs w:val="28"/>
          <w:highlight w:val="none"/>
          <w:lang w:eastAsia="zh-CN"/>
        </w:rPr>
        <w:t>法定代表人</w:t>
      </w:r>
      <w:r>
        <w:rPr>
          <w:rFonts w:hint="eastAsia" w:ascii="宋体" w:hAnsi="宋体" w:eastAsia="宋体" w:cs="宋体"/>
          <w:bCs/>
          <w:kern w:val="0"/>
          <w:sz w:val="28"/>
          <w:szCs w:val="28"/>
          <w:highlight w:val="none"/>
        </w:rPr>
        <w:t>参加投标时提供）</w:t>
      </w:r>
    </w:p>
    <w:p>
      <w:pPr>
        <w:widowControl/>
        <w:spacing w:line="360" w:lineRule="auto"/>
        <w:rPr>
          <w:rFonts w:hint="eastAsia" w:ascii="宋体" w:hAnsi="宋体" w:eastAsia="宋体" w:cs="宋体"/>
          <w:sz w:val="24"/>
          <w:szCs w:val="24"/>
          <w:highlight w:val="none"/>
          <w:u w:val="single"/>
        </w:rPr>
      </w:pPr>
    </w:p>
    <w:p>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pPr>
        <w:widowControl/>
        <w:spacing w:line="360" w:lineRule="auto"/>
        <w:ind w:left="420" w:firstLine="473"/>
        <w:jc w:val="left"/>
        <w:rPr>
          <w:rFonts w:hint="eastAsia" w:ascii="宋体" w:hAnsi="宋体" w:eastAsia="宋体" w:cs="宋体"/>
          <w:kern w:val="0"/>
          <w:sz w:val="24"/>
          <w:szCs w:val="24"/>
          <w:highlight w:val="none"/>
        </w:rPr>
      </w:pP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单位名称：</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姓名：          性别：           年龄：            职务：        </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本人系</w:t>
      </w:r>
      <w:r>
        <w:rPr>
          <w:rFonts w:hint="eastAsia" w:ascii="宋体" w:hAnsi="宋体" w:eastAsia="宋体" w:cs="宋体"/>
          <w:kern w:val="0"/>
          <w:sz w:val="24"/>
          <w:szCs w:val="24"/>
          <w:highlight w:val="none"/>
          <w:u w:val="single"/>
        </w:rPr>
        <w:t xml:space="preserve">       &lt;投标人名称&gt;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。为你单位组织的采购编号为</w:t>
      </w:r>
      <w:r>
        <w:rPr>
          <w:rFonts w:hint="eastAsia" w:ascii="宋体" w:hAnsi="宋体" w:eastAsia="宋体" w:cs="宋体"/>
          <w:b/>
          <w:bCs/>
          <w:spacing w:val="20"/>
          <w:kern w:val="0"/>
          <w:sz w:val="24"/>
          <w:szCs w:val="24"/>
          <w:highlight w:val="none"/>
          <w:u w:val="single"/>
        </w:rPr>
        <w:t xml:space="preserve">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采购项目，签署上述项目的投标文件、进行合同谈判、签署合同和处理与之有关的一切事务。</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（※此处请粘贴</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身份证复印件※）</w:t>
      </w:r>
    </w:p>
    <w:p>
      <w:pPr>
        <w:widowControl/>
        <w:spacing w:line="480" w:lineRule="auto"/>
        <w:ind w:left="420" w:firstLine="473"/>
        <w:jc w:val="left"/>
        <w:rPr>
          <w:rFonts w:hint="eastAsia" w:ascii="宋体" w:hAnsi="宋体" w:eastAsia="宋体" w:cs="宋体"/>
          <w:kern w:val="0"/>
          <w:sz w:val="24"/>
          <w:szCs w:val="24"/>
          <w:highlight w:val="none"/>
        </w:rPr>
      </w:pP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投标人名称（加盖公章）：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（签字</w:t>
      </w:r>
      <w:r>
        <w:rPr>
          <w:rFonts w:hint="eastAsia" w:ascii="宋体" w:hAnsi="宋体" w:eastAsia="宋体" w:cs="宋体"/>
          <w:sz w:val="22"/>
          <w:highlight w:val="none"/>
        </w:rPr>
        <w:t>或盖章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p>
    <w:p>
      <w:pPr>
        <w:widowControl/>
        <w:snapToGrid w:val="0"/>
        <w:spacing w:before="60" w:line="480" w:lineRule="auto"/>
        <w:ind w:firstLine="189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签署日期：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月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日</w:t>
      </w:r>
    </w:p>
    <w:p>
      <w:pPr>
        <w:widowControl/>
        <w:rPr>
          <w:rFonts w:hint="eastAsia" w:ascii="宋体" w:hAnsi="宋体" w:eastAsia="宋体" w:cs="宋体"/>
          <w:kern w:val="0"/>
          <w:szCs w:val="21"/>
          <w:highlight w:val="none"/>
        </w:rPr>
      </w:pPr>
    </w:p>
    <w:p>
      <w:pPr>
        <w:widowControl/>
        <w:rPr>
          <w:rFonts w:hint="eastAsia" w:ascii="宋体" w:hAnsi="宋体" w:eastAsia="宋体" w:cs="宋体"/>
          <w:kern w:val="0"/>
          <w:szCs w:val="21"/>
          <w:highlight w:val="none"/>
        </w:rPr>
      </w:pPr>
    </w:p>
    <w:p>
      <w:pPr>
        <w:widowControl/>
        <w:spacing w:line="480" w:lineRule="atLeas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说明：</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参加本采购项目投标的，仅须提供此证明书。</w:t>
      </w:r>
    </w:p>
    <w:p>
      <w:pPr>
        <w:spacing w:line="460" w:lineRule="exac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p>
    <w:p>
      <w:pPr>
        <w:rPr>
          <w:rFonts w:hint="eastAsia" w:ascii="宋体" w:hAnsi="宋体" w:eastAsia="宋体" w:cs="宋体"/>
          <w:b/>
          <w:bCs/>
          <w:sz w:val="24"/>
          <w:szCs w:val="24"/>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4"/>
          <w:szCs w:val="24"/>
          <w:highlight w:val="none"/>
        </w:rPr>
        <w:t>（2）投标供应商企业法人有效营业执照（或法人登记证书）复印件加盖单位公章</w:t>
      </w:r>
    </w:p>
    <w:p>
      <w:pPr>
        <w:rPr>
          <w:rFonts w:hint="eastAsia" w:ascii="宋体" w:hAnsi="宋体" w:eastAsia="宋体" w:cs="宋体"/>
          <w:b/>
          <w:bCs/>
          <w:sz w:val="24"/>
          <w:szCs w:val="24"/>
          <w:highlight w:val="none"/>
        </w:rPr>
      </w:pPr>
    </w:p>
    <w:p>
      <w:pPr>
        <w:snapToGrid w:val="0"/>
        <w:spacing w:before="50" w:after="120" w:afterLines="50"/>
        <w:jc w:val="left"/>
        <w:rPr>
          <w:rFonts w:hint="eastAsia" w:ascii="宋体" w:hAnsi="宋体" w:eastAsia="宋体" w:cs="宋体"/>
          <w:b/>
          <w:sz w:val="24"/>
          <w:szCs w:val="24"/>
          <w:highlight w:val="none"/>
        </w:rPr>
      </w:pPr>
    </w:p>
    <w:p>
      <w:pPr>
        <w:snapToGrid w:val="0"/>
        <w:spacing w:before="50" w:after="120" w:afterLines="50"/>
        <w:jc w:val="left"/>
        <w:rPr>
          <w:rFonts w:hint="eastAsia" w:ascii="宋体" w:hAnsi="宋体" w:eastAsia="宋体" w:cs="宋体"/>
          <w:b/>
          <w:sz w:val="30"/>
          <w:szCs w:val="24"/>
          <w:highlight w:val="none"/>
        </w:rPr>
      </w:pPr>
      <w:r>
        <w:rPr>
          <w:rFonts w:hint="eastAsia" w:ascii="宋体" w:hAnsi="宋体" w:eastAsia="宋体" w:cs="宋体"/>
          <w:b/>
          <w:sz w:val="24"/>
          <w:szCs w:val="24"/>
          <w:highlight w:val="none"/>
        </w:rPr>
        <w:t>以上证书若为复印件，须加盖投标人单位公章</w:t>
      </w: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附件四</w:t>
      </w:r>
    </w:p>
    <w:p>
      <w:pPr>
        <w:snapToGrid w:val="0"/>
        <w:spacing w:before="120" w:beforeLines="50" w:after="50"/>
        <w:jc w:val="center"/>
        <w:rPr>
          <w:rFonts w:hint="eastAsia" w:ascii="宋体" w:hAnsi="宋体" w:eastAsia="宋体" w:cs="宋体"/>
          <w:b/>
          <w:sz w:val="24"/>
          <w:szCs w:val="20"/>
          <w:highlight w:val="none"/>
        </w:rPr>
      </w:pPr>
      <w:r>
        <w:rPr>
          <w:rFonts w:hint="eastAsia" w:ascii="宋体" w:hAnsi="宋体" w:eastAsia="宋体" w:cs="宋体"/>
          <w:b/>
          <w:sz w:val="30"/>
          <w:szCs w:val="24"/>
          <w:highlight w:val="none"/>
        </w:rPr>
        <w:t>（</w:t>
      </w:r>
      <w:r>
        <w:rPr>
          <w:rFonts w:hint="eastAsia" w:ascii="宋体" w:hAnsi="宋体" w:eastAsia="宋体" w:cs="宋体"/>
          <w:b/>
          <w:sz w:val="30"/>
          <w:szCs w:val="24"/>
          <w:highlight w:val="none"/>
          <w:lang w:val="en-US" w:eastAsia="zh-CN"/>
        </w:rPr>
        <w:t>3</w:t>
      </w:r>
      <w:r>
        <w:rPr>
          <w:rFonts w:hint="eastAsia" w:ascii="宋体" w:hAnsi="宋体" w:eastAsia="宋体" w:cs="宋体"/>
          <w:b/>
          <w:sz w:val="30"/>
          <w:szCs w:val="24"/>
          <w:highlight w:val="none"/>
        </w:rPr>
        <w:t>）投标声明书</w:t>
      </w:r>
    </w:p>
    <w:p>
      <w:pPr>
        <w:snapToGrid w:val="0"/>
        <w:spacing w:before="120" w:beforeLines="50" w:after="50"/>
        <w:rPr>
          <w:rFonts w:hint="eastAsia" w:ascii="宋体" w:hAnsi="宋体" w:eastAsia="宋体" w:cs="宋体"/>
          <w:sz w:val="22"/>
          <w:highlight w:val="none"/>
        </w:rPr>
      </w:pPr>
    </w:p>
    <w:p>
      <w:pPr>
        <w:snapToGrid w:val="0"/>
        <w:spacing w:before="120" w:beforeLines="50" w:after="50"/>
        <w:rPr>
          <w:rFonts w:hint="eastAsia" w:ascii="宋体" w:hAnsi="宋体" w:eastAsia="宋体" w:cs="宋体"/>
          <w:sz w:val="22"/>
          <w:highlight w:val="none"/>
        </w:rPr>
      </w:pPr>
      <w:r>
        <w:rPr>
          <w:rFonts w:hint="eastAsia" w:ascii="宋体" w:hAnsi="宋体" w:eastAsia="宋体" w:cs="宋体"/>
          <w:sz w:val="22"/>
          <w:highlight w:val="none"/>
        </w:rPr>
        <w:t>致：温州市高速公路资产经营有限公司：</w:t>
      </w:r>
    </w:p>
    <w:p>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（投标人名称）系中华人民共和国合法企业/单位，经营地址</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我</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（姓名）系</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（投标人名称）的</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，我方愿意参加贵方组织的</w:t>
      </w:r>
      <w:r>
        <w:rPr>
          <w:rFonts w:hint="eastAsia" w:ascii="宋体" w:hAnsi="宋体" w:eastAsia="宋体" w:cs="宋体"/>
          <w:sz w:val="22"/>
          <w:highlight w:val="none"/>
          <w:u w:val="single"/>
        </w:rPr>
        <w:t xml:space="preserve">   （项目名称名称、项目编号）     </w:t>
      </w:r>
      <w:r>
        <w:rPr>
          <w:rFonts w:hint="eastAsia" w:ascii="宋体" w:hAnsi="宋体" w:eastAsia="宋体" w:cs="宋体"/>
          <w:sz w:val="22"/>
          <w:highlight w:val="none"/>
        </w:rPr>
        <w:t>项目的投标，为便于贵方公正、择优地确定中标人及其投标服务，我方就参加本次投标有关事项郑重声明如下：</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1.本投标有效期自开标日起 ______日。</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2.我方向贵方提交的所有投标文件、资料都是准确的和真实的。</w:t>
      </w:r>
    </w:p>
    <w:p>
      <w:pPr>
        <w:snapToGrid w:val="0"/>
        <w:spacing w:before="120" w:line="320" w:lineRule="exact"/>
        <w:ind w:firstLine="440" w:firstLineChars="200"/>
        <w:rPr>
          <w:rFonts w:hint="eastAsia" w:ascii="宋体" w:hAnsi="宋体" w:eastAsia="宋体" w:cs="宋体"/>
          <w:sz w:val="22"/>
          <w:highlight w:val="none"/>
          <w:lang w:eastAsia="zh-CN"/>
        </w:rPr>
      </w:pPr>
      <w:r>
        <w:rPr>
          <w:rFonts w:hint="eastAsia" w:ascii="宋体" w:hAnsi="宋体" w:eastAsia="宋体" w:cs="宋体"/>
          <w:sz w:val="22"/>
          <w:highlight w:val="none"/>
        </w:rPr>
        <w:t>3.我方不是采购人的附属机构</w:t>
      </w:r>
      <w:r>
        <w:rPr>
          <w:rFonts w:hint="eastAsia" w:ascii="宋体" w:hAnsi="宋体" w:eastAsia="宋体" w:cs="宋体"/>
          <w:sz w:val="22"/>
          <w:highlight w:val="none"/>
          <w:lang w:eastAsia="zh-CN"/>
        </w:rPr>
        <w:t>。</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rPr>
        <w:t>4.我方</w:t>
      </w:r>
      <w:r>
        <w:rPr>
          <w:rFonts w:hint="eastAsia" w:ascii="宋体" w:hAnsi="宋体" w:eastAsia="宋体" w:cs="宋体"/>
          <w:sz w:val="22"/>
          <w:highlight w:val="none"/>
          <w:lang w:val="en-US" w:eastAsia="zh-CN"/>
        </w:rPr>
        <w:t>未</w:t>
      </w:r>
      <w:r>
        <w:rPr>
          <w:rFonts w:hint="eastAsia" w:ascii="宋体" w:hAnsi="宋体" w:eastAsia="宋体" w:cs="宋体"/>
          <w:sz w:val="22"/>
          <w:highlight w:val="none"/>
        </w:rPr>
        <w:t>参加</w:t>
      </w:r>
      <w:r>
        <w:rPr>
          <w:rFonts w:hint="eastAsia" w:ascii="宋体" w:hAnsi="宋体" w:eastAsia="宋体" w:cs="宋体"/>
          <w:sz w:val="22"/>
          <w:highlight w:val="none"/>
          <w:lang w:val="en-US" w:eastAsia="zh-CN"/>
        </w:rPr>
        <w:t>过</w:t>
      </w:r>
      <w:r>
        <w:rPr>
          <w:rFonts w:hint="eastAsia" w:ascii="宋体" w:hAnsi="宋体" w:eastAsia="宋体" w:cs="宋体"/>
          <w:sz w:val="22"/>
          <w:highlight w:val="none"/>
        </w:rPr>
        <w:t>本采购项目的整体设计、规范编制或者项目管理、监理、检测等服务</w:t>
      </w:r>
      <w:r>
        <w:rPr>
          <w:rFonts w:hint="eastAsia" w:ascii="宋体" w:hAnsi="宋体" w:eastAsia="宋体" w:cs="宋体"/>
          <w:sz w:val="22"/>
          <w:highlight w:val="none"/>
          <w:lang w:val="en-US" w:eastAsia="zh-CN"/>
        </w:rPr>
        <w:t>工作。</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5.我</w:t>
      </w:r>
      <w:r>
        <w:rPr>
          <w:rFonts w:hint="eastAsia" w:ascii="宋体" w:hAnsi="宋体" w:eastAsia="宋体" w:cs="宋体"/>
          <w:kern w:val="0"/>
          <w:sz w:val="22"/>
          <w:highlight w:val="none"/>
        </w:rPr>
        <w:t>方</w:t>
      </w:r>
      <w:r>
        <w:rPr>
          <w:rFonts w:hint="eastAsia" w:ascii="宋体" w:hAnsi="宋体" w:eastAsia="宋体" w:cs="宋体"/>
          <w:sz w:val="22"/>
          <w:highlight w:val="none"/>
        </w:rPr>
        <w:t>单位</w:t>
      </w:r>
      <w:r>
        <w:rPr>
          <w:rFonts w:hint="eastAsia" w:ascii="宋体" w:hAnsi="宋体" w:eastAsia="宋体" w:cs="宋体"/>
          <w:kern w:val="0"/>
          <w:sz w:val="22"/>
          <w:highlight w:val="none"/>
        </w:rPr>
        <w:t>负责人同时为下列单位的负责人：</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kern w:val="0"/>
          <w:sz w:val="22"/>
          <w:highlight w:val="none"/>
        </w:rPr>
        <w:t>6</w:t>
      </w:r>
      <w:r>
        <w:rPr>
          <w:rFonts w:hint="eastAsia" w:ascii="宋体" w:hAnsi="宋体" w:eastAsia="宋体" w:cs="宋体"/>
          <w:sz w:val="22"/>
          <w:highlight w:val="none"/>
        </w:rPr>
        <w:t>.</w:t>
      </w:r>
      <w:r>
        <w:rPr>
          <w:rFonts w:hint="eastAsia" w:ascii="宋体" w:hAnsi="宋体" w:eastAsia="宋体" w:cs="宋体"/>
          <w:kern w:val="0"/>
          <w:sz w:val="22"/>
          <w:highlight w:val="none"/>
        </w:rPr>
        <w:t>我方直接控股的单位、由我方管理的单位，没有同时参加本</w:t>
      </w:r>
      <w:r>
        <w:rPr>
          <w:rFonts w:hint="eastAsia" w:ascii="宋体" w:hAnsi="宋体" w:eastAsia="宋体" w:cs="宋体"/>
          <w:sz w:val="22"/>
          <w:highlight w:val="none"/>
        </w:rPr>
        <w:t>合同项下</w:t>
      </w:r>
      <w:r>
        <w:rPr>
          <w:rFonts w:hint="eastAsia" w:ascii="宋体" w:hAnsi="宋体" w:eastAsia="宋体" w:cs="宋体"/>
          <w:kern w:val="0"/>
          <w:sz w:val="22"/>
          <w:highlight w:val="none"/>
        </w:rPr>
        <w:t>的投标。</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7.我方委托授权人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（姓名）为我单位的正式在职职工，以我方的名义参加</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本项目的投标活动，</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8.我方此次向贵方提供的服务名称为：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9.我方</w:t>
      </w:r>
      <w:r>
        <w:rPr>
          <w:rFonts w:hint="eastAsia" w:ascii="宋体" w:hAnsi="宋体" w:eastAsia="宋体" w:cs="宋体"/>
          <w:kern w:val="0"/>
          <w:sz w:val="22"/>
          <w:highlight w:val="none"/>
        </w:rPr>
        <w:t>参加本次国企采购活动前三年内，在经营活动中的重大违法记录</w:t>
      </w:r>
      <w:r>
        <w:rPr>
          <w:rFonts w:hint="eastAsia" w:ascii="宋体" w:hAnsi="宋体" w:eastAsia="宋体" w:cs="宋体"/>
          <w:sz w:val="22"/>
          <w:highlight w:val="none"/>
        </w:rPr>
        <w:t>有：</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至本项目投标截止前，我方被列入“信用中国”网站(www.creditchina.gov.cn)“记录失信被执行人或重大税收违法案件当事人名单”记录名单情况：</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10.</w:t>
      </w:r>
      <w:r>
        <w:rPr>
          <w:rFonts w:hint="eastAsia" w:ascii="宋体" w:hAnsi="宋体" w:eastAsia="宋体" w:cs="宋体"/>
          <w:strike w:val="0"/>
          <w:dstrike w:val="0"/>
          <w:color w:val="auto"/>
          <w:sz w:val="21"/>
          <w:szCs w:val="21"/>
          <w:highlight w:val="none"/>
        </w:rPr>
        <w:t>我方承诺具有良好的商业信誉和健全的财务会计制度，具有依法缴纳税收和社会保障资金的良好记录，具有履行本项目合同所必需的场地、设备和专业技术能力、售后保障等能力。如有虚假，采购人可取消我方任何资格（投标/中标/签订合同），我方对此无任何异议</w:t>
      </w:r>
      <w:r>
        <w:rPr>
          <w:rFonts w:hint="eastAsia" w:ascii="宋体" w:hAnsi="宋体" w:eastAsia="宋体" w:cs="宋体"/>
          <w:sz w:val="22"/>
          <w:highlight w:val="none"/>
        </w:rPr>
        <w:t>。</w:t>
      </w:r>
    </w:p>
    <w:p>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11.以上事项如有虚假或隐瞒，我方愿意承担一切后果，并不再寻求任何旨在减轻或免除法律责任的辩解。</w:t>
      </w:r>
    </w:p>
    <w:p>
      <w:pPr>
        <w:snapToGrid w:val="0"/>
        <w:spacing w:before="120" w:beforeLines="50"/>
        <w:ind w:firstLine="200"/>
        <w:rPr>
          <w:rFonts w:hint="eastAsia" w:ascii="宋体" w:hAnsi="宋体" w:eastAsia="宋体" w:cs="宋体"/>
          <w:sz w:val="18"/>
          <w:szCs w:val="18"/>
          <w:highlight w:val="none"/>
        </w:rPr>
      </w:pPr>
    </w:p>
    <w:p>
      <w:pPr>
        <w:snapToGrid w:val="0"/>
        <w:spacing w:before="120" w:beforeLines="50" w:line="360" w:lineRule="auto"/>
        <w:ind w:firstLine="200"/>
        <w:rPr>
          <w:rFonts w:hint="eastAsia" w:ascii="宋体" w:hAnsi="宋体" w:eastAsia="宋体" w:cs="宋体"/>
          <w:sz w:val="22"/>
          <w:highlight w:val="none"/>
          <w:u w:val="single"/>
        </w:rPr>
      </w:pPr>
      <w:r>
        <w:rPr>
          <w:rFonts w:hint="eastAsia" w:ascii="宋体" w:hAnsi="宋体" w:eastAsia="宋体" w:cs="宋体"/>
          <w:sz w:val="22"/>
          <w:highlight w:val="none"/>
        </w:rPr>
        <w:t>法定代表人或授权委托人：</w:t>
      </w:r>
      <w:r>
        <w:rPr>
          <w:rFonts w:hint="eastAsia" w:ascii="宋体" w:hAnsi="宋体" w:eastAsia="宋体" w:cs="宋体"/>
          <w:sz w:val="22"/>
          <w:highlight w:val="none"/>
          <w:u w:val="single"/>
        </w:rPr>
        <w:t xml:space="preserve">     （签字或盖章） </w:t>
      </w:r>
    </w:p>
    <w:p>
      <w:pPr>
        <w:snapToGrid w:val="0"/>
        <w:spacing w:before="50" w:after="50" w:line="360" w:lineRule="auto"/>
        <w:ind w:firstLine="220" w:firstLineChars="100"/>
        <w:rPr>
          <w:rFonts w:hint="eastAsia" w:ascii="宋体" w:hAnsi="宋体" w:eastAsia="宋体" w:cs="宋体"/>
          <w:sz w:val="22"/>
          <w:highlight w:val="none"/>
          <w:u w:val="single"/>
        </w:rPr>
      </w:pPr>
      <w:r>
        <w:rPr>
          <w:rFonts w:hint="eastAsia" w:ascii="宋体" w:hAnsi="宋体" w:eastAsia="宋体" w:cs="宋体"/>
          <w:sz w:val="22"/>
          <w:highlight w:val="none"/>
        </w:rPr>
        <w:t>投标人全称：</w:t>
      </w:r>
      <w:r>
        <w:rPr>
          <w:rFonts w:hint="eastAsia" w:ascii="宋体" w:hAnsi="宋体" w:eastAsia="宋体" w:cs="宋体"/>
          <w:sz w:val="22"/>
          <w:highlight w:val="none"/>
          <w:u w:val="single"/>
        </w:rPr>
        <w:t xml:space="preserve">       （盖公章）           </w:t>
      </w:r>
    </w:p>
    <w:p>
      <w:pPr>
        <w:snapToGrid w:val="0"/>
        <w:spacing w:before="50" w:after="50" w:line="360" w:lineRule="auto"/>
        <w:ind w:firstLine="220" w:firstLineChars="100"/>
        <w:rPr>
          <w:rFonts w:hint="eastAsia" w:ascii="宋体" w:hAnsi="宋体" w:eastAsia="宋体" w:cs="宋体"/>
          <w:sz w:val="22"/>
          <w:szCs w:val="24"/>
          <w:highlight w:val="none"/>
        </w:rPr>
      </w:pPr>
      <w:r>
        <w:rPr>
          <w:rFonts w:hint="eastAsia" w:ascii="宋体" w:hAnsi="宋体" w:eastAsia="宋体" w:cs="宋体"/>
          <w:sz w:val="22"/>
          <w:highlight w:val="none"/>
        </w:rPr>
        <w:t>年    月    日</w:t>
      </w:r>
    </w:p>
    <w:p>
      <w:pPr>
        <w:ind w:left="826" w:hanging="826" w:hangingChars="29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spacing w:line="360" w:lineRule="auto"/>
        <w:jc w:val="left"/>
        <w:rPr>
          <w:rFonts w:hint="eastAsia" w:ascii="宋体" w:hAnsi="宋体" w:eastAsia="宋体" w:cs="宋体"/>
          <w:sz w:val="22"/>
          <w:highlight w:val="none"/>
        </w:rPr>
      </w:pPr>
      <w:r>
        <w:rPr>
          <w:rFonts w:hint="eastAsia" w:ascii="宋体" w:hAnsi="宋体" w:eastAsia="宋体" w:cs="宋体"/>
          <w:sz w:val="22"/>
          <w:highlight w:val="none"/>
        </w:rPr>
        <w:t>（商务（报价）标封面，供参考）</w:t>
      </w:r>
    </w:p>
    <w:p>
      <w:pPr>
        <w:rPr>
          <w:rFonts w:hint="eastAsia" w:ascii="宋体" w:hAnsi="宋体" w:eastAsia="宋体" w:cs="宋体"/>
          <w:szCs w:val="24"/>
          <w:highlight w:val="none"/>
        </w:rPr>
      </w:pPr>
    </w:p>
    <w:p>
      <w:pPr>
        <w:rPr>
          <w:rFonts w:hint="eastAsia" w:ascii="宋体" w:hAnsi="宋体" w:eastAsia="宋体" w:cs="宋体"/>
          <w:szCs w:val="24"/>
          <w:highlight w:val="none"/>
        </w:rPr>
      </w:pPr>
    </w:p>
    <w:p>
      <w:pPr>
        <w:ind w:left="562" w:hanging="562" w:hangingChars="200"/>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ind w:left="562" w:hanging="562" w:hangingChars="200"/>
        <w:jc w:val="right"/>
        <w:rPr>
          <w:rFonts w:hint="eastAsia" w:ascii="宋体" w:hAnsi="宋体" w:eastAsia="宋体" w:cs="宋体"/>
          <w:b/>
          <w:bCs/>
          <w:sz w:val="28"/>
          <w:szCs w:val="28"/>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商 务（报 价） 标</w:t>
      </w:r>
    </w:p>
    <w:p>
      <w:pPr>
        <w:spacing w:line="480" w:lineRule="auto"/>
        <w:jc w:val="center"/>
        <w:rPr>
          <w:rFonts w:hint="eastAsia" w:ascii="宋体" w:hAnsi="宋体" w:eastAsia="宋体" w:cs="宋体"/>
          <w:szCs w:val="21"/>
          <w:highlight w:val="none"/>
        </w:rPr>
      </w:pPr>
      <w:r>
        <w:rPr>
          <w:rFonts w:hint="eastAsia" w:ascii="宋体" w:hAnsi="宋体" w:eastAsia="宋体" w:cs="宋体"/>
          <w:sz w:val="44"/>
          <w:szCs w:val="44"/>
          <w:highlight w:val="none"/>
        </w:rPr>
        <w:t>（开标时启封）</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overflowPunct w:val="0"/>
        <w:spacing w:line="380" w:lineRule="exact"/>
        <w:ind w:firstLine="2738" w:firstLineChars="978"/>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五</w:t>
      </w:r>
      <w:r>
        <w:rPr>
          <w:rFonts w:hint="eastAsia" w:ascii="宋体" w:hAnsi="宋体" w:eastAsia="宋体" w:cs="宋体"/>
          <w:b/>
          <w:bCs/>
          <w:sz w:val="22"/>
          <w:highlight w:val="none"/>
        </w:rPr>
        <w:t xml:space="preserve"> </w:t>
      </w:r>
    </w:p>
    <w:p>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开标一览表</w:t>
      </w:r>
    </w:p>
    <w:p>
      <w:pPr>
        <w:spacing w:line="380" w:lineRule="exact"/>
        <w:jc w:val="center"/>
        <w:rPr>
          <w:rFonts w:hint="eastAsia" w:ascii="宋体" w:hAnsi="宋体" w:eastAsia="宋体" w:cs="宋体"/>
          <w:bCs/>
          <w:sz w:val="28"/>
          <w:szCs w:val="24"/>
          <w:highlight w:val="none"/>
        </w:rPr>
      </w:pPr>
    </w:p>
    <w:p>
      <w:pPr>
        <w:tabs>
          <w:tab w:val="left" w:pos="7890"/>
        </w:tabs>
        <w:spacing w:line="380" w:lineRule="exact"/>
        <w:ind w:right="349" w:rightChars="166"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3824"/>
        <w:gridCol w:w="1151"/>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项目名称</w:t>
            </w:r>
          </w:p>
        </w:tc>
        <w:tc>
          <w:tcPr>
            <w:tcW w:w="3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投标总报价（元）</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服务期限</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“瓯江红·畅美高速”党群服务中心物业服务</w:t>
            </w:r>
          </w:p>
        </w:tc>
        <w:tc>
          <w:tcPr>
            <w:tcW w:w="382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大写：</w:t>
            </w:r>
          </w:p>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小写：</w:t>
            </w:r>
          </w:p>
        </w:tc>
        <w:tc>
          <w:tcPr>
            <w:tcW w:w="11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1年</w:t>
            </w:r>
          </w:p>
        </w:tc>
        <w:tc>
          <w:tcPr>
            <w:tcW w:w="1489" w:type="dxa"/>
            <w:tcBorders>
              <w:top w:val="single" w:color="auto" w:sz="4" w:space="0"/>
              <w:left w:val="single" w:color="auto" w:sz="4" w:space="0"/>
              <w:right w:val="single" w:color="auto" w:sz="4" w:space="0"/>
            </w:tcBorders>
            <w:vAlign w:val="center"/>
          </w:tcPr>
          <w:p>
            <w:pPr>
              <w:widowControl w:val="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lang w:eastAsia="zh-CN"/>
              </w:rPr>
              <w:t>含人员考核奖励金</w:t>
            </w:r>
            <w:r>
              <w:rPr>
                <w:rFonts w:hint="eastAsia" w:ascii="宋体" w:hAnsi="宋体" w:eastAsia="宋体" w:cs="宋体"/>
                <w:sz w:val="22"/>
                <w:szCs w:val="22"/>
                <w:lang w:val="en-US" w:eastAsia="zh-CN"/>
              </w:rPr>
              <w:t>9600元。</w:t>
            </w:r>
          </w:p>
        </w:tc>
      </w:tr>
    </w:tbl>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说明：</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1、投标报价包含的内容详见投标人须知第12条规定。</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2、此栏内投标总报价应与附件</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“投标分项报价表”中</w:t>
      </w:r>
      <w:r>
        <w:rPr>
          <w:rFonts w:hint="eastAsia" w:ascii="宋体" w:hAnsi="宋体" w:eastAsia="宋体" w:cs="宋体"/>
          <w:sz w:val="22"/>
          <w:szCs w:val="24"/>
          <w:highlight w:val="none"/>
          <w:lang w:val="en-US" w:eastAsia="zh-CN"/>
        </w:rPr>
        <w:t>合计</w:t>
      </w:r>
      <w:r>
        <w:rPr>
          <w:rFonts w:hint="eastAsia" w:ascii="宋体" w:hAnsi="宋体" w:eastAsia="宋体" w:cs="宋体"/>
          <w:sz w:val="22"/>
          <w:szCs w:val="24"/>
          <w:highlight w:val="none"/>
        </w:rPr>
        <w:t>价相一致。</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u w:val="single"/>
        </w:rPr>
        <w:t>3、▲不提供此表格将被视为没有满足采购文件的实质性要求</w:t>
      </w:r>
      <w:r>
        <w:rPr>
          <w:rFonts w:hint="eastAsia" w:ascii="宋体" w:hAnsi="宋体" w:eastAsia="宋体" w:cs="宋体"/>
          <w:sz w:val="22"/>
          <w:szCs w:val="24"/>
          <w:highlight w:val="none"/>
        </w:rPr>
        <w:t>。</w:t>
      </w:r>
    </w:p>
    <w:p>
      <w:pPr>
        <w:spacing w:after="120"/>
        <w:jc w:val="left"/>
        <w:textAlignment w:val="baseline"/>
        <w:rPr>
          <w:rFonts w:hint="eastAsia" w:ascii="宋体" w:hAnsi="宋体" w:eastAsia="宋体" w:cs="宋体"/>
          <w:szCs w:val="24"/>
          <w:highlight w:val="none"/>
        </w:rPr>
      </w:pPr>
      <w:r>
        <w:rPr>
          <w:rFonts w:hint="eastAsia" w:ascii="宋体" w:hAnsi="宋体" w:eastAsia="宋体" w:cs="宋体"/>
          <w:sz w:val="22"/>
          <w:szCs w:val="24"/>
          <w:highlight w:val="none"/>
          <w:u w:val="single"/>
        </w:rPr>
        <w:t>4、▲以上报价不得出现在技术标中</w:t>
      </w:r>
      <w:r>
        <w:rPr>
          <w:rFonts w:hint="eastAsia" w:ascii="宋体" w:hAnsi="宋体" w:eastAsia="宋体" w:cs="宋体"/>
          <w:sz w:val="22"/>
          <w:szCs w:val="24"/>
          <w:highlight w:val="none"/>
        </w:rPr>
        <w:t>。</w:t>
      </w:r>
    </w:p>
    <w:p>
      <w:pPr>
        <w:spacing w:line="380" w:lineRule="exact"/>
        <w:rPr>
          <w:rFonts w:hint="eastAsia" w:ascii="宋体" w:hAnsi="宋体" w:eastAsia="宋体" w:cs="宋体"/>
          <w:b/>
          <w:bCs/>
          <w:sz w:val="22"/>
          <w:highlight w:val="none"/>
          <w:u w:val="single"/>
        </w:rPr>
      </w:pPr>
    </w:p>
    <w:p>
      <w:pPr>
        <w:spacing w:line="380" w:lineRule="exact"/>
        <w:rPr>
          <w:rFonts w:hint="eastAsia" w:ascii="宋体" w:hAnsi="宋体" w:eastAsia="宋体" w:cs="宋体"/>
          <w:sz w:val="22"/>
          <w:szCs w:val="24"/>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eastAsia" w:ascii="宋体" w:hAnsi="宋体" w:eastAsia="宋体" w:cs="宋体"/>
          <w:b/>
          <w:bCs/>
          <w:sz w:val="22"/>
          <w:highlight w:val="none"/>
          <w:lang w:eastAsia="zh-CN"/>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六</w:t>
      </w:r>
    </w:p>
    <w:p>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投标分项报价表</w:t>
      </w:r>
    </w:p>
    <w:p>
      <w:pPr>
        <w:spacing w:line="380" w:lineRule="exact"/>
        <w:ind w:firstLine="331" w:firstLineChars="150"/>
        <w:rPr>
          <w:rFonts w:hint="eastAsia" w:ascii="宋体" w:hAnsi="宋体" w:eastAsia="宋体" w:cs="宋体"/>
          <w:b/>
          <w:bCs/>
          <w:sz w:val="22"/>
          <w:highlight w:val="none"/>
        </w:rPr>
      </w:pPr>
      <w:bookmarkStart w:id="192" w:name="_Toc448846626"/>
      <w:bookmarkStart w:id="193" w:name="_Toc262105510"/>
      <w:bookmarkStart w:id="194" w:name="_Toc249758721"/>
      <w:bookmarkStart w:id="195" w:name="_Toc262049425"/>
      <w:bookmarkStart w:id="196" w:name="_Toc249758871"/>
      <w:r>
        <w:rPr>
          <w:rFonts w:hint="eastAsia" w:ascii="宋体" w:hAnsi="宋体" w:eastAsia="宋体" w:cs="宋体"/>
          <w:b/>
          <w:bCs/>
          <w:sz w:val="22"/>
          <w:highlight w:val="none"/>
        </w:rPr>
        <w:t xml:space="preserve">项目名称： </w:t>
      </w:r>
      <w:r>
        <w:rPr>
          <w:rFonts w:hint="eastAsia" w:ascii="宋体" w:hAnsi="宋体" w:eastAsia="宋体" w:cs="宋体"/>
          <w:sz w:val="22"/>
          <w:highlight w:val="none"/>
        </w:rPr>
        <w:t xml:space="preserve">                              </w:t>
      </w:r>
      <w:r>
        <w:rPr>
          <w:rFonts w:hint="eastAsia" w:ascii="宋体" w:hAnsi="宋体" w:eastAsia="宋体" w:cs="宋体"/>
          <w:b/>
          <w:bCs/>
          <w:sz w:val="22"/>
          <w:highlight w:val="none"/>
        </w:rPr>
        <w:t xml:space="preserve"> 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209"/>
        <w:gridCol w:w="1275"/>
        <w:gridCol w:w="1295"/>
        <w:gridCol w:w="1369"/>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Borders>
              <w:top w:val="single" w:color="auto" w:sz="12" w:space="0"/>
              <w:left w:val="single" w:color="auto" w:sz="12" w:space="0"/>
              <w:bottom w:val="single" w:color="auto" w:sz="12" w:space="0"/>
            </w:tcBorders>
            <w:noWrap w:val="0"/>
            <w:vAlign w:val="center"/>
          </w:tcPr>
          <w:p>
            <w:pPr>
              <w:jc w:val="center"/>
              <w:rPr>
                <w:rFonts w:hint="eastAsia" w:ascii="宋体" w:hAnsi="宋体" w:eastAsia="宋体" w:cs="宋体"/>
                <w:bCs/>
                <w:szCs w:val="21"/>
              </w:rPr>
            </w:pPr>
            <w:r>
              <w:rPr>
                <w:rFonts w:hint="eastAsia" w:ascii="宋体" w:hAnsi="宋体" w:eastAsia="宋体" w:cs="宋体"/>
                <w:bCs/>
                <w:szCs w:val="21"/>
              </w:rPr>
              <w:t>序号</w:t>
            </w:r>
          </w:p>
        </w:tc>
        <w:tc>
          <w:tcPr>
            <w:tcW w:w="2209" w:type="dxa"/>
            <w:tcBorders>
              <w:top w:val="single" w:color="auto" w:sz="12" w:space="0"/>
              <w:bottom w:val="single" w:color="auto" w:sz="12" w:space="0"/>
            </w:tcBorders>
            <w:noWrap w:val="0"/>
            <w:vAlign w:val="center"/>
          </w:tcPr>
          <w:p>
            <w:pPr>
              <w:jc w:val="center"/>
              <w:rPr>
                <w:rFonts w:hint="eastAsia" w:ascii="宋体" w:hAnsi="宋体" w:eastAsia="宋体" w:cs="宋体"/>
                <w:bCs/>
                <w:szCs w:val="21"/>
              </w:rPr>
            </w:pPr>
            <w:r>
              <w:rPr>
                <w:rFonts w:hint="eastAsia" w:ascii="宋体" w:hAnsi="宋体" w:eastAsia="宋体" w:cs="宋体"/>
                <w:bCs/>
                <w:szCs w:val="21"/>
              </w:rPr>
              <w:t>费用名称</w:t>
            </w:r>
          </w:p>
        </w:tc>
        <w:tc>
          <w:tcPr>
            <w:tcW w:w="1275" w:type="dxa"/>
            <w:tcBorders>
              <w:top w:val="single" w:color="auto" w:sz="12" w:space="0"/>
              <w:bottom w:val="single" w:color="auto" w:sz="12" w:space="0"/>
            </w:tcBorders>
            <w:noWrap w:val="0"/>
            <w:vAlign w:val="center"/>
          </w:tcPr>
          <w:p>
            <w:pPr>
              <w:jc w:val="center"/>
              <w:rPr>
                <w:rFonts w:hint="eastAsia" w:ascii="宋体" w:hAnsi="宋体" w:eastAsia="宋体" w:cs="宋体"/>
                <w:bCs/>
                <w:szCs w:val="21"/>
              </w:rPr>
            </w:pPr>
            <w:r>
              <w:rPr>
                <w:rFonts w:hint="eastAsia" w:ascii="宋体" w:hAnsi="宋体" w:eastAsia="宋体" w:cs="宋体"/>
                <w:bCs/>
                <w:szCs w:val="21"/>
              </w:rPr>
              <w:t>数量</w:t>
            </w:r>
          </w:p>
        </w:tc>
        <w:tc>
          <w:tcPr>
            <w:tcW w:w="1295" w:type="dxa"/>
            <w:tcBorders>
              <w:top w:val="single" w:color="auto" w:sz="12" w:space="0"/>
              <w:bottom w:val="single" w:color="auto" w:sz="12" w:space="0"/>
            </w:tcBorders>
            <w:noWrap w:val="0"/>
            <w:vAlign w:val="center"/>
          </w:tcPr>
          <w:p>
            <w:pPr>
              <w:jc w:val="center"/>
              <w:rPr>
                <w:rFonts w:hint="eastAsia" w:ascii="宋体" w:hAnsi="宋体" w:eastAsia="宋体" w:cs="宋体"/>
                <w:bCs/>
                <w:szCs w:val="21"/>
              </w:rPr>
            </w:pPr>
            <w:r>
              <w:rPr>
                <w:rFonts w:hint="eastAsia" w:ascii="宋体" w:hAnsi="宋体" w:eastAsia="宋体" w:cs="宋体"/>
                <w:bCs/>
                <w:szCs w:val="21"/>
              </w:rPr>
              <w:t>单价</w:t>
            </w:r>
          </w:p>
          <w:p>
            <w:pPr>
              <w:ind w:right="-11"/>
              <w:jc w:val="center"/>
              <w:rPr>
                <w:rFonts w:hint="eastAsia" w:ascii="宋体" w:hAnsi="宋体" w:eastAsia="宋体" w:cs="宋体"/>
                <w:szCs w:val="21"/>
              </w:rPr>
            </w:pPr>
            <w:r>
              <w:rPr>
                <w:rFonts w:hint="eastAsia" w:ascii="宋体" w:hAnsi="宋体" w:eastAsia="宋体" w:cs="宋体"/>
                <w:szCs w:val="21"/>
              </w:rPr>
              <w:t>（含税）</w:t>
            </w:r>
          </w:p>
        </w:tc>
        <w:tc>
          <w:tcPr>
            <w:tcW w:w="1369" w:type="dxa"/>
            <w:tcBorders>
              <w:top w:val="single" w:color="auto" w:sz="12" w:space="0"/>
              <w:bottom w:val="single" w:color="auto" w:sz="12" w:space="0"/>
            </w:tcBorders>
            <w:noWrap w:val="0"/>
            <w:vAlign w:val="center"/>
          </w:tcPr>
          <w:p>
            <w:pPr>
              <w:jc w:val="center"/>
              <w:rPr>
                <w:rFonts w:hint="eastAsia" w:ascii="宋体" w:hAnsi="宋体" w:eastAsia="宋体" w:cs="宋体"/>
                <w:bCs/>
                <w:szCs w:val="21"/>
              </w:rPr>
            </w:pPr>
            <w:r>
              <w:rPr>
                <w:rFonts w:hint="eastAsia" w:ascii="宋体" w:hAnsi="宋体" w:eastAsia="宋体" w:cs="宋体"/>
                <w:bCs/>
                <w:szCs w:val="21"/>
              </w:rPr>
              <w:t>合价</w:t>
            </w:r>
          </w:p>
          <w:p>
            <w:pPr>
              <w:jc w:val="center"/>
              <w:rPr>
                <w:rFonts w:hint="eastAsia" w:ascii="宋体" w:hAnsi="宋体" w:eastAsia="宋体" w:cs="宋体"/>
                <w:szCs w:val="21"/>
              </w:rPr>
            </w:pPr>
            <w:r>
              <w:rPr>
                <w:rFonts w:hint="eastAsia" w:ascii="宋体" w:hAnsi="宋体" w:eastAsia="宋体" w:cs="宋体"/>
                <w:szCs w:val="21"/>
              </w:rPr>
              <w:t>（含税）</w:t>
            </w:r>
          </w:p>
        </w:tc>
        <w:tc>
          <w:tcPr>
            <w:tcW w:w="2033" w:type="dxa"/>
            <w:tcBorders>
              <w:top w:val="single" w:color="auto" w:sz="12" w:space="0"/>
              <w:bottom w:val="single" w:color="auto" w:sz="12" w:space="0"/>
              <w:right w:val="single" w:color="auto" w:sz="12" w:space="0"/>
            </w:tcBorders>
            <w:noWrap w:val="0"/>
            <w:vAlign w:val="center"/>
          </w:tcPr>
          <w:p>
            <w:pPr>
              <w:jc w:val="center"/>
              <w:rPr>
                <w:rFonts w:hint="eastAsia" w:ascii="宋体" w:hAnsi="宋体" w:eastAsia="宋体" w:cs="宋体"/>
                <w:bCs/>
                <w:szCs w:val="21"/>
              </w:rPr>
            </w:pPr>
            <w:r>
              <w:rPr>
                <w:rFonts w:hint="eastAsia" w:ascii="宋体" w:hAnsi="宋体" w:eastAsia="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pPr>
              <w:numPr>
                <w:ilvl w:val="0"/>
                <w:numId w:val="31"/>
              </w:numPr>
              <w:ind w:right="-11"/>
              <w:jc w:val="center"/>
              <w:rPr>
                <w:rFonts w:hint="eastAsia" w:ascii="宋体" w:hAnsi="宋体" w:eastAsia="宋体" w:cs="宋体"/>
                <w:szCs w:val="21"/>
              </w:rPr>
            </w:pPr>
          </w:p>
        </w:tc>
        <w:tc>
          <w:tcPr>
            <w:tcW w:w="2209" w:type="dxa"/>
            <w:noWrap w:val="0"/>
            <w:vAlign w:val="center"/>
          </w:tcPr>
          <w:p>
            <w:pPr>
              <w:rPr>
                <w:rFonts w:hint="eastAsia" w:ascii="宋体" w:hAnsi="宋体" w:eastAsia="宋体" w:cs="宋体"/>
                <w:szCs w:val="21"/>
              </w:rPr>
            </w:pPr>
          </w:p>
        </w:tc>
        <w:tc>
          <w:tcPr>
            <w:tcW w:w="1275" w:type="dxa"/>
            <w:noWrap w:val="0"/>
            <w:vAlign w:val="center"/>
          </w:tcPr>
          <w:p>
            <w:pPr>
              <w:ind w:right="-11"/>
              <w:jc w:val="center"/>
              <w:rPr>
                <w:rFonts w:hint="eastAsia" w:ascii="宋体" w:hAnsi="宋体" w:eastAsia="宋体" w:cs="宋体"/>
                <w:szCs w:val="21"/>
              </w:rPr>
            </w:pPr>
          </w:p>
        </w:tc>
        <w:tc>
          <w:tcPr>
            <w:tcW w:w="1295" w:type="dxa"/>
            <w:noWrap w:val="0"/>
            <w:vAlign w:val="center"/>
          </w:tcPr>
          <w:p>
            <w:pPr>
              <w:ind w:right="-11"/>
              <w:jc w:val="center"/>
              <w:rPr>
                <w:rFonts w:hint="eastAsia" w:ascii="宋体" w:hAnsi="宋体" w:eastAsia="宋体" w:cs="宋体"/>
                <w:szCs w:val="21"/>
              </w:rPr>
            </w:pPr>
          </w:p>
        </w:tc>
        <w:tc>
          <w:tcPr>
            <w:tcW w:w="1369" w:type="dxa"/>
            <w:noWrap w:val="0"/>
            <w:vAlign w:val="center"/>
          </w:tcPr>
          <w:p>
            <w:pPr>
              <w:ind w:right="-11"/>
              <w:jc w:val="center"/>
              <w:rPr>
                <w:rFonts w:hint="eastAsia" w:ascii="宋体" w:hAnsi="宋体" w:eastAsia="宋体" w:cs="宋体"/>
                <w:szCs w:val="21"/>
              </w:rPr>
            </w:pPr>
          </w:p>
        </w:tc>
        <w:tc>
          <w:tcPr>
            <w:tcW w:w="2033" w:type="dxa"/>
            <w:tcBorders>
              <w:right w:val="single" w:color="auto" w:sz="12" w:space="0"/>
            </w:tcBorders>
            <w:noWrap w:val="0"/>
            <w:vAlign w:val="center"/>
          </w:tcPr>
          <w:p>
            <w:pPr>
              <w:ind w:right="-1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pPr>
              <w:numPr>
                <w:ilvl w:val="0"/>
                <w:numId w:val="31"/>
              </w:numPr>
              <w:ind w:right="-11"/>
              <w:jc w:val="center"/>
              <w:rPr>
                <w:rFonts w:hint="eastAsia" w:ascii="宋体" w:hAnsi="宋体" w:eastAsia="宋体" w:cs="宋体"/>
                <w:szCs w:val="21"/>
              </w:rPr>
            </w:pPr>
          </w:p>
        </w:tc>
        <w:tc>
          <w:tcPr>
            <w:tcW w:w="2209" w:type="dxa"/>
            <w:noWrap w:val="0"/>
            <w:vAlign w:val="center"/>
          </w:tcPr>
          <w:p>
            <w:pPr>
              <w:rPr>
                <w:rFonts w:hint="eastAsia" w:ascii="宋体" w:hAnsi="宋体" w:eastAsia="宋体" w:cs="宋体"/>
                <w:szCs w:val="21"/>
              </w:rPr>
            </w:pPr>
          </w:p>
        </w:tc>
        <w:tc>
          <w:tcPr>
            <w:tcW w:w="1275" w:type="dxa"/>
            <w:noWrap w:val="0"/>
            <w:vAlign w:val="center"/>
          </w:tcPr>
          <w:p>
            <w:pPr>
              <w:ind w:right="-11"/>
              <w:jc w:val="center"/>
              <w:rPr>
                <w:rFonts w:hint="eastAsia" w:ascii="宋体" w:hAnsi="宋体" w:eastAsia="宋体" w:cs="宋体"/>
                <w:szCs w:val="21"/>
              </w:rPr>
            </w:pPr>
          </w:p>
        </w:tc>
        <w:tc>
          <w:tcPr>
            <w:tcW w:w="1295" w:type="dxa"/>
            <w:noWrap w:val="0"/>
            <w:vAlign w:val="center"/>
          </w:tcPr>
          <w:p>
            <w:pPr>
              <w:ind w:right="-11"/>
              <w:jc w:val="center"/>
              <w:rPr>
                <w:rFonts w:hint="eastAsia" w:ascii="宋体" w:hAnsi="宋体" w:eastAsia="宋体" w:cs="宋体"/>
                <w:szCs w:val="21"/>
              </w:rPr>
            </w:pPr>
          </w:p>
        </w:tc>
        <w:tc>
          <w:tcPr>
            <w:tcW w:w="1369" w:type="dxa"/>
            <w:noWrap w:val="0"/>
            <w:vAlign w:val="center"/>
          </w:tcPr>
          <w:p>
            <w:pPr>
              <w:ind w:right="-11"/>
              <w:jc w:val="center"/>
              <w:rPr>
                <w:rFonts w:hint="eastAsia" w:ascii="宋体" w:hAnsi="宋体" w:eastAsia="宋体" w:cs="宋体"/>
                <w:szCs w:val="21"/>
              </w:rPr>
            </w:pPr>
          </w:p>
        </w:tc>
        <w:tc>
          <w:tcPr>
            <w:tcW w:w="2033" w:type="dxa"/>
            <w:tcBorders>
              <w:right w:val="single" w:color="auto" w:sz="12" w:space="0"/>
            </w:tcBorders>
            <w:noWrap w:val="0"/>
            <w:vAlign w:val="center"/>
          </w:tcPr>
          <w:p>
            <w:pPr>
              <w:ind w:right="-1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pPr>
              <w:numPr>
                <w:ilvl w:val="0"/>
                <w:numId w:val="31"/>
              </w:numPr>
              <w:ind w:right="-11"/>
              <w:jc w:val="center"/>
              <w:rPr>
                <w:rFonts w:hint="eastAsia" w:ascii="宋体" w:hAnsi="宋体" w:eastAsia="宋体" w:cs="宋体"/>
                <w:szCs w:val="21"/>
              </w:rPr>
            </w:pPr>
          </w:p>
        </w:tc>
        <w:tc>
          <w:tcPr>
            <w:tcW w:w="2209" w:type="dxa"/>
            <w:noWrap w:val="0"/>
            <w:vAlign w:val="center"/>
          </w:tcPr>
          <w:p>
            <w:pPr>
              <w:rPr>
                <w:rFonts w:hint="eastAsia" w:ascii="宋体" w:hAnsi="宋体" w:eastAsia="宋体" w:cs="宋体"/>
                <w:szCs w:val="21"/>
              </w:rPr>
            </w:pPr>
          </w:p>
        </w:tc>
        <w:tc>
          <w:tcPr>
            <w:tcW w:w="1275" w:type="dxa"/>
            <w:noWrap w:val="0"/>
            <w:vAlign w:val="center"/>
          </w:tcPr>
          <w:p>
            <w:pPr>
              <w:ind w:right="-11"/>
              <w:jc w:val="center"/>
              <w:rPr>
                <w:rFonts w:hint="eastAsia" w:ascii="宋体" w:hAnsi="宋体" w:eastAsia="宋体" w:cs="宋体"/>
                <w:szCs w:val="21"/>
              </w:rPr>
            </w:pPr>
          </w:p>
        </w:tc>
        <w:tc>
          <w:tcPr>
            <w:tcW w:w="1295" w:type="dxa"/>
            <w:noWrap w:val="0"/>
            <w:vAlign w:val="center"/>
          </w:tcPr>
          <w:p>
            <w:pPr>
              <w:ind w:right="-11"/>
              <w:jc w:val="center"/>
              <w:rPr>
                <w:rFonts w:hint="eastAsia" w:ascii="宋体" w:hAnsi="宋体" w:eastAsia="宋体" w:cs="宋体"/>
                <w:szCs w:val="21"/>
              </w:rPr>
            </w:pPr>
          </w:p>
        </w:tc>
        <w:tc>
          <w:tcPr>
            <w:tcW w:w="1369" w:type="dxa"/>
            <w:noWrap w:val="0"/>
            <w:vAlign w:val="center"/>
          </w:tcPr>
          <w:p>
            <w:pPr>
              <w:ind w:right="-11"/>
              <w:jc w:val="center"/>
              <w:rPr>
                <w:rFonts w:hint="eastAsia" w:ascii="宋体" w:hAnsi="宋体" w:eastAsia="宋体" w:cs="宋体"/>
                <w:szCs w:val="21"/>
              </w:rPr>
            </w:pPr>
          </w:p>
        </w:tc>
        <w:tc>
          <w:tcPr>
            <w:tcW w:w="2033" w:type="dxa"/>
            <w:tcBorders>
              <w:right w:val="single" w:color="auto" w:sz="12" w:space="0"/>
            </w:tcBorders>
            <w:noWrap w:val="0"/>
            <w:vAlign w:val="center"/>
          </w:tcPr>
          <w:p>
            <w:pPr>
              <w:ind w:right="-1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pPr>
              <w:numPr>
                <w:ilvl w:val="0"/>
                <w:numId w:val="31"/>
              </w:numPr>
              <w:spacing w:line="360" w:lineRule="auto"/>
              <w:ind w:right="-11"/>
              <w:jc w:val="center"/>
              <w:rPr>
                <w:rFonts w:hint="eastAsia" w:ascii="宋体" w:hAnsi="宋体" w:eastAsia="宋体" w:cs="宋体"/>
                <w:szCs w:val="21"/>
              </w:rPr>
            </w:pPr>
          </w:p>
        </w:tc>
        <w:tc>
          <w:tcPr>
            <w:tcW w:w="2209" w:type="dxa"/>
            <w:noWrap w:val="0"/>
            <w:vAlign w:val="center"/>
          </w:tcPr>
          <w:p>
            <w:pPr>
              <w:spacing w:line="360" w:lineRule="auto"/>
              <w:rPr>
                <w:rFonts w:hint="eastAsia" w:ascii="宋体" w:hAnsi="宋体" w:eastAsia="宋体" w:cs="宋体"/>
                <w:szCs w:val="21"/>
              </w:rPr>
            </w:pPr>
          </w:p>
        </w:tc>
        <w:tc>
          <w:tcPr>
            <w:tcW w:w="1275" w:type="dxa"/>
            <w:noWrap w:val="0"/>
            <w:vAlign w:val="top"/>
          </w:tcPr>
          <w:p>
            <w:pPr>
              <w:spacing w:line="360" w:lineRule="auto"/>
              <w:ind w:right="-11"/>
              <w:jc w:val="center"/>
              <w:rPr>
                <w:rFonts w:hint="eastAsia" w:ascii="宋体" w:hAnsi="宋体" w:eastAsia="宋体" w:cs="宋体"/>
                <w:szCs w:val="21"/>
              </w:rPr>
            </w:pPr>
          </w:p>
        </w:tc>
        <w:tc>
          <w:tcPr>
            <w:tcW w:w="1295" w:type="dxa"/>
            <w:noWrap w:val="0"/>
            <w:vAlign w:val="top"/>
          </w:tcPr>
          <w:p>
            <w:pPr>
              <w:spacing w:line="360" w:lineRule="auto"/>
              <w:ind w:right="-11"/>
              <w:jc w:val="center"/>
              <w:rPr>
                <w:rFonts w:hint="eastAsia" w:ascii="宋体" w:hAnsi="宋体" w:eastAsia="宋体" w:cs="宋体"/>
                <w:szCs w:val="21"/>
              </w:rPr>
            </w:pPr>
          </w:p>
        </w:tc>
        <w:tc>
          <w:tcPr>
            <w:tcW w:w="1369" w:type="dxa"/>
            <w:noWrap w:val="0"/>
            <w:vAlign w:val="center"/>
          </w:tcPr>
          <w:p>
            <w:pPr>
              <w:spacing w:line="360" w:lineRule="auto"/>
              <w:ind w:right="-11"/>
              <w:jc w:val="center"/>
              <w:rPr>
                <w:rFonts w:hint="eastAsia" w:ascii="宋体" w:hAnsi="宋体" w:eastAsia="宋体" w:cs="宋体"/>
                <w:szCs w:val="21"/>
              </w:rPr>
            </w:pPr>
          </w:p>
        </w:tc>
        <w:tc>
          <w:tcPr>
            <w:tcW w:w="2033" w:type="dxa"/>
            <w:tcBorders>
              <w:right w:val="single" w:color="auto" w:sz="12" w:space="0"/>
            </w:tcBorders>
            <w:noWrap w:val="0"/>
            <w:vAlign w:val="center"/>
          </w:tcPr>
          <w:p>
            <w:pPr>
              <w:spacing w:line="360" w:lineRule="auto"/>
              <w:ind w:right="-1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pPr>
              <w:numPr>
                <w:ilvl w:val="0"/>
                <w:numId w:val="31"/>
              </w:numPr>
              <w:spacing w:line="360" w:lineRule="auto"/>
              <w:ind w:right="-11"/>
              <w:jc w:val="center"/>
              <w:rPr>
                <w:rFonts w:hint="eastAsia" w:ascii="宋体" w:hAnsi="宋体" w:eastAsia="宋体" w:cs="宋体"/>
                <w:szCs w:val="21"/>
              </w:rPr>
            </w:pPr>
          </w:p>
        </w:tc>
        <w:tc>
          <w:tcPr>
            <w:tcW w:w="2209" w:type="dxa"/>
            <w:noWrap w:val="0"/>
            <w:vAlign w:val="center"/>
          </w:tcPr>
          <w:p>
            <w:pPr>
              <w:spacing w:line="360" w:lineRule="auto"/>
              <w:rPr>
                <w:rFonts w:hint="eastAsia" w:ascii="宋体" w:hAnsi="宋体" w:eastAsia="宋体" w:cs="宋体"/>
                <w:szCs w:val="21"/>
              </w:rPr>
            </w:pPr>
          </w:p>
        </w:tc>
        <w:tc>
          <w:tcPr>
            <w:tcW w:w="1275" w:type="dxa"/>
            <w:noWrap w:val="0"/>
            <w:vAlign w:val="top"/>
          </w:tcPr>
          <w:p>
            <w:pPr>
              <w:spacing w:line="360" w:lineRule="auto"/>
              <w:ind w:right="-11"/>
              <w:jc w:val="center"/>
              <w:rPr>
                <w:rFonts w:hint="eastAsia" w:ascii="宋体" w:hAnsi="宋体" w:eastAsia="宋体" w:cs="宋体"/>
                <w:szCs w:val="21"/>
              </w:rPr>
            </w:pPr>
          </w:p>
        </w:tc>
        <w:tc>
          <w:tcPr>
            <w:tcW w:w="1295" w:type="dxa"/>
            <w:noWrap w:val="0"/>
            <w:vAlign w:val="top"/>
          </w:tcPr>
          <w:p>
            <w:pPr>
              <w:spacing w:line="360" w:lineRule="auto"/>
              <w:ind w:right="-11"/>
              <w:jc w:val="center"/>
              <w:rPr>
                <w:rFonts w:hint="eastAsia" w:ascii="宋体" w:hAnsi="宋体" w:eastAsia="宋体" w:cs="宋体"/>
                <w:szCs w:val="21"/>
              </w:rPr>
            </w:pPr>
          </w:p>
        </w:tc>
        <w:tc>
          <w:tcPr>
            <w:tcW w:w="1369" w:type="dxa"/>
            <w:noWrap w:val="0"/>
            <w:vAlign w:val="center"/>
          </w:tcPr>
          <w:p>
            <w:pPr>
              <w:spacing w:line="360" w:lineRule="auto"/>
              <w:ind w:right="-11"/>
              <w:jc w:val="center"/>
              <w:rPr>
                <w:rFonts w:hint="eastAsia" w:ascii="宋体" w:hAnsi="宋体" w:eastAsia="宋体" w:cs="宋体"/>
                <w:szCs w:val="21"/>
              </w:rPr>
            </w:pPr>
          </w:p>
        </w:tc>
        <w:tc>
          <w:tcPr>
            <w:tcW w:w="2033" w:type="dxa"/>
            <w:tcBorders>
              <w:right w:val="single" w:color="auto" w:sz="12" w:space="0"/>
            </w:tcBorders>
            <w:noWrap w:val="0"/>
            <w:vAlign w:val="center"/>
          </w:tcPr>
          <w:p>
            <w:pPr>
              <w:spacing w:line="360" w:lineRule="auto"/>
              <w:ind w:right="-1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pPr>
              <w:numPr>
                <w:ilvl w:val="0"/>
                <w:numId w:val="31"/>
              </w:numPr>
              <w:spacing w:line="360" w:lineRule="auto"/>
              <w:ind w:right="-11"/>
              <w:jc w:val="center"/>
              <w:rPr>
                <w:rFonts w:hint="eastAsia" w:ascii="宋体" w:hAnsi="宋体" w:eastAsia="宋体" w:cs="宋体"/>
                <w:szCs w:val="21"/>
              </w:rPr>
            </w:pPr>
          </w:p>
        </w:tc>
        <w:tc>
          <w:tcPr>
            <w:tcW w:w="2209" w:type="dxa"/>
            <w:noWrap w:val="0"/>
            <w:vAlign w:val="center"/>
          </w:tcPr>
          <w:p>
            <w:pPr>
              <w:spacing w:line="360" w:lineRule="auto"/>
              <w:rPr>
                <w:rFonts w:hint="eastAsia" w:ascii="宋体" w:hAnsi="宋体" w:eastAsia="宋体" w:cs="宋体"/>
                <w:szCs w:val="21"/>
              </w:rPr>
            </w:pPr>
          </w:p>
        </w:tc>
        <w:tc>
          <w:tcPr>
            <w:tcW w:w="1275" w:type="dxa"/>
            <w:noWrap w:val="0"/>
            <w:vAlign w:val="top"/>
          </w:tcPr>
          <w:p>
            <w:pPr>
              <w:spacing w:line="360" w:lineRule="auto"/>
              <w:ind w:right="-11"/>
              <w:jc w:val="center"/>
              <w:rPr>
                <w:rFonts w:hint="eastAsia" w:ascii="宋体" w:hAnsi="宋体" w:eastAsia="宋体" w:cs="宋体"/>
                <w:szCs w:val="21"/>
              </w:rPr>
            </w:pPr>
          </w:p>
        </w:tc>
        <w:tc>
          <w:tcPr>
            <w:tcW w:w="1295" w:type="dxa"/>
            <w:noWrap w:val="0"/>
            <w:vAlign w:val="top"/>
          </w:tcPr>
          <w:p>
            <w:pPr>
              <w:spacing w:line="360" w:lineRule="auto"/>
              <w:ind w:right="-11"/>
              <w:jc w:val="center"/>
              <w:rPr>
                <w:rFonts w:hint="eastAsia" w:ascii="宋体" w:hAnsi="宋体" w:eastAsia="宋体" w:cs="宋体"/>
                <w:szCs w:val="21"/>
              </w:rPr>
            </w:pPr>
          </w:p>
        </w:tc>
        <w:tc>
          <w:tcPr>
            <w:tcW w:w="1369" w:type="dxa"/>
            <w:noWrap w:val="0"/>
            <w:vAlign w:val="center"/>
          </w:tcPr>
          <w:p>
            <w:pPr>
              <w:spacing w:line="360" w:lineRule="auto"/>
              <w:ind w:right="-11"/>
              <w:jc w:val="center"/>
              <w:rPr>
                <w:rFonts w:hint="eastAsia" w:ascii="宋体" w:hAnsi="宋体" w:eastAsia="宋体" w:cs="宋体"/>
                <w:szCs w:val="21"/>
              </w:rPr>
            </w:pPr>
          </w:p>
        </w:tc>
        <w:tc>
          <w:tcPr>
            <w:tcW w:w="2033" w:type="dxa"/>
            <w:tcBorders>
              <w:right w:val="single" w:color="auto" w:sz="12" w:space="0"/>
            </w:tcBorders>
            <w:noWrap w:val="0"/>
            <w:vAlign w:val="center"/>
          </w:tcPr>
          <w:p>
            <w:pPr>
              <w:spacing w:line="360" w:lineRule="auto"/>
              <w:ind w:right="-1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pPr>
              <w:numPr>
                <w:ilvl w:val="0"/>
                <w:numId w:val="31"/>
              </w:numPr>
              <w:spacing w:line="360" w:lineRule="auto"/>
              <w:ind w:right="-11"/>
              <w:jc w:val="center"/>
              <w:rPr>
                <w:rFonts w:hint="eastAsia" w:ascii="宋体" w:hAnsi="宋体" w:eastAsia="宋体" w:cs="宋体"/>
                <w:szCs w:val="21"/>
              </w:rPr>
            </w:pPr>
          </w:p>
        </w:tc>
        <w:tc>
          <w:tcPr>
            <w:tcW w:w="2209" w:type="dxa"/>
            <w:noWrap w:val="0"/>
            <w:vAlign w:val="center"/>
          </w:tcPr>
          <w:p>
            <w:pPr>
              <w:spacing w:line="360" w:lineRule="auto"/>
              <w:rPr>
                <w:rFonts w:hint="eastAsia" w:ascii="宋体" w:hAnsi="宋体" w:eastAsia="宋体" w:cs="宋体"/>
                <w:szCs w:val="21"/>
              </w:rPr>
            </w:pPr>
          </w:p>
        </w:tc>
        <w:tc>
          <w:tcPr>
            <w:tcW w:w="1275" w:type="dxa"/>
            <w:noWrap w:val="0"/>
            <w:vAlign w:val="top"/>
          </w:tcPr>
          <w:p>
            <w:pPr>
              <w:spacing w:line="360" w:lineRule="auto"/>
              <w:ind w:right="-11"/>
              <w:jc w:val="center"/>
              <w:rPr>
                <w:rFonts w:hint="eastAsia" w:ascii="宋体" w:hAnsi="宋体" w:eastAsia="宋体" w:cs="宋体"/>
                <w:szCs w:val="21"/>
              </w:rPr>
            </w:pPr>
          </w:p>
        </w:tc>
        <w:tc>
          <w:tcPr>
            <w:tcW w:w="1295" w:type="dxa"/>
            <w:noWrap w:val="0"/>
            <w:vAlign w:val="top"/>
          </w:tcPr>
          <w:p>
            <w:pPr>
              <w:spacing w:line="360" w:lineRule="auto"/>
              <w:ind w:right="-11"/>
              <w:jc w:val="center"/>
              <w:rPr>
                <w:rFonts w:hint="eastAsia" w:ascii="宋体" w:hAnsi="宋体" w:eastAsia="宋体" w:cs="宋体"/>
                <w:szCs w:val="21"/>
              </w:rPr>
            </w:pPr>
          </w:p>
        </w:tc>
        <w:tc>
          <w:tcPr>
            <w:tcW w:w="1369" w:type="dxa"/>
            <w:noWrap w:val="0"/>
            <w:vAlign w:val="center"/>
          </w:tcPr>
          <w:p>
            <w:pPr>
              <w:spacing w:line="360" w:lineRule="auto"/>
              <w:ind w:right="-11"/>
              <w:jc w:val="center"/>
              <w:rPr>
                <w:rFonts w:hint="eastAsia" w:ascii="宋体" w:hAnsi="宋体" w:eastAsia="宋体" w:cs="宋体"/>
                <w:szCs w:val="21"/>
              </w:rPr>
            </w:pPr>
          </w:p>
        </w:tc>
        <w:tc>
          <w:tcPr>
            <w:tcW w:w="2033" w:type="dxa"/>
            <w:tcBorders>
              <w:right w:val="single" w:color="auto" w:sz="12" w:space="0"/>
            </w:tcBorders>
            <w:noWrap w:val="0"/>
            <w:vAlign w:val="center"/>
          </w:tcPr>
          <w:p>
            <w:pPr>
              <w:spacing w:line="360" w:lineRule="auto"/>
              <w:ind w:right="-1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pPr>
              <w:numPr>
                <w:ilvl w:val="0"/>
                <w:numId w:val="31"/>
              </w:numPr>
              <w:spacing w:line="360" w:lineRule="auto"/>
              <w:ind w:right="-11"/>
              <w:jc w:val="center"/>
              <w:rPr>
                <w:rFonts w:hint="eastAsia" w:ascii="宋体" w:hAnsi="宋体" w:eastAsia="宋体" w:cs="宋体"/>
                <w:szCs w:val="21"/>
              </w:rPr>
            </w:pPr>
          </w:p>
        </w:tc>
        <w:tc>
          <w:tcPr>
            <w:tcW w:w="2209" w:type="dxa"/>
            <w:noWrap w:val="0"/>
            <w:vAlign w:val="center"/>
          </w:tcPr>
          <w:p>
            <w:pPr>
              <w:spacing w:line="360" w:lineRule="auto"/>
              <w:rPr>
                <w:rFonts w:hint="eastAsia" w:ascii="宋体" w:hAnsi="宋体" w:eastAsia="宋体" w:cs="宋体"/>
                <w:szCs w:val="21"/>
              </w:rPr>
            </w:pPr>
          </w:p>
        </w:tc>
        <w:tc>
          <w:tcPr>
            <w:tcW w:w="1275" w:type="dxa"/>
            <w:noWrap w:val="0"/>
            <w:vAlign w:val="top"/>
          </w:tcPr>
          <w:p>
            <w:pPr>
              <w:spacing w:line="360" w:lineRule="auto"/>
              <w:ind w:right="-11"/>
              <w:jc w:val="center"/>
              <w:rPr>
                <w:rFonts w:hint="eastAsia" w:ascii="宋体" w:hAnsi="宋体" w:eastAsia="宋体" w:cs="宋体"/>
                <w:szCs w:val="21"/>
              </w:rPr>
            </w:pPr>
          </w:p>
        </w:tc>
        <w:tc>
          <w:tcPr>
            <w:tcW w:w="1295" w:type="dxa"/>
            <w:noWrap w:val="0"/>
            <w:vAlign w:val="top"/>
          </w:tcPr>
          <w:p>
            <w:pPr>
              <w:spacing w:line="360" w:lineRule="auto"/>
              <w:ind w:right="-11"/>
              <w:jc w:val="center"/>
              <w:rPr>
                <w:rFonts w:hint="eastAsia" w:ascii="宋体" w:hAnsi="宋体" w:eastAsia="宋体" w:cs="宋体"/>
                <w:szCs w:val="21"/>
              </w:rPr>
            </w:pPr>
          </w:p>
        </w:tc>
        <w:tc>
          <w:tcPr>
            <w:tcW w:w="1369" w:type="dxa"/>
            <w:noWrap w:val="0"/>
            <w:vAlign w:val="center"/>
          </w:tcPr>
          <w:p>
            <w:pPr>
              <w:spacing w:line="360" w:lineRule="auto"/>
              <w:ind w:right="-11"/>
              <w:jc w:val="center"/>
              <w:rPr>
                <w:rFonts w:hint="eastAsia" w:ascii="宋体" w:hAnsi="宋体" w:eastAsia="宋体" w:cs="宋体"/>
                <w:szCs w:val="21"/>
              </w:rPr>
            </w:pPr>
          </w:p>
        </w:tc>
        <w:tc>
          <w:tcPr>
            <w:tcW w:w="2033" w:type="dxa"/>
            <w:tcBorders>
              <w:right w:val="single" w:color="auto" w:sz="12" w:space="0"/>
            </w:tcBorders>
            <w:noWrap w:val="0"/>
            <w:vAlign w:val="center"/>
          </w:tcPr>
          <w:p>
            <w:pPr>
              <w:spacing w:line="360" w:lineRule="auto"/>
              <w:ind w:right="-1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pPr>
              <w:numPr>
                <w:ilvl w:val="0"/>
                <w:numId w:val="31"/>
              </w:numPr>
              <w:spacing w:line="360" w:lineRule="auto"/>
              <w:ind w:right="-11"/>
              <w:jc w:val="center"/>
              <w:rPr>
                <w:rFonts w:hint="eastAsia" w:ascii="宋体" w:hAnsi="宋体" w:eastAsia="宋体" w:cs="宋体"/>
                <w:szCs w:val="21"/>
              </w:rPr>
            </w:pPr>
          </w:p>
        </w:tc>
        <w:tc>
          <w:tcPr>
            <w:tcW w:w="2209" w:type="dxa"/>
            <w:noWrap w:val="0"/>
            <w:vAlign w:val="center"/>
          </w:tcPr>
          <w:p>
            <w:pPr>
              <w:spacing w:line="360" w:lineRule="auto"/>
              <w:rPr>
                <w:rFonts w:hint="eastAsia" w:ascii="宋体" w:hAnsi="宋体" w:eastAsia="宋体" w:cs="宋体"/>
                <w:szCs w:val="21"/>
              </w:rPr>
            </w:pPr>
          </w:p>
        </w:tc>
        <w:tc>
          <w:tcPr>
            <w:tcW w:w="1275" w:type="dxa"/>
            <w:noWrap w:val="0"/>
            <w:vAlign w:val="top"/>
          </w:tcPr>
          <w:p>
            <w:pPr>
              <w:spacing w:line="360" w:lineRule="auto"/>
              <w:ind w:right="-11"/>
              <w:jc w:val="center"/>
              <w:rPr>
                <w:rFonts w:hint="eastAsia" w:ascii="宋体" w:hAnsi="宋体" w:eastAsia="宋体" w:cs="宋体"/>
                <w:szCs w:val="21"/>
              </w:rPr>
            </w:pPr>
          </w:p>
        </w:tc>
        <w:tc>
          <w:tcPr>
            <w:tcW w:w="1295" w:type="dxa"/>
            <w:noWrap w:val="0"/>
            <w:vAlign w:val="top"/>
          </w:tcPr>
          <w:p>
            <w:pPr>
              <w:spacing w:line="360" w:lineRule="auto"/>
              <w:ind w:right="-11"/>
              <w:jc w:val="center"/>
              <w:rPr>
                <w:rFonts w:hint="eastAsia" w:ascii="宋体" w:hAnsi="宋体" w:eastAsia="宋体" w:cs="宋体"/>
                <w:szCs w:val="21"/>
              </w:rPr>
            </w:pPr>
          </w:p>
        </w:tc>
        <w:tc>
          <w:tcPr>
            <w:tcW w:w="1369" w:type="dxa"/>
            <w:noWrap w:val="0"/>
            <w:vAlign w:val="center"/>
          </w:tcPr>
          <w:p>
            <w:pPr>
              <w:spacing w:line="360" w:lineRule="auto"/>
              <w:ind w:right="-11"/>
              <w:jc w:val="center"/>
              <w:rPr>
                <w:rFonts w:hint="eastAsia" w:ascii="宋体" w:hAnsi="宋体" w:eastAsia="宋体" w:cs="宋体"/>
                <w:szCs w:val="21"/>
              </w:rPr>
            </w:pPr>
          </w:p>
        </w:tc>
        <w:tc>
          <w:tcPr>
            <w:tcW w:w="2033" w:type="dxa"/>
            <w:tcBorders>
              <w:right w:val="single" w:color="auto" w:sz="12" w:space="0"/>
            </w:tcBorders>
            <w:noWrap w:val="0"/>
            <w:vAlign w:val="center"/>
          </w:tcPr>
          <w:p>
            <w:pPr>
              <w:spacing w:line="360" w:lineRule="auto"/>
              <w:ind w:right="-1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pPr>
              <w:numPr>
                <w:ilvl w:val="0"/>
                <w:numId w:val="31"/>
              </w:numPr>
              <w:spacing w:line="360" w:lineRule="auto"/>
              <w:ind w:right="-11"/>
              <w:jc w:val="center"/>
              <w:rPr>
                <w:rFonts w:hint="eastAsia" w:ascii="宋体" w:hAnsi="宋体" w:eastAsia="宋体" w:cs="宋体"/>
                <w:szCs w:val="21"/>
              </w:rPr>
            </w:pPr>
          </w:p>
        </w:tc>
        <w:tc>
          <w:tcPr>
            <w:tcW w:w="2209" w:type="dxa"/>
            <w:noWrap w:val="0"/>
            <w:vAlign w:val="center"/>
          </w:tcPr>
          <w:p>
            <w:pPr>
              <w:spacing w:line="360" w:lineRule="auto"/>
              <w:rPr>
                <w:rFonts w:hint="eastAsia" w:ascii="宋体" w:hAnsi="宋体" w:eastAsia="宋体" w:cs="宋体"/>
                <w:szCs w:val="21"/>
              </w:rPr>
            </w:pPr>
          </w:p>
        </w:tc>
        <w:tc>
          <w:tcPr>
            <w:tcW w:w="1275" w:type="dxa"/>
            <w:noWrap w:val="0"/>
            <w:vAlign w:val="top"/>
          </w:tcPr>
          <w:p>
            <w:pPr>
              <w:spacing w:line="360" w:lineRule="auto"/>
              <w:ind w:right="-11"/>
              <w:jc w:val="center"/>
              <w:rPr>
                <w:rFonts w:hint="eastAsia" w:ascii="宋体" w:hAnsi="宋体" w:eastAsia="宋体" w:cs="宋体"/>
                <w:szCs w:val="21"/>
              </w:rPr>
            </w:pPr>
          </w:p>
        </w:tc>
        <w:tc>
          <w:tcPr>
            <w:tcW w:w="1295" w:type="dxa"/>
            <w:noWrap w:val="0"/>
            <w:vAlign w:val="top"/>
          </w:tcPr>
          <w:p>
            <w:pPr>
              <w:spacing w:line="360" w:lineRule="auto"/>
              <w:ind w:right="-11"/>
              <w:jc w:val="center"/>
              <w:rPr>
                <w:rFonts w:hint="eastAsia" w:ascii="宋体" w:hAnsi="宋体" w:eastAsia="宋体" w:cs="宋体"/>
                <w:szCs w:val="21"/>
              </w:rPr>
            </w:pPr>
          </w:p>
        </w:tc>
        <w:tc>
          <w:tcPr>
            <w:tcW w:w="1369" w:type="dxa"/>
            <w:noWrap w:val="0"/>
            <w:vAlign w:val="center"/>
          </w:tcPr>
          <w:p>
            <w:pPr>
              <w:spacing w:line="360" w:lineRule="auto"/>
              <w:ind w:right="-11"/>
              <w:jc w:val="center"/>
              <w:rPr>
                <w:rFonts w:hint="eastAsia" w:ascii="宋体" w:hAnsi="宋体" w:eastAsia="宋体" w:cs="宋体"/>
                <w:szCs w:val="21"/>
              </w:rPr>
            </w:pPr>
          </w:p>
        </w:tc>
        <w:tc>
          <w:tcPr>
            <w:tcW w:w="2033" w:type="dxa"/>
            <w:tcBorders>
              <w:right w:val="single" w:color="auto" w:sz="12" w:space="0"/>
            </w:tcBorders>
            <w:noWrap w:val="0"/>
            <w:vAlign w:val="center"/>
          </w:tcPr>
          <w:p>
            <w:pPr>
              <w:spacing w:line="360" w:lineRule="auto"/>
              <w:ind w:right="-1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7" w:type="dxa"/>
            <w:gridSpan w:val="4"/>
            <w:tcBorders>
              <w:left w:val="single" w:color="auto" w:sz="12" w:space="0"/>
              <w:bottom w:val="single" w:color="auto" w:sz="12" w:space="0"/>
            </w:tcBorders>
            <w:noWrap w:val="0"/>
            <w:vAlign w:val="center"/>
          </w:tcPr>
          <w:p>
            <w:pPr>
              <w:spacing w:line="360" w:lineRule="auto"/>
              <w:ind w:right="-11"/>
              <w:jc w:val="center"/>
              <w:rPr>
                <w:rFonts w:hint="eastAsia" w:ascii="宋体" w:hAnsi="宋体" w:eastAsia="宋体" w:cs="宋体"/>
                <w:szCs w:val="21"/>
              </w:rPr>
            </w:pPr>
            <w:r>
              <w:rPr>
                <w:rFonts w:hint="eastAsia" w:ascii="宋体" w:hAnsi="宋体" w:eastAsia="宋体" w:cs="宋体"/>
                <w:szCs w:val="21"/>
              </w:rPr>
              <w:t>合计</w:t>
            </w:r>
          </w:p>
        </w:tc>
        <w:tc>
          <w:tcPr>
            <w:tcW w:w="3402" w:type="dxa"/>
            <w:gridSpan w:val="2"/>
            <w:tcBorders>
              <w:bottom w:val="single" w:color="auto" w:sz="12" w:space="0"/>
              <w:right w:val="single" w:color="auto" w:sz="12" w:space="0"/>
            </w:tcBorders>
            <w:noWrap w:val="0"/>
            <w:vAlign w:val="center"/>
          </w:tcPr>
          <w:p>
            <w:pPr>
              <w:spacing w:line="360" w:lineRule="auto"/>
              <w:ind w:right="-11"/>
              <w:jc w:val="center"/>
              <w:rPr>
                <w:rFonts w:hint="eastAsia" w:ascii="宋体" w:hAnsi="宋体" w:eastAsia="宋体" w:cs="宋体"/>
                <w:szCs w:val="21"/>
              </w:rPr>
            </w:pPr>
          </w:p>
        </w:tc>
      </w:tr>
    </w:tbl>
    <w:p>
      <w:pPr>
        <w:rPr>
          <w:rFonts w:hint="eastAsia" w:ascii="宋体" w:hAnsi="宋体" w:eastAsia="宋体" w:cs="宋体"/>
          <w:b/>
          <w:szCs w:val="21"/>
          <w:highlight w:val="none"/>
        </w:rPr>
      </w:pPr>
    </w:p>
    <w:p>
      <w:pPr>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说明：</w:t>
      </w:r>
      <w:r>
        <w:rPr>
          <w:rFonts w:hint="eastAsia" w:ascii="宋体" w:hAnsi="宋体" w:eastAsia="宋体" w:cs="宋体"/>
          <w:b/>
          <w:szCs w:val="21"/>
          <w:highlight w:val="none"/>
          <w:lang w:val="en-US" w:eastAsia="zh-CN"/>
        </w:rPr>
        <w:t xml:space="preserve"> </w:t>
      </w:r>
    </w:p>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rPr>
        <w:t>、</w:t>
      </w:r>
      <w:r>
        <w:rPr>
          <w:rFonts w:hint="eastAsia" w:ascii="宋体" w:hAnsi="宋体" w:eastAsia="宋体" w:cs="宋体"/>
          <w:b/>
          <w:szCs w:val="21"/>
          <w:highlight w:val="none"/>
          <w:lang w:val="en-US" w:eastAsia="zh-CN"/>
        </w:rPr>
        <w:t>合</w:t>
      </w:r>
      <w:r>
        <w:rPr>
          <w:rFonts w:hint="eastAsia" w:ascii="宋体" w:hAnsi="宋体" w:eastAsia="宋体" w:cs="宋体"/>
          <w:b/>
          <w:szCs w:val="21"/>
          <w:highlight w:val="none"/>
        </w:rPr>
        <w:t>计价应与附件</w:t>
      </w:r>
      <w:r>
        <w:rPr>
          <w:rFonts w:hint="eastAsia" w:ascii="宋体" w:hAnsi="宋体" w:eastAsia="宋体" w:cs="宋体"/>
          <w:b/>
          <w:szCs w:val="21"/>
          <w:highlight w:val="none"/>
          <w:lang w:val="en-US" w:eastAsia="zh-CN"/>
        </w:rPr>
        <w:t>五</w:t>
      </w:r>
      <w:r>
        <w:rPr>
          <w:rFonts w:hint="eastAsia" w:ascii="宋体" w:hAnsi="宋体" w:eastAsia="宋体" w:cs="宋体"/>
          <w:b/>
          <w:szCs w:val="21"/>
          <w:highlight w:val="none"/>
        </w:rPr>
        <w:t>“开标一览表”中投标</w:t>
      </w:r>
      <w:r>
        <w:rPr>
          <w:rFonts w:hint="eastAsia" w:ascii="宋体" w:hAnsi="宋体" w:eastAsia="宋体" w:cs="宋体"/>
          <w:b/>
          <w:szCs w:val="21"/>
          <w:highlight w:val="none"/>
          <w:lang w:val="en-US" w:eastAsia="zh-CN"/>
        </w:rPr>
        <w:t>总报</w:t>
      </w:r>
      <w:r>
        <w:rPr>
          <w:rFonts w:hint="eastAsia" w:ascii="宋体" w:hAnsi="宋体" w:eastAsia="宋体" w:cs="宋体"/>
          <w:b/>
          <w:szCs w:val="21"/>
          <w:highlight w:val="none"/>
        </w:rPr>
        <w:t>价相一致。</w:t>
      </w:r>
    </w:p>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、填写报价表格时，各项费用应如实填写，如已含在</w:t>
      </w:r>
      <w:r>
        <w:rPr>
          <w:rFonts w:hint="eastAsia" w:ascii="宋体" w:hAnsi="宋体" w:eastAsia="宋体" w:cs="宋体"/>
          <w:b/>
          <w:szCs w:val="21"/>
          <w:highlight w:val="none"/>
          <w:lang w:val="en-US" w:eastAsia="zh-CN"/>
        </w:rPr>
        <w:t>项目</w:t>
      </w:r>
      <w:r>
        <w:rPr>
          <w:rFonts w:hint="eastAsia" w:ascii="宋体" w:hAnsi="宋体" w:eastAsia="宋体" w:cs="宋体"/>
          <w:b/>
          <w:szCs w:val="21"/>
          <w:highlight w:val="none"/>
        </w:rPr>
        <w:t>价格中，则填“含”，如免费则填“免”，如无此项内容则填“无”，不允许空白；所有报价只能唯一一个价格。</w:t>
      </w:r>
    </w:p>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3、</w:t>
      </w:r>
      <w:r>
        <w:rPr>
          <w:rFonts w:hint="eastAsia" w:ascii="宋体" w:hAnsi="宋体" w:eastAsia="宋体" w:cs="宋体"/>
          <w:b/>
          <w:szCs w:val="21"/>
          <w:highlight w:val="none"/>
          <w:u w:val="single"/>
          <w:lang w:val="en-US" w:eastAsia="zh-CN"/>
        </w:rPr>
        <w:t>▲报价</w:t>
      </w:r>
      <w:r>
        <w:rPr>
          <w:rFonts w:hint="eastAsia" w:ascii="宋体" w:hAnsi="宋体" w:eastAsia="宋体" w:cs="宋体"/>
          <w:b/>
          <w:szCs w:val="21"/>
          <w:highlight w:val="none"/>
          <w:u w:val="single"/>
        </w:rPr>
        <w:t>含人员考核奖励金9600元，奖励金不得竞争性报价</w:t>
      </w:r>
      <w:r>
        <w:rPr>
          <w:rFonts w:hint="eastAsia" w:ascii="宋体" w:hAnsi="宋体" w:eastAsia="宋体" w:cs="宋体"/>
          <w:b/>
          <w:szCs w:val="21"/>
          <w:highlight w:val="none"/>
        </w:rPr>
        <w:t>。</w:t>
      </w:r>
    </w:p>
    <w:p>
      <w:pPr>
        <w:spacing w:line="240" w:lineRule="auto"/>
        <w:rPr>
          <w:rFonts w:hint="eastAsia" w:ascii="宋体" w:hAnsi="宋体" w:eastAsia="宋体" w:cs="宋体"/>
          <w:b/>
          <w:szCs w:val="21"/>
          <w:highlight w:val="none"/>
        </w:rPr>
      </w:pPr>
    </w:p>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注：报价需含人员月度考核金。。</w:t>
      </w:r>
    </w:p>
    <w:p>
      <w:pPr>
        <w:pStyle w:val="13"/>
        <w:rPr>
          <w:rFonts w:hint="eastAsia" w:ascii="宋体" w:hAnsi="宋体" w:eastAsia="宋体" w:cs="宋体"/>
          <w:highlight w:val="none"/>
        </w:rPr>
      </w:pPr>
    </w:p>
    <w:p>
      <w:pPr>
        <w:spacing w:line="440" w:lineRule="exact"/>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40" w:lineRule="exact"/>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440" w:lineRule="exact"/>
        <w:rPr>
          <w:rFonts w:hint="eastAsia" w:ascii="宋体" w:hAnsi="宋体" w:eastAsia="宋体" w:cs="宋体"/>
          <w:sz w:val="36"/>
          <w:szCs w:val="36"/>
          <w:highlight w:val="none"/>
        </w:rPr>
      </w:pPr>
      <w:r>
        <w:rPr>
          <w:rFonts w:hint="eastAsia" w:ascii="宋体" w:hAnsi="宋体" w:eastAsia="宋体" w:cs="宋体"/>
          <w:sz w:val="22"/>
          <w:highlight w:val="none"/>
        </w:rPr>
        <w:t>日 期：</w:t>
      </w:r>
    </w:p>
    <w:p>
      <w:pPr>
        <w:keepLines/>
        <w:spacing w:before="260" w:after="260"/>
        <w:jc w:val="center"/>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197" w:name="_Hlk69240860"/>
      <w:r>
        <w:rPr>
          <w:rFonts w:hint="eastAsia" w:ascii="宋体" w:hAnsi="宋体" w:eastAsia="宋体" w:cs="宋体"/>
          <w:sz w:val="36"/>
          <w:szCs w:val="36"/>
          <w:highlight w:val="none"/>
        </w:rPr>
        <w:t>第四部分   采购内容及要求</w:t>
      </w:r>
      <w:bookmarkEnd w:id="192"/>
      <w:bookmarkEnd w:id="193"/>
      <w:bookmarkEnd w:id="194"/>
      <w:bookmarkEnd w:id="195"/>
      <w:bookmarkEnd w:id="196"/>
    </w:p>
    <w:p>
      <w:pPr>
        <w:rPr>
          <w:rFonts w:hint="eastAsia"/>
        </w:rPr>
      </w:pPr>
      <w:bookmarkStart w:id="198" w:name="_Toc448846627"/>
      <w:bookmarkStart w:id="199" w:name="_Toc221374633"/>
      <w:bookmarkStart w:id="200" w:name="_Toc221356897"/>
      <w:bookmarkStart w:id="201" w:name="_Toc221356960"/>
    </w:p>
    <w:bookmarkEnd w:id="197"/>
    <w:bookmarkEnd w:id="198"/>
    <w:p>
      <w:pPr>
        <w:numPr>
          <w:ilvl w:val="3"/>
          <w:numId w:val="32"/>
        </w:numPr>
        <w:snapToGrid w:val="0"/>
        <w:spacing w:line="240" w:lineRule="auto"/>
        <w:ind w:left="122" w:hanging="122" w:hangingChars="58"/>
        <w:rPr>
          <w:rFonts w:hint="eastAsia" w:ascii="宋体" w:hAnsi="宋体" w:eastAsia="宋体" w:cs="宋体"/>
          <w:b/>
          <w:bCs/>
          <w:szCs w:val="21"/>
        </w:rPr>
      </w:pPr>
      <w:bookmarkStart w:id="202" w:name="_Toc26699"/>
      <w:bookmarkStart w:id="203" w:name="_Toc479601381"/>
      <w:bookmarkStart w:id="204" w:name="_Toc448846693"/>
      <w:bookmarkStart w:id="205" w:name="_Toc262105511"/>
      <w:bookmarkStart w:id="206" w:name="_Toc262049426"/>
      <w:bookmarkStart w:id="207" w:name="_Toc223716005"/>
      <w:bookmarkStart w:id="208" w:name="_Toc246261272"/>
      <w:bookmarkStart w:id="209" w:name="_Toc249758722"/>
      <w:bookmarkStart w:id="210" w:name="_Toc249758872"/>
      <w:bookmarkStart w:id="211" w:name="_Toc222114886"/>
      <w:bookmarkStart w:id="212" w:name="_Toc221423626"/>
      <w:bookmarkStart w:id="213" w:name="_Toc245191321"/>
      <w:bookmarkStart w:id="214" w:name="_Toc239145361"/>
      <w:bookmarkStart w:id="215" w:name="_Toc245722288"/>
      <w:bookmarkStart w:id="216" w:name="_Toc241404209"/>
      <w:r>
        <w:rPr>
          <w:rFonts w:hint="eastAsia" w:ascii="宋体" w:hAnsi="宋体" w:eastAsia="宋体" w:cs="宋体"/>
          <w:b/>
          <w:bCs/>
          <w:szCs w:val="21"/>
        </w:rPr>
        <w:t>概述：</w:t>
      </w:r>
    </w:p>
    <w:p>
      <w:pPr>
        <w:numPr>
          <w:ilvl w:val="0"/>
          <w:numId w:val="33"/>
        </w:numPr>
        <w:snapToGrid w:val="0"/>
        <w:spacing w:line="240" w:lineRule="auto"/>
        <w:ind w:left="420" w:leftChars="200"/>
        <w:jc w:val="both"/>
        <w:rPr>
          <w:rFonts w:hint="eastAsia" w:ascii="宋体" w:hAnsi="宋体" w:eastAsia="宋体" w:cs="宋体"/>
          <w:bCs/>
          <w:szCs w:val="21"/>
        </w:rPr>
      </w:pPr>
      <w:r>
        <w:rPr>
          <w:rFonts w:hint="eastAsia" w:ascii="宋体" w:hAnsi="宋体" w:eastAsia="宋体" w:cs="宋体"/>
          <w:bCs/>
          <w:szCs w:val="21"/>
        </w:rPr>
        <w:t>采购内容及要求是采购文件的一部分，包括所有条款的具体说明及技术</w:t>
      </w:r>
      <w:r>
        <w:rPr>
          <w:rFonts w:hint="eastAsia" w:ascii="宋体" w:hAnsi="宋体" w:eastAsia="宋体" w:cs="宋体"/>
          <w:bCs/>
          <w:szCs w:val="21"/>
          <w:lang w:val="en-US" w:eastAsia="zh-CN"/>
        </w:rPr>
        <w:t>服务</w:t>
      </w:r>
      <w:r>
        <w:rPr>
          <w:rFonts w:hint="eastAsia" w:ascii="宋体" w:hAnsi="宋体" w:eastAsia="宋体" w:cs="宋体"/>
          <w:bCs/>
          <w:szCs w:val="21"/>
        </w:rPr>
        <w:t>要求，</w:t>
      </w:r>
      <w:r>
        <w:rPr>
          <w:rFonts w:hint="eastAsia" w:ascii="宋体" w:hAnsi="宋体" w:eastAsia="宋体" w:cs="宋体"/>
          <w:bCs/>
          <w:szCs w:val="21"/>
          <w:lang w:val="en-US" w:eastAsia="zh-CN"/>
        </w:rPr>
        <w:t>投标</w:t>
      </w:r>
      <w:r>
        <w:rPr>
          <w:rFonts w:hint="eastAsia" w:ascii="宋体" w:hAnsi="宋体" w:eastAsia="宋体" w:cs="宋体"/>
          <w:szCs w:val="21"/>
        </w:rPr>
        <w:t>供应商</w:t>
      </w:r>
      <w:r>
        <w:rPr>
          <w:rFonts w:hint="eastAsia" w:ascii="宋体" w:hAnsi="宋体" w:eastAsia="宋体" w:cs="宋体"/>
          <w:bCs/>
          <w:szCs w:val="21"/>
        </w:rPr>
        <w:t>需在各自技术和商务占优势的基础上对本次采购的所有内容进行</w:t>
      </w:r>
      <w:r>
        <w:rPr>
          <w:rFonts w:hint="eastAsia" w:ascii="宋体" w:hAnsi="宋体" w:eastAsia="宋体" w:cs="宋体"/>
          <w:bCs/>
          <w:szCs w:val="21"/>
          <w:lang w:val="en-US" w:eastAsia="zh-CN"/>
        </w:rPr>
        <w:t>投标</w:t>
      </w:r>
      <w:r>
        <w:rPr>
          <w:rFonts w:hint="eastAsia" w:ascii="宋体" w:hAnsi="宋体" w:eastAsia="宋体" w:cs="宋体"/>
          <w:bCs/>
          <w:szCs w:val="21"/>
        </w:rPr>
        <w:t>。</w:t>
      </w:r>
    </w:p>
    <w:p>
      <w:pPr>
        <w:numPr>
          <w:ilvl w:val="0"/>
          <w:numId w:val="33"/>
        </w:numPr>
        <w:snapToGrid w:val="0"/>
        <w:spacing w:line="240" w:lineRule="auto"/>
        <w:ind w:left="420" w:leftChars="200"/>
        <w:jc w:val="both"/>
        <w:rPr>
          <w:rFonts w:hint="eastAsia" w:ascii="宋体" w:hAnsi="宋体" w:eastAsia="宋体" w:cs="宋体"/>
          <w:bCs/>
          <w:szCs w:val="21"/>
        </w:rPr>
      </w:pPr>
      <w:r>
        <w:rPr>
          <w:rFonts w:hint="eastAsia" w:ascii="宋体" w:hAnsi="宋体" w:eastAsia="宋体" w:cs="宋体"/>
          <w:bCs/>
          <w:szCs w:val="21"/>
        </w:rPr>
        <w:t>每个</w:t>
      </w:r>
      <w:r>
        <w:rPr>
          <w:rFonts w:hint="eastAsia" w:ascii="宋体" w:hAnsi="宋体" w:eastAsia="宋体" w:cs="宋体"/>
          <w:bCs/>
          <w:szCs w:val="21"/>
          <w:lang w:val="en-US" w:eastAsia="zh-CN"/>
        </w:rPr>
        <w:t>投标</w:t>
      </w:r>
      <w:r>
        <w:rPr>
          <w:rFonts w:hint="eastAsia" w:ascii="宋体" w:hAnsi="宋体" w:eastAsia="宋体" w:cs="宋体"/>
          <w:szCs w:val="21"/>
        </w:rPr>
        <w:t>供应商</w:t>
      </w:r>
      <w:r>
        <w:rPr>
          <w:rFonts w:hint="eastAsia" w:ascii="宋体" w:hAnsi="宋体" w:eastAsia="宋体" w:cs="宋体"/>
          <w:bCs/>
          <w:szCs w:val="21"/>
        </w:rPr>
        <w:t>必须完成采购内容和合同（基本要求、服务流程和服务）规定义务，不允许只对部分内容进行</w:t>
      </w:r>
      <w:r>
        <w:rPr>
          <w:rFonts w:hint="eastAsia" w:ascii="宋体" w:hAnsi="宋体" w:eastAsia="宋体" w:cs="宋体"/>
          <w:bCs/>
          <w:szCs w:val="21"/>
          <w:lang w:eastAsia="zh-CN"/>
        </w:rPr>
        <w:t>投标</w:t>
      </w:r>
      <w:r>
        <w:rPr>
          <w:rFonts w:hint="eastAsia" w:ascii="宋体" w:hAnsi="宋体" w:eastAsia="宋体" w:cs="宋体"/>
          <w:bCs/>
          <w:szCs w:val="21"/>
        </w:rPr>
        <w:t>。</w:t>
      </w:r>
    </w:p>
    <w:p>
      <w:pPr>
        <w:numPr>
          <w:ilvl w:val="0"/>
          <w:numId w:val="33"/>
        </w:numPr>
        <w:snapToGrid w:val="0"/>
        <w:spacing w:line="240" w:lineRule="auto"/>
        <w:ind w:left="420" w:leftChars="200"/>
        <w:jc w:val="both"/>
        <w:rPr>
          <w:rFonts w:hint="eastAsia" w:ascii="宋体" w:hAnsi="宋体" w:eastAsia="宋体" w:cs="宋体"/>
          <w:b/>
          <w:bCs/>
          <w:szCs w:val="21"/>
          <w:u w:val="single"/>
        </w:rPr>
      </w:pPr>
      <w:r>
        <w:rPr>
          <w:rFonts w:hint="eastAsia" w:ascii="宋体" w:hAnsi="宋体" w:eastAsia="宋体" w:cs="宋体"/>
          <w:b/>
          <w:bCs/>
          <w:szCs w:val="21"/>
        </w:rPr>
        <w:t>本次采购设一个标段，</w:t>
      </w:r>
      <w:r>
        <w:rPr>
          <w:rFonts w:hint="eastAsia" w:ascii="宋体" w:hAnsi="宋体" w:eastAsia="宋体" w:cs="宋体"/>
          <w:b/>
          <w:szCs w:val="21"/>
          <w:lang w:eastAsia="zh-CN"/>
        </w:rPr>
        <w:t>投标供应商</w:t>
      </w:r>
      <w:r>
        <w:rPr>
          <w:rFonts w:hint="eastAsia" w:ascii="宋体" w:hAnsi="宋体" w:eastAsia="宋体" w:cs="宋体"/>
          <w:b/>
          <w:bCs/>
          <w:szCs w:val="21"/>
        </w:rPr>
        <w:t>必须对采购的全部内容进行</w:t>
      </w:r>
      <w:r>
        <w:rPr>
          <w:rFonts w:hint="eastAsia" w:ascii="宋体" w:hAnsi="宋体" w:eastAsia="宋体" w:cs="宋体"/>
          <w:b/>
          <w:bCs/>
          <w:szCs w:val="21"/>
          <w:lang w:eastAsia="zh-CN"/>
        </w:rPr>
        <w:t>投标</w:t>
      </w:r>
      <w:r>
        <w:rPr>
          <w:rFonts w:hint="eastAsia" w:ascii="宋体" w:hAnsi="宋体" w:eastAsia="宋体" w:cs="宋体"/>
          <w:b/>
          <w:bCs/>
          <w:szCs w:val="21"/>
        </w:rPr>
        <w:t>，不允许对标段内的部分内容</w:t>
      </w:r>
      <w:r>
        <w:rPr>
          <w:rFonts w:hint="eastAsia" w:ascii="宋体" w:hAnsi="宋体" w:eastAsia="宋体" w:cs="宋体"/>
          <w:b/>
          <w:bCs/>
          <w:szCs w:val="21"/>
          <w:lang w:eastAsia="zh-CN"/>
        </w:rPr>
        <w:t>投标</w:t>
      </w:r>
      <w:r>
        <w:rPr>
          <w:rFonts w:hint="eastAsia" w:ascii="宋体" w:hAnsi="宋体" w:eastAsia="宋体" w:cs="宋体"/>
          <w:b/>
          <w:bCs/>
          <w:szCs w:val="21"/>
        </w:rPr>
        <w:t>，否则按无效</w:t>
      </w:r>
      <w:r>
        <w:rPr>
          <w:rFonts w:hint="eastAsia" w:ascii="宋体" w:hAnsi="宋体" w:eastAsia="宋体" w:cs="宋体"/>
          <w:b/>
          <w:bCs/>
          <w:szCs w:val="21"/>
          <w:lang w:eastAsia="zh-CN"/>
        </w:rPr>
        <w:t>投标</w:t>
      </w:r>
      <w:r>
        <w:rPr>
          <w:rFonts w:hint="eastAsia" w:ascii="宋体" w:hAnsi="宋体" w:eastAsia="宋体" w:cs="宋体"/>
          <w:b/>
          <w:bCs/>
          <w:szCs w:val="21"/>
        </w:rPr>
        <w:t>处理。</w:t>
      </w:r>
    </w:p>
    <w:p>
      <w:pPr>
        <w:numPr>
          <w:ilvl w:val="0"/>
          <w:numId w:val="33"/>
        </w:numPr>
        <w:snapToGrid w:val="0"/>
        <w:spacing w:line="240" w:lineRule="auto"/>
        <w:ind w:left="420" w:leftChars="200"/>
        <w:jc w:val="both"/>
        <w:rPr>
          <w:rFonts w:hint="eastAsia" w:ascii="宋体" w:hAnsi="宋体" w:eastAsia="宋体" w:cs="宋体"/>
          <w:bCs/>
          <w:szCs w:val="21"/>
        </w:rPr>
      </w:pPr>
      <w:r>
        <w:rPr>
          <w:rFonts w:hint="eastAsia" w:ascii="宋体" w:hAnsi="宋体" w:eastAsia="宋体" w:cs="宋体"/>
          <w:bCs/>
          <w:szCs w:val="21"/>
        </w:rPr>
        <w:t>本次采购的产品（服务）所涉及的产品标准、规范、验收标准、规范，应符合国家有关条例及规范。如有新的标准应采纳新标准。</w:t>
      </w:r>
    </w:p>
    <w:p>
      <w:pPr>
        <w:numPr>
          <w:ilvl w:val="0"/>
          <w:numId w:val="33"/>
        </w:numPr>
        <w:snapToGrid w:val="0"/>
        <w:spacing w:line="240" w:lineRule="auto"/>
        <w:ind w:left="420" w:leftChars="200"/>
        <w:jc w:val="both"/>
        <w:rPr>
          <w:rFonts w:hint="eastAsia" w:ascii="宋体" w:hAnsi="宋体" w:eastAsia="宋体" w:cs="宋体"/>
          <w:b/>
          <w:bCs/>
          <w:szCs w:val="21"/>
          <w:u w:val="single"/>
        </w:rPr>
      </w:pPr>
      <w:r>
        <w:rPr>
          <w:rFonts w:hint="eastAsia" w:ascii="宋体" w:hAnsi="宋体" w:eastAsia="宋体" w:cs="宋体"/>
          <w:b/>
          <w:bCs/>
          <w:szCs w:val="21"/>
          <w:u w:val="single"/>
        </w:rPr>
        <w:t>本次采购设有最高限价，如果供应商的报价超出采购最高限价，作废标处理，如所</w:t>
      </w:r>
      <w:r>
        <w:rPr>
          <w:rFonts w:hint="eastAsia" w:ascii="宋体" w:hAnsi="宋体" w:eastAsia="宋体" w:cs="宋体"/>
          <w:b/>
          <w:bCs/>
          <w:szCs w:val="21"/>
          <w:u w:val="single"/>
          <w:lang w:val="en-US" w:eastAsia="zh-CN"/>
        </w:rPr>
        <w:t>有</w:t>
      </w:r>
      <w:r>
        <w:rPr>
          <w:rFonts w:hint="eastAsia" w:ascii="宋体" w:hAnsi="宋体" w:eastAsia="宋体" w:cs="宋体"/>
          <w:b/>
          <w:bCs/>
          <w:szCs w:val="21"/>
          <w:u w:val="single"/>
        </w:rPr>
        <w:t>投标供应商均超过最高限价的，采购人确认不能支付的，本次采购做废标处理。</w:t>
      </w:r>
    </w:p>
    <w:p>
      <w:pPr>
        <w:numPr>
          <w:ilvl w:val="0"/>
          <w:numId w:val="33"/>
        </w:numPr>
        <w:snapToGrid w:val="0"/>
        <w:spacing w:line="240" w:lineRule="auto"/>
        <w:ind w:left="420" w:leftChars="200"/>
        <w:jc w:val="both"/>
        <w:rPr>
          <w:rFonts w:hint="eastAsia" w:ascii="宋体" w:hAnsi="宋体" w:eastAsia="宋体" w:cs="宋体"/>
          <w:bCs/>
          <w:szCs w:val="21"/>
        </w:rPr>
      </w:pPr>
      <w:r>
        <w:rPr>
          <w:rFonts w:hint="eastAsia" w:ascii="宋体" w:hAnsi="宋体" w:eastAsia="宋体" w:cs="宋体"/>
          <w:szCs w:val="21"/>
          <w:lang w:eastAsia="zh-CN"/>
        </w:rPr>
        <w:t>投标供应商</w:t>
      </w:r>
      <w:r>
        <w:rPr>
          <w:rFonts w:hint="eastAsia" w:ascii="宋体" w:hAnsi="宋体" w:eastAsia="宋体" w:cs="宋体"/>
          <w:bCs/>
          <w:szCs w:val="21"/>
        </w:rPr>
        <w:t>需按招标文件的要求完成所有工作。按要求提交所需的无论其是否被明细列在合同文件中的所有资料，提供的产品（服务）必须满足招标文件中提出的相关技术</w:t>
      </w:r>
      <w:r>
        <w:rPr>
          <w:rFonts w:hint="eastAsia" w:ascii="宋体" w:hAnsi="宋体" w:eastAsia="宋体" w:cs="宋体"/>
          <w:bCs/>
          <w:szCs w:val="21"/>
          <w:lang w:val="en-US" w:eastAsia="zh-CN"/>
        </w:rPr>
        <w:t>服务</w:t>
      </w:r>
      <w:r>
        <w:rPr>
          <w:rFonts w:hint="eastAsia" w:ascii="宋体" w:hAnsi="宋体" w:eastAsia="宋体" w:cs="宋体"/>
          <w:bCs/>
          <w:szCs w:val="21"/>
        </w:rPr>
        <w:t>要求。</w:t>
      </w:r>
    </w:p>
    <w:p>
      <w:pPr>
        <w:numPr>
          <w:ilvl w:val="0"/>
          <w:numId w:val="33"/>
        </w:numPr>
        <w:snapToGrid w:val="0"/>
        <w:spacing w:line="240" w:lineRule="auto"/>
        <w:ind w:left="420" w:leftChars="200"/>
        <w:jc w:val="both"/>
        <w:rPr>
          <w:rFonts w:hint="eastAsia" w:ascii="宋体" w:hAnsi="宋体" w:eastAsia="宋体" w:cs="宋体"/>
          <w:bCs/>
          <w:szCs w:val="21"/>
        </w:rPr>
      </w:pPr>
      <w:r>
        <w:rPr>
          <w:rFonts w:hint="eastAsia" w:ascii="宋体" w:hAnsi="宋体" w:eastAsia="宋体" w:cs="宋体"/>
          <w:szCs w:val="21"/>
          <w:lang w:eastAsia="zh-CN"/>
        </w:rPr>
        <w:t>投标供应商</w:t>
      </w:r>
      <w:r>
        <w:rPr>
          <w:rFonts w:hint="eastAsia" w:ascii="宋体" w:hAnsi="宋体" w:eastAsia="宋体" w:cs="宋体"/>
          <w:bCs/>
          <w:szCs w:val="21"/>
        </w:rPr>
        <w:t>提供的成果应是无任何质量缺陷、技术成熟，符合国家现行规范/标准要求。</w:t>
      </w:r>
    </w:p>
    <w:p>
      <w:pPr>
        <w:numPr>
          <w:ilvl w:val="0"/>
          <w:numId w:val="33"/>
        </w:numPr>
        <w:snapToGrid w:val="0"/>
        <w:spacing w:line="240" w:lineRule="auto"/>
        <w:ind w:left="420" w:leftChars="200"/>
        <w:jc w:val="both"/>
        <w:rPr>
          <w:rFonts w:hint="eastAsia" w:ascii="宋体" w:hAnsi="宋体" w:eastAsia="宋体" w:cs="宋体"/>
          <w:bCs/>
          <w:szCs w:val="21"/>
        </w:rPr>
      </w:pPr>
      <w:r>
        <w:rPr>
          <w:rFonts w:hint="eastAsia" w:ascii="宋体" w:hAnsi="宋体" w:eastAsia="宋体" w:cs="宋体"/>
          <w:bCs/>
          <w:szCs w:val="21"/>
        </w:rPr>
        <w:t>供应商应根据项目说明、采购内容及技术要求相关规范、规定，结合项目特征分析，以及现场踏勘等情况，自行编制工作方案。</w:t>
      </w:r>
    </w:p>
    <w:p>
      <w:pPr>
        <w:numPr>
          <w:ilvl w:val="0"/>
          <w:numId w:val="34"/>
        </w:numPr>
        <w:snapToGrid w:val="0"/>
        <w:spacing w:line="240" w:lineRule="auto"/>
        <w:rPr>
          <w:rFonts w:hint="eastAsia" w:ascii="宋体" w:hAnsi="宋体" w:eastAsia="宋体" w:cs="宋体"/>
          <w:b/>
          <w:bCs/>
          <w:szCs w:val="21"/>
        </w:rPr>
      </w:pPr>
      <w:r>
        <w:rPr>
          <w:rFonts w:hint="eastAsia" w:ascii="宋体" w:hAnsi="宋体" w:eastAsia="宋体" w:cs="宋体"/>
          <w:b/>
          <w:bCs/>
          <w:szCs w:val="21"/>
        </w:rPr>
        <w:t>采购内容及技术要求：</w:t>
      </w:r>
    </w:p>
    <w:p>
      <w:pPr>
        <w:spacing w:line="24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1、项目背景：</w:t>
      </w:r>
    </w:p>
    <w:p>
      <w:pPr>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eastAsia="zh-CN"/>
        </w:rPr>
        <w:t>温州绕城高速陶山服务区党群服务中心</w:t>
      </w:r>
      <w:r>
        <w:rPr>
          <w:rFonts w:hint="eastAsia" w:ascii="宋体" w:hAnsi="宋体" w:eastAsia="宋体" w:cs="宋体"/>
          <w:color w:val="000000"/>
          <w:szCs w:val="21"/>
        </w:rPr>
        <w:t>因工作需要，需</w:t>
      </w:r>
      <w:r>
        <w:rPr>
          <w:rFonts w:hint="eastAsia" w:ascii="宋体" w:hAnsi="宋体" w:eastAsia="宋体" w:cs="宋体"/>
          <w:color w:val="000000"/>
          <w:szCs w:val="21"/>
          <w:lang w:val="en-US" w:eastAsia="zh-CN"/>
        </w:rPr>
        <w:t>配备服务</w:t>
      </w:r>
      <w:r>
        <w:rPr>
          <w:rFonts w:hint="eastAsia" w:ascii="宋体" w:hAnsi="宋体" w:eastAsia="宋体" w:cs="宋体"/>
          <w:color w:val="000000"/>
          <w:szCs w:val="21"/>
        </w:rPr>
        <w:t>人员</w:t>
      </w:r>
      <w:r>
        <w:rPr>
          <w:rFonts w:hint="eastAsia" w:ascii="宋体" w:hAnsi="宋体" w:eastAsia="宋体" w:cs="宋体"/>
          <w:color w:val="000000"/>
          <w:szCs w:val="21"/>
          <w:lang w:val="en-US" w:eastAsia="zh-CN"/>
        </w:rPr>
        <w:t>2人</w:t>
      </w:r>
      <w:r>
        <w:rPr>
          <w:rFonts w:hint="eastAsia" w:ascii="宋体" w:hAnsi="宋体" w:eastAsia="宋体" w:cs="宋体"/>
          <w:color w:val="000000"/>
          <w:szCs w:val="21"/>
        </w:rPr>
        <w:t>。</w:t>
      </w:r>
    </w:p>
    <w:p>
      <w:pPr>
        <w:spacing w:line="240" w:lineRule="auto"/>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2、服务期：</w:t>
      </w:r>
      <w:r>
        <w:rPr>
          <w:rFonts w:hint="eastAsia" w:ascii="宋体" w:hAnsi="宋体" w:eastAsia="宋体" w:cs="宋体"/>
          <w:b/>
          <w:szCs w:val="21"/>
          <w:highlight w:val="none"/>
          <w:lang w:val="en-US" w:eastAsia="zh-CN"/>
        </w:rPr>
        <w:t>1年</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如承包期内，若成交供应商有违约行为，采购人有权单方面解除合同</w:t>
      </w:r>
      <w:r>
        <w:rPr>
          <w:rFonts w:hint="eastAsia" w:ascii="宋体" w:hAnsi="宋体" w:eastAsia="宋体" w:cs="宋体"/>
          <w:szCs w:val="21"/>
          <w:highlight w:val="none"/>
        </w:rPr>
        <w:t>。</w:t>
      </w:r>
    </w:p>
    <w:p>
      <w:pPr>
        <w:spacing w:line="24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3、人员要求：</w:t>
      </w:r>
    </w:p>
    <w:p>
      <w:pPr>
        <w:spacing w:line="24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3.1、中标供应商向采购人配备的人员均</w:t>
      </w:r>
      <w:r>
        <w:rPr>
          <w:rFonts w:hint="eastAsia" w:ascii="宋体" w:hAnsi="宋体" w:eastAsia="宋体" w:cs="宋体"/>
          <w:color w:val="000000"/>
          <w:szCs w:val="21"/>
          <w:highlight w:val="none"/>
          <w:lang w:val="en-US" w:eastAsia="zh-CN"/>
        </w:rPr>
        <w:t>需经</w:t>
      </w:r>
      <w:r>
        <w:rPr>
          <w:rFonts w:hint="eastAsia" w:ascii="宋体" w:hAnsi="宋体" w:eastAsia="宋体" w:cs="宋体"/>
          <w:color w:val="000000"/>
          <w:szCs w:val="21"/>
          <w:highlight w:val="none"/>
        </w:rPr>
        <w:t>采购人</w:t>
      </w:r>
      <w:r>
        <w:rPr>
          <w:rFonts w:hint="eastAsia" w:ascii="宋体" w:hAnsi="宋体" w:eastAsia="宋体" w:cs="宋体"/>
          <w:color w:val="000000"/>
          <w:szCs w:val="21"/>
          <w:highlight w:val="none"/>
          <w:lang w:val="en-US" w:eastAsia="zh-CN"/>
        </w:rPr>
        <w:t>审核后</w:t>
      </w:r>
      <w:r>
        <w:rPr>
          <w:rFonts w:hint="eastAsia" w:ascii="宋体" w:hAnsi="宋体" w:eastAsia="宋体" w:cs="宋体"/>
          <w:color w:val="000000"/>
          <w:szCs w:val="21"/>
          <w:highlight w:val="none"/>
        </w:rPr>
        <w:t>确定，共计</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人</w:t>
      </w:r>
      <w:r>
        <w:rPr>
          <w:rFonts w:hint="eastAsia" w:ascii="宋体" w:hAnsi="宋体" w:eastAsia="宋体" w:cs="宋体"/>
          <w:color w:val="000000"/>
          <w:szCs w:val="21"/>
          <w:highlight w:val="none"/>
          <w:lang w:eastAsia="zh-CN"/>
        </w:rPr>
        <w:t>；</w:t>
      </w:r>
    </w:p>
    <w:p>
      <w:pPr>
        <w:numPr>
          <w:ilvl w:val="0"/>
          <w:numId w:val="35"/>
        </w:numPr>
        <w:spacing w:line="240" w:lineRule="auto"/>
        <w:ind w:left="20" w:leftChars="0" w:firstLine="400" w:firstLineChars="0"/>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党</w:t>
      </w:r>
      <w:r>
        <w:rPr>
          <w:rFonts w:hint="eastAsia" w:ascii="宋体" w:hAnsi="宋体" w:eastAsia="宋体" w:cs="宋体"/>
          <w:color w:val="000000"/>
          <w:szCs w:val="21"/>
          <w:lang w:eastAsia="zh-CN"/>
        </w:rPr>
        <w:t>群服务中心讲解</w:t>
      </w:r>
      <w:r>
        <w:rPr>
          <w:rFonts w:hint="eastAsia" w:ascii="宋体" w:hAnsi="宋体" w:eastAsia="宋体" w:cs="宋体"/>
          <w:color w:val="000000"/>
          <w:szCs w:val="21"/>
          <w:lang w:val="en-US" w:eastAsia="zh-CN"/>
        </w:rPr>
        <w:t>人员兼前台2人。</w:t>
      </w:r>
    </w:p>
    <w:p>
      <w:pPr>
        <w:numPr>
          <w:ilvl w:val="0"/>
          <w:numId w:val="35"/>
        </w:numPr>
        <w:spacing w:line="240" w:lineRule="auto"/>
        <w:ind w:left="20" w:leftChars="0" w:firstLine="400" w:firstLineChars="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人员要求五官端正，有较强的语言表达能力和文字能力，中专及以上学历。</w:t>
      </w:r>
    </w:p>
    <w:p>
      <w:pPr>
        <w:numPr>
          <w:ilvl w:val="0"/>
          <w:numId w:val="35"/>
        </w:numPr>
        <w:spacing w:line="240" w:lineRule="auto"/>
        <w:ind w:left="20" w:leftChars="0" w:firstLine="400" w:firstLine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周一至周日（</w:t>
      </w:r>
      <w:r>
        <w:rPr>
          <w:rFonts w:hint="eastAsia" w:ascii="宋体" w:hAnsi="宋体" w:eastAsia="宋体" w:cs="宋体"/>
          <w:color w:val="000000"/>
          <w:szCs w:val="21"/>
          <w:lang w:val="en-US" w:eastAsia="zh-CN"/>
        </w:rPr>
        <w:t>8：30-17：00，并根据季节变化适时进行调整）</w:t>
      </w:r>
      <w:r>
        <w:rPr>
          <w:rFonts w:hint="eastAsia" w:ascii="宋体" w:hAnsi="宋体" w:eastAsia="宋体" w:cs="宋体"/>
          <w:color w:val="000000"/>
          <w:szCs w:val="21"/>
          <w:lang w:eastAsia="zh-CN"/>
        </w:rPr>
        <w:t>都需要人员在岗服务</w:t>
      </w:r>
    </w:p>
    <w:p>
      <w:pPr>
        <w:numPr>
          <w:ilvl w:val="0"/>
          <w:numId w:val="35"/>
        </w:numPr>
        <w:spacing w:line="240" w:lineRule="auto"/>
        <w:ind w:left="20" w:leftChars="0" w:firstLine="400" w:firstLineChars="0"/>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工作地点：温州绕城高速陶山服务区。</w:t>
      </w:r>
    </w:p>
    <w:p>
      <w:pPr>
        <w:spacing w:line="24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4、管理要求</w:t>
      </w:r>
    </w:p>
    <w:p>
      <w:pPr>
        <w:spacing w:line="240" w:lineRule="auto"/>
        <w:ind w:firstLine="420" w:firstLineChars="200"/>
        <w:rPr>
          <w:rFonts w:hint="eastAsia" w:ascii="宋体" w:hAnsi="宋体" w:eastAsia="宋体" w:cs="宋体"/>
          <w:szCs w:val="21"/>
        </w:rPr>
      </w:pPr>
      <w:bookmarkStart w:id="217" w:name="_Toc157410887"/>
      <w:r>
        <w:rPr>
          <w:rFonts w:hint="eastAsia" w:ascii="宋体" w:hAnsi="宋体" w:eastAsia="宋体" w:cs="宋体"/>
          <w:szCs w:val="21"/>
        </w:rPr>
        <w:t>4.1</w:t>
      </w:r>
      <w:r>
        <w:rPr>
          <w:rFonts w:hint="eastAsia" w:ascii="宋体" w:hAnsi="宋体" w:eastAsia="宋体" w:cs="宋体"/>
          <w:szCs w:val="21"/>
        </w:rPr>
        <w:tab/>
      </w:r>
      <w:r>
        <w:rPr>
          <w:rFonts w:hint="eastAsia" w:ascii="宋体" w:hAnsi="宋体" w:eastAsia="宋体" w:cs="宋体"/>
          <w:szCs w:val="21"/>
        </w:rPr>
        <w:t>由中标供应商负责与配备的员工签订劳动合同，确定劳动关系。</w:t>
      </w:r>
    </w:p>
    <w:p>
      <w:pPr>
        <w:spacing w:line="240" w:lineRule="auto"/>
        <w:ind w:firstLine="420" w:firstLineChars="200"/>
        <w:rPr>
          <w:rFonts w:hint="eastAsia" w:ascii="宋体" w:hAnsi="宋体" w:eastAsia="宋体" w:cs="宋体"/>
          <w:szCs w:val="21"/>
          <w:lang w:eastAsia="zh-CN"/>
        </w:rPr>
      </w:pPr>
      <w:r>
        <w:rPr>
          <w:rFonts w:hint="eastAsia" w:ascii="宋体" w:hAnsi="宋体" w:eastAsia="宋体" w:cs="宋体"/>
          <w:szCs w:val="21"/>
        </w:rPr>
        <w:t>4.2</w:t>
      </w:r>
      <w:r>
        <w:rPr>
          <w:rFonts w:hint="eastAsia" w:ascii="宋体" w:hAnsi="宋体" w:eastAsia="宋体" w:cs="宋体"/>
          <w:szCs w:val="21"/>
        </w:rPr>
        <w:tab/>
      </w:r>
      <w:r>
        <w:rPr>
          <w:rFonts w:hint="eastAsia" w:ascii="宋体" w:hAnsi="宋体" w:eastAsia="宋体" w:cs="宋体"/>
          <w:szCs w:val="21"/>
        </w:rPr>
        <w:t>每月由中标供应商负责配备员工的薪酬发放、奖金、劳保福利、社保、意外保险、工伤费、延长工作时间加班费、教育培训费、工作餐费、服装摊销费和法律法规规定的劳动福利待遇，企业应缴税金和应得利润，应急等完成合同所需的一切本身和不可或缺的所有工作开支、政策性文件规定计合同包含的所有风险、责任等各项全部费用并承担一切风险责任</w:t>
      </w:r>
      <w:r>
        <w:rPr>
          <w:rFonts w:hint="eastAsia" w:ascii="宋体" w:hAnsi="宋体" w:eastAsia="宋体" w:cs="宋体"/>
          <w:szCs w:val="21"/>
          <w:lang w:eastAsia="zh-CN"/>
        </w:rPr>
        <w:t>。</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4.3</w:t>
      </w:r>
      <w:r>
        <w:rPr>
          <w:rFonts w:hint="eastAsia" w:ascii="宋体" w:hAnsi="宋体" w:eastAsia="宋体" w:cs="宋体"/>
          <w:szCs w:val="21"/>
        </w:rPr>
        <w:tab/>
      </w:r>
      <w:r>
        <w:rPr>
          <w:rFonts w:hint="eastAsia" w:ascii="宋体" w:hAnsi="宋体" w:eastAsia="宋体" w:cs="宋体"/>
          <w:szCs w:val="21"/>
        </w:rPr>
        <w:t>由中标供应商负责处理</w:t>
      </w:r>
      <w:r>
        <w:rPr>
          <w:rFonts w:hint="eastAsia" w:ascii="宋体" w:hAnsi="宋体" w:eastAsia="宋体" w:cs="宋体"/>
          <w:color w:val="000000"/>
          <w:szCs w:val="21"/>
          <w:lang w:eastAsia="zh-CN"/>
        </w:rPr>
        <w:t>配备</w:t>
      </w:r>
      <w:r>
        <w:rPr>
          <w:rFonts w:hint="eastAsia" w:ascii="宋体" w:hAnsi="宋体" w:eastAsia="宋体" w:cs="宋体"/>
          <w:szCs w:val="21"/>
        </w:rPr>
        <w:t>员工提出的劳动仲裁、诉讼等事宜。</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4.4</w:t>
      </w:r>
      <w:r>
        <w:rPr>
          <w:rFonts w:hint="eastAsia" w:ascii="宋体" w:hAnsi="宋体" w:eastAsia="宋体" w:cs="宋体"/>
          <w:szCs w:val="21"/>
        </w:rPr>
        <w:tab/>
      </w:r>
      <w:r>
        <w:rPr>
          <w:rFonts w:hint="eastAsia" w:ascii="宋体" w:hAnsi="宋体" w:eastAsia="宋体" w:cs="宋体"/>
          <w:szCs w:val="21"/>
        </w:rPr>
        <w:t>由中标供应商负责</w:t>
      </w:r>
      <w:r>
        <w:rPr>
          <w:rFonts w:hint="eastAsia" w:ascii="宋体" w:hAnsi="宋体" w:eastAsia="宋体" w:cs="宋体"/>
          <w:color w:val="000000"/>
          <w:szCs w:val="21"/>
          <w:lang w:eastAsia="zh-CN"/>
        </w:rPr>
        <w:t>配备</w:t>
      </w:r>
      <w:r>
        <w:rPr>
          <w:rFonts w:hint="eastAsia" w:ascii="宋体" w:hAnsi="宋体" w:eastAsia="宋体" w:cs="宋体"/>
          <w:szCs w:val="21"/>
        </w:rPr>
        <w:t>员工的档案管理、党员组织关系管理以及专业技术人员的职称申报、评定等。</w:t>
      </w:r>
    </w:p>
    <w:p>
      <w:pPr>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4.5</w:t>
      </w:r>
      <w:r>
        <w:rPr>
          <w:rFonts w:hint="eastAsia" w:ascii="宋体" w:hAnsi="宋体" w:eastAsia="宋体" w:cs="宋体"/>
          <w:szCs w:val="21"/>
          <w:highlight w:val="none"/>
        </w:rPr>
        <w:tab/>
      </w:r>
      <w:r>
        <w:rPr>
          <w:rFonts w:hint="eastAsia" w:ascii="宋体" w:hAnsi="宋体" w:eastAsia="宋体" w:cs="宋体"/>
          <w:szCs w:val="21"/>
          <w:highlight w:val="none"/>
        </w:rPr>
        <w:t>由采购人制定考核标准，并以此为依据对</w:t>
      </w:r>
      <w:r>
        <w:rPr>
          <w:rFonts w:hint="eastAsia" w:ascii="宋体" w:hAnsi="宋体" w:eastAsia="宋体" w:cs="宋体"/>
          <w:color w:val="000000"/>
          <w:szCs w:val="21"/>
          <w:highlight w:val="none"/>
          <w:lang w:eastAsia="zh-CN"/>
        </w:rPr>
        <w:t>配备</w:t>
      </w:r>
      <w:r>
        <w:rPr>
          <w:rFonts w:hint="eastAsia" w:ascii="宋体" w:hAnsi="宋体" w:eastAsia="宋体" w:cs="宋体"/>
          <w:szCs w:val="21"/>
          <w:highlight w:val="none"/>
        </w:rPr>
        <w:t>人员进行每月考核。</w:t>
      </w:r>
    </w:p>
    <w:p>
      <w:pPr>
        <w:spacing w:line="240" w:lineRule="auto"/>
        <w:ind w:firstLine="422" w:firstLineChars="200"/>
        <w:rPr>
          <w:rFonts w:hint="eastAsia" w:ascii="宋体" w:hAnsi="宋体" w:eastAsia="宋体" w:cs="宋体"/>
          <w:b/>
          <w:szCs w:val="21"/>
        </w:rPr>
      </w:pPr>
      <w:r>
        <w:rPr>
          <w:rFonts w:hint="eastAsia" w:ascii="宋体" w:hAnsi="宋体" w:eastAsia="宋体" w:cs="宋体"/>
          <w:b/>
          <w:szCs w:val="21"/>
        </w:rPr>
        <w:t>5、服务质量要求</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5.1、采购人确定员工的名单后，由中标供应商确保5个工作日内办理完毕劳动签订手续、</w:t>
      </w:r>
      <w:r>
        <w:rPr>
          <w:rFonts w:hint="eastAsia" w:ascii="宋体" w:hAnsi="宋体" w:eastAsia="宋体" w:cs="宋体"/>
          <w:color w:val="000000"/>
          <w:szCs w:val="21"/>
          <w:lang w:eastAsia="zh-CN"/>
        </w:rPr>
        <w:t>配备</w:t>
      </w:r>
      <w:r>
        <w:rPr>
          <w:rFonts w:hint="eastAsia" w:ascii="宋体" w:hAnsi="宋体" w:eastAsia="宋体" w:cs="宋体"/>
          <w:szCs w:val="21"/>
        </w:rPr>
        <w:t>手续，及时向采购人</w:t>
      </w:r>
      <w:r>
        <w:rPr>
          <w:rFonts w:hint="eastAsia" w:ascii="宋体" w:hAnsi="宋体" w:eastAsia="宋体" w:cs="宋体"/>
          <w:color w:val="000000"/>
          <w:szCs w:val="21"/>
          <w:lang w:eastAsia="zh-CN"/>
        </w:rPr>
        <w:t>配备</w:t>
      </w:r>
      <w:r>
        <w:rPr>
          <w:rFonts w:hint="eastAsia" w:ascii="宋体" w:hAnsi="宋体" w:eastAsia="宋体" w:cs="宋体"/>
          <w:szCs w:val="21"/>
        </w:rPr>
        <w:t>。</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5.2、中标供应商应确保及时、准确、妥善的处理</w:t>
      </w:r>
      <w:r>
        <w:rPr>
          <w:rFonts w:hint="eastAsia" w:ascii="宋体" w:hAnsi="宋体" w:eastAsia="宋体" w:cs="宋体"/>
          <w:color w:val="000000"/>
          <w:szCs w:val="21"/>
          <w:lang w:eastAsia="zh-CN"/>
        </w:rPr>
        <w:t>配备</w:t>
      </w:r>
      <w:r>
        <w:rPr>
          <w:rFonts w:hint="eastAsia" w:ascii="宋体" w:hAnsi="宋体" w:eastAsia="宋体" w:cs="宋体"/>
          <w:szCs w:val="21"/>
        </w:rPr>
        <w:t>员工的薪酬管理、社保、及个税代扣代缴工作，避免发生劳动仲裁、诉讼事件。</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5.3、中标供应商应确保及时、准确、妥善的处理</w:t>
      </w:r>
      <w:r>
        <w:rPr>
          <w:rFonts w:hint="eastAsia" w:ascii="宋体" w:hAnsi="宋体" w:eastAsia="宋体" w:cs="宋体"/>
          <w:color w:val="000000"/>
          <w:szCs w:val="21"/>
          <w:lang w:eastAsia="zh-CN"/>
        </w:rPr>
        <w:t>配备</w:t>
      </w:r>
      <w:r>
        <w:rPr>
          <w:rFonts w:hint="eastAsia" w:ascii="宋体" w:hAnsi="宋体" w:eastAsia="宋体" w:cs="宋体"/>
          <w:szCs w:val="21"/>
        </w:rPr>
        <w:t>员工的档案管理、党员组织关系管理以及专业技术人员的职称申报、评定等工作，避免发生人事仲裁事件。</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5.4、中标供应商应确保和谐、稳妥的处理</w:t>
      </w:r>
      <w:r>
        <w:rPr>
          <w:rFonts w:hint="eastAsia" w:ascii="宋体" w:hAnsi="宋体" w:eastAsia="宋体" w:cs="宋体"/>
          <w:color w:val="000000"/>
          <w:szCs w:val="21"/>
          <w:lang w:eastAsia="zh-CN"/>
        </w:rPr>
        <w:t>配备</w:t>
      </w:r>
      <w:r>
        <w:rPr>
          <w:rFonts w:hint="eastAsia" w:ascii="宋体" w:hAnsi="宋体" w:eastAsia="宋体" w:cs="宋体"/>
          <w:szCs w:val="21"/>
        </w:rPr>
        <w:t>员工的劳动仲裁、劳动诉讼及人事仲裁事件，避免妨碍采购人的正常工作或给采购人带来不利社会影响。</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5.5、中标供应商与</w:t>
      </w:r>
      <w:r>
        <w:rPr>
          <w:rFonts w:hint="eastAsia" w:ascii="宋体" w:hAnsi="宋体" w:eastAsia="宋体" w:cs="宋体"/>
          <w:color w:val="000000"/>
          <w:szCs w:val="21"/>
          <w:lang w:eastAsia="zh-CN"/>
        </w:rPr>
        <w:t>配备</w:t>
      </w:r>
      <w:r>
        <w:rPr>
          <w:rFonts w:hint="eastAsia" w:ascii="宋体" w:hAnsi="宋体" w:eastAsia="宋体" w:cs="宋体"/>
          <w:szCs w:val="21"/>
        </w:rPr>
        <w:t>员工确定聘用关系后（提供相应的证明材料），须将该材料原件提供至采购人备案后方可成立。</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5.6、</w:t>
      </w:r>
      <w:r>
        <w:rPr>
          <w:rFonts w:hint="eastAsia" w:ascii="宋体" w:hAnsi="宋体" w:eastAsia="宋体" w:cs="宋体"/>
          <w:color w:val="000000"/>
          <w:szCs w:val="21"/>
          <w:lang w:eastAsia="zh-CN"/>
        </w:rPr>
        <w:t>配备</w:t>
      </w:r>
      <w:r>
        <w:rPr>
          <w:rFonts w:hint="eastAsia" w:ascii="宋体" w:hAnsi="宋体" w:eastAsia="宋体" w:cs="宋体"/>
          <w:szCs w:val="21"/>
        </w:rPr>
        <w:t>员工在用工单位因工作遭受事故伤害的，中标供应商应当依法申请工伤认定，采购人应当协助工伤认定的调查核实工作。中标供应商承担工伤保险责任。</w:t>
      </w:r>
    </w:p>
    <w:p>
      <w:pPr>
        <w:spacing w:line="24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6、</w:t>
      </w:r>
      <w:bookmarkStart w:id="218" w:name="_Toc447271490"/>
      <w:r>
        <w:rPr>
          <w:rFonts w:hint="eastAsia" w:ascii="宋体" w:hAnsi="宋体" w:eastAsia="宋体" w:cs="宋体"/>
          <w:b/>
          <w:color w:val="000000"/>
          <w:szCs w:val="21"/>
        </w:rPr>
        <w:t>投标报价</w:t>
      </w:r>
      <w:bookmarkEnd w:id="218"/>
    </w:p>
    <w:p>
      <w:pPr>
        <w:tabs>
          <w:tab w:val="left" w:pos="2426"/>
        </w:tabs>
        <w:spacing w:line="240" w:lineRule="auto"/>
        <w:ind w:firstLine="420" w:firstLineChars="200"/>
        <w:rPr>
          <w:rFonts w:hint="eastAsia" w:ascii="宋体" w:hAnsi="宋体" w:eastAsia="宋体" w:cs="宋体"/>
          <w:szCs w:val="21"/>
        </w:rPr>
      </w:pPr>
      <w:r>
        <w:rPr>
          <w:rFonts w:hint="eastAsia" w:ascii="宋体" w:hAnsi="宋体" w:eastAsia="宋体" w:cs="宋体"/>
          <w:szCs w:val="21"/>
        </w:rPr>
        <w:t>6.1、本项目的费用包含：人员经费：含薪酬、奖金、劳保福利、社保、意外保险、工伤费、延长工作时间加班费、教育培训费、工作餐费、服装摊销费和法律法规规定的劳动福利待遇，企业应缴税金和应得利润，应急等完成合同所需的一切本身和不可或缺的所有工作开支、政策性文件规定计合同包含的所有风险、责任等各项全部费用。</w:t>
      </w:r>
    </w:p>
    <w:p>
      <w:pPr>
        <w:tabs>
          <w:tab w:val="left" w:pos="2426"/>
        </w:tabs>
        <w:spacing w:line="240" w:lineRule="auto"/>
        <w:ind w:firstLine="420" w:firstLineChars="200"/>
        <w:rPr>
          <w:rFonts w:hint="eastAsia" w:ascii="宋体" w:hAnsi="宋体" w:eastAsia="宋体" w:cs="宋体"/>
          <w:szCs w:val="21"/>
          <w:lang w:eastAsia="zh-CN"/>
        </w:rPr>
      </w:pPr>
      <w:r>
        <w:rPr>
          <w:rFonts w:hint="eastAsia" w:ascii="宋体" w:hAnsi="宋体" w:eastAsia="宋体" w:cs="宋体"/>
          <w:szCs w:val="21"/>
        </w:rPr>
        <w:t>6.2、本项目的服务费采用费用</w:t>
      </w:r>
      <w:r>
        <w:rPr>
          <w:rFonts w:hint="eastAsia" w:ascii="宋体" w:hAnsi="宋体" w:eastAsia="宋体" w:cs="宋体"/>
          <w:szCs w:val="21"/>
          <w:lang w:val="en-US" w:eastAsia="zh-CN"/>
        </w:rPr>
        <w:t>按实结算</w:t>
      </w:r>
      <w:r>
        <w:rPr>
          <w:rFonts w:hint="eastAsia" w:ascii="宋体" w:hAnsi="宋体" w:eastAsia="宋体" w:cs="宋体"/>
          <w:szCs w:val="21"/>
        </w:rPr>
        <w:t>方式服务，投标供应商应根据项目要求和现场情况，详细列明项目所需的人力、物力、财力等,以及所有人工、管理、财务、税金等所有费用，如一旦中标，在服务过程中出现任何遗漏，均由中标供应商免费提供，采购人不再支付任何费用</w:t>
      </w:r>
      <w:r>
        <w:rPr>
          <w:rFonts w:hint="eastAsia" w:ascii="宋体" w:hAnsi="宋体" w:eastAsia="宋体" w:cs="宋体"/>
          <w:szCs w:val="21"/>
          <w:lang w:eastAsia="zh-CN"/>
        </w:rPr>
        <w:t>。</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6.3、本项目投标报价实行综合总价，投标供应商报价应为承包完成上述所规定服务内容的全部工作所发生的管理费，并承担一切风险责任。投标供应商应从特点，市场行情及自身的能力，技术、管理水平，确定最终报价。</w:t>
      </w:r>
    </w:p>
    <w:p>
      <w:pPr>
        <w:spacing w:line="24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7、</w:t>
      </w:r>
      <w:bookmarkStart w:id="219" w:name="_Toc447271491"/>
      <w:r>
        <w:rPr>
          <w:rFonts w:hint="eastAsia" w:ascii="宋体" w:hAnsi="宋体" w:eastAsia="宋体" w:cs="宋体"/>
          <w:b/>
          <w:color w:val="000000"/>
          <w:szCs w:val="21"/>
          <w:highlight w:val="none"/>
        </w:rPr>
        <w:t>付款方式</w:t>
      </w:r>
      <w:bookmarkEnd w:id="219"/>
    </w:p>
    <w:p>
      <w:pPr>
        <w:spacing w:line="24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7.</w:t>
      </w: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rPr>
        <w:t>、付款方式为先服务后支付，半年支付一次，中标供应商凭正式税务</w:t>
      </w:r>
      <w:r>
        <w:rPr>
          <w:rFonts w:hint="eastAsia" w:ascii="宋体" w:hAnsi="宋体" w:eastAsia="宋体" w:cs="宋体"/>
          <w:b/>
          <w:szCs w:val="21"/>
          <w:highlight w:val="none"/>
          <w:lang w:val="en-US" w:eastAsia="zh-CN"/>
        </w:rPr>
        <w:t>增值税专用</w:t>
      </w:r>
      <w:r>
        <w:rPr>
          <w:rFonts w:hint="eastAsia" w:ascii="宋体" w:hAnsi="宋体" w:eastAsia="宋体" w:cs="宋体"/>
          <w:b/>
          <w:szCs w:val="21"/>
          <w:highlight w:val="none"/>
        </w:rPr>
        <w:t>发票向采购人结算</w:t>
      </w:r>
      <w:r>
        <w:rPr>
          <w:rFonts w:hint="eastAsia" w:ascii="宋体" w:hAnsi="宋体" w:eastAsia="宋体" w:cs="宋体"/>
          <w:b/>
          <w:szCs w:val="21"/>
          <w:highlight w:val="none"/>
          <w:lang w:val="en-US" w:eastAsia="zh-CN"/>
        </w:rPr>
        <w:t>费用</w:t>
      </w:r>
      <w:r>
        <w:rPr>
          <w:rFonts w:hint="eastAsia" w:ascii="宋体" w:hAnsi="宋体" w:eastAsia="宋体" w:cs="宋体"/>
          <w:b/>
          <w:szCs w:val="21"/>
          <w:highlight w:val="none"/>
        </w:rPr>
        <w:t>，按实结算</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最后一次费用在合同结束前提前支付。</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lang w:eastAsia="zh-CN"/>
        </w:rPr>
        <w:t>温州市高速公路资产经营有限公司</w:t>
      </w:r>
      <w:r>
        <w:rPr>
          <w:rFonts w:hint="eastAsia" w:ascii="宋体" w:hAnsi="宋体" w:eastAsia="宋体" w:cs="宋体"/>
          <w:szCs w:val="21"/>
        </w:rPr>
        <w:t>可随时根据实际情况进行核实，一经发现存在克扣员工工资及福利或者拖欠员工工资问题及福利将按照相关要求及法律规定对相关责任人严肃查处。</w:t>
      </w:r>
      <w:bookmarkEnd w:id="217"/>
    </w:p>
    <w:p>
      <w:pPr>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lang w:val="en-US" w:eastAsia="zh-CN"/>
        </w:rPr>
        <w:t>8、陶山服务区原“瓯江红·畅美高速”党群服务中心物业服务合同已于2023年12月31日到期，因政策处理等原因造成本项目采购招标进度滞后。经协商，本项目新中标人进场服务前，陶山服务区“瓯江红·畅美高速”党群服务中心物业服务仍需原承包单位继续运营服务，原承包单位继续服务时间预计为2024年1月1日--2024年3月31日。此期间的服务费金额以原承包人与采购人签订的合同金额为准（原合同金额预估为203820元/年），并由新中标人支付给原承包单位。因此请各投标人投标报价时，投标总价中必须充分考虑该费用，并在中标后按照规定支付该笔费用</w:t>
      </w:r>
      <w:r>
        <w:rPr>
          <w:rFonts w:hint="eastAsia" w:ascii="宋体" w:hAnsi="宋体" w:eastAsia="宋体" w:cs="宋体"/>
          <w:b/>
          <w:bCs/>
          <w:color w:val="auto"/>
          <w:sz w:val="21"/>
          <w:szCs w:val="21"/>
          <w:highlight w:val="none"/>
          <w:lang w:val="en-US" w:eastAsia="zh-CN"/>
        </w:rPr>
        <w:t>。</w:t>
      </w:r>
    </w:p>
    <w:p>
      <w:pPr>
        <w:widowControl/>
        <w:numPr>
          <w:ilvl w:val="0"/>
          <w:numId w:val="0"/>
        </w:numPr>
        <w:tabs>
          <w:tab w:val="left" w:pos="640"/>
        </w:tabs>
        <w:spacing w:line="240" w:lineRule="auto"/>
        <w:ind w:leftChars="0" w:firstLine="632" w:firstLineChars="300"/>
        <w:jc w:val="left"/>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第一年度的服务期自2024年1月1日份开始计算。</w:t>
      </w:r>
    </w:p>
    <w:p>
      <w:pPr>
        <w:spacing w:line="240" w:lineRule="auto"/>
        <w:ind w:firstLine="422" w:firstLineChars="200"/>
        <w:rPr>
          <w:rFonts w:hint="eastAsia" w:ascii="宋体" w:hAnsi="宋体" w:eastAsia="宋体" w:cs="宋体"/>
          <w:b/>
          <w:bCs/>
          <w:highlight w:val="none"/>
        </w:rPr>
      </w:pPr>
      <w:bookmarkStart w:id="220" w:name="OLE_LINK31"/>
      <w:bookmarkStart w:id="221" w:name="OLE_LINK32"/>
      <w:r>
        <w:rPr>
          <w:rFonts w:hint="eastAsia" w:ascii="宋体" w:hAnsi="宋体" w:eastAsia="宋体" w:cs="宋体"/>
          <w:b/>
          <w:bCs/>
          <w:highlight w:val="none"/>
          <w:lang w:val="en-US" w:eastAsia="zh-CN"/>
        </w:rPr>
        <w:t>9、其他：详见合同条款</w:t>
      </w:r>
    </w:p>
    <w:bookmarkEnd w:id="202"/>
    <w:bookmarkEnd w:id="203"/>
    <w:bookmarkEnd w:id="220"/>
    <w:bookmarkEnd w:id="221"/>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keepNex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评标原则及方法</w:t>
      </w:r>
      <w:bookmarkEnd w:id="199"/>
      <w:bookmarkEnd w:id="200"/>
      <w:bookmarkEnd w:id="201"/>
      <w:bookmarkEnd w:id="204"/>
      <w:bookmarkEnd w:id="205"/>
      <w:bookmarkEnd w:id="206"/>
      <w:bookmarkEnd w:id="207"/>
      <w:bookmarkEnd w:id="208"/>
      <w:bookmarkEnd w:id="209"/>
      <w:bookmarkEnd w:id="210"/>
      <w:bookmarkEnd w:id="211"/>
      <w:bookmarkEnd w:id="212"/>
      <w:bookmarkEnd w:id="213"/>
      <w:bookmarkEnd w:id="214"/>
      <w:bookmarkEnd w:id="215"/>
      <w:bookmarkEnd w:id="216"/>
    </w:p>
    <w:p>
      <w:pPr>
        <w:jc w:val="center"/>
        <w:rPr>
          <w:rFonts w:hint="eastAsia" w:ascii="宋体" w:hAnsi="宋体" w:eastAsia="宋体" w:cs="宋体"/>
          <w:color w:val="auto"/>
          <w:sz w:val="22"/>
          <w:highlight w:val="none"/>
        </w:rPr>
      </w:pP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本项目属非政府采购项目，根据《温州市市属国有企业采购管理办法（试行）》等有关法规、规定，结合本项目的实际，按照公平、公正、科学、择优的原则选择中标单位，特制定本评标办法。</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一、总则</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二、评标组织</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三、评标程序</w:t>
      </w:r>
    </w:p>
    <w:p>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1、本项目评标的依据为采购文件和投标文件。</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color w:val="auto"/>
          <w:kern w:val="0"/>
          <w:sz w:val="22"/>
          <w:highlight w:val="none"/>
        </w:rPr>
        <w:t>2、先熟悉采购文件和评</w:t>
      </w:r>
      <w:r>
        <w:rPr>
          <w:rFonts w:hint="eastAsia" w:ascii="宋体" w:hAnsi="宋体" w:eastAsia="宋体" w:cs="宋体"/>
          <w:snapToGrid w:val="0"/>
          <w:kern w:val="0"/>
          <w:sz w:val="22"/>
          <w:highlight w:val="none"/>
        </w:rPr>
        <w:t>标办法。</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3、投标文件的初审：初审分为资格性检查和符合性检查。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（1）资格性检查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依据法律法规和采购文件的规定，对投标文件中的资格条件、投标保证金等进行审查，以确定投标人是否具备投标资格。</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4、澄清有关问题</w:t>
      </w:r>
    </w:p>
    <w:p>
      <w:pPr>
        <w:adjustRightInd w:val="0"/>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在</w:t>
      </w:r>
      <w:r>
        <w:rPr>
          <w:rFonts w:hint="eastAsia" w:ascii="宋体" w:hAnsi="宋体" w:eastAsia="宋体" w:cs="宋体"/>
          <w:snapToGrid w:val="0"/>
          <w:kern w:val="0"/>
          <w:sz w:val="22"/>
          <w:highlight w:val="none"/>
        </w:rPr>
        <w:t>评标</w:t>
      </w:r>
      <w:r>
        <w:rPr>
          <w:rFonts w:hint="eastAsia" w:ascii="宋体" w:hAnsi="宋体" w:eastAsia="宋体" w:cs="宋体"/>
          <w:sz w:val="22"/>
          <w:highlight w:val="none"/>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highlight w:val="none"/>
        </w:rPr>
        <w:t>并非对每个投标人都要求做澄清</w:t>
      </w:r>
      <w:r>
        <w:rPr>
          <w:rFonts w:hint="eastAsia" w:ascii="宋体" w:hAnsi="宋体" w:eastAsia="宋体" w:cs="宋体"/>
          <w:sz w:val="22"/>
          <w:highlight w:val="none"/>
        </w:rPr>
        <w:t>、说明或补正）。澄清、说明或补正应以书面形式并由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5、比较与评价：评标委员会按采购文件中规定的评标方法和标准，对初审检查合格的投标文件进行商务（报价）和技术资信评估、综合比较与评价，并按照评标细则进行打分。</w:t>
      </w:r>
    </w:p>
    <w:p>
      <w:pPr>
        <w:adjustRightInd w:val="0"/>
        <w:snapToGrid w:val="0"/>
        <w:ind w:firstLine="440" w:firstLineChars="200"/>
        <w:rPr>
          <w:rFonts w:hint="eastAsia" w:ascii="宋体" w:hAnsi="宋体" w:eastAsia="宋体" w:cs="宋体"/>
          <w:szCs w:val="24"/>
          <w:highlight w:val="none"/>
        </w:rPr>
      </w:pPr>
      <w:r>
        <w:rPr>
          <w:rFonts w:hint="eastAsia" w:ascii="宋体" w:hAnsi="宋体" w:eastAsia="宋体" w:cs="宋体"/>
          <w:snapToGrid w:val="0"/>
          <w:kern w:val="0"/>
          <w:sz w:val="22"/>
          <w:highlight w:val="none"/>
        </w:rPr>
        <w:t>6、推荐中标候选人：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在所有得分均相同者中随机抽取其中一名为名次优先者）。</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7、完成评标报告。评标报告是评标委员会根据全体评标成员签字的原始评标记录和评标结果编写的报告。</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四、评标办法</w:t>
      </w:r>
    </w:p>
    <w:p>
      <w:pPr>
        <w:ind w:firstLine="440" w:firstLineChars="200"/>
        <w:rPr>
          <w:rFonts w:hint="eastAsia" w:ascii="宋体" w:hAnsi="宋体" w:eastAsia="宋体" w:cs="宋体"/>
          <w:sz w:val="22"/>
          <w:highlight w:val="none"/>
        </w:rPr>
      </w:pPr>
      <w:r>
        <w:rPr>
          <w:rFonts w:hint="eastAsia" w:ascii="宋体" w:hAnsi="宋体" w:eastAsia="宋体" w:cs="宋体"/>
          <w:sz w:val="22"/>
          <w:szCs w:val="24"/>
          <w:highlight w:val="none"/>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w:t>
      </w:r>
      <w:r>
        <w:rPr>
          <w:rFonts w:hint="eastAsia" w:ascii="宋体" w:hAnsi="宋体" w:eastAsia="宋体" w:cs="宋体"/>
          <w:sz w:val="22"/>
          <w:szCs w:val="24"/>
          <w:highlight w:val="none"/>
          <w:lang w:val="en-US" w:eastAsia="zh-CN"/>
        </w:rPr>
        <w:t>90</w:t>
      </w:r>
      <w:r>
        <w:rPr>
          <w:rFonts w:hint="eastAsia" w:ascii="宋体" w:hAnsi="宋体" w:eastAsia="宋体" w:cs="宋体"/>
          <w:sz w:val="22"/>
          <w:szCs w:val="24"/>
          <w:highlight w:val="none"/>
        </w:rPr>
        <w:t>分，商务（报价）分</w:t>
      </w:r>
      <w:r>
        <w:rPr>
          <w:rFonts w:hint="eastAsia" w:ascii="宋体" w:hAnsi="宋体" w:eastAsia="宋体" w:cs="宋体"/>
          <w:sz w:val="22"/>
          <w:szCs w:val="24"/>
          <w:highlight w:val="none"/>
          <w:lang w:val="en-US" w:eastAsia="zh-CN"/>
        </w:rPr>
        <w:t>10</w:t>
      </w:r>
      <w:r>
        <w:rPr>
          <w:rFonts w:hint="eastAsia" w:ascii="宋体" w:hAnsi="宋体" w:eastAsia="宋体" w:cs="宋体"/>
          <w:sz w:val="22"/>
          <w:szCs w:val="24"/>
          <w:highlight w:val="none"/>
        </w:rPr>
        <w:t>分。</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五、评分细则</w:t>
      </w:r>
    </w:p>
    <w:p>
      <w:pPr>
        <w:adjustRightInd w:val="0"/>
        <w:snapToGrid w:val="0"/>
        <w:rPr>
          <w:rFonts w:hint="eastAsia" w:ascii="宋体" w:hAnsi="宋体" w:eastAsia="宋体" w:cs="宋体"/>
          <w:b/>
          <w:bCs/>
          <w:color w:val="auto"/>
          <w:sz w:val="22"/>
          <w:highlight w:val="none"/>
        </w:rPr>
      </w:pPr>
      <w:r>
        <w:rPr>
          <w:rFonts w:hint="eastAsia" w:ascii="宋体" w:hAnsi="宋体" w:eastAsia="宋体" w:cs="宋体"/>
          <w:b/>
          <w:bCs/>
          <w:sz w:val="22"/>
          <w:highlight w:val="none"/>
        </w:rPr>
        <w:t>1、技术资信评审分值（</w:t>
      </w:r>
      <w:r>
        <w:rPr>
          <w:rFonts w:hint="eastAsia" w:ascii="宋体" w:hAnsi="宋体" w:eastAsia="宋体" w:cs="宋体"/>
          <w:b/>
          <w:bCs/>
          <w:sz w:val="22"/>
          <w:highlight w:val="none"/>
          <w:lang w:val="en-US" w:eastAsia="zh-CN"/>
        </w:rPr>
        <w:t>9</w:t>
      </w:r>
      <w:r>
        <w:rPr>
          <w:rFonts w:hint="eastAsia" w:ascii="宋体" w:hAnsi="宋体" w:eastAsia="宋体" w:cs="宋体"/>
          <w:b/>
          <w:bCs/>
          <w:color w:val="auto"/>
          <w:sz w:val="22"/>
          <w:highlight w:val="none"/>
          <w:lang w:val="en-US" w:eastAsia="zh-CN"/>
        </w:rPr>
        <w:t>0</w:t>
      </w:r>
      <w:r>
        <w:rPr>
          <w:rFonts w:hint="eastAsia" w:ascii="宋体" w:hAnsi="宋体" w:eastAsia="宋体" w:cs="宋体"/>
          <w:b/>
          <w:bCs/>
          <w:color w:val="auto"/>
          <w:sz w:val="22"/>
          <w:highlight w:val="none"/>
        </w:rPr>
        <w:t>分）</w:t>
      </w:r>
    </w:p>
    <w:p>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5"/>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143"/>
        <w:gridCol w:w="598"/>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47" w:type="dxa"/>
            <w:noWrap w:val="0"/>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143" w:type="dxa"/>
            <w:noWrap w:val="0"/>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rPr>
              <w:t>评定项目</w:t>
            </w:r>
          </w:p>
        </w:tc>
        <w:tc>
          <w:tcPr>
            <w:tcW w:w="598" w:type="dxa"/>
            <w:noWrap w:val="0"/>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满</w:t>
            </w:r>
            <w:r>
              <w:rPr>
                <w:rFonts w:hint="eastAsia" w:ascii="宋体" w:hAnsi="宋体" w:eastAsia="宋体" w:cs="宋体"/>
                <w:sz w:val="18"/>
                <w:szCs w:val="18"/>
              </w:rPr>
              <w:t>分值</w:t>
            </w:r>
          </w:p>
        </w:tc>
        <w:tc>
          <w:tcPr>
            <w:tcW w:w="6698" w:type="dxa"/>
            <w:noWrap w:val="0"/>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dxa"/>
            <w:noWrap w:val="0"/>
            <w:vAlign w:val="center"/>
          </w:tcPr>
          <w:p>
            <w:pPr>
              <w:numPr>
                <w:ilvl w:val="0"/>
                <w:numId w:val="36"/>
              </w:numPr>
              <w:bidi w:val="0"/>
              <w:ind w:left="425" w:leftChars="0" w:hanging="425" w:firstLineChars="0"/>
              <w:jc w:val="center"/>
              <w:rPr>
                <w:rFonts w:hint="eastAsia" w:ascii="宋体" w:hAnsi="宋体" w:eastAsia="宋体" w:cs="宋体"/>
                <w:sz w:val="18"/>
                <w:szCs w:val="18"/>
              </w:rPr>
            </w:pPr>
          </w:p>
        </w:tc>
        <w:tc>
          <w:tcPr>
            <w:tcW w:w="1143" w:type="dxa"/>
            <w:noWrap w:val="0"/>
            <w:vAlign w:val="center"/>
          </w:tcPr>
          <w:p>
            <w:pPr>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投标人获得荣誉</w:t>
            </w:r>
          </w:p>
        </w:tc>
        <w:tc>
          <w:tcPr>
            <w:tcW w:w="598" w:type="dxa"/>
            <w:noWrap w:val="0"/>
            <w:vAlign w:val="center"/>
          </w:tcPr>
          <w:p>
            <w:pPr>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6</w:t>
            </w:r>
          </w:p>
        </w:tc>
        <w:tc>
          <w:tcPr>
            <w:tcW w:w="6698" w:type="dxa"/>
            <w:noWrap w:val="0"/>
            <w:vAlign w:val="center"/>
          </w:tcPr>
          <w:p>
            <w:pPr>
              <w:adjustRightInd w:val="0"/>
              <w:snapToGrid w:val="0"/>
              <w:spacing w:line="240" w:lineRule="auto"/>
              <w:rPr>
                <w:rFonts w:hint="eastAsia" w:ascii="宋体" w:hAnsi="宋体" w:eastAsia="宋体" w:cs="宋体"/>
                <w:snapToGrid w:val="0"/>
                <w:color w:val="auto"/>
                <w:kern w:val="0"/>
                <w:sz w:val="18"/>
                <w:szCs w:val="18"/>
                <w:highlight w:val="none"/>
                <w:lang w:eastAsia="zh-CN"/>
              </w:rPr>
            </w:pPr>
            <w:r>
              <w:rPr>
                <w:rFonts w:hint="eastAsia" w:ascii="宋体" w:hAnsi="宋体" w:eastAsia="宋体" w:cs="宋体"/>
                <w:snapToGrid w:val="0"/>
                <w:color w:val="auto"/>
                <w:kern w:val="0"/>
                <w:sz w:val="18"/>
                <w:szCs w:val="18"/>
                <w:highlight w:val="none"/>
              </w:rPr>
              <w:t>201</w:t>
            </w:r>
            <w:r>
              <w:rPr>
                <w:rFonts w:hint="eastAsia" w:ascii="宋体" w:hAnsi="宋体" w:eastAsia="宋体" w:cs="宋体"/>
                <w:snapToGrid w:val="0"/>
                <w:color w:val="auto"/>
                <w:kern w:val="0"/>
                <w:sz w:val="18"/>
                <w:szCs w:val="18"/>
                <w:highlight w:val="none"/>
                <w:lang w:val="en-US" w:eastAsia="zh-CN"/>
              </w:rPr>
              <w:t>6年1月1日</w:t>
            </w:r>
            <w:r>
              <w:rPr>
                <w:rFonts w:hint="eastAsia" w:ascii="宋体" w:hAnsi="宋体" w:eastAsia="宋体" w:cs="宋体"/>
                <w:snapToGrid w:val="0"/>
                <w:color w:val="auto"/>
                <w:kern w:val="0"/>
                <w:sz w:val="18"/>
                <w:szCs w:val="18"/>
                <w:highlight w:val="none"/>
              </w:rPr>
              <w:t>以来企业获得区级（含区级）以上人民政府或部门颁发的各种荣誉的</w:t>
            </w:r>
            <w:r>
              <w:rPr>
                <w:rFonts w:hint="eastAsia" w:ascii="宋体" w:hAnsi="宋体" w:eastAsia="宋体" w:cs="宋体"/>
                <w:snapToGrid w:val="0"/>
                <w:color w:val="auto"/>
                <w:kern w:val="0"/>
                <w:sz w:val="18"/>
                <w:szCs w:val="18"/>
                <w:highlight w:val="none"/>
                <w:lang w:val="en-US" w:eastAsia="zh-CN"/>
              </w:rPr>
              <w:t>2</w:t>
            </w:r>
            <w:r>
              <w:rPr>
                <w:rFonts w:hint="eastAsia" w:ascii="宋体" w:hAnsi="宋体" w:eastAsia="宋体" w:cs="宋体"/>
                <w:snapToGrid w:val="0"/>
                <w:color w:val="auto"/>
                <w:kern w:val="0"/>
                <w:sz w:val="18"/>
                <w:szCs w:val="18"/>
                <w:highlight w:val="none"/>
              </w:rPr>
              <w:t>分/个，最高</w:t>
            </w:r>
            <w:r>
              <w:rPr>
                <w:rFonts w:hint="eastAsia" w:ascii="宋体" w:hAnsi="宋体" w:eastAsia="宋体" w:cs="宋体"/>
                <w:snapToGrid w:val="0"/>
                <w:color w:val="auto"/>
                <w:kern w:val="0"/>
                <w:sz w:val="18"/>
                <w:szCs w:val="18"/>
                <w:highlight w:val="none"/>
                <w:lang w:val="en-US" w:eastAsia="zh-CN"/>
              </w:rPr>
              <w:t>6</w:t>
            </w:r>
            <w:r>
              <w:rPr>
                <w:rFonts w:hint="eastAsia" w:ascii="宋体" w:hAnsi="宋体" w:eastAsia="宋体" w:cs="宋体"/>
                <w:snapToGrid w:val="0"/>
                <w:color w:val="auto"/>
                <w:kern w:val="0"/>
                <w:sz w:val="18"/>
                <w:szCs w:val="18"/>
                <w:highlight w:val="none"/>
              </w:rPr>
              <w:t>分（管理项目荣誉不计，同类荣誉不累计计分）</w:t>
            </w:r>
            <w:r>
              <w:rPr>
                <w:rFonts w:hint="eastAsia" w:ascii="宋体" w:hAnsi="宋体" w:eastAsia="宋体" w:cs="宋体"/>
                <w:snapToGrid w:val="0"/>
                <w:color w:val="auto"/>
                <w:kern w:val="0"/>
                <w:sz w:val="18"/>
                <w:szCs w:val="18"/>
                <w:highlight w:val="none"/>
                <w:lang w:eastAsia="zh-CN"/>
              </w:rPr>
              <w:t>。</w:t>
            </w:r>
          </w:p>
          <w:p>
            <w:pPr>
              <w:adjustRightInd w:val="0"/>
              <w:snapToGrid w:val="0"/>
              <w:spacing w:line="240" w:lineRule="auto"/>
              <w:rPr>
                <w:rFonts w:hint="eastAsia" w:ascii="宋体" w:hAnsi="宋体" w:eastAsia="宋体" w:cs="宋体"/>
                <w:snapToGrid w:val="0"/>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须提供有效证明文件复印件加盖单位盖章，没有的不得分</w:t>
            </w:r>
            <w:r>
              <w:rPr>
                <w:rFonts w:hint="eastAsia" w:ascii="宋体" w:hAnsi="宋体" w:eastAsia="宋体" w:cs="宋体"/>
                <w:color w:val="auto"/>
                <w:ker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dxa"/>
            <w:noWrap w:val="0"/>
            <w:vAlign w:val="center"/>
          </w:tcPr>
          <w:p>
            <w:pPr>
              <w:numPr>
                <w:ilvl w:val="0"/>
                <w:numId w:val="36"/>
              </w:numPr>
              <w:bidi w:val="0"/>
              <w:ind w:left="425" w:leftChars="0" w:hanging="425" w:firstLineChars="0"/>
              <w:jc w:val="center"/>
              <w:rPr>
                <w:rFonts w:hint="eastAsia" w:ascii="宋体" w:hAnsi="宋体" w:eastAsia="宋体" w:cs="宋体"/>
                <w:sz w:val="18"/>
                <w:szCs w:val="18"/>
              </w:rPr>
            </w:pPr>
          </w:p>
        </w:tc>
        <w:tc>
          <w:tcPr>
            <w:tcW w:w="1143" w:type="dxa"/>
            <w:noWrap w:val="0"/>
            <w:vAlign w:val="center"/>
          </w:tcPr>
          <w:p>
            <w:pPr>
              <w:adjustRightInd w:val="0"/>
              <w:snapToGrid w:val="0"/>
              <w:spacing w:line="240" w:lineRule="auto"/>
              <w:ind w:left="-34" w:lef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投标人</w:t>
            </w:r>
            <w:r>
              <w:rPr>
                <w:rFonts w:hint="eastAsia" w:ascii="宋体" w:hAnsi="宋体" w:eastAsia="宋体" w:cs="宋体"/>
                <w:color w:val="auto"/>
                <w:kern w:val="0"/>
                <w:sz w:val="18"/>
                <w:szCs w:val="18"/>
                <w:highlight w:val="none"/>
              </w:rPr>
              <w:t>项目获奖情况</w:t>
            </w:r>
          </w:p>
        </w:tc>
        <w:tc>
          <w:tcPr>
            <w:tcW w:w="598" w:type="dxa"/>
            <w:noWrap w:val="0"/>
            <w:vAlign w:val="center"/>
          </w:tcPr>
          <w:p>
            <w:pPr>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6698" w:type="dxa"/>
            <w:noWrap w:val="0"/>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2016年1月</w:t>
            </w:r>
            <w:r>
              <w:rPr>
                <w:rFonts w:hint="eastAsia" w:ascii="宋体" w:hAnsi="宋体" w:eastAsia="宋体" w:cs="宋体"/>
                <w:color w:val="auto"/>
                <w:kern w:val="0"/>
                <w:sz w:val="18"/>
                <w:szCs w:val="18"/>
                <w:highlight w:val="none"/>
                <w:lang w:val="en-US" w:eastAsia="zh-CN"/>
              </w:rPr>
              <w:t>1日以来</w:t>
            </w:r>
            <w:r>
              <w:rPr>
                <w:rFonts w:hint="eastAsia" w:ascii="宋体" w:hAnsi="宋体" w:eastAsia="宋体" w:cs="宋体"/>
                <w:color w:val="auto"/>
                <w:kern w:val="0"/>
                <w:sz w:val="18"/>
                <w:szCs w:val="18"/>
                <w:highlight w:val="none"/>
              </w:rPr>
              <w:t>公共场所项目获部级物业管理示范项目或复评通过的，得3分；获省示范或复评通过的，得2分，获市示范或复评通过的，得1分。</w:t>
            </w:r>
          </w:p>
          <w:p>
            <w:pPr>
              <w:adjustRightInd w:val="0"/>
              <w:snapToGrid w:val="0"/>
              <w:spacing w:line="240" w:lineRule="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注：</w:t>
            </w:r>
            <w:r>
              <w:rPr>
                <w:rFonts w:hint="eastAsia" w:ascii="宋体" w:hAnsi="宋体" w:eastAsia="宋体" w:cs="宋体"/>
                <w:color w:val="auto"/>
                <w:kern w:val="0"/>
                <w:sz w:val="18"/>
                <w:szCs w:val="18"/>
                <w:highlight w:val="none"/>
              </w:rPr>
              <w:t>各项目获奖情况不累计计分，仅取最高奖项，即不同项目获得不同荣誉称号，仅取最高荣誉计分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须提供有效证明文件复印件加盖单位盖章，没有的不得分</w:t>
            </w:r>
            <w:r>
              <w:rPr>
                <w:rFonts w:hint="eastAsia" w:ascii="宋体" w:hAnsi="宋体" w:eastAsia="宋体" w:cs="宋体"/>
                <w:color w:val="auto"/>
                <w:ker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dxa"/>
            <w:noWrap w:val="0"/>
            <w:vAlign w:val="center"/>
          </w:tcPr>
          <w:p>
            <w:pPr>
              <w:numPr>
                <w:ilvl w:val="0"/>
                <w:numId w:val="36"/>
              </w:numPr>
              <w:bidi w:val="0"/>
              <w:ind w:left="425" w:leftChars="0" w:hanging="425" w:firstLineChars="0"/>
              <w:rPr>
                <w:rFonts w:hint="eastAsia" w:ascii="宋体" w:hAnsi="宋体" w:eastAsia="宋体" w:cs="宋体"/>
                <w:sz w:val="18"/>
                <w:szCs w:val="18"/>
              </w:rPr>
            </w:pPr>
          </w:p>
        </w:tc>
        <w:tc>
          <w:tcPr>
            <w:tcW w:w="1143" w:type="dxa"/>
            <w:vMerge w:val="restart"/>
            <w:noWrap w:val="0"/>
            <w:vAlign w:val="center"/>
          </w:tcPr>
          <w:p>
            <w:pPr>
              <w:bidi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本项目工作流程及介入的实施方案</w:t>
            </w:r>
          </w:p>
        </w:tc>
        <w:tc>
          <w:tcPr>
            <w:tcW w:w="598" w:type="dxa"/>
            <w:noWrap w:val="0"/>
            <w:vAlign w:val="center"/>
          </w:tcPr>
          <w:p>
            <w:pPr>
              <w:bidi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15</w:t>
            </w:r>
          </w:p>
        </w:tc>
        <w:tc>
          <w:tcPr>
            <w:tcW w:w="6698" w:type="dxa"/>
            <w:noWrap w:val="0"/>
            <w:vAlign w:val="center"/>
          </w:tcPr>
          <w:p>
            <w:pPr>
              <w:bidi w:val="0"/>
              <w:rPr>
                <w:rFonts w:hint="eastAsia" w:ascii="宋体" w:hAnsi="宋体" w:eastAsia="宋体" w:cs="宋体"/>
                <w:sz w:val="18"/>
                <w:szCs w:val="18"/>
                <w:highlight w:val="none"/>
              </w:rPr>
            </w:pPr>
            <w:r>
              <w:rPr>
                <w:rFonts w:hint="eastAsia" w:ascii="宋体" w:hAnsi="宋体" w:eastAsia="宋体" w:cs="宋体"/>
                <w:sz w:val="18"/>
                <w:szCs w:val="18"/>
                <w:highlight w:val="none"/>
              </w:rPr>
              <w:t>根据</w:t>
            </w:r>
            <w:r>
              <w:rPr>
                <w:rFonts w:hint="eastAsia" w:ascii="宋体" w:hAnsi="宋体" w:eastAsia="宋体" w:cs="宋体"/>
                <w:sz w:val="18"/>
                <w:szCs w:val="18"/>
                <w:highlight w:val="none"/>
                <w:lang w:val="en-US" w:eastAsia="zh-CN"/>
              </w:rPr>
              <w:t>服务方案及人员</w:t>
            </w:r>
            <w:r>
              <w:rPr>
                <w:rFonts w:hint="eastAsia" w:ascii="宋体" w:hAnsi="宋体" w:eastAsia="宋体" w:cs="宋体"/>
                <w:sz w:val="18"/>
                <w:szCs w:val="18"/>
                <w:highlight w:val="none"/>
                <w:lang w:eastAsia="zh-CN"/>
              </w:rPr>
              <w:t>配备</w:t>
            </w:r>
            <w:r>
              <w:rPr>
                <w:rFonts w:hint="eastAsia" w:ascii="宋体" w:hAnsi="宋体" w:eastAsia="宋体" w:cs="宋体"/>
                <w:sz w:val="18"/>
                <w:szCs w:val="18"/>
                <w:highlight w:val="none"/>
              </w:rPr>
              <w:t>方案的详细叙述（包括服务内容、工作流程、工作标准、员工排班计划等）相关意见建议等由专家综合打分</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一般0-5分，良5-8分，优8-10分。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dxa"/>
            <w:noWrap w:val="0"/>
            <w:vAlign w:val="center"/>
          </w:tcPr>
          <w:p>
            <w:pPr>
              <w:numPr>
                <w:ilvl w:val="0"/>
                <w:numId w:val="36"/>
              </w:numPr>
              <w:bidi w:val="0"/>
              <w:ind w:left="425" w:leftChars="0" w:hanging="425" w:firstLineChars="0"/>
              <w:rPr>
                <w:rFonts w:hint="eastAsia" w:ascii="宋体" w:hAnsi="宋体" w:eastAsia="宋体" w:cs="宋体"/>
                <w:sz w:val="18"/>
                <w:szCs w:val="18"/>
              </w:rPr>
            </w:pPr>
          </w:p>
        </w:tc>
        <w:tc>
          <w:tcPr>
            <w:tcW w:w="1143" w:type="dxa"/>
            <w:vMerge w:val="continue"/>
            <w:noWrap w:val="0"/>
            <w:vAlign w:val="center"/>
          </w:tcPr>
          <w:p>
            <w:pPr>
              <w:bidi w:val="0"/>
              <w:jc w:val="center"/>
              <w:rPr>
                <w:rFonts w:hint="eastAsia" w:ascii="宋体" w:hAnsi="宋体" w:eastAsia="宋体" w:cs="宋体"/>
                <w:sz w:val="18"/>
                <w:szCs w:val="18"/>
              </w:rPr>
            </w:pPr>
          </w:p>
        </w:tc>
        <w:tc>
          <w:tcPr>
            <w:tcW w:w="598" w:type="dxa"/>
            <w:noWrap w:val="0"/>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10</w:t>
            </w:r>
          </w:p>
        </w:tc>
        <w:tc>
          <w:tcPr>
            <w:tcW w:w="6698" w:type="dxa"/>
            <w:noWrap w:val="0"/>
            <w:vAlign w:val="center"/>
          </w:tcPr>
          <w:p>
            <w:pPr>
              <w:bidi w:val="0"/>
              <w:rPr>
                <w:rFonts w:hint="eastAsia" w:ascii="宋体" w:hAnsi="宋体" w:eastAsia="宋体" w:cs="宋体"/>
                <w:sz w:val="18"/>
                <w:szCs w:val="18"/>
              </w:rPr>
            </w:pPr>
            <w:r>
              <w:rPr>
                <w:rFonts w:hint="eastAsia" w:ascii="宋体" w:hAnsi="宋体" w:eastAsia="宋体" w:cs="宋体"/>
                <w:sz w:val="18"/>
                <w:szCs w:val="18"/>
              </w:rPr>
              <w:t>针对本项目的特点、在管理过程中存在的问题、难点进行分析并提出解决措施（要求做出详细说明），专家酌情打分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一般0-5分，良5-8分，优8-10分。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dxa"/>
            <w:noWrap w:val="0"/>
            <w:vAlign w:val="center"/>
          </w:tcPr>
          <w:p>
            <w:pPr>
              <w:numPr>
                <w:ilvl w:val="0"/>
                <w:numId w:val="36"/>
              </w:numPr>
              <w:bidi w:val="0"/>
              <w:ind w:left="425" w:leftChars="0" w:hanging="425" w:firstLineChars="0"/>
              <w:rPr>
                <w:rFonts w:hint="eastAsia" w:ascii="宋体" w:hAnsi="宋体" w:eastAsia="宋体" w:cs="宋体"/>
                <w:sz w:val="18"/>
                <w:szCs w:val="18"/>
              </w:rPr>
            </w:pPr>
          </w:p>
        </w:tc>
        <w:tc>
          <w:tcPr>
            <w:tcW w:w="1143" w:type="dxa"/>
            <w:noWrap w:val="0"/>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rPr>
              <w:t>各项管理规章制度</w:t>
            </w:r>
          </w:p>
        </w:tc>
        <w:tc>
          <w:tcPr>
            <w:tcW w:w="598" w:type="dxa"/>
            <w:noWrap w:val="0"/>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15</w:t>
            </w:r>
          </w:p>
        </w:tc>
        <w:tc>
          <w:tcPr>
            <w:tcW w:w="6698" w:type="dxa"/>
            <w:noWrap w:val="0"/>
            <w:vAlign w:val="center"/>
          </w:tcPr>
          <w:p>
            <w:pPr>
              <w:bidi w:val="0"/>
              <w:rPr>
                <w:rFonts w:hint="eastAsia" w:ascii="宋体" w:hAnsi="宋体" w:eastAsia="宋体" w:cs="宋体"/>
                <w:sz w:val="18"/>
                <w:szCs w:val="18"/>
              </w:rPr>
            </w:pPr>
            <w:r>
              <w:rPr>
                <w:rFonts w:hint="eastAsia" w:ascii="宋体" w:hAnsi="宋体" w:eastAsia="宋体" w:cs="宋体"/>
                <w:sz w:val="18"/>
                <w:szCs w:val="18"/>
              </w:rPr>
              <w:t>根据各项</w:t>
            </w:r>
            <w:r>
              <w:rPr>
                <w:rFonts w:hint="eastAsia" w:ascii="宋体" w:hAnsi="宋体" w:eastAsia="宋体" w:cs="宋体"/>
                <w:sz w:val="18"/>
                <w:szCs w:val="18"/>
                <w:lang w:val="en-US" w:eastAsia="zh-CN"/>
              </w:rPr>
              <w:t>规章</w:t>
            </w:r>
            <w:r>
              <w:rPr>
                <w:rFonts w:hint="eastAsia" w:ascii="宋体" w:hAnsi="宋体" w:eastAsia="宋体" w:cs="宋体"/>
                <w:sz w:val="18"/>
                <w:szCs w:val="18"/>
              </w:rPr>
              <w:t>制度、管理服务组织机构设置（附组织机构图）、激励机制、内部岗位责任制度、管理运作制度、监督机制、自我约束机制和信息反馈渠道及处理机制等，是否符合规范，体现高标准、高档次、科学合理、详细完备；根据人员、设施、设备管理服务、业主方反馈资料、行政文件资料等档案的建立与管理完善程度酌情打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一般0-5分，良5-10分，优10-15分。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dxa"/>
            <w:noWrap w:val="0"/>
            <w:vAlign w:val="center"/>
          </w:tcPr>
          <w:p>
            <w:pPr>
              <w:numPr>
                <w:ilvl w:val="0"/>
                <w:numId w:val="36"/>
              </w:numPr>
              <w:bidi w:val="0"/>
              <w:ind w:left="425" w:leftChars="0" w:hanging="425" w:firstLineChars="0"/>
              <w:rPr>
                <w:rFonts w:hint="eastAsia" w:ascii="宋体" w:hAnsi="宋体" w:eastAsia="宋体" w:cs="宋体"/>
                <w:sz w:val="18"/>
                <w:szCs w:val="18"/>
              </w:rPr>
            </w:pPr>
          </w:p>
        </w:tc>
        <w:tc>
          <w:tcPr>
            <w:tcW w:w="1143" w:type="dxa"/>
            <w:vMerge w:val="restart"/>
            <w:noWrap w:val="0"/>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rPr>
              <w:t>本项目投入人员配备情况</w:t>
            </w:r>
          </w:p>
        </w:tc>
        <w:tc>
          <w:tcPr>
            <w:tcW w:w="598" w:type="dxa"/>
            <w:noWrap w:val="0"/>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15</w:t>
            </w:r>
          </w:p>
        </w:tc>
        <w:tc>
          <w:tcPr>
            <w:tcW w:w="6698" w:type="dxa"/>
            <w:noWrap w:val="0"/>
            <w:vAlign w:val="center"/>
          </w:tcPr>
          <w:p>
            <w:pPr>
              <w:bidi w:val="0"/>
              <w:rPr>
                <w:rFonts w:hint="eastAsia" w:ascii="宋体" w:hAnsi="宋体" w:eastAsia="宋体" w:cs="宋体"/>
                <w:sz w:val="18"/>
                <w:szCs w:val="18"/>
                <w:lang w:val="zh-CN"/>
              </w:rPr>
            </w:pPr>
            <w:r>
              <w:rPr>
                <w:rFonts w:hint="eastAsia" w:ascii="宋体" w:hAnsi="宋体" w:eastAsia="宋体" w:cs="宋体"/>
                <w:sz w:val="18"/>
                <w:szCs w:val="18"/>
                <w:lang w:val="zh-CN"/>
              </w:rPr>
              <w:t>根据供应商针对该项目</w:t>
            </w:r>
            <w:r>
              <w:rPr>
                <w:rFonts w:hint="eastAsia" w:ascii="宋体" w:hAnsi="宋体" w:eastAsia="宋体" w:cs="宋体"/>
                <w:sz w:val="18"/>
                <w:szCs w:val="18"/>
                <w:lang w:val="en-US" w:eastAsia="zh-CN"/>
              </w:rPr>
              <w:t>专门</w:t>
            </w:r>
            <w:r>
              <w:rPr>
                <w:rFonts w:hint="eastAsia" w:ascii="宋体" w:hAnsi="宋体" w:eastAsia="宋体" w:cs="宋体"/>
                <w:sz w:val="18"/>
                <w:szCs w:val="18"/>
                <w:lang w:val="zh-CN"/>
              </w:rPr>
              <w:t>配备的团队成员的专业素质、</w:t>
            </w:r>
            <w:r>
              <w:rPr>
                <w:rFonts w:hint="eastAsia" w:ascii="宋体" w:hAnsi="宋体" w:eastAsia="宋体" w:cs="宋体"/>
                <w:sz w:val="18"/>
                <w:szCs w:val="18"/>
                <w:lang w:val="en-US" w:eastAsia="zh-CN"/>
              </w:rPr>
              <w:t>类似</w:t>
            </w:r>
            <w:r>
              <w:rPr>
                <w:rFonts w:hint="eastAsia" w:ascii="宋体" w:hAnsi="宋体" w:eastAsia="宋体" w:cs="宋体"/>
                <w:sz w:val="18"/>
                <w:szCs w:val="18"/>
                <w:lang w:val="zh-CN"/>
              </w:rPr>
              <w:t>经验、专业技术能力、学历、职称、执业资格，与本项目所属专业的匹配度等相关情况，由专家酌情打分：</w:t>
            </w:r>
            <w:r>
              <w:rPr>
                <w:rFonts w:hint="eastAsia" w:ascii="宋体" w:hAnsi="宋体" w:eastAsia="宋体" w:cs="宋体"/>
                <w:sz w:val="18"/>
                <w:szCs w:val="18"/>
                <w:lang w:val="en-US" w:eastAsia="zh-CN"/>
              </w:rPr>
              <w:t>一般0-5分，良5-10分，优10-15分。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dxa"/>
            <w:noWrap w:val="0"/>
            <w:vAlign w:val="center"/>
          </w:tcPr>
          <w:p>
            <w:pPr>
              <w:numPr>
                <w:ilvl w:val="0"/>
                <w:numId w:val="36"/>
              </w:numPr>
              <w:bidi w:val="0"/>
              <w:ind w:left="425" w:leftChars="0" w:hanging="425" w:firstLineChars="0"/>
              <w:rPr>
                <w:rFonts w:hint="eastAsia" w:ascii="宋体" w:hAnsi="宋体" w:eastAsia="宋体" w:cs="宋体"/>
                <w:sz w:val="18"/>
                <w:szCs w:val="18"/>
              </w:rPr>
            </w:pPr>
          </w:p>
        </w:tc>
        <w:tc>
          <w:tcPr>
            <w:tcW w:w="1143" w:type="dxa"/>
            <w:vMerge w:val="continue"/>
            <w:noWrap w:val="0"/>
            <w:vAlign w:val="center"/>
          </w:tcPr>
          <w:p>
            <w:pPr>
              <w:bidi w:val="0"/>
              <w:jc w:val="center"/>
              <w:rPr>
                <w:rFonts w:hint="eastAsia" w:ascii="宋体" w:hAnsi="宋体" w:eastAsia="宋体" w:cs="宋体"/>
                <w:sz w:val="18"/>
                <w:szCs w:val="18"/>
              </w:rPr>
            </w:pPr>
          </w:p>
        </w:tc>
        <w:tc>
          <w:tcPr>
            <w:tcW w:w="598" w:type="dxa"/>
            <w:noWrap w:val="0"/>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6698" w:type="dxa"/>
            <w:noWrap w:val="0"/>
            <w:vAlign w:val="center"/>
          </w:tcPr>
          <w:p>
            <w:pPr>
              <w:bidi w:val="0"/>
              <w:rPr>
                <w:rFonts w:hint="eastAsia" w:ascii="宋体" w:hAnsi="宋体" w:eastAsia="宋体" w:cs="宋体"/>
                <w:sz w:val="18"/>
                <w:szCs w:val="18"/>
                <w:lang w:val="en-US" w:eastAsia="zh-CN"/>
              </w:rPr>
            </w:pPr>
            <w:r>
              <w:rPr>
                <w:rFonts w:hint="eastAsia" w:ascii="宋体" w:hAnsi="宋体" w:eastAsia="宋体" w:cs="宋体"/>
                <w:sz w:val="18"/>
                <w:szCs w:val="18"/>
                <w:lang w:val="zh-CN"/>
              </w:rPr>
              <w:t>根据供应商针对该项目</w:t>
            </w:r>
            <w:r>
              <w:rPr>
                <w:rFonts w:hint="eastAsia" w:ascii="宋体" w:hAnsi="宋体" w:eastAsia="宋体" w:cs="宋体"/>
                <w:sz w:val="18"/>
                <w:szCs w:val="18"/>
                <w:lang w:val="en-US" w:eastAsia="zh-CN"/>
              </w:rPr>
              <w:t>提供的讲解策划</w:t>
            </w:r>
            <w:r>
              <w:rPr>
                <w:rFonts w:hint="eastAsia" w:ascii="宋体" w:hAnsi="宋体" w:eastAsia="宋体" w:cs="宋体"/>
                <w:sz w:val="18"/>
                <w:szCs w:val="18"/>
              </w:rPr>
              <w:t>内容的优劣由专家酌情打分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一般0-3分，良3-6分，优6-8分。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dxa"/>
            <w:noWrap w:val="0"/>
            <w:vAlign w:val="center"/>
          </w:tcPr>
          <w:p>
            <w:pPr>
              <w:numPr>
                <w:ilvl w:val="0"/>
                <w:numId w:val="36"/>
              </w:numPr>
              <w:bidi w:val="0"/>
              <w:ind w:left="425" w:leftChars="0" w:hanging="425" w:firstLineChars="0"/>
              <w:rPr>
                <w:rFonts w:hint="eastAsia" w:ascii="宋体" w:hAnsi="宋体" w:eastAsia="宋体" w:cs="宋体"/>
                <w:sz w:val="18"/>
                <w:szCs w:val="18"/>
              </w:rPr>
            </w:pPr>
          </w:p>
        </w:tc>
        <w:tc>
          <w:tcPr>
            <w:tcW w:w="1143" w:type="dxa"/>
            <w:noWrap w:val="0"/>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rPr>
              <w:t>本项目员工培训计划及内容</w:t>
            </w:r>
          </w:p>
        </w:tc>
        <w:tc>
          <w:tcPr>
            <w:tcW w:w="598" w:type="dxa"/>
            <w:noWrap w:val="0"/>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9</w:t>
            </w:r>
          </w:p>
        </w:tc>
        <w:tc>
          <w:tcPr>
            <w:tcW w:w="6698" w:type="dxa"/>
            <w:noWrap w:val="0"/>
            <w:vAlign w:val="center"/>
          </w:tcPr>
          <w:p>
            <w:pPr>
              <w:bidi w:val="0"/>
              <w:rPr>
                <w:rFonts w:hint="eastAsia" w:ascii="宋体" w:hAnsi="宋体" w:eastAsia="宋体" w:cs="宋体"/>
                <w:sz w:val="18"/>
                <w:szCs w:val="18"/>
              </w:rPr>
            </w:pPr>
            <w:r>
              <w:rPr>
                <w:rFonts w:hint="eastAsia" w:ascii="宋体" w:hAnsi="宋体" w:eastAsia="宋体" w:cs="宋体"/>
                <w:sz w:val="18"/>
                <w:szCs w:val="18"/>
              </w:rPr>
              <w:t>根据投标供应商针对本项员工的各项培训计划及内容的优劣由专家酌情打分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一般0-3分，良3-6分，优6-9分。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dxa"/>
            <w:noWrap w:val="0"/>
            <w:vAlign w:val="center"/>
          </w:tcPr>
          <w:p>
            <w:pPr>
              <w:numPr>
                <w:ilvl w:val="0"/>
                <w:numId w:val="36"/>
              </w:numPr>
              <w:bidi w:val="0"/>
              <w:ind w:left="425" w:leftChars="0" w:hanging="425" w:firstLineChars="0"/>
              <w:rPr>
                <w:rFonts w:hint="eastAsia" w:ascii="宋体" w:hAnsi="宋体" w:eastAsia="宋体" w:cs="宋体"/>
                <w:sz w:val="18"/>
                <w:szCs w:val="18"/>
              </w:rPr>
            </w:pPr>
          </w:p>
        </w:tc>
        <w:tc>
          <w:tcPr>
            <w:tcW w:w="1143" w:type="dxa"/>
            <w:noWrap w:val="0"/>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rPr>
              <w:t>服务承诺</w:t>
            </w:r>
          </w:p>
        </w:tc>
        <w:tc>
          <w:tcPr>
            <w:tcW w:w="598" w:type="dxa"/>
            <w:noWrap w:val="0"/>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9</w:t>
            </w:r>
          </w:p>
        </w:tc>
        <w:tc>
          <w:tcPr>
            <w:tcW w:w="6698" w:type="dxa"/>
            <w:noWrap w:val="0"/>
            <w:vAlign w:val="center"/>
          </w:tcPr>
          <w:p>
            <w:pPr>
              <w:bidi w:val="0"/>
              <w:rPr>
                <w:rFonts w:hint="eastAsia" w:ascii="宋体" w:hAnsi="宋体" w:eastAsia="宋体" w:cs="宋体"/>
                <w:sz w:val="18"/>
                <w:szCs w:val="18"/>
              </w:rPr>
            </w:pPr>
            <w:r>
              <w:rPr>
                <w:rFonts w:hint="eastAsia" w:ascii="宋体" w:hAnsi="宋体" w:eastAsia="宋体" w:cs="宋体"/>
                <w:sz w:val="18"/>
                <w:szCs w:val="18"/>
              </w:rPr>
              <w:t>服务承诺（根据各</w:t>
            </w:r>
            <w:r>
              <w:rPr>
                <w:rFonts w:hint="eastAsia" w:ascii="宋体" w:hAnsi="宋体" w:eastAsia="宋体" w:cs="宋体"/>
                <w:sz w:val="18"/>
                <w:szCs w:val="18"/>
                <w:lang w:eastAsia="zh-CN"/>
              </w:rPr>
              <w:t>供应商</w:t>
            </w:r>
            <w:r>
              <w:rPr>
                <w:rFonts w:hint="eastAsia" w:ascii="宋体" w:hAnsi="宋体" w:eastAsia="宋体" w:cs="宋体"/>
                <w:sz w:val="18"/>
                <w:szCs w:val="18"/>
              </w:rPr>
              <w:t>提供的相关服务承诺酌情打分）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一般0-3分，良3-6分，优6-9分。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dxa"/>
            <w:noWrap w:val="0"/>
            <w:vAlign w:val="center"/>
          </w:tcPr>
          <w:p>
            <w:pPr>
              <w:numPr>
                <w:ilvl w:val="0"/>
                <w:numId w:val="36"/>
              </w:numPr>
              <w:bidi w:val="0"/>
              <w:ind w:left="425" w:leftChars="0" w:hanging="425" w:firstLineChars="0"/>
              <w:rPr>
                <w:rFonts w:hint="eastAsia" w:ascii="宋体" w:hAnsi="宋体" w:eastAsia="宋体" w:cs="宋体"/>
                <w:sz w:val="18"/>
                <w:szCs w:val="18"/>
              </w:rPr>
            </w:pPr>
          </w:p>
        </w:tc>
        <w:tc>
          <w:tcPr>
            <w:tcW w:w="1143" w:type="dxa"/>
            <w:noWrap w:val="0"/>
            <w:vAlign w:val="center"/>
          </w:tcPr>
          <w:p>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合计满分</w:t>
            </w:r>
          </w:p>
        </w:tc>
        <w:tc>
          <w:tcPr>
            <w:tcW w:w="598" w:type="dxa"/>
            <w:noWrap w:val="0"/>
            <w:vAlign w:val="center"/>
          </w:tcPr>
          <w:p>
            <w:pPr>
              <w:bidi w:val="0"/>
              <w:jc w:val="center"/>
              <w:rPr>
                <w:rFonts w:hint="default" w:ascii="宋体" w:hAnsi="宋体" w:eastAsia="宋体" w:cs="宋体"/>
                <w:sz w:val="18"/>
                <w:szCs w:val="18"/>
                <w:lang w:eastAsia="zh-CN"/>
              </w:rPr>
            </w:pPr>
            <w:r>
              <w:rPr>
                <w:rFonts w:hint="default" w:ascii="宋体" w:hAnsi="宋体" w:eastAsia="宋体" w:cs="宋体"/>
                <w:sz w:val="18"/>
                <w:szCs w:val="18"/>
                <w:lang w:eastAsia="zh-CN"/>
              </w:rPr>
              <w:fldChar w:fldCharType="begin"/>
            </w:r>
            <w:r>
              <w:rPr>
                <w:rFonts w:hint="default" w:ascii="宋体" w:hAnsi="宋体" w:eastAsia="宋体" w:cs="宋体"/>
                <w:sz w:val="18"/>
                <w:szCs w:val="18"/>
                <w:lang w:eastAsia="zh-CN"/>
              </w:rPr>
              <w:instrText xml:space="preserve"> =SUM(ABOVE) \* MERGEFORMAT </w:instrText>
            </w:r>
            <w:r>
              <w:rPr>
                <w:rFonts w:hint="default" w:ascii="宋体" w:hAnsi="宋体" w:eastAsia="宋体" w:cs="宋体"/>
                <w:sz w:val="18"/>
                <w:szCs w:val="18"/>
                <w:lang w:eastAsia="zh-CN"/>
              </w:rPr>
              <w:fldChar w:fldCharType="separate"/>
            </w:r>
            <w:r>
              <w:rPr>
                <w:rFonts w:hint="default" w:ascii="宋体" w:hAnsi="宋体" w:eastAsia="宋体" w:cs="宋体"/>
                <w:sz w:val="18"/>
                <w:szCs w:val="18"/>
                <w:lang w:eastAsia="zh-CN"/>
              </w:rPr>
              <w:t>90</w:t>
            </w:r>
            <w:r>
              <w:rPr>
                <w:rFonts w:hint="default" w:ascii="宋体" w:hAnsi="宋体" w:eastAsia="宋体" w:cs="宋体"/>
                <w:sz w:val="18"/>
                <w:szCs w:val="18"/>
                <w:lang w:eastAsia="zh-CN"/>
              </w:rPr>
              <w:fldChar w:fldCharType="end"/>
            </w:r>
          </w:p>
        </w:tc>
        <w:tc>
          <w:tcPr>
            <w:tcW w:w="6698" w:type="dxa"/>
            <w:noWrap w:val="0"/>
            <w:vAlign w:val="center"/>
          </w:tcPr>
          <w:p>
            <w:pPr>
              <w:bidi w:val="0"/>
              <w:rPr>
                <w:rFonts w:hint="eastAsia" w:ascii="宋体" w:hAnsi="宋体" w:eastAsia="宋体" w:cs="宋体"/>
                <w:sz w:val="18"/>
                <w:szCs w:val="18"/>
              </w:rPr>
            </w:pPr>
          </w:p>
        </w:tc>
      </w:tr>
    </w:tbl>
    <w:p>
      <w:pPr>
        <w:overflowPunct w:val="0"/>
        <w:ind w:firstLine="440" w:firstLineChars="200"/>
        <w:rPr>
          <w:rFonts w:hint="eastAsia" w:ascii="宋体" w:hAnsi="宋体" w:eastAsia="宋体" w:cs="宋体"/>
          <w:color w:val="auto"/>
          <w:sz w:val="22"/>
          <w:highlight w:val="none"/>
        </w:rPr>
      </w:pPr>
    </w:p>
    <w:p>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pPr>
        <w:rPr>
          <w:rFonts w:hint="eastAsia" w:ascii="宋体" w:hAnsi="宋体" w:eastAsia="宋体" w:cs="宋体"/>
          <w:b/>
          <w:color w:val="auto"/>
          <w:sz w:val="22"/>
          <w:highlight w:val="none"/>
        </w:rPr>
      </w:pPr>
      <w:bookmarkStart w:id="222" w:name="_Hlk11188594"/>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10</w:t>
      </w:r>
      <w:r>
        <w:rPr>
          <w:rFonts w:hint="eastAsia" w:ascii="宋体" w:hAnsi="宋体" w:eastAsia="宋体" w:cs="宋体"/>
          <w:b/>
          <w:color w:val="auto"/>
          <w:sz w:val="22"/>
          <w:highlight w:val="none"/>
        </w:rPr>
        <w:t>分）：</w:t>
      </w:r>
    </w:p>
    <w:bookmarkEnd w:id="222"/>
    <w:p>
      <w:pPr>
        <w:ind w:firstLine="440" w:firstLineChars="200"/>
        <w:rPr>
          <w:rFonts w:hint="eastAsia" w:ascii="宋体" w:hAnsi="宋体" w:eastAsia="宋体" w:cs="宋体"/>
          <w:color w:val="auto"/>
          <w:sz w:val="22"/>
          <w:highlight w:val="none"/>
        </w:rPr>
      </w:pPr>
      <w:bookmarkStart w:id="223" w:name="_Hlk11191261"/>
      <w:r>
        <w:rPr>
          <w:rFonts w:hint="eastAsia" w:ascii="宋体" w:hAnsi="宋体" w:eastAsia="宋体" w:cs="宋体"/>
          <w:color w:val="auto"/>
          <w:sz w:val="22"/>
          <w:highlight w:val="none"/>
        </w:rPr>
        <w:t>满足</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文件要求且投标价格最低的投标报价为评标基准价</w:t>
      </w:r>
      <w:r>
        <w:rPr>
          <w:rFonts w:hint="eastAsia" w:ascii="宋体" w:hAnsi="宋体" w:eastAsia="宋体" w:cs="宋体"/>
          <w:color w:val="auto"/>
          <w:sz w:val="22"/>
          <w:highlight w:val="none"/>
          <w:lang w:eastAsia="zh-CN"/>
        </w:rPr>
        <w:t>；</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有效投标人的投标价等于评标基准价时，其商务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评分值为满分</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0分；</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其他</w:t>
      </w:r>
      <w:r>
        <w:rPr>
          <w:rFonts w:hint="eastAsia" w:ascii="宋体" w:hAnsi="宋体" w:eastAsia="宋体" w:cs="宋体"/>
          <w:color w:val="auto"/>
          <w:sz w:val="22"/>
          <w:highlight w:val="none"/>
          <w:lang w:val="en-US" w:eastAsia="zh-CN"/>
        </w:rPr>
        <w:t>有效</w:t>
      </w:r>
      <w:r>
        <w:rPr>
          <w:rFonts w:hint="eastAsia" w:ascii="宋体" w:hAnsi="宋体" w:eastAsia="宋体" w:cs="宋体"/>
          <w:color w:val="auto"/>
          <w:sz w:val="22"/>
          <w:highlight w:val="none"/>
        </w:rPr>
        <w:t>投标人的商务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评分值按以下公式计算：</w:t>
      </w:r>
    </w:p>
    <w:p>
      <w:pPr>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=（评标基准价/投标人投标报价）×价格权值×100（四舍五入后保留小数2位）</w:t>
      </w:r>
      <w:r>
        <w:rPr>
          <w:rFonts w:hint="eastAsia" w:ascii="宋体" w:hAnsi="宋体" w:eastAsia="宋体" w:cs="宋体"/>
          <w:color w:val="auto"/>
          <w:sz w:val="22"/>
          <w:highlight w:val="none"/>
          <w:lang w:eastAsia="zh-CN"/>
        </w:rPr>
        <w:t>；</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本项目价格权值为20%</w:t>
      </w:r>
      <w:r>
        <w:rPr>
          <w:rFonts w:hint="eastAsia" w:ascii="宋体" w:hAnsi="宋体" w:eastAsia="宋体" w:cs="宋体"/>
          <w:color w:val="auto"/>
          <w:sz w:val="22"/>
          <w:highlight w:val="none"/>
        </w:rPr>
        <w:t>。</w:t>
      </w:r>
    </w:p>
    <w:bookmarkEnd w:id="223"/>
    <w:p>
      <w:pPr>
        <w:rPr>
          <w:rFonts w:hint="eastAsia" w:ascii="宋体" w:hAnsi="宋体" w:eastAsia="宋体" w:cs="宋体"/>
          <w:b/>
          <w:color w:val="auto"/>
          <w:sz w:val="22"/>
          <w:highlight w:val="none"/>
        </w:rPr>
      </w:pPr>
      <w:r>
        <w:rPr>
          <w:rFonts w:hint="eastAsia" w:ascii="宋体" w:hAnsi="宋体" w:eastAsia="宋体" w:cs="宋体"/>
          <w:color w:val="auto"/>
          <w:sz w:val="22"/>
          <w:highlight w:val="none"/>
        </w:rPr>
        <w:t xml:space="preserve">    </w:t>
      </w:r>
      <w:r>
        <w:rPr>
          <w:rFonts w:hint="eastAsia" w:ascii="宋体" w:hAnsi="宋体" w:eastAsia="宋体" w:cs="宋体"/>
          <w:b/>
          <w:color w:val="auto"/>
          <w:sz w:val="22"/>
          <w:highlight w:val="none"/>
        </w:rPr>
        <w:t>3、本次采购</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为人民币</w:t>
      </w:r>
      <w:r>
        <w:rPr>
          <w:rFonts w:hint="eastAsia" w:ascii="宋体" w:hAnsi="宋体" w:eastAsia="宋体" w:cs="宋体"/>
          <w:b/>
          <w:color w:val="auto"/>
          <w:sz w:val="22"/>
          <w:highlight w:val="none"/>
          <w:lang w:val="en-US" w:eastAsia="zh-CN"/>
        </w:rPr>
        <w:t>21万元</w:t>
      </w:r>
      <w:r>
        <w:rPr>
          <w:rFonts w:hint="eastAsia" w:ascii="宋体" w:hAnsi="宋体" w:eastAsia="宋体" w:cs="宋体"/>
          <w:b/>
          <w:color w:val="auto"/>
          <w:sz w:val="22"/>
          <w:highlight w:val="none"/>
        </w:rPr>
        <w:t>, 如投标供应商报价超过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按无效标处理。</w:t>
      </w:r>
    </w:p>
    <w:p>
      <w:pPr>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    4、如所有投标供应商报价均超过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，此项目废标，应重新组织</w:t>
      </w:r>
      <w:r>
        <w:rPr>
          <w:rFonts w:hint="eastAsia" w:ascii="宋体" w:hAnsi="宋体" w:eastAsia="宋体" w:cs="宋体"/>
          <w:b/>
          <w:color w:val="auto"/>
          <w:sz w:val="22"/>
          <w:highlight w:val="none"/>
          <w:lang w:eastAsia="zh-CN"/>
        </w:rPr>
        <w:t>采购</w:t>
      </w:r>
      <w:r>
        <w:rPr>
          <w:rFonts w:hint="eastAsia" w:ascii="宋体" w:hAnsi="宋体" w:eastAsia="宋体" w:cs="宋体"/>
          <w:b/>
          <w:color w:val="auto"/>
          <w:sz w:val="22"/>
          <w:highlight w:val="none"/>
        </w:rPr>
        <w:t>。</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、各有效投标供应商的综合得分为技术资信分和商务（报价）分的总和。</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、评标委员会按各有效投标供应商综合得分高低顺序排列，综合得分第一名的投标人作为中标候选供应商，并提交评标报告。</w:t>
      </w:r>
    </w:p>
    <w:p>
      <w:pPr>
        <w:ind w:firstLine="440" w:firstLineChars="200"/>
        <w:rPr>
          <w:rFonts w:hint="eastAsia" w:ascii="宋体" w:hAnsi="宋体" w:eastAsia="宋体" w:cs="宋体"/>
          <w:b/>
          <w:color w:val="auto"/>
          <w:sz w:val="22"/>
          <w:szCs w:val="24"/>
          <w:highlight w:val="none"/>
        </w:rPr>
      </w:pP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、评标委员会、</w:t>
      </w:r>
      <w:r>
        <w:rPr>
          <w:rFonts w:hint="eastAsia" w:ascii="宋体" w:hAnsi="宋体" w:eastAsia="宋体" w:cs="宋体"/>
          <w:bCs/>
          <w:color w:val="auto"/>
          <w:sz w:val="22"/>
          <w:highlight w:val="none"/>
        </w:rPr>
        <w:t>采购人对决标结果不做任何解释，也不保证最低价中标。</w:t>
      </w:r>
    </w:p>
    <w:p>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六、定标办法</w:t>
      </w:r>
      <w:bookmarkStart w:id="224" w:name="_Toc221356967"/>
      <w:bookmarkStart w:id="225" w:name="_Toc221356904"/>
    </w:p>
    <w:p>
      <w:pPr>
        <w:ind w:left="424" w:leftChars="1" w:hanging="422" w:hangingChars="191"/>
        <w:rPr>
          <w:rFonts w:hint="eastAsia" w:ascii="宋体" w:hAnsi="宋体" w:eastAsia="宋体" w:cs="宋体"/>
          <w:color w:val="auto"/>
          <w:highlight w:val="none"/>
        </w:rPr>
      </w:pPr>
      <w:r>
        <w:rPr>
          <w:rFonts w:hint="eastAsia" w:ascii="宋体" w:hAnsi="宋体" w:eastAsia="宋体" w:cs="宋体"/>
          <w:b/>
          <w:color w:val="auto"/>
          <w:sz w:val="22"/>
          <w:szCs w:val="24"/>
          <w:highlight w:val="none"/>
        </w:rPr>
        <w:t xml:space="preserve">1、 </w:t>
      </w:r>
      <w:r>
        <w:rPr>
          <w:rFonts w:hint="eastAsia" w:ascii="宋体" w:hAnsi="宋体" w:eastAsia="宋体" w:cs="宋体"/>
          <w:color w:val="auto"/>
          <w:sz w:val="22"/>
          <w:highlight w:val="none"/>
        </w:rPr>
        <w:t>本次采购由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2、采购人根据评标委员会的意见进行最终确认中标候选人</w:t>
      </w:r>
      <w:r>
        <w:rPr>
          <w:rFonts w:hint="eastAsia" w:ascii="宋体" w:hAnsi="宋体" w:eastAsia="宋体" w:cs="宋体"/>
          <w:b/>
          <w:color w:val="auto"/>
          <w:sz w:val="22"/>
          <w:highlight w:val="none"/>
        </w:rPr>
        <w:t>。</w:t>
      </w:r>
    </w:p>
    <w:p>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3、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七、确定中标人</w:t>
      </w:r>
      <w:bookmarkEnd w:id="224"/>
      <w:bookmarkEnd w:id="225"/>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评标结束后，采购人将在发布采购公告的网站上公示中标结果。中标公告期为1个工作日，中标公告期限结束无异议的，采购人与中标人按照采购文件和中标人投标文件的约定签订合同。</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各投标人对评标结果如有异议，可在中标结果公告之日起7个工作日内以书面形式向采购人进行署名投诉或提出质疑，但需对投诉或质疑内容的真实性承担法律责任。</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八、投标人义务</w:t>
      </w:r>
    </w:p>
    <w:p>
      <w:pPr>
        <w:ind w:firstLine="440" w:firstLineChars="200"/>
        <w:rPr>
          <w:rFonts w:hint="eastAsia" w:ascii="宋体" w:hAnsi="宋体" w:eastAsia="宋体" w:cs="宋体"/>
          <w:szCs w:val="24"/>
          <w:highlight w:val="none"/>
        </w:rPr>
      </w:pPr>
      <w:r>
        <w:rPr>
          <w:rFonts w:hint="eastAsia" w:ascii="宋体" w:hAnsi="宋体" w:eastAsia="宋体" w:cs="宋体"/>
          <w:kern w:val="0"/>
          <w:sz w:val="22"/>
          <w:highlight w:val="none"/>
          <w:lang w:bidi="ar"/>
        </w:rPr>
        <w:t>投标人应随时</w:t>
      </w:r>
      <w:r>
        <w:rPr>
          <w:rFonts w:hint="eastAsia" w:ascii="宋体" w:hAnsi="宋体" w:eastAsia="宋体" w:cs="宋体"/>
          <w:sz w:val="22"/>
          <w:highlight w:val="none"/>
        </w:rPr>
        <w:t>接受评标</w:t>
      </w:r>
      <w:r>
        <w:rPr>
          <w:rFonts w:hint="eastAsia" w:ascii="宋体" w:hAnsi="宋体" w:eastAsia="宋体" w:cs="宋体"/>
          <w:kern w:val="0"/>
          <w:sz w:val="22"/>
          <w:highlight w:val="none"/>
          <w:lang w:bidi="ar"/>
        </w:rPr>
        <w:t>委员会的询标，解答包括有关的商务、技术问题等。评标结束，所有评标资料存采购机构备查。</w:t>
      </w:r>
    </w:p>
    <w:sectPr>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8FC3C96F"/>
    <w:multiLevelType w:val="singleLevel"/>
    <w:tmpl w:val="8FC3C96F"/>
    <w:lvl w:ilvl="0" w:tentative="0">
      <w:start w:val="1"/>
      <w:numFmt w:val="decimal"/>
      <w:suff w:val="nothing"/>
      <w:lvlText w:val="%1．"/>
      <w:lvlJc w:val="left"/>
      <w:pPr>
        <w:ind w:left="0" w:firstLine="400"/>
      </w:pPr>
      <w:rPr>
        <w:rFonts w:hint="default"/>
      </w:rPr>
    </w:lvl>
  </w:abstractNum>
  <w:abstractNum w:abstractNumId="2">
    <w:nsid w:val="9E8211EC"/>
    <w:multiLevelType w:val="singleLevel"/>
    <w:tmpl w:val="9E8211EC"/>
    <w:lvl w:ilvl="0" w:tentative="0">
      <w:start w:val="1"/>
      <w:numFmt w:val="decimal"/>
      <w:lvlText w:val="(%1)"/>
      <w:lvlJc w:val="left"/>
      <w:pPr>
        <w:ind w:left="425" w:hanging="425"/>
      </w:pPr>
      <w:rPr>
        <w:rFonts w:hint="default"/>
      </w:rPr>
    </w:lvl>
  </w:abstractNum>
  <w:abstractNum w:abstractNumId="3">
    <w:nsid w:val="A1F90B3C"/>
    <w:multiLevelType w:val="singleLevel"/>
    <w:tmpl w:val="A1F90B3C"/>
    <w:lvl w:ilvl="0" w:tentative="0">
      <w:start w:val="1"/>
      <w:numFmt w:val="decimalEnclosedCircleChinese"/>
      <w:suff w:val="nothing"/>
      <w:lvlText w:val="%1　"/>
      <w:lvlJc w:val="left"/>
      <w:pPr>
        <w:ind w:left="20" w:firstLine="400"/>
      </w:pPr>
      <w:rPr>
        <w:rFonts w:hint="eastAsia"/>
      </w:rPr>
    </w:lvl>
  </w:abstractNum>
  <w:abstractNum w:abstractNumId="4">
    <w:nsid w:val="A2D5C1F0"/>
    <w:multiLevelType w:val="singleLevel"/>
    <w:tmpl w:val="A2D5C1F0"/>
    <w:lvl w:ilvl="0" w:tentative="0">
      <w:start w:val="1"/>
      <w:numFmt w:val="decimal"/>
      <w:suff w:val="nothing"/>
      <w:lvlText w:val="（%1）"/>
      <w:lvlJc w:val="left"/>
    </w:lvl>
  </w:abstractNum>
  <w:abstractNum w:abstractNumId="5">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B9FC014B"/>
    <w:multiLevelType w:val="multilevel"/>
    <w:tmpl w:val="B9FC014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E8B2659D"/>
    <w:multiLevelType w:val="singleLevel"/>
    <w:tmpl w:val="E8B2659D"/>
    <w:lvl w:ilvl="0" w:tentative="0">
      <w:start w:val="1"/>
      <w:numFmt w:val="chineseCounting"/>
      <w:suff w:val="nothing"/>
      <w:lvlText w:val="%1、"/>
      <w:lvlJc w:val="left"/>
      <w:pPr>
        <w:ind w:left="0" w:firstLine="420"/>
      </w:pPr>
      <w:rPr>
        <w:rFonts w:hint="eastAsia"/>
      </w:rPr>
    </w:lvl>
  </w:abstractNum>
  <w:abstractNum w:abstractNumId="9">
    <w:nsid w:val="EB41DDB5"/>
    <w:multiLevelType w:val="singleLevel"/>
    <w:tmpl w:val="EB41DDB5"/>
    <w:lvl w:ilvl="0" w:tentative="0">
      <w:start w:val="1"/>
      <w:numFmt w:val="decimal"/>
      <w:lvlText w:val="%1."/>
      <w:lvlJc w:val="left"/>
      <w:pPr>
        <w:ind w:left="425" w:hanging="425"/>
      </w:pPr>
      <w:rPr>
        <w:rFonts w:hint="default"/>
      </w:rPr>
    </w:lvl>
  </w:abstractNum>
  <w:abstractNum w:abstractNumId="10">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02204323"/>
    <w:multiLevelType w:val="multilevel"/>
    <w:tmpl w:val="02204323"/>
    <w:lvl w:ilvl="0" w:tentative="0">
      <w:start w:val="1"/>
      <w:numFmt w:val="decimal"/>
      <w:lvlText w:val="%1、"/>
      <w:lvlJc w:val="left"/>
      <w:pPr>
        <w:ind w:left="420" w:hanging="420"/>
      </w:pPr>
      <w:rPr>
        <w:rFonts w:hint="eastAsia" w:ascii="宋体" w:hAnsi="宋体" w:eastAsia="宋体" w:cs="宋体"/>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chineseCountingThousand"/>
      <w:lvlText w:val="%4、"/>
      <w:lvlJc w:val="left"/>
      <w:pPr>
        <w:ind w:left="42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050D2493"/>
    <w:multiLevelType w:val="singleLevel"/>
    <w:tmpl w:val="050D2493"/>
    <w:lvl w:ilvl="0" w:tentative="0">
      <w:start w:val="1"/>
      <w:numFmt w:val="decimal"/>
      <w:suff w:val="nothing"/>
      <w:lvlText w:val="%1．"/>
      <w:lvlJc w:val="left"/>
      <w:pPr>
        <w:ind w:left="0" w:firstLine="400"/>
      </w:pPr>
      <w:rPr>
        <w:rFonts w:hint="default"/>
      </w:rPr>
    </w:lvl>
  </w:abstractNum>
  <w:abstractNum w:abstractNumId="25">
    <w:nsid w:val="073247F6"/>
    <w:multiLevelType w:val="multilevel"/>
    <w:tmpl w:val="073247F6"/>
    <w:lvl w:ilvl="0" w:tentative="0">
      <w:start w:val="1"/>
      <w:numFmt w:val="decimal"/>
      <w:lvlText w:val="%1、"/>
      <w:lvlJc w:val="left"/>
      <w:pPr>
        <w:ind w:left="420" w:hanging="420"/>
      </w:pPr>
      <w:rPr>
        <w:rFonts w:hint="eastAsia" w:ascii="宋体" w:hAnsi="宋体" w:eastAsia="宋体" w:cs="宋体"/>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chineseCountingThousand"/>
      <w:lvlText w:val="%4、"/>
      <w:lvlJc w:val="left"/>
      <w:pPr>
        <w:ind w:left="42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152824CC"/>
    <w:multiLevelType w:val="singleLevel"/>
    <w:tmpl w:val="152824CC"/>
    <w:lvl w:ilvl="0" w:tentative="0">
      <w:start w:val="1"/>
      <w:numFmt w:val="decimal"/>
      <w:suff w:val="nothing"/>
      <w:lvlText w:val="%1）"/>
      <w:lvlJc w:val="left"/>
    </w:lvl>
  </w:abstractNum>
  <w:abstractNum w:abstractNumId="27">
    <w:nsid w:val="2219676F"/>
    <w:multiLevelType w:val="singleLevel"/>
    <w:tmpl w:val="2219676F"/>
    <w:lvl w:ilvl="0" w:tentative="0">
      <w:start w:val="1"/>
      <w:numFmt w:val="decimal"/>
      <w:suff w:val="nothing"/>
      <w:lvlText w:val="%1．"/>
      <w:lvlJc w:val="left"/>
      <w:pPr>
        <w:ind w:left="0" w:firstLine="400"/>
      </w:pPr>
      <w:rPr>
        <w:rFonts w:hint="default"/>
      </w:rPr>
    </w:lvl>
  </w:abstractNum>
  <w:abstractNum w:abstractNumId="28">
    <w:nsid w:val="40C32C46"/>
    <w:multiLevelType w:val="multilevel"/>
    <w:tmpl w:val="40C32C46"/>
    <w:lvl w:ilvl="0" w:tentative="0">
      <w:start w:val="2"/>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30">
    <w:nsid w:val="514DAEB5"/>
    <w:multiLevelType w:val="singleLevel"/>
    <w:tmpl w:val="514DAEB5"/>
    <w:lvl w:ilvl="0" w:tentative="0">
      <w:start w:val="1"/>
      <w:numFmt w:val="decimal"/>
      <w:suff w:val="nothing"/>
      <w:lvlText w:val="%1．"/>
      <w:lvlJc w:val="left"/>
      <w:pPr>
        <w:ind w:left="0" w:firstLine="400"/>
      </w:pPr>
      <w:rPr>
        <w:rFonts w:hint="default"/>
      </w:rPr>
    </w:lvl>
  </w:abstractNum>
  <w:abstractNum w:abstractNumId="31">
    <w:nsid w:val="5F330199"/>
    <w:multiLevelType w:val="multilevel"/>
    <w:tmpl w:val="5F33019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1C91FB3"/>
    <w:multiLevelType w:val="multilevel"/>
    <w:tmpl w:val="61C91FB3"/>
    <w:lvl w:ilvl="0" w:tentative="0">
      <w:start w:val="1"/>
      <w:numFmt w:val="decimal"/>
      <w:pStyle w:val="57"/>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3">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4">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2"/>
  </w:num>
  <w:num w:numId="2">
    <w:abstractNumId w:val="34"/>
  </w:num>
  <w:num w:numId="3">
    <w:abstractNumId w:val="11"/>
  </w:num>
  <w:num w:numId="4">
    <w:abstractNumId w:val="10"/>
  </w:num>
  <w:num w:numId="5">
    <w:abstractNumId w:val="13"/>
  </w:num>
  <w:num w:numId="6">
    <w:abstractNumId w:val="21"/>
  </w:num>
  <w:num w:numId="7">
    <w:abstractNumId w:val="18"/>
  </w:num>
  <w:num w:numId="8">
    <w:abstractNumId w:val="20"/>
  </w:num>
  <w:num w:numId="9">
    <w:abstractNumId w:val="35"/>
  </w:num>
  <w:num w:numId="10">
    <w:abstractNumId w:val="16"/>
  </w:num>
  <w:num w:numId="11">
    <w:abstractNumId w:val="17"/>
  </w:num>
  <w:num w:numId="12">
    <w:abstractNumId w:val="12"/>
  </w:num>
  <w:num w:numId="13">
    <w:abstractNumId w:val="2"/>
  </w:num>
  <w:num w:numId="14">
    <w:abstractNumId w:val="19"/>
  </w:num>
  <w:num w:numId="15">
    <w:abstractNumId w:val="14"/>
  </w:num>
  <w:num w:numId="16">
    <w:abstractNumId w:val="15"/>
  </w:num>
  <w:num w:numId="17">
    <w:abstractNumId w:val="22"/>
  </w:num>
  <w:num w:numId="18">
    <w:abstractNumId w:val="7"/>
  </w:num>
  <w:num w:numId="19">
    <w:abstractNumId w:val="0"/>
  </w:num>
  <w:num w:numId="20">
    <w:abstractNumId w:val="33"/>
  </w:num>
  <w:num w:numId="21">
    <w:abstractNumId w:val="5"/>
  </w:num>
  <w:num w:numId="22">
    <w:abstractNumId w:val="26"/>
  </w:num>
  <w:num w:numId="23">
    <w:abstractNumId w:val="4"/>
  </w:num>
  <w:num w:numId="24">
    <w:abstractNumId w:val="6"/>
  </w:num>
  <w:num w:numId="25">
    <w:abstractNumId w:val="8"/>
  </w:num>
  <w:num w:numId="26">
    <w:abstractNumId w:val="30"/>
  </w:num>
  <w:num w:numId="27">
    <w:abstractNumId w:val="24"/>
  </w:num>
  <w:num w:numId="28">
    <w:abstractNumId w:val="27"/>
  </w:num>
  <w:num w:numId="29">
    <w:abstractNumId w:val="1"/>
  </w:num>
  <w:num w:numId="30">
    <w:abstractNumId w:val="29"/>
  </w:num>
  <w:num w:numId="31">
    <w:abstractNumId w:val="31"/>
  </w:num>
  <w:num w:numId="32">
    <w:abstractNumId w:val="23"/>
  </w:num>
  <w:num w:numId="33">
    <w:abstractNumId w:val="25"/>
  </w:num>
  <w:num w:numId="34">
    <w:abstractNumId w:val="28"/>
  </w:num>
  <w:num w:numId="35">
    <w:abstractNumId w:val="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OTBkMTM2NTFiZTgyZThjMmVjYWFlOGJjYTJlNGMifQ=="/>
  </w:docVars>
  <w:rsids>
    <w:rsidRoot w:val="00CD6746"/>
    <w:rsid w:val="00002209"/>
    <w:rsid w:val="00010E87"/>
    <w:rsid w:val="00017920"/>
    <w:rsid w:val="00046C7A"/>
    <w:rsid w:val="000802B4"/>
    <w:rsid w:val="000B78F9"/>
    <w:rsid w:val="000C1346"/>
    <w:rsid w:val="000D11D0"/>
    <w:rsid w:val="000E618F"/>
    <w:rsid w:val="001362B5"/>
    <w:rsid w:val="001722E2"/>
    <w:rsid w:val="001B5FCD"/>
    <w:rsid w:val="001C6521"/>
    <w:rsid w:val="00224B63"/>
    <w:rsid w:val="0026550F"/>
    <w:rsid w:val="00293F84"/>
    <w:rsid w:val="002F4EEF"/>
    <w:rsid w:val="003525B4"/>
    <w:rsid w:val="00367145"/>
    <w:rsid w:val="00371AB3"/>
    <w:rsid w:val="003A00F9"/>
    <w:rsid w:val="003B1312"/>
    <w:rsid w:val="00411F28"/>
    <w:rsid w:val="00427082"/>
    <w:rsid w:val="0044502A"/>
    <w:rsid w:val="00450D7D"/>
    <w:rsid w:val="00451648"/>
    <w:rsid w:val="00451C63"/>
    <w:rsid w:val="004C0DAD"/>
    <w:rsid w:val="004C5425"/>
    <w:rsid w:val="004D7813"/>
    <w:rsid w:val="00553944"/>
    <w:rsid w:val="00561D6D"/>
    <w:rsid w:val="005B0A7C"/>
    <w:rsid w:val="005B7971"/>
    <w:rsid w:val="00643E84"/>
    <w:rsid w:val="0064661C"/>
    <w:rsid w:val="006609C0"/>
    <w:rsid w:val="006A31BD"/>
    <w:rsid w:val="006A6A05"/>
    <w:rsid w:val="006A7317"/>
    <w:rsid w:val="006E7A33"/>
    <w:rsid w:val="00763F7B"/>
    <w:rsid w:val="007C268B"/>
    <w:rsid w:val="00810666"/>
    <w:rsid w:val="00895C97"/>
    <w:rsid w:val="008C23B2"/>
    <w:rsid w:val="00993496"/>
    <w:rsid w:val="00995E81"/>
    <w:rsid w:val="009D2146"/>
    <w:rsid w:val="00AB610C"/>
    <w:rsid w:val="00AC4A5E"/>
    <w:rsid w:val="00AC4E1A"/>
    <w:rsid w:val="00B048F6"/>
    <w:rsid w:val="00B11B43"/>
    <w:rsid w:val="00B5717E"/>
    <w:rsid w:val="00BB31F2"/>
    <w:rsid w:val="00BB3236"/>
    <w:rsid w:val="00C13189"/>
    <w:rsid w:val="00C16302"/>
    <w:rsid w:val="00C946C8"/>
    <w:rsid w:val="00CA71C7"/>
    <w:rsid w:val="00CC659D"/>
    <w:rsid w:val="00CD6746"/>
    <w:rsid w:val="00D32D61"/>
    <w:rsid w:val="00D4194F"/>
    <w:rsid w:val="00DC5486"/>
    <w:rsid w:val="00DD5DF5"/>
    <w:rsid w:val="00E47644"/>
    <w:rsid w:val="00E6656A"/>
    <w:rsid w:val="00E931CA"/>
    <w:rsid w:val="00ED7B43"/>
    <w:rsid w:val="00F03F37"/>
    <w:rsid w:val="00F213A8"/>
    <w:rsid w:val="00F24634"/>
    <w:rsid w:val="00F56231"/>
    <w:rsid w:val="00FC1656"/>
    <w:rsid w:val="011D0AED"/>
    <w:rsid w:val="01274FF8"/>
    <w:rsid w:val="01E43A9D"/>
    <w:rsid w:val="02197961"/>
    <w:rsid w:val="02D24484"/>
    <w:rsid w:val="0390360A"/>
    <w:rsid w:val="039C74BF"/>
    <w:rsid w:val="04824617"/>
    <w:rsid w:val="04D83AD1"/>
    <w:rsid w:val="05380AFF"/>
    <w:rsid w:val="055022DD"/>
    <w:rsid w:val="07B211EB"/>
    <w:rsid w:val="07E27C7A"/>
    <w:rsid w:val="097769B8"/>
    <w:rsid w:val="0A0C1598"/>
    <w:rsid w:val="0A0D1766"/>
    <w:rsid w:val="0A474359"/>
    <w:rsid w:val="0B681B73"/>
    <w:rsid w:val="0EF123DD"/>
    <w:rsid w:val="0FA90764"/>
    <w:rsid w:val="10AD5132"/>
    <w:rsid w:val="10CE6F3F"/>
    <w:rsid w:val="10DC4179"/>
    <w:rsid w:val="127D5FE1"/>
    <w:rsid w:val="12D60804"/>
    <w:rsid w:val="131F731B"/>
    <w:rsid w:val="134C3973"/>
    <w:rsid w:val="13855179"/>
    <w:rsid w:val="14362C14"/>
    <w:rsid w:val="144607CD"/>
    <w:rsid w:val="14E775D9"/>
    <w:rsid w:val="16F0162C"/>
    <w:rsid w:val="17204078"/>
    <w:rsid w:val="175D20E7"/>
    <w:rsid w:val="17951D53"/>
    <w:rsid w:val="17F42F7B"/>
    <w:rsid w:val="189F6425"/>
    <w:rsid w:val="194873ED"/>
    <w:rsid w:val="194A795A"/>
    <w:rsid w:val="19996BF0"/>
    <w:rsid w:val="1A832753"/>
    <w:rsid w:val="1AB7139C"/>
    <w:rsid w:val="1B55070F"/>
    <w:rsid w:val="1C1A3373"/>
    <w:rsid w:val="1C74219B"/>
    <w:rsid w:val="1CA9457D"/>
    <w:rsid w:val="1CFE561E"/>
    <w:rsid w:val="1FED6319"/>
    <w:rsid w:val="201179B6"/>
    <w:rsid w:val="20512598"/>
    <w:rsid w:val="20643D84"/>
    <w:rsid w:val="20E12C42"/>
    <w:rsid w:val="211D2FFF"/>
    <w:rsid w:val="22AE0075"/>
    <w:rsid w:val="23701F89"/>
    <w:rsid w:val="23E20B30"/>
    <w:rsid w:val="25074D3A"/>
    <w:rsid w:val="25722EEF"/>
    <w:rsid w:val="267E7AA6"/>
    <w:rsid w:val="27A0246B"/>
    <w:rsid w:val="27A25135"/>
    <w:rsid w:val="27AB3D4E"/>
    <w:rsid w:val="27CB4942"/>
    <w:rsid w:val="28497097"/>
    <w:rsid w:val="28577A06"/>
    <w:rsid w:val="292170A7"/>
    <w:rsid w:val="2A4F3B9E"/>
    <w:rsid w:val="2A5D30E7"/>
    <w:rsid w:val="2BAE17FF"/>
    <w:rsid w:val="2BE91F37"/>
    <w:rsid w:val="2C7A749B"/>
    <w:rsid w:val="2CF325E7"/>
    <w:rsid w:val="2D394F92"/>
    <w:rsid w:val="2D8C35AC"/>
    <w:rsid w:val="2D8D700C"/>
    <w:rsid w:val="2DE46FCA"/>
    <w:rsid w:val="2DF54CEF"/>
    <w:rsid w:val="2F922452"/>
    <w:rsid w:val="2FD76B14"/>
    <w:rsid w:val="30856178"/>
    <w:rsid w:val="323F36A4"/>
    <w:rsid w:val="34122848"/>
    <w:rsid w:val="341A30EC"/>
    <w:rsid w:val="34402E73"/>
    <w:rsid w:val="363F6564"/>
    <w:rsid w:val="367A561E"/>
    <w:rsid w:val="370E5AB9"/>
    <w:rsid w:val="373B5261"/>
    <w:rsid w:val="3879381B"/>
    <w:rsid w:val="38DA2725"/>
    <w:rsid w:val="38F76E7A"/>
    <w:rsid w:val="39644506"/>
    <w:rsid w:val="396E7463"/>
    <w:rsid w:val="397702BB"/>
    <w:rsid w:val="3A3B0A05"/>
    <w:rsid w:val="3B274F84"/>
    <w:rsid w:val="3B665F58"/>
    <w:rsid w:val="3BAF5709"/>
    <w:rsid w:val="3C294FC1"/>
    <w:rsid w:val="3C735860"/>
    <w:rsid w:val="3D602EC0"/>
    <w:rsid w:val="3D6B3046"/>
    <w:rsid w:val="3F2A0CE7"/>
    <w:rsid w:val="400A66DC"/>
    <w:rsid w:val="40D5116A"/>
    <w:rsid w:val="41E16035"/>
    <w:rsid w:val="43255009"/>
    <w:rsid w:val="436822EB"/>
    <w:rsid w:val="43E2309D"/>
    <w:rsid w:val="446316C8"/>
    <w:rsid w:val="457703BB"/>
    <w:rsid w:val="461D61E6"/>
    <w:rsid w:val="465B07E0"/>
    <w:rsid w:val="465B19C6"/>
    <w:rsid w:val="46D87095"/>
    <w:rsid w:val="46F359A1"/>
    <w:rsid w:val="47197D94"/>
    <w:rsid w:val="4766166B"/>
    <w:rsid w:val="47CF2F88"/>
    <w:rsid w:val="47FE4D25"/>
    <w:rsid w:val="486B260B"/>
    <w:rsid w:val="499015D2"/>
    <w:rsid w:val="49B7682C"/>
    <w:rsid w:val="4A6142EA"/>
    <w:rsid w:val="4A7C50FD"/>
    <w:rsid w:val="4B9C5A94"/>
    <w:rsid w:val="4BC573A8"/>
    <w:rsid w:val="4BE13907"/>
    <w:rsid w:val="4C1C3E43"/>
    <w:rsid w:val="4CBD124A"/>
    <w:rsid w:val="4DF55A70"/>
    <w:rsid w:val="4ECB70F3"/>
    <w:rsid w:val="4F5D3335"/>
    <w:rsid w:val="4F6164F5"/>
    <w:rsid w:val="4FA97952"/>
    <w:rsid w:val="4FD35314"/>
    <w:rsid w:val="506F4E1E"/>
    <w:rsid w:val="51F35615"/>
    <w:rsid w:val="53F44CB7"/>
    <w:rsid w:val="540E20B0"/>
    <w:rsid w:val="55482FE4"/>
    <w:rsid w:val="55D40B98"/>
    <w:rsid w:val="56F02839"/>
    <w:rsid w:val="576D6D37"/>
    <w:rsid w:val="583D2F87"/>
    <w:rsid w:val="58A514A0"/>
    <w:rsid w:val="58D20B4F"/>
    <w:rsid w:val="59B33345"/>
    <w:rsid w:val="5A431DCD"/>
    <w:rsid w:val="5A4474E6"/>
    <w:rsid w:val="5D1C7AB0"/>
    <w:rsid w:val="5DFE4642"/>
    <w:rsid w:val="5F5C34DD"/>
    <w:rsid w:val="5F99219D"/>
    <w:rsid w:val="60AB6EDD"/>
    <w:rsid w:val="63007260"/>
    <w:rsid w:val="63160A12"/>
    <w:rsid w:val="641D786A"/>
    <w:rsid w:val="64795514"/>
    <w:rsid w:val="65172004"/>
    <w:rsid w:val="65F9165C"/>
    <w:rsid w:val="662A24AA"/>
    <w:rsid w:val="66951383"/>
    <w:rsid w:val="67404828"/>
    <w:rsid w:val="68355FE4"/>
    <w:rsid w:val="68D67726"/>
    <w:rsid w:val="69F04C89"/>
    <w:rsid w:val="6A6E2984"/>
    <w:rsid w:val="6B253BC7"/>
    <w:rsid w:val="6B924AC0"/>
    <w:rsid w:val="6BBB40EC"/>
    <w:rsid w:val="6BE14F0E"/>
    <w:rsid w:val="6C6E57C2"/>
    <w:rsid w:val="6CEE2778"/>
    <w:rsid w:val="6DEC77D0"/>
    <w:rsid w:val="6ED75C55"/>
    <w:rsid w:val="6F9371EB"/>
    <w:rsid w:val="6FDB3E77"/>
    <w:rsid w:val="7150636D"/>
    <w:rsid w:val="71B740EC"/>
    <w:rsid w:val="72223A16"/>
    <w:rsid w:val="72245523"/>
    <w:rsid w:val="72BB0AD8"/>
    <w:rsid w:val="72C1286E"/>
    <w:rsid w:val="74277D91"/>
    <w:rsid w:val="7465193A"/>
    <w:rsid w:val="759E0068"/>
    <w:rsid w:val="76110A91"/>
    <w:rsid w:val="7649793B"/>
    <w:rsid w:val="76F31C74"/>
    <w:rsid w:val="77AD0A02"/>
    <w:rsid w:val="785A05EC"/>
    <w:rsid w:val="78A35E38"/>
    <w:rsid w:val="79E93803"/>
    <w:rsid w:val="79F57DFF"/>
    <w:rsid w:val="7A316A2D"/>
    <w:rsid w:val="7AEE79C2"/>
    <w:rsid w:val="7B933E36"/>
    <w:rsid w:val="7C200EF9"/>
    <w:rsid w:val="7C2C6B59"/>
    <w:rsid w:val="7D7B47E8"/>
    <w:rsid w:val="7E6F0C8B"/>
    <w:rsid w:val="7EA44C35"/>
    <w:rsid w:val="7F0A5FAD"/>
    <w:rsid w:val="7F9D77A7"/>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autoRedefine/>
    <w:qFormat/>
    <w:uiPriority w:val="0"/>
    <w:pPr>
      <w:keepNext/>
      <w:jc w:val="center"/>
      <w:outlineLvl w:val="0"/>
    </w:pPr>
    <w:rPr>
      <w:rFonts w:ascii="Tahoma" w:eastAsia="Tahoma"/>
      <w:b/>
      <w:bCs/>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3" w:lineRule="auto"/>
      <w:outlineLvl w:val="2"/>
    </w:pPr>
    <w:rPr>
      <w:b/>
      <w:bCs/>
      <w:sz w:val="32"/>
      <w:szCs w:val="32"/>
    </w:rPr>
  </w:style>
  <w:style w:type="paragraph" w:styleId="8">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autoSpaceDE w:val="0"/>
      <w:autoSpaceDN w:val="0"/>
      <w:adjustRightInd w:val="0"/>
      <w:ind w:firstLine="420" w:firstLineChars="100"/>
      <w:jc w:val="left"/>
    </w:pPr>
  </w:style>
  <w:style w:type="paragraph" w:styleId="3">
    <w:name w:val="Body Text"/>
    <w:basedOn w:val="1"/>
    <w:next w:val="2"/>
    <w:autoRedefine/>
    <w:qFormat/>
    <w:uiPriority w:val="0"/>
    <w:pPr>
      <w:spacing w:after="120"/>
    </w:pPr>
    <w:rPr>
      <w:rFonts w:eastAsia="宋体,Verdana,Arial"/>
    </w:rPr>
  </w:style>
  <w:style w:type="paragraph" w:styleId="4">
    <w:name w:val="toc 6"/>
    <w:basedOn w:val="1"/>
    <w:next w:val="1"/>
    <w:autoRedefine/>
    <w:semiHidden/>
    <w:qFormat/>
    <w:uiPriority w:val="0"/>
    <w:pPr>
      <w:ind w:left="1050"/>
      <w:jc w:val="left"/>
    </w:pPr>
    <w:rPr>
      <w:sz w:val="18"/>
      <w:szCs w:val="18"/>
    </w:rPr>
  </w:style>
  <w:style w:type="paragraph" w:styleId="10">
    <w:name w:val="Normal Indent"/>
    <w:basedOn w:val="1"/>
    <w:autoRedefine/>
    <w:qFormat/>
    <w:uiPriority w:val="0"/>
    <w:pPr>
      <w:adjustRightInd w:val="0"/>
      <w:spacing w:line="312" w:lineRule="atLeast"/>
      <w:ind w:firstLine="420"/>
      <w:textAlignment w:val="baseline"/>
    </w:pPr>
    <w:rPr>
      <w:kern w:val="0"/>
      <w:szCs w:val="20"/>
    </w:rPr>
  </w:style>
  <w:style w:type="paragraph" w:styleId="11">
    <w:name w:val="annotation text"/>
    <w:basedOn w:val="1"/>
    <w:link w:val="38"/>
    <w:autoRedefine/>
    <w:qFormat/>
    <w:uiPriority w:val="0"/>
    <w:pPr>
      <w:jc w:val="left"/>
    </w:pPr>
  </w:style>
  <w:style w:type="paragraph" w:styleId="12">
    <w:name w:val="Body Text Indent"/>
    <w:basedOn w:val="1"/>
    <w:next w:val="1"/>
    <w:autoRedefine/>
    <w:qFormat/>
    <w:uiPriority w:val="0"/>
    <w:pPr>
      <w:ind w:left="480" w:hanging="480" w:hangingChars="200"/>
    </w:pPr>
    <w:rPr>
      <w:sz w:val="24"/>
    </w:rPr>
  </w:style>
  <w:style w:type="paragraph" w:styleId="13">
    <w:name w:val="Block Text"/>
    <w:basedOn w:val="1"/>
    <w:autoRedefine/>
    <w:qFormat/>
    <w:uiPriority w:val="0"/>
    <w:pPr>
      <w:spacing w:before="156" w:beforeLines="50" w:after="156" w:afterLines="50"/>
      <w:ind w:left="426" w:right="-11" w:hanging="426" w:hangingChars="203"/>
    </w:pPr>
    <w:rPr>
      <w:rFonts w:eastAsia="楷体_GB2312"/>
    </w:rPr>
  </w:style>
  <w:style w:type="paragraph" w:styleId="14">
    <w:name w:val="Plain Text"/>
    <w:basedOn w:val="1"/>
    <w:autoRedefine/>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5">
    <w:name w:val="Date"/>
    <w:basedOn w:val="1"/>
    <w:next w:val="1"/>
    <w:autoRedefine/>
    <w:qFormat/>
    <w:uiPriority w:val="0"/>
    <w:pPr>
      <w:ind w:left="100" w:leftChars="2500"/>
    </w:pPr>
    <w:rPr>
      <w:rFonts w:ascii="Times New Roman" w:hAnsi="Times New Roman"/>
    </w:rPr>
  </w:style>
  <w:style w:type="paragraph" w:styleId="16">
    <w:name w:val="Body Text Indent 2"/>
    <w:basedOn w:val="1"/>
    <w:autoRedefine/>
    <w:qFormat/>
    <w:uiPriority w:val="0"/>
    <w:pPr>
      <w:ind w:firstLine="568" w:firstLineChars="203"/>
    </w:pPr>
    <w:rPr>
      <w:rFonts w:ascii="宋体" w:hAnsi="宋体"/>
      <w:sz w:val="28"/>
    </w:rPr>
  </w:style>
  <w:style w:type="paragraph" w:styleId="17">
    <w:name w:val="Balloon Text"/>
    <w:basedOn w:val="1"/>
    <w:link w:val="63"/>
    <w:autoRedefine/>
    <w:qFormat/>
    <w:uiPriority w:val="0"/>
    <w:rPr>
      <w:sz w:val="18"/>
      <w:szCs w:val="18"/>
    </w:rPr>
  </w:style>
  <w:style w:type="paragraph" w:styleId="18">
    <w:name w:val="footer"/>
    <w:basedOn w:val="1"/>
    <w:autoRedefine/>
    <w:qFormat/>
    <w:uiPriority w:val="99"/>
    <w:pPr>
      <w:tabs>
        <w:tab w:val="center" w:pos="4153"/>
        <w:tab w:val="right" w:pos="8306"/>
      </w:tabs>
      <w:snapToGrid w:val="0"/>
      <w:jc w:val="left"/>
    </w:pPr>
    <w:rPr>
      <w:rFonts w:ascii="Times New Roman" w:hAnsi="Times New Roman" w:eastAsia="宋体"/>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20">
    <w:name w:val="toc 1"/>
    <w:basedOn w:val="1"/>
    <w:next w:val="1"/>
    <w:autoRedefine/>
    <w:qFormat/>
    <w:uiPriority w:val="39"/>
    <w:pPr>
      <w:tabs>
        <w:tab w:val="right" w:leader="dot" w:pos="9660"/>
      </w:tabs>
      <w:spacing w:line="480" w:lineRule="auto"/>
    </w:pPr>
  </w:style>
  <w:style w:type="paragraph" w:styleId="21">
    <w:name w:val="toc 4"/>
    <w:basedOn w:val="1"/>
    <w:next w:val="1"/>
    <w:autoRedefine/>
    <w:qFormat/>
    <w:uiPriority w:val="0"/>
    <w:pPr>
      <w:wordWrap w:val="0"/>
      <w:ind w:left="850"/>
    </w:pPr>
  </w:style>
  <w:style w:type="paragraph" w:styleId="22">
    <w:name w:val="Normal (Web)"/>
    <w:basedOn w:val="1"/>
    <w:autoRedefine/>
    <w:qFormat/>
    <w:uiPriority w:val="0"/>
    <w:pPr>
      <w:spacing w:after="210"/>
      <w:jc w:val="left"/>
    </w:pPr>
    <w:rPr>
      <w:kern w:val="0"/>
      <w:sz w:val="24"/>
    </w:rPr>
  </w:style>
  <w:style w:type="paragraph" w:styleId="23">
    <w:name w:val="annotation subject"/>
    <w:basedOn w:val="11"/>
    <w:next w:val="11"/>
    <w:link w:val="39"/>
    <w:autoRedefine/>
    <w:qFormat/>
    <w:uiPriority w:val="0"/>
    <w:rPr>
      <w:b/>
      <w:bCs/>
    </w:rPr>
  </w:style>
  <w:style w:type="paragraph" w:styleId="24">
    <w:name w:val="Body Text First Indent 2"/>
    <w:basedOn w:val="12"/>
    <w:autoRedefine/>
    <w:qFormat/>
    <w:uiPriority w:val="99"/>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FollowedHyperlink"/>
    <w:basedOn w:val="27"/>
    <w:autoRedefine/>
    <w:qFormat/>
    <w:uiPriority w:val="0"/>
    <w:rPr>
      <w:color w:val="1890FF"/>
      <w:u w:val="none"/>
    </w:rPr>
  </w:style>
  <w:style w:type="character" w:styleId="30">
    <w:name w:val="HTML Definition"/>
    <w:basedOn w:val="27"/>
    <w:autoRedefine/>
    <w:qFormat/>
    <w:uiPriority w:val="0"/>
    <w:rPr>
      <w:i/>
      <w:iCs/>
    </w:rPr>
  </w:style>
  <w:style w:type="character" w:styleId="31">
    <w:name w:val="Hyperlink"/>
    <w:autoRedefine/>
    <w:qFormat/>
    <w:uiPriority w:val="99"/>
    <w:rPr>
      <w:color w:val="0000FF"/>
      <w:u w:val="single"/>
    </w:rPr>
  </w:style>
  <w:style w:type="character" w:styleId="32">
    <w:name w:val="HTML Code"/>
    <w:basedOn w:val="27"/>
    <w:autoRedefine/>
    <w:qFormat/>
    <w:uiPriority w:val="0"/>
    <w:rPr>
      <w:rFonts w:ascii="Consolas" w:hAnsi="Consolas" w:eastAsia="Consolas" w:cs="Consolas"/>
      <w:sz w:val="21"/>
      <w:szCs w:val="21"/>
    </w:rPr>
  </w:style>
  <w:style w:type="character" w:styleId="33">
    <w:name w:val="annotation reference"/>
    <w:basedOn w:val="27"/>
    <w:autoRedefine/>
    <w:qFormat/>
    <w:uiPriority w:val="0"/>
    <w:rPr>
      <w:sz w:val="21"/>
      <w:szCs w:val="21"/>
    </w:rPr>
  </w:style>
  <w:style w:type="character" w:styleId="34">
    <w:name w:val="HTML Keyboard"/>
    <w:basedOn w:val="27"/>
    <w:autoRedefine/>
    <w:qFormat/>
    <w:uiPriority w:val="0"/>
    <w:rPr>
      <w:rFonts w:hint="default" w:ascii="Consolas" w:hAnsi="Consolas" w:eastAsia="Consolas" w:cs="Consolas"/>
      <w:sz w:val="21"/>
      <w:szCs w:val="21"/>
    </w:rPr>
  </w:style>
  <w:style w:type="character" w:styleId="35">
    <w:name w:val="HTML Sample"/>
    <w:basedOn w:val="27"/>
    <w:autoRedefine/>
    <w:qFormat/>
    <w:uiPriority w:val="0"/>
    <w:rPr>
      <w:rFonts w:hint="default" w:ascii="Consolas" w:hAnsi="Consolas" w:eastAsia="Consolas" w:cs="Consolas"/>
      <w:sz w:val="21"/>
      <w:szCs w:val="21"/>
    </w:rPr>
  </w:style>
  <w:style w:type="paragraph" w:customStyle="1" w:styleId="36">
    <w:name w:val="[Normal]"/>
    <w:autoRedefine/>
    <w:qFormat/>
    <w:uiPriority w:val="0"/>
    <w:rPr>
      <w:rFonts w:ascii="宋体" w:hAnsi="宋体" w:eastAsia="宋体" w:cs="Times New Roman"/>
      <w:sz w:val="24"/>
      <w:szCs w:val="22"/>
      <w:lang w:val="zh-CN" w:eastAsia="zh-CN" w:bidi="ar-SA"/>
    </w:rPr>
  </w:style>
  <w:style w:type="paragraph" w:customStyle="1" w:styleId="37">
    <w:name w:val="正文文本首行缩进1"/>
    <w:basedOn w:val="3"/>
    <w:autoRedefine/>
    <w:qFormat/>
    <w:uiPriority w:val="0"/>
    <w:pPr>
      <w:ind w:firstLine="420" w:firstLineChars="100"/>
    </w:pPr>
    <w:rPr>
      <w:szCs w:val="21"/>
    </w:rPr>
  </w:style>
  <w:style w:type="character" w:customStyle="1" w:styleId="38">
    <w:name w:val="批注文字 Char"/>
    <w:basedOn w:val="27"/>
    <w:link w:val="11"/>
    <w:autoRedefine/>
    <w:qFormat/>
    <w:uiPriority w:val="0"/>
    <w:rPr>
      <w:rFonts w:ascii="等线" w:hAnsi="等线" w:eastAsia="等线"/>
      <w:kern w:val="2"/>
      <w:sz w:val="21"/>
      <w:szCs w:val="22"/>
    </w:rPr>
  </w:style>
  <w:style w:type="character" w:customStyle="1" w:styleId="39">
    <w:name w:val="批注主题 Char"/>
    <w:basedOn w:val="38"/>
    <w:link w:val="23"/>
    <w:autoRedefine/>
    <w:qFormat/>
    <w:uiPriority w:val="0"/>
    <w:rPr>
      <w:rFonts w:ascii="等线" w:hAnsi="等线" w:eastAsia="等线"/>
      <w:b/>
      <w:bCs/>
      <w:kern w:val="2"/>
      <w:sz w:val="21"/>
      <w:szCs w:val="22"/>
    </w:rPr>
  </w:style>
  <w:style w:type="character" w:customStyle="1" w:styleId="40">
    <w:name w:val="user-acct"/>
    <w:basedOn w:val="27"/>
    <w:autoRedefine/>
    <w:qFormat/>
    <w:uiPriority w:val="0"/>
    <w:rPr>
      <w:color w:val="7C7070"/>
    </w:rPr>
  </w:style>
  <w:style w:type="character" w:customStyle="1" w:styleId="41">
    <w:name w:val="hover12"/>
    <w:basedOn w:val="27"/>
    <w:autoRedefine/>
    <w:qFormat/>
    <w:uiPriority w:val="0"/>
  </w:style>
  <w:style w:type="character" w:customStyle="1" w:styleId="42">
    <w:name w:val="current"/>
    <w:basedOn w:val="27"/>
    <w:autoRedefine/>
    <w:qFormat/>
    <w:uiPriority w:val="0"/>
    <w:rPr>
      <w:color w:val="00C1DE"/>
    </w:rPr>
  </w:style>
  <w:style w:type="character" w:customStyle="1" w:styleId="43">
    <w:name w:val="current1"/>
    <w:basedOn w:val="27"/>
    <w:autoRedefine/>
    <w:qFormat/>
    <w:uiPriority w:val="0"/>
    <w:rPr>
      <w:color w:val="00C1DE"/>
    </w:rPr>
  </w:style>
  <w:style w:type="character" w:customStyle="1" w:styleId="44">
    <w:name w:val="selected"/>
    <w:basedOn w:val="27"/>
    <w:autoRedefine/>
    <w:qFormat/>
    <w:uiPriority w:val="0"/>
    <w:rPr>
      <w:color w:val="1C81FE"/>
    </w:rPr>
  </w:style>
  <w:style w:type="character" w:customStyle="1" w:styleId="45">
    <w:name w:val="selected1"/>
    <w:basedOn w:val="27"/>
    <w:autoRedefine/>
    <w:qFormat/>
    <w:uiPriority w:val="0"/>
    <w:rPr>
      <w:color w:val="1C81FE"/>
    </w:rPr>
  </w:style>
  <w:style w:type="character" w:customStyle="1" w:styleId="46">
    <w:name w:val="desc"/>
    <w:basedOn w:val="27"/>
    <w:autoRedefine/>
    <w:qFormat/>
    <w:uiPriority w:val="0"/>
    <w:rPr>
      <w:b/>
      <w:bCs/>
      <w:color w:val="404040"/>
    </w:rPr>
  </w:style>
  <w:style w:type="character" w:customStyle="1" w:styleId="47">
    <w:name w:val="desc1"/>
    <w:basedOn w:val="27"/>
    <w:autoRedefine/>
    <w:qFormat/>
    <w:uiPriority w:val="0"/>
    <w:rPr>
      <w:b/>
      <w:bCs/>
      <w:color w:val="404040"/>
    </w:rPr>
  </w:style>
  <w:style w:type="character" w:customStyle="1" w:styleId="48">
    <w:name w:val="helper"/>
    <w:basedOn w:val="27"/>
    <w:autoRedefine/>
    <w:qFormat/>
    <w:uiPriority w:val="0"/>
    <w:rPr>
      <w:b/>
      <w:bCs/>
      <w:color w:val="404040"/>
      <w:sz w:val="38"/>
      <w:szCs w:val="38"/>
    </w:rPr>
  </w:style>
  <w:style w:type="character" w:customStyle="1" w:styleId="49">
    <w:name w:val="icon6"/>
    <w:basedOn w:val="27"/>
    <w:autoRedefine/>
    <w:qFormat/>
    <w:uiPriority w:val="0"/>
  </w:style>
  <w:style w:type="character" w:customStyle="1" w:styleId="50">
    <w:name w:val="ant-typography-ellipsis"/>
    <w:basedOn w:val="27"/>
    <w:autoRedefine/>
    <w:qFormat/>
    <w:uiPriority w:val="0"/>
  </w:style>
  <w:style w:type="character" w:customStyle="1" w:styleId="51">
    <w:name w:val="ant-radio+*"/>
    <w:basedOn w:val="27"/>
    <w:autoRedefine/>
    <w:qFormat/>
    <w:uiPriority w:val="0"/>
  </w:style>
  <w:style w:type="character" w:customStyle="1" w:styleId="52">
    <w:name w:val="content72"/>
    <w:basedOn w:val="27"/>
    <w:autoRedefine/>
    <w:qFormat/>
    <w:uiPriority w:val="0"/>
    <w:rPr>
      <w:color w:val="7C7070"/>
      <w:sz w:val="14"/>
      <w:szCs w:val="14"/>
    </w:rPr>
  </w:style>
  <w:style w:type="character" w:customStyle="1" w:styleId="53">
    <w:name w:val="info-label"/>
    <w:basedOn w:val="27"/>
    <w:autoRedefine/>
    <w:qFormat/>
    <w:uiPriority w:val="0"/>
    <w:rPr>
      <w:b/>
      <w:bCs/>
    </w:rPr>
  </w:style>
  <w:style w:type="character" w:customStyle="1" w:styleId="54">
    <w:name w:val="info-content"/>
    <w:basedOn w:val="27"/>
    <w:autoRedefine/>
    <w:qFormat/>
    <w:uiPriority w:val="0"/>
    <w:rPr>
      <w:color w:val="808080"/>
    </w:rPr>
  </w:style>
  <w:style w:type="character" w:customStyle="1" w:styleId="55">
    <w:name w:val="phone-number1"/>
    <w:basedOn w:val="27"/>
    <w:autoRedefine/>
    <w:qFormat/>
    <w:uiPriority w:val="0"/>
    <w:rPr>
      <w:color w:val="0876FF"/>
    </w:rPr>
  </w:style>
  <w:style w:type="paragraph" w:styleId="56">
    <w:name w:val="List Paragraph"/>
    <w:basedOn w:val="1"/>
    <w:autoRedefine/>
    <w:qFormat/>
    <w:uiPriority w:val="34"/>
    <w:pPr>
      <w:ind w:firstLine="420" w:firstLineChars="200"/>
    </w:pPr>
  </w:style>
  <w:style w:type="paragraph" w:customStyle="1" w:styleId="57">
    <w:name w:val="格式条款-2 Char Char"/>
    <w:basedOn w:val="1"/>
    <w:autoRedefine/>
    <w:qFormat/>
    <w:uiPriority w:val="99"/>
    <w:pPr>
      <w:numPr>
        <w:ilvl w:val="0"/>
        <w:numId w:val="1"/>
      </w:numPr>
      <w:tabs>
        <w:tab w:val="left" w:pos="735"/>
        <w:tab w:val="clear" w:pos="0"/>
      </w:tabs>
    </w:pPr>
    <w:rPr>
      <w:rFonts w:ascii="宋体" w:hAnsi="宋体"/>
      <w:sz w:val="24"/>
      <w:szCs w:val="24"/>
    </w:rPr>
  </w:style>
  <w:style w:type="paragraph" w:customStyle="1" w:styleId="58">
    <w:name w:val="正文_0_0"/>
    <w:basedOn w:val="1"/>
    <w:autoRedefine/>
    <w:qFormat/>
    <w:uiPriority w:val="0"/>
    <w:rPr>
      <w:rFonts w:ascii="Calibri" w:hAnsi="Calibri" w:cs="Calibri"/>
      <w:szCs w:val="21"/>
    </w:rPr>
  </w:style>
  <w:style w:type="paragraph" w:customStyle="1" w:styleId="59">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60">
    <w:name w:val="p5"/>
    <w:basedOn w:val="27"/>
    <w:autoRedefine/>
    <w:qFormat/>
    <w:uiPriority w:val="0"/>
  </w:style>
  <w:style w:type="paragraph" w:customStyle="1" w:styleId="61">
    <w:name w:val="正文首行缩进1"/>
    <w:basedOn w:val="3"/>
    <w:autoRedefine/>
    <w:qFormat/>
    <w:uiPriority w:val="0"/>
    <w:pPr>
      <w:ind w:firstLine="420" w:firstLineChars="100"/>
    </w:pPr>
    <w:rPr>
      <w:rFonts w:ascii="Times New Roman" w:hAnsi="Times New Roman"/>
    </w:rPr>
  </w:style>
  <w:style w:type="paragraph" w:customStyle="1" w:styleId="62">
    <w:name w:val="列出段落1"/>
    <w:basedOn w:val="1"/>
    <w:autoRedefine/>
    <w:qFormat/>
    <w:uiPriority w:val="0"/>
    <w:pPr>
      <w:ind w:firstLine="420" w:firstLineChars="200"/>
    </w:pPr>
    <w:rPr>
      <w:szCs w:val="20"/>
    </w:rPr>
  </w:style>
  <w:style w:type="character" w:customStyle="1" w:styleId="63">
    <w:name w:val="批注框文本 Char"/>
    <w:basedOn w:val="27"/>
    <w:link w:val="17"/>
    <w:autoRedefine/>
    <w:qFormat/>
    <w:uiPriority w:val="0"/>
    <w:rPr>
      <w:rFonts w:ascii="等线" w:hAnsi="等线" w:eastAsia="等线"/>
      <w:kern w:val="2"/>
      <w:sz w:val="18"/>
      <w:szCs w:val="18"/>
    </w:rPr>
  </w:style>
  <w:style w:type="paragraph" w:customStyle="1" w:styleId="64">
    <w:name w:val="hb.1"/>
    <w:basedOn w:val="1"/>
    <w:autoRedefine/>
    <w:qFormat/>
    <w:uiPriority w:val="0"/>
    <w:pPr>
      <w:tabs>
        <w:tab w:val="left" w:pos="992"/>
      </w:tabs>
      <w:spacing w:after="156"/>
      <w:ind w:left="992" w:hanging="567"/>
    </w:pPr>
    <w:rPr>
      <w:rFonts w:ascii="Times New Roman" w:hAnsi="Times New Roman"/>
      <w:szCs w:val="20"/>
    </w:rPr>
  </w:style>
  <w:style w:type="paragraph" w:customStyle="1" w:styleId="65">
    <w:name w:val="htbh"/>
    <w:basedOn w:val="7"/>
    <w:autoRedefine/>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6">
    <w:name w:val="合同标题"/>
    <w:basedOn w:val="1"/>
    <w:autoRedefine/>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67">
    <w:name w:val="正文表标题"/>
    <w:next w:val="68"/>
    <w:autoRedefine/>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6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表内文字"/>
    <w:basedOn w:val="1"/>
    <w:autoRedefine/>
    <w:qFormat/>
    <w:uiPriority w:val="0"/>
    <w:pPr>
      <w:spacing w:line="240" w:lineRule="atLeast"/>
      <w:jc w:val="center"/>
    </w:pPr>
    <w:rPr>
      <w:rFonts w:ascii="Arial" w:hAnsi="Arial" w:eastAsia="宋体" w:cs="Arial"/>
      <w:b/>
      <w:bCs/>
    </w:rPr>
  </w:style>
  <w:style w:type="paragraph" w:customStyle="1" w:styleId="70">
    <w:name w:val="xl55"/>
    <w:basedOn w:val="1"/>
    <w:autoRedefine/>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71">
    <w:name w:val="reader-word-layer reader-word-s1-2"/>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13B23-58E6-4D0E-84C8-97738C18B4A6}">
  <ds:schemaRefs/>
</ds:datastoreItem>
</file>

<file path=docProps/app.xml><?xml version="1.0" encoding="utf-8"?>
<Properties xmlns="http://schemas.openxmlformats.org/officeDocument/2006/extended-properties" xmlns:vt="http://schemas.openxmlformats.org/officeDocument/2006/docPropsVTypes">
  <Template>Normal.dotm</Template>
  <Company>中国移动</Company>
  <Pages>65</Pages>
  <Words>46784</Words>
  <Characters>48088</Characters>
  <Lines>373</Lines>
  <Paragraphs>105</Paragraphs>
  <TotalTime>1</TotalTime>
  <ScaleCrop>false</ScaleCrop>
  <LinksUpToDate>false</LinksUpToDate>
  <CharactersWithSpaces>50983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金楷啊</cp:lastModifiedBy>
  <cp:lastPrinted>2024-02-27T13:48:00Z</cp:lastPrinted>
  <dcterms:modified xsi:type="dcterms:W3CDTF">2024-02-29T08:48:36Z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A73C200C73F34C9998DDAE0C166A00A9</vt:lpwstr>
  </property>
</Properties>
</file>