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78"/>
        </w:tabs>
        <w:overflowPunct w:val="0"/>
        <w:autoSpaceDE w:val="0"/>
        <w:autoSpaceDN w:val="0"/>
        <w:spacing w:line="500" w:lineRule="atLeast"/>
        <w:jc w:val="left"/>
        <w:textAlignment w:val="bottom"/>
        <w:outlineLvl w:val="9"/>
        <w:rPr>
          <w:rFonts w:hint="default" w:ascii="Arial" w:hAnsi="Arial" w:eastAsia="宋体" w:cs="Arial"/>
          <w:b/>
          <w:bCs/>
          <w:color w:val="auto"/>
          <w:spacing w:val="120"/>
          <w:sz w:val="72"/>
          <w:szCs w:val="72"/>
          <w:highlight w:val="none"/>
          <w:lang w:val="en-US" w:eastAsia="zh-CN"/>
        </w:rPr>
      </w:pPr>
      <w:r>
        <w:rPr>
          <w:rFonts w:hint="eastAsia" w:ascii="Arial" w:hAnsi="Arial" w:eastAsia="宋体" w:cs="Arial"/>
          <w:b/>
          <w:bCs/>
          <w:color w:val="auto"/>
          <w:spacing w:val="120"/>
          <w:sz w:val="72"/>
          <w:szCs w:val="72"/>
          <w:highlight w:val="none"/>
          <w:lang w:eastAsia="zh-CN"/>
        </w:rPr>
        <w:tab/>
      </w:r>
    </w:p>
    <w:p>
      <w:pPr>
        <w:overflowPunct w:val="0"/>
        <w:autoSpaceDE w:val="0"/>
        <w:autoSpaceDN w:val="0"/>
        <w:spacing w:line="500" w:lineRule="atLeast"/>
        <w:jc w:val="center"/>
        <w:textAlignment w:val="bottom"/>
        <w:outlineLvl w:val="9"/>
        <w:rPr>
          <w:rFonts w:hint="default" w:ascii="Arial" w:hAnsi="Arial" w:eastAsia="宋体" w:cs="Arial"/>
          <w:bCs/>
          <w:color w:val="auto"/>
          <w:sz w:val="72"/>
          <w:szCs w:val="72"/>
          <w:highlight w:val="none"/>
        </w:rPr>
      </w:pPr>
      <w:r>
        <w:rPr>
          <w:rFonts w:hint="default" w:ascii="Arial" w:hAnsi="Arial" w:eastAsia="宋体" w:cs="Arial"/>
          <w:b/>
          <w:bCs/>
          <w:color w:val="auto"/>
          <w:spacing w:val="120"/>
          <w:sz w:val="72"/>
          <w:szCs w:val="72"/>
          <w:highlight w:val="none"/>
        </w:rPr>
        <w:t>温州市国有企业采购</w:t>
      </w: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lang w:val="en-US" w:eastAsia="zh-CN"/>
        </w:rPr>
      </w:pPr>
    </w:p>
    <w:p>
      <w:pPr>
        <w:overflowPunct w:val="0"/>
        <w:spacing w:line="400" w:lineRule="atLeast"/>
        <w:outlineLvl w:val="9"/>
        <w:rPr>
          <w:rFonts w:hint="default" w:ascii="Arial" w:hAnsi="Arial" w:eastAsia="宋体" w:cs="Arial"/>
          <w:b/>
          <w:color w:val="auto"/>
          <w:sz w:val="52"/>
          <w:highlight w:val="none"/>
        </w:rPr>
      </w:pPr>
    </w:p>
    <w:p>
      <w:pPr>
        <w:overflowPunct w:val="0"/>
        <w:autoSpaceDE w:val="0"/>
        <w:autoSpaceDN w:val="0"/>
        <w:spacing w:line="500" w:lineRule="atLeast"/>
        <w:jc w:val="center"/>
        <w:textAlignment w:val="bottom"/>
        <w:outlineLvl w:val="9"/>
        <w:rPr>
          <w:rFonts w:hint="default" w:ascii="Arial" w:hAnsi="Arial" w:eastAsia="宋体" w:cs="Arial"/>
          <w:b/>
          <w:color w:val="auto"/>
          <w:sz w:val="72"/>
          <w:szCs w:val="72"/>
          <w:highlight w:val="none"/>
        </w:rPr>
      </w:pPr>
      <w:r>
        <w:rPr>
          <w:rFonts w:hint="eastAsia" w:ascii="Arial" w:hAnsi="Arial" w:eastAsia="宋体" w:cs="Arial"/>
          <w:b/>
          <w:bCs/>
          <w:color w:val="auto"/>
          <w:sz w:val="72"/>
          <w:szCs w:val="72"/>
          <w:highlight w:val="none"/>
          <w:lang w:val="en-US" w:eastAsia="zh-CN"/>
        </w:rPr>
        <w:t>采 购</w:t>
      </w:r>
      <w:r>
        <w:rPr>
          <w:rFonts w:hint="default" w:ascii="Arial" w:hAnsi="Arial" w:eastAsia="宋体" w:cs="Arial"/>
          <w:b/>
          <w:bCs/>
          <w:color w:val="auto"/>
          <w:sz w:val="72"/>
          <w:szCs w:val="72"/>
          <w:highlight w:val="none"/>
        </w:rPr>
        <w:t xml:space="preserve"> 文 件</w:t>
      </w:r>
    </w:p>
    <w:p>
      <w:pPr>
        <w:overflowPunct w:val="0"/>
        <w:spacing w:line="400" w:lineRule="atLeast"/>
        <w:jc w:val="center"/>
        <w:outlineLvl w:val="9"/>
        <w:rPr>
          <w:rFonts w:hint="default" w:ascii="Arial" w:hAnsi="Arial" w:eastAsia="宋体" w:cs="Arial"/>
          <w:b/>
          <w:color w:val="auto"/>
          <w:sz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tabs>
          <w:tab w:val="left" w:pos="4860"/>
        </w:tabs>
        <w:overflowPunct w:val="0"/>
        <w:spacing w:line="600" w:lineRule="exact"/>
        <w:ind w:right="1143"/>
        <w:jc w:val="center"/>
        <w:outlineLvl w:val="9"/>
        <w:rPr>
          <w:rFonts w:hint="default" w:ascii="Arial" w:hAnsi="Arial" w:eastAsia="宋体" w:cs="Arial"/>
          <w:b/>
          <w:color w:val="auto"/>
          <w:spacing w:val="40"/>
          <w:sz w:val="30"/>
          <w:szCs w:val="30"/>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77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eastAsia" w:ascii="Arial" w:hAnsi="Arial" w:eastAsia="宋体" w:cs="Arial"/>
                <w:b/>
                <w:color w:val="auto"/>
                <w:sz w:val="30"/>
                <w:szCs w:val="30"/>
                <w:highlight w:val="none"/>
                <w:lang w:eastAsia="zh-CN"/>
              </w:rPr>
            </w:pPr>
            <w:r>
              <w:rPr>
                <w:rFonts w:hint="eastAsia" w:ascii="Arial" w:hAnsi="Arial" w:cs="Arial"/>
                <w:b/>
                <w:color w:val="auto"/>
                <w:spacing w:val="12"/>
                <w:sz w:val="30"/>
                <w:szCs w:val="30"/>
                <w:highlight w:val="none"/>
                <w:lang w:eastAsia="zh-CN"/>
              </w:rPr>
              <w:t>WGSS-JFJT-X-2023009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77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30"/>
                <w:szCs w:val="30"/>
                <w:highlight w:val="none"/>
                <w:lang w:eastAsia="zh-CN"/>
              </w:rPr>
            </w:pPr>
            <w:r>
              <w:rPr>
                <w:rFonts w:hint="eastAsia" w:ascii="Arial" w:hAnsi="Arial" w:cs="Arial"/>
                <w:b/>
                <w:color w:val="auto"/>
                <w:spacing w:val="12"/>
                <w:sz w:val="30"/>
                <w:szCs w:val="30"/>
                <w:highlight w:val="none"/>
                <w:lang w:eastAsia="zh-CN"/>
              </w:rPr>
              <w:t>IPO券商中介服务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采购方式</w:t>
            </w:r>
            <w:r>
              <w:rPr>
                <w:rFonts w:hint="default" w:ascii="Arial" w:hAnsi="Arial" w:eastAsia="宋体" w:cs="Arial"/>
                <w:b/>
                <w:color w:val="auto"/>
                <w:sz w:val="30"/>
                <w:szCs w:val="30"/>
                <w:highlight w:val="none"/>
              </w:rPr>
              <w:t>：</w:t>
            </w:r>
          </w:p>
        </w:tc>
        <w:tc>
          <w:tcPr>
            <w:tcW w:w="577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30"/>
                <w:szCs w:val="30"/>
                <w:highlight w:val="none"/>
              </w:rPr>
            </w:pPr>
            <w:r>
              <w:rPr>
                <w:rFonts w:hint="default" w:ascii="Arial" w:hAnsi="Arial" w:eastAsia="宋体" w:cs="Arial"/>
                <w:b/>
                <w:color w:val="auto"/>
                <w:sz w:val="30"/>
                <w:szCs w:val="30"/>
                <w:highlight w:val="none"/>
              </w:rPr>
              <w:t>公  开  招  标</w:t>
            </w:r>
          </w:p>
        </w:tc>
      </w:tr>
    </w:tbl>
    <w:p>
      <w:pPr>
        <w:tabs>
          <w:tab w:val="left" w:pos="4860"/>
        </w:tabs>
        <w:overflowPunct w:val="0"/>
        <w:spacing w:line="600" w:lineRule="exact"/>
        <w:ind w:right="1143" w:firstLine="1711" w:firstLineChars="449"/>
        <w:jc w:val="center"/>
        <w:outlineLvl w:val="9"/>
        <w:rPr>
          <w:rFonts w:hint="default" w:ascii="Arial" w:hAnsi="Arial" w:eastAsia="宋体" w:cs="Arial"/>
          <w:b/>
          <w:color w:val="auto"/>
          <w:spacing w:val="40"/>
          <w:sz w:val="30"/>
          <w:szCs w:val="30"/>
          <w:highlight w:val="none"/>
        </w:rPr>
      </w:pPr>
    </w:p>
    <w:p>
      <w:pPr>
        <w:overflowPunct w:val="0"/>
        <w:jc w:val="center"/>
        <w:outlineLvl w:val="9"/>
        <w:rPr>
          <w:rFonts w:hint="default" w:ascii="Arial" w:hAnsi="Arial" w:eastAsia="宋体" w:cs="Arial"/>
          <w:b/>
          <w:bCs/>
          <w:color w:val="auto"/>
          <w:sz w:val="24"/>
          <w:highlight w:val="none"/>
        </w:rPr>
      </w:pPr>
    </w:p>
    <w:p>
      <w:pPr>
        <w:overflowPunct w:val="0"/>
        <w:jc w:val="center"/>
        <w:outlineLvl w:val="9"/>
        <w:rPr>
          <w:rFonts w:hint="default" w:ascii="Arial" w:hAnsi="Arial" w:eastAsia="宋体" w:cs="Arial"/>
          <w:b/>
          <w:bCs/>
          <w:color w:val="auto"/>
          <w:sz w:val="24"/>
          <w:highlight w:val="none"/>
        </w:rPr>
      </w:pPr>
    </w:p>
    <w:p>
      <w:pPr>
        <w:overflowPunct w:val="0"/>
        <w:spacing w:line="600" w:lineRule="exact"/>
        <w:jc w:val="center"/>
        <w:outlineLvl w:val="9"/>
        <w:rPr>
          <w:rFonts w:hint="default" w:ascii="Arial" w:hAnsi="Arial" w:eastAsia="宋体" w:cs="Arial"/>
          <w:b/>
          <w:bCs/>
          <w:color w:val="auto"/>
          <w:spacing w:val="120"/>
          <w:sz w:val="28"/>
          <w:szCs w:val="28"/>
          <w:highlight w:val="none"/>
          <w:lang w:val="en-US" w:eastAsia="zh-CN"/>
        </w:rPr>
      </w:pPr>
    </w:p>
    <w:p>
      <w:pPr>
        <w:overflowPunct w:val="0"/>
        <w:spacing w:line="600" w:lineRule="exact"/>
        <w:jc w:val="center"/>
        <w:outlineLvl w:val="9"/>
        <w:rPr>
          <w:rFonts w:hint="default" w:ascii="Arial" w:hAnsi="Arial" w:eastAsia="宋体" w:cs="Arial"/>
          <w:b/>
          <w:bCs/>
          <w:color w:val="auto"/>
          <w:spacing w:val="120"/>
          <w:sz w:val="72"/>
          <w:szCs w:val="72"/>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28"/>
                <w:szCs w:val="28"/>
                <w:highlight w:val="none"/>
                <w:lang w:eastAsia="zh-CN"/>
              </w:rPr>
            </w:pPr>
            <w:r>
              <w:rPr>
                <w:rFonts w:hint="eastAsia" w:ascii="Arial" w:hAnsi="Arial" w:cs="Arial"/>
                <w:b/>
                <w:color w:val="auto"/>
                <w:spacing w:val="12"/>
                <w:sz w:val="28"/>
                <w:szCs w:val="28"/>
                <w:highlight w:val="none"/>
                <w:lang w:eastAsia="zh-CN"/>
              </w:rPr>
              <w:t>温州诚达交通发展股份有限公司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eastAsia" w:ascii="Arial" w:hAnsi="Arial" w:eastAsia="宋体" w:cs="Arial"/>
                <w:b/>
                <w:color w:val="auto"/>
                <w:spacing w:val="40"/>
                <w:sz w:val="28"/>
                <w:szCs w:val="28"/>
                <w:highlight w:val="none"/>
                <w:lang w:val="en-US" w:eastAsia="zh-CN"/>
              </w:rPr>
              <w:t>采购</w:t>
            </w:r>
            <w:r>
              <w:rPr>
                <w:rFonts w:hint="default" w:ascii="Arial" w:hAnsi="Arial" w:eastAsia="宋体" w:cs="Arial"/>
                <w:b/>
                <w:color w:val="auto"/>
                <w:spacing w:val="40"/>
                <w:sz w:val="28"/>
                <w:szCs w:val="28"/>
                <w:highlight w:val="none"/>
              </w:rPr>
              <w:t>代理机构</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jc w:val="both"/>
              <w:outlineLvl w:val="9"/>
              <w:rPr>
                <w:rFonts w:hint="eastAsia"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大地工程咨询有限公司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5" w:type="dxa"/>
            <w:gridSpan w:val="2"/>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jc w:val="center"/>
              <w:outlineLvl w:val="9"/>
              <w:rPr>
                <w:rFonts w:hint="eastAsia" w:ascii="Arial" w:hAnsi="Arial" w:eastAsia="宋体" w:cs="Arial"/>
                <w:b/>
                <w:color w:val="auto"/>
                <w:sz w:val="28"/>
                <w:szCs w:val="28"/>
                <w:highlight w:val="none"/>
                <w:lang w:val="en-US" w:eastAsia="zh-CN"/>
              </w:rPr>
            </w:pPr>
            <w:r>
              <w:rPr>
                <w:rFonts w:hint="default" w:ascii="Arial" w:hAnsi="Arial" w:eastAsia="宋体" w:cs="Arial"/>
                <w:b/>
                <w:color w:val="auto"/>
                <w:spacing w:val="40"/>
                <w:sz w:val="28"/>
                <w:szCs w:val="28"/>
                <w:highlight w:val="none"/>
              </w:rPr>
              <w:t>二〇二</w:t>
            </w:r>
            <w:r>
              <w:rPr>
                <w:rFonts w:hint="eastAsia" w:ascii="Arial" w:hAnsi="Arial" w:cs="Arial"/>
                <w:b/>
                <w:color w:val="auto"/>
                <w:spacing w:val="40"/>
                <w:sz w:val="28"/>
                <w:szCs w:val="28"/>
                <w:highlight w:val="none"/>
                <w:lang w:val="en-US" w:eastAsia="zh-CN"/>
              </w:rPr>
              <w:t>四</w:t>
            </w:r>
            <w:r>
              <w:rPr>
                <w:rFonts w:hint="default" w:ascii="Arial" w:hAnsi="Arial" w:eastAsia="宋体" w:cs="Arial"/>
                <w:b/>
                <w:color w:val="auto"/>
                <w:spacing w:val="40"/>
                <w:sz w:val="28"/>
                <w:szCs w:val="28"/>
                <w:highlight w:val="none"/>
              </w:rPr>
              <w:t>年</w:t>
            </w:r>
            <w:r>
              <w:rPr>
                <w:rFonts w:hint="eastAsia" w:ascii="Arial" w:hAnsi="Arial" w:cs="Arial"/>
                <w:b/>
                <w:color w:val="auto"/>
                <w:spacing w:val="40"/>
                <w:sz w:val="28"/>
                <w:szCs w:val="28"/>
                <w:highlight w:val="none"/>
                <w:lang w:val="en-US" w:eastAsia="zh-CN"/>
              </w:rPr>
              <w:t>一</w:t>
            </w:r>
            <w:r>
              <w:rPr>
                <w:rFonts w:hint="default" w:ascii="Arial" w:hAnsi="Arial" w:eastAsia="宋体" w:cs="Arial"/>
                <w:b/>
                <w:color w:val="auto"/>
                <w:spacing w:val="40"/>
                <w:sz w:val="28"/>
                <w:szCs w:val="28"/>
                <w:highlight w:val="none"/>
              </w:rPr>
              <w:t>月</w:t>
            </w:r>
          </w:p>
        </w:tc>
      </w:tr>
    </w:tbl>
    <w:p>
      <w:pPr>
        <w:overflowPunct w:val="0"/>
        <w:spacing w:line="600" w:lineRule="exact"/>
        <w:jc w:val="center"/>
        <w:outlineLvl w:val="9"/>
        <w:rPr>
          <w:rFonts w:hint="default" w:ascii="Arial" w:hAnsi="Arial" w:eastAsia="宋体" w:cs="Arial"/>
          <w:b/>
          <w:bCs/>
          <w:color w:val="auto"/>
          <w:spacing w:val="120"/>
          <w:sz w:val="72"/>
          <w:szCs w:val="72"/>
          <w:highlight w:val="none"/>
        </w:rPr>
      </w:pPr>
    </w:p>
    <w:p>
      <w:pPr>
        <w:spacing w:line="360" w:lineRule="auto"/>
        <w:jc w:val="center"/>
        <w:outlineLvl w:val="9"/>
        <w:rPr>
          <w:rFonts w:hint="eastAsia" w:ascii="宋体" w:hAnsi="宋体" w:eastAsia="宋体" w:cs="宋体"/>
          <w:b/>
          <w:bCs/>
          <w:color w:val="auto"/>
          <w:sz w:val="21"/>
          <w:szCs w:val="21"/>
          <w:highlight w:val="none"/>
        </w:rPr>
      </w:pPr>
      <w:r>
        <w:rPr>
          <w:rFonts w:hint="default" w:ascii="Arial" w:hAnsi="Arial" w:eastAsia="宋体" w:cs="Arial"/>
          <w:color w:val="auto"/>
          <w:spacing w:val="40"/>
          <w:sz w:val="30"/>
          <w:szCs w:val="30"/>
          <w:highlight w:val="none"/>
        </w:rPr>
        <w:br w:type="page"/>
      </w:r>
      <w:r>
        <w:rPr>
          <w:rFonts w:hint="eastAsia" w:ascii="宋体" w:hAnsi="宋体" w:eastAsia="宋体" w:cs="宋体"/>
          <w:b/>
          <w:bCs/>
          <w:color w:val="auto"/>
          <w:sz w:val="21"/>
          <w:szCs w:val="21"/>
          <w:highlight w:val="none"/>
        </w:rPr>
        <w:t>目    录</w:t>
      </w:r>
    </w:p>
    <w:p>
      <w:pPr>
        <w:spacing w:line="360" w:lineRule="auto"/>
        <w:jc w:val="center"/>
        <w:outlineLvl w:val="9"/>
        <w:rPr>
          <w:rFonts w:hint="eastAsia" w:ascii="宋体" w:hAnsi="宋体" w:eastAsia="宋体" w:cs="宋体"/>
          <w:b/>
          <w:bCs/>
          <w:color w:val="auto"/>
          <w:sz w:val="21"/>
          <w:szCs w:val="21"/>
          <w:highlight w:val="none"/>
        </w:rPr>
      </w:pPr>
    </w:p>
    <w:p>
      <w:pPr>
        <w:pStyle w:val="26"/>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_Toc16315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1"/>
          <w:sz w:val="21"/>
          <w:szCs w:val="21"/>
          <w:highlight w:val="none"/>
          <w:lang w:eastAsia="zh-CN"/>
        </w:rPr>
        <w:t>温州市交发集团所属温州诚达交通发展股份有限公司</w:t>
      </w:r>
      <w:r>
        <w:rPr>
          <w:rFonts w:hint="eastAsia" w:ascii="宋体" w:hAnsi="宋体" w:eastAsia="宋体" w:cs="宋体"/>
          <w:bCs/>
          <w:color w:val="auto"/>
          <w:kern w:val="1"/>
          <w:sz w:val="21"/>
          <w:szCs w:val="21"/>
          <w:highlight w:val="none"/>
        </w:rPr>
        <w:t>关于</w:t>
      </w:r>
      <w:r>
        <w:rPr>
          <w:rFonts w:hint="eastAsia" w:ascii="宋体" w:hAnsi="宋体" w:eastAsia="宋体" w:cs="宋体"/>
          <w:bCs/>
          <w:color w:val="auto"/>
          <w:kern w:val="1"/>
          <w:sz w:val="21"/>
          <w:szCs w:val="21"/>
          <w:highlight w:val="none"/>
          <w:lang w:eastAsia="zh-CN"/>
        </w:rPr>
        <w:t>IPO券商中介服务项目（</w:t>
      </w:r>
      <w:r>
        <w:rPr>
          <w:rFonts w:hint="eastAsia" w:ascii="宋体" w:hAnsi="宋体" w:eastAsia="宋体" w:cs="宋体"/>
          <w:bCs/>
          <w:color w:val="auto"/>
          <w:kern w:val="1"/>
          <w:sz w:val="21"/>
          <w:szCs w:val="21"/>
          <w:highlight w:val="none"/>
          <w:lang w:val="en-US" w:eastAsia="zh-CN"/>
        </w:rPr>
        <w:t>限额以上</w:t>
      </w:r>
      <w:r>
        <w:rPr>
          <w:rFonts w:hint="eastAsia" w:ascii="宋体" w:hAnsi="宋体" w:eastAsia="宋体" w:cs="宋体"/>
          <w:bCs/>
          <w:color w:val="auto"/>
          <w:kern w:val="1"/>
          <w:sz w:val="21"/>
          <w:szCs w:val="21"/>
          <w:highlight w:val="none"/>
          <w:lang w:eastAsia="zh-CN"/>
        </w:rPr>
        <w:t>）</w:t>
      </w:r>
      <w:r>
        <w:rPr>
          <w:rFonts w:hint="eastAsia" w:ascii="宋体" w:hAnsi="宋体" w:eastAsia="宋体" w:cs="宋体"/>
          <w:bCs/>
          <w:color w:val="auto"/>
          <w:kern w:val="1"/>
          <w:sz w:val="21"/>
          <w:szCs w:val="21"/>
          <w:highlight w:val="none"/>
        </w:rPr>
        <w:t>的</w:t>
      </w:r>
      <w:r>
        <w:rPr>
          <w:rFonts w:hint="eastAsia" w:ascii="宋体" w:hAnsi="宋体" w:eastAsia="宋体" w:cs="宋体"/>
          <w:bCs/>
          <w:color w:val="auto"/>
          <w:kern w:val="1"/>
          <w:sz w:val="21"/>
          <w:szCs w:val="21"/>
          <w:highlight w:val="none"/>
          <w:lang w:val="en-US" w:eastAsia="zh-CN"/>
        </w:rPr>
        <w:t>采购</w:t>
      </w:r>
      <w:r>
        <w:rPr>
          <w:rFonts w:hint="eastAsia" w:ascii="宋体" w:hAnsi="宋体" w:eastAsia="宋体" w:cs="宋体"/>
          <w:bCs/>
          <w:color w:val="auto"/>
          <w:kern w:val="1"/>
          <w:sz w:val="21"/>
          <w:szCs w:val="21"/>
          <w:highlight w:val="none"/>
        </w:rPr>
        <w:t>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_Toc16315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6"/>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_Toc29556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须知前附表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6"/>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_Toc18141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sz w:val="21"/>
          <w:szCs w:val="21"/>
          <w:highlight w:val="none"/>
        </w:rPr>
        <w:t xml:space="preserve">第一部分 </w:t>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_Toc18141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6"/>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_Toc661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第二部分 合同条款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6"/>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_Toc26758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第三部分 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6"/>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_Toc31382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sz w:val="21"/>
          <w:szCs w:val="21"/>
          <w:highlight w:val="none"/>
          <w:lang w:eastAsia="zh-CN"/>
        </w:rPr>
        <w:t>第四部分</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采购内容及要求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_Toc31382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6"/>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_Toc2863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第五部分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fldChar w:fldCharType="end"/>
      </w:r>
    </w:p>
    <w:p>
      <w:pPr>
        <w:spacing w:line="360" w:lineRule="auto"/>
        <w:ind w:firstLine="413" w:firstLineChars="196"/>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中部分加“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”并加下划线的条款，为</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的实质性要求和条件，着重提醒各</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注意，并认真查看</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中的每一个条款及要求，因误读</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而造成的后果，</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概不负责。</w:t>
      </w:r>
    </w:p>
    <w:p>
      <w:pPr>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kern w:val="0"/>
          <w:sz w:val="24"/>
          <w:szCs w:val="24"/>
          <w:highlight w:val="none"/>
        </w:rPr>
        <w:t>投标报名申请表</w:t>
      </w:r>
    </w:p>
    <w:p>
      <w:pPr>
        <w:jc w:val="center"/>
        <w:outlineLvl w:val="9"/>
        <w:rPr>
          <w:rFonts w:hint="eastAsia" w:ascii="宋体" w:hAnsi="宋体" w:eastAsia="宋体" w:cs="宋体"/>
          <w:b/>
          <w:color w:val="auto"/>
          <w:kern w:val="0"/>
          <w:sz w:val="21"/>
          <w:szCs w:val="21"/>
          <w:highlight w:val="none"/>
        </w:rPr>
      </w:pPr>
    </w:p>
    <w:tbl>
      <w:tblPr>
        <w:tblStyle w:val="33"/>
        <w:tblW w:w="0" w:type="auto"/>
        <w:jc w:val="center"/>
        <w:tblLayout w:type="fixed"/>
        <w:tblCellMar>
          <w:top w:w="0" w:type="dxa"/>
          <w:left w:w="108" w:type="dxa"/>
          <w:bottom w:w="0" w:type="dxa"/>
          <w:right w:w="108" w:type="dxa"/>
        </w:tblCellMar>
      </w:tblPr>
      <w:tblGrid>
        <w:gridCol w:w="814"/>
        <w:gridCol w:w="1503"/>
        <w:gridCol w:w="3524"/>
        <w:gridCol w:w="485"/>
        <w:gridCol w:w="775"/>
        <w:gridCol w:w="14"/>
        <w:gridCol w:w="2444"/>
      </w:tblGrid>
      <w:tr>
        <w:tblPrEx>
          <w:tblCellMar>
            <w:top w:w="0" w:type="dxa"/>
            <w:left w:w="108" w:type="dxa"/>
            <w:bottom w:w="0" w:type="dxa"/>
            <w:right w:w="108" w:type="dxa"/>
          </w:tblCellMar>
        </w:tblPrEx>
        <w:trPr>
          <w:trHeight w:val="790" w:hRule="atLeast"/>
          <w:jc w:val="center"/>
        </w:trPr>
        <w:tc>
          <w:tcPr>
            <w:tcW w:w="2317" w:type="dxa"/>
            <w:gridSpan w:val="2"/>
            <w:tcBorders>
              <w:top w:val="single" w:color="auto" w:sz="1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tc>
        <w:tc>
          <w:tcPr>
            <w:tcW w:w="7242" w:type="dxa"/>
            <w:gridSpan w:val="5"/>
            <w:tcBorders>
              <w:top w:val="single" w:color="auto" w:sz="1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tc>
      </w:tr>
      <w:tr>
        <w:tblPrEx>
          <w:tblCellMar>
            <w:top w:w="0" w:type="dxa"/>
            <w:left w:w="108" w:type="dxa"/>
            <w:bottom w:w="0" w:type="dxa"/>
            <w:right w:w="108" w:type="dxa"/>
          </w:tblCellMar>
        </w:tblPrEx>
        <w:trPr>
          <w:trHeight w:val="812" w:hRule="atLeast"/>
          <w:jc w:val="center"/>
        </w:trPr>
        <w:tc>
          <w:tcPr>
            <w:tcW w:w="231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242" w:type="dxa"/>
            <w:gridSpan w:val="5"/>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IPO券商中介服务</w:t>
            </w:r>
          </w:p>
        </w:tc>
      </w:tr>
      <w:tr>
        <w:tblPrEx>
          <w:tblCellMar>
            <w:top w:w="0" w:type="dxa"/>
            <w:left w:w="108" w:type="dxa"/>
            <w:bottom w:w="0" w:type="dxa"/>
            <w:right w:w="108" w:type="dxa"/>
          </w:tblCellMar>
        </w:tblPrEx>
        <w:trPr>
          <w:trHeight w:val="822" w:hRule="atLeast"/>
          <w:jc w:val="center"/>
        </w:trPr>
        <w:tc>
          <w:tcPr>
            <w:tcW w:w="231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采购编号</w:t>
            </w:r>
          </w:p>
        </w:tc>
        <w:tc>
          <w:tcPr>
            <w:tcW w:w="7242" w:type="dxa"/>
            <w:gridSpan w:val="5"/>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WGSS-JFJT-X-2023009</w:t>
            </w:r>
          </w:p>
        </w:tc>
      </w:tr>
      <w:tr>
        <w:tblPrEx>
          <w:tblCellMar>
            <w:top w:w="0" w:type="dxa"/>
            <w:left w:w="108" w:type="dxa"/>
            <w:bottom w:w="0" w:type="dxa"/>
            <w:right w:w="108" w:type="dxa"/>
          </w:tblCellMar>
        </w:tblPrEx>
        <w:trPr>
          <w:trHeight w:val="796" w:hRule="atLeast"/>
          <w:jc w:val="center"/>
        </w:trPr>
        <w:tc>
          <w:tcPr>
            <w:tcW w:w="231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投标申请单位名称</w:t>
            </w:r>
          </w:p>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加盖单位公章</w:t>
            </w:r>
            <w:r>
              <w:rPr>
                <w:rFonts w:hint="eastAsia" w:ascii="宋体" w:hAnsi="宋体" w:eastAsia="宋体" w:cs="宋体"/>
                <w:color w:val="auto"/>
                <w:kern w:val="0"/>
                <w:sz w:val="21"/>
                <w:szCs w:val="21"/>
                <w:highlight w:val="none"/>
                <w:lang w:eastAsia="zh-CN"/>
              </w:rPr>
              <w:t>）</w:t>
            </w:r>
          </w:p>
        </w:tc>
        <w:tc>
          <w:tcPr>
            <w:tcW w:w="7242" w:type="dxa"/>
            <w:gridSpan w:val="5"/>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38" w:hRule="atLeast"/>
          <w:jc w:val="center"/>
        </w:trPr>
        <w:tc>
          <w:tcPr>
            <w:tcW w:w="231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p>
        </w:tc>
        <w:tc>
          <w:tcPr>
            <w:tcW w:w="352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1274"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w:t>
            </w:r>
          </w:p>
        </w:tc>
        <w:tc>
          <w:tcPr>
            <w:tcW w:w="2444" w:type="dxa"/>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96" w:hRule="atLeast"/>
          <w:jc w:val="center"/>
        </w:trPr>
        <w:tc>
          <w:tcPr>
            <w:tcW w:w="231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352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1274"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444" w:type="dxa"/>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55" w:hRule="atLeast"/>
          <w:jc w:val="center"/>
        </w:trPr>
        <w:tc>
          <w:tcPr>
            <w:tcW w:w="231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E-mail</w:t>
            </w:r>
          </w:p>
        </w:tc>
        <w:tc>
          <w:tcPr>
            <w:tcW w:w="3524"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1274"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444" w:type="dxa"/>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14" w:hRule="atLeast"/>
          <w:jc w:val="center"/>
        </w:trPr>
        <w:tc>
          <w:tcPr>
            <w:tcW w:w="2317" w:type="dxa"/>
            <w:gridSpan w:val="2"/>
            <w:tcBorders>
              <w:top w:val="single" w:color="auto" w:sz="2" w:space="0"/>
              <w:left w:val="single" w:color="auto" w:sz="12" w:space="0"/>
              <w:bottom w:val="single" w:color="auto" w:sz="1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p>
        </w:tc>
        <w:tc>
          <w:tcPr>
            <w:tcW w:w="7242" w:type="dxa"/>
            <w:gridSpan w:val="5"/>
            <w:tcBorders>
              <w:top w:val="single" w:color="auto" w:sz="2" w:space="0"/>
              <w:left w:val="single" w:color="auto" w:sz="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902" w:hRule="atLeast"/>
          <w:jc w:val="center"/>
        </w:trPr>
        <w:tc>
          <w:tcPr>
            <w:tcW w:w="9559" w:type="dxa"/>
            <w:gridSpan w:val="7"/>
            <w:tcBorders>
              <w:top w:val="single" w:color="auto" w:sz="12" w:space="0"/>
              <w:left w:val="single" w:color="auto" w:sz="12" w:space="0"/>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提交的报名资料清单</w:t>
            </w:r>
          </w:p>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（以下内容由采购代理机构工作人员填写）</w:t>
            </w:r>
          </w:p>
        </w:tc>
      </w:tr>
      <w:tr>
        <w:tblPrEx>
          <w:tblCellMar>
            <w:top w:w="0" w:type="dxa"/>
            <w:left w:w="108" w:type="dxa"/>
            <w:bottom w:w="0" w:type="dxa"/>
            <w:right w:w="108" w:type="dxa"/>
          </w:tblCellMar>
        </w:tblPrEx>
        <w:trPr>
          <w:trHeight w:val="881"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51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提交资料名称</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w:t>
            </w:r>
          </w:p>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w:t>
            </w:r>
          </w:p>
        </w:tc>
        <w:tc>
          <w:tcPr>
            <w:tcW w:w="2458"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CellMar>
            <w:top w:w="0" w:type="dxa"/>
            <w:left w:w="108" w:type="dxa"/>
            <w:bottom w:w="0" w:type="dxa"/>
            <w:right w:w="108" w:type="dxa"/>
          </w:tblCellMar>
        </w:tblPrEx>
        <w:trPr>
          <w:trHeight w:val="85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51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企业法人营业执照副本复印件（加盖公章扫描件）</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2458"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5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551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中国证监会颁发的经营证券业务（承销与保荐业务）许可证</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2458"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65"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551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标书购买费用凭证（加盖公章扫描件）</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2458"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bl>
    <w:p>
      <w:pPr>
        <w:spacing w:beforeLines="50"/>
        <w:outlineLvl w:val="9"/>
        <w:rPr>
          <w:rFonts w:hint="eastAsia" w:ascii="宋体" w:hAnsi="宋体" w:eastAsia="宋体" w:cs="宋体"/>
          <w:color w:val="auto"/>
          <w:sz w:val="21"/>
          <w:szCs w:val="21"/>
          <w:highlight w:val="none"/>
        </w:rPr>
      </w:pPr>
    </w:p>
    <w:p>
      <w:pPr>
        <w:pStyle w:val="15"/>
        <w:ind w:firstLine="200"/>
        <w:outlineLvl w:val="9"/>
        <w:rPr>
          <w:rFonts w:hint="eastAsia" w:ascii="宋体" w:hAnsi="宋体" w:eastAsia="宋体" w:cs="宋体"/>
          <w:color w:val="auto"/>
          <w:sz w:val="21"/>
          <w:szCs w:val="21"/>
          <w:highlight w:val="none"/>
        </w:rPr>
      </w:pPr>
    </w:p>
    <w:p>
      <w:pPr>
        <w:pStyle w:val="15"/>
        <w:ind w:firstLine="200"/>
        <w:outlineLvl w:val="9"/>
        <w:rPr>
          <w:rFonts w:hint="eastAsia" w:ascii="宋体" w:hAnsi="宋体" w:eastAsia="宋体" w:cs="宋体"/>
          <w:color w:val="auto"/>
          <w:sz w:val="21"/>
          <w:szCs w:val="21"/>
          <w:highlight w:val="none"/>
        </w:rPr>
      </w:pPr>
    </w:p>
    <w:p>
      <w:pPr>
        <w:pStyle w:val="15"/>
        <w:ind w:firstLine="200"/>
        <w:outlineLvl w:val="9"/>
        <w:rPr>
          <w:rFonts w:hint="eastAsia" w:ascii="宋体" w:hAnsi="宋体" w:eastAsia="宋体" w:cs="宋体"/>
          <w:color w:val="auto"/>
          <w:sz w:val="21"/>
          <w:szCs w:val="21"/>
          <w:highlight w:val="none"/>
        </w:rPr>
      </w:pPr>
    </w:p>
    <w:p>
      <w:pPr>
        <w:spacing w:line="360" w:lineRule="auto"/>
        <w:ind w:firstLine="413" w:firstLineChars="196"/>
        <w:outlineLvl w:val="9"/>
        <w:rPr>
          <w:rFonts w:hint="eastAsia" w:ascii="宋体" w:hAnsi="宋体" w:eastAsia="宋体" w:cs="宋体"/>
          <w:b/>
          <w:bCs/>
          <w:color w:val="auto"/>
          <w:sz w:val="21"/>
          <w:szCs w:val="21"/>
          <w:highlight w:val="none"/>
        </w:rPr>
      </w:pPr>
    </w:p>
    <w:p>
      <w:pPr>
        <w:spacing w:line="480" w:lineRule="auto"/>
        <w:ind w:firstLine="0" w:firstLineChars="0"/>
        <w:outlineLvl w:val="9"/>
        <w:rPr>
          <w:rFonts w:hint="eastAsia" w:ascii="宋体" w:hAnsi="宋体" w:eastAsia="宋体" w:cs="宋体"/>
          <w:color w:val="auto"/>
          <w:sz w:val="21"/>
          <w:szCs w:val="21"/>
          <w:highlight w:val="none"/>
        </w:rPr>
      </w:pPr>
      <w:bookmarkStart w:id="0" w:name="_Toc245191309"/>
      <w:bookmarkStart w:id="1" w:name="_Toc239145349"/>
      <w:bookmarkStart w:id="2" w:name="_Toc222114874"/>
      <w:bookmarkStart w:id="3" w:name="_Toc221356881"/>
      <w:bookmarkStart w:id="4" w:name="_Toc262049413"/>
      <w:bookmarkStart w:id="5" w:name="_Toc249758707"/>
      <w:bookmarkStart w:id="6" w:name="_Toc221356946"/>
      <w:bookmarkStart w:id="7" w:name="_Toc221423614"/>
      <w:bookmarkStart w:id="8" w:name="_Toc246261260"/>
      <w:bookmarkStart w:id="9" w:name="_Toc249758859"/>
      <w:bookmarkStart w:id="10" w:name="_Toc245722276"/>
      <w:bookmarkStart w:id="11" w:name="_Toc221374621"/>
      <w:bookmarkStart w:id="12" w:name="_Toc262105498"/>
      <w:bookmarkStart w:id="13" w:name="_Toc223715993"/>
      <w:bookmarkStart w:id="14" w:name="_Toc241404197"/>
    </w:p>
    <w:p>
      <w:pPr>
        <w:wordWrap w:val="0"/>
        <w:spacing w:line="360" w:lineRule="auto"/>
        <w:jc w:val="center"/>
        <w:outlineLvl w:val="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br w:type="page"/>
      </w:r>
      <w:bookmarkStart w:id="15" w:name="_Toc16315"/>
      <w:r>
        <w:rPr>
          <w:rFonts w:hint="eastAsia" w:ascii="宋体" w:hAnsi="宋体" w:eastAsia="宋体" w:cs="宋体"/>
          <w:b/>
          <w:bCs/>
          <w:color w:val="auto"/>
          <w:kern w:val="1"/>
          <w:sz w:val="32"/>
          <w:szCs w:val="32"/>
          <w:highlight w:val="none"/>
          <w:lang w:eastAsia="zh-CN"/>
        </w:rPr>
        <w:t>温州市交发集团所属</w:t>
      </w:r>
      <w:r>
        <w:rPr>
          <w:rFonts w:hint="eastAsia" w:ascii="宋体" w:hAnsi="宋体" w:cs="宋体"/>
          <w:b/>
          <w:bCs/>
          <w:color w:val="auto"/>
          <w:kern w:val="1"/>
          <w:sz w:val="32"/>
          <w:szCs w:val="32"/>
          <w:highlight w:val="none"/>
          <w:lang w:eastAsia="zh-CN"/>
        </w:rPr>
        <w:t>温州诚达交通发展股份有限公司</w:t>
      </w:r>
      <w:r>
        <w:rPr>
          <w:rFonts w:hint="eastAsia" w:ascii="宋体" w:hAnsi="宋体" w:eastAsia="宋体" w:cs="宋体"/>
          <w:b/>
          <w:bCs/>
          <w:color w:val="auto"/>
          <w:kern w:val="1"/>
          <w:sz w:val="32"/>
          <w:szCs w:val="32"/>
          <w:highlight w:val="none"/>
        </w:rPr>
        <w:t>关于</w:t>
      </w:r>
      <w:r>
        <w:rPr>
          <w:rFonts w:hint="eastAsia" w:ascii="宋体" w:hAnsi="宋体" w:cs="宋体"/>
          <w:b/>
          <w:bCs/>
          <w:color w:val="auto"/>
          <w:kern w:val="1"/>
          <w:sz w:val="32"/>
          <w:szCs w:val="32"/>
          <w:highlight w:val="none"/>
          <w:lang w:eastAsia="zh-CN"/>
        </w:rPr>
        <w:t>IPO券商中介服务</w:t>
      </w:r>
      <w:r>
        <w:rPr>
          <w:rFonts w:hint="eastAsia" w:ascii="宋体" w:hAnsi="宋体" w:cs="宋体"/>
          <w:b/>
          <w:bCs/>
          <w:color w:val="auto"/>
          <w:kern w:val="1"/>
          <w:sz w:val="32"/>
          <w:szCs w:val="32"/>
          <w:highlight w:val="none"/>
          <w:lang w:val="en-US" w:eastAsia="zh-CN"/>
        </w:rPr>
        <w:t>项目</w:t>
      </w:r>
      <w:r>
        <w:rPr>
          <w:rFonts w:hint="eastAsia" w:ascii="宋体" w:hAnsi="宋体" w:eastAsia="宋体" w:cs="宋体"/>
          <w:b/>
          <w:bCs/>
          <w:color w:val="auto"/>
          <w:kern w:val="1"/>
          <w:sz w:val="32"/>
          <w:szCs w:val="32"/>
          <w:highlight w:val="none"/>
          <w:lang w:eastAsia="zh-CN"/>
        </w:rPr>
        <w:t>（</w:t>
      </w:r>
      <w:r>
        <w:rPr>
          <w:rFonts w:hint="eastAsia" w:ascii="宋体" w:hAnsi="宋体" w:cs="宋体"/>
          <w:b/>
          <w:bCs/>
          <w:color w:val="auto"/>
          <w:kern w:val="1"/>
          <w:sz w:val="32"/>
          <w:szCs w:val="32"/>
          <w:highlight w:val="none"/>
          <w:lang w:val="en-US" w:eastAsia="zh-CN"/>
        </w:rPr>
        <w:t>限额以上</w:t>
      </w:r>
      <w:r>
        <w:rPr>
          <w:rFonts w:hint="eastAsia" w:ascii="宋体" w:hAnsi="宋体" w:eastAsia="宋体" w:cs="宋体"/>
          <w:b/>
          <w:bCs/>
          <w:color w:val="auto"/>
          <w:kern w:val="1"/>
          <w:sz w:val="32"/>
          <w:szCs w:val="32"/>
          <w:highlight w:val="none"/>
          <w:lang w:eastAsia="zh-CN"/>
        </w:rPr>
        <w:t>）</w:t>
      </w:r>
      <w:r>
        <w:rPr>
          <w:rFonts w:hint="eastAsia" w:ascii="宋体" w:hAnsi="宋体" w:eastAsia="宋体" w:cs="宋体"/>
          <w:b/>
          <w:bCs/>
          <w:color w:val="auto"/>
          <w:kern w:val="1"/>
          <w:sz w:val="32"/>
          <w:szCs w:val="32"/>
          <w:highlight w:val="none"/>
        </w:rPr>
        <w:t>的</w:t>
      </w:r>
      <w:r>
        <w:rPr>
          <w:rFonts w:hint="eastAsia" w:ascii="宋体" w:hAnsi="宋体" w:eastAsia="宋体" w:cs="宋体"/>
          <w:b/>
          <w:bCs/>
          <w:color w:val="auto"/>
          <w:kern w:val="1"/>
          <w:sz w:val="32"/>
          <w:szCs w:val="32"/>
          <w:highlight w:val="none"/>
          <w:lang w:val="en-US" w:eastAsia="zh-CN"/>
        </w:rPr>
        <w:t>采购</w:t>
      </w:r>
      <w:r>
        <w:rPr>
          <w:rFonts w:hint="eastAsia" w:ascii="宋体" w:hAnsi="宋体" w:eastAsia="宋体" w:cs="宋体"/>
          <w:b/>
          <w:bCs/>
          <w:color w:val="auto"/>
          <w:kern w:val="1"/>
          <w:sz w:val="32"/>
          <w:szCs w:val="32"/>
          <w:highlight w:val="none"/>
        </w:rPr>
        <w:t>公告</w:t>
      </w:r>
      <w:bookmarkEnd w:id="15"/>
    </w:p>
    <w:p>
      <w:pPr>
        <w:keepNext w:val="0"/>
        <w:keepLines w:val="0"/>
        <w:pageBreakBefore w:val="0"/>
        <w:widowControl/>
        <w:kinsoku/>
        <w:wordWrap w:val="0"/>
        <w:overflowPunct/>
        <w:topLinePunct w:val="0"/>
        <w:autoSpaceDE/>
        <w:autoSpaceDN/>
        <w:bidi w:val="0"/>
        <w:adjustRightInd/>
        <w:snapToGrid/>
        <w:spacing w:line="440" w:lineRule="exact"/>
        <w:ind w:firstLine="44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color w:val="auto"/>
          <w:kern w:val="1"/>
          <w:sz w:val="21"/>
          <w:szCs w:val="21"/>
          <w:highlight w:val="none"/>
        </w:rPr>
        <w:t>《温州市</w:t>
      </w:r>
      <w:r>
        <w:rPr>
          <w:rFonts w:hint="eastAsia" w:ascii="宋体" w:hAnsi="宋体" w:eastAsia="宋体" w:cs="宋体"/>
          <w:bCs/>
          <w:color w:val="auto"/>
          <w:kern w:val="1"/>
          <w:sz w:val="21"/>
          <w:szCs w:val="21"/>
          <w:highlight w:val="none"/>
          <w:lang w:val="en-US" w:eastAsia="zh-CN"/>
        </w:rPr>
        <w:t>市属</w:t>
      </w:r>
      <w:r>
        <w:rPr>
          <w:rFonts w:hint="eastAsia" w:ascii="宋体" w:hAnsi="宋体" w:eastAsia="宋体" w:cs="宋体"/>
          <w:bCs/>
          <w:color w:val="auto"/>
          <w:kern w:val="1"/>
          <w:sz w:val="21"/>
          <w:szCs w:val="21"/>
          <w:highlight w:val="none"/>
        </w:rPr>
        <w:t>国有企业采购管理办法（试行）》</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大地工程咨询有限公司</w:t>
      </w:r>
      <w:r>
        <w:rPr>
          <w:rFonts w:hint="eastAsia" w:ascii="宋体" w:hAnsi="宋体" w:eastAsia="宋体" w:cs="宋体"/>
          <w:color w:val="auto"/>
          <w:sz w:val="21"/>
          <w:szCs w:val="21"/>
          <w:highlight w:val="none"/>
        </w:rPr>
        <w:t>受</w:t>
      </w:r>
      <w:r>
        <w:rPr>
          <w:rFonts w:hint="eastAsia" w:ascii="宋体" w:hAnsi="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委托，就所需</w:t>
      </w:r>
      <w:r>
        <w:rPr>
          <w:rFonts w:hint="eastAsia" w:ascii="宋体" w:hAnsi="宋体" w:cs="宋体"/>
          <w:color w:val="auto"/>
          <w:sz w:val="21"/>
          <w:szCs w:val="21"/>
          <w:highlight w:val="none"/>
          <w:lang w:eastAsia="zh-CN"/>
        </w:rPr>
        <w:t>IPO券商中介服务</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以公开招标的方式进行采购，欢迎国内合格的投标供应商前来投标。</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w:t>
      </w:r>
      <w:r>
        <w:rPr>
          <w:rFonts w:hint="eastAsia" w:ascii="宋体" w:hAnsi="宋体" w:cs="宋体"/>
          <w:b w:val="0"/>
          <w:bCs w:val="0"/>
          <w:color w:val="auto"/>
          <w:sz w:val="21"/>
          <w:szCs w:val="21"/>
          <w:highlight w:val="none"/>
          <w:lang w:eastAsia="zh-CN"/>
        </w:rPr>
        <w:t>WGSS-JFJT-X-2023009</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采购类型：</w:t>
      </w:r>
      <w:r>
        <w:rPr>
          <w:rFonts w:hint="eastAsia" w:ascii="宋体" w:hAnsi="宋体" w:eastAsia="宋体" w:cs="宋体"/>
          <w:b w:val="0"/>
          <w:bCs w:val="0"/>
          <w:color w:val="auto"/>
          <w:sz w:val="21"/>
          <w:szCs w:val="21"/>
          <w:highlight w:val="none"/>
          <w:lang w:eastAsia="zh-CN"/>
        </w:rPr>
        <w:t>国企采购（非政府采购）</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采购项目概况</w:t>
      </w:r>
      <w:r>
        <w:rPr>
          <w:rFonts w:hint="eastAsia" w:ascii="宋体" w:hAnsi="宋体" w:eastAsia="宋体" w:cs="宋体"/>
          <w:color w:val="auto"/>
          <w:sz w:val="21"/>
          <w:szCs w:val="21"/>
          <w:highlight w:val="none"/>
        </w:rPr>
        <w:t>（内容、用途、数量、简要技术要求等）：</w:t>
      </w:r>
    </w:p>
    <w:tbl>
      <w:tblPr>
        <w:tblStyle w:val="33"/>
        <w:tblW w:w="9436" w:type="dxa"/>
        <w:tblInd w:w="102"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615"/>
        <w:gridCol w:w="1558"/>
        <w:gridCol w:w="714"/>
        <w:gridCol w:w="823"/>
        <w:gridCol w:w="1368"/>
        <w:gridCol w:w="3610"/>
        <w:gridCol w:w="748"/>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055" w:hRule="atLeast"/>
        </w:trPr>
        <w:tc>
          <w:tcPr>
            <w:tcW w:w="615"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558"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标项内容</w:t>
            </w:r>
          </w:p>
        </w:tc>
        <w:tc>
          <w:tcPr>
            <w:tcW w:w="71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823"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1368"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预算金额</w:t>
            </w:r>
          </w:p>
        </w:tc>
        <w:tc>
          <w:tcPr>
            <w:tcW w:w="361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简要技术要求、用途</w:t>
            </w:r>
          </w:p>
        </w:tc>
        <w:tc>
          <w:tcPr>
            <w:tcW w:w="748" w:type="dxa"/>
            <w:tcBorders>
              <w:left w:val="single" w:color="000000" w:sz="4" w:space="0"/>
              <w:bottom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952" w:hRule="atLeast"/>
        </w:trPr>
        <w:tc>
          <w:tcPr>
            <w:tcW w:w="615" w:type="dxa"/>
            <w:tcBorders>
              <w:top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558"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IPO券商中介服务</w:t>
            </w:r>
          </w:p>
        </w:tc>
        <w:tc>
          <w:tcPr>
            <w:tcW w:w="714"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23"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w:t>
            </w:r>
          </w:p>
        </w:tc>
        <w:tc>
          <w:tcPr>
            <w:tcW w:w="1368"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224万</w:t>
            </w:r>
            <w:r>
              <w:rPr>
                <w:rFonts w:hint="eastAsia" w:ascii="宋体" w:hAnsi="宋体" w:eastAsia="宋体" w:cs="宋体"/>
                <w:bCs/>
                <w:color w:val="auto"/>
                <w:sz w:val="21"/>
                <w:szCs w:val="21"/>
                <w:highlight w:val="none"/>
                <w:lang w:val="en-US" w:eastAsia="zh-CN"/>
              </w:rPr>
              <w:t>元</w:t>
            </w:r>
          </w:p>
        </w:tc>
        <w:tc>
          <w:tcPr>
            <w:tcW w:w="361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内容及详细技术要求见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c>
          <w:tcPr>
            <w:tcW w:w="748" w:type="dxa"/>
            <w:tcBorders>
              <w:top w:val="single" w:color="000000" w:sz="4" w:space="0"/>
              <w:lef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rPr>
            </w:pPr>
          </w:p>
        </w:tc>
      </w:tr>
    </w:tbl>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投标供应商资格要求：</w:t>
      </w:r>
    </w:p>
    <w:p>
      <w:pPr>
        <w:keepNext w:val="0"/>
        <w:keepLines w:val="0"/>
        <w:pageBreakBefore w:val="0"/>
        <w:widowControl/>
        <w:kinsoku/>
        <w:wordWrap w:val="0"/>
        <w:overflowPunct/>
        <w:topLinePunct w:val="0"/>
        <w:autoSpaceDE/>
        <w:autoSpaceDN/>
        <w:bidi w:val="0"/>
        <w:adjustRightInd/>
        <w:snapToGrid/>
        <w:spacing w:line="440" w:lineRule="exact"/>
        <w:ind w:right="62"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符合《温州市市属国有企业采购管理办法（试行）》第十五条对</w:t>
      </w:r>
      <w:r>
        <w:rPr>
          <w:rFonts w:hint="eastAsia" w:ascii="宋体" w:hAnsi="宋体" w:eastAsia="宋体" w:cs="宋体"/>
          <w:bCs/>
          <w:color w:val="auto"/>
          <w:kern w:val="0"/>
          <w:sz w:val="21"/>
          <w:szCs w:val="21"/>
          <w:highlight w:val="none"/>
          <w:lang w:eastAsia="zh-CN"/>
        </w:rPr>
        <w:t>投标供应商</w:t>
      </w:r>
      <w:r>
        <w:rPr>
          <w:rFonts w:hint="eastAsia" w:ascii="宋体" w:hAnsi="宋体" w:eastAsia="宋体" w:cs="宋体"/>
          <w:bCs/>
          <w:color w:val="auto"/>
          <w:kern w:val="0"/>
          <w:sz w:val="21"/>
          <w:szCs w:val="21"/>
          <w:highlight w:val="none"/>
        </w:rPr>
        <w:t>参加国有企业采购活动应当具备的资格条件。</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单位负责人为同一人或者存在直接控股、管理关系的不同供应商，不得参加同一合同项下的采购</w:t>
      </w:r>
      <w:r>
        <w:rPr>
          <w:rFonts w:hint="eastAsia" w:ascii="宋体" w:hAnsi="宋体" w:eastAsia="宋体" w:cs="宋体"/>
          <w:bCs/>
          <w:color w:val="auto"/>
          <w:kern w:val="0"/>
          <w:sz w:val="21"/>
          <w:szCs w:val="21"/>
          <w:highlight w:val="none"/>
          <w:lang w:eastAsia="zh-CN"/>
        </w:rPr>
        <w:t>活动。</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color w:val="auto"/>
          <w:kern w:val="0"/>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    4、具有中国证监会颁发的经营证券业务（承销与保荐业务）许可证；</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5、具有证券公司分类评级B级及以上级别（参考《中国证监会公布202</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年证券公司分类结果》）。</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6、本项目不接受联合体投标。</w:t>
      </w:r>
    </w:p>
    <w:p>
      <w:pPr>
        <w:keepNext w:val="0"/>
        <w:keepLines w:val="0"/>
        <w:pageBreakBefore w:val="0"/>
        <w:widowControl w:val="0"/>
        <w:kinsoku/>
        <w:wordWrap w:val="0"/>
        <w:overflowPunct/>
        <w:topLinePunct w:val="0"/>
        <w:autoSpaceDE/>
        <w:autoSpaceDN/>
        <w:bidi w:val="0"/>
        <w:adjustRightInd/>
        <w:snapToGrid/>
        <w:spacing w:before="60" w:after="60" w:line="440" w:lineRule="exact"/>
        <w:ind w:left="60" w:right="6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、发售</w:t>
      </w:r>
      <w:r>
        <w:rPr>
          <w:rFonts w:hint="eastAsia" w:ascii="宋体" w:hAnsi="宋体" w:eastAsia="宋体" w:cs="宋体"/>
          <w:b/>
          <w:color w:val="auto"/>
          <w:kern w:val="0"/>
          <w:sz w:val="21"/>
          <w:szCs w:val="21"/>
          <w:highlight w:val="none"/>
          <w:lang w:eastAsia="zh-CN"/>
        </w:rPr>
        <w:t>采购文件</w:t>
      </w:r>
      <w:r>
        <w:rPr>
          <w:rFonts w:hint="eastAsia" w:ascii="宋体" w:hAnsi="宋体" w:eastAsia="宋体" w:cs="宋体"/>
          <w:b/>
          <w:color w:val="auto"/>
          <w:kern w:val="0"/>
          <w:sz w:val="21"/>
          <w:szCs w:val="21"/>
          <w:highlight w:val="none"/>
        </w:rPr>
        <w:t>时间及地点：</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发售采购文件时间：公告发布之日起</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lang w:eastAsia="zh-CN"/>
        </w:rPr>
        <w:t>投标截止时间</w:t>
      </w:r>
      <w:r>
        <w:rPr>
          <w:rFonts w:hint="eastAsia" w:ascii="宋体" w:hAnsi="宋体" w:eastAsia="宋体" w:cs="宋体"/>
          <w:color w:val="auto"/>
          <w:kern w:val="0"/>
          <w:sz w:val="21"/>
          <w:szCs w:val="21"/>
          <w:highlight w:val="none"/>
          <w:lang w:val="en-US" w:eastAsia="zh-CN"/>
        </w:rPr>
        <w:t>前</w:t>
      </w:r>
      <w:r>
        <w:rPr>
          <w:rFonts w:hint="eastAsia" w:ascii="宋体" w:hAnsi="宋体" w:eastAsia="宋体" w:cs="宋体"/>
          <w:color w:val="auto"/>
          <w:kern w:val="0"/>
          <w:sz w:val="21"/>
          <w:szCs w:val="21"/>
          <w:highlight w:val="none"/>
          <w:lang w:eastAsia="zh-CN"/>
        </w:rPr>
        <w:t>（上午08：30-11：30，下午14：30-17：00（节假日除外），未购买采购文件的潜在投标供应商拒绝参加投标，投标供应商如对采购文件有异议应按采购文件规定的时间提出，逾期提出的，</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组织机构可不予受理、答复）。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采购文件售价：人民币</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00元整(售后不退)。</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采购文件发售地点：本项目暂不接受现场获取采购文件。</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获取采购文件方式及注意事项：</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网上报名（政采云报名）：请供应商登录浙江政府采购网（http://zfcg.czt.zj.gov.cn），进入“政采云”平台进行注册并报名（未注册的供应商请尽早注册，客服电话：</w:t>
      </w:r>
      <w:r>
        <w:rPr>
          <w:rFonts w:hint="eastAsia" w:ascii="宋体" w:hAnsi="宋体" w:cs="宋体"/>
          <w:color w:val="auto"/>
          <w:kern w:val="0"/>
          <w:sz w:val="21"/>
          <w:szCs w:val="21"/>
          <w:highlight w:val="none"/>
          <w:lang w:eastAsia="zh-CN"/>
        </w:rPr>
        <w:t>95763</w:t>
      </w:r>
      <w:r>
        <w:rPr>
          <w:rFonts w:hint="eastAsia" w:ascii="宋体" w:hAnsi="宋体" w:eastAsia="宋体" w:cs="宋体"/>
          <w:color w:val="auto"/>
          <w:kern w:val="0"/>
          <w:sz w:val="21"/>
          <w:szCs w:val="21"/>
          <w:highlight w:val="none"/>
          <w:lang w:eastAsia="zh-CN"/>
        </w:rPr>
        <w:t>），（操作路径：浙江政府采购网：供应商注册-项目采购-获取采购文件-申请获取采购文件）。网上报名后，请将标书购买费汇入代理公司账户（户名：大地工程咨询有限公司温州第一分公司；帐号：33050162870500000188；</w:t>
      </w:r>
      <w:r>
        <w:rPr>
          <w:rFonts w:hint="eastAsia" w:ascii="宋体" w:hAnsi="宋体" w:eastAsia="宋体" w:cs="宋体"/>
          <w:color w:val="auto"/>
          <w:kern w:val="0"/>
          <w:sz w:val="21"/>
          <w:szCs w:val="21"/>
          <w:highlight w:val="none"/>
          <w:lang w:val="en-US" w:eastAsia="zh-CN"/>
        </w:rPr>
        <w:t>开户银行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中国建设银行温州双龙支行；），将供应商报名申请表（格式详见采购文件）、企业法人营业执照副本复印件（加盖公章扫描件）、中国证监会颁发的经营证券业务（承销与保荐业务）许可证</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标书购买费用凭证（加盖公章扫描件）等发送至代理机构电子邮箱</w:t>
      </w:r>
      <w:r>
        <w:rPr>
          <w:rFonts w:hint="eastAsia" w:ascii="宋体" w:hAnsi="宋体" w:cs="宋体"/>
          <w:color w:val="auto"/>
          <w:kern w:val="0"/>
          <w:sz w:val="21"/>
          <w:szCs w:val="21"/>
          <w:highlight w:val="none"/>
          <w:lang w:val="en-US" w:eastAsia="zh-CN"/>
        </w:rPr>
        <w:t>2441880975</w:t>
      </w:r>
      <w:r>
        <w:rPr>
          <w:rFonts w:hint="eastAsia" w:ascii="宋体" w:hAnsi="宋体" w:eastAsia="宋体" w:cs="宋体"/>
          <w:color w:val="auto"/>
          <w:kern w:val="0"/>
          <w:sz w:val="21"/>
          <w:szCs w:val="21"/>
          <w:highlight w:val="none"/>
          <w:lang w:val="en-US" w:eastAsia="zh-CN"/>
        </w:rPr>
        <w:t>@qq.com）并联系采购代理公司审核。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六、投标截止时间：</w:t>
      </w:r>
      <w:r>
        <w:rPr>
          <w:rFonts w:hint="eastAsia" w:ascii="宋体" w:hAnsi="宋体" w:cs="宋体"/>
          <w:color w:val="auto"/>
          <w:kern w:val="0"/>
          <w:sz w:val="21"/>
          <w:szCs w:val="21"/>
          <w:highlight w:val="none"/>
          <w:lang w:val="en-US" w:eastAsia="zh-CN"/>
        </w:rPr>
        <w:t>2024年2月1日14</w:t>
      </w:r>
      <w:r>
        <w:rPr>
          <w:rFonts w:hint="eastAsia" w:ascii="宋体" w:hAnsi="宋体" w:eastAsia="宋体" w:cs="宋体"/>
          <w:color w:val="auto"/>
          <w:kern w:val="0"/>
          <w:sz w:val="21"/>
          <w:szCs w:val="21"/>
          <w:highlight w:val="none"/>
          <w:lang w:val="en-US" w:eastAsia="zh-CN"/>
        </w:rPr>
        <w:t>时30分整。</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七、投标文件提交地点：温州市政务服务管理中心开标区 (温州市鹿城区会展路1268号温州市民中心A座3楼公共资源交易专区)（详见当天大厅大屏幕）</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八、开标时间：</w:t>
      </w:r>
      <w:r>
        <w:rPr>
          <w:rFonts w:hint="eastAsia" w:ascii="宋体" w:hAnsi="宋体" w:cs="宋体"/>
          <w:color w:val="auto"/>
          <w:kern w:val="0"/>
          <w:sz w:val="21"/>
          <w:szCs w:val="21"/>
          <w:highlight w:val="none"/>
          <w:lang w:val="en-US" w:eastAsia="zh-CN"/>
        </w:rPr>
        <w:t>2024年2月1日14时30分整。</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九、开标地点：温州市政务服务管理中心开标区 (温州市鹿城区会展路1268号温州市民中心A座3楼公共资源交易专区)（详见当天大厅大屏幕）</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十、投标保证金及交付方式：</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1、投标保证金额：</w:t>
      </w:r>
      <w:r>
        <w:rPr>
          <w:rFonts w:hint="eastAsia" w:ascii="宋体" w:hAnsi="宋体" w:eastAsia="宋体" w:cs="宋体"/>
          <w:b/>
          <w:bCs/>
          <w:color w:val="auto"/>
          <w:kern w:val="0"/>
          <w:sz w:val="21"/>
          <w:szCs w:val="21"/>
          <w:highlight w:val="none"/>
          <w:lang w:val="en-US" w:eastAsia="zh-CN"/>
        </w:rPr>
        <w:t>人民币</w:t>
      </w:r>
      <w:r>
        <w:rPr>
          <w:rFonts w:hint="eastAsia" w:ascii="宋体" w:hAnsi="宋体" w:cs="宋体"/>
          <w:b/>
          <w:bCs/>
          <w:color w:val="auto"/>
          <w:kern w:val="0"/>
          <w:sz w:val="21"/>
          <w:szCs w:val="21"/>
          <w:highlight w:val="none"/>
          <w:lang w:val="en-US" w:eastAsia="zh-CN"/>
        </w:rPr>
        <w:t>贰</w:t>
      </w:r>
      <w:r>
        <w:rPr>
          <w:rFonts w:hint="eastAsia" w:ascii="宋体" w:hAnsi="宋体" w:eastAsia="宋体" w:cs="宋体"/>
          <w:b/>
          <w:bCs/>
          <w:color w:val="auto"/>
          <w:kern w:val="0"/>
          <w:sz w:val="21"/>
          <w:szCs w:val="21"/>
          <w:highlight w:val="none"/>
          <w:lang w:val="en-US" w:eastAsia="zh-CN"/>
        </w:rPr>
        <w:t>万元整</w:t>
      </w:r>
      <w:r>
        <w:rPr>
          <w:rFonts w:hint="eastAsia" w:ascii="宋体" w:hAnsi="宋体" w:eastAsia="宋体" w:cs="宋体"/>
          <w:color w:val="auto"/>
          <w:kern w:val="0"/>
          <w:sz w:val="21"/>
          <w:szCs w:val="21"/>
          <w:highlight w:val="none"/>
          <w:lang w:val="en-US" w:eastAsia="zh-CN"/>
        </w:rPr>
        <w:t>（投标供应商须在</w:t>
      </w:r>
      <w:r>
        <w:rPr>
          <w:rFonts w:hint="eastAsia" w:ascii="宋体" w:hAnsi="宋体" w:cs="宋体"/>
          <w:color w:val="auto"/>
          <w:kern w:val="0"/>
          <w:sz w:val="21"/>
          <w:szCs w:val="21"/>
          <w:highlight w:val="none"/>
          <w:lang w:val="en-US" w:eastAsia="zh-CN"/>
        </w:rPr>
        <w:t>2024年2月1日14</w:t>
      </w:r>
      <w:r>
        <w:rPr>
          <w:rFonts w:hint="eastAsia" w:ascii="宋体" w:hAnsi="宋体" w:eastAsia="宋体" w:cs="宋体"/>
          <w:color w:val="auto"/>
          <w:kern w:val="0"/>
          <w:sz w:val="21"/>
          <w:szCs w:val="21"/>
          <w:highlight w:val="none"/>
          <w:lang w:val="en-US" w:eastAsia="zh-CN"/>
        </w:rPr>
        <w:t>时30分前将投标保证金以银行转帐形式缴纳并到帐，汇出账号须为投标供应商银行帐户）。</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户名：大地工程咨询有限公司温州第一分公司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账号：33050162870500000188</w:t>
      </w:r>
      <w:r>
        <w:rPr>
          <w:rFonts w:hint="eastAsia" w:ascii="宋体" w:hAnsi="宋体" w:cs="宋体"/>
          <w:b/>
          <w:bCs/>
          <w:color w:val="auto"/>
          <w:kern w:val="0"/>
          <w:sz w:val="21"/>
          <w:szCs w:val="21"/>
          <w:highlight w:val="none"/>
          <w:lang w:val="en-US" w:eastAsia="zh-CN"/>
        </w:rPr>
        <w:t xml:space="preserve"> </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开户行：中国建设银行温州双龙支行</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十一、其他事项：</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u w:val="single"/>
          <w:lang w:val="en-US" w:eastAsia="zh-CN"/>
        </w:rPr>
        <w:t>1、采购公告期限：5个工作日，从公告在浙江政府采购网上发布的次日起算；</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2、</w:t>
      </w:r>
      <w:r>
        <w:rPr>
          <w:rFonts w:hint="eastAsia" w:ascii="宋体" w:hAnsi="宋体" w:eastAsia="宋体" w:cs="宋体"/>
          <w:b/>
          <w:bCs/>
          <w:color w:val="auto"/>
          <w:kern w:val="0"/>
          <w:sz w:val="21"/>
          <w:szCs w:val="21"/>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温州市交通发展集团有限公司纪检监察室投诉。</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bookmarkStart w:id="182" w:name="_GoBack"/>
      <w:bookmarkEnd w:id="182"/>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4</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发售截止时间之后潜在</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仍然可以购买</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，但该</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如对</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有疑问应按</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规定的询疑截止时间前提出，逾期提出的，</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0"/>
          <w:sz w:val="21"/>
          <w:szCs w:val="21"/>
          <w:highlight w:val="none"/>
          <w:u w:val="single"/>
        </w:rPr>
        <w:t>组织机构可以不予受理、答复。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、潜在供应商需在浙江政府采购网（http://www.zjzfcg.gov.cn/）进行注册，具体详见浙江政府采购网供应商注册要求，使用供应商账号登陆</w:t>
      </w:r>
      <w:r>
        <w:rPr>
          <w:rFonts w:hint="eastAsia" w:ascii="宋体" w:hAnsi="宋体" w:eastAsia="宋体" w:cs="宋体"/>
          <w:color w:val="auto"/>
          <w:kern w:val="0"/>
          <w:sz w:val="21"/>
          <w:szCs w:val="21"/>
          <w:highlight w:val="none"/>
          <w:lang w:val="en-US" w:eastAsia="zh-CN"/>
        </w:rPr>
        <w:t>并获取采购文件</w:t>
      </w:r>
      <w:r>
        <w:rPr>
          <w:rFonts w:hint="eastAsia" w:ascii="宋体" w:hAnsi="宋体" w:eastAsia="宋体" w:cs="宋体"/>
          <w:color w:val="auto"/>
          <w:kern w:val="0"/>
          <w:sz w:val="21"/>
          <w:szCs w:val="21"/>
          <w:highlight w:val="none"/>
        </w:rPr>
        <w:t>。</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、书面质疑受理地点：</w:t>
      </w:r>
      <w:r>
        <w:rPr>
          <w:rFonts w:hint="eastAsia" w:ascii="宋体" w:hAnsi="宋体" w:eastAsia="宋体" w:cs="宋体"/>
          <w:snapToGrid/>
          <w:color w:val="auto"/>
          <w:kern w:val="0"/>
          <w:sz w:val="21"/>
          <w:szCs w:val="21"/>
          <w:highlight w:val="none"/>
          <w:lang w:eastAsia="zh-CN"/>
        </w:rPr>
        <w:t>温州市温州大道823号爱好数字园C幢5楼</w:t>
      </w:r>
      <w:r>
        <w:rPr>
          <w:rFonts w:hint="eastAsia" w:ascii="宋体" w:hAnsi="宋体" w:eastAsia="宋体" w:cs="宋体"/>
          <w:snapToGrid/>
          <w:color w:val="auto"/>
          <w:kern w:val="0"/>
          <w:sz w:val="21"/>
          <w:szCs w:val="21"/>
          <w:highlight w:val="none"/>
        </w:rPr>
        <w:t>，</w:t>
      </w:r>
      <w:r>
        <w:rPr>
          <w:rFonts w:hint="eastAsia" w:ascii="宋体" w:hAnsi="宋体" w:eastAsia="宋体" w:cs="宋体"/>
          <w:color w:val="auto"/>
          <w:kern w:val="0"/>
          <w:sz w:val="21"/>
          <w:szCs w:val="21"/>
          <w:highlight w:val="none"/>
        </w:rPr>
        <w:t>书面质疑文件接收人：</w:t>
      </w:r>
      <w:r>
        <w:rPr>
          <w:rFonts w:hint="eastAsia" w:ascii="宋体" w:hAnsi="宋体" w:cs="宋体"/>
          <w:color w:val="auto"/>
          <w:kern w:val="0"/>
          <w:sz w:val="21"/>
          <w:szCs w:val="21"/>
          <w:highlight w:val="none"/>
          <w:lang w:val="en-US" w:eastAsia="zh-CN"/>
        </w:rPr>
        <w:t>陈少白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电话：</w:t>
      </w:r>
      <w:r>
        <w:rPr>
          <w:rFonts w:hint="eastAsia" w:ascii="宋体" w:hAnsi="宋体" w:cs="宋体"/>
          <w:color w:val="auto"/>
          <w:kern w:val="0"/>
          <w:sz w:val="21"/>
          <w:szCs w:val="21"/>
          <w:highlight w:val="none"/>
          <w:lang w:val="en-US" w:eastAsia="zh-CN"/>
        </w:rPr>
        <w:t>13295875767</w:t>
      </w:r>
      <w:r>
        <w:rPr>
          <w:rFonts w:hint="eastAsia" w:ascii="宋体" w:hAnsi="宋体" w:eastAsia="宋体" w:cs="宋体"/>
          <w:color w:val="auto"/>
          <w:kern w:val="0"/>
          <w:sz w:val="21"/>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十二、联系方式</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温州诚达交通发展股份有限公司</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址：温州市鹿城区</w:t>
      </w:r>
      <w:r>
        <w:rPr>
          <w:rFonts w:hint="eastAsia" w:ascii="宋体" w:hAnsi="宋体" w:eastAsia="宋体" w:cs="宋体"/>
          <w:bCs/>
          <w:color w:val="auto"/>
          <w:kern w:val="0"/>
          <w:sz w:val="21"/>
          <w:szCs w:val="21"/>
          <w:highlight w:val="none"/>
          <w:lang w:val="en-US" w:eastAsia="zh-CN"/>
        </w:rPr>
        <w:t>站南路南瓯</w:t>
      </w:r>
      <w:r>
        <w:rPr>
          <w:rFonts w:hint="eastAsia" w:ascii="宋体" w:hAnsi="宋体" w:cs="宋体"/>
          <w:bCs/>
          <w:color w:val="auto"/>
          <w:kern w:val="0"/>
          <w:sz w:val="21"/>
          <w:szCs w:val="21"/>
          <w:highlight w:val="none"/>
          <w:lang w:val="en-US" w:eastAsia="zh-CN"/>
        </w:rPr>
        <w:t>景</w:t>
      </w:r>
      <w:r>
        <w:rPr>
          <w:rFonts w:hint="eastAsia" w:ascii="宋体" w:hAnsi="宋体" w:eastAsia="宋体" w:cs="宋体"/>
          <w:bCs/>
          <w:color w:val="auto"/>
          <w:kern w:val="0"/>
          <w:sz w:val="21"/>
          <w:szCs w:val="21"/>
          <w:highlight w:val="none"/>
          <w:lang w:val="en-US" w:eastAsia="zh-CN"/>
        </w:rPr>
        <w:t>园7幢（综合楼）二楼</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 xml:space="preserve">林先生 </w:t>
      </w:r>
      <w:r>
        <w:rPr>
          <w:rFonts w:hint="eastAsia" w:ascii="宋体" w:hAnsi="宋体" w:eastAsia="宋体" w:cs="宋体"/>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电话：0577-88565573</w:t>
      </w:r>
      <w:r>
        <w:rPr>
          <w:rFonts w:hint="eastAsia" w:ascii="宋体" w:hAnsi="宋体" w:cs="宋体"/>
          <w:color w:val="auto"/>
          <w:kern w:val="0"/>
          <w:sz w:val="21"/>
          <w:szCs w:val="21"/>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采购代理</w:t>
      </w:r>
      <w:r>
        <w:rPr>
          <w:rFonts w:hint="eastAsia" w:ascii="宋体" w:hAnsi="宋体" w:eastAsia="宋体" w:cs="宋体"/>
          <w:bCs/>
          <w:color w:val="auto"/>
          <w:kern w:val="0"/>
          <w:sz w:val="21"/>
          <w:szCs w:val="21"/>
          <w:highlight w:val="none"/>
        </w:rPr>
        <w:t>机构名称：</w:t>
      </w:r>
      <w:r>
        <w:rPr>
          <w:rFonts w:hint="eastAsia" w:ascii="宋体" w:hAnsi="宋体" w:eastAsia="宋体" w:cs="宋体"/>
          <w:bCs/>
          <w:color w:val="auto"/>
          <w:kern w:val="0"/>
          <w:sz w:val="21"/>
          <w:szCs w:val="21"/>
          <w:highlight w:val="none"/>
          <w:lang w:eastAsia="zh-CN"/>
        </w:rPr>
        <w:t>大地工程咨询有限公司</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温州市温州大道823号爱好数字园C幢5楼</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cs="宋体"/>
          <w:bCs/>
          <w:color w:val="auto"/>
          <w:kern w:val="0"/>
          <w:sz w:val="21"/>
          <w:szCs w:val="21"/>
          <w:highlight w:val="none"/>
          <w:lang w:val="en-US" w:eastAsia="zh-CN"/>
        </w:rPr>
        <w:t>陈先生</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bCs/>
          <w:color w:val="auto"/>
          <w:kern w:val="0"/>
          <w:sz w:val="21"/>
          <w:szCs w:val="21"/>
          <w:highlight w:val="none"/>
        </w:rPr>
        <w:t>电话：</w:t>
      </w:r>
      <w:r>
        <w:rPr>
          <w:rFonts w:hint="eastAsia" w:ascii="宋体" w:hAnsi="宋体" w:cs="宋体"/>
          <w:color w:val="auto"/>
          <w:kern w:val="0"/>
          <w:sz w:val="21"/>
          <w:szCs w:val="21"/>
          <w:highlight w:val="none"/>
          <w:lang w:val="en-US" w:eastAsia="zh-CN"/>
        </w:rPr>
        <w:t>13566132267</w:t>
      </w:r>
      <w:r>
        <w:rPr>
          <w:rFonts w:hint="eastAsia" w:ascii="宋体" w:hAnsi="宋体" w:eastAsia="宋体" w:cs="宋体"/>
          <w:snapToGrid w:val="0"/>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监督管理部门</w:t>
      </w:r>
      <w:r>
        <w:rPr>
          <w:rFonts w:hint="eastAsia" w:ascii="宋体" w:hAnsi="宋体" w:eastAsia="宋体" w:cs="宋体"/>
          <w:color w:val="auto"/>
          <w:kern w:val="0"/>
          <w:sz w:val="21"/>
          <w:szCs w:val="21"/>
          <w:highlight w:val="none"/>
        </w:rPr>
        <w:t xml:space="preserve">：温州市交通发展集团有限公司纪检监察室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联系电话：0577-85559092</w:t>
      </w:r>
    </w:p>
    <w:p>
      <w:pPr>
        <w:pStyle w:val="18"/>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8"/>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8"/>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温州诚达交通发展股份有限公司</w:t>
      </w:r>
    </w:p>
    <w:p>
      <w:pPr>
        <w:pStyle w:val="18"/>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大地工程咨询有限公司</w:t>
      </w:r>
    </w:p>
    <w:p>
      <w:pPr>
        <w:pStyle w:val="18"/>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417" w:header="851" w:footer="567"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日</w:t>
      </w:r>
    </w:p>
    <w:p>
      <w:pPr>
        <w:widowControl/>
        <w:spacing w:before="60" w:after="60" w:line="360" w:lineRule="auto"/>
        <w:ind w:left="62" w:right="62" w:firstLine="442"/>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温州</w:t>
      </w:r>
      <w:r>
        <w:rPr>
          <w:rFonts w:hint="eastAsia" w:ascii="宋体" w:hAnsi="宋体" w:eastAsia="宋体" w:cs="宋体"/>
          <w:b/>
          <w:bCs/>
          <w:color w:val="auto"/>
          <w:sz w:val="28"/>
          <w:szCs w:val="28"/>
          <w:highlight w:val="none"/>
          <w:lang w:val="en-US" w:eastAsia="zh-CN"/>
        </w:rPr>
        <w:t>市</w:t>
      </w:r>
      <w:r>
        <w:rPr>
          <w:rFonts w:hint="eastAsia" w:ascii="宋体" w:hAnsi="宋体" w:eastAsia="宋体" w:cs="宋体"/>
          <w:b/>
          <w:bCs/>
          <w:color w:val="auto"/>
          <w:sz w:val="28"/>
          <w:szCs w:val="28"/>
          <w:highlight w:val="none"/>
          <w:lang w:eastAsia="zh-CN"/>
        </w:rPr>
        <w:t>交发集团</w:t>
      </w:r>
      <w:r>
        <w:rPr>
          <w:rFonts w:hint="eastAsia" w:ascii="宋体" w:hAnsi="宋体" w:eastAsia="宋体" w:cs="宋体"/>
          <w:b/>
          <w:bCs/>
          <w:color w:val="auto"/>
          <w:sz w:val="28"/>
          <w:szCs w:val="28"/>
          <w:highlight w:val="none"/>
          <w:lang w:val="en-US" w:eastAsia="zh-CN"/>
        </w:rPr>
        <w:t>所属</w:t>
      </w:r>
      <w:r>
        <w:rPr>
          <w:rFonts w:hint="eastAsia" w:ascii="宋体" w:hAnsi="宋体" w:cs="宋体"/>
          <w:b/>
          <w:bCs/>
          <w:color w:val="auto"/>
          <w:sz w:val="28"/>
          <w:szCs w:val="28"/>
          <w:highlight w:val="none"/>
          <w:lang w:eastAsia="zh-CN"/>
        </w:rPr>
        <w:t>温州诚达交通发展股份有限公司</w:t>
      </w:r>
      <w:r>
        <w:rPr>
          <w:rFonts w:hint="eastAsia" w:ascii="宋体" w:hAnsi="宋体" w:eastAsia="宋体" w:cs="宋体"/>
          <w:b/>
          <w:bCs/>
          <w:color w:val="auto"/>
          <w:sz w:val="28"/>
          <w:szCs w:val="28"/>
          <w:highlight w:val="none"/>
        </w:rPr>
        <w:t>关于</w:t>
      </w:r>
      <w:r>
        <w:rPr>
          <w:rFonts w:hint="eastAsia" w:ascii="宋体" w:hAnsi="宋体" w:cs="宋体"/>
          <w:b/>
          <w:bCs/>
          <w:color w:val="auto"/>
          <w:sz w:val="28"/>
          <w:szCs w:val="28"/>
          <w:highlight w:val="none"/>
          <w:lang w:eastAsia="zh-CN"/>
        </w:rPr>
        <w:t>IPO券商中介服务</w:t>
      </w:r>
      <w:r>
        <w:rPr>
          <w:rFonts w:hint="eastAsia" w:ascii="宋体" w:hAnsi="宋体" w:eastAsia="宋体" w:cs="宋体"/>
          <w:b/>
          <w:bCs/>
          <w:color w:val="auto"/>
          <w:sz w:val="28"/>
          <w:szCs w:val="28"/>
          <w:highlight w:val="none"/>
          <w:lang w:eastAsia="zh-CN"/>
        </w:rPr>
        <w:t>项目</w:t>
      </w:r>
      <w:r>
        <w:rPr>
          <w:rFonts w:hint="eastAsia" w:ascii="宋体" w:hAnsi="宋体" w:eastAsia="宋体" w:cs="宋体"/>
          <w:b/>
          <w:bCs/>
          <w:color w:val="auto"/>
          <w:kern w:val="1"/>
          <w:sz w:val="28"/>
          <w:szCs w:val="28"/>
          <w:highlight w:val="none"/>
          <w:lang w:eastAsia="zh-CN"/>
        </w:rPr>
        <w:t>（</w:t>
      </w:r>
      <w:r>
        <w:rPr>
          <w:rFonts w:hint="eastAsia" w:ascii="宋体" w:hAnsi="宋体" w:eastAsia="宋体" w:cs="宋体"/>
          <w:b/>
          <w:bCs/>
          <w:color w:val="auto"/>
          <w:kern w:val="1"/>
          <w:sz w:val="28"/>
          <w:szCs w:val="28"/>
          <w:highlight w:val="none"/>
          <w:lang w:val="en-US" w:eastAsia="zh-CN"/>
        </w:rPr>
        <w:t>限额以上</w:t>
      </w:r>
      <w:r>
        <w:rPr>
          <w:rFonts w:hint="eastAsia" w:ascii="宋体" w:hAnsi="宋体" w:eastAsia="宋体" w:cs="宋体"/>
          <w:b/>
          <w:bCs/>
          <w:color w:val="auto"/>
          <w:kern w:val="1"/>
          <w:sz w:val="28"/>
          <w:szCs w:val="28"/>
          <w:highlight w:val="none"/>
          <w:lang w:eastAsia="zh-CN"/>
        </w:rPr>
        <w:t>）</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征求意见公示</w:t>
      </w:r>
    </w:p>
    <w:p>
      <w:pPr>
        <w:widowControl/>
        <w:jc w:val="center"/>
        <w:outlineLvl w:val="9"/>
        <w:rPr>
          <w:rFonts w:hint="eastAsia" w:ascii="宋体" w:hAnsi="宋体" w:eastAsia="宋体" w:cs="宋体"/>
          <w:color w:val="auto"/>
          <w:sz w:val="21"/>
          <w:szCs w:val="21"/>
          <w:highlight w:val="none"/>
        </w:rPr>
      </w:pP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r>
        <w:rPr>
          <w:rFonts w:hint="eastAsia" w:ascii="宋体" w:hAnsi="宋体" w:eastAsia="宋体" w:cs="宋体"/>
          <w:bCs/>
          <w:color w:val="auto"/>
          <w:kern w:val="0"/>
          <w:sz w:val="21"/>
          <w:szCs w:val="21"/>
          <w:highlight w:val="none"/>
        </w:rPr>
        <w:t>受</w:t>
      </w:r>
      <w:r>
        <w:rPr>
          <w:rFonts w:hint="eastAsia" w:ascii="宋体" w:hAnsi="宋体" w:cs="宋体"/>
          <w:bCs/>
          <w:color w:val="auto"/>
          <w:kern w:val="0"/>
          <w:sz w:val="21"/>
          <w:szCs w:val="21"/>
          <w:highlight w:val="none"/>
          <w:lang w:eastAsia="zh-CN"/>
        </w:rPr>
        <w:t>温州诚达交通发展股份有限公司</w:t>
      </w:r>
      <w:r>
        <w:rPr>
          <w:rFonts w:hint="eastAsia" w:ascii="宋体" w:hAnsi="宋体" w:eastAsia="宋体" w:cs="宋体"/>
          <w:bCs/>
          <w:color w:val="auto"/>
          <w:kern w:val="0"/>
          <w:sz w:val="21"/>
          <w:szCs w:val="21"/>
          <w:highlight w:val="none"/>
        </w:rPr>
        <w:t>的委托，就</w:t>
      </w:r>
      <w:r>
        <w:rPr>
          <w:rFonts w:hint="eastAsia" w:ascii="宋体" w:hAnsi="宋体" w:cs="宋体"/>
          <w:bCs/>
          <w:color w:val="auto"/>
          <w:kern w:val="0"/>
          <w:sz w:val="21"/>
          <w:szCs w:val="21"/>
          <w:highlight w:val="none"/>
          <w:lang w:eastAsia="zh-CN"/>
        </w:rPr>
        <w:t>IPO券商中介服务</w:t>
      </w:r>
      <w:r>
        <w:rPr>
          <w:rFonts w:hint="eastAsia" w:ascii="宋体" w:hAnsi="宋体" w:eastAsia="宋体" w:cs="宋体"/>
          <w:bCs/>
          <w:color w:val="auto"/>
          <w:kern w:val="0"/>
          <w:sz w:val="21"/>
          <w:szCs w:val="21"/>
          <w:highlight w:val="none"/>
          <w:lang w:eastAsia="zh-CN"/>
        </w:rPr>
        <w:t>项目</w:t>
      </w:r>
      <w:r>
        <w:rPr>
          <w:rFonts w:hint="eastAsia" w:ascii="宋体" w:hAnsi="宋体" w:eastAsia="宋体" w:cs="宋体"/>
          <w:bCs/>
          <w:color w:val="auto"/>
          <w:kern w:val="0"/>
          <w:sz w:val="21"/>
          <w:szCs w:val="21"/>
          <w:highlight w:val="none"/>
        </w:rPr>
        <w:t>以公开招标方式进行采购。现将本项目采购文件公布如下（详见附件），并公开征求投标供应商及专家意见。</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一、征求意见范围：</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1、是否出现明显的倾向性意见和特定的性能指标；</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2、投标供应商资格条件是否具有明显倾向性和歧视性；</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3、影响温州市国有企业采购“公开、公平、公正”原则的其他情况。 </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二、征求意见的回复：</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各投标供应商及专家提出修改理由和建议的，请于202</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年</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月</w:t>
      </w:r>
      <w:r>
        <w:rPr>
          <w:rFonts w:hint="eastAsia" w:ascii="宋体" w:hAnsi="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rPr>
        <w:t>日上午11时00分前将书面材料签字（盖公章）并密封后送至温州市温州大道823号爱好数字园C幢5楼</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或先将扫描件及电子版发送至邮箱</w:t>
      </w:r>
      <w:r>
        <w:rPr>
          <w:rFonts w:hint="eastAsia" w:ascii="宋体" w:hAnsi="宋体" w:cs="宋体"/>
          <w:bCs/>
          <w:color w:val="auto"/>
          <w:kern w:val="0"/>
          <w:sz w:val="21"/>
          <w:szCs w:val="21"/>
          <w:highlight w:val="none"/>
          <w:lang w:val="en-US" w:eastAsia="zh-CN"/>
        </w:rPr>
        <w:t>2441880975</w:t>
      </w:r>
      <w:r>
        <w:rPr>
          <w:rFonts w:hint="eastAsia" w:ascii="宋体" w:hAnsi="宋体" w:eastAsia="宋体" w:cs="宋体"/>
          <w:bCs/>
          <w:color w:val="auto"/>
          <w:kern w:val="0"/>
          <w:sz w:val="21"/>
          <w:szCs w:val="21"/>
          <w:highlight w:val="none"/>
        </w:rPr>
        <w:t>@qq.com，并同时将该原件寄至温州市温州大道823号爱好数字园C幢5楼。</w:t>
      </w:r>
      <w:r>
        <w:rPr>
          <w:rFonts w:hint="eastAsia" w:ascii="宋体" w:hAnsi="宋体" w:eastAsia="宋体" w:cs="宋体"/>
          <w:bCs/>
          <w:color w:val="auto"/>
          <w:kern w:val="0"/>
          <w:sz w:val="21"/>
          <w:szCs w:val="21"/>
          <w:highlight w:val="none"/>
          <w:lang w:eastAsia="zh-CN"/>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cs="宋体"/>
          <w:bCs/>
          <w:color w:val="auto"/>
          <w:kern w:val="0"/>
          <w:sz w:val="21"/>
          <w:szCs w:val="21"/>
          <w:highlight w:val="none"/>
          <w:lang w:val="en-US" w:eastAsia="zh-CN"/>
        </w:rPr>
        <w:t>陈少白</w:t>
      </w:r>
      <w:r>
        <w:rPr>
          <w:rFonts w:hint="eastAsia" w:ascii="宋体" w:hAnsi="宋体" w:eastAsia="宋体" w:cs="宋体"/>
          <w:bCs/>
          <w:color w:val="auto"/>
          <w:kern w:val="0"/>
          <w:sz w:val="21"/>
          <w:szCs w:val="21"/>
          <w:highlight w:val="none"/>
        </w:rPr>
        <w:t>，联系电话：</w:t>
      </w:r>
      <w:r>
        <w:rPr>
          <w:rFonts w:hint="eastAsia" w:ascii="宋体" w:hAnsi="宋体" w:cs="宋体"/>
          <w:bCs/>
          <w:color w:val="auto"/>
          <w:kern w:val="0"/>
          <w:sz w:val="21"/>
          <w:szCs w:val="21"/>
          <w:highlight w:val="none"/>
          <w:lang w:val="en-US" w:eastAsia="zh-CN"/>
        </w:rPr>
        <w:t>13295875767</w:t>
      </w:r>
      <w:r>
        <w:rPr>
          <w:rFonts w:hint="eastAsia" w:ascii="宋体" w:hAnsi="宋体" w:eastAsia="宋体" w:cs="宋体"/>
          <w:bCs/>
          <w:color w:val="auto"/>
          <w:kern w:val="0"/>
          <w:sz w:val="21"/>
          <w:szCs w:val="21"/>
          <w:highlight w:val="none"/>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对逾期送达的意见、建议书恕不接受。</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三、附本项目采购文件</w:t>
      </w:r>
    </w:p>
    <w:p>
      <w:pPr>
        <w:pStyle w:val="15"/>
        <w:spacing w:line="360" w:lineRule="auto"/>
        <w:ind w:firstLine="0" w:firstLineChars="0"/>
        <w:outlineLvl w:val="9"/>
        <w:rPr>
          <w:rFonts w:hint="eastAsia" w:ascii="宋体" w:hAnsi="宋体" w:eastAsia="宋体" w:cs="宋体"/>
          <w:color w:val="auto"/>
          <w:sz w:val="21"/>
          <w:szCs w:val="21"/>
          <w:highlight w:val="none"/>
          <w:lang w:val="en-US" w:eastAsia="zh-CN"/>
        </w:rPr>
      </w:pP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温州诚达交通发展股份有限公司</w:t>
      </w: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360" w:lineRule="auto"/>
        <w:jc w:val="center"/>
        <w:outlineLvl w:val="0"/>
        <w:rPr>
          <w:rFonts w:hint="eastAsia" w:ascii="宋体" w:hAnsi="宋体" w:eastAsia="宋体" w:cs="宋体"/>
          <w:b/>
          <w:bCs/>
          <w:color w:val="auto"/>
          <w:sz w:val="28"/>
          <w:szCs w:val="28"/>
          <w:highlight w:val="none"/>
        </w:rPr>
      </w:pPr>
      <w:bookmarkStart w:id="16" w:name="_Toc389760259"/>
      <w:r>
        <w:rPr>
          <w:rFonts w:hint="eastAsia" w:ascii="宋体" w:hAnsi="宋体" w:eastAsia="宋体" w:cs="宋体"/>
          <w:color w:val="auto"/>
          <w:sz w:val="21"/>
          <w:szCs w:val="21"/>
          <w:highlight w:val="none"/>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Start w:id="17" w:name="_Toc29556"/>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须知前附表</w:t>
      </w:r>
      <w:bookmarkEnd w:id="17"/>
    </w:p>
    <w:p>
      <w:pPr>
        <w:spacing w:line="360" w:lineRule="auto"/>
        <w:outlineLvl w:val="9"/>
        <w:rPr>
          <w:rFonts w:hint="eastAsia" w:ascii="宋体" w:hAnsi="宋体" w:eastAsia="宋体" w:cs="宋体"/>
          <w:color w:val="auto"/>
          <w:sz w:val="21"/>
          <w:szCs w:val="21"/>
          <w:highlight w:val="none"/>
        </w:rPr>
      </w:pPr>
    </w:p>
    <w:tbl>
      <w:tblPr>
        <w:tblStyle w:val="33"/>
        <w:tblW w:w="0" w:type="auto"/>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72"/>
        <w:gridCol w:w="1560"/>
        <w:gridCol w:w="70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0"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046" w:type="dxa"/>
            <w:tcBorders>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w:t>
            </w:r>
            <w:r>
              <w:rPr>
                <w:rFonts w:hint="eastAsia" w:ascii="宋体" w:hAnsi="宋体" w:cs="宋体"/>
                <w:color w:val="auto"/>
                <w:sz w:val="21"/>
                <w:szCs w:val="21"/>
                <w:highlight w:val="none"/>
                <w:lang w:val="en-US" w:eastAsia="zh-CN"/>
              </w:rPr>
              <w:t>温州诚达交通发展股份有限公司</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地址：温州市鹿城区站南路南瓯</w:t>
            </w:r>
            <w:r>
              <w:rPr>
                <w:rFonts w:hint="eastAsia" w:ascii="宋体" w:hAnsi="宋体" w:cs="宋体"/>
                <w:color w:val="auto"/>
                <w:sz w:val="21"/>
                <w:szCs w:val="21"/>
                <w:highlight w:val="none"/>
                <w:lang w:val="en-US" w:eastAsia="zh-CN"/>
              </w:rPr>
              <w:t>景</w:t>
            </w:r>
            <w:r>
              <w:rPr>
                <w:rFonts w:hint="eastAsia" w:ascii="宋体" w:hAnsi="宋体" w:eastAsia="宋体" w:cs="宋体"/>
                <w:color w:val="auto"/>
                <w:sz w:val="21"/>
                <w:szCs w:val="21"/>
                <w:highlight w:val="none"/>
                <w:lang w:val="en-US" w:eastAsia="zh-CN"/>
              </w:rPr>
              <w:t>园7幢（综合楼）二楼</w:t>
            </w:r>
          </w:p>
          <w:p>
            <w:pPr>
              <w:keepNext w:val="0"/>
              <w:keepLines w:val="0"/>
              <w:suppressLineNumbers w:val="0"/>
              <w:spacing w:before="0" w:beforeAutospacing="0" w:after="0" w:afterAutospacing="0" w:line="300" w:lineRule="exact"/>
              <w:ind w:left="0" w:right="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联系人：林先生     </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电话：0577-88565573  </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代理机构名称：大地工程咨询有限公司</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代理机构地址：温州市温州大道823号爱好数字园C幢5楼</w:t>
            </w:r>
          </w:p>
          <w:p>
            <w:pPr>
              <w:keepNext w:val="0"/>
              <w:keepLines w:val="0"/>
              <w:suppressLineNumbers w:val="0"/>
              <w:spacing w:before="0" w:beforeAutospacing="0" w:after="0" w:afterAutospacing="0" w:line="300" w:lineRule="exact"/>
              <w:ind w:left="0" w:right="0"/>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ascii="宋体" w:hAnsi="宋体" w:cs="宋体"/>
                <w:color w:val="auto"/>
                <w:sz w:val="21"/>
                <w:szCs w:val="21"/>
                <w:highlight w:val="none"/>
                <w:lang w:val="en-US" w:eastAsia="zh-CN"/>
              </w:rPr>
              <w:t>陈先生</w:t>
            </w:r>
          </w:p>
          <w:p>
            <w:pPr>
              <w:keepNext w:val="0"/>
              <w:keepLines w:val="0"/>
              <w:suppressLineNumbers w:val="0"/>
              <w:spacing w:before="0" w:beforeAutospacing="0" w:after="0" w:afterAutospacing="0" w:line="300" w:lineRule="exact"/>
              <w:ind w:left="0" w:right="0"/>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r>
              <w:rPr>
                <w:rFonts w:hint="eastAsia" w:ascii="宋体" w:hAnsi="宋体" w:cs="宋体"/>
                <w:color w:val="auto"/>
                <w:sz w:val="21"/>
                <w:szCs w:val="21"/>
                <w:highlight w:val="none"/>
                <w:lang w:val="en-US" w:eastAsia="zh-CN"/>
              </w:rPr>
              <w:t>13566132267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cs="宋体"/>
                <w:color w:val="auto"/>
                <w:sz w:val="21"/>
                <w:szCs w:val="21"/>
                <w:highlight w:val="none"/>
                <w:lang w:val="en-US" w:eastAsia="zh-CN"/>
              </w:rPr>
              <w:t>IPO券商中介服务</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WGSS-JFJT-X-2023009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lang w:val="en-US" w:eastAsia="zh-CN"/>
              </w:rPr>
              <w:t>IPO券商中介服务</w:t>
            </w:r>
            <w:r>
              <w:rPr>
                <w:rFonts w:hint="eastAsia" w:ascii="宋体" w:hAnsi="宋体" w:cs="宋体"/>
                <w:color w:val="auto"/>
                <w:sz w:val="21"/>
                <w:szCs w:val="21"/>
                <w:highlight w:val="none"/>
                <w:lang w:val="en-US" w:eastAsia="zh-CN"/>
              </w:rPr>
              <w:t>项目采购</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详细技术要求见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w:t>
            </w:r>
          </w:p>
        </w:tc>
        <w:tc>
          <w:tcPr>
            <w:tcW w:w="7046"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本项目上市前服务费</w:t>
            </w:r>
            <w:r>
              <w:rPr>
                <w:rFonts w:hint="eastAsia" w:ascii="宋体" w:hAnsi="宋体" w:eastAsia="宋体" w:cs="宋体"/>
                <w:b/>
                <w:color w:val="auto"/>
                <w:kern w:val="0"/>
                <w:sz w:val="21"/>
                <w:szCs w:val="21"/>
                <w:highlight w:val="none"/>
                <w:lang w:eastAsia="zh-CN"/>
              </w:rPr>
              <w:t>（含税）</w:t>
            </w:r>
            <w:r>
              <w:rPr>
                <w:rFonts w:hint="eastAsia" w:ascii="宋体" w:hAnsi="宋体" w:eastAsia="宋体" w:cs="宋体"/>
                <w:b/>
                <w:color w:val="auto"/>
                <w:kern w:val="0"/>
                <w:sz w:val="21"/>
                <w:szCs w:val="21"/>
                <w:highlight w:val="none"/>
              </w:rPr>
              <w:t>总额</w:t>
            </w:r>
            <w:r>
              <w:rPr>
                <w:rFonts w:hint="eastAsia" w:ascii="宋体" w:hAnsi="宋体" w:eastAsia="宋体" w:cs="宋体"/>
                <w:b/>
                <w:color w:val="auto"/>
                <w:kern w:val="0"/>
                <w:sz w:val="21"/>
                <w:szCs w:val="21"/>
                <w:highlight w:val="none"/>
                <w:lang w:val="en-US" w:eastAsia="zh-CN"/>
              </w:rPr>
              <w:t>最高限价</w:t>
            </w:r>
            <w:r>
              <w:rPr>
                <w:rFonts w:hint="eastAsia" w:ascii="宋体" w:hAnsi="宋体" w:cs="宋体"/>
                <w:b/>
                <w:color w:val="auto"/>
                <w:kern w:val="0"/>
                <w:sz w:val="21"/>
                <w:szCs w:val="21"/>
                <w:highlight w:val="none"/>
                <w:lang w:val="en-US" w:eastAsia="zh-CN"/>
              </w:rPr>
              <w:t>224</w:t>
            </w:r>
            <w:r>
              <w:rPr>
                <w:rFonts w:hint="eastAsia" w:ascii="宋体" w:hAnsi="宋体" w:eastAsia="宋体" w:cs="宋体"/>
                <w:b/>
                <w:color w:val="auto"/>
                <w:kern w:val="0"/>
                <w:sz w:val="21"/>
                <w:szCs w:val="21"/>
                <w:highlight w:val="none"/>
              </w:rPr>
              <w:t>万元。</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上市后的承销</w:t>
            </w:r>
            <w:r>
              <w:rPr>
                <w:rFonts w:hint="eastAsia" w:ascii="宋体" w:hAnsi="宋体" w:eastAsia="宋体" w:cs="宋体"/>
                <w:b/>
                <w:color w:val="auto"/>
                <w:kern w:val="0"/>
                <w:sz w:val="21"/>
                <w:szCs w:val="21"/>
                <w:highlight w:val="none"/>
                <w:lang w:val="en-US" w:eastAsia="zh-CN"/>
              </w:rPr>
              <w:t>最高</w:t>
            </w:r>
            <w:r>
              <w:rPr>
                <w:rFonts w:hint="eastAsia" w:ascii="宋体" w:hAnsi="宋体" w:eastAsia="宋体" w:cs="宋体"/>
                <w:b/>
                <w:color w:val="auto"/>
                <w:kern w:val="0"/>
                <w:sz w:val="21"/>
                <w:szCs w:val="21"/>
                <w:highlight w:val="none"/>
              </w:rPr>
              <w:t>费率为募集资金总额的</w:t>
            </w:r>
            <w:r>
              <w:rPr>
                <w:rFonts w:hint="eastAsia" w:ascii="宋体" w:hAnsi="宋体" w:cs="宋体"/>
                <w:b/>
                <w:color w:val="auto"/>
                <w:kern w:val="0"/>
                <w:sz w:val="21"/>
                <w:szCs w:val="21"/>
                <w:highlight w:val="none"/>
                <w:lang w:val="en-US" w:eastAsia="zh-CN"/>
              </w:rPr>
              <w:t>8</w:t>
            </w:r>
            <w:r>
              <w:rPr>
                <w:rFonts w:hint="eastAsia" w:ascii="宋体" w:hAnsi="宋体" w:eastAsia="宋体" w:cs="宋体"/>
                <w:b/>
                <w:color w:val="auto"/>
                <w:kern w:val="0"/>
                <w:sz w:val="21"/>
                <w:szCs w:val="21"/>
                <w:highlight w:val="none"/>
              </w:rPr>
              <w:t>% 。</w:t>
            </w:r>
          </w:p>
          <w:p>
            <w:pPr>
              <w:keepNext w:val="0"/>
              <w:keepLines w:val="0"/>
              <w:suppressLineNumbers w:val="0"/>
              <w:spacing w:before="0" w:beforeAutospacing="0" w:after="0" w:afterAutospacing="0"/>
              <w:ind w:left="0" w:right="0"/>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single"/>
              </w:rPr>
              <w:t>如果供应商的报价超出投标最高限价</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指</w:t>
            </w:r>
            <w:r>
              <w:rPr>
                <w:rFonts w:hint="eastAsia" w:ascii="宋体" w:hAnsi="宋体" w:eastAsia="宋体" w:cs="宋体"/>
                <w:b/>
                <w:bCs/>
                <w:color w:val="auto"/>
                <w:sz w:val="21"/>
                <w:szCs w:val="21"/>
                <w:highlight w:val="none"/>
                <w:u w:val="single"/>
                <w:lang w:eastAsia="zh-CN"/>
              </w:rPr>
              <w:t>上市前服务费（含税）总额</w:t>
            </w:r>
            <w:r>
              <w:rPr>
                <w:rFonts w:hint="eastAsia" w:ascii="宋体" w:hAnsi="宋体" w:eastAsia="宋体" w:cs="宋体"/>
                <w:b/>
                <w:bCs/>
                <w:color w:val="auto"/>
                <w:sz w:val="21"/>
                <w:szCs w:val="21"/>
                <w:highlight w:val="none"/>
                <w:u w:val="single"/>
                <w:lang w:val="en-US" w:eastAsia="zh-CN"/>
              </w:rPr>
              <w:t>报价超出</w:t>
            </w:r>
            <w:r>
              <w:rPr>
                <w:rFonts w:hint="eastAsia" w:ascii="宋体" w:hAnsi="宋体" w:cs="宋体"/>
                <w:b/>
                <w:bCs/>
                <w:color w:val="auto"/>
                <w:sz w:val="21"/>
                <w:szCs w:val="21"/>
                <w:highlight w:val="none"/>
                <w:u w:val="single"/>
                <w:lang w:val="en-US" w:eastAsia="zh-CN"/>
              </w:rPr>
              <w:t>224</w:t>
            </w:r>
            <w:r>
              <w:rPr>
                <w:rFonts w:hint="eastAsia" w:ascii="宋体" w:hAnsi="宋体" w:eastAsia="宋体" w:cs="宋体"/>
                <w:b/>
                <w:bCs/>
                <w:color w:val="auto"/>
                <w:sz w:val="21"/>
                <w:szCs w:val="21"/>
                <w:highlight w:val="none"/>
                <w:u w:val="single"/>
                <w:lang w:eastAsia="zh-CN"/>
              </w:rPr>
              <w:t>万元，</w:t>
            </w:r>
            <w:r>
              <w:rPr>
                <w:rFonts w:hint="eastAsia" w:ascii="宋体" w:hAnsi="宋体" w:eastAsia="宋体" w:cs="宋体"/>
                <w:b/>
                <w:bCs/>
                <w:color w:val="auto"/>
                <w:sz w:val="21"/>
                <w:szCs w:val="21"/>
                <w:highlight w:val="none"/>
                <w:u w:val="single"/>
                <w:lang w:val="en-US" w:eastAsia="zh-CN"/>
              </w:rPr>
              <w:t>或者</w:t>
            </w:r>
            <w:r>
              <w:rPr>
                <w:rFonts w:hint="eastAsia" w:ascii="宋体" w:hAnsi="宋体" w:eastAsia="宋体" w:cs="宋体"/>
                <w:b/>
                <w:bCs/>
                <w:color w:val="auto"/>
                <w:sz w:val="21"/>
                <w:szCs w:val="21"/>
                <w:highlight w:val="none"/>
                <w:u w:val="single"/>
                <w:lang w:eastAsia="zh-CN"/>
              </w:rPr>
              <w:t>上市后的承销费率</w:t>
            </w:r>
            <w:r>
              <w:rPr>
                <w:rFonts w:hint="eastAsia" w:ascii="宋体" w:hAnsi="宋体" w:eastAsia="宋体" w:cs="宋体"/>
                <w:b/>
                <w:bCs/>
                <w:color w:val="auto"/>
                <w:sz w:val="21"/>
                <w:szCs w:val="21"/>
                <w:highlight w:val="none"/>
                <w:u w:val="single"/>
                <w:lang w:val="en-US" w:eastAsia="zh-CN"/>
              </w:rPr>
              <w:t>报价超出</w:t>
            </w:r>
            <w:r>
              <w:rPr>
                <w:rFonts w:hint="eastAsia" w:ascii="宋体" w:hAnsi="宋体" w:eastAsia="宋体" w:cs="宋体"/>
                <w:b/>
                <w:bCs/>
                <w:color w:val="auto"/>
                <w:sz w:val="21"/>
                <w:szCs w:val="21"/>
                <w:highlight w:val="none"/>
                <w:u w:val="single"/>
                <w:lang w:eastAsia="zh-CN"/>
              </w:rPr>
              <w:t>募集资金总额的</w:t>
            </w:r>
            <w:r>
              <w:rPr>
                <w:rFonts w:hint="eastAsia" w:ascii="宋体" w:hAnsi="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，则该供应商的报价作</w:t>
            </w:r>
            <w:r>
              <w:rPr>
                <w:rFonts w:hint="eastAsia" w:ascii="宋体" w:hAnsi="宋体" w:eastAsia="宋体" w:cs="宋体"/>
                <w:b/>
                <w:bCs/>
                <w:color w:val="auto"/>
                <w:sz w:val="21"/>
                <w:szCs w:val="21"/>
                <w:highlight w:val="none"/>
                <w:u w:val="single"/>
                <w:lang w:val="en-US" w:eastAsia="zh-CN"/>
              </w:rPr>
              <w:t>无效</w:t>
            </w:r>
            <w:r>
              <w:rPr>
                <w:rFonts w:hint="eastAsia" w:ascii="宋体" w:hAnsi="宋体" w:eastAsia="宋体" w:cs="宋体"/>
                <w:b/>
                <w:bCs/>
                <w:color w:val="auto"/>
                <w:sz w:val="21"/>
                <w:szCs w:val="21"/>
                <w:highlight w:val="none"/>
                <w:u w:val="single"/>
              </w:rPr>
              <w:t>标处理</w:t>
            </w:r>
            <w:r>
              <w:rPr>
                <w:rFonts w:hint="eastAsia" w:ascii="宋体" w:hAnsi="宋体" w:eastAsia="宋体" w:cs="宋体"/>
                <w:b/>
                <w:color w:val="auto"/>
                <w:kern w:val="0"/>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投标供应商资格要求</w:t>
            </w:r>
          </w:p>
        </w:tc>
        <w:tc>
          <w:tcPr>
            <w:tcW w:w="704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rPr>
              <w:t>符合《温州市市属国有企业采购管理办法（试行）》第十五条对</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参加国有企业采购活动应当具备的资格条件。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单位负责人为同一人或者存在直接控股、管理关系的不同供应商，不得参加同一合同项下的采购</w:t>
            </w:r>
            <w:r>
              <w:rPr>
                <w:rFonts w:hint="eastAsia" w:ascii="宋体" w:hAnsi="宋体" w:eastAsia="宋体" w:cs="宋体"/>
                <w:color w:val="auto"/>
                <w:kern w:val="1"/>
                <w:sz w:val="21"/>
                <w:szCs w:val="21"/>
                <w:highlight w:val="none"/>
                <w:lang w:eastAsia="zh-CN"/>
              </w:rPr>
              <w:t>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至本项目投标截止时间前</w:t>
            </w:r>
            <w:r>
              <w:rPr>
                <w:rFonts w:hint="eastAsia" w:ascii="宋体" w:hAnsi="宋体" w:eastAsia="宋体" w:cs="宋体"/>
                <w:color w:val="auto"/>
                <w:kern w:val="1"/>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    4、具有中国证监会颁发的经营证券业务（承销与保荐业务）许可证；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5、具有证券公司分类评级B级及以上级别（参考《中国证监会公布2022年证券公司分类结果》）。</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不</w:t>
            </w:r>
            <w:r>
              <w:rPr>
                <w:rFonts w:hint="eastAsia" w:ascii="宋体" w:hAnsi="宋体" w:eastAsia="宋体" w:cs="宋体"/>
                <w:color w:val="auto"/>
                <w:sz w:val="21"/>
                <w:szCs w:val="21"/>
                <w:highlight w:val="none"/>
              </w:rPr>
              <w:t>接受</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不组织,投标供应商若需踏勘现场，请联系</w:t>
            </w:r>
            <w:r>
              <w:rPr>
                <w:rFonts w:hint="eastAsia" w:ascii="宋体" w:hAnsi="宋体" w:eastAsia="宋体" w:cs="宋体"/>
                <w:color w:val="auto"/>
                <w:sz w:val="21"/>
                <w:szCs w:val="21"/>
                <w:highlight w:val="none"/>
                <w:lang w:eastAsia="zh-CN"/>
              </w:rPr>
              <w:t>采购人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87"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2024年2月1日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时30分整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允许幅度及其处理方法：允许细微偏差，不允许重大偏差。由评标委员会判断，细微偏差要求投标供应商在评标时予以澄清、说明或补正，不接受按要求进行澄清、说明或补正的，评标委员会有权做无效标处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投标文件自投标截止时间起生效，有效期120天。</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人民币</w:t>
            </w:r>
            <w:r>
              <w:rPr>
                <w:rFonts w:hint="eastAsia" w:ascii="宋体" w:hAnsi="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lang w:val="en-US" w:eastAsia="zh-CN"/>
              </w:rPr>
              <w:t>万元</w:t>
            </w:r>
            <w:r>
              <w:rPr>
                <w:rFonts w:hint="eastAsia" w:ascii="宋体" w:hAnsi="宋体" w:eastAsia="宋体" w:cs="宋体"/>
                <w:b/>
                <w:bCs/>
                <w:color w:val="auto"/>
                <w:sz w:val="21"/>
                <w:szCs w:val="21"/>
                <w:highlight w:val="none"/>
              </w:rPr>
              <w:t>整</w:t>
            </w:r>
            <w:r>
              <w:rPr>
                <w:rFonts w:hint="eastAsia" w:ascii="宋体" w:hAnsi="宋体" w:eastAsia="宋体" w:cs="宋体"/>
                <w:color w:val="auto"/>
                <w:sz w:val="21"/>
                <w:szCs w:val="21"/>
                <w:highlight w:val="none"/>
              </w:rPr>
              <w:t>（投标供应商须在</w:t>
            </w:r>
            <w:r>
              <w:rPr>
                <w:rFonts w:hint="eastAsia" w:ascii="宋体" w:hAnsi="宋体" w:cs="宋体"/>
                <w:color w:val="auto"/>
                <w:kern w:val="0"/>
                <w:sz w:val="21"/>
                <w:szCs w:val="21"/>
                <w:highlight w:val="none"/>
                <w:lang w:val="en-US" w:eastAsia="zh-CN"/>
              </w:rPr>
              <w:t>2024年2月1日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时30分前将投标保证金以银行转帐形式缴纳并到帐，汇出账号须为投标供应商银行帐户）。</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户名：大地工程咨询有限公司温州第一分公司</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账号：33050162870500000188 </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开户行：中国建设银行温州双龙支行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提供技术资信标一式</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份，正本一份，副本</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份；</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提供商务（报价）标一式</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份，正本一份，副本</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份；</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08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包装要求</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投标文件的技术资信标及商务（报价）标应分别密封于各自包封袋中，并在封套的封口处加盖投标供应商单位章，并由法定代表人</w:t>
            </w:r>
            <w:r>
              <w:rPr>
                <w:rFonts w:hint="eastAsia" w:ascii="宋体" w:hAnsi="宋体" w:eastAsia="宋体" w:cs="宋体"/>
                <w:color w:val="auto"/>
                <w:sz w:val="21"/>
                <w:szCs w:val="21"/>
                <w:highlight w:val="none"/>
                <w:lang w:eastAsia="zh-CN"/>
              </w:rPr>
              <w:t>（法定</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或其授权代表签字。</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w:t>
            </w:r>
          </w:p>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文件地点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时30分</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递交地点：温州市政务服务管理中心收标区 (温州市鹿城区会展路1268号温州市民中心A座3楼公共资源交易专区)（详见当天大厅大屏幕）</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开标地点：温州市政务服务管理中心收标区 (温州市鹿城区会展路1268号温州市民中心A座3楼公共资源交易专区)（详见当天大厅大屏幕）</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开评标程序</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1.宣布开标纪律；</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2.公布在投标截止时间前递交投标文件的投标人名称，并点名确认投标人是否派授权代表到场；</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3.宣布唱标人、记录人、监督人员等有关人员姓名；</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4.密封情况检查：由投标人或其推选的代表检查投标文件密封情况；</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5.开标顺序：同时开启技术资信部分投标文件、商务（报价）文件；宣读“开标一览表”中包括投标报价等内容。</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6.确认开标结果：投标人授权代表对开标记录进行当场校核及勘误，并签字确认；并同时由记录人、核对人当场签字确认。</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7.宣布开标结束。</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8.投标人授权代表未参加开标会议；未到场签字确认的，不影响开标，评标过程，视同认可开标结果；事后不得对采购相关人员、开标过程和开标结果提出异议。</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70"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p>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评标委员会成员由采购人代表和有关技术、经济等方面的专家组成，有关技术、经济等方面的专家成员人数为5人及以上单数，</w:t>
            </w:r>
            <w:r>
              <w:rPr>
                <w:rFonts w:hint="eastAsia" w:ascii="宋体" w:hAnsi="宋体" w:eastAsia="宋体" w:cs="宋体"/>
                <w:bCs/>
                <w:color w:val="auto"/>
                <w:sz w:val="21"/>
                <w:szCs w:val="21"/>
                <w:highlight w:val="none"/>
              </w:rPr>
              <w:t>除采购人代表外的专家将在浙江省政府采购云平台评标专家库中随机抽取产生。</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7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59"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 件</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无须递交。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中有关标书如有前后不一致的，一律以本“投标供应商须知前附表”为准；</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涉及的时间为“北京时间”；</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涉及的货币为“人民币”；</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资料费用：根据省物价局有关文件规定，</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公司将收取本项目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的编制费</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00元/份。</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成交供应商需具有良好的商业信誉：</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color w:val="auto"/>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7"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解释顺序</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（1）发布采购公告的媒介网站供下载的采购文件与纸质采购文件不一致的，以上传至网站的采购文件为准。</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（2）构成本采购文件的各个组成文件应互为解释，互为说明；如有不明确或不一致，构成合同文件组成内容的，以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约定内容为准，且以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的合同文件优先顺序解释；在采购投标阶段，按采购公告、投标供应商须知、评标办法、投标文件格式的先后顺序解释；同一组成文件中就同一事项的规定或约定不一致的，以在采购文件中编排顺序在后者为准；同一组成文件不同版本之间有不一致的，以形成时间在后者为准。按本款前述规定仍不能形成结论的，由采购人负责解释。</w:t>
            </w:r>
          </w:p>
        </w:tc>
      </w:tr>
    </w:tbl>
    <w:p>
      <w:pPr>
        <w:spacing w:line="360" w:lineRule="auto"/>
        <w:jc w:val="center"/>
        <w:outlineLvl w:val="0"/>
        <w:rPr>
          <w:rFonts w:hint="eastAsia" w:ascii="宋体" w:hAnsi="宋体" w:eastAsia="宋体" w:cs="宋体"/>
          <w:color w:val="auto"/>
          <w:sz w:val="21"/>
          <w:szCs w:val="21"/>
          <w:highlight w:val="none"/>
        </w:rPr>
      </w:pPr>
      <w:bookmarkStart w:id="18" w:name="_Toc246261261"/>
      <w:bookmarkStart w:id="19" w:name="_Toc239145350"/>
      <w:bookmarkStart w:id="20" w:name="_Toc221423615"/>
      <w:bookmarkStart w:id="21" w:name="_Toc221356882"/>
      <w:bookmarkStart w:id="22" w:name="_Toc222114875"/>
      <w:bookmarkStart w:id="23" w:name="_Toc245191310"/>
      <w:bookmarkStart w:id="24" w:name="_Toc7550"/>
      <w:bookmarkStart w:id="25" w:name="_Toc221356947"/>
      <w:bookmarkStart w:id="26" w:name="_Toc221374622"/>
      <w:bookmarkStart w:id="27" w:name="_Toc223715994"/>
      <w:bookmarkStart w:id="28" w:name="_Toc245722277"/>
      <w:bookmarkStart w:id="29" w:name="_Toc241404198"/>
      <w:bookmarkStart w:id="30" w:name="_Toc249758708"/>
      <w:bookmarkStart w:id="31" w:name="_Toc18141"/>
      <w:bookmarkStart w:id="32" w:name="_Toc389760260"/>
      <w:bookmarkStart w:id="33" w:name="_Toc262105499"/>
      <w:bookmarkStart w:id="34" w:name="_Toc262049414"/>
      <w:bookmarkStart w:id="35" w:name="_Toc249758860"/>
      <w:r>
        <w:rPr>
          <w:rFonts w:hint="eastAsia" w:ascii="宋体" w:hAnsi="宋体" w:eastAsia="宋体" w:cs="宋体"/>
          <w:b/>
          <w:bCs/>
          <w:color w:val="auto"/>
          <w:sz w:val="28"/>
          <w:szCs w:val="28"/>
          <w:highlight w:val="none"/>
        </w:rPr>
        <w:t xml:space="preserve">第一部分    </w:t>
      </w:r>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36" w:name="_Toc23876"/>
      <w:bookmarkStart w:id="37" w:name="_Toc11625"/>
      <w:bookmarkStart w:id="38" w:name="_Toc18274"/>
      <w:r>
        <w:rPr>
          <w:rFonts w:hint="eastAsia" w:ascii="宋体" w:hAnsi="宋体" w:eastAsia="宋体" w:cs="宋体"/>
          <w:b/>
          <w:color w:val="auto"/>
          <w:kern w:val="1"/>
          <w:sz w:val="21"/>
          <w:szCs w:val="21"/>
          <w:highlight w:val="none"/>
        </w:rPr>
        <w:t>一、  说明</w:t>
      </w:r>
      <w:bookmarkEnd w:id="36"/>
      <w:bookmarkEnd w:id="37"/>
      <w:bookmarkEnd w:id="38"/>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本次采购是根据《温州市</w:t>
      </w:r>
      <w:r>
        <w:rPr>
          <w:rFonts w:hint="eastAsia" w:ascii="宋体" w:hAnsi="宋体" w:eastAsia="宋体" w:cs="宋体"/>
          <w:color w:val="auto"/>
          <w:kern w:val="1"/>
          <w:sz w:val="21"/>
          <w:szCs w:val="21"/>
          <w:highlight w:val="none"/>
          <w:lang w:val="en-US" w:eastAsia="zh-CN"/>
        </w:rPr>
        <w:t>市属</w:t>
      </w:r>
      <w:r>
        <w:rPr>
          <w:rFonts w:hint="eastAsia" w:ascii="宋体" w:hAnsi="宋体" w:eastAsia="宋体" w:cs="宋体"/>
          <w:color w:val="auto"/>
          <w:kern w:val="1"/>
          <w:sz w:val="21"/>
          <w:szCs w:val="21"/>
          <w:highlight w:val="none"/>
        </w:rPr>
        <w:t>国有企业采购管理办法（试行）》等</w:t>
      </w:r>
      <w:r>
        <w:rPr>
          <w:rFonts w:hint="eastAsia" w:ascii="宋体" w:hAnsi="宋体" w:eastAsia="宋体" w:cs="宋体"/>
          <w:color w:val="auto"/>
          <w:sz w:val="21"/>
          <w:szCs w:val="21"/>
          <w:highlight w:val="none"/>
        </w:rPr>
        <w:t>相关法律法规及规范性文</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件</w:t>
      </w:r>
      <w:r>
        <w:rPr>
          <w:rFonts w:hint="eastAsia" w:ascii="宋体" w:hAnsi="宋体" w:eastAsia="宋体" w:cs="宋体"/>
          <w:color w:val="auto"/>
          <w:kern w:val="1"/>
          <w:sz w:val="21"/>
          <w:szCs w:val="21"/>
          <w:highlight w:val="none"/>
        </w:rPr>
        <w:t>组织和实施的。</w:t>
      </w:r>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合格投标供应商</w:t>
      </w:r>
    </w:p>
    <w:p>
      <w:pPr>
        <w:numPr>
          <w:ilvl w:val="1"/>
          <w:numId w:val="5"/>
        </w:numPr>
        <w:tabs>
          <w:tab w:val="left" w:pos="540"/>
          <w:tab w:val="left" w:pos="992"/>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合格投标供应商资格条件详见本项目</w:t>
      </w:r>
      <w:r>
        <w:rPr>
          <w:rFonts w:hint="eastAsia" w:ascii="宋体" w:hAnsi="宋体" w:eastAsia="宋体" w:cs="宋体"/>
          <w:color w:val="auto"/>
          <w:kern w:val="1"/>
          <w:sz w:val="21"/>
          <w:szCs w:val="21"/>
          <w:highlight w:val="none"/>
          <w:u w:val="single"/>
          <w:lang w:eastAsia="zh-CN"/>
        </w:rPr>
        <w:t>采购公告</w:t>
      </w:r>
      <w:r>
        <w:rPr>
          <w:rFonts w:hint="eastAsia" w:ascii="宋体" w:hAnsi="宋体" w:eastAsia="宋体" w:cs="宋体"/>
          <w:color w:val="auto"/>
          <w:kern w:val="1"/>
          <w:sz w:val="21"/>
          <w:szCs w:val="21"/>
          <w:highlight w:val="none"/>
          <w:u w:val="single"/>
        </w:rPr>
        <w:t>及投标供应商须知前附表；</w:t>
      </w:r>
    </w:p>
    <w:p>
      <w:pPr>
        <w:numPr>
          <w:ilvl w:val="1"/>
          <w:numId w:val="5"/>
        </w:numPr>
        <w:tabs>
          <w:tab w:val="left" w:pos="540"/>
          <w:tab w:val="left" w:pos="992"/>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本项目谢绝联合体形式投标。</w:t>
      </w:r>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投标供应商代表</w:t>
      </w:r>
    </w:p>
    <w:p>
      <w:pPr>
        <w:spacing w:line="460" w:lineRule="exact"/>
        <w:ind w:firstLine="422" w:firstLineChars="20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指全权代表投标供应商参加投标活动并签署投标文件的人。如果投标供应商代表不是法代表人，须持有《法定代表人授权书》。</w:t>
      </w:r>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投标费用</w:t>
      </w:r>
    </w:p>
    <w:p>
      <w:pPr>
        <w:spacing w:line="46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投标供应商应承担所有与准备和参加投标有关费用，不论投标的结果如何，</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机构均无义务和责任承担这些费用。</w:t>
      </w:r>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lang w:eastAsia="zh-CN"/>
        </w:rPr>
      </w:pPr>
      <w:bookmarkStart w:id="39" w:name="_Toc223715996"/>
      <w:bookmarkEnd w:id="39"/>
      <w:bookmarkStart w:id="40" w:name="_Toc239145352"/>
      <w:bookmarkEnd w:id="40"/>
      <w:bookmarkStart w:id="41" w:name="_Toc458603462"/>
      <w:bookmarkEnd w:id="41"/>
      <w:bookmarkStart w:id="42" w:name="_Toc221423617"/>
      <w:bookmarkEnd w:id="42"/>
      <w:bookmarkStart w:id="43" w:name="_Toc265529381"/>
      <w:bookmarkEnd w:id="43"/>
      <w:bookmarkStart w:id="44" w:name="_Toc241404200"/>
      <w:bookmarkEnd w:id="44"/>
      <w:bookmarkStart w:id="45" w:name="_Toc221356949"/>
      <w:bookmarkEnd w:id="45"/>
      <w:bookmarkStart w:id="46" w:name="_Toc222114877"/>
      <w:bookmarkEnd w:id="46"/>
      <w:bookmarkStart w:id="47" w:name="_Toc221356884"/>
      <w:bookmarkEnd w:id="47"/>
      <w:bookmarkStart w:id="48" w:name="_Toc221374624"/>
      <w:bookmarkEnd w:id="48"/>
      <w:bookmarkStart w:id="49" w:name="_Toc27522"/>
      <w:bookmarkStart w:id="50" w:name="_Toc22626"/>
      <w:bookmarkStart w:id="51" w:name="_Toc31985"/>
      <w:r>
        <w:rPr>
          <w:rFonts w:hint="eastAsia" w:ascii="宋体" w:hAnsi="宋体" w:eastAsia="宋体" w:cs="宋体"/>
          <w:b/>
          <w:color w:val="auto"/>
          <w:kern w:val="1"/>
          <w:sz w:val="21"/>
          <w:szCs w:val="21"/>
          <w:highlight w:val="none"/>
        </w:rPr>
        <w:t xml:space="preserve">二、 </w:t>
      </w:r>
      <w:r>
        <w:rPr>
          <w:rFonts w:hint="eastAsia" w:ascii="宋体" w:hAnsi="宋体" w:eastAsia="宋体" w:cs="宋体"/>
          <w:b/>
          <w:color w:val="auto"/>
          <w:kern w:val="1"/>
          <w:sz w:val="21"/>
          <w:szCs w:val="21"/>
          <w:highlight w:val="none"/>
          <w:lang w:eastAsia="zh-CN"/>
        </w:rPr>
        <w:t>采购文件</w:t>
      </w:r>
      <w:bookmarkEnd w:id="49"/>
      <w:bookmarkEnd w:id="50"/>
      <w:bookmarkEnd w:id="51"/>
    </w:p>
    <w:p>
      <w:pPr>
        <w:numPr>
          <w:ilvl w:val="0"/>
          <w:numId w:val="6"/>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由</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目录所列内容及相关资料组成。</w:t>
      </w:r>
    </w:p>
    <w:p>
      <w:pPr>
        <w:numPr>
          <w:ilvl w:val="0"/>
          <w:numId w:val="6"/>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的澄清</w:t>
      </w:r>
    </w:p>
    <w:p>
      <w:pPr>
        <w:spacing w:line="460" w:lineRule="exact"/>
        <w:ind w:left="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采购文件如有疑点或未尽事宜要求澄清，或认为有必要进行说明或交流，可以在知道或应知其权益受到损害之日起七个工作日内，以书面形式（包括信函、传真、下同）向采购人提出质疑，采购人将用书面形式予以答复。如有必要，可将不说明问题来源的答复发给各有关</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或召开答疑会。如果标书答疑期内未收到有关疑问，视为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完全同意采购文件所有条款，且对于采购文件相关表述以及未尽事宜如有争议，以采购人解释为准。</w:t>
      </w:r>
    </w:p>
    <w:p>
      <w:pPr>
        <w:numPr>
          <w:ilvl w:val="0"/>
          <w:numId w:val="6"/>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的修改</w:t>
      </w:r>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52" w:name="_Toc20312"/>
      <w:bookmarkStart w:id="53" w:name="_Toc28764"/>
      <w:bookmarkStart w:id="54" w:name="_Toc30612"/>
      <w:bookmarkStart w:id="55" w:name="_Toc24934"/>
      <w:r>
        <w:rPr>
          <w:rFonts w:hint="eastAsia" w:ascii="宋体" w:hAnsi="宋体" w:eastAsia="宋体" w:cs="宋体"/>
          <w:color w:val="auto"/>
          <w:sz w:val="21"/>
          <w:szCs w:val="21"/>
          <w:highlight w:val="none"/>
        </w:rPr>
        <w:t>7.1采购单位如需对已发出的采购文件进行必要的澄清或者修改，如澄清或者修改的内容可能影响投标文件编制的，将在投标截止时间至少15日前，对采购文件以补充文件的方式进行修改，并在浙江政府采购网、温州国企采购平台及温州市交通发展集团有限公司网站等发布公告的网站上发布更正公告，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该澄清和修改的内容为采购文件的组成部分。采购人可以视采购具体情况在采购文件要求提交截止时间前，作出延长投标文件递交截止时间和开标时间的决定，并在浙江政府采购网、温州国企采购平台及温州市交通发展集团有限公司网站等发布公告的网站上发布变更公告，以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bookmarkEnd w:id="52"/>
      <w:bookmarkEnd w:id="53"/>
      <w:bookmarkEnd w:id="54"/>
      <w:bookmarkEnd w:id="55"/>
    </w:p>
    <w:p>
      <w:pPr>
        <w:spacing w:line="440" w:lineRule="exact"/>
        <w:ind w:firstLine="420" w:firstLineChars="200"/>
        <w:jc w:val="center"/>
        <w:outlineLvl w:val="9"/>
        <w:rPr>
          <w:rFonts w:hint="eastAsia" w:ascii="宋体" w:hAnsi="宋体" w:eastAsia="宋体" w:cs="宋体"/>
          <w:color w:val="auto"/>
          <w:sz w:val="21"/>
          <w:szCs w:val="21"/>
          <w:highlight w:val="none"/>
        </w:rPr>
      </w:pPr>
      <w:bookmarkStart w:id="56" w:name="_Toc22892"/>
      <w:bookmarkStart w:id="57" w:name="_Toc6283"/>
      <w:bookmarkStart w:id="58" w:name="_Toc22751"/>
      <w:bookmarkStart w:id="59" w:name="_Toc11342"/>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收到澄清和修改的补充文件，应立即以书面形式回复确认已收到补充文件。当采购文件、采购文件的澄清、修改、补充等在同一内容的表述上不一致时，以最后发出的书面文件</w:t>
      </w:r>
      <w:bookmarkEnd w:id="56"/>
      <w:bookmarkEnd w:id="57"/>
      <w:bookmarkEnd w:id="58"/>
    </w:p>
    <w:p>
      <w:pPr>
        <w:spacing w:line="440" w:lineRule="exact"/>
        <w:jc w:val="both"/>
        <w:outlineLvl w:val="9"/>
        <w:rPr>
          <w:rFonts w:hint="eastAsia" w:ascii="宋体" w:hAnsi="宋体" w:eastAsia="宋体" w:cs="宋体"/>
          <w:color w:val="auto"/>
          <w:sz w:val="21"/>
          <w:szCs w:val="21"/>
          <w:highlight w:val="none"/>
        </w:rPr>
      </w:pPr>
      <w:bookmarkStart w:id="60" w:name="_Toc15788"/>
      <w:bookmarkStart w:id="61" w:name="_Toc27128"/>
      <w:bookmarkStart w:id="62" w:name="_Toc5494"/>
      <w:r>
        <w:rPr>
          <w:rFonts w:hint="eastAsia" w:ascii="宋体" w:hAnsi="宋体" w:eastAsia="宋体" w:cs="宋体"/>
          <w:color w:val="auto"/>
          <w:sz w:val="21"/>
          <w:szCs w:val="21"/>
          <w:highlight w:val="none"/>
        </w:rPr>
        <w:t>为准。</w:t>
      </w:r>
      <w:bookmarkEnd w:id="59"/>
      <w:bookmarkEnd w:id="60"/>
      <w:bookmarkEnd w:id="61"/>
      <w:bookmarkEnd w:id="62"/>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63" w:name="_Toc17997"/>
      <w:bookmarkStart w:id="64" w:name="_Toc1873"/>
      <w:bookmarkStart w:id="65" w:name="_Toc16281"/>
      <w:bookmarkStart w:id="66" w:name="_Toc7451"/>
      <w:r>
        <w:rPr>
          <w:rFonts w:hint="eastAsia" w:ascii="宋体" w:hAnsi="宋体" w:eastAsia="宋体" w:cs="宋体"/>
          <w:color w:val="auto"/>
          <w:sz w:val="21"/>
          <w:szCs w:val="21"/>
          <w:highlight w:val="none"/>
        </w:rPr>
        <w:t>7.3本项目</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均可在本项目采购公告附件下载采购文件，并按采购文件规定的时间、地点递交投标文件。</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须在开标前自行查看是否有补充更正文件，并按补充更正文件要求投标，否则责任自负。</w:t>
      </w:r>
      <w:bookmarkEnd w:id="63"/>
      <w:bookmarkEnd w:id="64"/>
      <w:bookmarkEnd w:id="65"/>
      <w:bookmarkEnd w:id="66"/>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67" w:name="_Toc221423618"/>
      <w:bookmarkEnd w:id="67"/>
      <w:bookmarkStart w:id="68" w:name="_Toc223715997"/>
      <w:bookmarkEnd w:id="68"/>
      <w:bookmarkStart w:id="69" w:name="_Toc221356950"/>
      <w:bookmarkEnd w:id="69"/>
      <w:bookmarkStart w:id="70" w:name="_Toc222114878"/>
      <w:bookmarkEnd w:id="70"/>
      <w:bookmarkStart w:id="71" w:name="_Toc458603463"/>
      <w:bookmarkEnd w:id="71"/>
      <w:bookmarkStart w:id="72" w:name="_Toc221356885"/>
      <w:bookmarkEnd w:id="72"/>
      <w:bookmarkStart w:id="73" w:name="_Toc221374625"/>
      <w:bookmarkEnd w:id="73"/>
      <w:bookmarkStart w:id="74" w:name="_Toc265529382"/>
      <w:bookmarkEnd w:id="74"/>
      <w:bookmarkStart w:id="75" w:name="_Toc239145353"/>
      <w:bookmarkEnd w:id="75"/>
      <w:bookmarkStart w:id="76" w:name="_Toc241404201"/>
      <w:bookmarkEnd w:id="76"/>
      <w:bookmarkStart w:id="77" w:name="_Toc22473"/>
      <w:bookmarkStart w:id="78" w:name="_Toc11921"/>
      <w:bookmarkStart w:id="79" w:name="_Toc5578"/>
      <w:r>
        <w:rPr>
          <w:rFonts w:hint="eastAsia" w:ascii="宋体" w:hAnsi="宋体" w:eastAsia="宋体" w:cs="宋体"/>
          <w:b/>
          <w:color w:val="auto"/>
          <w:kern w:val="1"/>
          <w:sz w:val="21"/>
          <w:szCs w:val="21"/>
          <w:highlight w:val="none"/>
        </w:rPr>
        <w:t>三、 投标文件的编制</w:t>
      </w:r>
      <w:bookmarkEnd w:id="77"/>
      <w:bookmarkEnd w:id="78"/>
      <w:bookmarkEnd w:id="79"/>
    </w:p>
    <w:p>
      <w:pPr>
        <w:numPr>
          <w:ilvl w:val="0"/>
          <w:numId w:val="7"/>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投标供应商应认真阅读</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中所有事项格式、条款和技术规范等。投标供应商没有按照</w:t>
      </w:r>
      <w:r>
        <w:rPr>
          <w:rFonts w:hint="eastAsia" w:ascii="宋体" w:hAnsi="宋体" w:eastAsia="宋体" w:cs="宋体"/>
          <w:color w:val="auto"/>
          <w:kern w:val="1"/>
          <w:sz w:val="21"/>
          <w:szCs w:val="21"/>
          <w:highlight w:val="none"/>
          <w:lang w:eastAsia="zh-CN"/>
        </w:rPr>
        <w:t>采</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购文件</w:t>
      </w:r>
      <w:r>
        <w:rPr>
          <w:rFonts w:hint="eastAsia" w:ascii="宋体" w:hAnsi="宋体" w:eastAsia="宋体" w:cs="宋体"/>
          <w:color w:val="auto"/>
          <w:kern w:val="1"/>
          <w:sz w:val="21"/>
          <w:szCs w:val="21"/>
          <w:highlight w:val="none"/>
        </w:rPr>
        <w:t>要求提交全部资料，或者没有对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各个方面做出实质性响应，导致投标被拒绝的风险由投标供应商自行承担。</w:t>
      </w:r>
    </w:p>
    <w:p>
      <w:pPr>
        <w:numPr>
          <w:ilvl w:val="0"/>
          <w:numId w:val="7"/>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投标供应商法律责任</w:t>
      </w:r>
    </w:p>
    <w:p>
      <w:pPr>
        <w:numPr>
          <w:ilvl w:val="0"/>
          <w:numId w:val="0"/>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9.1 </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投标供应商应保证所提供文件资料的真实性，所有文件资料必须是针对本次投标的。如发现投标供应商提供了虚假文件资料，其投标将被拒绝，并自行承担相应的法律责任。</w:t>
      </w:r>
    </w:p>
    <w:p>
      <w:pPr>
        <w:numPr>
          <w:ilvl w:val="0"/>
          <w:numId w:val="7"/>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投标文件的构成：</w:t>
      </w:r>
    </w:p>
    <w:p>
      <w:pPr>
        <w:numPr>
          <w:ilvl w:val="1"/>
          <w:numId w:val="8"/>
        </w:numPr>
        <w:tabs>
          <w:tab w:val="left" w:pos="360"/>
        </w:tabs>
        <w:spacing w:line="460" w:lineRule="exact"/>
        <w:ind w:left="360" w:hanging="36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kern w:val="1"/>
          <w:sz w:val="21"/>
          <w:szCs w:val="21"/>
          <w:highlight w:val="none"/>
          <w:u w:val="single"/>
        </w:rPr>
        <w:t>投标文件由技术资信标、</w:t>
      </w:r>
      <w:r>
        <w:rPr>
          <w:rFonts w:hint="eastAsia" w:ascii="宋体" w:hAnsi="宋体" w:eastAsia="宋体" w:cs="宋体"/>
          <w:b/>
          <w:color w:val="auto"/>
          <w:kern w:val="1"/>
          <w:sz w:val="21"/>
          <w:szCs w:val="21"/>
          <w:highlight w:val="none"/>
          <w:u w:val="single"/>
          <w:lang w:eastAsia="zh-CN"/>
        </w:rPr>
        <w:t>商务（报价）标</w:t>
      </w:r>
      <w:r>
        <w:rPr>
          <w:rFonts w:hint="eastAsia" w:ascii="宋体" w:hAnsi="宋体" w:eastAsia="宋体" w:cs="宋体"/>
          <w:b/>
          <w:color w:val="auto"/>
          <w:kern w:val="1"/>
          <w:sz w:val="21"/>
          <w:szCs w:val="21"/>
          <w:highlight w:val="none"/>
          <w:u w:val="single"/>
        </w:rPr>
        <w:t>两部分构成</w:t>
      </w:r>
      <w:r>
        <w:rPr>
          <w:rFonts w:hint="eastAsia" w:ascii="宋体" w:hAnsi="宋体" w:eastAsia="宋体" w:cs="宋体"/>
          <w:b/>
          <w:color w:val="auto"/>
          <w:kern w:val="1"/>
          <w:sz w:val="21"/>
          <w:szCs w:val="21"/>
          <w:highlight w:val="none"/>
        </w:rPr>
        <w:t>：</w:t>
      </w:r>
    </w:p>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（1）技术资信标</w:t>
      </w:r>
    </w:p>
    <w:tbl>
      <w:tblPr>
        <w:tblStyle w:val="33"/>
        <w:tblW w:w="9360" w:type="dxa"/>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20"/>
        <w:gridCol w:w="6994"/>
        <w:gridCol w:w="16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994"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646" w:type="dxa"/>
            <w:tcBorders>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一</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 w:val="0"/>
                <w:color w:val="auto"/>
                <w:kern w:val="1"/>
                <w:sz w:val="21"/>
                <w:szCs w:val="21"/>
                <w:highlight w:val="none"/>
                <w:u w:val="single"/>
              </w:rPr>
            </w:pPr>
            <w:r>
              <w:rPr>
                <w:rFonts w:hint="eastAsia" w:ascii="宋体" w:hAnsi="宋体" w:eastAsia="宋体" w:cs="宋体"/>
                <w:color w:val="auto"/>
                <w:kern w:val="1"/>
                <w:sz w:val="21"/>
                <w:szCs w:val="21"/>
                <w:highlight w:val="none"/>
                <w:u w:val="single"/>
              </w:rPr>
              <w:t>▲投标函</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▲资格资质证明文件</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法定代表人授权书（授权代表参加投标时提供）或法定代表人（法定负责人）资格证明书（如法定代表人参加投标时提供）</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1</w:t>
            </w:r>
            <w:r>
              <w:rPr>
                <w:rFonts w:hint="eastAsia" w:ascii="宋体" w:hAnsi="宋体" w:cs="宋体"/>
                <w:color w:val="auto"/>
                <w:kern w:val="1"/>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企业法人有效营业执照（或法人登记证书）复印件加盖单位公章</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2</w:t>
            </w:r>
            <w:r>
              <w:rPr>
                <w:rFonts w:hint="eastAsia" w:ascii="宋体" w:hAnsi="宋体" w:cs="宋体"/>
                <w:color w:val="auto"/>
                <w:kern w:val="1"/>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符合参加国企采购活动应当具备的条件的承诺函</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3</w:t>
            </w:r>
            <w:r>
              <w:rPr>
                <w:rFonts w:hint="eastAsia" w:ascii="宋体" w:hAnsi="宋体" w:cs="宋体"/>
                <w:color w:val="auto"/>
                <w:kern w:val="1"/>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单位负责人为同一人或者存在直接控股、管理关系的不同供应商，不得参加同一合同项下的采购活动承诺函</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4</w:t>
            </w:r>
            <w:r>
              <w:rPr>
                <w:rFonts w:hint="eastAsia" w:ascii="宋体" w:hAnsi="宋体" w:cs="宋体"/>
                <w:color w:val="auto"/>
                <w:kern w:val="1"/>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投标供应商没有失信记录承诺函</w:t>
            </w:r>
            <w:r>
              <w:rPr>
                <w:rFonts w:hint="eastAsia" w:ascii="宋体" w:hAnsi="宋体" w:eastAsia="宋体" w:cs="宋体"/>
                <w:color w:val="auto"/>
                <w:kern w:val="1"/>
                <w:sz w:val="21"/>
                <w:szCs w:val="21"/>
                <w:highlight w:val="none"/>
                <w:u w:val="single"/>
                <w:lang w:eastAsia="zh-CN"/>
              </w:rPr>
              <w:t>（以采购人或代理机构投标截止当天查询结果为准）</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5</w:t>
            </w:r>
            <w:r>
              <w:rPr>
                <w:rFonts w:hint="eastAsia" w:ascii="宋体" w:hAnsi="宋体" w:cs="宋体"/>
                <w:color w:val="auto"/>
                <w:kern w:val="1"/>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lang w:val="en-US" w:eastAsia="zh-CN"/>
              </w:rPr>
              <w:t>具有中国证监会颁发的经营证券业务（承销与保荐业务）许可证；</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6</w:t>
            </w:r>
            <w:r>
              <w:rPr>
                <w:rFonts w:hint="eastAsia" w:ascii="宋体" w:hAnsi="宋体" w:cs="宋体"/>
                <w:color w:val="auto"/>
                <w:kern w:val="1"/>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Times New Roman" w:cs="宋体"/>
                <w:color w:val="auto"/>
                <w:kern w:val="1"/>
                <w:sz w:val="21"/>
                <w:szCs w:val="21"/>
                <w:highlight w:val="none"/>
                <w:lang w:val="en-US" w:eastAsia="zh-CN"/>
              </w:rPr>
              <w:t>7</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default"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lang w:val="en-US" w:eastAsia="zh-CN"/>
              </w:rPr>
              <w:t>具有证券公司分类评级B级及以上级别（参考《中国证监会公布2022年证券公司分类结果》）</w:t>
            </w:r>
            <w:r>
              <w:rPr>
                <w:rFonts w:hint="eastAsia" w:ascii="宋体" w:hAnsi="宋体" w:cs="宋体"/>
                <w:color w:val="auto"/>
                <w:kern w:val="1"/>
                <w:sz w:val="21"/>
                <w:szCs w:val="21"/>
                <w:highlight w:val="none"/>
                <w:u w:val="single"/>
                <w:lang w:val="en-US" w:eastAsia="zh-CN"/>
              </w:rPr>
              <w:t>，</w:t>
            </w:r>
            <w:r>
              <w:rPr>
                <w:rFonts w:hint="eastAsia" w:ascii="宋体" w:hAnsi="宋体" w:eastAsia="宋体" w:cs="宋体"/>
                <w:color w:val="auto"/>
                <w:kern w:val="1"/>
                <w:sz w:val="21"/>
                <w:szCs w:val="21"/>
                <w:highlight w:val="none"/>
                <w:u w:val="single"/>
                <w:lang w:eastAsia="zh-CN"/>
              </w:rPr>
              <w:t>加盖单位公章</w:t>
            </w:r>
            <w:r>
              <w:rPr>
                <w:rFonts w:hint="eastAsia" w:ascii="宋体" w:hAnsi="宋体" w:eastAsia="Times New Roman" w:cs="宋体"/>
                <w:color w:val="auto"/>
                <w:kern w:val="1"/>
                <w:sz w:val="21"/>
                <w:szCs w:val="21"/>
                <w:highlight w:val="none"/>
                <w:u w:val="single"/>
                <w:lang w:val="en-US" w:eastAsia="zh-CN"/>
              </w:rPr>
              <w:t>。</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7</w:t>
            </w:r>
            <w:r>
              <w:rPr>
                <w:rFonts w:hint="eastAsia" w:ascii="宋体" w:hAnsi="宋体" w:cs="宋体"/>
                <w:color w:val="auto"/>
                <w:kern w:val="1"/>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Times New Roman" w:cs="宋体"/>
                <w:color w:val="auto"/>
                <w:kern w:val="1"/>
                <w:sz w:val="21"/>
                <w:szCs w:val="21"/>
                <w:highlight w:val="none"/>
                <w:lang w:val="en-US" w:eastAsia="zh-CN"/>
              </w:rPr>
              <w:t>8</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none"/>
              </w:rPr>
            </w:pPr>
            <w:r>
              <w:rPr>
                <w:rFonts w:hint="eastAsia" w:ascii="宋体" w:hAnsi="宋体" w:eastAsia="宋体" w:cs="宋体"/>
                <w:color w:val="auto"/>
                <w:kern w:val="1"/>
                <w:sz w:val="21"/>
                <w:szCs w:val="21"/>
                <w:highlight w:val="none"/>
              </w:rPr>
              <w:t>投标供应商认为需要提供的其他资格证明文件（</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中若为实质性要求和条件的证明材料必须提供。非实质性要求和条件的证明材料则各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根据自身情况提供，若因未提供而造成不利评审的风险则由各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自行承担。）</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Times New Roman" w:cs="宋体"/>
                <w:color w:val="auto"/>
                <w:kern w:val="1"/>
                <w:sz w:val="21"/>
                <w:szCs w:val="21"/>
                <w:highlight w:val="none"/>
                <w:lang w:val="en-US" w:eastAsia="zh-CN"/>
              </w:rPr>
            </w:pPr>
            <w:r>
              <w:rPr>
                <w:rFonts w:hint="eastAsia" w:ascii="宋体" w:hAnsi="宋体" w:eastAsia="宋体" w:cs="宋体"/>
                <w:b/>
                <w:bCs/>
                <w:color w:val="auto"/>
                <w:kern w:val="1"/>
                <w:sz w:val="21"/>
                <w:szCs w:val="21"/>
                <w:highlight w:val="none"/>
                <w:lang w:val="en-US" w:eastAsia="zh-CN"/>
              </w:rPr>
              <w:t>三</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投标供应商基本情况表</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附件三</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Times New Roman" w:cs="宋体"/>
                <w:color w:val="auto"/>
                <w:kern w:val="1"/>
                <w:sz w:val="21"/>
                <w:szCs w:val="21"/>
                <w:highlight w:val="none"/>
                <w:lang w:val="en-US" w:eastAsia="zh-CN"/>
              </w:rPr>
            </w:pPr>
            <w:r>
              <w:rPr>
                <w:rFonts w:hint="eastAsia" w:ascii="宋体" w:hAnsi="宋体" w:eastAsia="Times New Roman" w:cs="宋体"/>
                <w:color w:val="auto"/>
                <w:kern w:val="1"/>
                <w:sz w:val="21"/>
                <w:szCs w:val="21"/>
                <w:highlight w:val="none"/>
                <w:lang w:val="en-US" w:eastAsia="zh-CN"/>
              </w:rPr>
              <w:t>四</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1"/>
                <w:szCs w:val="21"/>
                <w:highlight w:val="none"/>
              </w:rPr>
              <w:t>技术资信证明文件（本项为评分量化内容，非强制性要求）</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Times New Roman" w:cs="宋体"/>
                <w:color w:val="auto"/>
                <w:kern w:val="1"/>
                <w:sz w:val="21"/>
                <w:szCs w:val="21"/>
                <w:highlight w:val="none"/>
                <w:lang w:val="en-US" w:eastAsia="zh-CN"/>
              </w:rPr>
            </w:pPr>
            <w:r>
              <w:rPr>
                <w:rFonts w:hint="eastAsia" w:ascii="宋体" w:hAnsi="宋体" w:eastAsia="Times New Roman" w:cs="宋体"/>
                <w:color w:val="auto"/>
                <w:kern w:val="1"/>
                <w:sz w:val="21"/>
                <w:szCs w:val="21"/>
                <w:highlight w:val="none"/>
                <w:lang w:val="en-US" w:eastAsia="zh-CN"/>
              </w:rPr>
              <w:t>1</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项目执行机构人员配置表</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附件四</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2</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rPr>
              <w:t>商务、技术偏离表（</w:t>
            </w:r>
            <w:r>
              <w:rPr>
                <w:rFonts w:hint="eastAsia" w:ascii="宋体" w:hAnsi="宋体" w:eastAsia="宋体" w:cs="宋体"/>
                <w:color w:val="auto"/>
                <w:kern w:val="1"/>
                <w:sz w:val="21"/>
                <w:szCs w:val="21"/>
                <w:highlight w:val="none"/>
                <w:lang w:val="en-US" w:eastAsia="zh-CN"/>
              </w:rPr>
              <w:t>如</w:t>
            </w:r>
            <w:r>
              <w:rPr>
                <w:rFonts w:hint="eastAsia" w:ascii="宋体" w:hAnsi="宋体" w:eastAsia="宋体" w:cs="宋体"/>
                <w:color w:val="auto"/>
                <w:kern w:val="1"/>
                <w:sz w:val="21"/>
                <w:szCs w:val="21"/>
                <w:highlight w:val="none"/>
              </w:rPr>
              <w:t>有）</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cs="宋体"/>
                <w:color w:val="auto"/>
                <w:kern w:val="1"/>
                <w:sz w:val="21"/>
                <w:szCs w:val="21"/>
                <w:highlight w:val="none"/>
                <w:lang w:val="en-US" w:eastAsia="zh-CN"/>
              </w:rPr>
              <w:t>五</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3</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类似项目业绩一览表</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rPr>
              <w:t>附件</w:t>
            </w:r>
            <w:r>
              <w:rPr>
                <w:rFonts w:hint="eastAsia" w:ascii="宋体" w:hAnsi="宋体" w:cs="宋体"/>
                <w:color w:val="auto"/>
                <w:kern w:val="1"/>
                <w:sz w:val="21"/>
                <w:szCs w:val="21"/>
                <w:highlight w:val="none"/>
                <w:lang w:val="en-US" w:eastAsia="zh-CN"/>
              </w:rPr>
              <w:t>六</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4</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default" w:ascii="宋体" w:hAnsi="宋体" w:eastAsia="宋体" w:cs="宋体"/>
                <w:color w:val="auto"/>
                <w:kern w:val="1"/>
                <w:sz w:val="21"/>
                <w:szCs w:val="21"/>
                <w:highlight w:val="none"/>
                <w:lang w:val="en-US" w:eastAsia="zh-CN"/>
              </w:rPr>
            </w:pPr>
            <w:r>
              <w:rPr>
                <w:rFonts w:hint="default" w:ascii="宋体" w:hAnsi="宋体" w:eastAsia="宋体" w:cs="宋体"/>
                <w:color w:val="auto"/>
                <w:kern w:val="1"/>
                <w:sz w:val="21"/>
                <w:szCs w:val="21"/>
                <w:highlight w:val="none"/>
                <w:lang w:val="en-US" w:eastAsia="zh-CN"/>
              </w:rPr>
              <w:t>项目实施进度计划表</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附件七</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5</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保密承诺书</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rPr>
            </w:pPr>
            <w:r>
              <w:rPr>
                <w:rFonts w:hint="eastAsia" w:ascii="宋体" w:hAnsi="宋体" w:cs="宋体"/>
                <w:color w:val="auto"/>
                <w:kern w:val="1"/>
                <w:sz w:val="21"/>
                <w:szCs w:val="21"/>
                <w:highlight w:val="none"/>
                <w:lang w:val="en-US" w:eastAsia="zh-CN"/>
              </w:rPr>
              <w:t>附件八</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6</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项目承销费率报价</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val="en-US" w:eastAsia="zh-CN"/>
              </w:rPr>
              <w:t>附件九</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7</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投标供应商</w:t>
            </w:r>
            <w:r>
              <w:rPr>
                <w:rFonts w:hint="eastAsia" w:ascii="宋体" w:hAnsi="宋体" w:eastAsia="宋体" w:cs="宋体"/>
                <w:color w:val="auto"/>
                <w:kern w:val="1"/>
                <w:sz w:val="21"/>
                <w:szCs w:val="21"/>
                <w:highlight w:val="none"/>
                <w:lang w:val="en-US" w:eastAsia="zh-CN"/>
              </w:rPr>
              <w:t>的服务方案、合理化建议</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cs="宋体"/>
                <w:color w:val="auto"/>
                <w:kern w:val="1"/>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8</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leftChars="0" w:right="0" w:rightChars="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按采购文件第五部分评标原则及方法—五、评分细则相关评分内容逐项编制，格式自拟。</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9</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leftChars="0" w:right="0" w:rightChars="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投标供应商认为需要提供的其他资料</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bl>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说明：</w:t>
      </w:r>
    </w:p>
    <w:p>
      <w:pPr>
        <w:numPr>
          <w:ilvl w:val="0"/>
          <w:numId w:val="9"/>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投标供应商可根据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w:t>
      </w:r>
      <w:r>
        <w:rPr>
          <w:rFonts w:hint="eastAsia" w:ascii="宋体" w:hAnsi="宋体" w:eastAsia="宋体" w:cs="宋体"/>
          <w:color w:val="auto"/>
          <w:kern w:val="1"/>
          <w:sz w:val="21"/>
          <w:szCs w:val="21"/>
          <w:highlight w:val="none"/>
          <w:lang w:val="en-US" w:eastAsia="zh-CN"/>
        </w:rPr>
        <w:t>要求</w:t>
      </w:r>
      <w:r>
        <w:rPr>
          <w:rFonts w:hint="eastAsia" w:ascii="宋体" w:hAnsi="宋体" w:eastAsia="宋体" w:cs="宋体"/>
          <w:color w:val="auto"/>
          <w:kern w:val="1"/>
          <w:sz w:val="21"/>
          <w:szCs w:val="21"/>
          <w:highlight w:val="none"/>
        </w:rPr>
        <w:t>以及技术资信评分表，提供投标供应商认为需要提供的文</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件和资料。</w:t>
      </w:r>
    </w:p>
    <w:p>
      <w:pPr>
        <w:numPr>
          <w:ilvl w:val="0"/>
          <w:numId w:val="9"/>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投标供应商所提供的</w:t>
      </w:r>
      <w:r>
        <w:rPr>
          <w:rFonts w:hint="eastAsia" w:ascii="宋体" w:hAnsi="宋体" w:eastAsia="宋体" w:cs="宋体"/>
          <w:color w:val="auto"/>
          <w:kern w:val="1"/>
          <w:sz w:val="21"/>
          <w:szCs w:val="21"/>
          <w:highlight w:val="none"/>
          <w:u w:val="single"/>
          <w:lang w:val="en-US" w:eastAsia="zh-CN"/>
        </w:rPr>
        <w:t>服务及</w:t>
      </w:r>
      <w:r>
        <w:rPr>
          <w:rFonts w:hint="eastAsia" w:ascii="宋体" w:hAnsi="宋体" w:eastAsia="宋体" w:cs="宋体"/>
          <w:color w:val="auto"/>
          <w:kern w:val="1"/>
          <w:sz w:val="21"/>
          <w:szCs w:val="21"/>
          <w:highlight w:val="none"/>
          <w:u w:val="single"/>
        </w:rPr>
        <w:t>货物</w:t>
      </w:r>
      <w:r>
        <w:rPr>
          <w:rFonts w:hint="eastAsia" w:ascii="宋体" w:hAnsi="宋体" w:eastAsia="宋体" w:cs="宋体"/>
          <w:color w:val="auto"/>
          <w:kern w:val="1"/>
          <w:sz w:val="21"/>
          <w:szCs w:val="21"/>
          <w:highlight w:val="none"/>
          <w:u w:val="single"/>
          <w:lang w:val="en-US" w:eastAsia="zh-CN"/>
        </w:rPr>
        <w:t>在合同执行过程中</w:t>
      </w:r>
      <w:r>
        <w:rPr>
          <w:rFonts w:hint="eastAsia" w:ascii="宋体" w:hAnsi="宋体" w:eastAsia="宋体" w:cs="宋体"/>
          <w:color w:val="auto"/>
          <w:kern w:val="1"/>
          <w:sz w:val="21"/>
          <w:szCs w:val="21"/>
          <w:highlight w:val="none"/>
          <w:u w:val="single"/>
        </w:rPr>
        <w:t>如若发生侵权事件，其侵权责任与</w:t>
      </w:r>
      <w:r>
        <w:rPr>
          <w:rFonts w:hint="eastAsia" w:ascii="宋体" w:hAnsi="宋体" w:eastAsia="宋体" w:cs="宋体"/>
          <w:color w:val="auto"/>
          <w:kern w:val="1"/>
          <w:sz w:val="21"/>
          <w:szCs w:val="21"/>
          <w:highlight w:val="none"/>
          <w:u w:val="single"/>
          <w:lang w:eastAsia="zh-CN"/>
        </w:rPr>
        <w:t>采购人</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及</w:t>
      </w:r>
      <w:r>
        <w:rPr>
          <w:rFonts w:hint="eastAsia" w:ascii="宋体" w:hAnsi="宋体" w:eastAsia="宋体" w:cs="宋体"/>
          <w:color w:val="auto"/>
          <w:kern w:val="1"/>
          <w:sz w:val="21"/>
          <w:szCs w:val="21"/>
          <w:highlight w:val="none"/>
          <w:u w:val="single"/>
          <w:lang w:eastAsia="zh-CN"/>
        </w:rPr>
        <w:t>采购代理</w:t>
      </w:r>
      <w:r>
        <w:rPr>
          <w:rFonts w:hint="eastAsia" w:ascii="宋体" w:hAnsi="宋体" w:eastAsia="宋体" w:cs="宋体"/>
          <w:color w:val="auto"/>
          <w:kern w:val="1"/>
          <w:sz w:val="21"/>
          <w:szCs w:val="21"/>
          <w:highlight w:val="none"/>
          <w:u w:val="single"/>
        </w:rPr>
        <w:t>机构无关，由投标供应商承担全部责任。侵权造成的所有相关费用，均由投标供应商支付，保证不伤害</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的利益。</w:t>
      </w:r>
    </w:p>
    <w:p>
      <w:pPr>
        <w:numPr>
          <w:ilvl w:val="0"/>
          <w:numId w:val="9"/>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投标供应商可在投标文件中对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中的技术要求选用替代标准、补充或更改，但这些替代</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标准及补充更改必须相当于或优于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中提出的相应技术要求，并使</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满意。同时在技术偏离表中作出详细说明。</w:t>
      </w:r>
    </w:p>
    <w:p>
      <w:pPr>
        <w:numPr>
          <w:ilvl w:val="0"/>
          <w:numId w:val="9"/>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以上所需的各种证书、证件、证明、执照若系复印件，须在复印件上加盖投标供应商有效的</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u w:val="single"/>
        </w:rPr>
        <w:t>公章。</w:t>
      </w:r>
    </w:p>
    <w:p>
      <w:pPr>
        <w:spacing w:line="430" w:lineRule="exact"/>
        <w:ind w:firstLine="211" w:firstLineChars="100"/>
        <w:outlineLvl w:val="9"/>
        <w:rPr>
          <w:rFonts w:hint="eastAsia" w:ascii="宋体" w:hAnsi="宋体" w:eastAsia="宋体" w:cs="宋体"/>
          <w:b/>
          <w:color w:val="auto"/>
          <w:kern w:val="1"/>
          <w:sz w:val="21"/>
          <w:szCs w:val="21"/>
          <w:highlight w:val="none"/>
        </w:rPr>
      </w:pPr>
      <w:bookmarkStart w:id="80" w:name="_Toc221356886"/>
      <w:bookmarkEnd w:id="80"/>
      <w:r>
        <w:rPr>
          <w:rFonts w:hint="eastAsia" w:ascii="宋体" w:hAnsi="宋体" w:eastAsia="宋体" w:cs="宋体"/>
          <w:b/>
          <w:color w:val="auto"/>
          <w:kern w:val="1"/>
          <w:sz w:val="21"/>
          <w:szCs w:val="21"/>
          <w:highlight w:val="none"/>
        </w:rPr>
        <w:t>（2） 商务（报价）标</w:t>
      </w:r>
    </w:p>
    <w:tbl>
      <w:tblPr>
        <w:tblStyle w:val="33"/>
        <w:tblW w:w="0" w:type="auto"/>
        <w:tblInd w:w="125"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81"/>
        <w:gridCol w:w="6796"/>
        <w:gridCol w:w="1748"/>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PrEx>
        <w:trPr>
          <w:trHeight w:val="23" w:hRule="atLeast"/>
        </w:trPr>
        <w:tc>
          <w:tcPr>
            <w:tcW w:w="781" w:type="dxa"/>
            <w:tcBorders>
              <w:bottom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796"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748" w:type="dxa"/>
            <w:tcBorders>
              <w:left w:val="single" w:color="000000" w:sz="4" w:space="0"/>
              <w:bottom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开标一览表</w:t>
            </w:r>
          </w:p>
        </w:tc>
        <w:tc>
          <w:tcPr>
            <w:tcW w:w="1748"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w:t>
            </w:r>
            <w:r>
              <w:rPr>
                <w:rFonts w:hint="eastAsia" w:ascii="宋体" w:hAnsi="宋体" w:eastAsia="宋体" w:cs="宋体"/>
                <w:color w:val="auto"/>
                <w:kern w:val="1"/>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p>
        </w:tc>
        <w:tc>
          <w:tcPr>
            <w:tcW w:w="6796"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w:t>
            </w:r>
            <w:r>
              <w:rPr>
                <w:rFonts w:hint="eastAsia" w:ascii="宋体" w:hAnsi="宋体" w:eastAsia="宋体" w:cs="宋体"/>
                <w:color w:val="auto"/>
                <w:kern w:val="1"/>
                <w:sz w:val="21"/>
                <w:szCs w:val="21"/>
                <w:highlight w:val="none"/>
                <w:u w:val="single"/>
                <w:lang w:val="en-US" w:eastAsia="zh-CN"/>
              </w:rPr>
              <w:t>分项</w:t>
            </w:r>
            <w:r>
              <w:rPr>
                <w:rFonts w:hint="eastAsia" w:ascii="宋体" w:hAnsi="宋体" w:eastAsia="宋体" w:cs="宋体"/>
                <w:color w:val="auto"/>
                <w:kern w:val="1"/>
                <w:sz w:val="21"/>
                <w:szCs w:val="21"/>
                <w:highlight w:val="none"/>
                <w:u w:val="single"/>
              </w:rPr>
              <w:t>报价表</w:t>
            </w:r>
          </w:p>
        </w:tc>
        <w:tc>
          <w:tcPr>
            <w:tcW w:w="1748" w:type="dxa"/>
            <w:tcBorders>
              <w:top w:val="single" w:color="000000" w:sz="4" w:space="0"/>
              <w:left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十一</w:t>
            </w:r>
            <w:r>
              <w:rPr>
                <w:rFonts w:hint="eastAsia" w:ascii="宋体" w:hAnsi="宋体" w:eastAsia="宋体" w:cs="宋体"/>
                <w:color w:val="auto"/>
                <w:kern w:val="1"/>
                <w:sz w:val="21"/>
                <w:szCs w:val="21"/>
                <w:highlight w:val="none"/>
              </w:rPr>
              <w:t>）</w:t>
            </w:r>
          </w:p>
        </w:tc>
      </w:tr>
    </w:tbl>
    <w:p>
      <w:pPr>
        <w:numPr>
          <w:ilvl w:val="1"/>
          <w:numId w:val="8"/>
        </w:numPr>
        <w:tabs>
          <w:tab w:val="left" w:pos="360"/>
        </w:tabs>
        <w:spacing w:line="460" w:lineRule="exact"/>
        <w:ind w:left="360" w:hanging="36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投标文件格式</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中所提供的格式，内容按顺序填写并装订成册；</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投标文件应有目录以及页码，以便评标委员会检索；</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投标文件表述内容应简练，尽可能以双面打印（复印）制作；</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技术资信标与</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分别包装于各自标函袋中；</w:t>
      </w:r>
    </w:p>
    <w:p>
      <w:pPr>
        <w:numPr>
          <w:ilvl w:val="0"/>
          <w:numId w:val="7"/>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投标报价</w:t>
      </w:r>
    </w:p>
    <w:p>
      <w:pPr>
        <w:widowControl/>
        <w:numPr>
          <w:ilvl w:val="0"/>
          <w:numId w:val="0"/>
        </w:numPr>
        <w:tabs>
          <w:tab w:val="left" w:pos="540"/>
        </w:tabs>
        <w:autoSpaceDE w:val="0"/>
        <w:autoSpaceDN w:val="0"/>
        <w:adjustRightInd w:val="0"/>
        <w:spacing w:line="460" w:lineRule="exact"/>
        <w:ind w:left="0" w:firstLine="422" w:firstLineChars="200"/>
        <w:textAlignment w:val="bottom"/>
        <w:outlineLvl w:val="9"/>
        <w:rPr>
          <w:rFonts w:hint="eastAsia" w:ascii="宋体" w:hAnsi="宋体" w:eastAsia="宋体" w:cs="宋体"/>
          <w:b/>
          <w:bCs/>
          <w:color w:val="auto"/>
          <w:sz w:val="21"/>
          <w:szCs w:val="21"/>
          <w:highlight w:val="none"/>
          <w:u w:val="single"/>
          <w:lang w:val="zh-CN" w:bidi="zh-CN"/>
        </w:rPr>
      </w:pPr>
      <w:r>
        <w:rPr>
          <w:rFonts w:hint="eastAsia" w:ascii="宋体" w:hAnsi="宋体" w:eastAsia="宋体" w:cs="宋体"/>
          <w:b/>
          <w:bCs/>
          <w:color w:val="auto"/>
          <w:sz w:val="21"/>
          <w:szCs w:val="21"/>
          <w:highlight w:val="none"/>
          <w:u w:val="single"/>
          <w:lang w:eastAsia="zh-CN"/>
        </w:rPr>
        <w:t>▲投标报价是完成本项目所提供相关服务所需的全部费用，包括但不限于供应商各项成本支出、合理的利润、应交纳的税金等，完成合同所需的一切本身和不可或缺的所有工作开支、政策性文件规定及合同包含的所有风险、责任等各项全部费用，投标供应商应根据上述因素自行考虑含入报价。</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投标供应商须认真阅读、充分理解</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，如有疑问可在询疑截止时间前送达（或传真）</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机构将会统一解答。任何因对本项目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理解不清、产生歧义等由此产生的费用，视作已含在投标总价中。</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投标供应商必须按第三部分附件的开标一览表（统一格式）、投标分项报价表（统一格式）</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的内容填写单价、合价及其他事项，并由法定代表人（法定负责人）或授权代表签署</w:t>
      </w:r>
      <w:r>
        <w:rPr>
          <w:rFonts w:hint="eastAsia" w:ascii="宋体" w:hAnsi="宋体" w:eastAsia="宋体" w:cs="宋体"/>
          <w:color w:val="auto"/>
          <w:kern w:val="1"/>
          <w:sz w:val="21"/>
          <w:szCs w:val="21"/>
          <w:highlight w:val="none"/>
          <w:u w:val="single"/>
          <w:lang w:val="en-US" w:eastAsia="zh-CN"/>
        </w:rPr>
        <w:t>或盖章</w:t>
      </w:r>
      <w:r>
        <w:rPr>
          <w:rFonts w:hint="eastAsia" w:ascii="宋体" w:hAnsi="宋体" w:eastAsia="宋体" w:cs="宋体"/>
          <w:color w:val="auto"/>
          <w:kern w:val="1"/>
          <w:sz w:val="21"/>
          <w:szCs w:val="21"/>
          <w:highlight w:val="none"/>
          <w:u w:val="single"/>
        </w:rPr>
        <w:t>。</w:t>
      </w:r>
    </w:p>
    <w:p>
      <w:pPr>
        <w:numPr>
          <w:ilvl w:val="1"/>
          <w:numId w:val="11"/>
        </w:numPr>
        <w:tabs>
          <w:tab w:val="left" w:pos="540"/>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所有投标报价均以人民币报价。</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不接受任何选择报价，对每一项货物/服务只允许一个报价。</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要求分类报价是为了方便评标，但在任何情况下不限制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以其认为最合适的条款、</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条件签订合同的权利。</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投标报价报出后，投标供应商不得以任何理由予以变更。任何包含价格调整的要求，将被</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认为是非实质性响应投标而予以拒绝</w:t>
      </w:r>
      <w:r>
        <w:rPr>
          <w:rFonts w:hint="eastAsia" w:ascii="宋体" w:hAnsi="宋体" w:eastAsia="宋体" w:cs="宋体"/>
          <w:color w:val="auto"/>
          <w:kern w:val="1"/>
          <w:sz w:val="21"/>
          <w:szCs w:val="21"/>
          <w:highlight w:val="none"/>
          <w:u w:val="none"/>
          <w:lang w:eastAsia="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11.7 </w:t>
      </w:r>
      <w:r>
        <w:rPr>
          <w:rFonts w:hint="eastAsia" w:ascii="宋体" w:hAnsi="宋体" w:eastAsia="宋体" w:cs="宋体"/>
          <w:color w:val="auto"/>
          <w:kern w:val="1"/>
          <w:sz w:val="21"/>
          <w:szCs w:val="21"/>
          <w:highlight w:val="none"/>
        </w:rPr>
        <w:t>最低报价不能作为中标的保证。</w:t>
      </w:r>
    </w:p>
    <w:p>
      <w:p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12投标保证金</w:t>
      </w:r>
    </w:p>
    <w:p>
      <w:pPr>
        <w:numPr>
          <w:ilvl w:val="1"/>
          <w:numId w:val="12"/>
        </w:numPr>
        <w:tabs>
          <w:tab w:val="left" w:pos="535"/>
          <w:tab w:val="clear" w:pos="992"/>
        </w:tabs>
        <w:overflowPunct w:val="0"/>
        <w:spacing w:line="460" w:lineRule="exact"/>
        <w:ind w:left="535" w:hanging="53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投标供应商须提供由其汇出的投标保证金（金额详见《投标供应商须知前附表》，投标保</w:t>
      </w:r>
    </w:p>
    <w:p>
      <w:pPr>
        <w:numPr>
          <w:ilvl w:val="0"/>
          <w:numId w:val="0"/>
        </w:numPr>
        <w:tabs>
          <w:tab w:val="left" w:pos="535"/>
        </w:tabs>
        <w:overflowPunct w:val="0"/>
        <w:spacing w:line="460" w:lineRule="exact"/>
        <w:ind w:left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证金汇出账户的名称须与投标供应商的名称相一致），否则采购人将不接受其投标。</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12.2</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的投标保证金在中标人提交履约担保并与采购人签订了合同且合同经备案后无息退还，未中标</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的投标保证金将在确定中标人后</w:t>
      </w:r>
      <w:r>
        <w:rPr>
          <w:rFonts w:hint="eastAsia" w:ascii="宋体" w:hAnsi="宋体" w:cs="宋体"/>
          <w:color w:val="auto"/>
          <w:kern w:val="1"/>
          <w:sz w:val="21"/>
          <w:szCs w:val="21"/>
          <w:highlight w:val="none"/>
          <w:lang w:val="en-US" w:eastAsia="zh-CN"/>
        </w:rPr>
        <w:t>5日内</w:t>
      </w:r>
      <w:r>
        <w:rPr>
          <w:rFonts w:hint="eastAsia" w:ascii="宋体" w:hAnsi="宋体" w:eastAsia="宋体" w:cs="宋体"/>
          <w:color w:val="auto"/>
          <w:kern w:val="1"/>
          <w:sz w:val="21"/>
          <w:szCs w:val="21"/>
          <w:highlight w:val="none"/>
        </w:rPr>
        <w:t>无息退还。。</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12.3</w:t>
      </w:r>
      <w:r>
        <w:rPr>
          <w:rFonts w:hint="eastAsia" w:ascii="宋体" w:hAnsi="宋体" w:eastAsia="宋体" w:cs="宋体"/>
          <w:b/>
          <w:color w:val="auto"/>
          <w:kern w:val="1"/>
          <w:sz w:val="21"/>
          <w:szCs w:val="21"/>
          <w:highlight w:val="none"/>
        </w:rPr>
        <w:t>如发生下列情况之一，投标保证金将不予退还：</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规定的投标有效期内撤回投标；</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中标供应商未按中标通知书中规定的时间与</w:t>
      </w:r>
      <w:r>
        <w:rPr>
          <w:rFonts w:hint="eastAsia" w:ascii="宋体" w:hAnsi="宋体" w:eastAsia="宋体" w:cs="宋体"/>
          <w:color w:val="auto"/>
          <w:kern w:val="1"/>
          <w:sz w:val="21"/>
          <w:szCs w:val="21"/>
          <w:highlight w:val="none"/>
          <w:lang w:val="en-US" w:eastAsia="zh-CN"/>
        </w:rPr>
        <w:t>项目业主</w:t>
      </w:r>
      <w:r>
        <w:rPr>
          <w:rFonts w:hint="eastAsia" w:ascii="宋体" w:hAnsi="宋体" w:eastAsia="宋体" w:cs="宋体"/>
          <w:color w:val="auto"/>
          <w:kern w:val="1"/>
          <w:sz w:val="21"/>
          <w:szCs w:val="21"/>
          <w:highlight w:val="none"/>
        </w:rPr>
        <w:t>签订合同；</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中标供应商在规定期限内未能根据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要求提供履约保证金；</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中提供虚假技术指标及参数，经评标委员会确认属实的。</w:t>
      </w:r>
    </w:p>
    <w:p>
      <w:pPr>
        <w:numPr>
          <w:ilvl w:val="0"/>
          <w:numId w:val="13"/>
        </w:numPr>
        <w:tabs>
          <w:tab w:val="left" w:pos="360"/>
        </w:tabs>
        <w:spacing w:line="430" w:lineRule="exact"/>
        <w:ind w:left="720" w:hanging="7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rPr>
        <w:t>经国企采购监督管理部门审查认定投标供应商有违反《温州市市属国有企业采购管理办法</w:t>
      </w:r>
    </w:p>
    <w:p>
      <w:pPr>
        <w:numPr>
          <w:ilvl w:val="0"/>
          <w:numId w:val="0"/>
        </w:numPr>
        <w:tabs>
          <w:tab w:val="left" w:pos="360"/>
        </w:tabs>
        <w:spacing w:line="430" w:lineRule="exact"/>
        <w:ind w:lef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rPr>
        <w:t>（试行）》等有关法律法规的行为。</w:t>
      </w:r>
    </w:p>
    <w:p>
      <w:pPr>
        <w:numPr>
          <w:ilvl w:val="0"/>
          <w:numId w:val="0"/>
        </w:numPr>
        <w:tabs>
          <w:tab w:val="left" w:pos="420"/>
          <w:tab w:val="left" w:pos="540"/>
        </w:tabs>
        <w:spacing w:line="460" w:lineRule="exact"/>
        <w:ind w:left="0" w:firstLine="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13.</w:t>
      </w:r>
      <w:r>
        <w:rPr>
          <w:rFonts w:hint="eastAsia" w:ascii="宋体" w:hAnsi="宋体" w:eastAsia="宋体" w:cs="宋体"/>
          <w:bCs/>
          <w:color w:val="auto"/>
          <w:kern w:val="1"/>
          <w:sz w:val="21"/>
          <w:szCs w:val="21"/>
          <w:highlight w:val="none"/>
        </w:rPr>
        <w:t>投标有效期</w:t>
      </w:r>
    </w:p>
    <w:p>
      <w:pPr>
        <w:numPr>
          <w:ilvl w:val="1"/>
          <w:numId w:val="14"/>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自开标之日起120天内投标应保持有效。投标有效期短于这个规定期限的投标将视为非响应性</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1"/>
          <w:sz w:val="21"/>
          <w:szCs w:val="21"/>
          <w:highlight w:val="none"/>
          <w:u w:val="single"/>
        </w:rPr>
        <w:t>投标而予以拒绝。</w:t>
      </w:r>
    </w:p>
    <w:p>
      <w:pPr>
        <w:numPr>
          <w:ilvl w:val="1"/>
          <w:numId w:val="14"/>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特殊情况下，在原投标有效期截止前，</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可与投标供应商协商延长投标有效期，这种要求和</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numPr>
          <w:ilvl w:val="0"/>
          <w:numId w:val="15"/>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投标文件的签署和规定</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投标供应商应提供技术资信标、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各一式</w:t>
      </w:r>
      <w:r>
        <w:rPr>
          <w:rFonts w:hint="eastAsia" w:ascii="宋体" w:hAnsi="宋体" w:cs="宋体"/>
          <w:color w:val="auto"/>
          <w:kern w:val="1"/>
          <w:sz w:val="21"/>
          <w:szCs w:val="21"/>
          <w:highlight w:val="none"/>
          <w:u w:val="single"/>
          <w:lang w:val="en-US" w:eastAsia="zh-CN"/>
        </w:rPr>
        <w:t>陆</w:t>
      </w:r>
      <w:r>
        <w:rPr>
          <w:rFonts w:hint="eastAsia" w:ascii="宋体" w:hAnsi="宋体" w:eastAsia="宋体" w:cs="宋体"/>
          <w:color w:val="auto"/>
          <w:kern w:val="1"/>
          <w:sz w:val="21"/>
          <w:szCs w:val="21"/>
          <w:highlight w:val="none"/>
          <w:u w:val="single"/>
        </w:rPr>
        <w:t>份的投标文件，分别装订成册，其中</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正本壹份、副本</w:t>
      </w:r>
      <w:r>
        <w:rPr>
          <w:rFonts w:hint="eastAsia" w:ascii="宋体" w:hAnsi="宋体" w:cs="宋体"/>
          <w:color w:val="auto"/>
          <w:kern w:val="1"/>
          <w:sz w:val="21"/>
          <w:szCs w:val="21"/>
          <w:highlight w:val="none"/>
          <w:u w:val="single"/>
          <w:lang w:val="en-US" w:eastAsia="zh-CN"/>
        </w:rPr>
        <w:t>伍</w:t>
      </w:r>
      <w:r>
        <w:rPr>
          <w:rFonts w:hint="eastAsia" w:ascii="宋体" w:hAnsi="宋体" w:eastAsia="宋体" w:cs="宋体"/>
          <w:color w:val="auto"/>
          <w:kern w:val="1"/>
          <w:sz w:val="21"/>
          <w:szCs w:val="21"/>
          <w:highlight w:val="none"/>
          <w:u w:val="single"/>
        </w:rPr>
        <w:t>份，每套投标文件的封面应清楚标明“正本”或“副本”字样，若“正本”与“副本”不符，以“正本”为准。</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投标文件的正本必须打印或用不褪色的墨水书写，并由法定代表人</w:t>
      </w:r>
      <w:r>
        <w:rPr>
          <w:rFonts w:hint="eastAsia" w:ascii="宋体" w:hAnsi="宋体" w:eastAsia="宋体" w:cs="宋体"/>
          <w:color w:val="auto"/>
          <w:sz w:val="21"/>
          <w:szCs w:val="21"/>
          <w:highlight w:val="none"/>
          <w:lang w:eastAsia="zh-CN"/>
        </w:rPr>
        <w:t>（法定负责人）</w:t>
      </w:r>
      <w:r>
        <w:rPr>
          <w:rFonts w:hint="eastAsia" w:ascii="宋体" w:hAnsi="宋体" w:eastAsia="宋体" w:cs="宋体"/>
          <w:color w:val="auto"/>
          <w:kern w:val="1"/>
          <w:sz w:val="21"/>
          <w:szCs w:val="21"/>
          <w:highlight w:val="none"/>
        </w:rPr>
        <w:t>或其授权代</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表签署</w:t>
      </w:r>
      <w:r>
        <w:rPr>
          <w:rFonts w:hint="eastAsia" w:ascii="宋体" w:hAnsi="宋体" w:eastAsia="宋体" w:cs="宋体"/>
          <w:color w:val="auto"/>
          <w:kern w:val="1"/>
          <w:sz w:val="21"/>
          <w:szCs w:val="21"/>
          <w:highlight w:val="none"/>
          <w:lang w:eastAsia="zh-CN"/>
        </w:rPr>
        <w:t>（或盖章）</w:t>
      </w:r>
      <w:r>
        <w:rPr>
          <w:rFonts w:hint="eastAsia" w:ascii="宋体" w:hAnsi="宋体" w:eastAsia="宋体" w:cs="宋体"/>
          <w:color w:val="auto"/>
          <w:kern w:val="1"/>
          <w:sz w:val="21"/>
          <w:szCs w:val="21"/>
          <w:highlight w:val="none"/>
        </w:rPr>
        <w:t>，副本可用正本的复印。</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i w:val="0"/>
          <w:iCs w:val="0"/>
          <w:color w:val="auto"/>
          <w:kern w:val="1"/>
          <w:sz w:val="21"/>
          <w:szCs w:val="21"/>
          <w:highlight w:val="none"/>
          <w:u w:val="single"/>
        </w:rPr>
        <w:t>投标文件如有修改和增删必须由投标文件签字人在修改和增删处旁签署或盖章，方才有效</w:t>
      </w:r>
      <w:r>
        <w:rPr>
          <w:rFonts w:hint="eastAsia" w:ascii="宋体" w:hAnsi="宋体" w:eastAsia="宋体" w:cs="宋体"/>
          <w:color w:val="auto"/>
          <w:kern w:val="1"/>
          <w:sz w:val="21"/>
          <w:szCs w:val="21"/>
          <w:highlight w:val="none"/>
        </w:rPr>
        <w:t>。</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投标文件字迹模糊或在关键的技术、商务条款上表述不清楚，将可能导致其投标被拒绝</w:t>
      </w:r>
      <w:r>
        <w:rPr>
          <w:rFonts w:hint="eastAsia" w:ascii="宋体" w:hAnsi="宋体" w:eastAsia="宋体" w:cs="宋体"/>
          <w:color w:val="auto"/>
          <w:kern w:val="1"/>
          <w:sz w:val="21"/>
          <w:szCs w:val="21"/>
          <w:highlight w:val="none"/>
        </w:rPr>
        <w:t>。</w:t>
      </w:r>
    </w:p>
    <w:p>
      <w:pPr>
        <w:numPr>
          <w:ilvl w:val="0"/>
          <w:numId w:val="15"/>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投标文件的密封及标记</w:t>
      </w:r>
    </w:p>
    <w:p>
      <w:pPr>
        <w:numPr>
          <w:ilvl w:val="1"/>
          <w:numId w:val="17"/>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投标供应商必须将投标文件的“技术资信标”、“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”分别单独密封，且在各自</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的密封袋上标明“技术资信标”、“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”字样；封口处贴上封条，启封处加盖投标供应商公章并由法定代表人（法定负责人）或其授权代表签字或盖章。封皮上写明投标项目名称、</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编号</w:t>
      </w:r>
      <w:r>
        <w:rPr>
          <w:rFonts w:hint="eastAsia" w:ascii="宋体" w:hAnsi="宋体" w:eastAsia="宋体" w:cs="宋体"/>
          <w:color w:val="auto"/>
          <w:kern w:val="1"/>
          <w:sz w:val="21"/>
          <w:szCs w:val="21"/>
          <w:highlight w:val="none"/>
          <w:u w:val="single"/>
        </w:rPr>
        <w:t>、并注明“开标时启封”字样。</w:t>
      </w:r>
    </w:p>
    <w:p>
      <w:pPr>
        <w:numPr>
          <w:ilvl w:val="1"/>
          <w:numId w:val="17"/>
        </w:numPr>
        <w:tabs>
          <w:tab w:val="left" w:pos="540"/>
        </w:tabs>
        <w:spacing w:line="46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如果投标供应商未按上述要求密封及加写标记，</w:t>
      </w:r>
      <w:r>
        <w:rPr>
          <w:rFonts w:hint="eastAsia" w:ascii="宋体" w:hAnsi="宋体" w:eastAsia="宋体" w:cs="宋体"/>
          <w:b/>
          <w:color w:val="auto"/>
          <w:kern w:val="1"/>
          <w:sz w:val="21"/>
          <w:szCs w:val="21"/>
          <w:highlight w:val="none"/>
          <w:u w:val="single"/>
          <w:lang w:eastAsia="zh-CN"/>
        </w:rPr>
        <w:t>采购人</w:t>
      </w:r>
      <w:r>
        <w:rPr>
          <w:rFonts w:hint="eastAsia" w:ascii="宋体" w:hAnsi="宋体" w:eastAsia="宋体" w:cs="宋体"/>
          <w:b/>
          <w:color w:val="auto"/>
          <w:kern w:val="1"/>
          <w:sz w:val="21"/>
          <w:szCs w:val="21"/>
          <w:highlight w:val="none"/>
          <w:u w:val="single"/>
        </w:rPr>
        <w:t>对投标文件的误投和提前启封不负责</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任。</w:t>
      </w:r>
    </w:p>
    <w:p>
      <w:pPr>
        <w:spacing w:before="100" w:beforeAutospacing="1" w:after="100" w:afterAutospacing="1" w:line="440" w:lineRule="exact"/>
        <w:ind w:left="783" w:hanging="783"/>
        <w:jc w:val="center"/>
        <w:outlineLvl w:val="9"/>
        <w:rPr>
          <w:rFonts w:hint="eastAsia" w:ascii="宋体" w:hAnsi="宋体" w:eastAsia="宋体" w:cs="宋体"/>
          <w:color w:val="auto"/>
          <w:kern w:val="1"/>
          <w:sz w:val="21"/>
          <w:szCs w:val="21"/>
          <w:highlight w:val="none"/>
        </w:rPr>
      </w:pPr>
      <w:bookmarkStart w:id="81" w:name="_Toc239145354"/>
      <w:bookmarkEnd w:id="81"/>
      <w:bookmarkStart w:id="82" w:name="_Toc458603464"/>
      <w:bookmarkEnd w:id="82"/>
      <w:bookmarkStart w:id="83" w:name="_Toc221356887"/>
      <w:bookmarkEnd w:id="83"/>
      <w:bookmarkStart w:id="84" w:name="_Toc223715998"/>
      <w:bookmarkEnd w:id="84"/>
      <w:bookmarkStart w:id="85" w:name="_Toc222114879"/>
      <w:bookmarkEnd w:id="85"/>
      <w:bookmarkStart w:id="86" w:name="_Toc221356951"/>
      <w:bookmarkEnd w:id="86"/>
      <w:bookmarkStart w:id="87" w:name="_Toc241404202"/>
      <w:bookmarkEnd w:id="87"/>
      <w:bookmarkStart w:id="88" w:name="_Toc265529383"/>
      <w:bookmarkEnd w:id="88"/>
      <w:bookmarkStart w:id="89" w:name="_Toc221374626"/>
      <w:bookmarkEnd w:id="89"/>
      <w:bookmarkStart w:id="90" w:name="_Toc221423619"/>
      <w:bookmarkEnd w:id="90"/>
      <w:bookmarkStart w:id="91" w:name="_Toc14053"/>
      <w:bookmarkStart w:id="92" w:name="_Toc23941"/>
      <w:bookmarkStart w:id="93" w:name="_Toc11756"/>
      <w:r>
        <w:rPr>
          <w:rFonts w:hint="eastAsia" w:ascii="宋体" w:hAnsi="宋体" w:eastAsia="宋体" w:cs="宋体"/>
          <w:b/>
          <w:bCs/>
          <w:color w:val="auto"/>
          <w:kern w:val="1"/>
          <w:sz w:val="21"/>
          <w:szCs w:val="21"/>
          <w:highlight w:val="none"/>
        </w:rPr>
        <w:t>四、 投标文件的递交</w:t>
      </w:r>
      <w:bookmarkEnd w:id="91"/>
      <w:bookmarkEnd w:id="92"/>
      <w:bookmarkEnd w:id="93"/>
    </w:p>
    <w:p>
      <w:pPr>
        <w:numPr>
          <w:ilvl w:val="0"/>
          <w:numId w:val="18"/>
        </w:numPr>
        <w:tabs>
          <w:tab w:val="left" w:pos="420"/>
          <w:tab w:val="left" w:pos="54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投标文件的递交</w:t>
      </w:r>
    </w:p>
    <w:p>
      <w:pPr>
        <w:numPr>
          <w:ilvl w:val="1"/>
          <w:numId w:val="19"/>
        </w:numPr>
        <w:tabs>
          <w:tab w:val="left" w:pos="540"/>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投标文件必须在规定的投标截止时间前送达到指定的收标地点</w:t>
      </w:r>
      <w:r>
        <w:rPr>
          <w:rFonts w:hint="eastAsia" w:ascii="宋体" w:hAnsi="宋体" w:eastAsia="宋体" w:cs="宋体"/>
          <w:b/>
          <w:color w:val="auto"/>
          <w:kern w:val="1"/>
          <w:sz w:val="21"/>
          <w:szCs w:val="21"/>
          <w:highlight w:val="none"/>
        </w:rPr>
        <w:t>；</w:t>
      </w:r>
    </w:p>
    <w:p>
      <w:pPr>
        <w:numPr>
          <w:ilvl w:val="1"/>
          <w:numId w:val="19"/>
        </w:numPr>
        <w:tabs>
          <w:tab w:val="left" w:pos="540"/>
        </w:tabs>
        <w:spacing w:line="46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在递交投标文件同时递交以下证明文件，由评标委员会确认投标资格：</w:t>
      </w:r>
    </w:p>
    <w:p>
      <w:pPr>
        <w:numPr>
          <w:ilvl w:val="0"/>
          <w:numId w:val="20"/>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投标保证金汇款证明</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投标保证金递交情况以投标截止时间采购代理机构提供的《保证金缴</w:t>
      </w:r>
    </w:p>
    <w:p>
      <w:pPr>
        <w:numPr>
          <w:ilvl w:val="0"/>
          <w:numId w:val="0"/>
        </w:numPr>
        <w:tabs>
          <w:tab w:val="left" w:pos="420"/>
          <w:tab w:val="left" w:pos="891"/>
          <w:tab w:val="left" w:pos="107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款汇总表》为准</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w:t>
      </w:r>
    </w:p>
    <w:p>
      <w:pPr>
        <w:numPr>
          <w:ilvl w:val="0"/>
          <w:numId w:val="20"/>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法定代表人有效身份证明原件（若投标供应商代表为法定代表人）；</w:t>
      </w:r>
    </w:p>
    <w:p>
      <w:pPr>
        <w:numPr>
          <w:ilvl w:val="0"/>
          <w:numId w:val="20"/>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法定代表人授权书原件及授权代表有效身份证明原件（法定代表人授权书原件如密封在投标</w:t>
      </w:r>
    </w:p>
    <w:p>
      <w:pPr>
        <w:numPr>
          <w:ilvl w:val="0"/>
          <w:numId w:val="0"/>
        </w:numPr>
        <w:tabs>
          <w:tab w:val="left" w:pos="420"/>
          <w:tab w:val="left" w:pos="891"/>
          <w:tab w:val="left" w:pos="107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文件技术资信标中，在技术资信标开启后经评标委员会查验符合要求亦为有效）；</w:t>
      </w:r>
    </w:p>
    <w:p>
      <w:pPr>
        <w:numPr>
          <w:ilvl w:val="0"/>
          <w:numId w:val="18"/>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投标文件的修改和撤回</w:t>
      </w:r>
    </w:p>
    <w:p>
      <w:pPr>
        <w:numPr>
          <w:ilvl w:val="1"/>
          <w:numId w:val="2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rPr>
        <w:t>在投标截止时间前，投标供应商可以用书面形式提出修改或撤回其投标并送达到</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，但</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rPr>
        <w:t>不得影响开标活动的正常进行。</w:t>
      </w:r>
    </w:p>
    <w:p>
      <w:pPr>
        <w:numPr>
          <w:ilvl w:val="1"/>
          <w:numId w:val="2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“投标文件修改”或“投标文件撤回通知”都应密封并在密封袋上写明投标项目名称、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号</w:t>
      </w:r>
      <w:r>
        <w:rPr>
          <w:rFonts w:hint="eastAsia" w:ascii="宋体" w:hAnsi="宋体" w:eastAsia="宋体" w:cs="宋体"/>
          <w:bCs/>
          <w:color w:val="auto"/>
          <w:kern w:val="1"/>
          <w:sz w:val="21"/>
          <w:szCs w:val="21"/>
          <w:highlight w:val="none"/>
        </w:rPr>
        <w:t>、投标供应商名称，并注明“投标文件修改”或“投标文件撤回通知”字样。</w:t>
      </w:r>
    </w:p>
    <w:p>
      <w:pPr>
        <w:numPr>
          <w:ilvl w:val="1"/>
          <w:numId w:val="2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从投标截止日期起至投标有效期满这段时间内，投标供应商不得撤回其投标，否则投标保证</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金将</w:t>
      </w:r>
      <w:r>
        <w:rPr>
          <w:rFonts w:hint="eastAsia" w:ascii="宋体" w:hAnsi="宋体" w:eastAsia="宋体" w:cs="宋体"/>
          <w:color w:val="auto"/>
          <w:kern w:val="1"/>
          <w:sz w:val="21"/>
          <w:szCs w:val="21"/>
          <w:highlight w:val="none"/>
        </w:rPr>
        <w:t>被不予退还。</w:t>
      </w:r>
    </w:p>
    <w:p>
      <w:pPr>
        <w:numPr>
          <w:ilvl w:val="0"/>
          <w:numId w:val="18"/>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bCs/>
          <w:color w:val="auto"/>
          <w:kern w:val="1"/>
          <w:sz w:val="21"/>
          <w:szCs w:val="21"/>
          <w:highlight w:val="none"/>
          <w:u w:val="single"/>
        </w:rPr>
        <w:t>发生下列情况之一的投标文件将拒收：</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在投标截止时间以后送达的投标文件；</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kern w:val="1"/>
          <w:sz w:val="21"/>
          <w:szCs w:val="21"/>
          <w:highlight w:val="none"/>
        </w:rPr>
        <w:t>未</w:t>
      </w:r>
      <w:r>
        <w:rPr>
          <w:rFonts w:hint="eastAsia" w:ascii="宋体" w:hAnsi="宋体" w:eastAsia="宋体" w:cs="宋体"/>
          <w:b/>
          <w:bCs/>
          <w:color w:val="auto"/>
          <w:kern w:val="1"/>
          <w:sz w:val="21"/>
          <w:szCs w:val="21"/>
          <w:highlight w:val="none"/>
          <w:lang w:val="en-US" w:eastAsia="zh-CN"/>
        </w:rPr>
        <w:t>按规定获取</w:t>
      </w:r>
      <w:r>
        <w:rPr>
          <w:rFonts w:hint="eastAsia" w:ascii="宋体" w:hAnsi="宋体" w:eastAsia="宋体" w:cs="宋体"/>
          <w:b/>
          <w:bCs/>
          <w:color w:val="auto"/>
          <w:kern w:val="1"/>
          <w:sz w:val="21"/>
          <w:szCs w:val="21"/>
          <w:highlight w:val="none"/>
          <w:lang w:eastAsia="zh-CN"/>
        </w:rPr>
        <w:t>采购文件</w:t>
      </w:r>
      <w:r>
        <w:rPr>
          <w:rFonts w:hint="eastAsia" w:ascii="宋体" w:hAnsi="宋体" w:eastAsia="宋体" w:cs="宋体"/>
          <w:b/>
          <w:bCs/>
          <w:color w:val="auto"/>
          <w:kern w:val="1"/>
          <w:sz w:val="21"/>
          <w:szCs w:val="21"/>
          <w:highlight w:val="none"/>
        </w:rPr>
        <w:t>；</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未密封或未装订的投标文件及由于包装不妥在送达途中严重破损或失散的投标文件；</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以电讯形式递交的投标文件。</w:t>
      </w:r>
    </w:p>
    <w:p>
      <w:pPr>
        <w:tabs>
          <w:tab w:val="left" w:pos="360"/>
          <w:tab w:val="left" w:pos="540"/>
          <w:tab w:val="left" w:pos="1260"/>
        </w:tabs>
        <w:spacing w:before="100" w:beforeAutospacing="1" w:after="100" w:afterAutospacing="1" w:line="440" w:lineRule="exact"/>
        <w:ind w:left="919" w:hanging="919"/>
        <w:jc w:val="center"/>
        <w:outlineLvl w:val="9"/>
        <w:rPr>
          <w:rFonts w:hint="eastAsia" w:ascii="宋体" w:hAnsi="宋体" w:eastAsia="宋体" w:cs="宋体"/>
          <w:color w:val="auto"/>
          <w:kern w:val="1"/>
          <w:sz w:val="21"/>
          <w:szCs w:val="21"/>
          <w:highlight w:val="none"/>
        </w:rPr>
      </w:pPr>
      <w:bookmarkStart w:id="94" w:name="_Toc223715999"/>
      <w:bookmarkEnd w:id="94"/>
      <w:bookmarkStart w:id="95" w:name="_Toc241404203"/>
      <w:bookmarkEnd w:id="95"/>
      <w:bookmarkStart w:id="96" w:name="_Toc265529384"/>
      <w:bookmarkEnd w:id="96"/>
      <w:bookmarkStart w:id="97" w:name="_Toc221356888"/>
      <w:bookmarkEnd w:id="97"/>
      <w:bookmarkStart w:id="98" w:name="_Toc222114880"/>
      <w:bookmarkEnd w:id="98"/>
      <w:bookmarkStart w:id="99" w:name="_Toc221374627"/>
      <w:bookmarkEnd w:id="99"/>
      <w:bookmarkStart w:id="100" w:name="_Toc221423620"/>
      <w:bookmarkEnd w:id="100"/>
      <w:bookmarkStart w:id="101" w:name="_Toc221356952"/>
      <w:bookmarkEnd w:id="101"/>
      <w:bookmarkStart w:id="102" w:name="_Toc239145355"/>
      <w:bookmarkEnd w:id="102"/>
      <w:bookmarkStart w:id="103" w:name="_Toc458603465"/>
      <w:bookmarkEnd w:id="103"/>
      <w:bookmarkStart w:id="104" w:name="_Toc21721"/>
      <w:bookmarkStart w:id="105" w:name="_Toc462"/>
      <w:bookmarkStart w:id="106" w:name="_Toc19925"/>
      <w:r>
        <w:rPr>
          <w:rFonts w:hint="eastAsia" w:ascii="宋体" w:hAnsi="宋体" w:eastAsia="宋体" w:cs="宋体"/>
          <w:b/>
          <w:bCs/>
          <w:color w:val="auto"/>
          <w:kern w:val="1"/>
          <w:sz w:val="21"/>
          <w:szCs w:val="21"/>
          <w:highlight w:val="none"/>
        </w:rPr>
        <w:t>五、 开标和评标</w:t>
      </w:r>
      <w:bookmarkEnd w:id="104"/>
      <w:bookmarkEnd w:id="105"/>
      <w:bookmarkEnd w:id="106"/>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评标委员会</w:t>
      </w:r>
    </w:p>
    <w:p>
      <w:pPr>
        <w:tabs>
          <w:tab w:val="left" w:pos="540"/>
        </w:tabs>
        <w:spacing w:line="440" w:lineRule="exact"/>
        <w:ind w:left="328"/>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按照《温州市</w:t>
      </w:r>
      <w:r>
        <w:rPr>
          <w:rFonts w:hint="eastAsia" w:ascii="宋体" w:hAnsi="宋体" w:eastAsia="宋体" w:cs="宋体"/>
          <w:color w:val="auto"/>
          <w:kern w:val="1"/>
          <w:sz w:val="21"/>
          <w:szCs w:val="21"/>
          <w:highlight w:val="none"/>
          <w:lang w:val="en-US" w:eastAsia="zh-CN"/>
        </w:rPr>
        <w:t>市属</w:t>
      </w:r>
      <w:r>
        <w:rPr>
          <w:rFonts w:hint="eastAsia" w:ascii="宋体" w:hAnsi="宋体" w:eastAsia="宋体" w:cs="宋体"/>
          <w:color w:val="auto"/>
          <w:kern w:val="1"/>
          <w:sz w:val="21"/>
          <w:szCs w:val="21"/>
          <w:highlight w:val="none"/>
        </w:rPr>
        <w:t>国有企业采购管理办法（试行）》等有关法律、法规的规定组建评标委员</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会，评标委员会成员由</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代表和有关技术、经济等方面的专家组成，成员人数为5人（含）以上单数。</w:t>
      </w:r>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评标过程的保密性</w:t>
      </w:r>
    </w:p>
    <w:p>
      <w:pPr>
        <w:tabs>
          <w:tab w:val="left" w:pos="540"/>
        </w:tabs>
        <w:spacing w:line="440" w:lineRule="exact"/>
        <w:ind w:left="328"/>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开标后直至向中标供应商授予合同时止，凡与评审有关的资料均不得向投标供应商及与评标无关人</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员透露。如果投标供应商在评标过程中试图向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机构施加影响，其投标将被拒绝。</w:t>
      </w:r>
    </w:p>
    <w:p>
      <w:pPr>
        <w:numPr>
          <w:ilvl w:val="0"/>
          <w:numId w:val="22"/>
        </w:numPr>
        <w:tabs>
          <w:tab w:val="left" w:pos="420"/>
          <w:tab w:val="left" w:pos="540"/>
        </w:tabs>
        <w:spacing w:line="44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开标、评标</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规定的时间、地点开启技术资信标。开标前，首先检查技术资信标的密封情况，</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确认无误后开启技术资信标。</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投标文件的初审。初审分为资格审查和符合性检查。</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资格审查。依据法律、法规和采购文件的规定，评标委员会对各投标供应商进行资格审查，资格审查内容包括但不仅限于随投标文件一同提交的法定代表人授权书（原件）、投标代表人有效身份证件（原件）、企业法人营业执照复印件</w:t>
      </w:r>
      <w:r>
        <w:rPr>
          <w:rFonts w:hint="eastAsia" w:ascii="宋体" w:hAnsi="宋体" w:eastAsia="宋体" w:cs="宋体"/>
          <w:bCs/>
          <w:color w:val="auto"/>
          <w:sz w:val="21"/>
          <w:szCs w:val="21"/>
          <w:highlight w:val="none"/>
          <w:lang w:bidi="ar"/>
        </w:rPr>
        <w:t>（加盖公章）等资格证明</w:t>
      </w:r>
      <w:r>
        <w:rPr>
          <w:rFonts w:hint="eastAsia" w:ascii="宋体" w:hAnsi="宋体" w:eastAsia="宋体" w:cs="宋体"/>
          <w:color w:val="auto"/>
          <w:kern w:val="1"/>
          <w:sz w:val="21"/>
          <w:szCs w:val="21"/>
          <w:highlight w:val="none"/>
        </w:rPr>
        <w:t>、投标保证金汇款证明，以及投标文件所提交证明材料是否能证明符合本项目对合格投标供应商的实质性要求。通过资格审查视作具备投标资格，审查不合格的投标文件将不予接受。</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符合性检查。依据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的规定，从投标文件中的有效性、完整性和对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的响应程度进行审查，以确定是否对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的实质性要求作出响应。</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u w:val="single"/>
        </w:rPr>
        <w:t>通过资格性审查与符合性审查的技术资信标由评委进行综合评审，</w:t>
      </w:r>
      <w:r>
        <w:rPr>
          <w:rFonts w:hint="eastAsia" w:ascii="宋体" w:hAnsi="宋体" w:eastAsia="宋体" w:cs="宋体"/>
          <w:color w:val="auto"/>
          <w:kern w:val="1"/>
          <w:sz w:val="21"/>
          <w:szCs w:val="21"/>
          <w:highlight w:val="none"/>
          <w:u w:val="single"/>
          <w:lang w:val="en-US" w:eastAsia="zh-CN"/>
        </w:rPr>
        <w:t>否则不进入后续评审</w:t>
      </w:r>
      <w:r>
        <w:rPr>
          <w:rFonts w:hint="eastAsia" w:ascii="宋体" w:hAnsi="宋体" w:eastAsia="宋体" w:cs="宋体"/>
          <w:color w:val="auto"/>
          <w:kern w:val="1"/>
          <w:sz w:val="21"/>
          <w:szCs w:val="21"/>
          <w:highlight w:val="none"/>
          <w:u w:val="single"/>
        </w:rPr>
        <w:t>。</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在对各投标供应商的投标文件进行综合评审时，投标文件有下列情况之一的，经评标委员</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会认定后按无效标处理：</w:t>
      </w:r>
    </w:p>
    <w:p>
      <w:pPr>
        <w:numPr>
          <w:ilvl w:val="0"/>
          <w:numId w:val="0"/>
        </w:numPr>
        <w:tabs>
          <w:tab w:val="left" w:pos="420"/>
        </w:tabs>
        <w:spacing w:line="440" w:lineRule="exact"/>
        <w:ind w:leftChars="0"/>
        <w:outlineLvl w:val="9"/>
        <w:rPr>
          <w:rFonts w:hint="default"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投标文件未</w:t>
      </w:r>
      <w:r>
        <w:rPr>
          <w:rFonts w:hint="eastAsia" w:ascii="宋体" w:hAnsi="宋体" w:eastAsia="宋体" w:cs="宋体"/>
          <w:b/>
          <w:color w:val="auto"/>
          <w:kern w:val="1"/>
          <w:sz w:val="21"/>
          <w:szCs w:val="21"/>
          <w:highlight w:val="none"/>
          <w:lang w:val="en-US" w:eastAsia="zh-CN"/>
        </w:rPr>
        <w:t>按采购文件规定签字、盖章的；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明显不符合</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中主要技术规格、技术标准的；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投标文件内容不全或关键字迹模糊无法辨认的；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投标供应商投标报价超采购预算</w:t>
      </w:r>
      <w:r>
        <w:rPr>
          <w:rFonts w:hint="eastAsia" w:ascii="宋体" w:hAnsi="宋体" w:eastAsia="宋体" w:cs="宋体"/>
          <w:b/>
          <w:color w:val="auto"/>
          <w:kern w:val="1"/>
          <w:sz w:val="21"/>
          <w:szCs w:val="21"/>
          <w:highlight w:val="none"/>
          <w:lang w:val="en-US" w:eastAsia="zh-CN"/>
        </w:rPr>
        <w:t>金额或最高限价</w:t>
      </w:r>
      <w:r>
        <w:rPr>
          <w:rFonts w:hint="eastAsia" w:ascii="宋体" w:hAnsi="宋体" w:eastAsia="宋体" w:cs="宋体"/>
          <w:b/>
          <w:color w:val="auto"/>
          <w:kern w:val="1"/>
          <w:sz w:val="21"/>
          <w:szCs w:val="21"/>
          <w:highlight w:val="none"/>
        </w:rPr>
        <w:t>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）技术资信标中出现投标报价的；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投标文件附有</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不能接受的条件；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7</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授权代表没有法定代表人合法、有效委托的；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8</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投标供应商提交的投标文件相关证书、材料经评标委员会认定有弄虚作假情况的；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9</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评标委员会认定不符合法律、法规和</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中规定的其他实质性要求的。</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▲有下列情形之一的，视为投标供应商串通投标，其投标无效：</w:t>
      </w:r>
    </w:p>
    <w:p>
      <w:pPr>
        <w:numPr>
          <w:ilvl w:val="0"/>
          <w:numId w:val="0"/>
        </w:num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不同投标供应商的投标文件由同一单位或者个人编制；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不同投标供应商委托同一单位或者个人办理投标事宜；</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不同投标供应商的投标文件载明的项目管理成员或者联系人员为同一人；</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不同投标供应商的投标文件异常一致或者投标报价呈规律性差异；</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不同投标供应商的投标文件相互混装；</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不同投标供应商的投标保证金从同一单位或者个人的账户转出。</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开启</w:t>
      </w:r>
      <w:r>
        <w:rPr>
          <w:rFonts w:hint="eastAsia" w:ascii="宋体" w:hAnsi="宋体" w:eastAsia="宋体" w:cs="宋体"/>
          <w:b/>
          <w:color w:val="auto"/>
          <w:kern w:val="1"/>
          <w:sz w:val="21"/>
          <w:szCs w:val="21"/>
          <w:highlight w:val="none"/>
          <w:lang w:eastAsia="zh-CN"/>
        </w:rPr>
        <w:t>商务（报价）标</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时邀请所有投标供应商代表参加，参加开标的代表应准时出席并签名报到以</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证明其出席。投标供应商代表未参加开标会的，事后不得对开标过程和开标结果提出异议。</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宣布对各投标供应商有效身份证件、投标保证金汇款证明等审查结果和技术资信标得分情况。</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检查有效投标供应商“</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”的密封情况，确认无误后开启“</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唱读“开标一览表”全部内容。</w:t>
      </w:r>
      <w:r>
        <w:rPr>
          <w:rFonts w:hint="eastAsia" w:ascii="宋体" w:hAnsi="宋体" w:eastAsia="宋体" w:cs="宋体"/>
          <w:b/>
          <w:color w:val="auto"/>
          <w:kern w:val="1"/>
          <w:sz w:val="21"/>
          <w:szCs w:val="21"/>
          <w:highlight w:val="none"/>
        </w:rPr>
        <w:t>唱读结束后，投标供应商代表应对唱读内容及记录结果当场进行校核和签字确认，如有异议应当场提出，否则视为默许同意。</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开标时没有启封和宣读的投标文件，原封退回给投标供应商。</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指定专人作好记录，存档备查。</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”开启后，由评标委员会对各投标供应商的商务报价进行核查，核查时发现投</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标报价内容不清楚可要求投标供应商书面澄清，计算上的错误，可按下面方法修正：</w:t>
      </w:r>
    </w:p>
    <w:p>
      <w:pPr>
        <w:numPr>
          <w:ilvl w:val="0"/>
          <w:numId w:val="25"/>
        </w:numPr>
        <w:tabs>
          <w:tab w:val="left" w:pos="720"/>
        </w:tabs>
        <w:spacing w:line="440" w:lineRule="exact"/>
        <w:ind w:left="720" w:hanging="72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rPr>
        <w:t>投标文件的大写金额与小写金额不一致时以大写金额为准。大写金额有明显文字表述错误而造</w:t>
      </w:r>
    </w:p>
    <w:p>
      <w:pPr>
        <w:numPr>
          <w:ilvl w:val="0"/>
          <w:numId w:val="0"/>
        </w:numPr>
        <w:tabs>
          <w:tab w:val="left" w:pos="720"/>
        </w:tabs>
        <w:spacing w:line="440" w:lineRule="exact"/>
        <w:ind w:leftChars="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rPr>
        <w:t>成歧义的，则以小写金额为准。总价金额与按单价汇总金额不一致的，以单价金额计算结果为准，单价金额小数点有明显错位的，应以总价为准，并修正单价。</w:t>
      </w:r>
    </w:p>
    <w:p>
      <w:pPr>
        <w:numPr>
          <w:ilvl w:val="0"/>
          <w:numId w:val="25"/>
        </w:numPr>
        <w:tabs>
          <w:tab w:val="left" w:pos="720"/>
        </w:tabs>
        <w:spacing w:line="44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如果投标供应商不接受对其价格错误进行修正，其投标将被拒绝</w:t>
      </w:r>
      <w:r>
        <w:rPr>
          <w:rFonts w:hint="eastAsia" w:ascii="宋体" w:hAnsi="宋体" w:eastAsia="宋体" w:cs="宋体"/>
          <w:b/>
          <w:color w:val="auto"/>
          <w:kern w:val="1"/>
          <w:sz w:val="21"/>
          <w:szCs w:val="21"/>
          <w:highlight w:val="none"/>
        </w:rPr>
        <w:t>。</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在详细评标之前，评标委员会要审查每份投标文件是否实质上响应了</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的要求。实质</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上响应的投标应该是与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要求的全部条款、条件和规格基本相符。没有重大偏离。</w:t>
      </w:r>
      <w:r>
        <w:rPr>
          <w:rFonts w:hint="eastAsia" w:ascii="宋体" w:hAnsi="宋体" w:eastAsia="宋体" w:cs="宋体"/>
          <w:b/>
          <w:color w:val="auto"/>
          <w:kern w:val="1"/>
          <w:sz w:val="21"/>
          <w:szCs w:val="21"/>
          <w:highlight w:val="none"/>
        </w:rPr>
        <w:t>评标委员会决定投标的响应性只根据投标文件本身的内容，而不寻求外部的证据。</w:t>
      </w:r>
    </w:p>
    <w:p>
      <w:pPr>
        <w:numPr>
          <w:ilvl w:val="1"/>
          <w:numId w:val="23"/>
        </w:numPr>
        <w:tabs>
          <w:tab w:val="left" w:pos="540"/>
        </w:tabs>
        <w:spacing w:line="440" w:lineRule="exact"/>
        <w:ind w:left="540" w:hanging="54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val="0"/>
          <w:bCs/>
          <w:color w:val="auto"/>
          <w:kern w:val="1"/>
          <w:sz w:val="21"/>
          <w:szCs w:val="21"/>
          <w:highlight w:val="none"/>
          <w:u w:val="single"/>
        </w:rPr>
        <w:t>实质上没有响应</w:t>
      </w:r>
      <w:r>
        <w:rPr>
          <w:rFonts w:hint="eastAsia" w:ascii="宋体" w:hAnsi="宋体" w:eastAsia="宋体" w:cs="宋体"/>
          <w:b w:val="0"/>
          <w:bCs/>
          <w:color w:val="auto"/>
          <w:kern w:val="1"/>
          <w:sz w:val="21"/>
          <w:szCs w:val="21"/>
          <w:highlight w:val="none"/>
          <w:u w:val="single"/>
          <w:lang w:eastAsia="zh-CN"/>
        </w:rPr>
        <w:t>采购文件</w:t>
      </w:r>
      <w:r>
        <w:rPr>
          <w:rFonts w:hint="eastAsia" w:ascii="宋体" w:hAnsi="宋体" w:eastAsia="宋体" w:cs="宋体"/>
          <w:b w:val="0"/>
          <w:bCs/>
          <w:color w:val="auto"/>
          <w:kern w:val="1"/>
          <w:sz w:val="21"/>
          <w:szCs w:val="21"/>
          <w:highlight w:val="none"/>
          <w:u w:val="single"/>
        </w:rPr>
        <w:t>要求的投标将被拒绝，投标供应商不得通过修正或撤消不合要求</w:t>
      </w:r>
    </w:p>
    <w:p>
      <w:pPr>
        <w:numPr>
          <w:ilvl w:val="0"/>
          <w:numId w:val="0"/>
        </w:numPr>
        <w:tabs>
          <w:tab w:val="left" w:pos="540"/>
        </w:tabs>
        <w:spacing w:line="440" w:lineRule="exact"/>
        <w:ind w:leftChars="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val="0"/>
          <w:bCs/>
          <w:color w:val="auto"/>
          <w:kern w:val="1"/>
          <w:sz w:val="21"/>
          <w:szCs w:val="21"/>
          <w:highlight w:val="none"/>
          <w:u w:val="single"/>
        </w:rPr>
        <w:t>的偏离或保留从而使其投标成为实质上响应的投标。</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评标委员会对资格审查合格的投标文件按照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中制订的评标方法进行综合评定打分。</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评标过程中遇到特殊情况，由评标委员会遵循公开、公正原则，采取投票方式按照少数服</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从多数原则决定。</w:t>
      </w:r>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如本项目第一次采购因有效</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数量不足3家作流（废）标处理，根据《温州市市属国有</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企业采购管理办法（试行）的通知》相关条款规定，采购人将重新组织采购。</w:t>
      </w:r>
      <w:r>
        <w:rPr>
          <w:rFonts w:hint="eastAsia" w:ascii="宋体" w:hAnsi="宋体" w:eastAsia="宋体" w:cs="宋体"/>
          <w:color w:val="auto"/>
          <w:sz w:val="21"/>
          <w:szCs w:val="21"/>
          <w:highlight w:val="none"/>
          <w:lang w:eastAsia="zh-CN"/>
        </w:rPr>
        <w:t>本项目属于国有企业采购项目</w:t>
      </w:r>
      <w:r>
        <w:rPr>
          <w:rFonts w:hint="eastAsia" w:ascii="宋体" w:hAnsi="宋体" w:eastAsia="宋体" w:cs="宋体"/>
          <w:color w:val="auto"/>
          <w:sz w:val="21"/>
          <w:szCs w:val="21"/>
          <w:highlight w:val="none"/>
        </w:rPr>
        <w:t>，如重新采购后，在投标截止时间止及评审期间，出现有效供应商不足三家的情形，采购人可根据实际情况决定本项目继续按原有采购方式继续进行采购活动或转变采购方式或流标。</w:t>
      </w:r>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投标文件的澄清</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23.1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在评标期间，评标委员会可以书面方式要求投标供应商对投标文件中含义不明确、对同类问题表述不一致或者有明显文字和计算错误的内容作必要的澄清、说明或补正。澄清、说明或补正应以书面形式并由</w:t>
      </w:r>
      <w:r>
        <w:rPr>
          <w:rFonts w:hint="eastAsia" w:ascii="宋体" w:hAnsi="宋体" w:eastAsia="宋体" w:cs="宋体"/>
          <w:bCs/>
          <w:color w:val="auto"/>
          <w:kern w:val="1"/>
          <w:sz w:val="21"/>
          <w:szCs w:val="21"/>
          <w:highlight w:val="none"/>
          <w:u w:val="single"/>
          <w:lang w:val="en-US" w:eastAsia="zh-CN"/>
        </w:rPr>
        <w:t>法定代表人或</w:t>
      </w:r>
      <w:r>
        <w:rPr>
          <w:rFonts w:hint="eastAsia" w:ascii="宋体" w:hAnsi="宋体" w:eastAsia="宋体" w:cs="宋体"/>
          <w:bCs/>
          <w:color w:val="auto"/>
          <w:kern w:val="1"/>
          <w:sz w:val="21"/>
          <w:szCs w:val="21"/>
          <w:highlight w:val="none"/>
          <w:u w:val="single"/>
        </w:rPr>
        <w:t>授权代表签署</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lang w:val="en-US" w:eastAsia="zh-CN"/>
        </w:rPr>
        <w:t>或盖章</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，但澄清内容不得超出投标文件的范围或者改变投标文件的实质性内容。拒不按要求对其投标文件进行澄清，说明或补正的投标供应商，评标委员会可以否决其投标。</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23.2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经澄清后，若偏差仍存在，且不可接受，投标供应商则被认为是“没有实质性响应</w:t>
      </w:r>
      <w:r>
        <w:rPr>
          <w:rFonts w:hint="eastAsia" w:ascii="宋体" w:hAnsi="宋体" w:eastAsia="宋体" w:cs="宋体"/>
          <w:b/>
          <w:color w:val="auto"/>
          <w:kern w:val="1"/>
          <w:sz w:val="21"/>
          <w:szCs w:val="21"/>
          <w:highlight w:val="none"/>
          <w:u w:val="single"/>
          <w:lang w:eastAsia="zh-CN"/>
        </w:rPr>
        <w:t>采购文件</w:t>
      </w:r>
      <w:r>
        <w:rPr>
          <w:rFonts w:hint="eastAsia" w:ascii="宋体" w:hAnsi="宋体" w:eastAsia="宋体" w:cs="宋体"/>
          <w:b/>
          <w:color w:val="auto"/>
          <w:kern w:val="1"/>
          <w:sz w:val="21"/>
          <w:szCs w:val="21"/>
          <w:highlight w:val="none"/>
          <w:u w:val="single"/>
        </w:rPr>
        <w:t>要求”，其投标不进入下一步评审。</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bookmarkStart w:id="107" w:name="_Toc221356953"/>
      <w:bookmarkEnd w:id="107"/>
      <w:bookmarkStart w:id="108" w:name="_Toc239145356"/>
      <w:bookmarkEnd w:id="108"/>
      <w:bookmarkStart w:id="109" w:name="_Toc222114881"/>
      <w:bookmarkEnd w:id="109"/>
      <w:bookmarkStart w:id="110" w:name="_Toc241404204"/>
      <w:bookmarkEnd w:id="110"/>
      <w:bookmarkStart w:id="111" w:name="_Toc223716000"/>
      <w:bookmarkEnd w:id="111"/>
      <w:bookmarkStart w:id="112" w:name="_Toc221423621"/>
      <w:bookmarkEnd w:id="112"/>
      <w:bookmarkStart w:id="113" w:name="_Toc265529385"/>
      <w:bookmarkEnd w:id="113"/>
      <w:bookmarkStart w:id="114" w:name="_Toc221356889"/>
      <w:bookmarkEnd w:id="114"/>
      <w:bookmarkStart w:id="115" w:name="_Toc221374628"/>
      <w:bookmarkEnd w:id="115"/>
      <w:r>
        <w:rPr>
          <w:rFonts w:hint="eastAsia" w:ascii="宋体" w:hAnsi="宋体" w:eastAsia="宋体" w:cs="宋体"/>
          <w:bCs/>
          <w:color w:val="auto"/>
          <w:kern w:val="1"/>
          <w:sz w:val="21"/>
          <w:szCs w:val="21"/>
          <w:highlight w:val="none"/>
        </w:rPr>
        <w:t>确定中标候选人</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24.1本次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由评标委员会推荐</w:t>
      </w:r>
      <w:r>
        <w:rPr>
          <w:rFonts w:hint="eastAsia" w:ascii="宋体" w:hAnsi="宋体" w:eastAsia="宋体" w:cs="宋体"/>
          <w:color w:val="auto"/>
          <w:kern w:val="1"/>
          <w:sz w:val="21"/>
          <w:szCs w:val="21"/>
          <w:highlight w:val="none"/>
          <w:lang w:val="en-US" w:eastAsia="zh-CN"/>
        </w:rPr>
        <w:t>一名</w:t>
      </w:r>
      <w:r>
        <w:rPr>
          <w:rFonts w:hint="eastAsia" w:ascii="宋体" w:hAnsi="宋体" w:eastAsia="宋体" w:cs="宋体"/>
          <w:color w:val="auto"/>
          <w:kern w:val="1"/>
          <w:sz w:val="21"/>
          <w:szCs w:val="21"/>
          <w:highlight w:val="none"/>
        </w:rPr>
        <w:t>中标候选人，</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根据评标委员会的推荐结果进行最终确认。</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24.2评标委员会依据法律、法规及</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有关规定在有效标中按投标供应商的最终得分（即技术</w:t>
      </w:r>
      <w:r>
        <w:rPr>
          <w:rFonts w:hint="eastAsia" w:ascii="宋体" w:hAnsi="宋体" w:eastAsia="宋体" w:cs="宋体"/>
          <w:color w:val="auto"/>
          <w:kern w:val="1"/>
          <w:sz w:val="21"/>
          <w:szCs w:val="21"/>
          <w:highlight w:val="none"/>
          <w:lang w:val="en-US" w:eastAsia="zh-CN"/>
        </w:rPr>
        <w:t>资信</w:t>
      </w:r>
      <w:r>
        <w:rPr>
          <w:rFonts w:hint="eastAsia" w:ascii="宋体" w:hAnsi="宋体" w:eastAsia="宋体" w:cs="宋体"/>
          <w:color w:val="auto"/>
          <w:kern w:val="1"/>
          <w:sz w:val="21"/>
          <w:szCs w:val="21"/>
          <w:highlight w:val="none"/>
        </w:rPr>
        <w:t>分与商务分之和）高低进行排序，得分</w:t>
      </w:r>
      <w:r>
        <w:rPr>
          <w:rFonts w:hint="eastAsia" w:ascii="宋体" w:hAnsi="宋体" w:eastAsia="宋体" w:cs="宋体"/>
          <w:color w:val="auto"/>
          <w:kern w:val="1"/>
          <w:sz w:val="21"/>
          <w:szCs w:val="21"/>
          <w:highlight w:val="none"/>
          <w:lang w:val="en-US" w:eastAsia="zh-CN"/>
        </w:rPr>
        <w:t>第一</w:t>
      </w:r>
      <w:r>
        <w:rPr>
          <w:rFonts w:hint="eastAsia" w:ascii="宋体" w:hAnsi="宋体" w:eastAsia="宋体" w:cs="宋体"/>
          <w:color w:val="auto"/>
          <w:kern w:val="1"/>
          <w:sz w:val="21"/>
          <w:szCs w:val="21"/>
          <w:highlight w:val="none"/>
        </w:rPr>
        <w:t>名的投标供应商推荐为中标候选人（</w:t>
      </w:r>
      <w:r>
        <w:rPr>
          <w:rFonts w:hint="eastAsia" w:ascii="宋体" w:hAnsi="宋体" w:eastAsia="宋体" w:cs="宋体"/>
          <w:color w:val="auto"/>
          <w:sz w:val="21"/>
          <w:szCs w:val="21"/>
          <w:highlight w:val="none"/>
          <w:lang w:bidi="he-IL"/>
        </w:rPr>
        <w:t>综合得分相同的，</w:t>
      </w:r>
      <w:r>
        <w:rPr>
          <w:rFonts w:hint="eastAsia" w:ascii="宋体" w:hAnsi="宋体" w:eastAsia="宋体" w:cs="宋体"/>
          <w:color w:val="auto"/>
          <w:sz w:val="21"/>
          <w:szCs w:val="21"/>
          <w:highlight w:val="none"/>
          <w:lang w:eastAsia="zh-CN" w:bidi="he-IL"/>
        </w:rPr>
        <w:t>则由评标委员会以少数服从多数的原则投票选择其中一名为名次优先者</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24.3排名第一的中标候选人放弃中标；因不可抗力提出不能履行合同；或者</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规定应当提交履约保证金而在规定的期限内未能提交的；或未能在规定时间内与采购单位签订合同的；或者经质疑，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审查后，确因排名第一的候选人在本次采购活动中存在违法违规行为或其他原因使质疑成立的，本次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失败，重新</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24.4</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对决标结果不做任何解释，也不保证最低价中标。</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评标细则详见“评标原则及方法”。</w:t>
      </w:r>
    </w:p>
    <w:p>
      <w:pPr>
        <w:spacing w:before="100" w:beforeAutospacing="1" w:after="100" w:afterAutospacing="1" w:line="440" w:lineRule="exact"/>
        <w:ind w:left="-6"/>
        <w:jc w:val="center"/>
        <w:outlineLvl w:val="9"/>
        <w:rPr>
          <w:rFonts w:hint="eastAsia" w:ascii="宋体" w:hAnsi="宋体" w:eastAsia="宋体" w:cs="宋体"/>
          <w:b/>
          <w:color w:val="auto"/>
          <w:kern w:val="1"/>
          <w:sz w:val="21"/>
          <w:szCs w:val="21"/>
          <w:highlight w:val="none"/>
        </w:rPr>
      </w:pPr>
      <w:bookmarkStart w:id="116" w:name="_Toc458603466"/>
      <w:bookmarkEnd w:id="116"/>
      <w:bookmarkStart w:id="117" w:name="_Toc16279"/>
      <w:bookmarkStart w:id="118" w:name="_Toc10395"/>
      <w:bookmarkStart w:id="119" w:name="_Toc19318"/>
      <w:r>
        <w:rPr>
          <w:rFonts w:hint="eastAsia" w:ascii="宋体" w:hAnsi="宋体" w:eastAsia="宋体" w:cs="宋体"/>
          <w:b/>
          <w:color w:val="auto"/>
          <w:kern w:val="1"/>
          <w:sz w:val="21"/>
          <w:szCs w:val="21"/>
          <w:highlight w:val="none"/>
        </w:rPr>
        <w:t>六、 授予合同</w:t>
      </w:r>
      <w:bookmarkEnd w:id="117"/>
      <w:bookmarkEnd w:id="118"/>
      <w:bookmarkEnd w:id="119"/>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评标委员会推荐的中标候选人经</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确认后发布项目采购公告的网站上公示，各投标供应商</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对评标结果如有异议，可在规定时间内以书面形式向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进行署名投诉或提出质疑，但需对投诉或质疑内容的真实性承担法律责任。公示期结束后，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将根据评标委员会提交的书面评标报告和评审结果最后确定中标供应商。</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中标通知书</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27.1中标供应商确定后，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 xml:space="preserve">将向中标供应商发出中标通知书。 </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27.2中标通知书是合同的一个组成部分,对</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和中标供应商均具有同等法律效力。</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28.1中标供应商应按中标通知书规定的时间、地点签订合同。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pacing w:val="5"/>
          <w:kern w:val="1"/>
          <w:sz w:val="21"/>
          <w:szCs w:val="21"/>
          <w:highlight w:val="none"/>
        </w:rPr>
        <w:t>28.2在签订合同前，</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有权在中标总价不变的前提下要求中标供应商对商务报价中的不平衡报价和缺漏项进行调整，如果中标供应商无合理理由拒绝调整，其中标资格将被取消，保证金将被不予退还，且将导致其它进一步的赔偿和处罚。中标供应商因不可抗力或自身原因不能履行采购合同的，</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可以与排位在中标供应商之后的第一位的中标候选人签订合同。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28.3</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、中标供应商的投标文件、投标修改文件、评标过程中有关澄清文件及经投标供应商和评标委员会双方签字的询标纪要和中标通知书均作为合同附件。</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28.4拒签合同的违约责任</w:t>
      </w:r>
    </w:p>
    <w:p>
      <w:pPr>
        <w:spacing w:line="440" w:lineRule="exact"/>
        <w:ind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中标供应商接到中标通知书后，在规定时间内借故否认已经承诺的条件而拒签合同的，以违约处理，其投标保证金将被不予退还。</w:t>
      </w:r>
    </w:p>
    <w:p>
      <w:pPr>
        <w:tabs>
          <w:tab w:val="left" w:pos="540"/>
        </w:tabs>
        <w:spacing w:line="460" w:lineRule="exact"/>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28.5中标供应商应在合同签订后五个工作日内提交一份合同文本原件报</w:t>
      </w:r>
      <w:r>
        <w:rPr>
          <w:rFonts w:hint="eastAsia" w:ascii="宋体" w:hAnsi="宋体" w:eastAsia="宋体" w:cs="宋体"/>
          <w:b/>
          <w:color w:val="auto"/>
          <w:kern w:val="1"/>
          <w:sz w:val="21"/>
          <w:szCs w:val="21"/>
          <w:highlight w:val="none"/>
          <w:u w:val="single"/>
          <w:lang w:eastAsia="zh-CN"/>
        </w:rPr>
        <w:t>采购代理</w:t>
      </w:r>
      <w:r>
        <w:rPr>
          <w:rFonts w:hint="eastAsia" w:ascii="宋体" w:hAnsi="宋体" w:eastAsia="宋体" w:cs="宋体"/>
          <w:b/>
          <w:color w:val="auto"/>
          <w:kern w:val="1"/>
          <w:sz w:val="21"/>
          <w:szCs w:val="21"/>
          <w:highlight w:val="none"/>
          <w:u w:val="single"/>
        </w:rPr>
        <w:t>机构备案，以免耽误投标保证金的退付。</w:t>
      </w:r>
    </w:p>
    <w:p>
      <w:p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29.</w:t>
      </w:r>
      <w:r>
        <w:rPr>
          <w:rFonts w:hint="eastAsia" w:ascii="宋体" w:hAnsi="宋体" w:eastAsia="宋体" w:cs="宋体"/>
          <w:b/>
          <w:color w:val="auto"/>
          <w:kern w:val="1"/>
          <w:sz w:val="21"/>
          <w:szCs w:val="21"/>
          <w:highlight w:val="none"/>
          <w:lang w:eastAsia="zh-CN"/>
        </w:rPr>
        <w:t>采购代理</w:t>
      </w:r>
      <w:r>
        <w:rPr>
          <w:rFonts w:hint="eastAsia" w:ascii="宋体" w:hAnsi="宋体" w:eastAsia="宋体" w:cs="宋体"/>
          <w:b/>
          <w:color w:val="auto"/>
          <w:kern w:val="1"/>
          <w:sz w:val="21"/>
          <w:szCs w:val="21"/>
          <w:highlight w:val="none"/>
        </w:rPr>
        <w:t>服务费</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29.1本次</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服务费</w:t>
      </w:r>
      <w:r>
        <w:rPr>
          <w:rFonts w:hint="eastAsia" w:ascii="宋体" w:hAnsi="宋体" w:eastAsia="宋体" w:cs="宋体"/>
          <w:caps w:val="0"/>
          <w:smallCaps w:val="0"/>
          <w:color w:val="auto"/>
          <w:spacing w:val="0"/>
          <w:kern w:val="1"/>
          <w:sz w:val="21"/>
          <w:szCs w:val="21"/>
          <w:highlight w:val="none"/>
        </w:rPr>
        <w:t>按</w:t>
      </w:r>
      <w:r>
        <w:rPr>
          <w:rFonts w:hint="eastAsia" w:ascii="宋体" w:hAnsi="宋体" w:eastAsia="宋体" w:cs="宋体"/>
          <w:caps w:val="0"/>
          <w:smallCaps w:val="0"/>
          <w:color w:val="auto"/>
          <w:spacing w:val="0"/>
          <w:kern w:val="1"/>
          <w:sz w:val="21"/>
          <w:szCs w:val="21"/>
          <w:highlight w:val="none"/>
          <w:lang w:val="en-US" w:eastAsia="zh-CN"/>
        </w:rPr>
        <w:t>固定金额</w:t>
      </w:r>
      <w:r>
        <w:rPr>
          <w:rFonts w:hint="eastAsia" w:ascii="宋体" w:hAnsi="宋体" w:cs="宋体"/>
          <w:caps w:val="0"/>
          <w:smallCaps w:val="0"/>
          <w:color w:val="auto"/>
          <w:spacing w:val="0"/>
          <w:kern w:val="1"/>
          <w:sz w:val="21"/>
          <w:szCs w:val="21"/>
          <w:highlight w:val="none"/>
          <w:lang w:val="en-US" w:eastAsia="zh-CN"/>
        </w:rPr>
        <w:t>10000</w:t>
      </w:r>
      <w:r>
        <w:rPr>
          <w:rFonts w:hint="eastAsia" w:ascii="宋体" w:hAnsi="宋体" w:eastAsia="宋体" w:cs="宋体"/>
          <w:caps w:val="0"/>
          <w:smallCaps w:val="0"/>
          <w:color w:val="auto"/>
          <w:spacing w:val="0"/>
          <w:kern w:val="1"/>
          <w:sz w:val="21"/>
          <w:szCs w:val="21"/>
          <w:highlight w:val="none"/>
          <w:lang w:val="en-US" w:eastAsia="zh-CN"/>
        </w:rPr>
        <w:t>元计取，请投标供应商在投标报价中综合考虑，中标单位在领取中标通知书前向采购代理机构缴纳，由中标供应商在</w:t>
      </w:r>
      <w:r>
        <w:rPr>
          <w:rFonts w:hint="eastAsia" w:ascii="宋体" w:hAnsi="宋体" w:eastAsia="宋体" w:cs="宋体"/>
          <w:color w:val="auto"/>
          <w:kern w:val="1"/>
          <w:sz w:val="21"/>
          <w:szCs w:val="21"/>
          <w:highlight w:val="none"/>
        </w:rPr>
        <w:t>领取中标（成交）通知书之前支付给</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p>
    <w:p>
      <w:pPr>
        <w:numPr>
          <w:ilvl w:val="0"/>
          <w:numId w:val="0"/>
        </w:numPr>
        <w:tabs>
          <w:tab w:val="left" w:pos="540"/>
        </w:tabs>
        <w:spacing w:line="440" w:lineRule="exact"/>
        <w:ind w:left="0" w:firstLine="0"/>
        <w:outlineLvl w:val="9"/>
        <w:rPr>
          <w:rFonts w:hint="eastAsia" w:ascii="宋体" w:hAnsi="宋体" w:eastAsia="宋体" w:cs="宋体"/>
          <w:color w:val="auto"/>
          <w:spacing w:val="0"/>
          <w:kern w:val="1"/>
          <w:sz w:val="21"/>
          <w:szCs w:val="21"/>
          <w:highlight w:val="none"/>
        </w:rPr>
      </w:pPr>
      <w:r>
        <w:rPr>
          <w:rFonts w:hint="eastAsia" w:ascii="宋体" w:hAnsi="宋体" w:eastAsia="宋体" w:cs="宋体"/>
          <w:color w:val="auto"/>
          <w:spacing w:val="0"/>
          <w:kern w:val="1"/>
          <w:sz w:val="21"/>
          <w:szCs w:val="21"/>
          <w:highlight w:val="none"/>
          <w:lang w:val="en-US" w:eastAsia="zh-CN"/>
        </w:rPr>
        <w:t>29.2</w:t>
      </w:r>
      <w:r>
        <w:rPr>
          <w:rFonts w:hint="eastAsia" w:ascii="宋体" w:hAnsi="宋体" w:eastAsia="宋体" w:cs="宋体"/>
          <w:color w:val="auto"/>
          <w:spacing w:val="0"/>
          <w:kern w:val="1"/>
          <w:sz w:val="21"/>
          <w:szCs w:val="21"/>
          <w:highlight w:val="none"/>
          <w:lang w:eastAsia="zh-CN"/>
        </w:rPr>
        <w:t>采购代理</w:t>
      </w:r>
      <w:r>
        <w:rPr>
          <w:rFonts w:hint="eastAsia" w:ascii="宋体" w:hAnsi="宋体" w:eastAsia="宋体" w:cs="宋体"/>
          <w:color w:val="auto"/>
          <w:spacing w:val="0"/>
          <w:kern w:val="1"/>
          <w:sz w:val="21"/>
          <w:szCs w:val="21"/>
          <w:highlight w:val="none"/>
        </w:rPr>
        <w:t>服务费可以是现金</w:t>
      </w:r>
      <w:r>
        <w:rPr>
          <w:rFonts w:hint="eastAsia" w:ascii="宋体" w:hAnsi="宋体" w:eastAsia="宋体" w:cs="宋体"/>
          <w:color w:val="auto"/>
          <w:spacing w:val="0"/>
          <w:kern w:val="1"/>
          <w:sz w:val="21"/>
          <w:szCs w:val="21"/>
          <w:highlight w:val="none"/>
          <w:lang w:val="en-US" w:eastAsia="zh-CN"/>
        </w:rPr>
        <w:t>或转账</w:t>
      </w:r>
      <w:r>
        <w:rPr>
          <w:rFonts w:hint="eastAsia" w:ascii="宋体" w:hAnsi="宋体" w:eastAsia="宋体" w:cs="宋体"/>
          <w:color w:val="auto"/>
          <w:spacing w:val="0"/>
          <w:kern w:val="1"/>
          <w:sz w:val="21"/>
          <w:szCs w:val="21"/>
          <w:highlight w:val="none"/>
        </w:rPr>
        <w:t>。</w:t>
      </w:r>
    </w:p>
    <w:p>
      <w:pPr>
        <w:numPr>
          <w:ilvl w:val="0"/>
          <w:numId w:val="0"/>
        </w:numPr>
        <w:tabs>
          <w:tab w:val="left" w:pos="540"/>
        </w:tabs>
        <w:spacing w:line="440" w:lineRule="exact"/>
        <w:outlineLvl w:val="9"/>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29.3  政采云技术服务费</w:t>
      </w:r>
    </w:p>
    <w:p>
      <w:pPr>
        <w:numPr>
          <w:ilvl w:val="0"/>
          <w:numId w:val="0"/>
        </w:numPr>
        <w:tabs>
          <w:tab w:val="left" w:pos="540"/>
        </w:tabs>
        <w:spacing w:line="440" w:lineRule="exact"/>
        <w:outlineLvl w:val="9"/>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1）不涉及具体金额的采购项目，技术服务费800元/件；</w:t>
      </w:r>
    </w:p>
    <w:p>
      <w:pPr>
        <w:numPr>
          <w:ilvl w:val="0"/>
          <w:numId w:val="0"/>
        </w:numPr>
        <w:tabs>
          <w:tab w:val="left" w:pos="540"/>
        </w:tabs>
        <w:spacing w:line="440" w:lineRule="exact"/>
        <w:outlineLvl w:val="9"/>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2）涉及具体金额的采购项目，根据标的额，按照以下比例收取技术服务费；</w:t>
      </w:r>
    </w:p>
    <w:p>
      <w:pPr>
        <w:numPr>
          <w:ilvl w:val="0"/>
          <w:numId w:val="0"/>
        </w:numPr>
        <w:tabs>
          <w:tab w:val="left" w:pos="540"/>
        </w:tabs>
        <w:spacing w:line="440" w:lineRule="exact"/>
        <w:outlineLvl w:val="9"/>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fldChar w:fldCharType="begin"/>
      </w:r>
      <w:r>
        <w:rPr>
          <w:rFonts w:hint="eastAsia" w:ascii="宋体" w:hAnsi="宋体" w:eastAsia="宋体" w:cs="宋体"/>
          <w:color w:val="auto"/>
          <w:kern w:val="1"/>
          <w:szCs w:val="21"/>
          <w:highlight w:val="none"/>
          <w:lang w:val="en-US" w:eastAsia="zh-CN"/>
        </w:rPr>
        <w:instrText xml:space="preserve"> = 1 \* GB3 \* MERGEFORMAT </w:instrText>
      </w:r>
      <w:r>
        <w:rPr>
          <w:rFonts w:hint="eastAsia" w:ascii="宋体" w:hAnsi="宋体" w:eastAsia="宋体" w:cs="宋体"/>
          <w:color w:val="auto"/>
          <w:kern w:val="1"/>
          <w:szCs w:val="21"/>
          <w:highlight w:val="none"/>
          <w:lang w:val="en-US" w:eastAsia="zh-CN"/>
        </w:rPr>
        <w:fldChar w:fldCharType="separate"/>
      </w:r>
      <w:r>
        <w:rPr>
          <w:rFonts w:hint="eastAsia" w:ascii="宋体" w:hAnsi="宋体" w:eastAsia="宋体" w:cs="宋体"/>
          <w:color w:val="auto"/>
          <w:kern w:val="1"/>
          <w:szCs w:val="21"/>
          <w:highlight w:val="none"/>
          <w:lang w:val="en-US" w:eastAsia="zh-CN"/>
        </w:rPr>
        <w:t>①</w:t>
      </w:r>
      <w:r>
        <w:rPr>
          <w:rFonts w:hint="eastAsia" w:ascii="宋体" w:hAnsi="宋体" w:eastAsia="宋体" w:cs="宋体"/>
          <w:color w:val="auto"/>
          <w:kern w:val="1"/>
          <w:szCs w:val="21"/>
          <w:highlight w:val="none"/>
          <w:lang w:val="en-US" w:eastAsia="zh-CN"/>
        </w:rPr>
        <w:fldChar w:fldCharType="end"/>
      </w:r>
      <w:r>
        <w:rPr>
          <w:rFonts w:hint="eastAsia" w:ascii="宋体" w:hAnsi="宋体" w:eastAsia="宋体" w:cs="宋体"/>
          <w:color w:val="auto"/>
          <w:kern w:val="1"/>
          <w:szCs w:val="21"/>
          <w:highlight w:val="none"/>
          <w:lang w:val="en-US" w:eastAsia="zh-CN"/>
        </w:rPr>
        <w:t>中标价80万元以下(含80万元的)：按800元收取；</w:t>
      </w:r>
    </w:p>
    <w:p>
      <w:pPr>
        <w:numPr>
          <w:ilvl w:val="0"/>
          <w:numId w:val="0"/>
        </w:numPr>
        <w:tabs>
          <w:tab w:val="left" w:pos="540"/>
        </w:tabs>
        <w:spacing w:line="440" w:lineRule="exact"/>
        <w:outlineLvl w:val="9"/>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fldChar w:fldCharType="begin"/>
      </w:r>
      <w:r>
        <w:rPr>
          <w:rFonts w:hint="eastAsia" w:ascii="宋体" w:hAnsi="宋体" w:eastAsia="宋体" w:cs="宋体"/>
          <w:color w:val="auto"/>
          <w:kern w:val="1"/>
          <w:szCs w:val="21"/>
          <w:highlight w:val="none"/>
          <w:lang w:val="en-US" w:eastAsia="zh-CN"/>
        </w:rPr>
        <w:instrText xml:space="preserve"> = 2 \* GB3 \* MERGEFORMAT </w:instrText>
      </w:r>
      <w:r>
        <w:rPr>
          <w:rFonts w:hint="eastAsia" w:ascii="宋体" w:hAnsi="宋体" w:eastAsia="宋体" w:cs="宋体"/>
          <w:color w:val="auto"/>
          <w:kern w:val="1"/>
          <w:szCs w:val="21"/>
          <w:highlight w:val="none"/>
          <w:lang w:val="en-US" w:eastAsia="zh-CN"/>
        </w:rPr>
        <w:fldChar w:fldCharType="separate"/>
      </w:r>
      <w:r>
        <w:rPr>
          <w:rFonts w:hint="eastAsia" w:ascii="宋体" w:hAnsi="宋体" w:eastAsia="宋体" w:cs="宋体"/>
          <w:color w:val="auto"/>
          <w:kern w:val="1"/>
          <w:szCs w:val="21"/>
          <w:highlight w:val="none"/>
          <w:lang w:val="en-US" w:eastAsia="zh-CN"/>
        </w:rPr>
        <w:t>②</w:t>
      </w:r>
      <w:r>
        <w:rPr>
          <w:rFonts w:hint="eastAsia" w:ascii="宋体" w:hAnsi="宋体" w:eastAsia="宋体" w:cs="宋体"/>
          <w:color w:val="auto"/>
          <w:kern w:val="1"/>
          <w:szCs w:val="21"/>
          <w:highlight w:val="none"/>
          <w:lang w:val="en-US" w:eastAsia="zh-CN"/>
        </w:rPr>
        <w:fldChar w:fldCharType="end"/>
      </w:r>
      <w:r>
        <w:rPr>
          <w:rFonts w:hint="eastAsia" w:ascii="宋体" w:hAnsi="宋体" w:eastAsia="宋体" w:cs="宋体"/>
          <w:color w:val="auto"/>
          <w:kern w:val="1"/>
          <w:szCs w:val="21"/>
          <w:highlight w:val="none"/>
          <w:lang w:val="en-US" w:eastAsia="zh-CN"/>
        </w:rPr>
        <w:t>中标价超过80万元的：中标价的千分之一 (0.1%)，以30000元封顶。</w:t>
      </w:r>
    </w:p>
    <w:p>
      <w:pPr>
        <w:numPr>
          <w:ilvl w:val="0"/>
          <w:numId w:val="0"/>
        </w:numPr>
        <w:tabs>
          <w:tab w:val="left" w:pos="540"/>
        </w:tabs>
        <w:spacing w:line="440" w:lineRule="exact"/>
        <w:outlineLvl w:val="9"/>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政采云技术服务费由中标人在中标后支付给政采云公司。</w:t>
      </w:r>
    </w:p>
    <w:p>
      <w:pPr>
        <w:pStyle w:val="30"/>
        <w:jc w:val="both"/>
        <w:rPr>
          <w:rFonts w:hint="eastAsia"/>
        </w:rPr>
      </w:pPr>
    </w:p>
    <w:p>
      <w:pPr>
        <w:spacing w:line="440" w:lineRule="exact"/>
        <w:ind w:left="552" w:hanging="552" w:hangingChars="250"/>
        <w:jc w:val="center"/>
        <w:outlineLvl w:val="0"/>
        <w:rPr>
          <w:rFonts w:hint="eastAsia" w:ascii="Arial" w:hAnsi="Arial" w:eastAsia="宋体" w:cs="Arial"/>
          <w:color w:val="auto"/>
          <w:sz w:val="32"/>
          <w:szCs w:val="32"/>
          <w:highlight w:val="none"/>
          <w:lang w:eastAsia="zh-CN"/>
        </w:rPr>
      </w:pPr>
      <w:r>
        <w:rPr>
          <w:rFonts w:hint="default" w:ascii="Arial" w:hAnsi="Arial" w:eastAsia="宋体" w:cs="Arial"/>
          <w:b/>
          <w:color w:val="auto"/>
          <w:kern w:val="1"/>
          <w:sz w:val="22"/>
          <w:szCs w:val="22"/>
          <w:highlight w:val="none"/>
        </w:rPr>
        <w:br w:type="page"/>
      </w:r>
      <w:bookmarkStart w:id="120" w:name="_Toc661"/>
      <w:r>
        <w:rPr>
          <w:rFonts w:hint="default" w:ascii="Arial" w:hAnsi="Arial" w:eastAsia="宋体" w:cs="Arial"/>
          <w:b/>
          <w:bCs/>
          <w:color w:val="auto"/>
          <w:kern w:val="2"/>
          <w:sz w:val="28"/>
          <w:szCs w:val="28"/>
          <w:highlight w:val="none"/>
          <w:lang w:val="en-US" w:eastAsia="zh-CN" w:bidi="ar-SA"/>
        </w:rPr>
        <w:t>第二部分</w:t>
      </w:r>
      <w:bookmarkStart w:id="121" w:name="_Toc346043709"/>
      <w:r>
        <w:rPr>
          <w:rFonts w:hint="default" w:ascii="Arial" w:hAnsi="Arial" w:eastAsia="宋体" w:cs="Arial"/>
          <w:b/>
          <w:bCs/>
          <w:color w:val="auto"/>
          <w:kern w:val="2"/>
          <w:sz w:val="28"/>
          <w:szCs w:val="28"/>
          <w:highlight w:val="none"/>
          <w:lang w:val="en-US" w:eastAsia="zh-CN" w:bidi="ar-SA"/>
        </w:rPr>
        <w:t xml:space="preserve"> </w:t>
      </w:r>
      <w:r>
        <w:rPr>
          <w:rFonts w:hint="eastAsia" w:ascii="Arial" w:hAnsi="Arial" w:eastAsia="宋体" w:cs="Arial"/>
          <w:b/>
          <w:bCs/>
          <w:color w:val="auto"/>
          <w:kern w:val="2"/>
          <w:sz w:val="28"/>
          <w:szCs w:val="28"/>
          <w:highlight w:val="none"/>
          <w:lang w:val="en-US" w:eastAsia="zh-CN" w:bidi="ar-SA"/>
        </w:rPr>
        <w:t>合同条款</w:t>
      </w:r>
      <w:bookmarkEnd w:id="120"/>
    </w:p>
    <w:bookmarkEnd w:id="121"/>
    <w:p>
      <w:pPr>
        <w:spacing w:line="360" w:lineRule="auto"/>
        <w:ind w:firstLine="440" w:firstLineChars="200"/>
        <w:outlineLvl w:val="9"/>
        <w:rPr>
          <w:rFonts w:hint="eastAsia" w:ascii="宋体" w:hAnsi="宋体" w:cs="宋体"/>
          <w:color w:val="auto"/>
          <w:kern w:val="0"/>
          <w:sz w:val="22"/>
          <w:szCs w:val="22"/>
          <w:highlight w:val="none"/>
        </w:rPr>
      </w:pPr>
      <w:bookmarkStart w:id="122" w:name="_Toc262049424"/>
      <w:bookmarkStart w:id="123" w:name="_Toc221423624"/>
      <w:bookmarkStart w:id="124" w:name="_Toc221374631"/>
      <w:bookmarkStart w:id="125" w:name="_Toc249758870"/>
      <w:bookmarkStart w:id="126" w:name="_Toc389760268"/>
      <w:bookmarkStart w:id="127" w:name="_Toc245191319"/>
      <w:bookmarkStart w:id="128" w:name="_Toc221356956"/>
      <w:bookmarkStart w:id="129" w:name="_Toc262105509"/>
      <w:bookmarkStart w:id="130" w:name="_Toc246261270"/>
      <w:bookmarkStart w:id="131" w:name="_Toc249758718"/>
      <w:bookmarkStart w:id="132" w:name="_Toc241404207"/>
      <w:bookmarkStart w:id="133" w:name="_Toc245722286"/>
      <w:bookmarkStart w:id="134" w:name="_Toc223716003"/>
      <w:bookmarkStart w:id="135" w:name="_Toc222114884"/>
      <w:bookmarkStart w:id="136" w:name="_Toc239145359"/>
      <w:bookmarkStart w:id="137" w:name="_Toc249758719"/>
      <w:bookmarkStart w:id="138" w:name="_Toc221356892"/>
    </w:p>
    <w:p>
      <w:pPr>
        <w:spacing w:line="360" w:lineRule="auto"/>
        <w:ind w:firstLine="440" w:firstLineChars="200"/>
        <w:outlineLvl w:val="9"/>
        <w:rPr>
          <w:rFonts w:ascii="宋体" w:hAnsi="宋体" w:cs="宋体"/>
          <w:color w:val="auto"/>
          <w:kern w:val="1"/>
          <w:sz w:val="22"/>
          <w:szCs w:val="22"/>
          <w:highlight w:val="none"/>
        </w:rPr>
      </w:pPr>
      <w:r>
        <w:rPr>
          <w:rFonts w:hint="eastAsia" w:ascii="宋体" w:hAnsi="宋体" w:cs="宋体"/>
          <w:color w:val="auto"/>
          <w:kern w:val="0"/>
          <w:sz w:val="22"/>
          <w:szCs w:val="22"/>
          <w:highlight w:val="none"/>
        </w:rPr>
        <w:t>说明：本合同签订依据：《中华人民共和国民法典》，以下部分条款不一定和最终合同条款内容完全一致，采购人有权进行适当调整，但此调整不能与本合同内容相悖。</w:t>
      </w:r>
    </w:p>
    <w:p>
      <w:pPr>
        <w:spacing w:line="360" w:lineRule="auto"/>
        <w:outlineLvl w:val="9"/>
        <w:rPr>
          <w:rFonts w:ascii="宋体" w:hAnsi="宋体" w:cs="宋体"/>
          <w:color w:val="auto"/>
          <w:sz w:val="22"/>
          <w:szCs w:val="22"/>
          <w:highlight w:val="none"/>
        </w:rPr>
      </w:pPr>
    </w:p>
    <w:p>
      <w:pPr>
        <w:spacing w:line="440" w:lineRule="exact"/>
        <w:ind w:firstLine="2380" w:firstLineChars="850"/>
        <w:outlineLvl w:val="9"/>
        <w:rPr>
          <w:rFonts w:ascii="新宋体" w:hAnsi="新宋体" w:eastAsia="新宋体"/>
          <w:color w:val="auto"/>
          <w:sz w:val="28"/>
          <w:highlight w:val="none"/>
        </w:rPr>
      </w:pPr>
    </w:p>
    <w:p>
      <w:pPr>
        <w:spacing w:line="440" w:lineRule="exact"/>
        <w:ind w:firstLine="2380" w:firstLineChars="850"/>
        <w:outlineLvl w:val="9"/>
        <w:rPr>
          <w:rFonts w:hint="eastAsia" w:ascii="新宋体" w:hAnsi="新宋体" w:eastAsia="新宋体"/>
          <w:color w:val="auto"/>
          <w:sz w:val="28"/>
          <w:highlight w:val="none"/>
        </w:rPr>
      </w:pPr>
    </w:p>
    <w:tbl>
      <w:tblPr>
        <w:tblStyle w:val="33"/>
        <w:tblW w:w="0" w:type="auto"/>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976"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eastAsia" w:ascii="Arial" w:hAnsi="Arial" w:eastAsia="宋体" w:cs="Arial"/>
                <w:b/>
                <w:color w:val="auto"/>
                <w:sz w:val="30"/>
                <w:szCs w:val="30"/>
                <w:highlight w:val="none"/>
                <w:lang w:eastAsia="zh-CN"/>
              </w:rPr>
            </w:pPr>
            <w:r>
              <w:rPr>
                <w:rFonts w:hint="eastAsia" w:ascii="Arial" w:hAnsi="Arial" w:cs="Arial"/>
                <w:b/>
                <w:color w:val="auto"/>
                <w:spacing w:val="12"/>
                <w:sz w:val="30"/>
                <w:szCs w:val="30"/>
                <w:highlight w:val="none"/>
                <w:lang w:eastAsia="zh-CN"/>
              </w:rPr>
              <w:t>WGSS-JFJT-X-2023009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976"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eastAsia" w:ascii="Arial" w:hAnsi="Arial" w:cs="Arial"/>
                <w:b/>
                <w:color w:val="auto"/>
                <w:spacing w:val="40"/>
                <w:sz w:val="30"/>
                <w:szCs w:val="30"/>
                <w:highlight w:val="none"/>
                <w:lang w:val="en-US" w:eastAsia="zh-CN"/>
              </w:rPr>
              <w:t>合同</w:t>
            </w:r>
            <w:r>
              <w:rPr>
                <w:rFonts w:hint="default" w:ascii="Arial" w:hAnsi="Arial" w:eastAsia="宋体" w:cs="Arial"/>
                <w:b/>
                <w:color w:val="auto"/>
                <w:spacing w:val="40"/>
                <w:sz w:val="30"/>
                <w:szCs w:val="30"/>
                <w:highlight w:val="none"/>
              </w:rPr>
              <w:t>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30"/>
                <w:szCs w:val="30"/>
                <w:highlight w:val="none"/>
                <w:lang w:eastAsia="zh-CN"/>
              </w:rPr>
            </w:pPr>
            <w:r>
              <w:rPr>
                <w:rFonts w:hint="eastAsia" w:ascii="Arial" w:hAnsi="Arial" w:cs="Arial"/>
                <w:b/>
                <w:color w:val="auto"/>
                <w:spacing w:val="12"/>
                <w:sz w:val="30"/>
                <w:szCs w:val="30"/>
                <w:highlight w:val="none"/>
                <w:lang w:eastAsia="zh-CN"/>
              </w:rPr>
              <w:t>IPO券商中介服务</w:t>
            </w:r>
          </w:p>
        </w:tc>
      </w:tr>
    </w:tbl>
    <w:p>
      <w:pPr>
        <w:spacing w:line="440" w:lineRule="exact"/>
        <w:ind w:firstLine="2413" w:firstLineChars="862"/>
        <w:outlineLvl w:val="9"/>
        <w:rPr>
          <w:rFonts w:ascii="新宋体" w:hAnsi="新宋体" w:eastAsia="新宋体"/>
          <w:color w:val="auto"/>
          <w:sz w:val="28"/>
          <w:highlight w:val="none"/>
        </w:rPr>
      </w:pPr>
    </w:p>
    <w:p>
      <w:pPr>
        <w:spacing w:line="440" w:lineRule="exact"/>
        <w:ind w:firstLine="2413" w:firstLineChars="862"/>
        <w:outlineLvl w:val="9"/>
        <w:rPr>
          <w:rFonts w:ascii="新宋体" w:hAnsi="新宋体" w:eastAsia="新宋体"/>
          <w:color w:val="auto"/>
          <w:sz w:val="28"/>
          <w:highlight w:val="none"/>
        </w:rPr>
      </w:pPr>
    </w:p>
    <w:p>
      <w:pPr>
        <w:spacing w:line="440" w:lineRule="exact"/>
        <w:ind w:firstLine="2413" w:firstLineChars="862"/>
        <w:outlineLvl w:val="9"/>
        <w:rPr>
          <w:rFonts w:ascii="新宋体" w:hAnsi="新宋体" w:eastAsia="新宋体"/>
          <w:color w:val="auto"/>
          <w:sz w:val="28"/>
          <w:highlight w:val="none"/>
        </w:rPr>
      </w:pPr>
    </w:p>
    <w:p>
      <w:pPr>
        <w:outlineLvl w:val="9"/>
        <w:rPr>
          <w:rFonts w:ascii="新宋体" w:hAnsi="新宋体" w:eastAsia="新宋体"/>
          <w:color w:val="auto"/>
          <w:sz w:val="28"/>
          <w:highlight w:val="none"/>
        </w:rPr>
      </w:pPr>
    </w:p>
    <w:p>
      <w:pPr>
        <w:outlineLvl w:val="9"/>
        <w:rPr>
          <w:color w:val="auto"/>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r>
              <w:rPr>
                <w:rFonts w:hint="eastAsia" w:ascii="Arial" w:hAnsi="Arial" w:eastAsia="宋体" w:cs="Arial"/>
                <w:b/>
                <w:color w:val="auto"/>
                <w:sz w:val="28"/>
                <w:szCs w:val="28"/>
                <w:highlight w:val="none"/>
                <w:lang w:eastAsia="zh-CN"/>
              </w:rPr>
              <w:t>（</w:t>
            </w:r>
            <w:r>
              <w:rPr>
                <w:rFonts w:hint="eastAsia" w:ascii="Arial" w:hAnsi="Arial" w:eastAsia="宋体" w:cs="Arial"/>
                <w:b/>
                <w:color w:val="auto"/>
                <w:sz w:val="28"/>
                <w:szCs w:val="28"/>
                <w:highlight w:val="none"/>
                <w:lang w:val="en-US" w:eastAsia="zh-CN"/>
              </w:rPr>
              <w:t>甲方</w:t>
            </w:r>
            <w:r>
              <w:rPr>
                <w:rFonts w:hint="eastAsia" w:ascii="Arial" w:hAnsi="Arial" w:eastAsia="宋体" w:cs="Arial"/>
                <w:b/>
                <w:color w:val="auto"/>
                <w:sz w:val="28"/>
                <w:szCs w:val="28"/>
                <w:highlight w:val="none"/>
                <w:lang w:eastAsia="zh-CN"/>
              </w:rPr>
              <w:t>）</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28"/>
                <w:szCs w:val="28"/>
                <w:highlight w:val="none"/>
                <w:lang w:eastAsia="zh-CN"/>
              </w:rPr>
            </w:pPr>
            <w:r>
              <w:rPr>
                <w:rFonts w:hint="eastAsia" w:ascii="Arial" w:hAnsi="Arial" w:cs="Arial"/>
                <w:b/>
                <w:color w:val="auto"/>
                <w:spacing w:val="12"/>
                <w:sz w:val="28"/>
                <w:szCs w:val="28"/>
                <w:highlight w:val="none"/>
                <w:lang w:eastAsia="zh-CN"/>
              </w:rPr>
              <w:t>温州诚达交通发展股份有限公司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中标人（乙方）：</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jc w:val="both"/>
              <w:outlineLvl w:val="9"/>
              <w:rPr>
                <w:rFonts w:hint="eastAsia" w:ascii="Arial" w:hAnsi="Arial" w:eastAsia="宋体" w:cs="Arial"/>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055" w:type="dxa"/>
            <w:gridSpan w:val="2"/>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firstLine="1805" w:firstLineChars="500"/>
              <w:jc w:val="both"/>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pacing w:val="40"/>
                <w:sz w:val="28"/>
                <w:szCs w:val="28"/>
                <w:highlight w:val="none"/>
                <w:lang w:val="en-US" w:eastAsia="zh-CN"/>
              </w:rPr>
              <w:t>签订日期：</w:t>
            </w:r>
            <w:r>
              <w:rPr>
                <w:rFonts w:hint="eastAsia" w:ascii="Arial" w:hAnsi="Arial" w:eastAsia="宋体" w:cs="Arial"/>
                <w:b/>
                <w:color w:val="auto"/>
                <w:spacing w:val="40"/>
                <w:sz w:val="28"/>
                <w:szCs w:val="28"/>
                <w:highlight w:val="none"/>
                <w:u w:val="single"/>
                <w:lang w:val="en-US" w:eastAsia="zh-CN"/>
              </w:rPr>
              <w:t xml:space="preserve">          </w:t>
            </w:r>
          </w:p>
        </w:tc>
      </w:tr>
    </w:tbl>
    <w:p>
      <w:pPr>
        <w:spacing w:line="400" w:lineRule="exact"/>
        <w:outlineLvl w:val="9"/>
        <w:rPr>
          <w:rFonts w:ascii="新宋体" w:hAnsi="新宋体" w:eastAsia="新宋体"/>
          <w:b/>
          <w:bCs/>
          <w:color w:val="auto"/>
          <w:sz w:val="22"/>
          <w:szCs w:val="22"/>
          <w:highlight w:val="none"/>
        </w:rPr>
      </w:pPr>
    </w:p>
    <w:p>
      <w:pPr>
        <w:spacing w:line="400" w:lineRule="exact"/>
        <w:outlineLvl w:val="9"/>
        <w:rPr>
          <w:rFonts w:ascii="新宋体" w:hAnsi="新宋体" w:eastAsia="新宋体"/>
          <w:b/>
          <w:bCs/>
          <w:color w:val="auto"/>
          <w:sz w:val="22"/>
          <w:szCs w:val="22"/>
          <w:highlight w:val="none"/>
        </w:rPr>
      </w:pPr>
    </w:p>
    <w:p>
      <w:pPr>
        <w:spacing w:line="400" w:lineRule="exact"/>
        <w:outlineLvl w:val="9"/>
        <w:rPr>
          <w:rFonts w:ascii="新宋体" w:hAnsi="新宋体" w:eastAsia="新宋体"/>
          <w:b/>
          <w:bCs/>
          <w:color w:val="auto"/>
          <w:sz w:val="22"/>
          <w:szCs w:val="22"/>
          <w:highlight w:val="none"/>
        </w:rPr>
      </w:pPr>
    </w:p>
    <w:p>
      <w:pPr>
        <w:tabs>
          <w:tab w:val="left" w:pos="360"/>
        </w:tabs>
        <w:spacing w:line="460" w:lineRule="exact"/>
        <w:ind w:firstLine="550"/>
        <w:outlineLvl w:val="9"/>
        <w:rPr>
          <w:rFonts w:hint="eastAsia" w:ascii="宋体" w:hAnsi="宋体" w:eastAsia="宋体" w:cs="宋体"/>
          <w:color w:val="auto"/>
          <w:kern w:val="1"/>
          <w:sz w:val="21"/>
          <w:szCs w:val="21"/>
          <w:highlight w:val="none"/>
        </w:rPr>
      </w:pPr>
      <w:r>
        <w:rPr>
          <w:rFonts w:hint="eastAsia" w:ascii="宋体" w:hAnsi="宋体"/>
          <w:bCs/>
          <w:color w:val="auto"/>
          <w:sz w:val="22"/>
          <w:szCs w:val="22"/>
          <w:highlight w:val="none"/>
        </w:rPr>
        <w:br w:type="page"/>
      </w:r>
      <w:r>
        <w:rPr>
          <w:rFonts w:hint="eastAsia" w:ascii="宋体" w:hAnsi="宋体" w:eastAsia="宋体" w:cs="宋体"/>
          <w:color w:val="auto"/>
          <w:kern w:val="1"/>
          <w:sz w:val="21"/>
          <w:szCs w:val="21"/>
          <w:highlight w:val="none"/>
        </w:rPr>
        <w:t>甲方：</w:t>
      </w:r>
      <w:r>
        <w:rPr>
          <w:rFonts w:hint="eastAsia" w:ascii="宋体" w:hAnsi="宋体" w:cs="宋体"/>
          <w:color w:val="auto"/>
          <w:kern w:val="1"/>
          <w:sz w:val="21"/>
          <w:szCs w:val="21"/>
          <w:highlight w:val="none"/>
          <w:u w:val="single"/>
          <w:lang w:eastAsia="zh-CN"/>
        </w:rPr>
        <w:t>温州诚达交通发展股份有限公司</w:t>
      </w:r>
      <w:r>
        <w:rPr>
          <w:rFonts w:hint="eastAsia" w:ascii="宋体" w:hAnsi="宋体" w:eastAsia="宋体" w:cs="宋体"/>
          <w:color w:val="auto"/>
          <w:kern w:val="1"/>
          <w:sz w:val="21"/>
          <w:szCs w:val="21"/>
          <w:highlight w:val="none"/>
        </w:rPr>
        <w:t xml:space="preserve"> （采购人）</w:t>
      </w:r>
    </w:p>
    <w:p>
      <w:pPr>
        <w:tabs>
          <w:tab w:val="left" w:pos="360"/>
        </w:tabs>
        <w:spacing w:line="460" w:lineRule="exact"/>
        <w:ind w:firstLine="55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乙方：</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（中标人）</w:t>
      </w:r>
    </w:p>
    <w:p>
      <w:pPr>
        <w:tabs>
          <w:tab w:val="left" w:pos="360"/>
        </w:tabs>
        <w:spacing w:line="460" w:lineRule="exact"/>
        <w:ind w:firstLine="55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鉴于甲方于</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年</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月</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日接受乙方对</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的投标，双方根据《中华人民共和国民法典》和本项目的采购文件、投标文件及其投标中的承诺，经双方友好协商，同意签订本合同，共同遵守：</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一、合同文件 </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1、合同条款。</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2、中标通知书。</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3、更正补充文件。</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5、中标供应商投标文件。</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6、其他。</w:t>
      </w:r>
    </w:p>
    <w:p>
      <w:pPr>
        <w:pStyle w:val="20"/>
        <w:snapToGrid w:val="0"/>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上述所指合同文件应认为是互相补充和解释的，但是有模棱两可或互相矛盾之处，以其所列内容顺序为准。</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二、服务内容</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lang w:eastAsia="zh-CN"/>
        </w:rPr>
        <w:t>所需</w:t>
      </w:r>
      <w:r>
        <w:rPr>
          <w:rFonts w:hint="eastAsia" w:ascii="宋体" w:hAnsi="宋体" w:cs="宋体"/>
          <w:color w:val="auto"/>
          <w:sz w:val="21"/>
          <w:szCs w:val="21"/>
          <w:highlight w:val="none"/>
          <w:lang w:eastAsia="zh-CN"/>
        </w:rPr>
        <w:t>IPO券商中介服务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具体详见采购文件第四部分采购内容及要求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若乙方投标文件中高于上述标准的，则按乙方投标文件执行</w:t>
      </w:r>
      <w:r>
        <w:rPr>
          <w:rFonts w:hint="eastAsia" w:ascii="宋体" w:hAnsi="宋体" w:eastAsia="宋体" w:cs="宋体"/>
          <w:color w:val="auto"/>
          <w:sz w:val="21"/>
          <w:szCs w:val="21"/>
          <w:highlight w:val="none"/>
          <w:lang w:eastAsia="zh-CN"/>
        </w:rPr>
        <w:t>）</w:t>
      </w:r>
    </w:p>
    <w:p>
      <w:pPr>
        <w:autoSpaceDE w:val="0"/>
        <w:autoSpaceDN w:val="0"/>
        <w:adjustRightInd w:val="0"/>
        <w:spacing w:line="500" w:lineRule="exact"/>
        <w:ind w:firstLine="482"/>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三、合同金额</w:t>
      </w:r>
      <w:r>
        <w:rPr>
          <w:rFonts w:hint="eastAsia" w:ascii="宋体" w:hAnsi="宋体" w:cs="宋体"/>
          <w:color w:val="auto"/>
          <w:sz w:val="21"/>
          <w:szCs w:val="21"/>
          <w:highlight w:val="none"/>
          <w:lang w:val="en-US" w:eastAsia="zh-CN"/>
        </w:rPr>
        <w:t>及付款方式</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合同总价（即</w:t>
      </w:r>
      <w:r>
        <w:rPr>
          <w:rFonts w:hint="eastAsia" w:ascii="宋体" w:hAnsi="宋体" w:eastAsia="宋体" w:cs="宋体"/>
          <w:color w:val="auto"/>
          <w:sz w:val="21"/>
          <w:szCs w:val="21"/>
          <w:highlight w:val="none"/>
          <w:lang w:eastAsia="zh-CN"/>
        </w:rPr>
        <w:t>财务顾问费、</w:t>
      </w:r>
      <w:r>
        <w:rPr>
          <w:rFonts w:hint="eastAsia" w:ascii="宋体" w:hAnsi="宋体" w:cs="宋体"/>
          <w:color w:val="auto"/>
          <w:sz w:val="21"/>
          <w:szCs w:val="21"/>
          <w:highlight w:val="none"/>
          <w:lang w:eastAsia="zh-CN"/>
        </w:rPr>
        <w:t>辅导费、</w:t>
      </w:r>
      <w:r>
        <w:rPr>
          <w:rFonts w:hint="eastAsia" w:ascii="宋体" w:hAnsi="宋体" w:eastAsia="宋体" w:cs="宋体"/>
          <w:color w:val="auto"/>
          <w:sz w:val="21"/>
          <w:szCs w:val="21"/>
          <w:highlight w:val="none"/>
          <w:lang w:eastAsia="zh-CN"/>
        </w:rPr>
        <w:t>保荐费等）：人民币</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万元。支付方式如下：</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合同签订后</w:t>
      </w:r>
      <w:r>
        <w:rPr>
          <w:rFonts w:hint="eastAsia" w:ascii="宋体" w:hAnsi="宋体" w:cs="宋体"/>
          <w:color w:val="auto"/>
          <w:sz w:val="21"/>
          <w:szCs w:val="21"/>
          <w:highlight w:val="none"/>
          <w:lang w:eastAsia="zh-CN"/>
        </w:rPr>
        <w:t>，工作组进场，</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lang w:val="en-US" w:eastAsia="zh-CN"/>
        </w:rPr>
        <w:t>合同总价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none"/>
          <w:lang w:eastAsia="zh-CN"/>
        </w:rPr>
        <w:t>15%</w:t>
      </w:r>
      <w:r>
        <w:rPr>
          <w:rFonts w:hint="eastAsia" w:ascii="宋体" w:hAnsi="宋体" w:eastAsia="宋体" w:cs="宋体"/>
          <w:color w:val="auto"/>
          <w:sz w:val="21"/>
          <w:szCs w:val="21"/>
          <w:highlight w:val="none"/>
          <w:lang w:eastAsia="zh-CN"/>
        </w:rPr>
        <w:t>；省证监局验收</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lang w:val="en-US" w:eastAsia="zh-CN"/>
        </w:rPr>
        <w:t>合同总价的</w:t>
      </w:r>
      <w:r>
        <w:rPr>
          <w:rFonts w:hint="eastAsia" w:ascii="宋体" w:hAnsi="宋体" w:eastAsia="宋体" w:cs="宋体"/>
          <w:color w:val="auto"/>
          <w:sz w:val="21"/>
          <w:szCs w:val="21"/>
          <w:highlight w:val="none"/>
          <w:u w:val="none"/>
          <w:lang w:eastAsia="zh-CN"/>
        </w:rPr>
        <w:t>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；完成申报材料递交</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lang w:val="en-US" w:eastAsia="zh-CN"/>
        </w:rPr>
        <w:t>合同总价</w:t>
      </w:r>
      <w:r>
        <w:rPr>
          <w:rFonts w:hint="eastAsia" w:ascii="宋体" w:hAnsi="宋体" w:eastAsia="宋体" w:cs="宋体"/>
          <w:color w:val="auto"/>
          <w:sz w:val="21"/>
          <w:szCs w:val="21"/>
          <w:highlight w:val="none"/>
          <w:lang w:eastAsia="zh-CN"/>
        </w:rPr>
        <w:t>的2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%，取得证监会批文</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lang w:val="en-US" w:eastAsia="zh-CN"/>
        </w:rPr>
        <w:t>合同总价的</w:t>
      </w:r>
      <w:r>
        <w:rPr>
          <w:rFonts w:hint="eastAsia" w:ascii="宋体" w:hAnsi="宋体" w:eastAsia="宋体" w:cs="宋体"/>
          <w:color w:val="auto"/>
          <w:sz w:val="21"/>
          <w:szCs w:val="21"/>
          <w:highlight w:val="none"/>
          <w:lang w:eastAsia="zh-CN"/>
        </w:rPr>
        <w:t>20%，剩余</w:t>
      </w:r>
      <w:r>
        <w:rPr>
          <w:rFonts w:hint="eastAsia" w:ascii="宋体" w:hAnsi="宋体" w:eastAsia="宋体" w:cs="宋体"/>
          <w:color w:val="auto"/>
          <w:sz w:val="21"/>
          <w:szCs w:val="21"/>
          <w:highlight w:val="none"/>
          <w:lang w:val="en-US" w:eastAsia="zh-CN"/>
        </w:rPr>
        <w:t>合同金额在</w:t>
      </w:r>
      <w:r>
        <w:rPr>
          <w:rFonts w:hint="eastAsia" w:ascii="宋体" w:hAnsi="宋体" w:eastAsia="宋体" w:cs="宋体"/>
          <w:color w:val="auto"/>
          <w:sz w:val="21"/>
          <w:szCs w:val="21"/>
          <w:highlight w:val="none"/>
          <w:lang w:eastAsia="zh-CN"/>
        </w:rPr>
        <w:t>股票发行后一周内支付。</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2、本项目承销费率: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%。甲方应按照募集资金总额的</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 向乙方支付承销报酬，承销报酬待发行募集资金全部到位后7日内由甲方支付给乙方</w:t>
      </w:r>
      <w:r>
        <w:rPr>
          <w:rFonts w:hint="eastAsia" w:ascii="宋体" w:hAnsi="宋体" w:eastAsia="宋体" w:cs="宋体"/>
          <w:color w:val="auto"/>
          <w:sz w:val="21"/>
          <w:szCs w:val="21"/>
          <w:highlight w:val="none"/>
          <w:lang w:val="zh-CN"/>
        </w:rPr>
        <w:t>。</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本合同价款包括完成本项目所提供相关服务所需的全部费用，包括但不限于供应商各项成本支出、合理的利润、应交纳的税金等，完成合同所需的一切本身和不可或缺的所有工作开支、政策性文件规定及合同包含的所有风险、责任等各项全部费用。</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甲方的权利和义务</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1、甲方有权要求乙方以应有的谨慎、勤勉，按约定完成发行上市的各项准备工作和制作完毕各种申请文件，尽职推荐甲方证券发行并上市，持续督导甲方履行相关义务。</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2、甲方有权要求乙方配备有经验的专业人员组成项目组。甲方认为乙方项目组成员不能按照要求完成甲方委托任务的，有权要求乙方更换。</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3、乙方在履行本协议项下的工作过程中，甲方负责向乙方提供所必需的资料及其他一切必需的帮助。</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甲方承诺，甲方向乙方提供的全部资料，包括但不限于书面文件、电子文档、政府批文等，无论原件或复印件，均是真实可信的，对于乙方关注的问题，均给予了全面、真实、准确的陈述，不存在隐瞒、欺骗、遗漏及重大过失。</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5、如果甲方的情况发生变化使已提交至有关主管部门的发行材料与其实际情况不一致，甲方应立即通知乙方，并及时按照乙方的合理要求对相关发行材料进行修改或补充。</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6、除非因法院、其他司法机关、政府机关要求或因法律法规规定外，甲方有义务对乙方向其提供的与本次发行有关的各类文件和资料保密，不得泄漏给第三方或利用该信息谋取不正当利益。</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7、甲方应当按照约定向乙方支付有关费用。</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 xml:space="preserve"> 乙方的权利和义务</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1、为落实股票发行与上市的总体方案，使甲方符合公开发行股票的法定条件，乙方可要求甲方实施包括但不限于完善法人治理结构，按照法律、法规规范运作，理顺产权关系，调整资产结构与股权结构等工作。</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2、乙方可按照有关法律、法规和规章、政策的要求，调查甲方的基本情况，包括但不限于历史沿革、股权结构、生产经营、法人治理、关联交易、同业竞争、财务状况、诉讼、仲裁或纠纷等。</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3、乙方应当充分考虑甲方的实际经营和财务状况，按法规要求提供股票发行与上市方案以及给予甲方整改建议</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4、乙方履行本协议约定职责时发表的意见应及时告知甲方。</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5、如乙方发现甲方存在首次公开发行股票的实质性障碍，应当指出并辅导甲方整改，但甲方拒绝接受整改或虽然接受整改，但实质性障碍根本不能消除的，乙方有权单方面解除本协议而无须承担违约责任。</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6、除非因法院、其他司法机关、政府机关要求或因法律法规规定外，乙方对因工作需要而接触到的甲方重要资料，在未公开前负有保密义务，不得泄漏给第三方或利用该信息谋取不正当利益。</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应秉持勤勉尽责的职业道德和专业精神，指派有经验的工作人员组成项目组从事本次甲方发行上市相关工作,其中项目负责人应在本项目重要节点进行现场工作。在完成甲方委托工作期间，乙方应保证项目组成员的稳定，因特殊原因需要更换项目组成员，应提前与甲方协商并争得甲方的同意。</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8、乙方承诺在项目运行期间不更换人员，不论什么原因，如擅自更换项目负责人则罚款人民币10万元，更换项目组其他人员罚款1万元/人（采购人要求更换的除外）。</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 xml:space="preserve"> 排他约定</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甲方承诺在与乙方签订本协议后，不再与任何其他公司或机构签订与本协议相同或类似的协议以及聘请他人为主承销商、上市保荐人，除非乙方存在下列情形：</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1、不能完成本协议约定的委托事项；</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2、存在违反本协议或保密协议约定的行为；</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3、存在其他损害甲方利益的行为；</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4、被主管机关从保荐机构名单中去除或遭受其他重大处罚直接影响甲方首次公开发行股票。</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 xml:space="preserve"> 声明和承诺</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1、乙方向甲方作如下声明和承诺：</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（1）乙方已通过中国证监会的承销商资格审查，有资格担任股票发行上市的辅导机构、主承销商和保荐人。</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（2）乙方已通过证券交易所的上市推荐人资格审查，有资格担任上市推荐人。</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将按照有关法律、法规的规定来协助甲方进行上市前重组改制（如需要）、辅导及首次公开发行A股股票上市的保荐、承销、督导有关工作。整个工作能完全符合建立现代企业制度的要求，能够符合国家法律、法规、规章及中国证监会有关规范性文件的规定。</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2、甲方兹向乙方作下述声明和承诺：</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甲方为本次上市发行工作向乙方提供的所有资料和信息均属真实的、准确和完整的。</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lang w:val="en-US" w:eastAsia="zh-CN"/>
        </w:rPr>
        <w:t xml:space="preserve"> 违约责任</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1、甲、乙双方任何一方违反本协议条款的规定，因此而对其他方造成损失的，除本协议另有约定外，守约方均可要求违约方予以与实际损失或可预见的损失相当的赔偿。</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2、甲方违反上述第四条规定的，甲方应向乙方支付违约金，违约金金额应与本次股票发行与上市乙方应收的保荐费相等。</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3、乙方存在上述第四条除外规定的，甲方可立即与乙方解除本委托协议，乙方不得要求甲方支付相应的费用。乙方的行为造成甲方损失的，应当赔偿甲方损失。</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4、乙方利用甲方内幕信息谋取不正当利益的，应向甲方支付与所获取的不正当利益相等的违约金。</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如甲方终止国内发行股票计划而提前解除合同的，乙方未付出工作的，甲方可不予支付委托费用；乙方已为甲方发行股票付出工作的，甲方应根据乙方的工作进度支付相应的委托费用。除此以外，乙方不得要求甲方支付任何违约金或赔偿费用等。</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6、如因不可抗力导致本协议终止，甲方向乙方已经支付的费用可不予退回，甲方无须承担委托费用余款。</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lang w:val="en-US" w:eastAsia="zh-CN"/>
        </w:rPr>
        <w:t xml:space="preserve"> 商业贿赂</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方工作人员应依照相关法律法规以及本协议约定支付、收取相关费用，不得以任何方式私下向对方及其利益相关方提供货币、服务、回扣等形式的商业贿赂，不得接受任何形式的商业贿赂，也不得介绍其他人提供、接受商业贿赂。</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合同各方有义务监督本方工作人员严格遵守本条的规定，一旦发现本方工作人员存在提供或接受货币、服务、回扣等形式的商业贿赂，应当对相关工作人员进行处罚。</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十、诉讼</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双方在执行合同中所发生的一切争议，应通过协商解决。如协商不成，可向甲方所在地法院起诉。</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十</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zh-CN"/>
        </w:rPr>
        <w:t>、合同生效及其它</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1、合同经双方法定代表人或授权代表签字并加盖单位公章后生效。</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2、本合同未尽事宜，遵照《中华人民共和国民法典》有关条文执行。</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、本合同一式</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份，具有同等法律效力，甲方执</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份；乙方执</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份；采购代理机构</w:t>
      </w:r>
      <w:r>
        <w:rPr>
          <w:rFonts w:hint="eastAsia" w:ascii="宋体" w:hAnsi="宋体" w:eastAsia="宋体" w:cs="宋体"/>
          <w:color w:val="auto"/>
          <w:sz w:val="21"/>
          <w:szCs w:val="21"/>
          <w:highlight w:val="none"/>
        </w:rPr>
        <w:t>壹</w:t>
      </w:r>
      <w:r>
        <w:rPr>
          <w:rFonts w:hint="eastAsia" w:ascii="宋体" w:hAnsi="宋体" w:eastAsia="宋体" w:cs="宋体"/>
          <w:color w:val="auto"/>
          <w:sz w:val="21"/>
          <w:szCs w:val="21"/>
          <w:highlight w:val="none"/>
          <w:lang w:val="zh-CN"/>
        </w:rPr>
        <w:t>份。</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                                  乙方（公章）</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                      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                                        帐号：</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地址及邮编：                                  地址及邮编：</w:t>
      </w:r>
    </w:p>
    <w:p>
      <w:pPr>
        <w:spacing w:line="500" w:lineRule="exact"/>
        <w:outlineLvl w:val="9"/>
        <w:rPr>
          <w:rFonts w:hint="eastAsia" w:ascii="宋体" w:hAnsi="宋体" w:eastAsia="宋体" w:cs="宋体"/>
          <w:color w:val="auto"/>
          <w:sz w:val="21"/>
          <w:szCs w:val="21"/>
          <w:highlight w:val="none"/>
        </w:rPr>
      </w:pPr>
    </w:p>
    <w:p>
      <w:pPr>
        <w:pStyle w:val="20"/>
        <w:snapToGrid w:val="0"/>
        <w:spacing w:line="500" w:lineRule="exact"/>
        <w:outlineLvl w:val="9"/>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签订时间：    年   月    日</w:t>
      </w:r>
    </w:p>
    <w:p>
      <w:pPr>
        <w:pStyle w:val="20"/>
        <w:snapToGrid w:val="0"/>
        <w:spacing w:line="480" w:lineRule="exact"/>
        <w:ind w:firstLine="422" w:firstLineChars="200"/>
        <w:outlineLvl w:val="9"/>
        <w:rPr>
          <w:rFonts w:hint="eastAsia" w:ascii="宋体" w:hAnsi="宋体" w:eastAsia="宋体" w:cs="宋体"/>
          <w:b/>
          <w:color w:val="auto"/>
          <w:sz w:val="21"/>
          <w:szCs w:val="21"/>
          <w:highlight w:val="none"/>
          <w:lang w:val="zh-CN"/>
        </w:rPr>
      </w:pPr>
    </w:p>
    <w:p>
      <w:pPr>
        <w:pStyle w:val="20"/>
        <w:snapToGrid w:val="0"/>
        <w:spacing w:line="480" w:lineRule="exact"/>
        <w:ind w:firstLine="422" w:firstLineChars="200"/>
        <w:outlineLvl w:val="9"/>
        <w:rPr>
          <w:rFonts w:hint="eastAsia" w:ascii="宋体" w:hAnsi="宋体" w:eastAsia="宋体" w:cs="宋体"/>
          <w:b/>
          <w:color w:val="auto"/>
          <w:sz w:val="21"/>
          <w:szCs w:val="21"/>
          <w:highlight w:val="none"/>
          <w:lang w:val="zh-CN"/>
        </w:rPr>
      </w:pPr>
    </w:p>
    <w:p>
      <w:pPr>
        <w:pStyle w:val="20"/>
        <w:snapToGrid w:val="0"/>
        <w:spacing w:line="480" w:lineRule="exact"/>
        <w:ind w:firstLine="422" w:firstLineChars="200"/>
        <w:outlineLvl w:val="9"/>
        <w:rPr>
          <w:rFonts w:hint="eastAsia" w:ascii="宋体" w:hAnsi="宋体" w:eastAsia="宋体" w:cs="宋体"/>
          <w:b/>
          <w:color w:val="auto"/>
          <w:sz w:val="21"/>
          <w:szCs w:val="21"/>
          <w:highlight w:val="none"/>
          <w:lang w:val="zh-CN"/>
        </w:rPr>
      </w:pPr>
    </w:p>
    <w:p>
      <w:pPr>
        <w:pStyle w:val="20"/>
        <w:snapToGrid w:val="0"/>
        <w:spacing w:before="120" w:after="120" w:line="42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lang w:val="zh-CN"/>
        </w:rPr>
        <w:t>如果采购人认为需要制定补充条款的，可以与中标单位协商后签订，但条款内容应合法、合规、合理，并符合项目实际需求，且不得修改实质性内容。</w:t>
      </w:r>
    </w:p>
    <w:p>
      <w:pPr>
        <w:spacing w:line="440" w:lineRule="exact"/>
        <w:ind w:left="0" w:firstLine="0" w:firstLineChars="0"/>
        <w:jc w:val="both"/>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合同附件一 </w:t>
      </w:r>
    </w:p>
    <w:p>
      <w:pPr>
        <w:autoSpaceDE w:val="0"/>
        <w:autoSpaceDN w:val="0"/>
        <w:adjustRightInd w:val="0"/>
        <w:jc w:val="center"/>
        <w:outlineLvl w:val="9"/>
        <w:rPr>
          <w:rFonts w:hint="default" w:ascii="Arial" w:hAnsi="Arial" w:eastAsia="宋体" w:cs="Arial"/>
          <w:bCs/>
          <w:color w:val="auto"/>
          <w:sz w:val="36"/>
          <w:szCs w:val="36"/>
          <w:highlight w:val="none"/>
          <w:lang w:val="zh-CN"/>
        </w:rPr>
      </w:pPr>
      <w:r>
        <w:rPr>
          <w:rFonts w:hint="default" w:ascii="Arial" w:hAnsi="Arial" w:eastAsia="宋体" w:cs="Arial"/>
          <w:bCs/>
          <w:color w:val="auto"/>
          <w:sz w:val="36"/>
          <w:szCs w:val="36"/>
          <w:highlight w:val="none"/>
          <w:lang w:val="zh-CN"/>
        </w:rPr>
        <w:t>廉政合同</w:t>
      </w:r>
    </w:p>
    <w:p>
      <w:pPr>
        <w:spacing w:line="500" w:lineRule="exact"/>
        <w:jc w:val="center"/>
        <w:outlineLvl w:val="9"/>
        <w:rPr>
          <w:rFonts w:hint="default" w:ascii="Arial" w:hAnsi="Arial" w:eastAsia="宋体" w:cs="Arial"/>
          <w:b/>
          <w:color w:val="auto"/>
          <w:szCs w:val="21"/>
          <w:highlight w:val="none"/>
        </w:rPr>
      </w:pP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w:t>
      </w:r>
      <w:r>
        <w:rPr>
          <w:rFonts w:hint="eastAsia" w:ascii="宋体" w:hAnsi="宋体" w:cs="宋体"/>
          <w:color w:val="auto"/>
          <w:sz w:val="21"/>
          <w:szCs w:val="21"/>
          <w:highlight w:val="none"/>
          <w:u w:val="single"/>
          <w:lang w:eastAsia="zh-CN"/>
        </w:rPr>
        <w:t>IPO券商中介服务</w:t>
      </w:r>
      <w:r>
        <w:rPr>
          <w:rFonts w:hint="eastAsia" w:ascii="宋体" w:hAnsi="宋体" w:eastAsia="宋体" w:cs="宋体"/>
          <w:color w:val="auto"/>
          <w:sz w:val="21"/>
          <w:szCs w:val="21"/>
          <w:highlight w:val="none"/>
        </w:rPr>
        <w:t>的党风廉政建设，保证严格管理、规范服务，保证项目</w:t>
      </w:r>
      <w:r>
        <w:rPr>
          <w:rFonts w:hint="eastAsia" w:ascii="宋体" w:hAnsi="宋体" w:eastAsia="宋体" w:cs="宋体"/>
          <w:color w:val="auto"/>
          <w:sz w:val="21"/>
          <w:szCs w:val="21"/>
          <w:highlight w:val="none"/>
          <w:lang w:val="en-US" w:eastAsia="zh-CN"/>
        </w:rPr>
        <w:t>高效</w:t>
      </w:r>
      <w:r>
        <w:rPr>
          <w:rFonts w:hint="eastAsia" w:ascii="宋体" w:hAnsi="宋体" w:eastAsia="宋体" w:cs="宋体"/>
          <w:color w:val="auto"/>
          <w:sz w:val="21"/>
          <w:szCs w:val="21"/>
          <w:highlight w:val="none"/>
        </w:rPr>
        <w:t>优质，保证资金的安全和有效使用以及投资效益，</w:t>
      </w:r>
      <w:r>
        <w:rPr>
          <w:rFonts w:hint="eastAsia" w:ascii="宋体" w:hAnsi="宋体" w:cs="宋体"/>
          <w:color w:val="auto"/>
          <w:sz w:val="21"/>
          <w:szCs w:val="21"/>
          <w:highlight w:val="none"/>
          <w:u w:val="single"/>
          <w:lang w:eastAsia="zh-CN"/>
        </w:rPr>
        <w:t>温州诚达交通发展股份有限公司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(以下称甲方)与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(以下称乙方)，特订立以下合同。</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严格遵守党和国家有关法律法规及行业主管部门的有关廉政规定。</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w:t>
      </w:r>
      <w:r>
        <w:rPr>
          <w:rFonts w:hint="eastAsia" w:ascii="宋体" w:hAnsi="宋体" w:cs="宋体"/>
          <w:color w:val="auto"/>
          <w:sz w:val="21"/>
          <w:szCs w:val="21"/>
          <w:highlight w:val="none"/>
          <w:u w:val="single"/>
          <w:lang w:eastAsia="zh-CN"/>
        </w:rPr>
        <w:t>IPO券商中介服务</w:t>
      </w:r>
      <w:r>
        <w:rPr>
          <w:rFonts w:hint="eastAsia" w:ascii="宋体" w:hAnsi="宋体" w:eastAsia="宋体" w:cs="宋体"/>
          <w:color w:val="auto"/>
          <w:sz w:val="21"/>
          <w:szCs w:val="21"/>
          <w:highlight w:val="none"/>
        </w:rPr>
        <w:t>合同，自觉按合同办事。</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建立健全廉政制度，开展廉政教育，公布</w:t>
      </w:r>
      <w:r>
        <w:rPr>
          <w:rFonts w:hint="eastAsia" w:ascii="宋体" w:hAnsi="宋体" w:eastAsia="宋体" w:cs="宋体"/>
          <w:color w:val="auto"/>
          <w:sz w:val="21"/>
          <w:szCs w:val="21"/>
          <w:highlight w:val="none"/>
          <w:lang w:val="en-US" w:eastAsia="zh-CN"/>
        </w:rPr>
        <w:t>监督</w:t>
      </w:r>
      <w:r>
        <w:rPr>
          <w:rFonts w:hint="eastAsia" w:ascii="宋体" w:hAnsi="宋体" w:eastAsia="宋体" w:cs="宋体"/>
          <w:color w:val="auto"/>
          <w:sz w:val="21"/>
          <w:szCs w:val="21"/>
          <w:highlight w:val="none"/>
        </w:rPr>
        <w:t>电话，监督并认真查处违法违纪行为。</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cs="宋体"/>
          <w:color w:val="auto"/>
          <w:sz w:val="21"/>
          <w:szCs w:val="21"/>
          <w:highlight w:val="none"/>
          <w:u w:val="single"/>
          <w:lang w:eastAsia="zh-CN"/>
        </w:rPr>
        <w:t>IPO券商中介服务</w:t>
      </w:r>
      <w:r>
        <w:rPr>
          <w:rFonts w:hint="eastAsia" w:ascii="宋体" w:hAnsi="宋体" w:eastAsia="宋体" w:cs="宋体"/>
          <w:color w:val="auto"/>
          <w:sz w:val="21"/>
          <w:szCs w:val="21"/>
          <w:highlight w:val="none"/>
        </w:rPr>
        <w:t>项目有关的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分包、劳务等经济活动。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w:t>
      </w:r>
      <w:r>
        <w:rPr>
          <w:rFonts w:hint="eastAsia" w:ascii="宋体" w:hAnsi="宋体" w:eastAsia="宋体" w:cs="宋体"/>
          <w:color w:val="auto"/>
          <w:sz w:val="21"/>
          <w:szCs w:val="21"/>
          <w:highlight w:val="none"/>
          <w:lang w:val="en-US" w:eastAsia="zh-CN"/>
        </w:rPr>
        <w:t>上报</w:t>
      </w:r>
      <w:r>
        <w:rPr>
          <w:rFonts w:hint="eastAsia" w:ascii="宋体" w:hAnsi="宋体" w:eastAsia="宋体" w:cs="宋体"/>
          <w:color w:val="auto"/>
          <w:sz w:val="21"/>
          <w:szCs w:val="21"/>
          <w:highlight w:val="none"/>
        </w:rPr>
        <w:t>行业主管部门。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cs="宋体"/>
          <w:color w:val="auto"/>
          <w:sz w:val="21"/>
          <w:szCs w:val="21"/>
          <w:highlight w:val="none"/>
          <w:u w:val="single"/>
          <w:lang w:eastAsia="zh-CN"/>
        </w:rPr>
        <w:t>IPO券商中介服务</w:t>
      </w:r>
      <w:r>
        <w:rPr>
          <w:rFonts w:hint="eastAsia" w:ascii="宋体" w:hAnsi="宋体" w:eastAsia="宋体" w:cs="宋体"/>
          <w:color w:val="auto"/>
          <w:sz w:val="21"/>
          <w:szCs w:val="21"/>
          <w:highlight w:val="none"/>
        </w:rPr>
        <w:t>合同的附件，与该合同具有同等的法律效力，经合同双方签署立即生效。</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8．本合同一式六份，甲方执四份、乙方执二份，每份具有同等法律效力。</w:t>
      </w:r>
    </w:p>
    <w:p>
      <w:pPr>
        <w:pStyle w:val="18"/>
        <w:outlineLvl w:val="9"/>
        <w:rPr>
          <w:rFonts w:hint="eastAsia" w:ascii="宋体" w:hAnsi="宋体" w:eastAsia="宋体" w:cs="宋体"/>
          <w:color w:val="auto"/>
          <w:sz w:val="21"/>
          <w:szCs w:val="21"/>
          <w:highlight w:val="none"/>
        </w:rPr>
      </w:pPr>
    </w:p>
    <w:p>
      <w:pPr>
        <w:pStyle w:val="18"/>
        <w:outlineLvl w:val="9"/>
        <w:rPr>
          <w:rFonts w:hint="eastAsia" w:ascii="宋体" w:hAnsi="宋体" w:eastAsia="宋体" w:cs="宋体"/>
          <w:b w:val="0"/>
          <w:bCs w:val="0"/>
          <w:color w:val="auto"/>
          <w:sz w:val="21"/>
          <w:szCs w:val="21"/>
          <w:highlight w:val="none"/>
        </w:rPr>
      </w:pP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                                      （盖章）</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法定代表或授权人：                            法定代表或授权人：</w:t>
      </w:r>
    </w:p>
    <w:p>
      <w:pPr>
        <w:spacing w:line="460" w:lineRule="exact"/>
        <w:ind w:left="6600" w:hanging="6300" w:hangingChars="30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                      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pPr>
        <w:spacing w:line="460" w:lineRule="exact"/>
        <w:jc w:val="right"/>
        <w:outlineLvl w:val="9"/>
        <w:rPr>
          <w:rFonts w:hint="eastAsia" w:ascii="新宋体" w:hAnsi="新宋体" w:eastAsia="新宋体" w:cs="新宋体"/>
          <w:color w:val="auto"/>
          <w:sz w:val="22"/>
          <w:szCs w:val="22"/>
          <w:highlight w:val="none"/>
        </w:rPr>
      </w:pPr>
    </w:p>
    <w:p>
      <w:pPr>
        <w:ind w:firstLine="220" w:firstLineChars="100"/>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br w:type="page"/>
      </w:r>
    </w:p>
    <w:p>
      <w:pPr>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 </w:t>
      </w:r>
    </w:p>
    <w:p>
      <w:pPr>
        <w:spacing w:line="440" w:lineRule="exact"/>
        <w:ind w:left="0" w:firstLine="0" w:firstLineChars="0"/>
        <w:jc w:val="center"/>
        <w:outlineLvl w:val="0"/>
        <w:rPr>
          <w:rFonts w:hint="default" w:ascii="Arial" w:hAnsi="Arial" w:eastAsia="宋体" w:cs="Arial"/>
          <w:b/>
          <w:bCs/>
          <w:color w:val="auto"/>
          <w:kern w:val="2"/>
          <w:sz w:val="28"/>
          <w:szCs w:val="28"/>
          <w:highlight w:val="none"/>
          <w:lang w:val="en-US" w:eastAsia="zh-CN" w:bidi="ar-SA"/>
        </w:rPr>
      </w:pPr>
      <w:bookmarkStart w:id="139" w:name="_Toc26758"/>
      <w:r>
        <w:rPr>
          <w:rFonts w:hint="default" w:ascii="Arial" w:hAnsi="Arial" w:eastAsia="宋体" w:cs="Arial"/>
          <w:b/>
          <w:bCs/>
          <w:color w:val="auto"/>
          <w:kern w:val="2"/>
          <w:sz w:val="28"/>
          <w:szCs w:val="28"/>
          <w:highlight w:val="none"/>
          <w:lang w:val="en-US" w:eastAsia="zh-CN" w:bidi="ar-SA"/>
        </w:rPr>
        <w:t>第三部分   附件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before="120" w:beforeLines="50" w:after="120" w:afterLines="50"/>
        <w:outlineLvl w:val="9"/>
        <w:rPr>
          <w:rFonts w:ascii="宋体" w:hAnsi="宋体" w:eastAsia="宋体" w:cs="宋体"/>
          <w:color w:val="auto"/>
          <w:sz w:val="22"/>
          <w:highlight w:val="none"/>
        </w:rPr>
      </w:pPr>
    </w:p>
    <w:p>
      <w:pPr>
        <w:spacing w:before="120" w:beforeLines="50" w:after="120" w:afterLines="50"/>
        <w:jc w:val="center"/>
        <w:outlineLvl w:val="9"/>
        <w:rPr>
          <w:rFonts w:hint="eastAsia" w:ascii="宋体" w:hAnsi="宋体" w:eastAsia="宋体" w:cs="宋体"/>
          <w:color w:val="auto"/>
          <w:sz w:val="22"/>
          <w:highlight w:val="none"/>
        </w:rPr>
      </w:pPr>
    </w:p>
    <w:p>
      <w:pPr>
        <w:spacing w:before="120" w:beforeLines="50" w:after="120" w:afterLines="50"/>
        <w:jc w:val="center"/>
        <w:outlineLvl w:val="9"/>
        <w:rPr>
          <w:rFonts w:ascii="宋体" w:hAnsi="宋体" w:eastAsia="宋体" w:cs="宋体"/>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（技术资信标封面，供参考）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Cs w:val="24"/>
          <w:highlight w:val="none"/>
        </w:rPr>
      </w:pPr>
    </w:p>
    <w:p>
      <w:pPr>
        <w:outlineLvl w:val="9"/>
        <w:rPr>
          <w:rFonts w:ascii="宋体" w:hAnsi="宋体" w:eastAsia="宋体" w:cs="宋体"/>
          <w:color w:val="auto"/>
          <w:szCs w:val="24"/>
          <w:highlight w:val="none"/>
        </w:rPr>
      </w:pPr>
    </w:p>
    <w:p>
      <w:pPr>
        <w:ind w:left="480" w:hanging="480" w:hangingChars="200"/>
        <w:outlineLvl w:val="9"/>
        <w:rPr>
          <w:rFonts w:ascii="宋体" w:hAnsi="宋体" w:eastAsia="宋体" w:cs="宋体"/>
          <w:color w:val="auto"/>
          <w:sz w:val="24"/>
          <w:szCs w:val="24"/>
          <w:highlight w:val="none"/>
        </w:rPr>
      </w:pPr>
    </w:p>
    <w:p>
      <w:pPr>
        <w:outlineLvl w:val="9"/>
        <w:rPr>
          <w:rFonts w:ascii="宋体" w:hAnsi="宋体" w:eastAsia="宋体" w:cs="宋体"/>
          <w:color w:val="auto"/>
          <w:szCs w:val="24"/>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cs="宋体"/>
          <w:color w:val="auto"/>
          <w:sz w:val="28"/>
          <w:szCs w:val="28"/>
          <w:highlight w:val="none"/>
          <w:u w:val="single"/>
          <w:lang w:val="en-US" w:eastAsia="zh-CN"/>
        </w:rPr>
        <w:t>IPO券商中介服务</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cs="宋体"/>
          <w:color w:val="auto"/>
          <w:sz w:val="28"/>
          <w:szCs w:val="28"/>
          <w:highlight w:val="none"/>
          <w:u w:val="single"/>
          <w:lang w:val="en-US" w:eastAsia="zh-CN"/>
        </w:rPr>
        <w:t>WGSS-JFJT-X-2023009</w:t>
      </w:r>
    </w:p>
    <w:p>
      <w:pPr>
        <w:jc w:val="center"/>
        <w:outlineLvl w:val="9"/>
        <w:rPr>
          <w:rFonts w:hint="eastAsia" w:ascii="宋体" w:hAnsi="宋体" w:eastAsia="宋体" w:cs="宋体"/>
          <w:color w:val="auto"/>
          <w:sz w:val="40"/>
          <w:szCs w:val="40"/>
          <w:highlight w:val="none"/>
          <w:u w:val="none"/>
        </w:rPr>
      </w:pPr>
    </w:p>
    <w:p>
      <w:pPr>
        <w:jc w:val="center"/>
        <w:outlineLvl w:val="9"/>
        <w:rPr>
          <w:rFonts w:hint="eastAsia" w:ascii="宋体" w:hAnsi="宋体" w:eastAsia="宋体" w:cs="宋体"/>
          <w:color w:val="auto"/>
          <w:sz w:val="40"/>
          <w:szCs w:val="40"/>
          <w:highlight w:val="none"/>
          <w:u w:val="none"/>
        </w:rPr>
      </w:pPr>
    </w:p>
    <w:p>
      <w:pPr>
        <w:spacing w:line="360" w:lineRule="auto"/>
        <w:jc w:val="center"/>
        <w:outlineLvl w:val="9"/>
        <w:rPr>
          <w:rFonts w:hint="eastAsia" w:ascii="宋体" w:hAnsi="宋体" w:eastAsia="宋体" w:cs="宋体"/>
          <w:color w:val="auto"/>
          <w:sz w:val="40"/>
          <w:szCs w:val="40"/>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技术资信标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44"/>
          <w:szCs w:val="44"/>
          <w:highlight w:val="none"/>
        </w:rPr>
      </w:pPr>
    </w:p>
    <w:p>
      <w:pPr>
        <w:spacing w:line="360" w:lineRule="auto"/>
        <w:outlineLvl w:val="9"/>
        <w:rPr>
          <w:rFonts w:ascii="宋体" w:hAnsi="宋体" w:eastAsia="宋体" w:cs="宋体"/>
          <w:color w:val="auto"/>
          <w:szCs w:val="21"/>
          <w:highlight w:val="none"/>
        </w:rPr>
      </w:pPr>
    </w:p>
    <w:p>
      <w:pPr>
        <w:spacing w:line="360" w:lineRule="auto"/>
        <w:outlineLvl w:val="9"/>
        <w:rPr>
          <w:rFonts w:ascii="宋体" w:hAnsi="宋体" w:eastAsia="宋体" w:cs="宋体"/>
          <w:color w:val="auto"/>
          <w:szCs w:val="21"/>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法定</w:t>
      </w:r>
      <w:r>
        <w:rPr>
          <w:rFonts w:hint="eastAsia" w:ascii="宋体" w:hAnsi="宋体" w:eastAsia="宋体" w:cs="宋体"/>
          <w:color w:val="auto"/>
          <w:sz w:val="28"/>
          <w:szCs w:val="28"/>
          <w:highlight w:val="none"/>
        </w:rPr>
        <w:t xml:space="preserve">负责人） 或授权代表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（签字或盖章）</w:t>
      </w:r>
    </w:p>
    <w:p>
      <w:pP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15"/>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460" w:lineRule="exact"/>
        <w:outlineLvl w:val="9"/>
        <w:rPr>
          <w:rFonts w:hint="eastAsia" w:ascii="宋体" w:hAnsi="宋体" w:eastAsia="宋体" w:cs="宋体"/>
          <w:b/>
          <w:bCs/>
          <w:color w:val="auto"/>
          <w:sz w:val="21"/>
          <w:szCs w:val="21"/>
          <w:highlight w:val="none"/>
        </w:rPr>
      </w:pPr>
      <w:bookmarkStart w:id="140" w:name="_Toc262105510"/>
      <w:bookmarkStart w:id="141" w:name="_Toc246261271"/>
      <w:bookmarkStart w:id="142" w:name="_Toc239145360"/>
      <w:bookmarkStart w:id="143" w:name="_Toc223716004"/>
      <w:bookmarkStart w:id="144" w:name="_Toc221356957"/>
      <w:bookmarkStart w:id="145" w:name="_Toc221374632"/>
      <w:bookmarkStart w:id="146" w:name="_Toc389760269"/>
      <w:bookmarkStart w:id="147" w:name="_Toc245722287"/>
      <w:bookmarkStart w:id="148" w:name="_Toc245191320"/>
      <w:bookmarkStart w:id="149" w:name="_Toc222114885"/>
      <w:bookmarkStart w:id="150" w:name="_Toc241404208"/>
      <w:bookmarkStart w:id="151" w:name="_Toc262049425"/>
      <w:bookmarkStart w:id="152" w:name="_Toc249758721"/>
      <w:bookmarkStart w:id="153" w:name="_Toc221423625"/>
      <w:bookmarkStart w:id="154" w:name="_Toc221356894"/>
      <w:bookmarkStart w:id="155" w:name="_Toc249758871"/>
      <w:r>
        <w:rPr>
          <w:rFonts w:hint="default" w:ascii="Arial" w:hAnsi="Arial" w:eastAsia="宋体" w:cs="Arial"/>
          <w:b/>
          <w:bCs/>
          <w:color w:val="auto"/>
          <w:szCs w:val="21"/>
          <w:highlight w:val="none"/>
        </w:rPr>
        <w:br w:type="page"/>
      </w:r>
      <w:r>
        <w:rPr>
          <w:rFonts w:hint="eastAsia" w:ascii="宋体" w:hAnsi="宋体" w:eastAsia="宋体" w:cs="宋体"/>
          <w:b/>
          <w:bCs/>
          <w:color w:val="auto"/>
          <w:sz w:val="32"/>
          <w:szCs w:val="32"/>
          <w:highlight w:val="none"/>
          <w:lang w:val="en-US" w:eastAsia="zh-CN"/>
        </w:rPr>
        <w:t>附件一</w:t>
      </w:r>
    </w:p>
    <w:p>
      <w:pPr>
        <w:spacing w:line="460" w:lineRule="exact"/>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 标 函</w:t>
      </w:r>
    </w:p>
    <w:p>
      <w:pPr>
        <w:spacing w:line="38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lang w:eastAsia="zh-CN"/>
        </w:rPr>
        <w:t>温州诚达交通发展股份有限公司</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cs="宋体"/>
          <w:color w:val="auto"/>
          <w:sz w:val="21"/>
          <w:szCs w:val="21"/>
          <w:highlight w:val="none"/>
          <w:u w:val="single"/>
          <w:lang w:eastAsia="zh-CN"/>
        </w:rPr>
        <w:t>IPO券商中介服务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cs="宋体"/>
          <w:color w:val="auto"/>
          <w:sz w:val="21"/>
          <w:szCs w:val="21"/>
          <w:highlight w:val="none"/>
          <w:u w:val="single"/>
          <w:lang w:eastAsia="zh-CN"/>
        </w:rPr>
        <w:t>WGSS-JFJT-X-2023009</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（授权代表全名，职务）代表我方处理有关本投标的一切事宜。</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在此提交的投标文件中，包括如下内容，并已分别单独密封装袋：</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须知”要求编制的投标文件技术资信标【正本一份，副本四份】</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须知”要求编制的投标文件商务（报价）标【正本一份，副本四份】</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的所有条款要求，并重申以下几点：</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（一）本投标文件的有效期自投标截止日起 120 天内有效，如中标，有效期将延至合同终止日为止；</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（二）我方已详细研究了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的所有内容包括修改书（如有）和所有已提供的参考资料以及有关附件，我方完全理解并同意放弃在此方面提出含糊意见或误解的一切权力；</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（三）我方明白并愿意在规定的开标时间之后，</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在投标有效期内撤回投标，投标保证金</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将不予退还；</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）我方同意提供按照贵方可能要求的与投标有关的一切数据或资料；</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）我方理解贵方不一定接受最低报价。</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）我方如果中标，将保证履行</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修改书（如有）中的全部责任和义务，按</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质、按量、按期完成《合同书》中的全部任务。</w:t>
      </w:r>
    </w:p>
    <w:p>
      <w:pPr>
        <w:spacing w:line="380" w:lineRule="exact"/>
        <w:ind w:left="315"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）所有与本投标有关的函件请发往下列地址：</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945" w:firstLineChars="45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盖单位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spacing w:line="400" w:lineRule="exact"/>
        <w:ind w:firstLine="1470" w:firstLineChars="7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法定</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 或授权代表</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none"/>
          <w:lang w:eastAsia="zh-CN"/>
        </w:rPr>
        <w:t>：</w:t>
      </w:r>
    </w:p>
    <w:p>
      <w:pPr>
        <w:pStyle w:val="65"/>
        <w:outlineLvl w:val="9"/>
        <w:rPr>
          <w:rFonts w:hint="eastAsia" w:ascii="宋体" w:hAnsi="宋体" w:eastAsia="宋体" w:cs="宋体"/>
          <w:color w:val="auto"/>
          <w:sz w:val="21"/>
          <w:szCs w:val="21"/>
          <w:highlight w:val="none"/>
          <w:u w:val="none"/>
          <w:lang w:eastAsia="zh-CN"/>
        </w:rPr>
      </w:pPr>
    </w:p>
    <w:p>
      <w:pPr>
        <w:pStyle w:val="65"/>
        <w:outlineLvl w:val="9"/>
        <w:rPr>
          <w:rFonts w:hint="eastAsia" w:ascii="宋体" w:hAnsi="宋体" w:eastAsia="宋体" w:cs="宋体"/>
          <w:color w:val="auto"/>
          <w:sz w:val="21"/>
          <w:szCs w:val="21"/>
          <w:highlight w:val="none"/>
          <w:u w:val="none"/>
          <w:lang w:eastAsia="zh-CN"/>
        </w:rPr>
      </w:pP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▲不提供投标函的投标文件将被视为未实质性响应采购文件。</w:t>
      </w:r>
    </w:p>
    <w:p>
      <w:pPr>
        <w:pStyle w:val="65"/>
        <w:outlineLvl w:val="9"/>
        <w:rPr>
          <w:rFonts w:hint="eastAsia" w:ascii="宋体" w:hAnsi="宋体" w:eastAsia="宋体" w:cs="宋体"/>
          <w:color w:val="auto"/>
          <w:sz w:val="21"/>
          <w:szCs w:val="21"/>
          <w:highlight w:val="none"/>
          <w:u w:val="none"/>
          <w:lang w:eastAsia="zh-CN"/>
        </w:rPr>
        <w:sectPr>
          <w:headerReference r:id="rId8" w:type="default"/>
          <w:footerReference r:id="rId9" w:type="default"/>
          <w:pgSz w:w="11906" w:h="16838"/>
          <w:pgMar w:top="1134" w:right="1134" w:bottom="1134" w:left="1417" w:header="851" w:footer="567" w:gutter="0"/>
          <w:pgBorders>
            <w:top w:val="none" w:sz="0" w:space="0"/>
            <w:left w:val="none" w:sz="0" w:space="0"/>
            <w:bottom w:val="none" w:sz="0" w:space="0"/>
            <w:right w:val="none" w:sz="0" w:space="0"/>
          </w:pgBorders>
          <w:pgNumType w:fmt="decimal"/>
          <w:cols w:space="720" w:num="1"/>
          <w:titlePg/>
          <w:rtlGutter w:val="0"/>
          <w:docGrid w:linePitch="312" w:charSpace="0"/>
        </w:sectPr>
      </w:pPr>
    </w:p>
    <w:p>
      <w:pPr>
        <w:adjustRightInd/>
        <w:snapToGrid/>
        <w:spacing w:before="120" w:after="120" w:line="320" w:lineRule="exact"/>
        <w:jc w:val="both"/>
        <w:outlineLvl w:val="9"/>
        <w:rPr>
          <w:rFonts w:hint="eastAsia" w:ascii="宋体" w:hAnsi="宋体" w:eastAsia="宋体" w:cs="宋体"/>
          <w:color w:val="auto"/>
          <w:kern w:val="2"/>
          <w:sz w:val="22"/>
          <w:szCs w:val="22"/>
          <w:highlight w:val="none"/>
          <w:lang w:eastAsia="zh-CN"/>
        </w:rPr>
      </w:pPr>
      <w:bookmarkStart w:id="156" w:name="_Toc23743"/>
      <w:bookmarkStart w:id="157" w:name="_Toc15187"/>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二</w:t>
      </w:r>
      <w:bookmarkEnd w:id="156"/>
      <w:bookmarkEnd w:id="157"/>
      <w:r>
        <w:rPr>
          <w:rFonts w:hint="eastAsia" w:ascii="宋体" w:hAnsi="宋体" w:eastAsia="宋体" w:cs="宋体"/>
          <w:b/>
          <w:bCs/>
          <w:color w:val="auto"/>
          <w:sz w:val="28"/>
          <w:szCs w:val="28"/>
          <w:highlight w:val="none"/>
          <w:lang w:val="en-US" w:eastAsia="zh-CN"/>
        </w:rPr>
        <w:t xml:space="preserve"> 资格资质证明文件</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kern w:val="2"/>
          <w:sz w:val="36"/>
          <w:szCs w:val="36"/>
          <w:highlight w:val="none"/>
        </w:rPr>
        <w:t xml:space="preserve"> </w:t>
      </w:r>
      <w:r>
        <w:rPr>
          <w:rFonts w:hint="eastAsia" w:ascii="宋体" w:hAnsi="宋体" w:eastAsia="宋体" w:cs="宋体"/>
          <w:color w:val="auto"/>
          <w:kern w:val="2"/>
          <w:sz w:val="22"/>
          <w:szCs w:val="22"/>
          <w:highlight w:val="none"/>
          <w:lang w:val="en-US" w:eastAsia="zh-CN"/>
        </w:rPr>
        <w:t xml:space="preserve"> </w:t>
      </w:r>
    </w:p>
    <w:p>
      <w:pPr>
        <w:spacing w:line="360" w:lineRule="auto"/>
        <w:jc w:val="center"/>
        <w:outlineLvl w:val="9"/>
        <w:rPr>
          <w:rFonts w:hint="eastAsia" w:ascii="宋体" w:hAnsi="宋体" w:eastAsia="宋体" w:cs="宋体"/>
          <w:b/>
          <w:color w:val="auto"/>
          <w:sz w:val="21"/>
          <w:szCs w:val="21"/>
          <w:highlight w:val="none"/>
        </w:rPr>
      </w:pPr>
    </w:p>
    <w:p>
      <w:pPr>
        <w:snapToGrid w:val="0"/>
        <w:spacing w:before="120" w:beforeLines="50" w:after="50"/>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法定代表人授权书</w:t>
      </w:r>
    </w:p>
    <w:p>
      <w:pPr>
        <w:outlineLvl w:val="9"/>
        <w:rPr>
          <w:rFonts w:hint="eastAsia" w:ascii="宋体" w:hAnsi="宋体" w:eastAsia="宋体" w:cs="宋体"/>
          <w:b/>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w:t>
      </w:r>
    </w:p>
    <w:p>
      <w:pPr>
        <w:spacing w:line="480" w:lineRule="exact"/>
        <w:ind w:firstLine="2319" w:firstLineChars="1100"/>
        <w:outlineLvl w:val="9"/>
        <w:rPr>
          <w:rFonts w:hint="eastAsia" w:ascii="宋体" w:hAnsi="宋体" w:eastAsia="宋体" w:cs="宋体"/>
          <w:b/>
          <w:color w:val="auto"/>
          <w:sz w:val="21"/>
          <w:szCs w:val="21"/>
          <w:highlight w:val="none"/>
        </w:rPr>
      </w:pPr>
    </w:p>
    <w:p>
      <w:pPr>
        <w:spacing w:line="360" w:lineRule="auto"/>
        <w:ind w:left="120" w:leftChars="57"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本授权书声明：注册于中华人民共和国的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名称）法定代表人</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代表本公司授权</w:t>
      </w:r>
      <w:r>
        <w:rPr>
          <w:rFonts w:hint="eastAsia" w:ascii="宋体" w:hAnsi="宋体" w:eastAsia="宋体" w:cs="宋体"/>
          <w:color w:val="auto"/>
          <w:sz w:val="21"/>
          <w:szCs w:val="21"/>
          <w:highlight w:val="none"/>
          <w:u w:val="single"/>
        </w:rPr>
        <w:t>　（被授权人的姓名、职务）</w:t>
      </w:r>
      <w:r>
        <w:rPr>
          <w:rFonts w:hint="eastAsia" w:ascii="宋体" w:hAnsi="宋体" w:eastAsia="宋体" w:cs="宋体"/>
          <w:color w:val="auto"/>
          <w:sz w:val="21"/>
          <w:szCs w:val="21"/>
          <w:highlight w:val="none"/>
        </w:rPr>
        <w:t>为本公司的合法代表人，就</w:t>
      </w:r>
      <w:r>
        <w:rPr>
          <w:rFonts w:hint="eastAsia" w:ascii="宋体" w:hAnsi="宋体" w:cs="宋体"/>
          <w:color w:val="auto"/>
          <w:sz w:val="21"/>
          <w:szCs w:val="21"/>
          <w:highlight w:val="none"/>
          <w:u w:val="single"/>
          <w:lang w:eastAsia="zh-CN"/>
        </w:rPr>
        <w:t>IPO券商中介服务</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cs="宋体"/>
          <w:color w:val="auto"/>
          <w:sz w:val="21"/>
          <w:szCs w:val="21"/>
          <w:highlight w:val="none"/>
          <w:u w:val="single"/>
          <w:lang w:eastAsia="zh-CN"/>
        </w:rPr>
        <w:t>WGSS-JFJT-X-2023009</w:t>
      </w:r>
      <w:r>
        <w:rPr>
          <w:rFonts w:hint="eastAsia" w:ascii="宋体" w:hAnsi="宋体" w:eastAsia="宋体" w:cs="宋体"/>
          <w:color w:val="auto"/>
          <w:sz w:val="21"/>
          <w:szCs w:val="21"/>
          <w:highlight w:val="none"/>
        </w:rPr>
        <w:t xml:space="preserve"> ）的投标和合同执行，以我方的名义处理一切与之有关的事宜。</w:t>
      </w:r>
    </w:p>
    <w:p>
      <w:pPr>
        <w:spacing w:line="4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日签字生效，有效期至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日，特此声明。</w:t>
      </w:r>
    </w:p>
    <w:p>
      <w:pPr>
        <w:spacing w:line="480" w:lineRule="exact"/>
        <w:ind w:firstLine="295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spacing w:line="480" w:lineRule="exact"/>
        <w:ind w:firstLine="3788" w:firstLineChars="18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 xml:space="preserve">全称（公章）：                  </w:t>
      </w:r>
    </w:p>
    <w:p>
      <w:pPr>
        <w:spacing w:line="480" w:lineRule="exact"/>
        <w:ind w:firstLine="3685" w:firstLineChars="17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单位负责人</w:t>
      </w:r>
      <w:r>
        <w:rPr>
          <w:rFonts w:hint="eastAsia" w:ascii="宋体" w:hAnsi="宋体" w:eastAsia="宋体" w:cs="宋体"/>
          <w:color w:val="auto"/>
          <w:sz w:val="21"/>
          <w:szCs w:val="21"/>
          <w:highlight w:val="none"/>
        </w:rPr>
        <w:t xml:space="preserve">）（签字或盖章）：                  </w:t>
      </w:r>
    </w:p>
    <w:p>
      <w:pPr>
        <w:spacing w:line="480" w:lineRule="exact"/>
        <w:ind w:firstLine="29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授 权 日 期：         年    月    日</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授权代表（签字）：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p>
    <w:p>
      <w:pPr>
        <w:spacing w:line="480" w:lineRule="exact"/>
        <w:ind w:firstLine="472" w:firstLineChars="225"/>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详细通讯地址：                   </w:t>
      </w:r>
      <w:r>
        <w:rPr>
          <w:rFonts w:hint="eastAsia" w:ascii="宋体" w:hAnsi="宋体" w:eastAsia="宋体" w:cs="宋体"/>
          <w:color w:val="auto"/>
          <w:sz w:val="21"/>
          <w:szCs w:val="21"/>
          <w:highlight w:val="none"/>
          <w:lang w:val="en-US" w:eastAsia="zh-CN"/>
        </w:rPr>
        <w:t xml:space="preserve">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邮政编码: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9571" w:type="dxa"/>
            <w:noWrap w:val="0"/>
            <w:vAlign w:val="center"/>
          </w:tcPr>
          <w:p>
            <w:pPr>
              <w:keepNext w:val="0"/>
              <w:keepLines w:val="0"/>
              <w:suppressLineNumbers w:val="0"/>
              <w:spacing w:before="0" w:beforeAutospacing="0" w:after="0" w:afterAutospacing="0" w:line="380" w:lineRule="exact"/>
              <w:ind w:left="0" w:right="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571" w:type="dxa"/>
            <w:noWrap w:val="0"/>
            <w:vAlign w:val="center"/>
          </w:tcPr>
          <w:p>
            <w:pPr>
              <w:keepNext w:val="0"/>
              <w:keepLines w:val="0"/>
              <w:suppressLineNumbers w:val="0"/>
              <w:spacing w:before="0" w:beforeAutospacing="0" w:after="0" w:afterAutospacing="0" w:line="380" w:lineRule="exact"/>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代表授权代表证复印件</w:t>
            </w:r>
            <w:r>
              <w:rPr>
                <w:rFonts w:hint="eastAsia" w:ascii="宋体" w:hAnsi="宋体" w:eastAsia="宋体" w:cs="宋体"/>
                <w:color w:val="auto"/>
                <w:sz w:val="21"/>
                <w:szCs w:val="21"/>
                <w:highlight w:val="none"/>
                <w:lang w:val="en-US" w:eastAsia="zh-CN"/>
              </w:rPr>
              <w:t>黏贴处</w:t>
            </w:r>
          </w:p>
          <w:p>
            <w:pPr>
              <w:keepNext w:val="0"/>
              <w:keepLines w:val="0"/>
              <w:suppressLineNumbers w:val="0"/>
              <w:spacing w:before="0" w:beforeAutospacing="0" w:after="0" w:afterAutospacing="0" w:line="380" w:lineRule="exact"/>
              <w:ind w:left="0" w:right="0"/>
              <w:jc w:val="center"/>
              <w:outlineLvl w:val="9"/>
              <w:rPr>
                <w:rFonts w:hint="eastAsia" w:ascii="宋体" w:hAnsi="宋体" w:eastAsia="宋体" w:cs="宋体"/>
                <w:color w:val="auto"/>
                <w:sz w:val="21"/>
                <w:szCs w:val="21"/>
                <w:highlight w:val="none"/>
                <w:vertAlign w:val="baseline"/>
              </w:rPr>
            </w:pPr>
          </w:p>
        </w:tc>
      </w:tr>
    </w:tbl>
    <w:p>
      <w:pPr>
        <w:pStyle w:val="20"/>
        <w:spacing w:line="320" w:lineRule="exact"/>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注：本法定代表人授权书正本一式二份，资信标正本中一份，另一份在递交投标文件时提交。</w:t>
      </w:r>
    </w:p>
    <w:p>
      <w:pPr>
        <w:pStyle w:val="20"/>
        <w:spacing w:line="320" w:lineRule="exact"/>
        <w:ind w:firstLine="723" w:firstLineChars="343"/>
        <w:outlineLvl w:val="9"/>
        <w:rPr>
          <w:rFonts w:hint="eastAsia" w:ascii="宋体" w:hAnsi="宋体" w:eastAsia="宋体" w:cs="宋体"/>
          <w:b/>
          <w:color w:val="auto"/>
          <w:kern w:val="2"/>
          <w:sz w:val="21"/>
          <w:szCs w:val="21"/>
          <w:highlight w:val="none"/>
        </w:rPr>
      </w:pP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kern w:val="0"/>
          <w:sz w:val="21"/>
          <w:szCs w:val="21"/>
          <w:highlight w:val="none"/>
        </w:rPr>
        <w:t>法定代表人（法定负责人）资格证明书</w:t>
      </w: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（如法定代表人（法定负责人）参加投标时提供）</w:t>
      </w:r>
    </w:p>
    <w:p>
      <w:pPr>
        <w:widowControl/>
        <w:spacing w:line="360" w:lineRule="auto"/>
        <w:outlineLvl w:val="9"/>
        <w:rPr>
          <w:rFonts w:hint="eastAsia" w:ascii="宋体" w:hAnsi="宋体" w:eastAsia="宋体" w:cs="宋体"/>
          <w:color w:val="auto"/>
          <w:sz w:val="21"/>
          <w:szCs w:val="21"/>
          <w:highlight w:val="none"/>
          <w:u w:val="single"/>
        </w:rPr>
      </w:pPr>
    </w:p>
    <w:p>
      <w:pPr>
        <w:spacing w:line="420" w:lineRule="exac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w:t>
      </w:r>
    </w:p>
    <w:p>
      <w:pPr>
        <w:widowControl/>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大地工程咨询有限公司：</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姓名：          性别：           年龄：            职务：        </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本人系</w:t>
      </w:r>
      <w:r>
        <w:rPr>
          <w:rFonts w:hint="eastAsia" w:ascii="宋体" w:hAnsi="宋体" w:eastAsia="宋体" w:cs="宋体"/>
          <w:color w:val="auto"/>
          <w:kern w:val="0"/>
          <w:sz w:val="21"/>
          <w:szCs w:val="21"/>
          <w:highlight w:val="none"/>
          <w:u w:val="single"/>
        </w:rPr>
        <w:t xml:space="preserve">       &lt;</w:t>
      </w:r>
      <w:r>
        <w:rPr>
          <w:rFonts w:hint="eastAsia" w:ascii="宋体" w:hAnsi="宋体" w:eastAsia="宋体" w:cs="宋体"/>
          <w:color w:val="auto"/>
          <w:kern w:val="0"/>
          <w:sz w:val="21"/>
          <w:szCs w:val="21"/>
          <w:highlight w:val="none"/>
          <w:u w:val="single"/>
          <w:lang w:eastAsia="zh-CN"/>
        </w:rPr>
        <w:t>投标供应商</w:t>
      </w:r>
      <w:r>
        <w:rPr>
          <w:rFonts w:hint="eastAsia" w:ascii="宋体" w:hAnsi="宋体" w:eastAsia="宋体" w:cs="宋体"/>
          <w:color w:val="auto"/>
          <w:kern w:val="0"/>
          <w:sz w:val="21"/>
          <w:szCs w:val="21"/>
          <w:highlight w:val="none"/>
          <w:u w:val="single"/>
        </w:rPr>
        <w:t xml:space="preserve">名称&gt;      </w:t>
      </w:r>
      <w:r>
        <w:rPr>
          <w:rFonts w:hint="eastAsia" w:ascii="宋体" w:hAnsi="宋体" w:eastAsia="宋体" w:cs="宋体"/>
          <w:color w:val="auto"/>
          <w:kern w:val="0"/>
          <w:sz w:val="21"/>
          <w:szCs w:val="21"/>
          <w:highlight w:val="none"/>
        </w:rPr>
        <w:t>的法定代表人（法定负责人）。为你单位组织的</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编号为</w:t>
      </w:r>
      <w:r>
        <w:rPr>
          <w:rFonts w:hint="eastAsia" w:ascii="宋体" w:hAnsi="宋体" w:cs="宋体"/>
          <w:color w:val="auto"/>
          <w:sz w:val="21"/>
          <w:szCs w:val="21"/>
          <w:highlight w:val="none"/>
          <w:u w:val="single"/>
          <w:lang w:eastAsia="zh-CN"/>
        </w:rPr>
        <w:t>WGSS-JFJT-X-2023009</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u w:val="single"/>
          <w:lang w:eastAsia="zh-CN"/>
        </w:rPr>
        <w:t>IPO券商中介服务</w:t>
      </w:r>
      <w:r>
        <w:rPr>
          <w:rFonts w:hint="eastAsia" w:ascii="宋体" w:hAnsi="宋体" w:eastAsia="宋体" w:cs="宋体"/>
          <w:color w:val="auto"/>
          <w:kern w:val="0"/>
          <w:sz w:val="21"/>
          <w:szCs w:val="21"/>
          <w:highlight w:val="none"/>
        </w:rPr>
        <w:t>采购项目，签署上述项目的投标文件、进行合同谈判、签署合同和处理与之有关的一切事务。</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9571" w:type="dxa"/>
            <w:noWrap w:val="0"/>
            <w:vAlign w:val="center"/>
          </w:tcPr>
          <w:p>
            <w:pPr>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highlight w:val="none"/>
                <w:vertAlign w:val="baseline"/>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bl>
    <w:p>
      <w:pPr>
        <w:widowControl/>
        <w:spacing w:line="480" w:lineRule="auto"/>
        <w:ind w:left="420" w:firstLine="473"/>
        <w:jc w:val="left"/>
        <w:outlineLvl w:val="9"/>
        <w:rPr>
          <w:rFonts w:hint="eastAsia" w:ascii="宋体" w:hAnsi="宋体" w:eastAsia="宋体" w:cs="宋体"/>
          <w:color w:val="auto"/>
          <w:kern w:val="0"/>
          <w:sz w:val="21"/>
          <w:szCs w:val="21"/>
          <w:highlight w:val="none"/>
        </w:rPr>
      </w:pP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投标供应商</w:t>
      </w:r>
      <w:r>
        <w:rPr>
          <w:rFonts w:hint="eastAsia" w:ascii="宋体" w:hAnsi="宋体" w:eastAsia="宋体" w:cs="宋体"/>
          <w:color w:val="auto"/>
          <w:kern w:val="0"/>
          <w:sz w:val="21"/>
          <w:szCs w:val="21"/>
          <w:highlight w:val="none"/>
        </w:rPr>
        <w:t xml:space="preserve">名称（加盖公章）：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法定代表人（法定负责人）（签字</w:t>
      </w:r>
      <w:r>
        <w:rPr>
          <w:rFonts w:hint="eastAsia" w:ascii="宋体" w:hAnsi="宋体" w:eastAsia="宋体" w:cs="宋体"/>
          <w:color w:val="auto"/>
          <w:sz w:val="21"/>
          <w:szCs w:val="21"/>
          <w:highlight w:val="none"/>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pPr>
        <w:widowControl/>
        <w:snapToGrid w:val="0"/>
        <w:spacing w:before="60" w:line="480" w:lineRule="auto"/>
        <w:ind w:firstLine="189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签署日期：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月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日</w:t>
      </w: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firstLineChars="0"/>
        <w:jc w:val="left"/>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说明：法定代表人（法定负责人）参加本采购项目投标的，仅须提供此证明书。</w:t>
      </w:r>
    </w:p>
    <w:p>
      <w:pPr>
        <w:snapToGrid w:val="0"/>
        <w:spacing w:before="120" w:beforeLines="50" w:after="50"/>
        <w:jc w:val="left"/>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21"/>
          <w:szCs w:val="21"/>
          <w:highlight w:val="none"/>
        </w:rPr>
        <w:br w:type="page"/>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w:t>
      </w:r>
      <w:r>
        <w:rPr>
          <w:rFonts w:hint="eastAsia" w:ascii="宋体" w:hAnsi="宋体" w:eastAsia="宋体" w:cs="宋体"/>
          <w:color w:val="auto"/>
          <w:kern w:val="2"/>
          <w:sz w:val="21"/>
          <w:szCs w:val="21"/>
          <w:highlight w:val="none"/>
        </w:rPr>
        <w:t xml:space="preserve"> </w:t>
      </w:r>
      <w:r>
        <w:rPr>
          <w:rFonts w:hint="eastAsia" w:ascii="宋体" w:hAnsi="宋体" w:eastAsia="宋体" w:cs="宋体"/>
          <w:b/>
          <w:bCs/>
          <w:color w:val="auto"/>
          <w:sz w:val="28"/>
          <w:szCs w:val="28"/>
          <w:highlight w:val="none"/>
        </w:rPr>
        <w:t>投标供应商企业法人有效营业执照（复印件加盖单位公章）</w:t>
      </w:r>
    </w:p>
    <w:p>
      <w:pPr>
        <w:pStyle w:val="15"/>
        <w:ind w:left="0" w:leftChars="0" w:firstLine="0" w:firstLineChars="0"/>
        <w:outlineLvl w:val="9"/>
        <w:rPr>
          <w:rFonts w:hint="eastAsia" w:ascii="宋体" w:hAnsi="宋体" w:eastAsia="宋体" w:cs="宋体"/>
          <w:b/>
          <w:color w:val="auto"/>
          <w:sz w:val="21"/>
          <w:szCs w:val="21"/>
          <w:highlight w:val="none"/>
        </w:rPr>
      </w:pPr>
    </w:p>
    <w:p>
      <w:pPr>
        <w:pStyle w:val="15"/>
        <w:ind w:left="0" w:leftChars="0" w:firstLine="0" w:firstLineChars="0"/>
        <w:outlineLvl w:val="9"/>
        <w:rPr>
          <w:rFonts w:hint="eastAsia" w:ascii="宋体" w:hAnsi="宋体" w:eastAsia="宋体" w:cs="宋体"/>
          <w:b/>
          <w:color w:val="auto"/>
          <w:sz w:val="21"/>
          <w:szCs w:val="21"/>
          <w:highlight w:val="none"/>
        </w:rPr>
      </w:pPr>
    </w:p>
    <w:p>
      <w:pPr>
        <w:snapToGrid w:val="0"/>
        <w:spacing w:before="120" w:beforeLines="50" w:after="50"/>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符合参加国企采购活动应当具备的条件的承诺函;</w:t>
      </w:r>
    </w:p>
    <w:p>
      <w:pPr>
        <w:spacing w:line="460" w:lineRule="exact"/>
        <w:outlineLvl w:val="9"/>
        <w:rPr>
          <w:rFonts w:hint="eastAsia" w:ascii="宋体" w:hAnsi="宋体" w:eastAsia="宋体" w:cs="宋体"/>
          <w:b/>
          <w:bCs/>
          <w:color w:val="auto"/>
          <w:sz w:val="21"/>
          <w:szCs w:val="21"/>
          <w:highlight w:val="none"/>
          <w:u w:val="single"/>
        </w:rPr>
      </w:pPr>
    </w:p>
    <w:p>
      <w:pPr>
        <w:spacing w:line="460" w:lineRule="exact"/>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温州诚达交通发展股份有限公司</w:t>
      </w:r>
      <w:r>
        <w:rPr>
          <w:rFonts w:hint="eastAsia" w:ascii="宋体" w:hAnsi="宋体" w:eastAsia="宋体" w:cs="宋体"/>
          <w:b/>
          <w:bCs/>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cs="宋体"/>
          <w:color w:val="auto"/>
          <w:sz w:val="21"/>
          <w:szCs w:val="21"/>
          <w:highlight w:val="none"/>
          <w:u w:val="single"/>
          <w:lang w:eastAsia="zh-CN"/>
        </w:rPr>
        <w:t>IPO券商中介服务</w:t>
      </w:r>
      <w:r>
        <w:rPr>
          <w:rFonts w:hint="eastAsia" w:ascii="宋体" w:hAnsi="宋体" w:eastAsia="宋体" w:cs="宋体"/>
          <w:color w:val="auto"/>
          <w:sz w:val="21"/>
          <w:szCs w:val="21"/>
          <w:highlight w:val="none"/>
        </w:rPr>
        <w:t>（项目名称）【项目编号：</w:t>
      </w:r>
      <w:r>
        <w:rPr>
          <w:rFonts w:hint="eastAsia" w:ascii="宋体" w:hAnsi="宋体" w:cs="宋体"/>
          <w:color w:val="auto"/>
          <w:sz w:val="21"/>
          <w:szCs w:val="21"/>
          <w:highlight w:val="none"/>
          <w:lang w:eastAsia="zh-CN"/>
        </w:rPr>
        <w:t>WGSS-JFJT-X-2023009</w:t>
      </w:r>
      <w:r>
        <w:rPr>
          <w:rFonts w:hint="eastAsia" w:ascii="宋体" w:hAnsi="宋体" w:eastAsia="宋体" w:cs="宋体"/>
          <w:color w:val="auto"/>
          <w:sz w:val="21"/>
          <w:szCs w:val="21"/>
          <w:highlight w:val="none"/>
        </w:rPr>
        <w:t>】国企采购活动，郑重承诺：</w:t>
      </w:r>
    </w:p>
    <w:p>
      <w:pPr>
        <w:snapToGrid w:val="0"/>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（一）我方具备</w:t>
      </w:r>
      <w:r>
        <w:rPr>
          <w:rFonts w:hint="eastAsia" w:ascii="宋体" w:hAnsi="宋体" w:eastAsia="宋体" w:cs="宋体"/>
          <w:color w:val="auto"/>
          <w:kern w:val="0"/>
          <w:sz w:val="21"/>
          <w:szCs w:val="21"/>
          <w:highlight w:val="none"/>
        </w:rPr>
        <w:t>符合《温州市市属国有企业采购管理办法（试行）》第十五条对供应商参加温州市国有企业采购活动应当具备的条件</w:t>
      </w:r>
      <w:r>
        <w:rPr>
          <w:rFonts w:hint="eastAsia" w:ascii="宋体" w:hAnsi="宋体" w:eastAsia="宋体" w:cs="宋体"/>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3、具有履行合同所必需的设备和专业技术能力、售后保障等能力；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5、参加采购、招投标等活动前三年内，在经营活动中没有重大违法记录、严重失信记录和行贿记录；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widowControl/>
        <w:adjustRightInd w:val="0"/>
        <w:snapToGrid w:val="0"/>
        <w:spacing w:line="440" w:lineRule="exact"/>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特此承诺！</w:t>
      </w:r>
    </w:p>
    <w:p>
      <w:pPr>
        <w:spacing w:line="460" w:lineRule="exact"/>
        <w:outlineLvl w:val="9"/>
        <w:rPr>
          <w:rFonts w:hint="eastAsia" w:ascii="宋体" w:hAnsi="宋体" w:eastAsia="宋体" w:cs="宋体"/>
          <w:b/>
          <w:bCs/>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p>
    <w:p>
      <w:pPr>
        <w:pStyle w:val="30"/>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pStyle w:val="30"/>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pStyle w:val="30"/>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pStyle w:val="30"/>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pStyle w:val="30"/>
        <w:rPr>
          <w:rFonts w:hint="eastAsia"/>
          <w:lang w:val="en-US" w:eastAsia="zh-CN"/>
        </w:rPr>
      </w:pPr>
    </w:p>
    <w:p>
      <w:pPr>
        <w:snapToGrid w:val="0"/>
        <w:spacing w:before="120" w:beforeLines="50" w:after="50"/>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单位负责人为同一人或者存在直接控股、管理关系的不同供应商，不得参加同一合同项下的采购活动承诺函</w:t>
      </w:r>
    </w:p>
    <w:p>
      <w:pPr>
        <w:spacing w:line="460" w:lineRule="exact"/>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我方郑重承诺，我方此次参加</w:t>
      </w:r>
      <w:r>
        <w:rPr>
          <w:rFonts w:hint="eastAsia" w:ascii="宋体" w:hAnsi="宋体" w:cs="宋体"/>
          <w:color w:val="auto"/>
          <w:sz w:val="21"/>
          <w:szCs w:val="21"/>
          <w:highlight w:val="none"/>
          <w:u w:val="single"/>
          <w:lang w:eastAsia="zh-CN"/>
        </w:rPr>
        <w:t>IPO券商中介服务</w:t>
      </w:r>
      <w:r>
        <w:rPr>
          <w:rFonts w:hint="eastAsia" w:ascii="宋体" w:hAnsi="宋体" w:eastAsia="宋体" w:cs="宋体"/>
          <w:color w:val="auto"/>
          <w:sz w:val="21"/>
          <w:szCs w:val="21"/>
          <w:highlight w:val="none"/>
        </w:rPr>
        <w:t>（项目名称）【项目编号：</w:t>
      </w:r>
      <w:r>
        <w:rPr>
          <w:rFonts w:hint="eastAsia" w:ascii="宋体" w:hAnsi="宋体" w:cs="宋体"/>
          <w:color w:val="auto"/>
          <w:sz w:val="21"/>
          <w:szCs w:val="21"/>
          <w:highlight w:val="none"/>
          <w:lang w:eastAsia="zh-CN"/>
        </w:rPr>
        <w:t>WGSS-JFJT-X-2023009</w:t>
      </w:r>
      <w:r>
        <w:rPr>
          <w:rFonts w:hint="eastAsia" w:ascii="宋体" w:hAnsi="宋体" w:eastAsia="宋体" w:cs="宋体"/>
          <w:color w:val="auto"/>
          <w:sz w:val="21"/>
          <w:szCs w:val="21"/>
          <w:highlight w:val="none"/>
        </w:rPr>
        <w:t>】的投标，与参加本次项目同一合同项下国企采购活动的其他供应商不存在单位负责人为同一人或者直接控股、管理关系。如有虚假或隐瞒，愿意承担一切后果。</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投标供应商没有失信记录承诺函</w:t>
      </w:r>
    </w:p>
    <w:p>
      <w:pPr>
        <w:spacing w:line="460" w:lineRule="exac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温州诚达交通发展股份有限公司</w:t>
      </w:r>
      <w:r>
        <w:rPr>
          <w:rFonts w:hint="eastAsia" w:ascii="宋体" w:hAnsi="宋体" w:eastAsia="宋体" w:cs="宋体"/>
          <w:color w:val="auto"/>
          <w:sz w:val="21"/>
          <w:szCs w:val="21"/>
          <w:highlight w:val="none"/>
        </w:rPr>
        <w:t>：</w:t>
      </w:r>
    </w:p>
    <w:p>
      <w:pPr>
        <w:spacing w:line="460" w:lineRule="exact"/>
        <w:ind w:firstLine="630" w:firstLine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我公司郑重承诺：到本项目</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IPO券商中介服务</w:t>
      </w:r>
      <w:r>
        <w:rPr>
          <w:rFonts w:hint="eastAsia" w:ascii="宋体" w:hAnsi="宋体" w:eastAsia="宋体" w:cs="宋体"/>
          <w:color w:val="auto"/>
          <w:sz w:val="21"/>
          <w:szCs w:val="21"/>
          <w:highlight w:val="none"/>
        </w:rPr>
        <w:t>（项目名称）【项目编号：</w:t>
      </w:r>
      <w:r>
        <w:rPr>
          <w:rFonts w:hint="eastAsia" w:ascii="宋体" w:hAnsi="宋体" w:cs="宋体"/>
          <w:color w:val="auto"/>
          <w:sz w:val="21"/>
          <w:szCs w:val="21"/>
          <w:highlight w:val="none"/>
          <w:lang w:eastAsia="zh-CN"/>
        </w:rPr>
        <w:t>WGSS-JFJT-X-2023009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投标截止时间为止，我公司</w:t>
      </w:r>
      <w:r>
        <w:rPr>
          <w:rFonts w:hint="eastAsia" w:ascii="宋体" w:hAnsi="宋体" w:eastAsia="宋体" w:cs="宋体"/>
          <w:bCs/>
          <w:color w:val="auto"/>
          <w:kern w:val="0"/>
          <w:sz w:val="21"/>
          <w:szCs w:val="21"/>
          <w:highlight w:val="none"/>
        </w:rPr>
        <w:t>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color w:val="auto"/>
          <w:sz w:val="21"/>
          <w:szCs w:val="21"/>
          <w:highlight w:val="none"/>
        </w:rPr>
        <w:t>。如有隐瞒，愿承担一切责任。</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ind w:left="442" w:hanging="422" w:hangingChars="200"/>
        <w:outlineLvl w:val="9"/>
        <w:rPr>
          <w:rFonts w:hint="eastAsia" w:ascii="宋体" w:hAnsi="宋体" w:eastAsia="宋体" w:cs="宋体"/>
          <w:b/>
          <w:bCs/>
          <w:color w:val="auto"/>
          <w:sz w:val="21"/>
          <w:szCs w:val="21"/>
          <w:highlight w:val="none"/>
        </w:rPr>
      </w:pPr>
    </w:p>
    <w:p>
      <w:pP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8"/>
          <w:szCs w:val="28"/>
          <w:highlight w:val="none"/>
          <w:lang w:val="en-US" w:eastAsia="zh-CN"/>
        </w:rPr>
        <w:t>（6）</w:t>
      </w:r>
      <w:r>
        <w:rPr>
          <w:rFonts w:hint="eastAsia" w:ascii="宋体" w:hAnsi="宋体" w:cs="宋体"/>
          <w:b/>
          <w:bCs/>
          <w:color w:val="auto"/>
          <w:sz w:val="28"/>
          <w:szCs w:val="28"/>
          <w:highlight w:val="none"/>
          <w:lang w:val="en-US" w:eastAsia="zh-CN"/>
        </w:rPr>
        <w:t>投标供应商</w:t>
      </w:r>
      <w:r>
        <w:rPr>
          <w:rFonts w:hint="eastAsia" w:ascii="宋体" w:hAnsi="宋体" w:eastAsia="宋体" w:cs="宋体"/>
          <w:b/>
          <w:bCs/>
          <w:color w:val="auto"/>
          <w:sz w:val="28"/>
          <w:szCs w:val="28"/>
          <w:highlight w:val="none"/>
          <w:lang w:val="en-US" w:eastAsia="zh-CN"/>
        </w:rPr>
        <w:t>提供有效的中国证监会颁发的经营证券业务（承销与保荐业务）许可证</w:t>
      </w:r>
      <w:r>
        <w:rPr>
          <w:rFonts w:hint="eastAsia" w:ascii="宋体" w:hAnsi="宋体" w:eastAsia="宋体" w:cs="宋体"/>
          <w:b/>
          <w:bCs/>
          <w:color w:val="auto"/>
          <w:sz w:val="28"/>
          <w:szCs w:val="28"/>
          <w:highlight w:val="none"/>
        </w:rPr>
        <w:t>（复印件加盖单位公章）</w:t>
      </w:r>
      <w:r>
        <w:rPr>
          <w:rFonts w:hint="eastAsia" w:ascii="宋体" w:hAnsi="宋体" w:cs="宋体"/>
          <w:b/>
          <w:bCs/>
          <w:color w:val="auto"/>
          <w:sz w:val="28"/>
          <w:szCs w:val="28"/>
          <w:highlight w:val="none"/>
          <w:lang w:eastAsia="zh-CN"/>
        </w:rPr>
        <w:t>。</w:t>
      </w:r>
    </w:p>
    <w:p>
      <w:pPr>
        <w:outlineLvl w:val="9"/>
        <w:rPr>
          <w:rFonts w:hint="eastAsia" w:ascii="宋体" w:hAnsi="宋体" w:eastAsia="宋体" w:cs="宋体"/>
          <w:b/>
          <w:bCs/>
          <w:color w:val="auto"/>
          <w:sz w:val="28"/>
          <w:szCs w:val="28"/>
          <w:highlight w:val="none"/>
          <w:lang w:val="en-US" w:eastAsia="zh-CN"/>
        </w:rPr>
      </w:pPr>
    </w:p>
    <w:p>
      <w:pPr>
        <w:outlineLvl w:val="9"/>
        <w:rPr>
          <w:rFonts w:hint="eastAsia" w:ascii="宋体" w:hAnsi="宋体" w:eastAsia="宋体" w:cs="宋体"/>
          <w:b/>
          <w:bCs/>
          <w:color w:val="auto"/>
          <w:sz w:val="28"/>
          <w:szCs w:val="28"/>
          <w:highlight w:val="none"/>
          <w:lang w:val="en-US" w:eastAsia="zh-CN"/>
        </w:rPr>
      </w:pPr>
    </w:p>
    <w:p>
      <w:pP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（7）投标供应商提供证券公司分类评级B级及以上级别（参考《中国证监会公布2022年证券公司分类结果》）</w:t>
      </w:r>
      <w:r>
        <w:rPr>
          <w:rFonts w:hint="eastAsia" w:ascii="宋体" w:hAnsi="宋体" w:eastAsia="宋体" w:cs="宋体"/>
          <w:b/>
          <w:bCs/>
          <w:color w:val="auto"/>
          <w:sz w:val="28"/>
          <w:szCs w:val="28"/>
          <w:highlight w:val="none"/>
        </w:rPr>
        <w:t>（复印件加盖单位公章）</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8"/>
          <w:szCs w:val="28"/>
          <w:highlight w:val="none"/>
          <w:lang w:val="en-US" w:eastAsia="zh-CN"/>
        </w:rPr>
        <w:t>附件三</w:t>
      </w:r>
    </w:p>
    <w:p>
      <w:pPr>
        <w:jc w:val="cente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投标供应商基本情况表</w:t>
      </w:r>
    </w:p>
    <w:p>
      <w:pPr>
        <w:pStyle w:val="32"/>
        <w:rPr>
          <w:rFonts w:hint="eastAsia" w:ascii="宋体" w:hAnsi="宋体" w:eastAsia="宋体" w:cs="宋体"/>
          <w:color w:val="auto"/>
          <w:highlight w:val="none"/>
        </w:rPr>
      </w:pPr>
    </w:p>
    <w:tbl>
      <w:tblPr>
        <w:tblStyle w:val="33"/>
        <w:tblW w:w="0" w:type="auto"/>
        <w:jc w:val="center"/>
        <w:tblLayout w:type="fixed"/>
        <w:tblCellMar>
          <w:top w:w="0" w:type="dxa"/>
          <w:left w:w="0" w:type="dxa"/>
          <w:bottom w:w="0" w:type="dxa"/>
          <w:right w:w="0" w:type="dxa"/>
        </w:tblCellMar>
      </w:tblPr>
      <w:tblGrid>
        <w:gridCol w:w="2174"/>
        <w:gridCol w:w="944"/>
        <w:gridCol w:w="2410"/>
        <w:gridCol w:w="1135"/>
        <w:gridCol w:w="2269"/>
      </w:tblGrid>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w:t>
            </w:r>
            <w:r>
              <w:rPr>
                <w:rFonts w:hint="eastAsia" w:ascii="宋体" w:hAnsi="宋体" w:eastAsia="宋体" w:cs="宋体"/>
                <w:color w:val="auto"/>
                <w:spacing w:val="-2"/>
                <w:kern w:val="0"/>
                <w:szCs w:val="21"/>
                <w:highlight w:val="none"/>
              </w:rPr>
              <w:t>资金</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w:t>
            </w:r>
            <w:r>
              <w:rPr>
                <w:rFonts w:hint="eastAsia" w:ascii="宋体" w:hAnsi="宋体" w:eastAsia="宋体" w:cs="宋体"/>
                <w:color w:val="auto"/>
                <w:spacing w:val="-2"/>
                <w:kern w:val="0"/>
                <w:szCs w:val="21"/>
                <w:highlight w:val="none"/>
              </w:rPr>
              <w:t>时</w:t>
            </w:r>
            <w:r>
              <w:rPr>
                <w:rFonts w:hint="eastAsia" w:ascii="宋体" w:hAnsi="宋体" w:eastAsia="宋体" w:cs="宋体"/>
                <w:color w:val="auto"/>
                <w:kern w:val="0"/>
                <w:szCs w:val="21"/>
                <w:highlight w:val="none"/>
              </w:rPr>
              <w:t>间</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w:t>
            </w:r>
            <w:r>
              <w:rPr>
                <w:rFonts w:hint="eastAsia" w:ascii="宋体" w:hAnsi="宋体" w:eastAsia="宋体" w:cs="宋体"/>
                <w:color w:val="auto"/>
                <w:spacing w:val="-2"/>
                <w:kern w:val="0"/>
                <w:szCs w:val="21"/>
                <w:highlight w:val="none"/>
              </w:rPr>
              <w:t>地</w:t>
            </w:r>
            <w:r>
              <w:rPr>
                <w:rFonts w:hint="eastAsia" w:ascii="宋体" w:hAnsi="宋体" w:eastAsia="宋体" w:cs="宋体"/>
                <w:color w:val="auto"/>
                <w:kern w:val="0"/>
                <w:szCs w:val="21"/>
                <w:highlight w:val="none"/>
              </w:rPr>
              <w:t>址</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w:t>
            </w:r>
            <w:r>
              <w:rPr>
                <w:rFonts w:hint="eastAsia" w:ascii="宋体" w:hAnsi="宋体" w:eastAsia="宋体" w:cs="宋体"/>
                <w:color w:val="auto"/>
                <w:spacing w:val="-2"/>
                <w:kern w:val="0"/>
                <w:szCs w:val="21"/>
                <w:highlight w:val="none"/>
              </w:rPr>
              <w:t>编</w:t>
            </w:r>
            <w:r>
              <w:rPr>
                <w:rFonts w:hint="eastAsia" w:ascii="宋体" w:hAnsi="宋体" w:eastAsia="宋体" w:cs="宋体"/>
                <w:color w:val="auto"/>
                <w:kern w:val="0"/>
                <w:szCs w:val="21"/>
                <w:highlight w:val="none"/>
              </w:rPr>
              <w:t>码</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w:t>
            </w:r>
            <w:r>
              <w:rPr>
                <w:rFonts w:hint="eastAsia" w:ascii="宋体" w:hAnsi="宋体" w:eastAsia="宋体" w:cs="宋体"/>
                <w:color w:val="auto"/>
                <w:spacing w:val="-2"/>
                <w:kern w:val="0"/>
                <w:szCs w:val="21"/>
                <w:highlight w:val="none"/>
              </w:rPr>
              <w:t>总</w:t>
            </w:r>
            <w:r>
              <w:rPr>
                <w:rFonts w:hint="eastAsia" w:ascii="宋体" w:hAnsi="宋体" w:eastAsia="宋体" w:cs="宋体"/>
                <w:color w:val="auto"/>
                <w:kern w:val="0"/>
                <w:szCs w:val="21"/>
                <w:highlight w:val="none"/>
              </w:rPr>
              <w:t>数</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w:t>
            </w:r>
            <w:r>
              <w:rPr>
                <w:rFonts w:hint="eastAsia" w:ascii="宋体" w:hAnsi="宋体" w:eastAsia="宋体" w:cs="宋体"/>
                <w:color w:val="auto"/>
                <w:spacing w:val="-2"/>
                <w:kern w:val="0"/>
                <w:szCs w:val="21"/>
                <w:highlight w:val="none"/>
              </w:rPr>
              <w:t>方</w:t>
            </w:r>
            <w:r>
              <w:rPr>
                <w:rFonts w:hint="eastAsia" w:ascii="宋体" w:hAnsi="宋体" w:eastAsia="宋体" w:cs="宋体"/>
                <w:color w:val="auto"/>
                <w:kern w:val="0"/>
                <w:szCs w:val="21"/>
                <w:highlight w:val="none"/>
              </w:rPr>
              <w:t>式</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w:t>
            </w:r>
            <w:r>
              <w:rPr>
                <w:rFonts w:hint="eastAsia" w:ascii="宋体" w:hAnsi="宋体" w:eastAsia="宋体" w:cs="宋体"/>
                <w:color w:val="auto"/>
                <w:spacing w:val="-2"/>
                <w:kern w:val="0"/>
                <w:szCs w:val="21"/>
                <w:highlight w:val="none"/>
              </w:rPr>
              <w:t>代</w:t>
            </w:r>
            <w:r>
              <w:rPr>
                <w:rFonts w:hint="eastAsia" w:ascii="宋体" w:hAnsi="宋体" w:eastAsia="宋体" w:cs="宋体"/>
                <w:color w:val="auto"/>
                <w:kern w:val="0"/>
                <w:szCs w:val="21"/>
                <w:highlight w:val="none"/>
              </w:rPr>
              <w:t>表人</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供应商须</w:t>
            </w:r>
            <w:r>
              <w:rPr>
                <w:rFonts w:hint="eastAsia" w:ascii="宋体" w:hAnsi="宋体" w:eastAsia="宋体" w:cs="宋体"/>
                <w:color w:val="auto"/>
                <w:spacing w:val="-2"/>
                <w:kern w:val="0"/>
                <w:szCs w:val="21"/>
                <w:highlight w:val="none"/>
              </w:rPr>
              <w:t>知</w:t>
            </w:r>
            <w:r>
              <w:rPr>
                <w:rFonts w:hint="eastAsia" w:ascii="宋体" w:hAnsi="宋体" w:eastAsia="宋体" w:cs="宋体"/>
                <w:color w:val="auto"/>
                <w:kern w:val="0"/>
                <w:szCs w:val="21"/>
                <w:highlight w:val="none"/>
              </w:rPr>
              <w:t>要</w:t>
            </w:r>
            <w:r>
              <w:rPr>
                <w:rFonts w:hint="eastAsia" w:ascii="宋体" w:hAnsi="宋体" w:eastAsia="宋体" w:cs="宋体"/>
                <w:color w:val="auto"/>
                <w:spacing w:val="-2"/>
                <w:kern w:val="0"/>
                <w:szCs w:val="21"/>
                <w:highlight w:val="none"/>
              </w:rPr>
              <w:t>求</w:t>
            </w:r>
            <w:r>
              <w:rPr>
                <w:rFonts w:hint="eastAsia" w:ascii="宋体" w:hAnsi="宋体" w:eastAsia="宋体" w:cs="宋体"/>
                <w:color w:val="auto"/>
                <w:kern w:val="0"/>
                <w:szCs w:val="21"/>
                <w:highlight w:val="none"/>
              </w:rPr>
              <w:t>投标 人需</w:t>
            </w:r>
            <w:r>
              <w:rPr>
                <w:rFonts w:hint="eastAsia" w:ascii="宋体" w:hAnsi="宋体" w:eastAsia="宋体" w:cs="宋体"/>
                <w:color w:val="auto"/>
                <w:spacing w:val="-2"/>
                <w:kern w:val="0"/>
                <w:szCs w:val="21"/>
                <w:highlight w:val="none"/>
              </w:rPr>
              <w:t>具</w:t>
            </w:r>
            <w:r>
              <w:rPr>
                <w:rFonts w:hint="eastAsia" w:ascii="宋体" w:hAnsi="宋体" w:eastAsia="宋体" w:cs="宋体"/>
                <w:color w:val="auto"/>
                <w:kern w:val="0"/>
                <w:szCs w:val="21"/>
                <w:highlight w:val="none"/>
              </w:rPr>
              <w:t>有</w:t>
            </w:r>
            <w:r>
              <w:rPr>
                <w:rFonts w:hint="eastAsia" w:ascii="宋体" w:hAnsi="宋体" w:eastAsia="宋体" w:cs="宋体"/>
                <w:color w:val="auto"/>
                <w:spacing w:val="-2"/>
                <w:kern w:val="0"/>
                <w:szCs w:val="21"/>
                <w:highlight w:val="none"/>
              </w:rPr>
              <w:t>的</w:t>
            </w:r>
            <w:r>
              <w:rPr>
                <w:rFonts w:hint="eastAsia" w:ascii="宋体" w:hAnsi="宋体" w:eastAsia="宋体" w:cs="宋体"/>
                <w:color w:val="auto"/>
                <w:kern w:val="0"/>
                <w:szCs w:val="21"/>
                <w:highlight w:val="none"/>
              </w:rPr>
              <w:t>各</w:t>
            </w:r>
            <w:r>
              <w:rPr>
                <w:rFonts w:hint="eastAsia" w:ascii="宋体" w:hAnsi="宋体" w:eastAsia="宋体" w:cs="宋体"/>
                <w:color w:val="auto"/>
                <w:spacing w:val="-2"/>
                <w:kern w:val="0"/>
                <w:szCs w:val="21"/>
                <w:highlight w:val="none"/>
              </w:rPr>
              <w:t>类</w:t>
            </w:r>
            <w:r>
              <w:rPr>
                <w:rFonts w:hint="eastAsia" w:ascii="宋体" w:hAnsi="宋体" w:eastAsia="宋体" w:cs="宋体"/>
                <w:color w:val="auto"/>
                <w:kern w:val="0"/>
                <w:szCs w:val="21"/>
                <w:highlight w:val="none"/>
              </w:rPr>
              <w:t>资质</w:t>
            </w:r>
          </w:p>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2300"/>
                <w:tab w:val="left" w:pos="4400"/>
              </w:tabs>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w:t>
            </w:r>
            <w:r>
              <w:rPr>
                <w:rFonts w:hint="eastAsia" w:ascii="宋体" w:hAnsi="宋体" w:eastAsia="宋体" w:cs="宋体"/>
                <w:color w:val="auto"/>
                <w:spacing w:val="-2"/>
                <w:kern w:val="0"/>
                <w:szCs w:val="21"/>
                <w:highlight w:val="none"/>
              </w:rPr>
              <w:t>书</w:t>
            </w:r>
            <w:r>
              <w:rPr>
                <w:rFonts w:hint="eastAsia" w:ascii="宋体" w:hAnsi="宋体" w:eastAsia="宋体" w:cs="宋体"/>
                <w:color w:val="auto"/>
                <w:kern w:val="0"/>
                <w:szCs w:val="21"/>
                <w:highlight w:val="none"/>
              </w:rPr>
              <w:t>号：</w:t>
            </w:r>
          </w:p>
        </w:tc>
      </w:tr>
      <w:tr>
        <w:tblPrEx>
          <w:tblCellMar>
            <w:top w:w="0" w:type="dxa"/>
            <w:left w:w="0" w:type="dxa"/>
            <w:bottom w:w="0" w:type="dxa"/>
            <w:right w:w="0" w:type="dxa"/>
          </w:tblCellMar>
        </w:tblPrEx>
        <w:trPr>
          <w:trHeight w:val="515"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2"/>
                <w:kern w:val="0"/>
                <w:szCs w:val="21"/>
                <w:highlight w:val="none"/>
              </w:rPr>
              <w:t>开</w:t>
            </w:r>
            <w:r>
              <w:rPr>
                <w:rFonts w:hint="eastAsia" w:ascii="宋体" w:hAnsi="宋体" w:eastAsia="宋体" w:cs="宋体"/>
                <w:color w:val="auto"/>
                <w:kern w:val="0"/>
                <w:szCs w:val="21"/>
                <w:highlight w:val="none"/>
              </w:rPr>
              <w:t>户</w:t>
            </w:r>
            <w:r>
              <w:rPr>
                <w:rFonts w:hint="eastAsia" w:ascii="宋体" w:hAnsi="宋体" w:eastAsia="宋体" w:cs="宋体"/>
                <w:color w:val="auto"/>
                <w:spacing w:val="-2"/>
                <w:kern w:val="0"/>
                <w:szCs w:val="21"/>
                <w:highlight w:val="none"/>
              </w:rPr>
              <w:t>银</w:t>
            </w:r>
            <w:r>
              <w:rPr>
                <w:rFonts w:hint="eastAsia" w:ascii="宋体" w:hAnsi="宋体" w:eastAsia="宋体" w:cs="宋体"/>
                <w:color w:val="auto"/>
                <w:kern w:val="0"/>
                <w:szCs w:val="21"/>
                <w:highlight w:val="none"/>
              </w:rPr>
              <w:t>行</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549"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2"/>
                <w:kern w:val="0"/>
                <w:szCs w:val="21"/>
                <w:highlight w:val="none"/>
              </w:rPr>
              <w:t>银</w:t>
            </w:r>
            <w:r>
              <w:rPr>
                <w:rFonts w:hint="eastAsia" w:ascii="宋体" w:hAnsi="宋体" w:eastAsia="宋体" w:cs="宋体"/>
                <w:color w:val="auto"/>
                <w:kern w:val="0"/>
                <w:szCs w:val="21"/>
                <w:highlight w:val="none"/>
              </w:rPr>
              <w:t>行</w:t>
            </w:r>
            <w:r>
              <w:rPr>
                <w:rFonts w:hint="eastAsia" w:ascii="宋体" w:hAnsi="宋体" w:eastAsia="宋体" w:cs="宋体"/>
                <w:color w:val="auto"/>
                <w:spacing w:val="-2"/>
                <w:kern w:val="0"/>
                <w:szCs w:val="21"/>
                <w:highlight w:val="none"/>
              </w:rPr>
              <w:t>账</w:t>
            </w:r>
            <w:r>
              <w:rPr>
                <w:rFonts w:hint="eastAsia" w:ascii="宋体" w:hAnsi="宋体" w:eastAsia="宋体" w:cs="宋体"/>
                <w:color w:val="auto"/>
                <w:kern w:val="0"/>
                <w:szCs w:val="21"/>
                <w:highlight w:val="none"/>
              </w:rPr>
              <w:t>号</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599"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近三</w:t>
            </w:r>
            <w:r>
              <w:rPr>
                <w:rFonts w:hint="eastAsia" w:ascii="宋体" w:hAnsi="宋体" w:eastAsia="宋体" w:cs="宋体"/>
                <w:color w:val="auto"/>
                <w:spacing w:val="-2"/>
                <w:kern w:val="0"/>
                <w:szCs w:val="21"/>
                <w:highlight w:val="none"/>
              </w:rPr>
              <w:t>年</w:t>
            </w:r>
            <w:r>
              <w:rPr>
                <w:rFonts w:hint="eastAsia" w:ascii="宋体" w:hAnsi="宋体" w:eastAsia="宋体" w:cs="宋体"/>
                <w:color w:val="auto"/>
                <w:kern w:val="0"/>
                <w:szCs w:val="21"/>
                <w:highlight w:val="none"/>
              </w:rPr>
              <w:t>营</w:t>
            </w:r>
            <w:r>
              <w:rPr>
                <w:rFonts w:hint="eastAsia" w:ascii="宋体" w:hAnsi="宋体" w:eastAsia="宋体" w:cs="宋体"/>
                <w:color w:val="auto"/>
                <w:spacing w:val="-2"/>
                <w:kern w:val="0"/>
                <w:szCs w:val="21"/>
                <w:highlight w:val="none"/>
              </w:rPr>
              <w:t>业</w:t>
            </w:r>
            <w:r>
              <w:rPr>
                <w:rFonts w:hint="eastAsia" w:ascii="宋体" w:hAnsi="宋体" w:eastAsia="宋体" w:cs="宋体"/>
                <w:color w:val="auto"/>
                <w:kern w:val="0"/>
                <w:szCs w:val="21"/>
                <w:highlight w:val="none"/>
              </w:rPr>
              <w:t>额</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1498"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近三年（20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年）中国证监会公布的证券公司分类评级结果</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2331"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经营范围备注</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color w:val="auto"/>
                <w:kern w:val="0"/>
                <w:szCs w:val="21"/>
                <w:highlight w:val="none"/>
              </w:rPr>
            </w:pPr>
          </w:p>
        </w:tc>
      </w:tr>
    </w:tbl>
    <w:p>
      <w:pPr>
        <w:pStyle w:val="4"/>
        <w:spacing w:line="322"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本表后附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简介、</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lang w:eastAsia="zh-CN"/>
        </w:rPr>
        <w:t>各类资质证明文件复印件并加盖公章。</w:t>
      </w:r>
    </w:p>
    <w:p>
      <w:pPr>
        <w:spacing w:line="460" w:lineRule="exact"/>
        <w:jc w:val="both"/>
        <w:outlineLvl w:val="9"/>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br w:type="page"/>
      </w:r>
    </w:p>
    <w:p>
      <w:pPr>
        <w:spacing w:line="460" w:lineRule="exact"/>
        <w:jc w:val="both"/>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附件</w:t>
      </w:r>
      <w:r>
        <w:rPr>
          <w:rFonts w:hint="eastAsia" w:ascii="宋体" w:hAnsi="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lang w:val="en-US" w:eastAsia="zh-CN"/>
        </w:rPr>
        <w:t xml:space="preserve"> </w:t>
      </w:r>
    </w:p>
    <w:p>
      <w:pPr>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32"/>
          <w:szCs w:val="32"/>
          <w:highlight w:val="none"/>
          <w:lang w:eastAsia="zh-CN"/>
        </w:rPr>
        <w:t>(1)项目执行机构人员配置表</w:t>
      </w:r>
    </w:p>
    <w:p>
      <w:pPr>
        <w:pStyle w:val="20"/>
        <w:spacing w:line="400" w:lineRule="atLeast"/>
        <w:ind w:firstLine="221" w:firstLineChars="1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164"/>
        <w:tblW w:w="9233" w:type="dxa"/>
        <w:jc w:val="center"/>
        <w:tblLayout w:type="autofit"/>
        <w:tblCellMar>
          <w:top w:w="0" w:type="dxa"/>
          <w:left w:w="0" w:type="dxa"/>
          <w:bottom w:w="0" w:type="dxa"/>
          <w:right w:w="0" w:type="dxa"/>
        </w:tblCellMar>
      </w:tblPr>
      <w:tblGrid>
        <w:gridCol w:w="911"/>
        <w:gridCol w:w="767"/>
        <w:gridCol w:w="680"/>
        <w:gridCol w:w="680"/>
        <w:gridCol w:w="679"/>
        <w:gridCol w:w="679"/>
        <w:gridCol w:w="1368"/>
        <w:gridCol w:w="752"/>
        <w:gridCol w:w="1211"/>
        <w:gridCol w:w="897"/>
        <w:gridCol w:w="609"/>
      </w:tblGrid>
      <w:tr>
        <w:tblPrEx>
          <w:tblCellMar>
            <w:top w:w="0" w:type="dxa"/>
            <w:left w:w="0" w:type="dxa"/>
            <w:bottom w:w="0" w:type="dxa"/>
            <w:right w:w="0" w:type="dxa"/>
          </w:tblCellMar>
        </w:tblPrEx>
        <w:trPr>
          <w:trHeight w:val="1275" w:hRule="exact"/>
          <w:jc w:val="center"/>
        </w:trPr>
        <w:tc>
          <w:tcPr>
            <w:tcW w:w="911" w:type="dxa"/>
            <w:tcBorders>
              <w:top w:val="single" w:color="000000" w:sz="12" w:space="0"/>
              <w:left w:val="single" w:color="000000" w:sz="12" w:space="0"/>
              <w:bottom w:val="single" w:color="000000" w:sz="6" w:space="0"/>
              <w:right w:val="single" w:color="000000" w:sz="6" w:space="0"/>
            </w:tcBorders>
            <w:noWrap w:val="0"/>
            <w:vAlign w:val="center"/>
          </w:tcPr>
          <w:p>
            <w:pPr>
              <w:pStyle w:val="163"/>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人员分类</w:t>
            </w:r>
          </w:p>
        </w:tc>
        <w:tc>
          <w:tcPr>
            <w:tcW w:w="767" w:type="dxa"/>
            <w:tcBorders>
              <w:top w:val="single" w:color="000000" w:sz="12" w:space="0"/>
              <w:left w:val="single" w:color="000000" w:sz="6" w:space="0"/>
              <w:bottom w:val="single" w:color="000000" w:sz="6" w:space="0"/>
              <w:right w:val="single" w:color="000000" w:sz="6" w:space="0"/>
            </w:tcBorders>
            <w:noWrap w:val="0"/>
            <w:vAlign w:val="center"/>
          </w:tcPr>
          <w:p>
            <w:pPr>
              <w:pStyle w:val="163"/>
              <w:ind w:left="13" w:leftChars="0" w:hanging="13" w:hangingChars="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名</w:t>
            </w:r>
          </w:p>
        </w:tc>
        <w:tc>
          <w:tcPr>
            <w:tcW w:w="0" w:type="auto"/>
            <w:tcBorders>
              <w:top w:val="single" w:color="000000" w:sz="12" w:space="0"/>
              <w:left w:val="single" w:color="000000" w:sz="6" w:space="0"/>
              <w:bottom w:val="single" w:color="000000" w:sz="6" w:space="0"/>
              <w:right w:val="single" w:color="000000" w:sz="6" w:space="0"/>
            </w:tcBorders>
            <w:noWrap w:val="0"/>
            <w:vAlign w:val="center"/>
          </w:tcPr>
          <w:p>
            <w:pPr>
              <w:pStyle w:val="1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0" w:type="auto"/>
            <w:tcBorders>
              <w:top w:val="single" w:color="000000" w:sz="12" w:space="0"/>
              <w:left w:val="single" w:color="000000" w:sz="6" w:space="0"/>
              <w:bottom w:val="single" w:color="000000" w:sz="6" w:space="0"/>
              <w:right w:val="single" w:color="000000" w:sz="6" w:space="0"/>
            </w:tcBorders>
            <w:noWrap w:val="0"/>
            <w:vAlign w:val="center"/>
          </w:tcPr>
          <w:p>
            <w:pPr>
              <w:pStyle w:val="1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679" w:type="dxa"/>
            <w:tcBorders>
              <w:top w:val="single" w:color="000000" w:sz="12" w:space="0"/>
              <w:left w:val="single" w:color="000000" w:sz="6" w:space="0"/>
              <w:bottom w:val="single" w:color="000000" w:sz="6" w:space="0"/>
              <w:right w:val="single" w:color="000000" w:sz="6" w:space="0"/>
            </w:tcBorders>
            <w:noWrap w:val="0"/>
            <w:vAlign w:val="center"/>
          </w:tcPr>
          <w:p>
            <w:pPr>
              <w:pStyle w:val="1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679" w:type="dxa"/>
            <w:tcBorders>
              <w:top w:val="single" w:color="000000" w:sz="12" w:space="0"/>
              <w:left w:val="single" w:color="000000" w:sz="6" w:space="0"/>
              <w:bottom w:val="single" w:color="000000" w:sz="6" w:space="0"/>
              <w:right w:val="single" w:color="000000" w:sz="6" w:space="0"/>
            </w:tcBorders>
            <w:noWrap w:val="0"/>
            <w:vAlign w:val="center"/>
          </w:tcPr>
          <w:p>
            <w:pPr>
              <w:pStyle w:val="1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1368" w:type="dxa"/>
            <w:tcBorders>
              <w:top w:val="single" w:color="000000" w:sz="12" w:space="0"/>
              <w:left w:val="single" w:color="000000" w:sz="6" w:space="0"/>
              <w:bottom w:val="single" w:color="000000" w:sz="6" w:space="0"/>
              <w:right w:val="single" w:color="000000" w:sz="6" w:space="0"/>
            </w:tcBorders>
            <w:noWrap w:val="0"/>
            <w:vAlign w:val="center"/>
          </w:tcPr>
          <w:p>
            <w:pPr>
              <w:pStyle w:val="163"/>
              <w:spacing w:before="138"/>
              <w:ind w:left="13" w:leftChars="0" w:hanging="13" w:hangingChars="6"/>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从业资格证书</w:t>
            </w:r>
          </w:p>
          <w:p>
            <w:pPr>
              <w:pStyle w:val="163"/>
              <w:spacing w:before="36"/>
              <w:ind w:left="13" w:leftChars="0" w:hanging="13" w:hangingChars="6"/>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（名称附编号）</w:t>
            </w:r>
          </w:p>
        </w:tc>
        <w:tc>
          <w:tcPr>
            <w:tcW w:w="752" w:type="dxa"/>
            <w:tcBorders>
              <w:top w:val="single" w:color="000000" w:sz="12" w:space="0"/>
              <w:left w:val="single" w:color="000000" w:sz="6" w:space="0"/>
              <w:bottom w:val="single" w:color="000000" w:sz="6" w:space="0"/>
              <w:right w:val="single" w:color="000000" w:sz="6" w:space="0"/>
            </w:tcBorders>
            <w:noWrap w:val="0"/>
            <w:vAlign w:val="center"/>
          </w:tcPr>
          <w:p>
            <w:pPr>
              <w:pStyle w:val="1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职称/职务</w:t>
            </w:r>
          </w:p>
        </w:tc>
        <w:tc>
          <w:tcPr>
            <w:tcW w:w="1211" w:type="dxa"/>
            <w:tcBorders>
              <w:top w:val="single" w:color="000000" w:sz="12" w:space="0"/>
              <w:left w:val="single" w:color="000000" w:sz="6" w:space="0"/>
              <w:bottom w:val="single" w:color="000000" w:sz="6" w:space="0"/>
              <w:right w:val="single" w:color="000000" w:sz="6" w:space="0"/>
            </w:tcBorders>
            <w:noWrap w:val="0"/>
            <w:vAlign w:val="center"/>
          </w:tcPr>
          <w:p>
            <w:pPr>
              <w:pStyle w:val="163"/>
              <w:spacing w:before="137" w:line="276" w:lineRule="auto"/>
              <w:ind w:left="19" w:leftChars="0" w:right="19" w:rightChars="0" w:hanging="19"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从事I</w:t>
            </w:r>
            <w:r>
              <w:rPr>
                <w:rFonts w:hint="eastAsia" w:ascii="宋体" w:hAnsi="宋体" w:eastAsia="宋体" w:cs="宋体"/>
                <w:color w:val="auto"/>
                <w:spacing w:val="9"/>
                <w:sz w:val="22"/>
                <w:szCs w:val="22"/>
                <w:highlight w:val="none"/>
              </w:rPr>
              <w:t>PO年</w:t>
            </w:r>
            <w:r>
              <w:rPr>
                <w:rFonts w:hint="eastAsia" w:ascii="宋体" w:hAnsi="宋体" w:eastAsia="宋体" w:cs="宋体"/>
                <w:color w:val="auto"/>
                <w:sz w:val="22"/>
                <w:szCs w:val="22"/>
                <w:highlight w:val="none"/>
              </w:rPr>
              <w:t>限及具体业绩</w:t>
            </w:r>
          </w:p>
        </w:tc>
        <w:tc>
          <w:tcPr>
            <w:tcW w:w="897" w:type="dxa"/>
            <w:tcBorders>
              <w:top w:val="single" w:color="000000" w:sz="12" w:space="0"/>
              <w:left w:val="single" w:color="000000" w:sz="6" w:space="0"/>
              <w:bottom w:val="single" w:color="000000" w:sz="6" w:space="0"/>
              <w:right w:val="single" w:color="000000" w:sz="6" w:space="0"/>
            </w:tcBorders>
            <w:noWrap w:val="0"/>
            <w:vAlign w:val="center"/>
          </w:tcPr>
          <w:p>
            <w:pPr>
              <w:pStyle w:val="1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本项目中的岗位</w:t>
            </w:r>
          </w:p>
        </w:tc>
        <w:tc>
          <w:tcPr>
            <w:tcW w:w="609" w:type="dxa"/>
            <w:tcBorders>
              <w:top w:val="single" w:color="000000" w:sz="12" w:space="0"/>
              <w:left w:val="single" w:color="000000" w:sz="6" w:space="0"/>
              <w:bottom w:val="single" w:color="000000" w:sz="6" w:space="0"/>
              <w:right w:val="single" w:color="000000" w:sz="12" w:space="0"/>
            </w:tcBorders>
            <w:noWrap w:val="0"/>
            <w:vAlign w:val="center"/>
          </w:tcPr>
          <w:p>
            <w:pPr>
              <w:pStyle w:val="163"/>
              <w:ind w:right="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0" w:type="dxa"/>
            <w:bottom w:w="0" w:type="dxa"/>
            <w:right w:w="0" w:type="dxa"/>
          </w:tblCellMar>
        </w:tblPrEx>
        <w:trPr>
          <w:trHeight w:val="1089" w:hRule="exact"/>
          <w:jc w:val="center"/>
        </w:trPr>
        <w:tc>
          <w:tcPr>
            <w:tcW w:w="911"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w:t>
            </w:r>
          </w:p>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负责人</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3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5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09"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1050" w:hRule="exact"/>
          <w:jc w:val="center"/>
        </w:trPr>
        <w:tc>
          <w:tcPr>
            <w:tcW w:w="911"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现场</w:t>
            </w:r>
          </w:p>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负责人</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3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5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09"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739" w:hRule="exact"/>
          <w:jc w:val="center"/>
        </w:trPr>
        <w:tc>
          <w:tcPr>
            <w:tcW w:w="911"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工作人员</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3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5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09"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739" w:hRule="exact"/>
          <w:jc w:val="center"/>
        </w:trPr>
        <w:tc>
          <w:tcPr>
            <w:tcW w:w="911"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3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5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09"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739" w:hRule="exact"/>
          <w:jc w:val="center"/>
        </w:trPr>
        <w:tc>
          <w:tcPr>
            <w:tcW w:w="911"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3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5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09"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739" w:hRule="exact"/>
          <w:jc w:val="center"/>
        </w:trPr>
        <w:tc>
          <w:tcPr>
            <w:tcW w:w="911"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3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5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09"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739" w:hRule="exact"/>
          <w:jc w:val="center"/>
        </w:trPr>
        <w:tc>
          <w:tcPr>
            <w:tcW w:w="911"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3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5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09"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739" w:hRule="exact"/>
          <w:jc w:val="center"/>
        </w:trPr>
        <w:tc>
          <w:tcPr>
            <w:tcW w:w="911"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3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5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09" w:type="dxa"/>
            <w:tcBorders>
              <w:top w:val="single" w:color="000000" w:sz="6" w:space="0"/>
              <w:left w:val="single" w:color="000000" w:sz="6" w:space="0"/>
              <w:bottom w:val="single" w:color="000000" w:sz="6" w:space="0"/>
              <w:right w:val="single" w:color="000000" w:sz="12"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788" w:hRule="exact"/>
          <w:jc w:val="center"/>
        </w:trPr>
        <w:tc>
          <w:tcPr>
            <w:tcW w:w="911" w:type="dxa"/>
            <w:tcBorders>
              <w:top w:val="single" w:color="000000" w:sz="6" w:space="0"/>
              <w:left w:val="single" w:color="000000" w:sz="12"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67" w:type="dxa"/>
            <w:tcBorders>
              <w:top w:val="single" w:color="000000" w:sz="6" w:space="0"/>
              <w:left w:val="single" w:color="000000" w:sz="6"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0" w:type="auto"/>
            <w:tcBorders>
              <w:top w:val="single" w:color="000000" w:sz="6" w:space="0"/>
              <w:left w:val="single" w:color="000000" w:sz="6"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79" w:type="dxa"/>
            <w:tcBorders>
              <w:top w:val="single" w:color="000000" w:sz="6" w:space="0"/>
              <w:left w:val="single" w:color="000000" w:sz="6"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368" w:type="dxa"/>
            <w:tcBorders>
              <w:top w:val="single" w:color="000000" w:sz="6" w:space="0"/>
              <w:left w:val="single" w:color="000000" w:sz="6"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752" w:type="dxa"/>
            <w:tcBorders>
              <w:top w:val="single" w:color="000000" w:sz="6" w:space="0"/>
              <w:left w:val="single" w:color="000000" w:sz="6"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1211" w:type="dxa"/>
            <w:tcBorders>
              <w:top w:val="single" w:color="000000" w:sz="6" w:space="0"/>
              <w:left w:val="single" w:color="000000" w:sz="6"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897" w:type="dxa"/>
            <w:tcBorders>
              <w:top w:val="single" w:color="000000" w:sz="6" w:space="0"/>
              <w:left w:val="single" w:color="000000" w:sz="6" w:space="0"/>
              <w:bottom w:val="single" w:color="000000" w:sz="12" w:space="0"/>
              <w:right w:val="single" w:color="000000" w:sz="6" w:space="0"/>
            </w:tcBorders>
            <w:noWrap w:val="0"/>
            <w:vAlign w:val="center"/>
          </w:tcPr>
          <w:p>
            <w:pPr>
              <w:jc w:val="center"/>
              <w:rPr>
                <w:rFonts w:hint="eastAsia" w:ascii="宋体" w:hAnsi="宋体" w:eastAsia="宋体" w:cs="宋体"/>
                <w:color w:val="auto"/>
                <w:sz w:val="22"/>
                <w:szCs w:val="22"/>
                <w:highlight w:val="none"/>
              </w:rPr>
            </w:pPr>
          </w:p>
        </w:tc>
        <w:tc>
          <w:tcPr>
            <w:tcW w:w="609" w:type="dxa"/>
            <w:tcBorders>
              <w:top w:val="single" w:color="000000" w:sz="6" w:space="0"/>
              <w:left w:val="single" w:color="000000" w:sz="6" w:space="0"/>
              <w:bottom w:val="single" w:color="000000" w:sz="12" w:space="0"/>
              <w:right w:val="single" w:color="000000" w:sz="12" w:space="0"/>
            </w:tcBorders>
            <w:noWrap w:val="0"/>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4"/>
          <w:szCs w:val="24"/>
          <w:highlight w:val="none"/>
        </w:rPr>
      </w:pPr>
    </w:p>
    <w:p>
      <w:pPr>
        <w:pStyle w:val="14"/>
        <w:spacing w:before="26"/>
        <w:ind w:right="72"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注：1、拟投入本项目的主要团队成员（项目负责人、保荐代表人等</w:t>
      </w:r>
      <w:r>
        <w:rPr>
          <w:rFonts w:hint="eastAsia" w:ascii="宋体" w:hAnsi="宋体" w:cs="宋体"/>
          <w:color w:val="auto"/>
          <w:sz w:val="24"/>
          <w:szCs w:val="24"/>
          <w:highlight w:val="none"/>
          <w:lang w:val="en-US" w:eastAsia="zh-CN"/>
        </w:rPr>
        <w:t>相关人员</w:t>
      </w:r>
      <w:r>
        <w:rPr>
          <w:rFonts w:hint="eastAsia" w:ascii="宋体" w:hAnsi="宋体" w:eastAsia="宋体" w:cs="宋体"/>
          <w:color w:val="auto"/>
          <w:sz w:val="24"/>
          <w:szCs w:val="24"/>
          <w:highlight w:val="none"/>
          <w:lang w:eastAsia="zh-CN"/>
        </w:rPr>
        <w:t>）均需填写本表</w:t>
      </w:r>
      <w:r>
        <w:rPr>
          <w:rFonts w:hint="eastAsia" w:ascii="宋体" w:hAnsi="宋体" w:cs="宋体"/>
          <w:color w:val="auto"/>
          <w:sz w:val="24"/>
          <w:szCs w:val="24"/>
          <w:highlight w:val="none"/>
          <w:lang w:eastAsia="zh-CN"/>
        </w:rPr>
        <w:t>。</w:t>
      </w:r>
    </w:p>
    <w:p>
      <w:pPr>
        <w:pStyle w:val="14"/>
        <w:spacing w:before="26"/>
        <w:ind w:right="72" w:rightChars="0" w:firstLine="960" w:firstLineChars="4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、供应商可根据需要自行调整、扩展本表格式。</w:t>
      </w:r>
    </w:p>
    <w:p>
      <w:pPr>
        <w:pStyle w:val="14"/>
        <w:spacing w:before="26"/>
        <w:ind w:right="72" w:rightChars="0" w:firstLine="960" w:firstLineChars="4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、本表后需附证明材料复印件</w:t>
      </w:r>
      <w:r>
        <w:rPr>
          <w:rFonts w:hint="eastAsia" w:ascii="宋体" w:hAnsi="宋体" w:cs="宋体"/>
          <w:color w:val="auto"/>
          <w:sz w:val="24"/>
          <w:szCs w:val="24"/>
          <w:highlight w:val="none"/>
          <w:lang w:eastAsia="zh-CN"/>
        </w:rPr>
        <w:t>（学历证书、从业资格证书（如有）、职称证（如有）、身份证）</w:t>
      </w:r>
      <w:r>
        <w:rPr>
          <w:rFonts w:hint="eastAsia" w:ascii="宋体" w:hAnsi="宋体" w:eastAsia="宋体" w:cs="宋体"/>
          <w:color w:val="auto"/>
          <w:sz w:val="24"/>
          <w:szCs w:val="24"/>
          <w:highlight w:val="none"/>
          <w:lang w:eastAsia="zh-CN"/>
        </w:rPr>
        <w:t>并加盖公章。</w:t>
      </w:r>
      <w:r>
        <w:rPr>
          <w:rFonts w:hint="eastAsia" w:ascii="宋体" w:hAnsi="宋体" w:eastAsia="宋体" w:cs="宋体"/>
          <w:color w:val="auto"/>
          <w:sz w:val="24"/>
          <w:szCs w:val="24"/>
          <w:highlight w:val="none"/>
          <w:lang w:eastAsia="zh-CN"/>
        </w:rPr>
        <w:tab/>
      </w:r>
    </w:p>
    <w:p>
      <w:pPr>
        <w:pStyle w:val="16"/>
        <w:ind w:left="0" w:leftChars="0" w:firstLine="0" w:firstLineChars="0"/>
        <w:rPr>
          <w:rFonts w:hint="eastAsia" w:ascii="宋体" w:hAnsi="宋体" w:eastAsia="宋体" w:cs="宋体"/>
          <w:color w:val="auto"/>
          <w:sz w:val="24"/>
          <w:szCs w:val="24"/>
          <w:highlight w:val="none"/>
          <w:lang w:eastAsia="zh-CN"/>
        </w:rPr>
      </w:pPr>
      <w:r>
        <w:rPr>
          <w:rFonts w:hint="eastAsia"/>
          <w:color w:val="auto"/>
          <w:highlight w:val="none"/>
          <w:lang w:val="en-US" w:eastAsia="zh-CN"/>
        </w:rPr>
        <w:t xml:space="preserve">   </w:t>
      </w: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cs="宋体"/>
          <w:b/>
          <w:bCs/>
          <w:color w:val="auto"/>
          <w:sz w:val="30"/>
          <w:szCs w:val="30"/>
          <w:highlight w:val="none"/>
          <w:lang w:val="en-US" w:eastAsia="zh-CN"/>
        </w:rPr>
      </w:pPr>
      <w:r>
        <w:rPr>
          <w:rFonts w:hint="eastAsia" w:ascii="宋体" w:hAnsi="宋体" w:eastAsia="宋体" w:cs="宋体"/>
          <w:color w:val="auto"/>
          <w:sz w:val="21"/>
          <w:szCs w:val="21"/>
          <w:highlight w:val="none"/>
        </w:rPr>
        <w:t xml:space="preserve">日期：     年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p>
      <w:pPr>
        <w:spacing w:line="460" w:lineRule="exact"/>
        <w:jc w:val="center"/>
        <w:outlineLvl w:val="9"/>
        <w:rPr>
          <w:rFonts w:hint="eastAsia" w:ascii="宋体" w:hAnsi="宋体" w:cs="宋体"/>
          <w:b/>
          <w:bCs/>
          <w:color w:val="auto"/>
          <w:sz w:val="30"/>
          <w:szCs w:val="30"/>
          <w:highlight w:val="none"/>
          <w:lang w:val="en-US" w:eastAsia="zh-CN"/>
        </w:rPr>
      </w:pPr>
    </w:p>
    <w:p>
      <w:pPr>
        <w:spacing w:line="460" w:lineRule="exact"/>
        <w:jc w:val="center"/>
        <w:outlineLvl w:val="9"/>
        <w:rPr>
          <w:rFonts w:hint="eastAsia" w:ascii="宋体" w:hAnsi="宋体" w:cs="宋体"/>
          <w:b/>
          <w:bCs/>
          <w:color w:val="auto"/>
          <w:sz w:val="30"/>
          <w:szCs w:val="30"/>
          <w:highlight w:val="none"/>
          <w:lang w:val="en-US" w:eastAsia="zh-CN"/>
        </w:rPr>
      </w:pPr>
    </w:p>
    <w:p>
      <w:pPr>
        <w:spacing w:line="460" w:lineRule="exact"/>
        <w:jc w:val="center"/>
        <w:outlineLvl w:val="9"/>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拟派项目组负责人情况表</w:t>
      </w:r>
    </w:p>
    <w:p>
      <w:pPr>
        <w:pStyle w:val="20"/>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33"/>
        <w:tblW w:w="4814" w:type="pct"/>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288"/>
        <w:gridCol w:w="236"/>
        <w:gridCol w:w="840"/>
        <w:gridCol w:w="735"/>
        <w:gridCol w:w="662"/>
        <w:gridCol w:w="1087"/>
        <w:gridCol w:w="306"/>
        <w:gridCol w:w="1395"/>
        <w:gridCol w:w="48"/>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9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姓  名</w:t>
            </w:r>
          </w:p>
        </w:tc>
        <w:tc>
          <w:tcPr>
            <w:tcW w:w="740"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758"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性  别</w:t>
            </w:r>
          </w:p>
        </w:tc>
        <w:tc>
          <w:tcPr>
            <w:tcW w:w="756"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75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年  龄</w:t>
            </w:r>
          </w:p>
        </w:tc>
        <w:tc>
          <w:tcPr>
            <w:tcW w:w="1048"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9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拟任职务</w:t>
            </w:r>
          </w:p>
        </w:tc>
        <w:tc>
          <w:tcPr>
            <w:tcW w:w="740"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758"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cs="宋体"/>
                <w:color w:val="auto"/>
                <w:spacing w:val="-2"/>
                <w:sz w:val="22"/>
                <w:szCs w:val="22"/>
                <w:highlight w:val="none"/>
                <w:lang w:eastAsia="zh-CN"/>
              </w:rPr>
              <w:t>从业资格</w:t>
            </w:r>
            <w:r>
              <w:rPr>
                <w:rFonts w:hint="eastAsia" w:ascii="宋体" w:hAnsi="宋体" w:cs="宋体"/>
                <w:color w:val="auto"/>
                <w:spacing w:val="-2"/>
                <w:sz w:val="22"/>
                <w:szCs w:val="22"/>
                <w:highlight w:val="none"/>
                <w:lang w:val="en-US" w:eastAsia="zh-CN"/>
              </w:rPr>
              <w:t>/</w:t>
            </w:r>
            <w:r>
              <w:rPr>
                <w:rFonts w:hint="eastAsia" w:ascii="宋体" w:hAnsi="宋体" w:eastAsia="宋体" w:cs="宋体"/>
                <w:color w:val="auto"/>
                <w:spacing w:val="-2"/>
                <w:sz w:val="22"/>
                <w:szCs w:val="22"/>
                <w:highlight w:val="none"/>
              </w:rPr>
              <w:t>职  称</w:t>
            </w:r>
          </w:p>
        </w:tc>
        <w:tc>
          <w:tcPr>
            <w:tcW w:w="756"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75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学  历</w:t>
            </w:r>
          </w:p>
        </w:tc>
        <w:tc>
          <w:tcPr>
            <w:tcW w:w="1048"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223"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参加工作时间</w:t>
            </w:r>
          </w:p>
        </w:tc>
        <w:tc>
          <w:tcPr>
            <w:tcW w:w="1214"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1513"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kern w:val="0"/>
                <w:sz w:val="22"/>
                <w:szCs w:val="22"/>
                <w:highlight w:val="none"/>
              </w:rPr>
              <w:t>投行或相关行业从业年限</w:t>
            </w:r>
          </w:p>
        </w:tc>
        <w:tc>
          <w:tcPr>
            <w:tcW w:w="1048"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000" w:type="pct"/>
            <w:gridSpan w:val="11"/>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lang w:eastAsia="zh-CN"/>
              </w:rPr>
              <w:t>已完成参与</w:t>
            </w:r>
            <w:r>
              <w:rPr>
                <w:rFonts w:hint="eastAsia" w:ascii="宋体" w:hAnsi="宋体" w:eastAsia="宋体" w:cs="宋体"/>
                <w:color w:val="auto"/>
                <w:spacing w:val="-2"/>
                <w:sz w:val="22"/>
                <w:szCs w:val="22"/>
                <w:highlight w:val="none"/>
                <w:lang w:val="en-US" w:eastAsia="zh-CN"/>
              </w:rPr>
              <w:t>IPO项目</w:t>
            </w:r>
            <w:r>
              <w:rPr>
                <w:rFonts w:hint="eastAsia" w:ascii="宋体" w:hAnsi="宋体" w:eastAsia="宋体" w:cs="宋体"/>
                <w:color w:val="auto"/>
                <w:spacing w:val="-2"/>
                <w:sz w:val="22"/>
                <w:szCs w:val="22"/>
                <w:highlight w:val="none"/>
                <w:lang w:eastAsia="zh-CN"/>
              </w:rPr>
              <w:t>发行服务项目情况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95"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项目名称</w:t>
            </w:r>
          </w:p>
        </w:tc>
        <w:tc>
          <w:tcPr>
            <w:tcW w:w="983"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用户名称</w:t>
            </w:r>
          </w:p>
        </w:tc>
        <w:tc>
          <w:tcPr>
            <w:tcW w:w="949"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起止年月</w:t>
            </w:r>
          </w:p>
        </w:tc>
        <w:tc>
          <w:tcPr>
            <w:tcW w:w="949"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该项目中任职</w:t>
            </w:r>
          </w:p>
        </w:tc>
        <w:tc>
          <w:tcPr>
            <w:tcW w:w="102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95"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83"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102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95"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83"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102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95"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83"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102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95"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83"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102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95"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83"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949"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c>
          <w:tcPr>
            <w:tcW w:w="102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
                <w:sz w:val="22"/>
                <w:szCs w:val="22"/>
                <w:highlight w:val="none"/>
              </w:rPr>
            </w:pPr>
          </w:p>
        </w:tc>
      </w:tr>
    </w:tbl>
    <w:p>
      <w:pPr>
        <w:pStyle w:val="14"/>
        <w:spacing w:before="26"/>
        <w:ind w:right="72"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注：1、拟派项目组负责人相关业绩须提供证明文件，证明文件要求同技术资信</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lang w:eastAsia="zh-CN"/>
        </w:rPr>
        <w:t>分</w:t>
      </w:r>
      <w:r>
        <w:rPr>
          <w:rFonts w:hint="eastAsia" w:ascii="宋体" w:hAnsi="宋体" w:eastAsia="宋体" w:cs="宋体"/>
          <w:b w:val="0"/>
          <w:color w:val="auto"/>
          <w:sz w:val="24"/>
          <w:szCs w:val="24"/>
          <w:highlight w:val="none"/>
          <w:lang w:eastAsia="zh-CN"/>
        </w:rPr>
        <w:t>细则</w:t>
      </w:r>
      <w:r>
        <w:rPr>
          <w:rFonts w:hint="eastAsia" w:ascii="宋体" w:hAnsi="宋体" w:eastAsia="宋体" w:cs="宋体"/>
          <w:b w:val="0"/>
          <w:color w:val="auto"/>
          <w:sz w:val="24"/>
          <w:szCs w:val="24"/>
          <w:highlight w:val="none"/>
        </w:rPr>
        <w:t>的要求</w:t>
      </w:r>
      <w:r>
        <w:rPr>
          <w:rFonts w:hint="eastAsia" w:ascii="宋体" w:hAnsi="宋体" w:eastAsia="宋体" w:cs="宋体"/>
          <w:color w:val="auto"/>
          <w:sz w:val="24"/>
          <w:szCs w:val="24"/>
          <w:highlight w:val="none"/>
          <w:lang w:eastAsia="zh-CN"/>
        </w:rPr>
        <w:t>，如上述证明文件未能体现项目负责人信息，则须业主单位或行业主管部门出具证明；</w:t>
      </w:r>
    </w:p>
    <w:p>
      <w:pPr>
        <w:pStyle w:val="15"/>
        <w:numPr>
          <w:ilvl w:val="0"/>
          <w:numId w:val="0"/>
        </w:numPr>
        <w:ind w:leftChars="100" w:right="0" w:rightChars="0" w:firstLine="240"/>
        <w:rPr>
          <w:rFonts w:hint="eastAsia" w:ascii="宋体" w:hAnsi="宋体" w:cs="宋体"/>
          <w:color w:val="auto"/>
          <w:sz w:val="24"/>
          <w:highlight w:val="none"/>
          <w:lang w:eastAsia="zh-CN"/>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eastAsia="zh-CN"/>
        </w:rPr>
        <w:t>项目</w:t>
      </w:r>
      <w:r>
        <w:rPr>
          <w:rFonts w:hint="eastAsia" w:ascii="宋体" w:hAnsi="宋体" w:cs="宋体"/>
          <w:b w:val="0"/>
          <w:bCs w:val="0"/>
          <w:color w:val="auto"/>
          <w:sz w:val="24"/>
          <w:highlight w:val="none"/>
          <w:lang w:val="en-US" w:eastAsia="zh-CN"/>
        </w:rPr>
        <w:t>负责人（</w:t>
      </w:r>
      <w:r>
        <w:rPr>
          <w:rFonts w:hint="eastAsia" w:ascii="宋体" w:hAnsi="宋体" w:cs="宋体"/>
          <w:b w:val="0"/>
          <w:bCs w:val="0"/>
          <w:color w:val="auto"/>
          <w:sz w:val="24"/>
          <w:highlight w:val="none"/>
          <w:lang w:eastAsia="zh-CN"/>
        </w:rPr>
        <w:t>项目保荐代表人）</w:t>
      </w:r>
      <w:r>
        <w:rPr>
          <w:rFonts w:hint="eastAsia" w:ascii="宋体" w:hAnsi="宋体" w:cs="宋体"/>
          <w:b w:val="0"/>
          <w:bCs w:val="0"/>
          <w:color w:val="auto"/>
          <w:sz w:val="24"/>
          <w:highlight w:val="none"/>
          <w:lang w:val="en-US" w:eastAsia="zh-CN"/>
        </w:rPr>
        <w:t>要求</w:t>
      </w:r>
      <w:r>
        <w:rPr>
          <w:rFonts w:hint="eastAsia" w:ascii="宋体" w:hAnsi="宋体" w:cs="宋体"/>
          <w:b w:val="0"/>
          <w:bCs w:val="0"/>
          <w:color w:val="auto"/>
          <w:sz w:val="24"/>
          <w:highlight w:val="none"/>
          <w:lang w:eastAsia="zh-CN"/>
        </w:rPr>
        <w:t>具有10年（含）及以上</w:t>
      </w:r>
      <w:r>
        <w:rPr>
          <w:rFonts w:hint="eastAsia" w:ascii="宋体" w:hAnsi="宋体" w:cs="宋体"/>
          <w:b w:val="0"/>
          <w:bCs w:val="0"/>
          <w:color w:val="auto"/>
          <w:sz w:val="24"/>
          <w:highlight w:val="none"/>
          <w:lang w:val="en-US" w:eastAsia="zh-CN"/>
        </w:rPr>
        <w:t>证券从业经历</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从业经历须</w:t>
      </w:r>
      <w:r>
        <w:rPr>
          <w:rFonts w:hint="eastAsia" w:ascii="宋体" w:hAnsi="宋体" w:cs="宋体"/>
          <w:b w:val="0"/>
          <w:bCs w:val="0"/>
          <w:color w:val="auto"/>
          <w:sz w:val="24"/>
          <w:highlight w:val="none"/>
          <w:lang w:eastAsia="zh-CN"/>
        </w:rPr>
        <w:t>提供中国证券业协会相关查询截图复印件加盖单位公章，起始时间以首次等级日期为准。</w:t>
      </w:r>
    </w:p>
    <w:p>
      <w:pPr>
        <w:pStyle w:val="14"/>
        <w:numPr>
          <w:ilvl w:val="-1"/>
          <w:numId w:val="0"/>
        </w:numPr>
        <w:spacing w:before="26"/>
        <w:ind w:leftChars="200" w:right="72" w:rightChars="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项目负责人需提供在本单位近三个月内</w:t>
      </w:r>
      <w:r>
        <w:rPr>
          <w:rFonts w:hint="eastAsia" w:ascii="宋体" w:hAnsi="宋体" w:cs="宋体"/>
          <w:color w:val="auto"/>
          <w:sz w:val="24"/>
          <w:szCs w:val="24"/>
          <w:highlight w:val="none"/>
          <w:lang w:eastAsia="zh-CN"/>
        </w:rPr>
        <w:t>近一月</w:t>
      </w:r>
      <w:r>
        <w:rPr>
          <w:rFonts w:hint="eastAsia" w:ascii="宋体" w:hAnsi="宋体" w:eastAsia="宋体" w:cs="宋体"/>
          <w:color w:val="auto"/>
          <w:sz w:val="24"/>
          <w:szCs w:val="24"/>
          <w:highlight w:val="none"/>
          <w:lang w:eastAsia="zh-CN"/>
        </w:rPr>
        <w:t>社保证明；</w:t>
      </w:r>
    </w:p>
    <w:p>
      <w:pPr>
        <w:pStyle w:val="14"/>
        <w:numPr>
          <w:ilvl w:val="-1"/>
          <w:numId w:val="0"/>
        </w:numPr>
        <w:spacing w:before="26"/>
        <w:ind w:leftChars="200" w:right="72" w:rightChars="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供应商可根据需要自行调整、扩展本表格式。</w:t>
      </w: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ind w:firstLine="422" w:firstLineChars="200"/>
        <w:outlineLvl w:val="9"/>
        <w:rPr>
          <w:rFonts w:hint="default" w:ascii="宋体" w:hAnsi="宋体" w:eastAsia="宋体"/>
          <w:b/>
          <w:bCs/>
          <w:color w:val="auto"/>
          <w:szCs w:val="21"/>
          <w:highlight w:val="none"/>
          <w:lang w:val="en-US" w:eastAsia="zh-CN"/>
        </w:rPr>
      </w:pPr>
    </w:p>
    <w:p>
      <w:pPr>
        <w:autoSpaceDE w:val="0"/>
        <w:autoSpaceDN w:val="0"/>
        <w:adjustRightInd w:val="0"/>
        <w:ind w:firstLine="210"/>
        <w:jc w:val="left"/>
        <w:outlineLvl w:val="9"/>
        <w:rPr>
          <w:rFonts w:ascii="宋体" w:hAnsi="宋体" w:cs="HiddenHorzOCR"/>
          <w:color w:val="auto"/>
          <w:kern w:val="0"/>
          <w:szCs w:val="21"/>
          <w:highlight w:val="none"/>
        </w:rPr>
      </w:pPr>
    </w:p>
    <w:p>
      <w:pPr>
        <w:adjustRightInd/>
        <w:snapToGrid/>
        <w:spacing w:before="120" w:after="120" w:line="500" w:lineRule="exact"/>
        <w:jc w:val="left"/>
        <w:outlineLvl w:val="9"/>
        <w:rPr>
          <w:rFonts w:hint="eastAsia" w:ascii="宋体" w:hAnsi="宋体" w:eastAsia="宋体" w:cs="宋体"/>
          <w:color w:val="auto"/>
          <w:kern w:val="2"/>
          <w:sz w:val="21"/>
          <w:szCs w:val="21"/>
          <w:highlight w:val="none"/>
        </w:rPr>
      </w:pPr>
      <w:bookmarkStart w:id="158" w:name="_Toc19189"/>
      <w:bookmarkStart w:id="159" w:name="_Toc26668"/>
      <w:r>
        <w:rPr>
          <w:rFonts w:hint="eastAsia" w:ascii="宋体" w:hAnsi="宋体" w:eastAsia="宋体" w:cs="宋体"/>
          <w:b/>
          <w:bCs/>
          <w:color w:val="auto"/>
          <w:sz w:val="30"/>
          <w:szCs w:val="30"/>
          <w:highlight w:val="none"/>
          <w:lang w:val="en-US" w:eastAsia="zh-CN"/>
        </w:rPr>
        <w:t>附件</w:t>
      </w:r>
      <w:bookmarkEnd w:id="158"/>
      <w:bookmarkEnd w:id="159"/>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color w:val="auto"/>
          <w:kern w:val="2"/>
          <w:sz w:val="21"/>
          <w:szCs w:val="21"/>
          <w:highlight w:val="none"/>
        </w:rPr>
        <w:t xml:space="preserve">                       </w:t>
      </w:r>
    </w:p>
    <w:p>
      <w:pPr>
        <w:spacing w:line="460" w:lineRule="exact"/>
        <w:jc w:val="center"/>
        <w:outlineLvl w:val="9"/>
        <w:rPr>
          <w:rFonts w:hint="eastAsia" w:ascii="宋体" w:hAnsi="宋体" w:eastAsia="宋体" w:cs="宋体"/>
          <w:b/>
          <w:bCs/>
          <w:color w:val="auto"/>
          <w:sz w:val="30"/>
          <w:szCs w:val="30"/>
          <w:highlight w:val="none"/>
          <w:lang w:val="en-US" w:eastAsia="zh-CN"/>
        </w:rPr>
      </w:pPr>
      <w:bookmarkStart w:id="160" w:name="_Toc14434"/>
      <w:bookmarkStart w:id="161" w:name="_Toc20212"/>
      <w:r>
        <w:rPr>
          <w:rFonts w:hint="eastAsia" w:ascii="宋体" w:hAnsi="宋体" w:eastAsia="宋体" w:cs="宋体"/>
          <w:b/>
          <w:bCs/>
          <w:color w:val="auto"/>
          <w:sz w:val="30"/>
          <w:szCs w:val="30"/>
          <w:highlight w:val="none"/>
          <w:lang w:val="en-US" w:eastAsia="zh-CN"/>
        </w:rPr>
        <w:t>技术、商务偏离表</w:t>
      </w:r>
      <w:bookmarkEnd w:id="160"/>
      <w:bookmarkEnd w:id="161"/>
    </w:p>
    <w:p>
      <w:pPr>
        <w:spacing w:line="560" w:lineRule="exact"/>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2"/>
          <w:szCs w:val="22"/>
          <w:highlight w:val="none"/>
        </w:rPr>
        <w:t xml:space="preserve">项目名称：                    </w:t>
      </w:r>
      <w:r>
        <w:rPr>
          <w:rFonts w:hint="eastAsia" w:ascii="宋体" w:hAnsi="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lang w:eastAsia="zh-CN"/>
        </w:rPr>
        <w:t>项目编号</w:t>
      </w:r>
      <w:r>
        <w:rPr>
          <w:rFonts w:hint="eastAsia" w:ascii="宋体" w:hAnsi="宋体" w:eastAsia="宋体" w:cs="宋体"/>
          <w:b/>
          <w:color w:val="auto"/>
          <w:sz w:val="22"/>
          <w:szCs w:val="22"/>
          <w:highlight w:val="none"/>
        </w:rPr>
        <w:t>：</w:t>
      </w:r>
      <w:r>
        <w:rPr>
          <w:rFonts w:hint="eastAsia" w:ascii="宋体" w:hAnsi="宋体" w:cs="宋体"/>
          <w:color w:val="auto"/>
          <w:sz w:val="21"/>
          <w:szCs w:val="21"/>
          <w:highlight w:val="none"/>
          <w:lang w:val="en-US" w:eastAsia="zh-CN"/>
        </w:rPr>
        <w:t xml:space="preserve"> </w:t>
      </w:r>
    </w:p>
    <w:tbl>
      <w:tblPr>
        <w:tblStyle w:val="33"/>
        <w:tblW w:w="954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080"/>
        <w:gridCol w:w="2880"/>
        <w:gridCol w:w="1080"/>
        <w:gridCol w:w="2700"/>
        <w:gridCol w:w="1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56" w:type="dxa"/>
            <w:vMerge w:val="restart"/>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vMerge w:val="restart"/>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实际响应的具体内容</w:t>
            </w:r>
          </w:p>
        </w:tc>
        <w:tc>
          <w:tcPr>
            <w:tcW w:w="1144"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keepNext w:val="0"/>
              <w:keepLines w:val="0"/>
              <w:suppressLineNumbers w:val="0"/>
              <w:spacing w:before="0" w:beforeAutospacing="0" w:after="0" w:afterAutospacing="0"/>
              <w:ind w:left="0"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  术  偏  离</w:t>
            </w: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6" w:type="dxa"/>
            <w:vMerge w:val="restart"/>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144"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keepNext w:val="0"/>
              <w:keepLines w:val="0"/>
              <w:suppressLineNumbers w:val="0"/>
              <w:spacing w:before="0" w:beforeAutospacing="0" w:after="0" w:afterAutospacing="0"/>
              <w:ind w:left="0"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商  务  偏  离</w:t>
            </w: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注：如投标文件含正偏离和负偏离，都应说明。不填写此表视作完全响应采购文件要求</w:t>
      </w:r>
      <w:r>
        <w:rPr>
          <w:rFonts w:hint="eastAsia" w:ascii="宋体" w:hAnsi="宋体" w:eastAsia="宋体" w:cs="宋体"/>
          <w:b/>
          <w:color w:val="auto"/>
          <w:sz w:val="21"/>
          <w:szCs w:val="21"/>
          <w:highlight w:val="none"/>
          <w:lang w:eastAsia="zh-CN"/>
        </w:rPr>
        <w:t>。</w:t>
      </w: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before="120" w:after="120" w:line="380" w:lineRule="exact"/>
        <w:jc w:val="both"/>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30"/>
          <w:szCs w:val="30"/>
          <w:highlight w:val="none"/>
          <w:lang w:val="en-US" w:eastAsia="zh-CN"/>
        </w:rPr>
        <w:t>附件</w:t>
      </w:r>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21"/>
          <w:szCs w:val="21"/>
          <w:highlight w:val="none"/>
        </w:rPr>
        <w:t xml:space="preserve">              </w:t>
      </w:r>
    </w:p>
    <w:p>
      <w:pPr>
        <w:spacing w:line="460" w:lineRule="exact"/>
        <w:jc w:val="center"/>
        <w:outlineLvl w:val="9"/>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IPO上市</w:t>
      </w:r>
      <w:r>
        <w:rPr>
          <w:rFonts w:hint="eastAsia" w:ascii="宋体" w:hAnsi="宋体" w:eastAsia="宋体" w:cs="宋体"/>
          <w:b/>
          <w:bCs/>
          <w:color w:val="auto"/>
          <w:sz w:val="30"/>
          <w:szCs w:val="30"/>
          <w:highlight w:val="none"/>
          <w:lang w:val="en-US" w:eastAsia="zh-CN"/>
        </w:rPr>
        <w:t>项目业绩表</w:t>
      </w:r>
    </w:p>
    <w:p>
      <w:pPr>
        <w:tabs>
          <w:tab w:val="left" w:pos="774"/>
        </w:tabs>
        <w:autoSpaceDE w:val="0"/>
        <w:autoSpaceDN w:val="0"/>
        <w:spacing w:line="276" w:lineRule="auto"/>
        <w:ind w:left="774" w:hanging="576"/>
        <w:jc w:val="left"/>
        <w:outlineLvl w:val="2"/>
        <w:rPr>
          <w:rFonts w:hint="eastAsia" w:ascii="宋体" w:hAnsi="宋体" w:eastAsia="宋体" w:cs="宋体"/>
          <w:b/>
          <w:color w:val="auto"/>
          <w:sz w:val="28"/>
          <w:szCs w:val="28"/>
          <w:highlight w:val="none"/>
          <w:lang w:val="zh-CN"/>
        </w:rPr>
      </w:pPr>
      <w:r>
        <w:rPr>
          <w:rFonts w:hint="eastAsia" w:ascii="宋体" w:hAnsi="宋体" w:eastAsia="宋体" w:cs="宋体"/>
          <w:b/>
          <w:color w:val="auto"/>
          <w:sz w:val="22"/>
          <w:szCs w:val="22"/>
          <w:highlight w:val="none"/>
        </w:rPr>
        <w:t xml:space="preserve">项目名称：                    </w:t>
      </w:r>
      <w:r>
        <w:rPr>
          <w:rFonts w:hint="eastAsia" w:ascii="宋体" w:hAnsi="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项目编号：</w:t>
      </w:r>
    </w:p>
    <w:p>
      <w:pPr>
        <w:tabs>
          <w:tab w:val="left" w:pos="774"/>
        </w:tabs>
        <w:autoSpaceDE w:val="0"/>
        <w:autoSpaceDN w:val="0"/>
        <w:spacing w:line="240" w:lineRule="exact"/>
        <w:ind w:left="777" w:hanging="578"/>
        <w:jc w:val="left"/>
        <w:outlineLvl w:val="2"/>
        <w:rPr>
          <w:rFonts w:hint="eastAsia" w:ascii="宋体" w:hAnsi="宋体" w:eastAsia="宋体" w:cs="宋体"/>
          <w:b/>
          <w:color w:val="auto"/>
          <w:sz w:val="22"/>
          <w:highlight w:val="none"/>
        </w:rPr>
      </w:pPr>
    </w:p>
    <w:tbl>
      <w:tblPr>
        <w:tblStyle w:val="3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682"/>
        <w:gridCol w:w="1985"/>
        <w:gridCol w:w="1842"/>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03" w:type="dxa"/>
            <w:gridSpan w:val="3"/>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成功保荐A股上市公司家数</w:t>
            </w:r>
          </w:p>
        </w:tc>
        <w:tc>
          <w:tcPr>
            <w:tcW w:w="4848" w:type="dxa"/>
            <w:gridSpan w:val="2"/>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6"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82"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上市年月</w:t>
            </w:r>
          </w:p>
        </w:tc>
        <w:tc>
          <w:tcPr>
            <w:tcW w:w="1985"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证券代码</w:t>
            </w:r>
          </w:p>
        </w:tc>
        <w:tc>
          <w:tcPr>
            <w:tcW w:w="1842"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证券简称</w:t>
            </w:r>
          </w:p>
        </w:tc>
        <w:tc>
          <w:tcPr>
            <w:tcW w:w="3006"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68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985"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1842"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c>
          <w:tcPr>
            <w:tcW w:w="3006" w:type="dxa"/>
            <w:noWrap w:val="0"/>
            <w:vAlign w:val="top"/>
          </w:tcPr>
          <w:p>
            <w:pPr>
              <w:keepNext w:val="0"/>
              <w:keepLines w:val="0"/>
              <w:suppressLineNumbers w:val="0"/>
              <w:spacing w:before="0" w:beforeAutospacing="0" w:after="120" w:afterAutospacing="0" w:line="360" w:lineRule="atLeast"/>
              <w:ind w:left="0" w:right="0"/>
              <w:jc w:val="center"/>
              <w:rPr>
                <w:rFonts w:hint="eastAsia" w:ascii="宋体" w:hAnsi="宋体" w:eastAsia="宋体" w:cs="宋体"/>
                <w:color w:val="auto"/>
                <w:szCs w:val="21"/>
                <w:highlight w:val="none"/>
              </w:rPr>
            </w:pPr>
          </w:p>
        </w:tc>
      </w:tr>
    </w:tbl>
    <w:p>
      <w:pPr>
        <w:spacing w:line="380" w:lineRule="exact"/>
        <w:rPr>
          <w:rFonts w:hint="eastAsia" w:ascii="宋体" w:hAnsi="宋体" w:eastAsia="宋体" w:cs="宋体"/>
          <w:color w:val="auto"/>
          <w:sz w:val="22"/>
          <w:szCs w:val="22"/>
          <w:highlight w:val="none"/>
        </w:rPr>
      </w:pPr>
      <w:r>
        <w:rPr>
          <w:rFonts w:hint="eastAsia" w:ascii="宋体" w:hAnsi="宋体" w:eastAsia="宋体" w:cs="宋体"/>
          <w:b/>
          <w:color w:val="auto"/>
          <w:szCs w:val="21"/>
          <w:highlight w:val="none"/>
        </w:rPr>
        <w:t>注：供应商应根据供应商资格条件和技术资信</w:t>
      </w:r>
      <w:r>
        <w:rPr>
          <w:rFonts w:hint="eastAsia" w:ascii="宋体" w:hAnsi="宋体" w:cs="宋体"/>
          <w:b/>
          <w:color w:val="auto"/>
          <w:szCs w:val="21"/>
          <w:highlight w:val="none"/>
          <w:lang w:eastAsia="zh-CN"/>
        </w:rPr>
        <w:t>评</w:t>
      </w:r>
      <w:r>
        <w:rPr>
          <w:rFonts w:hint="eastAsia" w:ascii="宋体" w:hAnsi="宋体" w:eastAsia="宋体" w:cs="宋体"/>
          <w:b/>
          <w:color w:val="auto"/>
          <w:szCs w:val="21"/>
          <w:highlight w:val="none"/>
        </w:rPr>
        <w:t>分</w:t>
      </w:r>
      <w:r>
        <w:rPr>
          <w:rFonts w:hint="eastAsia" w:ascii="宋体" w:hAnsi="宋体" w:eastAsia="宋体" w:cs="宋体"/>
          <w:b/>
          <w:color w:val="auto"/>
          <w:szCs w:val="21"/>
          <w:highlight w:val="none"/>
          <w:lang w:eastAsia="zh-CN"/>
        </w:rPr>
        <w:t>细则</w:t>
      </w:r>
      <w:r>
        <w:rPr>
          <w:rFonts w:hint="eastAsia" w:ascii="宋体" w:hAnsi="宋体" w:eastAsia="宋体" w:cs="宋体"/>
          <w:b/>
          <w:color w:val="auto"/>
          <w:szCs w:val="21"/>
          <w:highlight w:val="none"/>
        </w:rPr>
        <w:t>的要求在本表后附相关证明材料。公司在IPO等业务方面的成功案例和实力，特别是在</w:t>
      </w:r>
      <w:r>
        <w:rPr>
          <w:rFonts w:hint="eastAsia" w:ascii="宋体" w:hAnsi="宋体" w:eastAsia="宋体" w:cs="宋体"/>
          <w:b/>
          <w:color w:val="auto"/>
          <w:szCs w:val="21"/>
          <w:highlight w:val="none"/>
          <w:lang w:eastAsia="zh-CN"/>
        </w:rPr>
        <w:t>国有企业</w:t>
      </w:r>
      <w:r>
        <w:rPr>
          <w:rFonts w:hint="eastAsia" w:ascii="宋体" w:hAnsi="宋体" w:eastAsia="宋体" w:cs="宋体"/>
          <w:b/>
          <w:color w:val="auto"/>
          <w:szCs w:val="21"/>
          <w:highlight w:val="none"/>
        </w:rPr>
        <w:t>上市</w:t>
      </w:r>
      <w:r>
        <w:rPr>
          <w:rFonts w:hint="eastAsia" w:ascii="宋体" w:hAnsi="宋体" w:eastAsia="宋体" w:cs="宋体"/>
          <w:b/>
          <w:color w:val="auto"/>
          <w:szCs w:val="21"/>
          <w:highlight w:val="none"/>
          <w:lang w:eastAsia="zh-CN"/>
        </w:rPr>
        <w:t>和温州本地企业上市</w:t>
      </w:r>
      <w:r>
        <w:rPr>
          <w:rFonts w:hint="eastAsia" w:ascii="宋体" w:hAnsi="宋体" w:eastAsia="宋体" w:cs="宋体"/>
          <w:b/>
          <w:color w:val="auto"/>
          <w:szCs w:val="21"/>
          <w:highlight w:val="none"/>
        </w:rPr>
        <w:t>的成功经验。需提供贵公司股票市场承销能力的证明材料，包括</w:t>
      </w:r>
      <w:r>
        <w:rPr>
          <w:rFonts w:hint="eastAsia" w:ascii="宋体" w:hAnsi="宋体" w:eastAsia="宋体" w:cs="宋体"/>
          <w:b/>
          <w:color w:val="auto"/>
          <w:szCs w:val="21"/>
          <w:highlight w:val="none"/>
          <w:lang w:eastAsia="zh-CN"/>
        </w:rPr>
        <w:t>近三年</w:t>
      </w:r>
      <w:r>
        <w:rPr>
          <w:rFonts w:hint="eastAsia" w:ascii="宋体" w:hAnsi="宋体" w:eastAsia="宋体" w:cs="宋体"/>
          <w:b/>
          <w:color w:val="auto"/>
          <w:szCs w:val="21"/>
          <w:highlight w:val="none"/>
        </w:rPr>
        <w:t>以来IPO案例及过会成功率等</w:t>
      </w:r>
      <w:r>
        <w:rPr>
          <w:rFonts w:hint="eastAsia" w:ascii="宋体" w:hAnsi="宋体" w:eastAsia="宋体" w:cs="宋体"/>
          <w:b/>
          <w:color w:val="auto"/>
          <w:sz w:val="24"/>
          <w:highlight w:val="none"/>
        </w:rPr>
        <w:t>。</w:t>
      </w:r>
    </w:p>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不按此要求填写此项内容或未按要求提供业绩证明材料将视为无业绩，不纳入评分范围。</w:t>
      </w:r>
    </w:p>
    <w:p>
      <w:pPr>
        <w:spacing w:line="400" w:lineRule="exact"/>
        <w:ind w:firstLine="413" w:firstLineChars="196"/>
        <w:outlineLvl w:val="9"/>
        <w:rPr>
          <w:rFonts w:hint="eastAsia" w:ascii="宋体" w:hAnsi="宋体" w:eastAsia="宋体" w:cs="宋体"/>
          <w:b/>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pStyle w:val="30"/>
        <w:rPr>
          <w:rFonts w:hint="eastAsia"/>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ind w:firstLine="5250" w:firstLineChars="2500"/>
        <w:outlineLvl w:val="9"/>
        <w:rPr>
          <w:rFonts w:hint="eastAsia" w:ascii="宋体" w:hAnsi="宋体" w:cs="宋体"/>
          <w:color w:val="auto"/>
          <w:sz w:val="21"/>
          <w:szCs w:val="21"/>
          <w:highlight w:val="none"/>
          <w:lang w:val="en-US" w:eastAsia="zh-CN"/>
        </w:rPr>
      </w:pPr>
    </w:p>
    <w:p>
      <w:pPr>
        <w:spacing w:before="120" w:after="120" w:line="380" w:lineRule="exact"/>
        <w:jc w:val="both"/>
        <w:outlineLvl w:val="9"/>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附件七</w:t>
      </w:r>
    </w:p>
    <w:p>
      <w:pPr>
        <w:spacing w:before="120" w:after="120" w:line="380" w:lineRule="exact"/>
        <w:jc w:val="center"/>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项目实施进度计划表（以合同生效日算起）</w:t>
      </w:r>
    </w:p>
    <w:p>
      <w:pPr>
        <w:spacing w:line="560" w:lineRule="exact"/>
        <w:ind w:firstLine="221" w:firstLineChars="100"/>
        <w:outlineLvl w:val="9"/>
        <w:rPr>
          <w:rFonts w:hint="eastAsia"/>
          <w:sz w:val="22"/>
          <w:szCs w:val="22"/>
          <w:lang w:eastAsia="zh-CN"/>
        </w:rPr>
      </w:pPr>
      <w:r>
        <w:rPr>
          <w:rFonts w:hint="eastAsia" w:ascii="宋体" w:hAnsi="宋体" w:eastAsia="宋体" w:cs="宋体"/>
          <w:b/>
          <w:color w:val="auto"/>
          <w:sz w:val="22"/>
          <w:szCs w:val="22"/>
          <w:highlight w:val="none"/>
        </w:rPr>
        <w:t xml:space="preserve">项目名称：                    </w:t>
      </w:r>
      <w:r>
        <w:rPr>
          <w:rFonts w:hint="eastAsia" w:ascii="宋体" w:hAnsi="宋体" w:cs="宋体"/>
          <w:b/>
          <w:color w:val="auto"/>
          <w:sz w:val="22"/>
          <w:szCs w:val="22"/>
          <w:highlight w:val="none"/>
          <w:lang w:val="en-US" w:eastAsia="zh-CN"/>
        </w:rPr>
        <w:t xml:space="preserve">                                 </w:t>
      </w:r>
      <w:r>
        <w:rPr>
          <w:rFonts w:hint="eastAsia" w:ascii="宋体" w:hAnsi="宋体" w:eastAsia="宋体" w:cs="宋体"/>
          <w:b/>
          <w:color w:val="auto"/>
          <w:sz w:val="22"/>
          <w:szCs w:val="22"/>
          <w:highlight w:val="none"/>
        </w:rPr>
        <w:t xml:space="preserve"> 项目编号：</w:t>
      </w:r>
    </w:p>
    <w:tbl>
      <w:tblPr>
        <w:tblStyle w:val="164"/>
        <w:tblW w:w="9426" w:type="dxa"/>
        <w:jc w:val="center"/>
        <w:tblLayout w:type="autofit"/>
        <w:tblCellMar>
          <w:top w:w="0" w:type="dxa"/>
          <w:left w:w="0" w:type="dxa"/>
          <w:bottom w:w="0" w:type="dxa"/>
          <w:right w:w="0" w:type="dxa"/>
        </w:tblCellMar>
      </w:tblPr>
      <w:tblGrid>
        <w:gridCol w:w="643"/>
        <w:gridCol w:w="2022"/>
        <w:gridCol w:w="2311"/>
        <w:gridCol w:w="1566"/>
        <w:gridCol w:w="1900"/>
        <w:gridCol w:w="984"/>
      </w:tblGrid>
      <w:tr>
        <w:tblPrEx>
          <w:tblCellMar>
            <w:top w:w="0" w:type="dxa"/>
            <w:left w:w="0" w:type="dxa"/>
            <w:bottom w:w="0" w:type="dxa"/>
            <w:right w:w="0" w:type="dxa"/>
          </w:tblCellMar>
        </w:tblPrEx>
        <w:trPr>
          <w:trHeight w:val="1122" w:hRule="exact"/>
          <w:jc w:val="center"/>
        </w:trPr>
        <w:tc>
          <w:tcPr>
            <w:tcW w:w="643" w:type="dxa"/>
            <w:tcBorders>
              <w:top w:val="single" w:color="000000" w:sz="12" w:space="0"/>
              <w:left w:val="single" w:color="000000" w:sz="12" w:space="0"/>
              <w:bottom w:val="single" w:color="000000" w:sz="6" w:space="0"/>
              <w:right w:val="single" w:color="000000" w:sz="6" w:space="0"/>
            </w:tcBorders>
            <w:shd w:val="clear" w:color="auto" w:fill="BFBFBF"/>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22" w:type="dxa"/>
            <w:tcBorders>
              <w:top w:val="single" w:color="000000" w:sz="12" w:space="0"/>
              <w:left w:val="single" w:color="000000" w:sz="6" w:space="0"/>
              <w:bottom w:val="single" w:color="000000" w:sz="6" w:space="0"/>
              <w:right w:val="single" w:color="000000" w:sz="6" w:space="0"/>
            </w:tcBorders>
            <w:shd w:val="clear" w:color="auto" w:fill="BFBFBF"/>
            <w:noWrap w:val="0"/>
            <w:vAlign w:val="center"/>
          </w:tcPr>
          <w:p>
            <w:pPr>
              <w:pStyle w:val="163"/>
              <w:spacing w:line="240" w:lineRule="auto"/>
              <w:ind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具体事项</w:t>
            </w:r>
          </w:p>
          <w:p>
            <w:pPr>
              <w:pStyle w:val="163"/>
              <w:spacing w:line="240" w:lineRule="auto"/>
              <w:ind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（包括但不限于以下）</w:t>
            </w:r>
          </w:p>
        </w:tc>
        <w:tc>
          <w:tcPr>
            <w:tcW w:w="2311" w:type="dxa"/>
            <w:tcBorders>
              <w:top w:val="single" w:color="000000" w:sz="12" w:space="0"/>
              <w:left w:val="single" w:color="000000" w:sz="6" w:space="0"/>
              <w:bottom w:val="single" w:color="000000" w:sz="6" w:space="0"/>
              <w:right w:val="single" w:color="000000" w:sz="6" w:space="0"/>
            </w:tcBorders>
            <w:shd w:val="clear" w:color="auto" w:fill="BFBFBF"/>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预计起止时间</w:t>
            </w:r>
          </w:p>
        </w:tc>
        <w:tc>
          <w:tcPr>
            <w:tcW w:w="1566" w:type="dxa"/>
            <w:tcBorders>
              <w:top w:val="single" w:color="000000" w:sz="12" w:space="0"/>
              <w:left w:val="single" w:color="000000" w:sz="6" w:space="0"/>
              <w:bottom w:val="single" w:color="000000" w:sz="6" w:space="0"/>
              <w:right w:val="single" w:color="000000" w:sz="6" w:space="0"/>
            </w:tcBorders>
            <w:shd w:val="clear" w:color="auto" w:fill="BFBFBF"/>
            <w:noWrap w:val="0"/>
            <w:vAlign w:val="center"/>
          </w:tcPr>
          <w:p>
            <w:pPr>
              <w:pStyle w:val="163"/>
              <w:spacing w:line="240" w:lineRule="auto"/>
              <w:ind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需要准备的文件或工作</w:t>
            </w:r>
          </w:p>
        </w:tc>
        <w:tc>
          <w:tcPr>
            <w:tcW w:w="1900" w:type="dxa"/>
            <w:tcBorders>
              <w:top w:val="single" w:color="000000" w:sz="12" w:space="0"/>
              <w:left w:val="single" w:color="000000" w:sz="6" w:space="0"/>
              <w:bottom w:val="single" w:color="000000" w:sz="6" w:space="0"/>
              <w:right w:val="single" w:color="000000" w:sz="6" w:space="0"/>
            </w:tcBorders>
            <w:shd w:val="clear" w:color="auto" w:fill="BFBFBF"/>
            <w:noWrap w:val="0"/>
            <w:vAlign w:val="center"/>
          </w:tcPr>
          <w:p>
            <w:pPr>
              <w:pStyle w:val="163"/>
              <w:spacing w:line="240" w:lineRule="auto"/>
              <w:ind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文件主要内容</w:t>
            </w:r>
          </w:p>
          <w:p>
            <w:pPr>
              <w:pStyle w:val="163"/>
              <w:spacing w:line="240" w:lineRule="auto"/>
              <w:ind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或主要工作</w:t>
            </w:r>
          </w:p>
        </w:tc>
        <w:tc>
          <w:tcPr>
            <w:tcW w:w="984" w:type="dxa"/>
            <w:tcBorders>
              <w:top w:val="single" w:color="000000" w:sz="12" w:space="0"/>
              <w:left w:val="single" w:color="000000" w:sz="6" w:space="0"/>
              <w:bottom w:val="single" w:color="000000" w:sz="6" w:space="0"/>
              <w:right w:val="single" w:color="000000" w:sz="12" w:space="0"/>
            </w:tcBorders>
            <w:shd w:val="clear" w:color="auto" w:fill="BFBFBF"/>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负责单位</w:t>
            </w:r>
          </w:p>
        </w:tc>
      </w:tr>
      <w:tr>
        <w:tblPrEx>
          <w:tblCellMar>
            <w:top w:w="0" w:type="dxa"/>
            <w:left w:w="0" w:type="dxa"/>
            <w:bottom w:w="0" w:type="dxa"/>
            <w:right w:w="0" w:type="dxa"/>
          </w:tblCellMar>
        </w:tblPrEx>
        <w:trPr>
          <w:trHeight w:val="534"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w w:val="101"/>
                <w:sz w:val="22"/>
                <w:szCs w:val="22"/>
                <w:highlight w:val="none"/>
              </w:rPr>
              <w:t>1</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9"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w w:val="101"/>
                <w:sz w:val="22"/>
                <w:szCs w:val="22"/>
                <w:highlight w:val="none"/>
              </w:rPr>
              <w:t>2</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9"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w w:val="101"/>
                <w:sz w:val="22"/>
                <w:szCs w:val="22"/>
                <w:highlight w:val="none"/>
              </w:rPr>
              <w:t>3</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9"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w w:val="101"/>
                <w:sz w:val="22"/>
                <w:szCs w:val="22"/>
                <w:highlight w:val="none"/>
              </w:rPr>
              <w:t>4</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9"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4"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w w:val="101"/>
                <w:sz w:val="22"/>
                <w:szCs w:val="22"/>
                <w:highlight w:val="none"/>
              </w:rPr>
              <w:t>5</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9"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w w:val="101"/>
                <w:sz w:val="22"/>
                <w:szCs w:val="22"/>
                <w:highlight w:val="none"/>
              </w:rPr>
              <w:t>6</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9"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w w:val="101"/>
                <w:sz w:val="22"/>
                <w:szCs w:val="22"/>
                <w:highlight w:val="none"/>
              </w:rPr>
              <w:t>7</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9"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w w:val="101"/>
                <w:sz w:val="22"/>
                <w:szCs w:val="22"/>
                <w:highlight w:val="none"/>
              </w:rPr>
              <w:t>8</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9"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4"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w w:val="101"/>
                <w:sz w:val="22"/>
                <w:szCs w:val="22"/>
                <w:highlight w:val="none"/>
              </w:rPr>
              <w:t>9</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900"/>
                <w:tab w:val="left" w:pos="1669"/>
              </w:tabs>
              <w:spacing w:line="240" w:lineRule="auto"/>
              <w:ind w:left="458"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8"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8"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4"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8"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8"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8"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532" w:hRule="exact"/>
          <w:jc w:val="center"/>
        </w:trPr>
        <w:tc>
          <w:tcPr>
            <w:tcW w:w="643" w:type="dxa"/>
            <w:tcBorders>
              <w:top w:val="single" w:color="000000" w:sz="6" w:space="0"/>
              <w:left w:val="single" w:color="000000" w:sz="12" w:space="0"/>
              <w:bottom w:val="single" w:color="000000" w:sz="6"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2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6" w:space="0"/>
              <w:right w:val="single" w:color="000000" w:sz="6" w:space="0"/>
            </w:tcBorders>
            <w:noWrap w:val="0"/>
            <w:vAlign w:val="center"/>
          </w:tcPr>
          <w:p>
            <w:pPr>
              <w:pStyle w:val="163"/>
              <w:tabs>
                <w:tab w:val="left" w:pos="898"/>
                <w:tab w:val="left" w:pos="1668"/>
              </w:tabs>
              <w:spacing w:line="240" w:lineRule="auto"/>
              <w:ind w:left="458"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6"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r>
        <w:tblPrEx>
          <w:tblCellMar>
            <w:top w:w="0" w:type="dxa"/>
            <w:left w:w="0" w:type="dxa"/>
            <w:bottom w:w="0" w:type="dxa"/>
            <w:right w:w="0" w:type="dxa"/>
          </w:tblCellMar>
        </w:tblPrEx>
        <w:trPr>
          <w:trHeight w:val="601" w:hRule="exact"/>
          <w:jc w:val="center"/>
        </w:trPr>
        <w:tc>
          <w:tcPr>
            <w:tcW w:w="643" w:type="dxa"/>
            <w:tcBorders>
              <w:top w:val="single" w:color="000000" w:sz="6" w:space="0"/>
              <w:left w:val="single" w:color="000000" w:sz="12" w:space="0"/>
              <w:bottom w:val="single" w:color="000000" w:sz="12" w:space="0"/>
              <w:right w:val="single" w:color="000000" w:sz="6" w:space="0"/>
            </w:tcBorders>
            <w:noWrap w:val="0"/>
            <w:vAlign w:val="center"/>
          </w:tcPr>
          <w:p>
            <w:pPr>
              <w:pStyle w:val="163"/>
              <w:spacing w:line="240" w:lineRule="auto"/>
              <w:ind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2022"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2311" w:type="dxa"/>
            <w:tcBorders>
              <w:top w:val="single" w:color="000000" w:sz="6" w:space="0"/>
              <w:left w:val="single" w:color="000000" w:sz="6" w:space="0"/>
              <w:bottom w:val="single" w:color="000000" w:sz="12" w:space="0"/>
              <w:right w:val="single" w:color="000000" w:sz="6" w:space="0"/>
            </w:tcBorders>
            <w:noWrap w:val="0"/>
            <w:vAlign w:val="center"/>
          </w:tcPr>
          <w:p>
            <w:pPr>
              <w:pStyle w:val="163"/>
              <w:tabs>
                <w:tab w:val="left" w:pos="898"/>
                <w:tab w:val="left" w:pos="1668"/>
              </w:tabs>
              <w:spacing w:line="240" w:lineRule="auto"/>
              <w:ind w:left="458"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rPr>
              <w:tab/>
            </w:r>
            <w:r>
              <w:rPr>
                <w:rFonts w:hint="eastAsia" w:ascii="宋体" w:hAnsi="宋体" w:eastAsia="宋体" w:cs="宋体"/>
                <w:color w:val="auto"/>
                <w:sz w:val="22"/>
                <w:szCs w:val="22"/>
                <w:highlight w:val="none"/>
              </w:rPr>
              <w:t>日</w:t>
            </w:r>
          </w:p>
        </w:tc>
        <w:tc>
          <w:tcPr>
            <w:tcW w:w="1566"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1900" w:type="dxa"/>
            <w:tcBorders>
              <w:top w:val="single" w:color="000000" w:sz="6" w:space="0"/>
              <w:left w:val="single" w:color="000000" w:sz="6" w:space="0"/>
              <w:bottom w:val="single" w:color="000000" w:sz="12" w:space="0"/>
              <w:right w:val="single" w:color="000000" w:sz="6"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c>
          <w:tcPr>
            <w:tcW w:w="984" w:type="dxa"/>
            <w:tcBorders>
              <w:top w:val="single" w:color="000000" w:sz="6" w:space="0"/>
              <w:left w:val="single" w:color="000000" w:sz="6" w:space="0"/>
              <w:bottom w:val="single" w:color="000000" w:sz="12" w:space="0"/>
              <w:right w:val="single" w:color="000000" w:sz="12" w:space="0"/>
            </w:tcBorders>
            <w:noWrap w:val="0"/>
            <w:vAlign w:val="center"/>
          </w:tcPr>
          <w:p>
            <w:pPr>
              <w:spacing w:line="240" w:lineRule="auto"/>
              <w:ind w:right="0"/>
              <w:jc w:val="center"/>
              <w:rPr>
                <w:rFonts w:hint="eastAsia" w:ascii="宋体" w:hAnsi="宋体" w:eastAsia="宋体" w:cs="宋体"/>
                <w:color w:val="auto"/>
                <w:sz w:val="22"/>
                <w:szCs w:val="22"/>
                <w:highlight w:val="none"/>
              </w:rPr>
            </w:pPr>
          </w:p>
        </w:tc>
      </w:tr>
    </w:tbl>
    <w:p>
      <w:pPr>
        <w:pStyle w:val="6"/>
        <w:spacing w:before="181"/>
        <w:ind w:left="17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注：（1）上述时间表的格式仅供参考，投标人可自行编制切合实际的具体时间表。</w:t>
      </w: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color w:val="auto"/>
          <w:sz w:val="21"/>
          <w:szCs w:val="21"/>
          <w:highlight w:val="none"/>
        </w:rPr>
      </w:pPr>
    </w:p>
    <w:p>
      <w:pPr>
        <w:spacing w:line="240" w:lineRule="auto"/>
        <w:jc w:val="both"/>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附件八：                                                   </w:t>
      </w:r>
    </w:p>
    <w:p>
      <w:pPr>
        <w:spacing w:before="120" w:after="120" w:line="380" w:lineRule="exact"/>
        <w:jc w:val="center"/>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保密承诺书</w:t>
      </w:r>
    </w:p>
    <w:p>
      <w:pPr>
        <w:snapToGrid w:val="0"/>
        <w:spacing w:beforeLines="50" w:after="163"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eastAsia="zh-CN"/>
        </w:rPr>
        <w:t>温州诚达交通发展股份有限公司</w:t>
      </w:r>
      <w:r>
        <w:rPr>
          <w:rFonts w:hint="eastAsia" w:ascii="宋体" w:hAnsi="宋体" w:eastAsia="宋体" w:cs="宋体"/>
          <w:color w:val="auto"/>
          <w:sz w:val="22"/>
          <w:szCs w:val="22"/>
          <w:highlight w:val="none"/>
        </w:rPr>
        <w:t>：</w:t>
      </w:r>
    </w:p>
    <w:p>
      <w:pPr>
        <w:spacing w:beforeLines="50" w:after="163"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贵方</w:t>
      </w:r>
      <w:r>
        <w:rPr>
          <w:rFonts w:hint="eastAsia" w:ascii="宋体" w:hAnsi="宋体" w:eastAsia="宋体" w:cs="宋体"/>
          <w:color w:val="auto"/>
          <w:sz w:val="22"/>
          <w:szCs w:val="22"/>
          <w:highlight w:val="none"/>
        </w:rPr>
        <w:t>本着既确保国家秘密，又便于工作的方针，向我方提供有关本招标项目的相关资料。鉴于项目招投标过程中，涉及到贵公司的商业或技术秘密，为保证秘密不致外泄，我方做出以下保密承诺：</w:t>
      </w:r>
    </w:p>
    <w:p>
      <w:pPr>
        <w:numPr>
          <w:ilvl w:val="0"/>
          <w:numId w:val="0"/>
        </w:numPr>
        <w:spacing w:after="163" w:line="360" w:lineRule="auto"/>
        <w:ind w:left="402" w:leftChars="0" w:hanging="402" w:hangingChars="1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此所述及的保密信息是指我方在投标过程中直接或间接获得的所有商业或技术信息（包括口头、书面信息及资料）。</w:t>
      </w:r>
    </w:p>
    <w:p>
      <w:pPr>
        <w:numPr>
          <w:ilvl w:val="0"/>
          <w:numId w:val="0"/>
        </w:numPr>
        <w:spacing w:after="163" w:line="360" w:lineRule="auto"/>
        <w:ind w:left="402" w:leftChars="0" w:hanging="402" w:hangingChars="1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我方获得的保密信息只用于本次招标工作，绝不用于其它用途。我方将采用不低于贵方的保密等级措施使用和保管贵方的保密信息，并采取严格措施防止与本次投标工作无关的我方人员接触保密信息。一旦发现泄密，应采取一切必要的措施阻止并立即报告贵方。</w:t>
      </w:r>
    </w:p>
    <w:p>
      <w:pPr>
        <w:numPr>
          <w:ilvl w:val="0"/>
          <w:numId w:val="0"/>
        </w:numPr>
        <w:spacing w:after="163" w:line="360" w:lineRule="auto"/>
        <w:ind w:left="402" w:leftChars="0" w:hanging="402" w:hangingChars="1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我方对贵方提供的涉密载体承担保密责任，如有意或过失造成泄密，并给国家及贵方的安全和利益带来危害与损失的，贵方有权对我方提出诉讼索赔，我方需承担由此带来的一切法律与经济责任。</w:t>
      </w:r>
    </w:p>
    <w:p>
      <w:pPr>
        <w:numPr>
          <w:ilvl w:val="0"/>
          <w:numId w:val="0"/>
        </w:numPr>
        <w:spacing w:after="163" w:line="360" w:lineRule="auto"/>
        <w:ind w:left="402" w:leftChars="0" w:hanging="402" w:hangingChars="1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我方将对从贵公司处得到的信息进行保密管理，采取措施防止信息的全部或任一部分泄露给第三方。</w:t>
      </w:r>
    </w:p>
    <w:p>
      <w:pPr>
        <w:numPr>
          <w:ilvl w:val="0"/>
          <w:numId w:val="0"/>
        </w:numPr>
        <w:spacing w:after="163" w:line="360" w:lineRule="auto"/>
        <w:ind w:left="402" w:leftChars="0" w:hanging="402" w:hangingChars="1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rPr>
        <w:t>我方有责任在约定期内对贵方的保密信息采取保密措施，在递交投标文件时，一并退还贵方所提供资料。</w:t>
      </w:r>
    </w:p>
    <w:p>
      <w:pPr>
        <w:numPr>
          <w:ilvl w:val="0"/>
          <w:numId w:val="0"/>
        </w:numPr>
        <w:spacing w:after="163" w:line="360" w:lineRule="auto"/>
        <w:ind w:left="402" w:leftChars="0" w:hanging="402" w:hangingChars="1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本承诺书随投标文件一同递交，作为投标文件的一部分，如果我方有幸中标，此承诺书将持续生效至项目结束。</w:t>
      </w:r>
    </w:p>
    <w:p>
      <w:pPr>
        <w:pStyle w:val="15"/>
        <w:rPr>
          <w:rFonts w:hint="eastAsia"/>
        </w:rPr>
      </w:pPr>
    </w:p>
    <w:p>
      <w:pPr>
        <w:spacing w:line="460" w:lineRule="exact"/>
        <w:ind w:firstLine="3300" w:firstLineChars="15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投标供应商全称（盖章） ：</w:t>
      </w:r>
    </w:p>
    <w:p>
      <w:pPr>
        <w:spacing w:line="460" w:lineRule="exact"/>
        <w:ind w:firstLine="440" w:firstLineChars="2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法定代表人（法定负责人） 或授权代表（签字或盖章）：</w:t>
      </w:r>
    </w:p>
    <w:p>
      <w:pPr>
        <w:spacing w:line="460" w:lineRule="exact"/>
        <w:ind w:firstLine="550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日期：     年  月  日</w:t>
      </w:r>
    </w:p>
    <w:p>
      <w:pPr>
        <w:spacing w:line="240" w:lineRule="auto"/>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color w:val="auto"/>
          <w:sz w:val="21"/>
          <w:szCs w:val="21"/>
          <w:highlight w:val="none"/>
        </w:rPr>
      </w:pPr>
    </w:p>
    <w:p>
      <w:pPr>
        <w:spacing w:line="240" w:lineRule="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附件九： </w:t>
      </w:r>
    </w:p>
    <w:p>
      <w:pPr>
        <w:pStyle w:val="15"/>
        <w:rPr>
          <w:rFonts w:hint="eastAsia"/>
          <w:lang w:val="en-US" w:eastAsia="zh-CN"/>
        </w:rPr>
      </w:pPr>
    </w:p>
    <w:p>
      <w:pPr>
        <w:spacing w:line="240" w:lineRule="auto"/>
        <w:jc w:val="center"/>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项目承销费率报价</w:t>
      </w:r>
    </w:p>
    <w:p>
      <w:pPr>
        <w:pStyle w:val="15"/>
        <w:spacing w:after="0"/>
        <w:ind w:firstLine="0" w:firstLineChars="0"/>
        <w:rPr>
          <w:rFonts w:hint="eastAsia"/>
          <w:color w:val="auto"/>
          <w:highlight w:val="none"/>
        </w:rPr>
      </w:pPr>
    </w:p>
    <w:p>
      <w:pPr>
        <w:spacing w:line="20" w:lineRule="exact"/>
        <w:rPr>
          <w:rFonts w:hint="eastAsia" w:ascii="宋体" w:hAnsi="宋体" w:eastAsia="宋体" w:cs="宋体"/>
          <w:color w:val="auto"/>
          <w:sz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1" locked="0" layoutInCell="0" allowOverlap="1">
                <wp:simplePos x="0" y="0"/>
                <wp:positionH relativeFrom="column">
                  <wp:posOffset>-3175</wp:posOffset>
                </wp:positionH>
                <wp:positionV relativeFrom="paragraph">
                  <wp:posOffset>276225</wp:posOffset>
                </wp:positionV>
                <wp:extent cx="12065" cy="12065"/>
                <wp:effectExtent l="0" t="0" r="0" b="0"/>
                <wp:wrapNone/>
                <wp:docPr id="499" name="矩形 499"/>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a:ln>
                          <a:noFill/>
                        </a:ln>
                        <a:effectLst/>
                      </wps:spPr>
                      <wps:bodyPr/>
                    </wps:wsp>
                  </a:graphicData>
                </a:graphic>
              </wp:anchor>
            </w:drawing>
          </mc:Choice>
          <mc:Fallback>
            <w:pict>
              <v:rect id="_x0000_s1026" o:spid="_x0000_s1026" o:spt="1" style="position:absolute;left:0pt;margin-left:-0.25pt;margin-top:21.75pt;height:0.95pt;width:0.95pt;z-index:-251657216;mso-width-relative:page;mso-height-relative:page;" fillcolor="#000000" filled="t" stroked="f" coordsize="21600,21600" o:allowincell="f" o:gfxdata="UEsDBAoAAAAAAIdO4kAAAAAAAAAAAAAAAAAEAAAAZHJzL1BLAwQUAAAACACHTuJAGPePMtQAAAAF&#10;AQAADwAAAGRycy9kb3ducmV2LnhtbE2OzU7DMBCE70i8g7VI3Fq7JUElxKlUJI5ItHCgNydekqjx&#10;OtjuDzx9t6dyGo1mNPOVy5MbxAFD7D1pmE0VCKTG255aDZ8fr5MFiJgMWTN4Qg2/GGFZ3d6UprD+&#10;SGs8bFIreIRiYTR0KY2FlLHp0Jk49SMSZ98+OJPYhlbaYI487gY5V+pROtMTP3RmxJcOm91m7zSs&#10;nharn/eM3v7W9Ra3X/Uunwel9f3dTD2DSHhK1zJc8BkdKmaq/Z5sFIOGSc5FDdkD6yXOQNRs8wxk&#10;Vcr/9NUZUEsDBBQAAAAIAIdO4kAD43b4qQEAAGIDAAAOAAAAZHJzL2Uyb0RvYy54bWytU0tu2zAQ&#10;3RfoHQjua8pGGzSC5SxqpJuiDZD2ADRFWgT4wwxj2acp0F0P0eMUvUaHlOKmySaLaCHNj2/mvaHW&#10;V0fv2EED2hg6vlw0nOmgYm/DvuPfvl6/ec8ZZhl66WLQHT9p5Feb16/WY2r1Kg7R9RoYgQRsx9Tx&#10;IefUCoFq0F7iIiYdKGkieJnJhb3oQY6E7p1YNc2FGCP0CaLSiBTdTkk+I8JzAKMxVultVHdehzyh&#10;gnYyEyUcbEK+qdMao1X+YgzqzFzHiWmub2pC9q68xWYt2z3INFg1jyCfM8IjTl7aQE3PUFuZJbsD&#10;+wTKWwURo8kLFb2YiFRFiMWyeaTN7SCTrlxIakxn0fHlYNXnww0w23f87eUlZ0F6Wvmf7z9///rB&#10;SoT0GRO2VHabbmD2kMxC9mjAly/RYMeq6emsqT5mpii4XDUX7zhTlJlMwhD/jibA/FFHz4rRcaCF&#10;VR3l4RPmqfS+pHTC6Gx/bZ2rDux3HxywgyzLrU+Zl9D/K3OhFIdYjk3pKaLr9ZjbFJITrWLtYn+q&#10;bEXxSPqKOl+TstuHPtkPf43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j3jzLUAAAABQEAAA8A&#10;AAAAAAAAAQAgAAAAIgAAAGRycy9kb3ducmV2LnhtbFBLAQIUABQAAAAIAIdO4kAD43b4qQEAAGID&#10;AAAOAAAAAAAAAAEAIAAAACMBAABkcnMvZTJvRG9jLnhtbFBLBQYAAAAABgAGAFkBAAA+BQAAAAA=&#10;">
                <v:fill on="t" focussize="0,0"/>
                <v:stroke on="f"/>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-3175</wp:posOffset>
                </wp:positionH>
                <wp:positionV relativeFrom="paragraph">
                  <wp:posOffset>276225</wp:posOffset>
                </wp:positionV>
                <wp:extent cx="12065" cy="12065"/>
                <wp:effectExtent l="0" t="0" r="0" b="0"/>
                <wp:wrapNone/>
                <wp:docPr id="5" name="矩形 5"/>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a:ln>
                          <a:noFill/>
                        </a:ln>
                        <a:effectLst/>
                      </wps:spPr>
                      <wps:bodyPr/>
                    </wps:wsp>
                  </a:graphicData>
                </a:graphic>
              </wp:anchor>
            </w:drawing>
          </mc:Choice>
          <mc:Fallback>
            <w:pict>
              <v:rect id="_x0000_s1026" o:spid="_x0000_s1026" o:spt="1" style="position:absolute;left:0pt;margin-left:-0.25pt;margin-top:21.75pt;height:0.95pt;width:0.95pt;z-index:-251656192;mso-width-relative:page;mso-height-relative:page;" fillcolor="#000000" filled="t" stroked="f" coordsize="21600,21600" o:allowincell="f" o:gfxdata="UEsDBAoAAAAAAIdO4kAAAAAAAAAAAAAAAAAEAAAAZHJzL1BLAwQUAAAACACHTuJAGPePMtQAAAAF&#10;AQAADwAAAGRycy9kb3ducmV2LnhtbE2OzU7DMBCE70i8g7VI3Fq7JUElxKlUJI5ItHCgNydekqjx&#10;OtjuDzx9t6dyGo1mNPOVy5MbxAFD7D1pmE0VCKTG255aDZ8fr5MFiJgMWTN4Qg2/GGFZ3d6UprD+&#10;SGs8bFIreIRiYTR0KY2FlLHp0Jk49SMSZ98+OJPYhlbaYI487gY5V+pROtMTP3RmxJcOm91m7zSs&#10;nharn/eM3v7W9Ra3X/Uunwel9f3dTD2DSHhK1zJc8BkdKmaq/Z5sFIOGSc5FDdkD6yXOQNRs8wxk&#10;Vcr/9NUZUEsDBBQAAAAIAIdO4kCEIxQUpgEAAF4DAAAOAAAAZHJzL2Uyb0RvYy54bWytU0tu2zAQ&#10;3RfoHQjua8oGEhSC5SxqpJuiDZD2ADRFWgT4wwxj2acpkF0O0eMUvUaHlOJ8usmiWlAznOGbeW/I&#10;9dXRO3bQgDaGji8XDWc6qNjbsO/4j+/XHz5yhlmGXroYdMdPGvnV5v279ZhavYpDdL0GRiAB2zF1&#10;fMg5tUKgGrSXuIhJBwqaCF5mcmEvepAjoXsnVk1zKcYIfYKoNCLtbqcgnxHhLYDRGKv0Nqo7r0Oe&#10;UEE7mYkSDjYh39RujdEqfzMGdWau48Q015WKkL0rq9isZbsHmQar5hbkW1p4xclLG6joGWors2R3&#10;YP+B8lZBxGjyQkUvJiJVEWKxbF5pczvIpCsXkhrTWXT8f7Dq6+EGmO07fsFZkJ4G/ufnw+9f9+yi&#10;aDMmbCnlNt3A7CGZhejRgC9/osCOVc/TWU99zEzR5nLVXBKsoshkEoZ4OpoA82cdPStGx4GGVTWU&#10;hy+Yp9THlFIJo7P9tXWuOrDffXLADrIMtn6lX0J/keZCSQ6xHJvC046uV2MuU0hOtIq1i/2pshXF&#10;I9kr6nxFylyf+2Q/fxa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j3jzLUAAAABQEAAA8AAAAA&#10;AAAAAQAgAAAAIgAAAGRycy9kb3ducmV2LnhtbFBLAQIUABQAAAAIAIdO4kCEIxQUpgEAAF4DAAAO&#10;AAAAAAAAAAEAIAAAACMBAABkcnMvZTJvRG9jLnhtbFBLBQYAAAAABgAGAFkBAAA7BQAAAAA=&#10;">
                <v:fill on="t" focussize="0,0"/>
                <v:stroke on="f"/>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1" locked="0" layoutInCell="0" allowOverlap="1">
                <wp:simplePos x="0" y="0"/>
                <wp:positionH relativeFrom="column">
                  <wp:posOffset>2406015</wp:posOffset>
                </wp:positionH>
                <wp:positionV relativeFrom="paragraph">
                  <wp:posOffset>276225</wp:posOffset>
                </wp:positionV>
                <wp:extent cx="12700" cy="12065"/>
                <wp:effectExtent l="0" t="0" r="0" b="0"/>
                <wp:wrapNone/>
                <wp:docPr id="6" name="矩形 6"/>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a:noFill/>
                        </a:ln>
                        <a:effectLst/>
                      </wps:spPr>
                      <wps:bodyPr/>
                    </wps:wsp>
                  </a:graphicData>
                </a:graphic>
              </wp:anchor>
            </w:drawing>
          </mc:Choice>
          <mc:Fallback>
            <w:pict>
              <v:rect id="_x0000_s1026" o:spid="_x0000_s1026" o:spt="1" style="position:absolute;left:0pt;margin-left:189.45pt;margin-top:21.75pt;height:0.95pt;width:1pt;z-index:-251655168;mso-width-relative:page;mso-height-relative:page;" fillcolor="#000000" filled="t" stroked="f" coordsize="21600,21600" o:allowincell="f" o:gfxdata="UEsDBAoAAAAAAIdO4kAAAAAAAAAAAAAAAAAEAAAAZHJzL1BLAwQUAAAACACHTuJAmVyCnNgAAAAJ&#10;AQAADwAAAGRycy9kb3ducmV2LnhtbE2PTU/DMAyG70j8h8hI3FiytYWuNJ00JI5IbHBgt7QxbbXG&#10;KU32Ab8ecxpHv370+nG5OrtBHHEKvScN85kCgdR421Or4f3t+S4HEaIhawZPqOEbA6yq66vSFNaf&#10;aIPHbWwFl1AojIYuxrGQMjQdOhNmfkTi3aefnIk8Tq20kzlxuRvkQql76UxPfKEzIz512Oy3B6dh&#10;vczXX68pvfxs6h3uPup9tpiU1rc3c/UIIuI5XmD402d1qNip9geyQQwakod8yaiGNMlAMJDkioOa&#10;gywFWZXy/wfVL1BLAwQUAAAACACHTuJA71NLy6kBAABeAwAADgAAAGRycy9lMm9Eb2MueG1srVPN&#10;bhMxEL4j8Q6W78SbSAS0yqaHRu0FQaXCAzheO2vJf5pxs8nTIHHjIXgcxGsw9m5DKZce2IN3Zjz+&#10;Zr5v7M3VyTt21IA2ho4vFw1nOqjY23Do+JfPN2/ec4ZZhl66GHTHzxr51fb1q82YWr2KQ3S9BkYg&#10;AdsxdXzIObVCoBq0l7iISQfaNBG8zOTCQfQgR0L3TqyaZi3GCH2CqDQiRXfTJp8R4SWA0Rir9C6q&#10;B69DnlBBO5mJEg42Id/Wbo3RKn8yBnVmruPENNeVipC9L6vYbmR7AJkGq+YW5EtaeMbJSxuo6AVq&#10;J7NkD2D/gfJWQcRo8kJFLyYiVRFisWyeaXM/yKQrF5Ia00V0/H+w6uPxDpjtO77mLEhPA//19fvP&#10;H9/YumgzJmwp5T7dwewhmYXoyYAvf6LATlXP80VPfcpMUXC5eteQ0Ip2lqtm/bYgij9HE2C+1dGz&#10;YnQcaFhVQ3n8gHlKfUwplTA6299Y56oDh/21A3aUZbD1m9H/SnOhJIdYjk2IU0TXqzGXKSQnWsXa&#10;x/5c2Yrikey15/mKlLk+9cl++iy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ZXIKc2AAAAAkB&#10;AAAPAAAAAAAAAAEAIAAAACIAAABkcnMvZG93bnJldi54bWxQSwECFAAUAAAACACHTuJA71NLy6kB&#10;AABeAwAADgAAAAAAAAABACAAAAAnAQAAZHJzL2Uyb0RvYy54bWxQSwUGAAAAAAYABgBZAQAAQgUA&#10;AAAA&#10;">
                <v:fill on="t" focussize="0,0"/>
                <v:stroke on="f"/>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1" locked="0" layoutInCell="0" allowOverlap="1">
                <wp:simplePos x="0" y="0"/>
                <wp:positionH relativeFrom="column">
                  <wp:posOffset>4205605</wp:posOffset>
                </wp:positionH>
                <wp:positionV relativeFrom="paragraph">
                  <wp:posOffset>276225</wp:posOffset>
                </wp:positionV>
                <wp:extent cx="12700" cy="12065"/>
                <wp:effectExtent l="0" t="0" r="0" b="0"/>
                <wp:wrapNone/>
                <wp:docPr id="7" name="矩形 7"/>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a:noFill/>
                        </a:ln>
                        <a:effectLst/>
                      </wps:spPr>
                      <wps:bodyPr/>
                    </wps:wsp>
                  </a:graphicData>
                </a:graphic>
              </wp:anchor>
            </w:drawing>
          </mc:Choice>
          <mc:Fallback>
            <w:pict>
              <v:rect id="_x0000_s1026" o:spid="_x0000_s1026" o:spt="1" style="position:absolute;left:0pt;margin-left:331.15pt;margin-top:21.75pt;height:0.95pt;width:1pt;z-index:-251654144;mso-width-relative:page;mso-height-relative:page;" fillcolor="#000000" filled="t" stroked="f" coordsize="21600,21600" o:allowincell="f" o:gfxdata="UEsDBAoAAAAAAIdO4kAAAAAAAAAAAAAAAAAEAAAAZHJzL1BLAwQUAAAACACHTuJAPjtvQdgAAAAJ&#10;AQAADwAAAGRycy9kb3ducmV2LnhtbE2PTU/DMAyG70j8h8hI3Fiyrq1GaTppSByR2ODAbmlr2mqN&#10;U5LsA379vBMc/frR68fl6mxHcUQfBkca5jMFAqlx7UCdho/3l4cliBANtWZ0hBp+MMCqur0pTdG6&#10;E23wuI2d4BIKhdHQxzgVUoamR2vCzE1IvPty3prIo+9k682Jy+0oE6Vyac1AfKE3Ez732Oy3B6th&#10;/bhcf7+l9Pq7qXe4+6z3WeKV1vd3c/UEIuI5/sFw1Wd1qNipdgdqgxg15HmyYFRDushAMJDnKQc1&#10;B1kKsirl/w+qC1BLAwQUAAAACACHTuJAlZWUrKkBAABeAwAADgAAAGRycy9lMm9Eb2MueG1srVPN&#10;bhMxEL4j8Q6W78SbSDRolU0PjcoFQaXCAzheO2vJf5pxs8nTIHHjIXgcxGsw9i6hlEsP3YN3Zjz+&#10;Zr5v7M31yTt21IA2ho4vFw1nOqjY23Do+JfPt2/ecYZZhl66GHTHzxr59fb1q82YWr2KQ3S9BkYg&#10;AdsxdXzIObVCoBq0l7iISQfaNBG8zOTCQfQgR0L3Tqya5kqMEfoEUWlEiu6mTT4jwnMAozFW6V1U&#10;D16HPKGCdjITJRxsQr6t3RqjVf5kDOrMXMeJaa4rFSF7X1ax3cj2ADINVs0tyOe08ISTlzZQ0QvU&#10;TmbJHsD+B+WtgojR5IWKXkxEqiLEYtk80eZ+kElXLiQ1povo+HKw6uPxDpjtO77mLEhPA//19fvP&#10;H9/YumgzJmwp5T7dwewhmYXoyYAvf6LATlXP80VPfcpMUXC5WjcktKKd5aq5elsQxd+jCTC/19Gz&#10;YnQcaFhVQ3n8gHlK/ZNSKmF0tr+1zlUHDvsbB+woy2DrN6P/k+ZCSQ6xHJsQp4iuV2MuU0hOtIq1&#10;j/25shXFI9lrz/MVKXN97JP9+Fl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29B2AAAAAkB&#10;AAAPAAAAAAAAAAEAIAAAACIAAABkcnMvZG93bnJldi54bWxQSwECFAAUAAAACACHTuJAlZWUrKkB&#10;AABeAwAADgAAAAAAAAABACAAAAAnAQAAZHJzL2Uyb0RvYy54bWxQSwUGAAAAAAYABgBZAQAAQgUA&#10;AAAA&#10;">
                <v:fill on="t" focussize="0,0"/>
                <v:stroke on="f"/>
                <v:imagedata o:title=""/>
                <o:lock v:ext="edit" aspectratio="f"/>
              </v:rect>
            </w:pict>
          </mc:Fallback>
        </mc:AlternateContent>
      </w:r>
    </w:p>
    <w:tbl>
      <w:tblPr>
        <w:tblStyle w:val="33"/>
        <w:tblW w:w="96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76"/>
        <w:gridCol w:w="3820"/>
        <w:gridCol w:w="17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417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项目名称</w:t>
            </w:r>
          </w:p>
        </w:tc>
        <w:tc>
          <w:tcPr>
            <w:tcW w:w="382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费率</w:t>
            </w:r>
          </w:p>
        </w:tc>
        <w:tc>
          <w:tcPr>
            <w:tcW w:w="170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41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IPO券商中介服务</w:t>
            </w:r>
          </w:p>
        </w:tc>
        <w:tc>
          <w:tcPr>
            <w:tcW w:w="382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pPr>
        <w:spacing w:line="20" w:lineRule="exact"/>
        <w:rPr>
          <w:rFonts w:hint="eastAsia" w:ascii="宋体" w:hAnsi="宋体" w:eastAsia="宋体" w:cs="宋体"/>
          <w:color w:val="auto"/>
          <w:sz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1" locked="0" layoutInCell="0" allowOverlap="1">
                <wp:simplePos x="0" y="0"/>
                <wp:positionH relativeFrom="column">
                  <wp:posOffset>-3175</wp:posOffset>
                </wp:positionH>
                <wp:positionV relativeFrom="paragraph">
                  <wp:posOffset>-525780</wp:posOffset>
                </wp:positionV>
                <wp:extent cx="12065" cy="12700"/>
                <wp:effectExtent l="0" t="0" r="0" b="0"/>
                <wp:wrapNone/>
                <wp:docPr id="503" name="矩形 503"/>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a:noFill/>
                        </a:ln>
                        <a:effectLst/>
                      </wps:spPr>
                      <wps:bodyPr/>
                    </wps:wsp>
                  </a:graphicData>
                </a:graphic>
              </wp:anchor>
            </w:drawing>
          </mc:Choice>
          <mc:Fallback>
            <w:pict>
              <v:rect id="_x0000_s1026" o:spid="_x0000_s1026" o:spt="1" style="position:absolute;left:0pt;margin-left:-0.25pt;margin-top:-41.4pt;height:1pt;width:0.95pt;z-index:-251653120;mso-width-relative:page;mso-height-relative:page;" fillcolor="#000000" filled="t" stroked="f" coordsize="21600,21600" o:allowincell="f" o:gfxdata="UEsDBAoAAAAAAIdO4kAAAAAAAAAAAAAAAAAEAAAAZHJzL1BLAwQUAAAACACHTuJAoA3t0NUAAAAH&#10;AQAADwAAAGRycy9kb3ducmV2LnhtbE2PzU7DMBCE70i8g7VI3Fq7UYtCiFOpSByRaOmB3px4SaLG&#10;62C7P/D0bE5wWo1mNPtNub66QZwxxN6ThsVcgUBqvO2p1bB/f5nlIGIyZM3gCTV8Y4R1dXtTmsL6&#10;C23xvEut4BKKhdHQpTQWUsamQ2fi3I9I7H364ExiGVppg7lwuRtkptSDdKYn/tCZEZ87bI67k9Ow&#10;ecw3X29Lev3Z1gc8fNTHVRaU1vd3C/UEIuE1/YVhwmd0qJip9ieyUQwaZisO8skzXjD5SxD1pFUO&#10;sirlf/7qF1BLAwQUAAAACACHTuJADTUk560BAABiAwAADgAAAGRycy9lMm9Eb2MueG1srVNLbtsw&#10;EN0X6B0I7mvKLpIWguUsaqSbog2Q9gA0RVoE+MMMY9mnKdBdD9HjFL1Gh5Tipskmi2ghzY9v5r2h&#10;1ldH79hBA9oYOr5cNJzpoGJvw77j375ev3nPGWYZeuli0B0/aeRXm9ev1mNq9SoO0fUaGIEEbMfU&#10;8SHn1AqBatBe4iImHShpIniZyYW96EGOhO6dWDXNpRgj9Ami0ogU3U5JPiPCcwCjMVbpbVR3Xoc8&#10;oYJ2MhMlHGxCvqnTGqNV/mIM6sxcx4lprm9qQvauvMVmLds9yDRYNY8gnzPCI05e2kBNz1BbmSW7&#10;A/sEylsFEaPJCxW9mIhURYjFsnmkze0gk65cSGpMZ9Hx5WDV58MNMNt3/KJ5y1mQnlb+5/vP379+&#10;sBIhfcaELZXdphuYPSSzkD0a8OVLNNixano6a6qPmSkKLlfN5QVnijLL1bumKi7+HU2A+aOOnhWj&#10;40ALqzrKwyfM1I5K70tKJ4zO9tfWuerAfvfBATvIstz6lHnpyH9lLpTiEMuxKT1FdL0ec5tCcqJV&#10;rF3sT5WtKB5JX1Hna1J2+9An++Gvsf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A3t0NUAAAAH&#10;AQAADwAAAAAAAAABACAAAAAiAAAAZHJzL2Rvd25yZXYueG1sUEsBAhQAFAAAAAgAh07iQA01JOet&#10;AQAAYgMAAA4AAAAAAAAAAQAgAAAAJAEAAGRycy9lMm9Eb2MueG1sUEsFBgAAAAAGAAYAWQEAAEMF&#10;AAAAAA==&#10;">
                <v:fill on="t" focussize="0,0"/>
                <v:stroke on="f"/>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4384" behindDoc="1" locked="0" layoutInCell="0" allowOverlap="1">
                <wp:simplePos x="0" y="0"/>
                <wp:positionH relativeFrom="column">
                  <wp:posOffset>2406015</wp:posOffset>
                </wp:positionH>
                <wp:positionV relativeFrom="paragraph">
                  <wp:posOffset>-525780</wp:posOffset>
                </wp:positionV>
                <wp:extent cx="12700" cy="12700"/>
                <wp:effectExtent l="0" t="0" r="0" b="0"/>
                <wp:wrapNone/>
                <wp:docPr id="504" name="矩形 504"/>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a:effectLst/>
                      </wps:spPr>
                      <wps:bodyPr/>
                    </wps:wsp>
                  </a:graphicData>
                </a:graphic>
              </wp:anchor>
            </w:drawing>
          </mc:Choice>
          <mc:Fallback>
            <w:pict>
              <v:rect id="_x0000_s1026" o:spid="_x0000_s1026" o:spt="1" style="position:absolute;left:0pt;margin-left:189.45pt;margin-top:-41.4pt;height:1pt;width:1pt;z-index:-251652096;mso-width-relative:page;mso-height-relative:page;" fillcolor="#000000" filled="t" stroked="f" coordsize="21600,21600" o:allowincell="f" o:gfxdata="UEsDBAoAAAAAAIdO4kAAAAAAAAAAAAAAAAAEAAAAZHJzL1BLAwQUAAAACACHTuJAqGYyx9gAAAAL&#10;AQAADwAAAGRycy9kb3ducmV2LnhtbE2Py07DMBBF90j8gzVI7Fq7KQ83xKlUJJZItLCgOycekqjx&#10;OMTuA76e6aos587RfRTLk+/FAcfYBTIwmyoQSHVwHTUGPt5fJhpETJac7QOhgR+MsCyvrwqbu3Ck&#10;NR42qRFsQjG3BtqUhlzKWLfobZyGAYl/X2H0NvE5NtKN9sjmvpeZUg/S2444obUDPrdY7zZ7b2C1&#10;0Kvvtzt6/V1XW9x+Vrv7bFTG3N7M1BOIhKd0geFcn6tDyZ2qsCcXRW9g/qgXjBqY6Iw3MDHXipXq&#10;rCgNsizk/w3lH1BLAwQUAAAACACHTuJAs5KHNqgBAABiAwAADgAAAGRycy9lMm9Eb2MueG1srVNL&#10;btswEN0X6B0I7mvKRn8QLGdRI9kEbYC0B6Ap0iLAH2YYyz5Nge56iB6n6DU6pBTn000W1UKaH9/M&#10;e0OtL47esYMGtDF0fLloONNBxd6Gfce/fb1885EzzDL00sWgO37SyC82r1+tx9TqVRyi6zUwAgnY&#10;jqnjQ86pFQLVoL3ERUw6UNJE8DKTC3vRgxwJ3Tuxapr3YozQJ4hKI1J0OyX5jAgvAYzGWKW3Ud15&#10;HfKECtrJTJRwsAn5pk5rjFb5izGoM3MdJ6a5vqkJ2bvyFpu1bPcg02DVPIJ8yQjPOHlpAzU9Q21l&#10;luwO7D9Q3iqIGE1eqOjFRKQqQiyWzTNtbgeZdOVCUmM6i47/D1Z9PtwAs33H3zVvOQvS08r/fP/5&#10;+9cPViKkz5iwpbLbdAOzh2QWskcDvnyJBjtWTU9nTfUxM0XB5epDQ2IrykwmYYiHowkwX+noWTE6&#10;DrSwqqM8XGOeSu9LSieMzvaX1rnqwH73yQE7yLLc+pR5Cf1JmQulOMRybEpPEV2vx9ymkJxoFWsX&#10;+1NlK4pH0lfU+ZqU3T72yX78a2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hmMsfYAAAACwEA&#10;AA8AAAAAAAAAAQAgAAAAIgAAAGRycy9kb3ducmV2LnhtbFBLAQIUABQAAAAIAIdO4kCzkoc2qAEA&#10;AGIDAAAOAAAAAAAAAAEAIAAAACcBAABkcnMvZTJvRG9jLnhtbFBLBQYAAAAABgAGAFkBAABBBQAA&#10;AAA=&#10;">
                <v:fill on="t" focussize="0,0"/>
                <v:stroke on="f"/>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5408" behindDoc="1" locked="0" layoutInCell="0" allowOverlap="1">
                <wp:simplePos x="0" y="0"/>
                <wp:positionH relativeFrom="column">
                  <wp:posOffset>4205605</wp:posOffset>
                </wp:positionH>
                <wp:positionV relativeFrom="paragraph">
                  <wp:posOffset>-525780</wp:posOffset>
                </wp:positionV>
                <wp:extent cx="12700" cy="12700"/>
                <wp:effectExtent l="0" t="0" r="0" b="0"/>
                <wp:wrapNone/>
                <wp:docPr id="505" name="矩形 50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a:effectLst/>
                      </wps:spPr>
                      <wps:bodyPr/>
                    </wps:wsp>
                  </a:graphicData>
                </a:graphic>
              </wp:anchor>
            </w:drawing>
          </mc:Choice>
          <mc:Fallback>
            <w:pict>
              <v:rect id="_x0000_s1026" o:spid="_x0000_s1026" o:spt="1" style="position:absolute;left:0pt;margin-left:331.15pt;margin-top:-41.4pt;height:1pt;width:1pt;z-index:-251651072;mso-width-relative:page;mso-height-relative:page;" fillcolor="#000000" filled="t" stroked="f" coordsize="21600,21600" o:allowincell="f" o:gfxdata="UEsDBAoAAAAAAIdO4kAAAAAAAAAAAAAAAAAEAAAAZHJzL1BLAwQUAAAACACHTuJAE9orYNgAAAAL&#10;AQAADwAAAGRycy9kb3ducmV2LnhtbE2Py07DMBBF90j8gzVI7Fq7oVghxKlUJJZItLCgOycekqjx&#10;OMTuA76e6QqWc+foPsrV2Q/iiFPsAxlYzBUIpCa4nloD72/PsxxETJacHQKhgW+MsKqur0pbuHCi&#10;DR63qRVsQrGwBrqUxkLK2HTobZyHEYl/n2HyNvE5tdJN9sTmfpCZUlp62xMndHbEpw6b/fbgDawf&#10;8vXX65Jefjb1Dncf9f4+m5QxtzcL9Qgi4Tn9wXCpz9Wh4k51OJCLYjCgdXbHqIFZnvEGJrReslJf&#10;FJWDrEr5f0P1C1BLAwQUAAAACACHTuJAdnu1DKgBAABiAwAADgAAAGRycy9lMm9Eb2MueG1srVNL&#10;btswEN0XyB0I7mPKBtIWguUsaqSbIA2Q9gA0RVoE+MMMY9mnKdBdD9HjFL1Gh5Tipukmi2ohzY9v&#10;5r2h1tdH79hBA9oYOr5cNJzpoGJvw77jXz7fXL7nDLMMvXQx6I6fNPLrzcWb9ZhavYpDdL0GRiAB&#10;2zF1fMg5tUKgGrSXuIhJB0qaCF5mcmEvepAjoXsnVk3zVowR+gRRaUSKbqcknxHhNYDRGKv0NqpH&#10;r0OeUEE7mYkSDjYh39RpjdEqfzIGdWau48Q01zc1IXtX3mKzlu0eZBqsmkeQrxnhBScvbaCmZ6it&#10;zJI9gv0HylsFEaPJCxW9mIhURYjFsnmhzcMgk65cSGpMZ9Hx/8Gqu8M9MNt3/Kq54ixITyv/9fX7&#10;zx/fWImQPmPClsoe0j3MHpJZyB4N+PIlGuxYNT2dNdXHzBQFl6t3DYmtKDOZhCH+HE2A+aOOnhWj&#10;40ALqzrKwy3mqfSppHTC6Gx/Y52rDux3HxywgyzLrU+Zl9D/KnOhFIdYjk3pKaLr9ZjbFJITrWLt&#10;Yn+qbEXxSPqKOl+TstvnPtnPf43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PaK2DYAAAACwEA&#10;AA8AAAAAAAAAAQAgAAAAIgAAAGRycy9kb3ducmV2LnhtbFBLAQIUABQAAAAIAIdO4kB2e7UMqAEA&#10;AGIDAAAOAAAAAAAAAAEAIAAAACcBAABkcnMvZTJvRG9jLnhtbFBLBQYAAAAABgAGAFkBAABBBQAA&#10;AAA=&#10;">
                <v:fill on="t" focussize="0,0"/>
                <v:stroke on="f"/>
                <v:imagedata o:title=""/>
                <o:lock v:ext="edit" aspectratio="f"/>
              </v:rect>
            </w:pict>
          </mc:Fallback>
        </mc:AlternateContent>
      </w:r>
    </w:p>
    <w:p>
      <w:pPr>
        <w:spacing w:line="83" w:lineRule="exact"/>
        <w:rPr>
          <w:rFonts w:hint="eastAsia" w:ascii="宋体" w:hAnsi="宋体" w:eastAsia="宋体" w:cs="宋体"/>
          <w:color w:val="auto"/>
          <w:sz w:val="20"/>
          <w:highlight w:val="none"/>
        </w:rPr>
      </w:pPr>
    </w:p>
    <w:p>
      <w:pPr>
        <w:spacing w:line="325" w:lineRule="exact"/>
        <w:rPr>
          <w:rFonts w:hint="eastAsia" w:ascii="宋体" w:hAnsi="宋体" w:eastAsia="宋体" w:cs="宋体"/>
          <w:b/>
          <w:bCs/>
          <w:color w:val="auto"/>
          <w:sz w:val="20"/>
          <w:highlight w:val="none"/>
        </w:rPr>
      </w:pPr>
    </w:p>
    <w:p>
      <w:pPr>
        <w:spacing w:line="325" w:lineRule="exact"/>
        <w:rPr>
          <w:rFonts w:hint="eastAsia" w:ascii="宋体" w:hAnsi="宋体" w:eastAsia="宋体" w:cs="宋体"/>
          <w:color w:val="auto"/>
          <w:sz w:val="22"/>
          <w:szCs w:val="32"/>
          <w:highlight w:val="none"/>
        </w:rPr>
      </w:pPr>
      <w:r>
        <w:rPr>
          <w:rFonts w:hint="eastAsia" w:ascii="宋体" w:hAnsi="宋体" w:eastAsia="宋体" w:cs="宋体"/>
          <w:b/>
          <w:bCs/>
          <w:color w:val="auto"/>
          <w:sz w:val="22"/>
          <w:szCs w:val="32"/>
          <w:highlight w:val="none"/>
        </w:rPr>
        <w:t>注：承销费率按</w:t>
      </w:r>
      <w:r>
        <w:rPr>
          <w:rFonts w:hint="eastAsia" w:ascii="宋体" w:hAnsi="宋体" w:eastAsia="宋体" w:cs="宋体"/>
          <w:b/>
          <w:bCs/>
          <w:color w:val="auto"/>
          <w:sz w:val="22"/>
          <w:szCs w:val="32"/>
          <w:highlight w:val="none"/>
          <w:lang w:val="en-US" w:eastAsia="zh-CN"/>
        </w:rPr>
        <w:t>8%</w:t>
      </w:r>
      <w:r>
        <w:rPr>
          <w:rFonts w:hint="eastAsia" w:ascii="宋体" w:hAnsi="宋体" w:eastAsia="宋体" w:cs="宋体"/>
          <w:b/>
          <w:bCs/>
          <w:color w:val="auto"/>
          <w:sz w:val="22"/>
          <w:szCs w:val="32"/>
          <w:highlight w:val="none"/>
        </w:rPr>
        <w:t>为基准下浮</w:t>
      </w:r>
      <w:r>
        <w:rPr>
          <w:rFonts w:hint="eastAsia" w:ascii="宋体" w:hAnsi="宋体" w:eastAsia="宋体" w:cs="宋体"/>
          <w:b/>
          <w:bCs/>
          <w:color w:val="auto"/>
          <w:sz w:val="22"/>
          <w:szCs w:val="32"/>
          <w:highlight w:val="none"/>
          <w:lang w:eastAsia="zh-CN"/>
        </w:rPr>
        <w:t>（</w:t>
      </w:r>
      <w:r>
        <w:rPr>
          <w:rFonts w:hint="eastAsia" w:ascii="宋体" w:hAnsi="宋体" w:eastAsia="宋体" w:cs="宋体"/>
          <w:b/>
          <w:bCs/>
          <w:color w:val="auto"/>
          <w:sz w:val="22"/>
          <w:szCs w:val="32"/>
          <w:highlight w:val="none"/>
          <w:lang w:val="en-US" w:eastAsia="zh-CN"/>
        </w:rPr>
        <w:t>填写举例说明：下浮0.1，则表中“费率”项数值填写为“7.9%”</w:t>
      </w:r>
      <w:r>
        <w:rPr>
          <w:rFonts w:hint="eastAsia" w:ascii="宋体" w:hAnsi="宋体" w:eastAsia="宋体" w:cs="宋体"/>
          <w:b/>
          <w:bCs/>
          <w:color w:val="auto"/>
          <w:sz w:val="22"/>
          <w:szCs w:val="32"/>
          <w:highlight w:val="none"/>
          <w:lang w:eastAsia="zh-CN"/>
        </w:rPr>
        <w:t>）</w:t>
      </w:r>
      <w:r>
        <w:rPr>
          <w:rFonts w:hint="eastAsia" w:ascii="宋体" w:hAnsi="宋体" w:eastAsia="宋体" w:cs="宋体"/>
          <w:b/>
          <w:bCs/>
          <w:color w:val="auto"/>
          <w:sz w:val="22"/>
          <w:szCs w:val="32"/>
          <w:highlight w:val="none"/>
        </w:rPr>
        <w:t>。</w:t>
      </w:r>
    </w:p>
    <w:p>
      <w:pPr>
        <w:spacing w:before="12"/>
        <w:rPr>
          <w:rFonts w:hint="eastAsia" w:ascii="宋体" w:hAnsi="宋体" w:eastAsia="宋体" w:cs="宋体"/>
          <w:color w:val="auto"/>
          <w:sz w:val="24"/>
          <w:szCs w:val="24"/>
          <w:highlight w:val="none"/>
        </w:rPr>
      </w:pPr>
    </w:p>
    <w:p>
      <w:pPr>
        <w:pStyle w:val="6"/>
        <w:numPr>
          <w:ilvl w:val="0"/>
          <w:numId w:val="26"/>
        </w:numPr>
        <w:tabs>
          <w:tab w:val="left" w:pos="1054"/>
        </w:tabs>
        <w:spacing w:before="0" w:after="0" w:line="240" w:lineRule="auto"/>
        <w:ind w:left="840" w:leftChars="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我公司承诺无论中标与否，均对所获悉的招标人I</w:t>
      </w:r>
      <w:r>
        <w:rPr>
          <w:rFonts w:hint="eastAsia" w:ascii="宋体" w:hAnsi="宋体" w:eastAsia="宋体" w:cs="宋体"/>
          <w:color w:val="auto"/>
          <w:spacing w:val="6"/>
          <w:sz w:val="24"/>
          <w:szCs w:val="24"/>
          <w:highlight w:val="none"/>
          <w:lang w:eastAsia="zh-CN"/>
        </w:rPr>
        <w:t>PO的</w:t>
      </w:r>
      <w:r>
        <w:rPr>
          <w:rFonts w:hint="eastAsia" w:ascii="宋体" w:hAnsi="宋体" w:eastAsia="宋体" w:cs="宋体"/>
          <w:color w:val="auto"/>
          <w:sz w:val="24"/>
          <w:szCs w:val="24"/>
          <w:highlight w:val="none"/>
          <w:lang w:eastAsia="zh-CN"/>
        </w:rPr>
        <w:t>相关信息予以保密。</w:t>
      </w:r>
    </w:p>
    <w:p>
      <w:pPr>
        <w:pStyle w:val="6"/>
        <w:numPr>
          <w:ilvl w:val="0"/>
          <w:numId w:val="26"/>
        </w:numPr>
        <w:tabs>
          <w:tab w:val="left" w:pos="1054"/>
        </w:tabs>
        <w:spacing w:before="0" w:after="0" w:line="240" w:lineRule="auto"/>
        <w:ind w:left="840" w:leftChars="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我公司承诺，若中标后合同履行期间，如国家发行体制变化，主要工作内容应按新的发行体制要求，承担券商所有义务，合同其他内容不变。</w:t>
      </w: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spacing w:line="460" w:lineRule="exact"/>
        <w:ind w:firstLine="3300" w:firstLineChars="15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投标供应商全称（盖章） ：</w:t>
      </w:r>
    </w:p>
    <w:p>
      <w:pPr>
        <w:spacing w:line="460" w:lineRule="exact"/>
        <w:ind w:firstLine="440" w:firstLineChars="2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法定代表人（法定负责人） 或授权代表（签字或盖章）：</w:t>
      </w:r>
    </w:p>
    <w:p>
      <w:pPr>
        <w:spacing w:line="460" w:lineRule="exact"/>
        <w:ind w:firstLine="550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日期：     年  月  日</w:t>
      </w: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0"/>
        </w:numPr>
        <w:spacing w:line="240" w:lineRule="auto"/>
        <w:ind w:leftChars="0"/>
        <w:outlineLvl w:val="9"/>
        <w:rPr>
          <w:rFonts w:hint="eastAsia" w:ascii="宋体" w:hAnsi="宋体" w:eastAsia="宋体" w:cs="宋体"/>
          <w:color w:val="auto"/>
          <w:sz w:val="21"/>
          <w:szCs w:val="21"/>
          <w:highlight w:val="none"/>
        </w:rPr>
      </w:pPr>
    </w:p>
    <w:p>
      <w:pPr>
        <w:numPr>
          <w:ilvl w:val="0"/>
          <w:numId w:val="27"/>
        </w:numPr>
        <w:spacing w:before="156" w:beforeLines="50" w:line="360" w:lineRule="auto"/>
        <w:ind w:left="420" w:leftChars="0" w:hanging="420" w:firstLineChars="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投标人的服务方案、合理化建议</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格式自拟</w:t>
      </w:r>
      <w:r>
        <w:rPr>
          <w:rFonts w:hint="eastAsia" w:ascii="宋体" w:hAnsi="宋体" w:eastAsia="宋体" w:cs="宋体"/>
          <w:b/>
          <w:color w:val="auto"/>
          <w:sz w:val="24"/>
          <w:highlight w:val="none"/>
          <w:lang w:eastAsia="zh-CN"/>
        </w:rPr>
        <w:t>）</w:t>
      </w:r>
    </w:p>
    <w:p>
      <w:pPr>
        <w:pStyle w:val="15"/>
        <w:ind w:left="0" w:leftChars="0" w:firstLine="0" w:firstLineChars="0"/>
        <w:rPr>
          <w:rFonts w:hint="default" w:ascii="宋体" w:hAnsi="宋体" w:eastAsia="宋体" w:cs="宋体"/>
          <w:color w:val="auto"/>
          <w:sz w:val="22"/>
          <w:szCs w:val="22"/>
          <w:highlight w:val="none"/>
          <w:lang w:val="en-US" w:eastAsia="zh-CN"/>
        </w:rPr>
      </w:pPr>
    </w:p>
    <w:p>
      <w:pPr>
        <w:pStyle w:val="16"/>
        <w:ind w:left="0" w:leftChars="0" w:firstLine="0" w:firstLineChars="0"/>
        <w:rPr>
          <w:rFonts w:hint="default"/>
          <w:color w:val="auto"/>
          <w:highlight w:val="none"/>
          <w:lang w:val="en-US" w:eastAsia="zh-CN"/>
        </w:rPr>
      </w:pPr>
    </w:p>
    <w:p>
      <w:pPr>
        <w:pStyle w:val="16"/>
        <w:rPr>
          <w:rFonts w:hint="eastAsia"/>
          <w:color w:val="auto"/>
          <w:highlight w:val="none"/>
        </w:rPr>
      </w:pPr>
    </w:p>
    <w:p>
      <w:pPr>
        <w:numPr>
          <w:ilvl w:val="0"/>
          <w:numId w:val="27"/>
        </w:numPr>
        <w:spacing w:before="156" w:beforeLines="50" w:line="360" w:lineRule="auto"/>
        <w:ind w:left="420" w:leftChars="0" w:hanging="42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按采购文件第五部分评标原则及方法—五、评分细则相关评分内容逐项编制，格式自拟。</w:t>
      </w:r>
    </w:p>
    <w:p>
      <w:pPr>
        <w:pStyle w:val="15"/>
        <w:rPr>
          <w:rFonts w:hint="eastAsia"/>
        </w:rPr>
      </w:pPr>
    </w:p>
    <w:p>
      <w:pPr>
        <w:pStyle w:val="16"/>
        <w:rPr>
          <w:rFonts w:hint="eastAsia"/>
        </w:rPr>
      </w:pPr>
    </w:p>
    <w:p>
      <w:pPr>
        <w:rPr>
          <w:rFonts w:hint="eastAsia"/>
        </w:rPr>
      </w:pPr>
    </w:p>
    <w:p>
      <w:pPr>
        <w:numPr>
          <w:ilvl w:val="0"/>
          <w:numId w:val="27"/>
        </w:numPr>
        <w:spacing w:before="156" w:beforeLines="50" w:line="360" w:lineRule="auto"/>
        <w:ind w:left="420" w:leftChars="0" w:hanging="420" w:firstLineChars="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投标供应商认为需要提供的其他资料</w:t>
      </w:r>
    </w:p>
    <w:p>
      <w:pPr>
        <w:pStyle w:val="15"/>
        <w:rPr>
          <w:rFonts w:hint="eastAsia"/>
        </w:rPr>
      </w:pPr>
    </w:p>
    <w:p>
      <w:pPr>
        <w:numPr>
          <w:ilvl w:val="0"/>
          <w:numId w:val="0"/>
        </w:numPr>
        <w:spacing w:line="240" w:lineRule="auto"/>
        <w:ind w:leftChars="0"/>
        <w:outlineLvl w:val="9"/>
        <w:rPr>
          <w:rFonts w:ascii="宋体" w:hAnsi="宋体" w:eastAsia="宋体" w:cs="宋体"/>
          <w:color w:val="auto"/>
          <w:sz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highlight w:val="none"/>
        </w:rPr>
        <w:t>（商务（报价）标封面，供参考）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ind w:left="480" w:hanging="560" w:hangingChars="200"/>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cs="宋体"/>
          <w:color w:val="auto"/>
          <w:sz w:val="28"/>
          <w:szCs w:val="28"/>
          <w:highlight w:val="none"/>
          <w:u w:val="single"/>
          <w:lang w:val="en-US" w:eastAsia="zh-CN"/>
        </w:rPr>
        <w:t>IPO券商中介服务</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cs="宋体"/>
          <w:color w:val="auto"/>
          <w:sz w:val="28"/>
          <w:szCs w:val="28"/>
          <w:highlight w:val="none"/>
          <w:u w:val="single"/>
          <w:lang w:val="en-US" w:eastAsia="zh-CN"/>
        </w:rPr>
        <w:t>WGSS-JFJT-X-2023009</w:t>
      </w:r>
    </w:p>
    <w:p>
      <w:pPr>
        <w:jc w:val="center"/>
        <w:outlineLvl w:val="9"/>
        <w:rPr>
          <w:rFonts w:hint="eastAsia" w:ascii="宋体" w:hAnsi="宋体" w:eastAsia="宋体" w:cs="宋体"/>
          <w:color w:val="auto"/>
          <w:sz w:val="28"/>
          <w:szCs w:val="28"/>
          <w:highlight w:val="none"/>
          <w:u w:val="none"/>
        </w:rPr>
      </w:pPr>
    </w:p>
    <w:p>
      <w:pPr>
        <w:jc w:val="center"/>
        <w:outlineLvl w:val="9"/>
        <w:rPr>
          <w:rFonts w:hint="eastAsia" w:ascii="宋体" w:hAnsi="宋体" w:eastAsia="宋体" w:cs="宋体"/>
          <w:color w:val="auto"/>
          <w:sz w:val="28"/>
          <w:szCs w:val="28"/>
          <w:highlight w:val="none"/>
          <w:u w:val="none"/>
        </w:rPr>
      </w:pPr>
    </w:p>
    <w:p>
      <w:pPr>
        <w:spacing w:line="360" w:lineRule="auto"/>
        <w:jc w:val="center"/>
        <w:outlineLvl w:val="9"/>
        <w:rPr>
          <w:rFonts w:hint="eastAsia"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商务（报价）标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法定代表人（法定负责人） 或授权代表</w:t>
      </w:r>
      <w:r>
        <w:rPr>
          <w:rFonts w:hint="default" w:ascii="宋体" w:hAnsi="宋体" w:eastAsia="宋体" w:cs="宋体"/>
          <w:color w:val="auto"/>
          <w:sz w:val="28"/>
          <w:szCs w:val="28"/>
          <w:highlight w:val="none"/>
        </w:rPr>
        <w:t xml:space="preserve"> </w:t>
      </w:r>
      <w:r>
        <w:rPr>
          <w:rFonts w:hint="default" w:ascii="宋体" w:hAnsi="宋体" w:eastAsia="宋体" w:cs="宋体"/>
          <w:color w:val="auto"/>
          <w:sz w:val="28"/>
          <w:szCs w:val="28"/>
          <w:highlight w:val="none"/>
          <w:lang w:eastAsia="zh-CN"/>
        </w:rPr>
        <w:t>：</w:t>
      </w:r>
      <w:r>
        <w:rPr>
          <w:rFonts w:hint="default" w:ascii="Arial" w:hAnsi="Arial" w:eastAsia="宋体" w:cs="Arial"/>
          <w:color w:val="auto"/>
          <w:sz w:val="28"/>
          <w:szCs w:val="28"/>
          <w:highlight w:val="none"/>
          <w:u w:val="single"/>
          <w:lang w:val="en-US" w:eastAsia="zh-CN"/>
        </w:rPr>
        <w:t xml:space="preserve">            </w:t>
      </w:r>
      <w:r>
        <w:rPr>
          <w:rFonts w:hint="default" w:ascii="宋体" w:hAnsi="宋体" w:eastAsia="宋体" w:cs="宋体"/>
          <w:color w:val="auto"/>
          <w:sz w:val="28"/>
          <w:szCs w:val="28"/>
          <w:highlight w:val="none"/>
        </w:rPr>
        <w:t>（签字或盖章）</w:t>
      </w:r>
    </w:p>
    <w:p>
      <w:pPr>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15"/>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380" w:lineRule="exact"/>
        <w:ind w:left="-359" w:leftChars="-171" w:firstLine="103" w:firstLineChars="49"/>
        <w:outlineLvl w:val="9"/>
        <w:rPr>
          <w:rFonts w:hint="eastAsia" w:ascii="宋体" w:hAnsi="宋体" w:eastAsia="宋体" w:cs="宋体"/>
          <w:b/>
          <w:bCs/>
          <w:color w:val="auto"/>
          <w:sz w:val="21"/>
          <w:szCs w:val="21"/>
          <w:highlight w:val="none"/>
          <w:lang w:val="en-US"/>
        </w:rPr>
      </w:pPr>
      <w:r>
        <w:rPr>
          <w:rFonts w:hint="default" w:ascii="Arial" w:hAnsi="Arial" w:eastAsia="宋体" w:cs="Arial"/>
          <w:b/>
          <w:bCs/>
          <w:color w:val="auto"/>
          <w:szCs w:val="21"/>
          <w:highlight w:val="none"/>
        </w:rPr>
        <w:br w:type="page"/>
      </w:r>
      <w:r>
        <w:rPr>
          <w:rFonts w:hint="eastAsia" w:ascii="宋体" w:hAnsi="宋体" w:eastAsia="宋体" w:cs="宋体"/>
          <w:b/>
          <w:bCs/>
          <w:color w:val="auto"/>
          <w:sz w:val="30"/>
          <w:szCs w:val="30"/>
          <w:highlight w:val="none"/>
          <w:lang w:val="en-US" w:eastAsia="zh-CN"/>
        </w:rPr>
        <w:t>附件十</w:t>
      </w:r>
    </w:p>
    <w:p>
      <w:pPr>
        <w:spacing w:line="380" w:lineRule="exact"/>
        <w:ind w:left="-359" w:leftChars="-171" w:firstLine="148" w:firstLineChars="49"/>
        <w:jc w:val="center"/>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开标一览表</w:t>
      </w:r>
    </w:p>
    <w:p>
      <w:pPr>
        <w:tabs>
          <w:tab w:val="left" w:pos="774"/>
        </w:tabs>
        <w:autoSpaceDE w:val="0"/>
        <w:autoSpaceDN w:val="0"/>
        <w:spacing w:line="276" w:lineRule="auto"/>
        <w:ind w:left="774" w:hanging="576"/>
        <w:jc w:val="center"/>
        <w:outlineLvl w:val="2"/>
        <w:rPr>
          <w:rFonts w:hint="eastAsia" w:ascii="宋体" w:hAnsi="宋体" w:eastAsia="宋体" w:cs="宋体"/>
          <w:b/>
          <w:color w:val="auto"/>
          <w:sz w:val="28"/>
          <w:szCs w:val="28"/>
          <w:highlight w:val="none"/>
          <w:lang w:val="zh-CN"/>
        </w:rPr>
      </w:pP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项目名称：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项目编号： </w:t>
      </w:r>
    </w:p>
    <w:tbl>
      <w:tblPr>
        <w:tblStyle w:val="33"/>
        <w:tblW w:w="9238" w:type="dxa"/>
        <w:jc w:val="center"/>
        <w:tblLayout w:type="fixed"/>
        <w:tblCellMar>
          <w:top w:w="0" w:type="dxa"/>
          <w:left w:w="108" w:type="dxa"/>
          <w:bottom w:w="0" w:type="dxa"/>
          <w:right w:w="108" w:type="dxa"/>
        </w:tblCellMar>
      </w:tblPr>
      <w:tblGrid>
        <w:gridCol w:w="2107"/>
        <w:gridCol w:w="5255"/>
        <w:gridCol w:w="1876"/>
      </w:tblGrid>
      <w:tr>
        <w:tblPrEx>
          <w:tblCellMar>
            <w:top w:w="0" w:type="dxa"/>
            <w:left w:w="108" w:type="dxa"/>
            <w:bottom w:w="0" w:type="dxa"/>
            <w:right w:w="108" w:type="dxa"/>
          </w:tblCellMar>
        </w:tblPrEx>
        <w:trPr>
          <w:trHeight w:val="1189" w:hRule="atLeast"/>
          <w:jc w:val="center"/>
        </w:trPr>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名称</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投标报价</w:t>
            </w:r>
          </w:p>
        </w:tc>
        <w:tc>
          <w:tcPr>
            <w:tcW w:w="187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最高限价</w:t>
            </w:r>
          </w:p>
        </w:tc>
      </w:tr>
      <w:tr>
        <w:tblPrEx>
          <w:tblCellMar>
            <w:top w:w="0" w:type="dxa"/>
            <w:left w:w="108" w:type="dxa"/>
            <w:bottom w:w="0" w:type="dxa"/>
            <w:right w:w="108" w:type="dxa"/>
          </w:tblCellMar>
        </w:tblPrEx>
        <w:trPr>
          <w:trHeight w:val="1347" w:hRule="atLeast"/>
          <w:jc w:val="center"/>
        </w:trPr>
        <w:tc>
          <w:tcPr>
            <w:tcW w:w="21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上市前服务费</w:t>
            </w:r>
          </w:p>
        </w:tc>
        <w:tc>
          <w:tcPr>
            <w:tcW w:w="5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b w:val="0"/>
                <w:color w:val="auto"/>
                <w:sz w:val="22"/>
                <w:szCs w:val="22"/>
                <w:highlight w:val="none"/>
              </w:rPr>
            </w:pPr>
            <w:r>
              <w:rPr>
                <w:rFonts w:hint="eastAsia" w:ascii="宋体" w:cs="宋体"/>
                <w:bCs/>
                <w:color w:val="auto"/>
                <w:sz w:val="22"/>
                <w:szCs w:val="22"/>
                <w:lang w:bidi="ar-SA"/>
              </w:rPr>
              <w:t>小写：￥</w:t>
            </w:r>
          </w:p>
        </w:tc>
        <w:tc>
          <w:tcPr>
            <w:tcW w:w="1876" w:type="dxa"/>
            <w:vMerge w:val="restar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color w:val="auto"/>
                <w:sz w:val="22"/>
                <w:szCs w:val="22"/>
                <w:highlight w:val="none"/>
              </w:rPr>
            </w:pPr>
          </w:p>
          <w:p>
            <w:pPr>
              <w:pStyle w:val="20"/>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2240000</w:t>
            </w:r>
            <w:r>
              <w:rPr>
                <w:rFonts w:hint="eastAsia" w:ascii="宋体" w:hAnsi="宋体" w:eastAsia="宋体" w:cs="宋体"/>
                <w:color w:val="auto"/>
                <w:sz w:val="22"/>
                <w:szCs w:val="22"/>
                <w:highlight w:val="none"/>
              </w:rPr>
              <w:t>元</w:t>
            </w:r>
          </w:p>
        </w:tc>
      </w:tr>
      <w:tr>
        <w:tblPrEx>
          <w:tblCellMar>
            <w:top w:w="0" w:type="dxa"/>
            <w:left w:w="108" w:type="dxa"/>
            <w:bottom w:w="0" w:type="dxa"/>
            <w:right w:w="108" w:type="dxa"/>
          </w:tblCellMar>
        </w:tblPrEx>
        <w:trPr>
          <w:trHeight w:val="1414" w:hRule="atLeast"/>
          <w:jc w:val="center"/>
        </w:trPr>
        <w:tc>
          <w:tcPr>
            <w:tcW w:w="21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eastAsia="zh-CN"/>
              </w:rPr>
            </w:pPr>
          </w:p>
        </w:tc>
        <w:tc>
          <w:tcPr>
            <w:tcW w:w="5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b w:val="0"/>
                <w:color w:val="auto"/>
                <w:sz w:val="22"/>
                <w:szCs w:val="22"/>
                <w:highlight w:val="none"/>
              </w:rPr>
            </w:pPr>
            <w:r>
              <w:rPr>
                <w:rFonts w:hint="eastAsia" w:ascii="宋体" w:cs="宋体"/>
                <w:bCs/>
                <w:color w:val="auto"/>
                <w:sz w:val="22"/>
                <w:szCs w:val="22"/>
                <w:lang w:bidi="ar-SA"/>
              </w:rPr>
              <w:t>大写：人民币</w:t>
            </w:r>
          </w:p>
        </w:tc>
        <w:tc>
          <w:tcPr>
            <w:tcW w:w="18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lang w:val="en-US" w:eastAsia="zh-CN"/>
              </w:rPr>
            </w:pPr>
          </w:p>
        </w:tc>
      </w:tr>
      <w:tr>
        <w:tblPrEx>
          <w:tblCellMar>
            <w:top w:w="0" w:type="dxa"/>
            <w:left w:w="108" w:type="dxa"/>
            <w:bottom w:w="0" w:type="dxa"/>
            <w:right w:w="108" w:type="dxa"/>
          </w:tblCellMar>
        </w:tblPrEx>
        <w:trPr>
          <w:trHeight w:val="1414" w:hRule="atLeast"/>
          <w:jc w:val="center"/>
        </w:trPr>
        <w:tc>
          <w:tcPr>
            <w:tcW w:w="9238" w:type="dxa"/>
            <w:gridSpan w:val="3"/>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highlight w:val="none"/>
              </w:rPr>
              <w:t>报价依据和说明及服务费调整的条件和办法、延长服务期的优惠条件（可另附页）</w:t>
            </w:r>
          </w:p>
        </w:tc>
      </w:tr>
    </w:tbl>
    <w:p>
      <w:pPr>
        <w:spacing w:line="460" w:lineRule="exact"/>
        <w:ind w:firstLine="539" w:firstLineChars="245"/>
        <w:jc w:val="left"/>
        <w:rPr>
          <w:rFonts w:hint="eastAsia" w:ascii="宋体" w:hAnsi="宋体" w:eastAsia="宋体" w:cs="宋体"/>
          <w:color w:val="auto"/>
          <w:sz w:val="22"/>
          <w:szCs w:val="22"/>
          <w:highlight w:val="none"/>
        </w:rPr>
      </w:pPr>
    </w:p>
    <w:p>
      <w:pPr>
        <w:spacing w:line="380" w:lineRule="exact"/>
        <w:ind w:left="532" w:leftChars="-171" w:hanging="891" w:hangingChars="405"/>
        <w:rPr>
          <w:rFonts w:hint="eastAsia" w:ascii="宋体" w:hAnsi="宋体" w:eastAsia="宋体" w:cs="宋体"/>
          <w:strike/>
          <w:color w:val="auto"/>
          <w:sz w:val="22"/>
          <w:szCs w:val="22"/>
          <w:highlight w:val="none"/>
        </w:rPr>
      </w:pPr>
      <w:r>
        <w:rPr>
          <w:rFonts w:hint="eastAsia" w:ascii="宋体" w:hAnsi="宋体" w:eastAsia="宋体" w:cs="宋体"/>
          <w:color w:val="auto"/>
          <w:sz w:val="22"/>
          <w:szCs w:val="22"/>
          <w:highlight w:val="none"/>
        </w:rPr>
        <w:t>说明：1.</w:t>
      </w:r>
      <w:r>
        <w:rPr>
          <w:rFonts w:hint="eastAsia" w:ascii="宋体" w:hAnsi="宋体" w:eastAsia="宋体" w:cs="宋体"/>
          <w:b/>
          <w:bCs/>
          <w:color w:val="auto"/>
          <w:sz w:val="22"/>
          <w:szCs w:val="22"/>
          <w:highlight w:val="none"/>
        </w:rPr>
        <w:t>《开标一览表》中“投标总价”包含的内容详见采购文件第一部分投标须知第1</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条“投标报价”中的规定。</w:t>
      </w:r>
    </w:p>
    <w:p>
      <w:pPr>
        <w:spacing w:line="380" w:lineRule="exact"/>
        <w:ind w:left="535" w:leftChars="-171" w:hanging="894" w:hangingChars="405"/>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．上市前服务费（包括财务顾问费、辅导费和保荐费等，含税）总价</w:t>
      </w:r>
      <w:r>
        <w:rPr>
          <w:rFonts w:hint="eastAsia" w:ascii="宋体" w:hAnsi="宋体" w:eastAsia="宋体" w:cs="宋体"/>
          <w:b/>
          <w:bCs/>
          <w:color w:val="auto"/>
          <w:sz w:val="22"/>
          <w:szCs w:val="22"/>
          <w:highlight w:val="none"/>
          <w:lang w:val="en-US" w:eastAsia="zh-CN"/>
        </w:rPr>
        <w:t>应与“投标分项报价表”中的“合计总价”一致。</w:t>
      </w:r>
    </w:p>
    <w:p>
      <w:pPr>
        <w:spacing w:line="380" w:lineRule="exact"/>
        <w:ind w:left="524" w:leftChars="142" w:hanging="226" w:hangingChars="10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b/>
          <w:color w:val="auto"/>
          <w:szCs w:val="21"/>
          <w:highlight w:val="none"/>
          <w:u w:val="single"/>
        </w:rPr>
        <w:t>▲此表不得自行增减内容，不提供此表格将被视为没有实质性响应采购文件。</w:t>
      </w:r>
    </w:p>
    <w:p>
      <w:pPr>
        <w:spacing w:line="360" w:lineRule="exact"/>
        <w:ind w:left="207" w:hanging="207" w:hangingChars="9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spacing w:line="340" w:lineRule="exact"/>
        <w:ind w:right="-21" w:rightChars="-1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780" w:firstLineChars="18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2730" w:firstLineChars="1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80" w:lineRule="exact"/>
        <w:jc w:val="both"/>
        <w:outlineLvl w:val="9"/>
        <w:rPr>
          <w:rFonts w:hint="eastAsia" w:ascii="宋体" w:hAnsi="宋体" w:eastAsia="宋体" w:cs="宋体"/>
          <w:b/>
          <w:bCs/>
          <w:color w:val="auto"/>
          <w:sz w:val="21"/>
          <w:szCs w:val="21"/>
          <w:highlight w:val="none"/>
        </w:rPr>
        <w:sectPr>
          <w:footerReference r:id="rId10" w:type="default"/>
          <w:pgSz w:w="11906" w:h="16838"/>
          <w:pgMar w:top="1134" w:right="1134" w:bottom="1134" w:left="1417" w:header="851" w:footer="567" w:gutter="0"/>
          <w:pgBorders>
            <w:top w:val="none" w:sz="0" w:space="0"/>
            <w:left w:val="none" w:sz="0" w:space="0"/>
            <w:bottom w:val="none" w:sz="0" w:space="0"/>
            <w:right w:val="none" w:sz="0" w:space="0"/>
          </w:pgBorders>
          <w:pgNumType w:fmt="decimal"/>
          <w:cols w:space="720" w:num="1"/>
          <w:titlePg/>
          <w:rtlGutter w:val="0"/>
          <w:docGrid w:linePitch="312" w:charSpace="0"/>
        </w:sectPr>
      </w:pPr>
    </w:p>
    <w:p>
      <w:pPr>
        <w:spacing w:line="380" w:lineRule="exact"/>
        <w:ind w:left="-359" w:leftChars="-171" w:firstLine="148" w:firstLineChars="49"/>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附件十一</w:t>
      </w:r>
    </w:p>
    <w:p>
      <w:pPr>
        <w:spacing w:line="380" w:lineRule="exact"/>
        <w:ind w:left="-359" w:leftChars="-171" w:firstLine="148" w:firstLineChars="49"/>
        <w:jc w:val="center"/>
        <w:outlineLvl w:val="9"/>
        <w:rPr>
          <w:rFonts w:hint="eastAsia" w:ascii="宋体" w:hAnsi="宋体" w:eastAsia="宋体" w:cs="宋体"/>
          <w:b/>
          <w:bCs/>
          <w:color w:val="auto"/>
          <w:sz w:val="30"/>
          <w:szCs w:val="30"/>
          <w:highlight w:val="none"/>
          <w:lang w:val="zh-CN" w:eastAsia="zh-CN"/>
        </w:rPr>
      </w:pPr>
      <w:bookmarkStart w:id="162" w:name="_Hlk483770012"/>
      <w:r>
        <w:rPr>
          <w:rFonts w:hint="eastAsia" w:ascii="宋体" w:hAnsi="宋体" w:eastAsia="宋体" w:cs="宋体"/>
          <w:b/>
          <w:bCs/>
          <w:color w:val="auto"/>
          <w:sz w:val="30"/>
          <w:szCs w:val="30"/>
          <w:highlight w:val="none"/>
          <w:lang w:val="zh-CN" w:eastAsia="zh-CN"/>
        </w:rPr>
        <w:t>投标分项报价表</w:t>
      </w:r>
    </w:p>
    <w:p>
      <w:pPr>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cs="宋体"/>
          <w:b/>
          <w:color w:val="auto"/>
          <w:sz w:val="21"/>
          <w:szCs w:val="21"/>
          <w:highlight w:val="none"/>
          <w:lang w:eastAsia="zh-CN"/>
        </w:rPr>
        <w:t>IPO券商中介服务</w:t>
      </w:r>
    </w:p>
    <w:p>
      <w:pPr>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WGSS-JFJT-X-2023009</w:t>
      </w:r>
      <w:r>
        <w:rPr>
          <w:rFonts w:hint="eastAsia" w:ascii="宋体" w:hAnsi="宋体" w:eastAsia="宋体" w:cs="宋体"/>
          <w:b/>
          <w:color w:val="auto"/>
          <w:sz w:val="21"/>
          <w:szCs w:val="21"/>
          <w:highlight w:val="none"/>
        </w:rPr>
        <w:t xml:space="preserve">                  </w:t>
      </w:r>
    </w:p>
    <w:p>
      <w:pPr>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lang w:eastAsia="zh-CN"/>
        </w:rPr>
        <w:t>（价格单位：人民币元）</w:t>
      </w:r>
    </w:p>
    <w:bookmarkEnd w:id="162"/>
    <w:tbl>
      <w:tblPr>
        <w:tblStyle w:val="3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435"/>
        <w:gridCol w:w="965"/>
        <w:gridCol w:w="839"/>
        <w:gridCol w:w="226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3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6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39"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（元）</w:t>
            </w: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3435" w:type="dxa"/>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4"/>
                <w:szCs w:val="24"/>
                <w:highlight w:val="none"/>
                <w:u w:val="none"/>
              </w:rPr>
              <w:t>财务顾问费</w:t>
            </w:r>
          </w:p>
        </w:tc>
        <w:tc>
          <w:tcPr>
            <w:tcW w:w="965" w:type="dxa"/>
            <w:noWrap w:val="0"/>
            <w:vAlign w:val="center"/>
          </w:tcPr>
          <w:p>
            <w:pPr>
              <w:keepNext w:val="0"/>
              <w:keepLines w:val="0"/>
              <w:widowControl/>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lang w:val="en-US" w:eastAsia="zh-CN"/>
              </w:rPr>
              <w:t>项</w:t>
            </w:r>
          </w:p>
        </w:tc>
        <w:tc>
          <w:tcPr>
            <w:tcW w:w="83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en-US" w:eastAsia="zh-CN"/>
              </w:rPr>
              <w:t>1</w:t>
            </w: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3435" w:type="dxa"/>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4"/>
                <w:szCs w:val="24"/>
                <w:highlight w:val="none"/>
                <w:u w:val="none"/>
              </w:rPr>
              <w:t>辅导费</w:t>
            </w:r>
          </w:p>
        </w:tc>
        <w:tc>
          <w:tcPr>
            <w:tcW w:w="965" w:type="dxa"/>
            <w:noWrap w:val="0"/>
            <w:vAlign w:val="center"/>
          </w:tcPr>
          <w:p>
            <w:pPr>
              <w:keepNext w:val="0"/>
              <w:keepLines w:val="0"/>
              <w:widowControl/>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en-US" w:eastAsia="zh-CN"/>
              </w:rPr>
              <w:t>项</w:t>
            </w:r>
          </w:p>
        </w:tc>
        <w:tc>
          <w:tcPr>
            <w:tcW w:w="83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en-US" w:eastAsia="zh-CN"/>
              </w:rPr>
              <w:t>1</w:t>
            </w: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435" w:type="dxa"/>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4"/>
                <w:szCs w:val="24"/>
                <w:highlight w:val="none"/>
                <w:u w:val="none"/>
              </w:rPr>
              <w:t>保荐费</w:t>
            </w:r>
          </w:p>
        </w:tc>
        <w:tc>
          <w:tcPr>
            <w:tcW w:w="965" w:type="dxa"/>
            <w:noWrap w:val="0"/>
            <w:vAlign w:val="center"/>
          </w:tcPr>
          <w:p>
            <w:pPr>
              <w:keepNext w:val="0"/>
              <w:keepLines w:val="0"/>
              <w:widowControl/>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en-US" w:eastAsia="zh-CN"/>
              </w:rPr>
              <w:t>项</w:t>
            </w:r>
          </w:p>
        </w:tc>
        <w:tc>
          <w:tcPr>
            <w:tcW w:w="83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en-US" w:eastAsia="zh-CN"/>
              </w:rPr>
              <w:t>1</w:t>
            </w: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435" w:type="dxa"/>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en-US" w:eastAsia="zh-CN"/>
              </w:rPr>
              <w:t>其他费用</w:t>
            </w:r>
          </w:p>
        </w:tc>
        <w:tc>
          <w:tcPr>
            <w:tcW w:w="965" w:type="dxa"/>
            <w:noWrap w:val="0"/>
            <w:vAlign w:val="center"/>
          </w:tcPr>
          <w:p>
            <w:pPr>
              <w:keepNext w:val="0"/>
              <w:keepLines w:val="0"/>
              <w:widowControl/>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en-US" w:eastAsia="zh-CN"/>
              </w:rPr>
              <w:t>项</w:t>
            </w:r>
          </w:p>
        </w:tc>
        <w:tc>
          <w:tcPr>
            <w:tcW w:w="839"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en-US" w:eastAsia="zh-CN"/>
              </w:rPr>
              <w:t>1</w:t>
            </w: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343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96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839"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343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96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839"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343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96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839"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343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96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839"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343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96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839"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343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965"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839"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82"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5239" w:type="dxa"/>
            <w:gridSpan w:val="3"/>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总计</w:t>
            </w:r>
            <w:r>
              <w:rPr>
                <w:rFonts w:hint="eastAsia" w:ascii="宋体" w:hAnsi="宋体" w:eastAsia="宋体" w:cs="宋体"/>
                <w:color w:val="auto"/>
                <w:sz w:val="21"/>
                <w:szCs w:val="21"/>
                <w:highlight w:val="none"/>
                <w:lang w:val="en-US" w:eastAsia="zh-CN"/>
              </w:rPr>
              <w:t>价</w:t>
            </w:r>
          </w:p>
        </w:tc>
        <w:tc>
          <w:tcPr>
            <w:tcW w:w="2267"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c>
          <w:tcPr>
            <w:tcW w:w="1168" w:type="dxa"/>
            <w:noWrap w:val="0"/>
            <w:vAlign w:val="center"/>
          </w:tcPr>
          <w:p>
            <w:pPr>
              <w:keepNext w:val="0"/>
              <w:keepLines w:val="0"/>
              <w:suppressLineNumbers w:val="0"/>
              <w:spacing w:before="0" w:beforeAutospacing="0" w:after="0" w:afterAutospacing="0" w:line="360" w:lineRule="exact"/>
              <w:ind w:left="0" w:right="0" w:firstLine="0" w:firstLineChars="0"/>
              <w:jc w:val="center"/>
              <w:outlineLvl w:val="9"/>
              <w:rPr>
                <w:rFonts w:hint="eastAsia" w:ascii="宋体" w:hAnsi="宋体" w:eastAsia="宋体" w:cs="宋体"/>
                <w:color w:val="auto"/>
                <w:sz w:val="21"/>
                <w:szCs w:val="21"/>
                <w:highlight w:val="none"/>
              </w:rPr>
            </w:pPr>
          </w:p>
        </w:tc>
      </w:tr>
    </w:tbl>
    <w:p>
      <w:pPr>
        <w:spacing w:line="36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360" w:lineRule="exact"/>
        <w:ind w:firstLine="0" w:firstLine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总计价应与“开标一览表”中投标总报价相一致。</w:t>
      </w:r>
    </w:p>
    <w:p>
      <w:pPr>
        <w:spacing w:line="360" w:lineRule="exact"/>
        <w:ind w:firstLine="0" w:firstLineChars="0"/>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不提供投标分项报价表将视为没有实质性响应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rPr>
        <w:t>。</w:t>
      </w:r>
    </w:p>
    <w:p>
      <w:pPr>
        <w:spacing w:line="240" w:lineRule="auto"/>
        <w:ind w:firstLine="3780" w:firstLineChars="1800"/>
        <w:jc w:val="left"/>
        <w:outlineLvl w:val="9"/>
        <w:rPr>
          <w:rFonts w:hint="eastAsia" w:ascii="宋体" w:hAnsi="宋体" w:eastAsia="宋体" w:cs="宋体"/>
          <w:color w:val="auto"/>
          <w:sz w:val="21"/>
          <w:szCs w:val="21"/>
          <w:highlight w:val="none"/>
        </w:rPr>
      </w:pPr>
      <w:bookmarkStart w:id="163" w:name="_Toc235866828"/>
    </w:p>
    <w:p>
      <w:pPr>
        <w:spacing w:line="240" w:lineRule="auto"/>
        <w:ind w:firstLine="3780" w:firstLineChars="18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240" w:lineRule="auto"/>
        <w:ind w:firstLine="1050" w:firstLineChars="5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240" w:lineRule="auto"/>
        <w:ind w:left="0" w:leftChars="0" w:firstLine="6090" w:firstLineChars="2900"/>
        <w:jc w:val="left"/>
        <w:outlineLvl w:val="9"/>
        <w:rPr>
          <w:rFonts w:hint="eastAsia" w:ascii="宋体" w:hAnsi="宋体" w:eastAsia="宋体" w:cs="宋体"/>
          <w:b w:val="0"/>
          <w:bCs w:val="0"/>
          <w:color w:val="auto"/>
          <w:sz w:val="21"/>
          <w:szCs w:val="21"/>
          <w:highlight w:val="none"/>
        </w:rPr>
        <w:sectPr>
          <w:pgSz w:w="11906" w:h="16838"/>
          <w:pgMar w:top="1134" w:right="1134" w:bottom="1134" w:left="1417" w:header="851" w:footer="56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bookmarkEnd w:id="163"/>
    <w:p>
      <w:pPr>
        <w:numPr>
          <w:ilvl w:val="0"/>
          <w:numId w:val="28"/>
        </w:numPr>
        <w:spacing w:line="360" w:lineRule="auto"/>
        <w:jc w:val="center"/>
        <w:outlineLvl w:val="0"/>
        <w:rPr>
          <w:rFonts w:hint="eastAsia" w:ascii="宋体" w:hAnsi="宋体" w:eastAsia="宋体" w:cs="宋体"/>
          <w:b/>
          <w:bCs/>
          <w:color w:val="auto"/>
          <w:sz w:val="28"/>
          <w:szCs w:val="28"/>
          <w:highlight w:val="none"/>
          <w:lang w:eastAsia="zh-CN"/>
        </w:rPr>
      </w:pPr>
      <w:bookmarkStart w:id="164" w:name="_Toc31382"/>
      <w:r>
        <w:rPr>
          <w:rFonts w:hint="eastAsia" w:ascii="宋体" w:hAnsi="宋体" w:eastAsia="宋体" w:cs="宋体"/>
          <w:b/>
          <w:bCs/>
          <w:color w:val="auto"/>
          <w:sz w:val="28"/>
          <w:szCs w:val="28"/>
          <w:highlight w:val="none"/>
        </w:rPr>
        <w:t xml:space="preserve">  </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b/>
          <w:bCs/>
          <w:color w:val="auto"/>
          <w:sz w:val="28"/>
          <w:szCs w:val="28"/>
          <w:highlight w:val="none"/>
          <w:lang w:eastAsia="zh-CN"/>
        </w:rPr>
        <w:t>采购内容及要求</w:t>
      </w:r>
      <w:bookmarkEnd w:id="164"/>
    </w:p>
    <w:p>
      <w:pPr>
        <w:pStyle w:val="15"/>
        <w:numPr>
          <w:ilvl w:val="0"/>
          <w:numId w:val="0"/>
        </w:numPr>
        <w:ind w:leftChars="100" w:right="0" w:rightChars="0"/>
        <w:rPr>
          <w:rFonts w:hint="eastAsia"/>
          <w:lang w:eastAsia="zh-CN"/>
        </w:rPr>
      </w:pPr>
      <w:r>
        <w:rPr>
          <w:rFonts w:hint="eastAsia"/>
          <w:b/>
          <w:bCs/>
          <w:sz w:val="24"/>
          <w:szCs w:val="32"/>
          <w:lang w:eastAsia="zh-CN"/>
        </w:rPr>
        <w:t>一、企业简介</w:t>
      </w:r>
    </w:p>
    <w:p>
      <w:pPr>
        <w:pStyle w:val="15"/>
        <w:numPr>
          <w:ilvl w:val="0"/>
          <w:numId w:val="0"/>
        </w:numPr>
        <w:ind w:leftChars="100" w:right="0" w:rightChars="0" w:firstLine="420" w:firstLineChars="200"/>
        <w:rPr>
          <w:rFonts w:hint="eastAsia"/>
          <w:lang w:eastAsia="zh-CN"/>
        </w:rPr>
      </w:pPr>
      <w:r>
        <w:rPr>
          <w:rFonts w:hint="eastAsia"/>
          <w:lang w:eastAsia="zh-CN"/>
        </w:rPr>
        <w:t>温州诚达交通发展股份有限公司原名温州市交通监理有限公司，于1995年11月由温州市人民政府批准成立，注册资本3150万元，为国有控股企业，隶属交发集团，由交发集团控股67.9%、市铁投集团参股29.1%、市建设集团参股3%。公司于2018年1月获省国资委批复完成股份制改造，同年12月挂牌“新三板”。2020年11月根据IPO上市工作安排和中介机构建议，向全国股转中心提交“新三板”摘牌申请并获得通过。</w:t>
      </w:r>
    </w:p>
    <w:p>
      <w:pPr>
        <w:pStyle w:val="15"/>
        <w:numPr>
          <w:ilvl w:val="0"/>
          <w:numId w:val="0"/>
        </w:numPr>
        <w:ind w:leftChars="100" w:right="0" w:rightChars="0" w:firstLine="420" w:firstLineChars="200"/>
        <w:rPr>
          <w:rFonts w:hint="eastAsia"/>
          <w:lang w:eastAsia="zh-CN"/>
        </w:rPr>
      </w:pPr>
      <w:r>
        <w:rPr>
          <w:rFonts w:hint="eastAsia"/>
          <w:lang w:eastAsia="zh-CN"/>
        </w:rPr>
        <w:t>公司下设5家全资子公司：温州信达交通试验检测有限公司、温州筑诚交通监理有限公司、温州市交通工程试验检测有限公司、温州华星建材检测有限公司，温州市交通规划设计研究院有限公司，并代管温州路桥工程设计所。</w:t>
      </w:r>
    </w:p>
    <w:p>
      <w:pPr>
        <w:pStyle w:val="15"/>
        <w:numPr>
          <w:ilvl w:val="0"/>
          <w:numId w:val="0"/>
        </w:numPr>
        <w:ind w:leftChars="100" w:right="0" w:rightChars="0" w:firstLine="420" w:firstLineChars="200"/>
        <w:rPr>
          <w:rFonts w:hint="eastAsia"/>
          <w:lang w:val="en-US" w:eastAsia="zh-CN"/>
        </w:rPr>
      </w:pPr>
      <w:r>
        <w:rPr>
          <w:rFonts w:hint="eastAsia"/>
          <w:lang w:val="en-US" w:eastAsia="zh-CN"/>
        </w:rPr>
        <w:t>公司本部从事各等级公路工程咨询技术服务，具有公路专业咨询甲级资信，业务涵盖工程全过程咨询、工程安全技术服务、通航影响论证、社会风险评估、设计咨询、造价咨询等业务。公司本部现有从业人员共47人，其中高级职称20人（其中正高职称1人）、中级职称16人，中高级职称占在岗职工的76.6%。公司作为温州地区交通行业检测、监理龙头企业，近年来大力拓展业务范围，已构建横跨公路、市域铁路、市政、房建、机电等工程领域，覆盖咨询、设计、检测、监理、加固等业务的综合性技术服务平台，在公路全过程工程咨询方面取得突破。</w:t>
      </w:r>
    </w:p>
    <w:p>
      <w:pPr>
        <w:pStyle w:val="15"/>
        <w:numPr>
          <w:ilvl w:val="0"/>
          <w:numId w:val="0"/>
        </w:numPr>
        <w:ind w:leftChars="100" w:right="0" w:rightChars="0" w:firstLine="422" w:firstLineChars="200"/>
        <w:rPr>
          <w:rFonts w:hint="default"/>
          <w:lang w:val="en-US" w:eastAsia="zh-CN"/>
        </w:rPr>
      </w:pPr>
      <w:r>
        <w:rPr>
          <w:rFonts w:hint="eastAsia"/>
          <w:b/>
          <w:bCs/>
          <w:lang w:val="en-US" w:eastAsia="zh-CN"/>
        </w:rPr>
        <w:t>近六年营收情况：</w:t>
      </w:r>
    </w:p>
    <w:p>
      <w:pPr>
        <w:pStyle w:val="15"/>
        <w:numPr>
          <w:ilvl w:val="0"/>
          <w:numId w:val="0"/>
        </w:numPr>
        <w:ind w:leftChars="100" w:right="0" w:rightChars="0" w:firstLine="420" w:firstLineChars="200"/>
        <w:rPr>
          <w:rFonts w:hint="eastAsia"/>
          <w:lang w:val="en-US" w:eastAsia="zh-CN"/>
        </w:rPr>
      </w:pPr>
      <w:r>
        <w:rPr>
          <w:rFonts w:hint="eastAsia"/>
          <w:lang w:val="en-US" w:eastAsia="zh-CN"/>
        </w:rPr>
        <w:t>2017年净资产7022万元，营收1.46亿元，利润总额2587万元；</w:t>
      </w:r>
    </w:p>
    <w:p>
      <w:pPr>
        <w:pStyle w:val="15"/>
        <w:numPr>
          <w:ilvl w:val="0"/>
          <w:numId w:val="0"/>
        </w:numPr>
        <w:ind w:leftChars="100" w:right="0" w:rightChars="0" w:firstLine="420" w:firstLineChars="200"/>
        <w:rPr>
          <w:rFonts w:hint="eastAsia"/>
          <w:lang w:val="en-US" w:eastAsia="zh-CN"/>
        </w:rPr>
      </w:pPr>
      <w:r>
        <w:rPr>
          <w:rFonts w:hint="eastAsia"/>
          <w:lang w:val="en-US" w:eastAsia="zh-CN"/>
        </w:rPr>
        <w:t>2018年净资产9376万元，营收1.87亿元，利润总额3136万元；</w:t>
      </w:r>
    </w:p>
    <w:p>
      <w:pPr>
        <w:pStyle w:val="15"/>
        <w:numPr>
          <w:ilvl w:val="0"/>
          <w:numId w:val="0"/>
        </w:numPr>
        <w:ind w:leftChars="100" w:right="0" w:rightChars="0" w:firstLine="420" w:firstLineChars="200"/>
        <w:rPr>
          <w:rFonts w:hint="eastAsia"/>
          <w:lang w:val="en-US" w:eastAsia="zh-CN"/>
        </w:rPr>
      </w:pPr>
      <w:r>
        <w:rPr>
          <w:rFonts w:hint="eastAsia"/>
          <w:lang w:val="en-US" w:eastAsia="zh-CN"/>
        </w:rPr>
        <w:t>2019年净资产1.26亿元，营收2.03亿元，利润总额4117万元；</w:t>
      </w:r>
    </w:p>
    <w:p>
      <w:pPr>
        <w:pStyle w:val="15"/>
        <w:numPr>
          <w:ilvl w:val="0"/>
          <w:numId w:val="0"/>
        </w:numPr>
        <w:ind w:leftChars="100" w:right="0" w:rightChars="0" w:firstLine="420" w:firstLineChars="200"/>
        <w:rPr>
          <w:rFonts w:hint="eastAsia"/>
          <w:lang w:val="en-US" w:eastAsia="zh-CN"/>
        </w:rPr>
      </w:pPr>
      <w:r>
        <w:rPr>
          <w:rFonts w:hint="eastAsia"/>
          <w:lang w:val="en-US" w:eastAsia="zh-CN"/>
        </w:rPr>
        <w:t>2020年净资产1.69亿元，营收2.08亿元，利润总额4787万元；</w:t>
      </w:r>
    </w:p>
    <w:p>
      <w:pPr>
        <w:pStyle w:val="15"/>
        <w:numPr>
          <w:ilvl w:val="0"/>
          <w:numId w:val="0"/>
        </w:numPr>
        <w:ind w:leftChars="100" w:right="0" w:rightChars="0" w:firstLine="420" w:firstLineChars="200"/>
        <w:rPr>
          <w:rFonts w:hint="eastAsia"/>
          <w:lang w:val="en-US" w:eastAsia="zh-CN"/>
        </w:rPr>
      </w:pPr>
      <w:r>
        <w:rPr>
          <w:rFonts w:hint="eastAsia"/>
          <w:lang w:val="en-US" w:eastAsia="zh-CN"/>
        </w:rPr>
        <w:t>2021年净资产2.21亿元，营收3.18亿元，利润总额5516万元；</w:t>
      </w:r>
    </w:p>
    <w:p>
      <w:pPr>
        <w:pStyle w:val="15"/>
        <w:numPr>
          <w:ilvl w:val="0"/>
          <w:numId w:val="0"/>
        </w:numPr>
        <w:ind w:leftChars="100" w:right="0" w:rightChars="0" w:firstLine="420" w:firstLineChars="200"/>
        <w:rPr>
          <w:rFonts w:hint="eastAsia"/>
          <w:lang w:val="en-US" w:eastAsia="zh-CN"/>
        </w:rPr>
      </w:pPr>
      <w:r>
        <w:rPr>
          <w:rFonts w:hint="eastAsia"/>
          <w:lang w:val="en-US" w:eastAsia="zh-CN"/>
        </w:rPr>
        <w:t>2022年净资产2.79亿元，营收4.2亿元，利润总额7391万元。</w:t>
      </w:r>
    </w:p>
    <w:p>
      <w:pPr>
        <w:pStyle w:val="15"/>
        <w:numPr>
          <w:ilvl w:val="0"/>
          <w:numId w:val="0"/>
        </w:numPr>
        <w:ind w:leftChars="100" w:right="0" w:rightChars="0" w:firstLine="420" w:firstLineChars="200"/>
        <w:rPr>
          <w:rFonts w:hint="eastAsia"/>
          <w:lang w:eastAsia="zh-CN"/>
        </w:rPr>
      </w:pPr>
      <w:r>
        <w:rPr>
          <w:rFonts w:hint="eastAsia"/>
          <w:lang w:val="en-US" w:eastAsia="zh-CN"/>
        </w:rPr>
        <w:t>公司及下属子公司现有从业人员共1216人，其中高级职称167人（其中正高职称8人）、中级职称375人，中高级职称占在岗职工的44.57%。</w:t>
      </w:r>
    </w:p>
    <w:p>
      <w:pPr>
        <w:pStyle w:val="15"/>
        <w:numPr>
          <w:ilvl w:val="0"/>
          <w:numId w:val="0"/>
        </w:numPr>
        <w:ind w:leftChars="100" w:right="0" w:rightChars="0"/>
        <w:rPr>
          <w:rFonts w:hint="eastAsia"/>
          <w:b/>
          <w:bCs/>
          <w:sz w:val="24"/>
          <w:szCs w:val="32"/>
          <w:lang w:eastAsia="zh-CN"/>
        </w:rPr>
      </w:pPr>
      <w:r>
        <w:rPr>
          <w:rFonts w:hint="eastAsia"/>
          <w:b/>
          <w:bCs/>
          <w:sz w:val="24"/>
          <w:szCs w:val="32"/>
          <w:lang w:eastAsia="zh-CN"/>
        </w:rPr>
        <w:t>二、投标人服务方案及内容</w:t>
      </w:r>
    </w:p>
    <w:p>
      <w:pPr>
        <w:pStyle w:val="15"/>
        <w:numPr>
          <w:ilvl w:val="0"/>
          <w:numId w:val="0"/>
        </w:numPr>
        <w:ind w:leftChars="100" w:right="0" w:rightChars="0" w:firstLine="420" w:firstLineChars="200"/>
        <w:rPr>
          <w:rFonts w:hint="eastAsia"/>
          <w:lang w:eastAsia="zh-CN"/>
        </w:rPr>
      </w:pPr>
      <w:r>
        <w:rPr>
          <w:rFonts w:hint="eastAsia"/>
          <w:lang w:eastAsia="zh-CN"/>
        </w:rPr>
        <w:t>总服务概况：充分考虑采购人的实际经营和财务状况，为采购人的并购重组、发行辅导、发行上市保荐、股票主承销、持续督导及其他有关事项设计工作方案，包括并购重组混改方案、辅导方案、发行上市方案及持续督导方案等。</w:t>
      </w:r>
    </w:p>
    <w:p>
      <w:pPr>
        <w:pStyle w:val="15"/>
        <w:numPr>
          <w:ilvl w:val="0"/>
          <w:numId w:val="0"/>
        </w:numPr>
        <w:ind w:leftChars="100" w:right="0" w:rightChars="0"/>
        <w:rPr>
          <w:rFonts w:hint="eastAsia"/>
          <w:lang w:eastAsia="zh-CN"/>
        </w:rPr>
      </w:pPr>
      <w:r>
        <w:rPr>
          <w:rFonts w:hint="eastAsia"/>
          <w:lang w:eastAsia="zh-CN"/>
        </w:rPr>
        <w:t xml:space="preserve">    作为采购人并购重组改制的财务顾问，为采购人设计并购重组改制的总体框架及具体实施步骤，组织协调中介机构妥善处理并购重组改制中的各项问题。</w:t>
      </w:r>
    </w:p>
    <w:p>
      <w:pPr>
        <w:pStyle w:val="15"/>
        <w:numPr>
          <w:ilvl w:val="0"/>
          <w:numId w:val="0"/>
        </w:numPr>
        <w:ind w:leftChars="100" w:right="0" w:rightChars="0" w:firstLineChars="200"/>
        <w:rPr>
          <w:rFonts w:hint="eastAsia"/>
          <w:lang w:eastAsia="zh-CN"/>
        </w:rPr>
      </w:pPr>
      <w:r>
        <w:rPr>
          <w:rFonts w:hint="eastAsia"/>
          <w:lang w:eastAsia="zh-CN"/>
        </w:rPr>
        <w:t>作为本次发行的主承销商，核查本次发行的募集文件，撰写投资价值研究报告，根据需要并经甲方授权与其他分销商签订承销团协议组建承销团，对本次发行承担余额包销责任，协助甲方开展本次发行的信息披露、推介、定价、配售、登记及资金清算等工作。</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主要包括以下服务内容：</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2.1为</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发行上市前的重组改制（含混改、股改等）提供财务顾问服务，主要包括以下工作内容：</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2.1.1、对</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及其关联方的历史沿革、股东结构、关联方及相关事项、内控治理、资产情况、主营业务、财务及税收状况、债券债务及诉讼情况进行全面尽调，以此为基础，经与</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进行充分论证，制定混合所有制改制、股份制改造</w:t>
      </w:r>
      <w:r>
        <w:rPr>
          <w:rFonts w:hint="eastAsia" w:ascii="宋体" w:hAnsi="宋体" w:eastAsia="宋体" w:cs="宋体"/>
          <w:bCs/>
          <w:snapToGrid w:val="0"/>
          <w:color w:val="auto"/>
          <w:sz w:val="21"/>
          <w:szCs w:val="21"/>
          <w:highlight w:val="none"/>
          <w:lang w:eastAsia="zh-CN"/>
        </w:rPr>
        <w:t>（如有）</w:t>
      </w:r>
      <w:r>
        <w:rPr>
          <w:rFonts w:hint="eastAsia" w:ascii="宋体" w:hAnsi="宋体" w:eastAsia="宋体" w:cs="宋体"/>
          <w:bCs/>
          <w:snapToGrid w:val="0"/>
          <w:color w:val="auto"/>
          <w:sz w:val="21"/>
          <w:szCs w:val="21"/>
          <w:highlight w:val="none"/>
        </w:rPr>
        <w:t>、业务重组方案（如有）、具体的实施计划和实施路线，以及对</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进行</w:t>
      </w:r>
      <w:r>
        <w:rPr>
          <w:rFonts w:hint="eastAsia" w:ascii="宋体" w:hAnsi="宋体" w:eastAsia="宋体" w:cs="宋体"/>
          <w:bCs/>
          <w:snapToGrid w:val="0"/>
          <w:color w:val="auto"/>
          <w:sz w:val="21"/>
          <w:szCs w:val="21"/>
          <w:highlight w:val="none"/>
          <w:lang w:eastAsia="zh-CN"/>
        </w:rPr>
        <w:t>混改</w:t>
      </w:r>
      <w:r>
        <w:rPr>
          <w:rFonts w:hint="eastAsia" w:ascii="宋体" w:hAnsi="宋体" w:eastAsia="宋体" w:cs="宋体"/>
          <w:bCs/>
          <w:snapToGrid w:val="0"/>
          <w:color w:val="auto"/>
          <w:sz w:val="21"/>
          <w:szCs w:val="21"/>
          <w:highlight w:val="none"/>
        </w:rPr>
        <w:t>具体工作的指导，提供各项专业意见和建议。</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2.1.2、负责混合所有制改制的总体协调，组织各中介机构开展尽职调查、产权界定、资产评估、报表审计、法律审查等工作，组织各中介机构对项目实施过程中涉及的业务、资产、人员、机构、财务、法律等问题进行讨论分析并协助解决；</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2.1.3、帮助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梳理自身的业务模式，包括</w:t>
      </w:r>
      <w:r>
        <w:rPr>
          <w:rFonts w:hint="eastAsia" w:ascii="宋体" w:hAnsi="宋体" w:eastAsia="宋体" w:cs="宋体"/>
          <w:bCs/>
          <w:snapToGrid w:val="0"/>
          <w:color w:val="auto"/>
          <w:sz w:val="21"/>
          <w:szCs w:val="21"/>
          <w:highlight w:val="none"/>
          <w:lang w:eastAsia="zh-CN"/>
        </w:rPr>
        <w:t>经营</w:t>
      </w:r>
      <w:r>
        <w:rPr>
          <w:rFonts w:hint="eastAsia" w:ascii="宋体" w:hAnsi="宋体" w:eastAsia="宋体" w:cs="宋体"/>
          <w:bCs/>
          <w:snapToGrid w:val="0"/>
          <w:color w:val="auto"/>
          <w:sz w:val="21"/>
          <w:szCs w:val="21"/>
          <w:highlight w:val="none"/>
        </w:rPr>
        <w:t>模式、采购模式、生产模式</w:t>
      </w:r>
      <w:r>
        <w:rPr>
          <w:rFonts w:hint="eastAsia" w:ascii="宋体" w:hAnsi="宋体" w:eastAsia="宋体" w:cs="宋体"/>
          <w:bCs/>
          <w:snapToGrid w:val="0"/>
          <w:color w:val="auto"/>
          <w:sz w:val="21"/>
          <w:szCs w:val="21"/>
          <w:highlight w:val="none"/>
          <w:lang w:eastAsia="zh-CN"/>
        </w:rPr>
        <w:t>、用工模式</w:t>
      </w:r>
      <w:r>
        <w:rPr>
          <w:rFonts w:hint="eastAsia" w:ascii="宋体" w:hAnsi="宋体" w:eastAsia="宋体" w:cs="宋体"/>
          <w:bCs/>
          <w:snapToGrid w:val="0"/>
          <w:color w:val="auto"/>
          <w:sz w:val="21"/>
          <w:szCs w:val="21"/>
          <w:highlight w:val="none"/>
        </w:rPr>
        <w:t>等方面，并完成同业竞争与关联交易的判断和梳理；</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2.1.4、协助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完成董事、监事、高级管理人员团队的设立和建设并及时制定股权架构调整方案，确保股权架构在调整后能够满足各方的利益述求，最大化地保障公司持续发展；</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2.1.5、协助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同控股股东及有关监管部门进行沟通、汇报和审批工作，协助起草、出具项目实施过程中须提交控股股东和各有关监管部门的文件材料；</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2.1.6、协助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引进战略投资者，就</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引入战略投资者的入股方案提供各项专业意见和建议。</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2.2为</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提供发行上市辅导服务，并在</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符合辅导备案条件，中标人履行IPO项目立项及立项复核程序的前提下，协助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完成辅导备案的相关工作，包括但不限于以下工作内容：</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2.2.1、股权规范。对</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股权状况进行全面彻底的核查，协调</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及各中介机构界定股权性质、完善股份变动、股东身份资料，明晰产权关系；</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2.2.2、完善资产权属。协助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资产确权工作，在清查现有房产、土地权属状况的基础之上，提供相应的处理方法，完善资产权属；</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2.2.3、完善法人治理结构。协助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调整董事会及监事会人员构成，完善规范内部决策和控制制度、财务制度、内部约束和激励制度，建立符合相关监管部门要求的法人治理结构；</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2.2.4、协助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建立、健全财务会计管理体系及制度，协助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解决审计及新会计准则适用所带来的、可能对本次上市产生影响的财务问题；</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2.2.5、督促</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形成明确的业务发展目标和战略发展规划；</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2.2.6、协助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建立并完善“三会”运作机制，聘请独立董事，建立董事会专门委员会，配备董事会秘书等证券事务工作人员，并确保各组织机构有效运行；</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2.2.7、对实控人、持股5%以上股东、董监高团队进行辅导培训，确保高管人员知悉上市公司法律法规、相关义务和责任，具备足够的诚信水准和管理上市公司的能力及经验；</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2.2.8、建立健全公司章程和内部控制制度，对日常经营管理以及重大事项进行有效的内部约束和激励，同时设立信息披露管理制度和投资者关系管理制度。</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2.3在</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符合IPO申报条件后，中标人为</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首次公开发行人民币普通股（A股）并上市提供保荐服务，并承销</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首次公开发行的人民币普通股（A股），包括但不限于以下工作内容：</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2.3.1、协助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确定IPO申报节点，完成募投项目的选择、备案、环评等事宜；</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2.3.2、依据有关法律、法规和中国证监会的规定，协助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完成公开发行人民币普通股（A股）所需的申报材料，并将材料报送证监会；</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2.3.3、根据证监会的反馈意见进行回复并补充相关资料直至完成发审会全过程；</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2.3.4、依据有关法律、法规和中国证监会的规定，为</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编制发行公告、上公告书等相关材料，制定发行方案并协助</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办理有关公开发行及上市的申请；组织发行工作；</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2.3.5、依据有关法律、法规和中国证监会的规定，履行保荐机构（主承销商）在</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本次发行上市过程中应履行的职责，并组织发行相关的所有工作。</w:t>
      </w:r>
    </w:p>
    <w:p>
      <w:pPr>
        <w:pStyle w:val="20"/>
        <w:snapToGrid w:val="0"/>
        <w:spacing w:line="360" w:lineRule="auto"/>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2.4此外，中标人将为</w:t>
      </w:r>
      <w:r>
        <w:rPr>
          <w:rFonts w:hint="eastAsia" w:ascii="宋体" w:hAnsi="宋体" w:eastAsia="宋体" w:cs="宋体"/>
          <w:bCs/>
          <w:snapToGrid w:val="0"/>
          <w:color w:val="auto"/>
          <w:sz w:val="21"/>
          <w:szCs w:val="21"/>
          <w:highlight w:val="none"/>
          <w:lang w:eastAsia="zh-CN"/>
        </w:rPr>
        <w:t>采购人</w:t>
      </w:r>
      <w:r>
        <w:rPr>
          <w:rFonts w:hint="eastAsia" w:ascii="宋体" w:hAnsi="宋体" w:eastAsia="宋体" w:cs="宋体"/>
          <w:bCs/>
          <w:snapToGrid w:val="0"/>
          <w:color w:val="auto"/>
          <w:sz w:val="21"/>
          <w:szCs w:val="21"/>
          <w:highlight w:val="none"/>
        </w:rPr>
        <w:t>顺利完成本次发行上市，提供必要之策划与咨询服务，就相关问题提供专业化的咨询意见或建议。</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Cs/>
          <w:snapToGrid w:val="0"/>
          <w:color w:val="auto"/>
          <w:kern w:val="0"/>
          <w:sz w:val="21"/>
          <w:szCs w:val="21"/>
          <w:highlight w:val="none"/>
        </w:rPr>
        <w:t>2.5对</w:t>
      </w:r>
      <w:r>
        <w:rPr>
          <w:rFonts w:hint="eastAsia" w:ascii="宋体" w:hAnsi="宋体" w:eastAsia="宋体" w:cs="宋体"/>
          <w:bCs/>
          <w:snapToGrid w:val="0"/>
          <w:color w:val="auto"/>
          <w:kern w:val="0"/>
          <w:sz w:val="21"/>
          <w:szCs w:val="21"/>
          <w:highlight w:val="none"/>
          <w:lang w:eastAsia="zh-CN"/>
        </w:rPr>
        <w:t>采购人</w:t>
      </w:r>
      <w:r>
        <w:rPr>
          <w:rFonts w:hint="eastAsia" w:ascii="宋体" w:hAnsi="宋体" w:eastAsia="宋体" w:cs="宋体"/>
          <w:bCs/>
          <w:snapToGrid w:val="0"/>
          <w:color w:val="auto"/>
          <w:kern w:val="0"/>
          <w:sz w:val="21"/>
          <w:szCs w:val="21"/>
          <w:highlight w:val="none"/>
        </w:rPr>
        <w:t>提出的与上述合作事项相关的其他服务需求，中标人在符合相关法律法规的情况下，积极给予支持与协助。</w:t>
      </w:r>
    </w:p>
    <w:p>
      <w:pPr>
        <w:pStyle w:val="15"/>
        <w:numPr>
          <w:ilvl w:val="0"/>
          <w:numId w:val="0"/>
        </w:numPr>
        <w:ind w:leftChars="100" w:right="0" w:rightChars="0"/>
        <w:rPr>
          <w:rFonts w:hint="eastAsia"/>
          <w:lang w:eastAsia="zh-CN"/>
        </w:rPr>
      </w:pPr>
      <w:r>
        <w:rPr>
          <w:rFonts w:hint="eastAsia"/>
          <w:lang w:val="en-US" w:eastAsia="zh-CN"/>
        </w:rPr>
        <w:t xml:space="preserve">  2.6 </w:t>
      </w:r>
      <w:r>
        <w:rPr>
          <w:rFonts w:hint="eastAsia"/>
          <w:lang w:eastAsia="zh-CN"/>
        </w:rPr>
        <w:t>在发行人证券上市后，持续督导发行人履行规范运作、信守承诺、信息披露等持续督导义务；</w:t>
      </w:r>
    </w:p>
    <w:p>
      <w:pPr>
        <w:pStyle w:val="15"/>
        <w:numPr>
          <w:ilvl w:val="0"/>
          <w:numId w:val="0"/>
        </w:numPr>
        <w:ind w:leftChars="100" w:right="0" w:rightChars="0"/>
        <w:rPr>
          <w:rFonts w:hint="eastAsia"/>
          <w:lang w:eastAsia="zh-CN"/>
        </w:rPr>
      </w:pPr>
      <w:r>
        <w:rPr>
          <w:rFonts w:hint="eastAsia"/>
          <w:lang w:val="en-US" w:eastAsia="zh-CN"/>
        </w:rPr>
        <w:t xml:space="preserve">  2.7  </w:t>
      </w:r>
      <w:r>
        <w:rPr>
          <w:rFonts w:hint="eastAsia"/>
          <w:lang w:eastAsia="zh-CN"/>
        </w:rPr>
        <w:t>其他股权融资等所涉事项、参与企业上市过程中外部、内部协调;</w:t>
      </w:r>
    </w:p>
    <w:p>
      <w:pPr>
        <w:pStyle w:val="15"/>
        <w:numPr>
          <w:ilvl w:val="0"/>
          <w:numId w:val="0"/>
        </w:numPr>
        <w:ind w:leftChars="100" w:right="0" w:rightChars="0"/>
        <w:rPr>
          <w:rFonts w:hint="eastAsia"/>
          <w:lang w:eastAsia="zh-CN"/>
        </w:rPr>
      </w:pPr>
      <w:r>
        <w:rPr>
          <w:rFonts w:hint="eastAsia"/>
          <w:lang w:val="en-US" w:eastAsia="zh-CN"/>
        </w:rPr>
        <w:t xml:space="preserve">  2.8  </w:t>
      </w:r>
      <w:r>
        <w:rPr>
          <w:rFonts w:hint="eastAsia"/>
          <w:lang w:eastAsia="zh-CN"/>
        </w:rPr>
        <w:t>如国家发行体制变化，主要工作内容应按新的发行体制要求，承担上市工作中的券商所有义务。</w:t>
      </w:r>
    </w:p>
    <w:p>
      <w:pPr>
        <w:pStyle w:val="16"/>
        <w:ind w:left="0"/>
        <w:rPr>
          <w:rFonts w:hint="eastAsia"/>
          <w:sz w:val="21"/>
          <w:szCs w:val="24"/>
          <w:lang w:val="en-US" w:eastAsia="zh-CN"/>
        </w:rPr>
      </w:pPr>
      <w:r>
        <w:rPr>
          <w:rFonts w:hint="eastAsia"/>
          <w:lang w:val="en-US" w:eastAsia="zh-CN"/>
        </w:rPr>
        <w:t xml:space="preserve">     </w:t>
      </w:r>
      <w:r>
        <w:rPr>
          <w:rFonts w:hint="eastAsia"/>
          <w:sz w:val="21"/>
          <w:szCs w:val="24"/>
          <w:lang w:val="en-US" w:eastAsia="zh-CN"/>
        </w:rPr>
        <w:t xml:space="preserve">2.9 </w:t>
      </w:r>
      <w:r>
        <w:rPr>
          <w:rFonts w:hint="eastAsia"/>
          <w:lang w:val="en-US" w:eastAsia="zh-CN"/>
        </w:rPr>
        <w:t xml:space="preserve"> </w:t>
      </w:r>
      <w:r>
        <w:rPr>
          <w:rFonts w:hint="eastAsia"/>
          <w:sz w:val="21"/>
          <w:szCs w:val="24"/>
          <w:lang w:eastAsia="zh-CN"/>
        </w:rPr>
        <w:t>以上工作重要时间节点，项目负责人须至现场完成相关工作。</w:t>
      </w:r>
    </w:p>
    <w:p>
      <w:pPr>
        <w:pStyle w:val="15"/>
        <w:numPr>
          <w:ilvl w:val="0"/>
          <w:numId w:val="0"/>
        </w:numPr>
        <w:ind w:leftChars="100" w:right="0" w:rightChars="0"/>
        <w:rPr>
          <w:rFonts w:hint="eastAsia"/>
          <w:lang w:eastAsia="zh-CN"/>
        </w:rPr>
      </w:pPr>
      <w:r>
        <w:rPr>
          <w:rFonts w:hint="eastAsia"/>
          <w:b/>
          <w:bCs/>
          <w:lang w:eastAsia="zh-CN"/>
        </w:rPr>
        <w:t>▲项目</w:t>
      </w:r>
      <w:r>
        <w:rPr>
          <w:rFonts w:hint="eastAsia"/>
          <w:b/>
          <w:bCs/>
          <w:lang w:val="en-US" w:eastAsia="zh-CN"/>
        </w:rPr>
        <w:t>负责人（</w:t>
      </w:r>
      <w:r>
        <w:rPr>
          <w:rFonts w:hint="eastAsia"/>
          <w:b/>
          <w:bCs/>
          <w:lang w:eastAsia="zh-CN"/>
        </w:rPr>
        <w:t>项目保荐代表人）</w:t>
      </w:r>
      <w:r>
        <w:rPr>
          <w:rFonts w:hint="eastAsia"/>
          <w:b/>
          <w:bCs/>
          <w:lang w:val="en-US" w:eastAsia="zh-CN"/>
        </w:rPr>
        <w:t>要求</w:t>
      </w:r>
      <w:r>
        <w:rPr>
          <w:rFonts w:hint="eastAsia"/>
          <w:b/>
          <w:bCs/>
          <w:lang w:eastAsia="zh-CN"/>
        </w:rPr>
        <w:t>具有10年（含）及以上</w:t>
      </w:r>
      <w:r>
        <w:rPr>
          <w:rFonts w:hint="eastAsia"/>
          <w:b/>
          <w:bCs/>
          <w:lang w:val="en-US" w:eastAsia="zh-CN"/>
        </w:rPr>
        <w:t>证券从业经历</w:t>
      </w:r>
      <w:r>
        <w:rPr>
          <w:rFonts w:hint="eastAsia"/>
          <w:b/>
          <w:bCs/>
          <w:lang w:eastAsia="zh-CN"/>
        </w:rPr>
        <w:t>，</w:t>
      </w:r>
      <w:r>
        <w:rPr>
          <w:rFonts w:hint="eastAsia"/>
          <w:b/>
          <w:bCs/>
          <w:lang w:val="en-US" w:eastAsia="zh-CN"/>
        </w:rPr>
        <w:t>从业经历须</w:t>
      </w:r>
      <w:r>
        <w:rPr>
          <w:rFonts w:hint="eastAsia"/>
          <w:b/>
          <w:bCs/>
          <w:lang w:eastAsia="zh-CN"/>
        </w:rPr>
        <w:t>提供中国证券业协会相关查询截图复印件加盖单位公章，起始时间以首次等级日期为准。</w:t>
      </w:r>
    </w:p>
    <w:p>
      <w:pPr>
        <w:pStyle w:val="15"/>
        <w:numPr>
          <w:ilvl w:val="0"/>
          <w:numId w:val="0"/>
        </w:numPr>
        <w:ind w:leftChars="100" w:right="0" w:rightChars="0"/>
        <w:rPr>
          <w:rFonts w:hint="eastAsia"/>
          <w:b/>
          <w:bCs/>
          <w:lang w:val="en-US" w:eastAsia="zh-CN"/>
        </w:rPr>
      </w:pPr>
      <w:r>
        <w:rPr>
          <w:rFonts w:hint="eastAsia"/>
          <w:b/>
          <w:bCs/>
          <w:lang w:val="en-US" w:eastAsia="zh-CN"/>
        </w:rPr>
        <w:t>三、</w:t>
      </w:r>
      <w:r>
        <w:rPr>
          <w:rFonts w:hint="eastAsia"/>
          <w:b/>
          <w:bCs/>
          <w:lang w:eastAsia="zh-CN"/>
        </w:rPr>
        <w:t>承诺在项目运行期间不更换人员，</w:t>
      </w:r>
      <w:r>
        <w:rPr>
          <w:rFonts w:hint="eastAsia"/>
          <w:b/>
          <w:bCs/>
          <w:lang w:val="en-US" w:eastAsia="zh-CN"/>
        </w:rPr>
        <w:t>不论什么原因，如擅自更换项目负责人则罚款人民币10万元，更换项目组其他人员罚款1万元/人（采购人要求更换的除外）。</w:t>
      </w:r>
    </w:p>
    <w:p>
      <w:pPr>
        <w:pStyle w:val="15"/>
        <w:numPr>
          <w:ilvl w:val="0"/>
          <w:numId w:val="0"/>
        </w:numPr>
        <w:ind w:leftChars="100" w:right="0" w:rightChars="0"/>
        <w:rPr>
          <w:rFonts w:hint="eastAsia"/>
          <w:b/>
          <w:bCs/>
          <w:sz w:val="22"/>
          <w:szCs w:val="28"/>
          <w:lang w:val="en-US" w:eastAsia="zh-CN"/>
        </w:rPr>
      </w:pPr>
      <w:r>
        <w:rPr>
          <w:rFonts w:hint="eastAsia"/>
          <w:b/>
          <w:bCs/>
          <w:sz w:val="22"/>
          <w:szCs w:val="28"/>
          <w:lang w:val="en-US" w:eastAsia="zh-CN"/>
        </w:rPr>
        <w:t>四、上市工作计划主要时间节点</w:t>
      </w:r>
    </w:p>
    <w:p>
      <w:pPr>
        <w:pStyle w:val="15"/>
        <w:numPr>
          <w:ilvl w:val="0"/>
          <w:numId w:val="0"/>
        </w:numPr>
        <w:ind w:leftChars="100" w:right="0" w:rightChars="0"/>
        <w:rPr>
          <w:rFonts w:hint="eastAsia"/>
          <w:lang w:val="en-US" w:eastAsia="zh-CN"/>
        </w:rPr>
      </w:pPr>
      <w:r>
        <w:rPr>
          <w:rFonts w:hint="eastAsia"/>
          <w:lang w:eastAsia="zh-CN"/>
        </w:rPr>
        <w:t>（一）股改基准日暂定为</w:t>
      </w:r>
      <w:r>
        <w:rPr>
          <w:rFonts w:hint="eastAsia"/>
          <w:lang w:val="en-US" w:eastAsia="zh-CN"/>
        </w:rPr>
        <w:t>2025年12月31日</w:t>
      </w:r>
    </w:p>
    <w:p>
      <w:pPr>
        <w:pStyle w:val="15"/>
        <w:numPr>
          <w:ilvl w:val="0"/>
          <w:numId w:val="0"/>
        </w:numPr>
        <w:ind w:leftChars="100" w:right="0" w:rightChars="0"/>
        <w:rPr>
          <w:rFonts w:hint="eastAsia" w:ascii="宋体" w:hAnsi="宋体" w:eastAsia="宋体" w:cs="宋体"/>
          <w:b/>
          <w:bCs/>
          <w:color w:val="auto"/>
          <w:sz w:val="24"/>
          <w:szCs w:val="24"/>
          <w:highlight w:val="none"/>
          <w:u w:val="none"/>
          <w:lang w:val="en-US" w:eastAsia="zh-CN"/>
        </w:rPr>
      </w:pPr>
      <w:r>
        <w:rPr>
          <w:rFonts w:hint="eastAsia"/>
          <w:lang w:eastAsia="zh-CN"/>
        </w:rPr>
        <w:t>（二）</w:t>
      </w:r>
      <w:r>
        <w:rPr>
          <w:rFonts w:hint="eastAsia"/>
          <w:lang w:val="en-US" w:eastAsia="zh-CN"/>
        </w:rPr>
        <w:t>2026年6月底前</w:t>
      </w:r>
      <w:r>
        <w:rPr>
          <w:rFonts w:hint="eastAsia"/>
          <w:lang w:eastAsia="zh-CN"/>
        </w:rPr>
        <w:t>完成IPO申报资料的</w:t>
      </w:r>
      <w:bookmarkStart w:id="165" w:name="_Toc223716005"/>
      <w:bookmarkStart w:id="166" w:name="_Toc245722288"/>
      <w:bookmarkStart w:id="167" w:name="_Toc241404209"/>
      <w:bookmarkStart w:id="168" w:name="_Toc222114886"/>
      <w:bookmarkStart w:id="169" w:name="_Toc221374633"/>
      <w:bookmarkStart w:id="170" w:name="_Toc221356897"/>
      <w:bookmarkStart w:id="171" w:name="_Toc389760270"/>
      <w:bookmarkStart w:id="172" w:name="_Toc221356960"/>
      <w:bookmarkStart w:id="173" w:name="_Toc249758722"/>
      <w:bookmarkStart w:id="174" w:name="_Toc249758872"/>
      <w:bookmarkStart w:id="175" w:name="_Toc246261272"/>
      <w:bookmarkStart w:id="176" w:name="_Toc262049426"/>
      <w:bookmarkStart w:id="177" w:name="_Toc262105511"/>
      <w:bookmarkStart w:id="178" w:name="_Toc245191321"/>
      <w:bookmarkStart w:id="179" w:name="_Toc239145361"/>
      <w:bookmarkStart w:id="180" w:name="_Toc221423626"/>
      <w:r>
        <w:rPr>
          <w:rFonts w:hint="eastAsia"/>
          <w:lang w:eastAsia="zh-CN"/>
        </w:rPr>
        <w:t>编制。</w:t>
      </w:r>
      <w:r>
        <w:rPr>
          <w:rFonts w:hint="eastAsia" w:ascii="宋体" w:hAnsi="宋体" w:eastAsia="宋体" w:cs="宋体"/>
          <w:b/>
          <w:bCs/>
          <w:color w:val="auto"/>
          <w:sz w:val="24"/>
          <w:szCs w:val="24"/>
          <w:highlight w:val="none"/>
          <w:u w:val="none"/>
          <w:lang w:val="en-US" w:eastAsia="zh-CN"/>
        </w:rPr>
        <w:t xml:space="preserve">           </w:t>
      </w:r>
    </w:p>
    <w:p>
      <w:pPr>
        <w:spacing w:line="460" w:lineRule="exact"/>
        <w:jc w:val="center"/>
        <w:outlineLvl w:val="0"/>
        <w:rPr>
          <w:rFonts w:hint="default" w:ascii="Arial" w:hAnsi="Arial" w:eastAsia="宋体" w:cs="Arial"/>
          <w:color w:val="auto"/>
          <w:sz w:val="28"/>
          <w:szCs w:val="28"/>
          <w:highlight w:val="none"/>
        </w:rPr>
      </w:pPr>
      <w:r>
        <w:rPr>
          <w:rFonts w:hint="eastAsia" w:ascii="Arial" w:hAnsi="Arial" w:eastAsia="宋体" w:cs="Arial"/>
          <w:b/>
          <w:bCs/>
          <w:color w:val="auto"/>
          <w:kern w:val="2"/>
          <w:sz w:val="28"/>
          <w:szCs w:val="28"/>
          <w:highlight w:val="none"/>
          <w:lang w:val="en-US" w:eastAsia="zh-CN" w:bidi="ar-SA"/>
        </w:rPr>
        <w:br w:type="page"/>
      </w:r>
      <w:bookmarkStart w:id="181" w:name="_Toc2863"/>
      <w:r>
        <w:rPr>
          <w:rFonts w:hint="eastAsia" w:ascii="Arial" w:hAnsi="Arial" w:eastAsia="宋体" w:cs="Arial"/>
          <w:b/>
          <w:bCs/>
          <w:color w:val="auto"/>
          <w:kern w:val="2"/>
          <w:sz w:val="28"/>
          <w:szCs w:val="28"/>
          <w:highlight w:val="none"/>
          <w:lang w:val="en-US" w:eastAsia="zh-CN" w:bidi="ar-SA"/>
        </w:rPr>
        <w:t>第五部分</w:t>
      </w:r>
      <w:r>
        <w:rPr>
          <w:rFonts w:hint="default" w:ascii="Arial" w:hAnsi="Arial" w:eastAsia="宋体" w:cs="Arial"/>
          <w:b/>
          <w:bCs/>
          <w:color w:val="auto"/>
          <w:kern w:val="2"/>
          <w:sz w:val="28"/>
          <w:szCs w:val="28"/>
          <w:highlight w:val="none"/>
          <w:lang w:val="en-US" w:eastAsia="zh-CN" w:bidi="ar-SA"/>
        </w:rPr>
        <w:t xml:space="preserve">   评标原则及方法</w:t>
      </w:r>
      <w:bookmarkEnd w:id="181"/>
    </w:p>
    <w:p>
      <w:pPr>
        <w:spacing w:line="360" w:lineRule="auto"/>
        <w:ind w:left="439" w:leftChars="209"/>
        <w:outlineLvl w:val="9"/>
        <w:rPr>
          <w:rFonts w:hint="default" w:ascii="Arial" w:hAnsi="Arial" w:eastAsia="宋体" w:cs="Arial"/>
          <w:b/>
          <w:color w:val="auto"/>
          <w:sz w:val="22"/>
          <w:szCs w:val="22"/>
          <w:highlight w:val="none"/>
        </w:rPr>
      </w:pPr>
    </w:p>
    <w:p>
      <w:pPr>
        <w:spacing w:line="360" w:lineRule="auto"/>
        <w:ind w:left="439" w:leftChars="20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据《温州市</w:t>
      </w:r>
      <w:r>
        <w:rPr>
          <w:rFonts w:hint="eastAsia" w:ascii="宋体" w:hAnsi="宋体" w:eastAsia="宋体" w:cs="宋体"/>
          <w:b/>
          <w:color w:val="auto"/>
          <w:sz w:val="21"/>
          <w:szCs w:val="21"/>
          <w:highlight w:val="none"/>
          <w:lang w:val="en-US" w:eastAsia="zh-CN"/>
        </w:rPr>
        <w:t>市属</w:t>
      </w:r>
      <w:r>
        <w:rPr>
          <w:rFonts w:hint="eastAsia" w:ascii="宋体" w:hAnsi="宋体" w:eastAsia="宋体" w:cs="宋体"/>
          <w:b/>
          <w:color w:val="auto"/>
          <w:sz w:val="21"/>
          <w:szCs w:val="21"/>
          <w:highlight w:val="none"/>
        </w:rPr>
        <w:t>国有企业采购管理办法（试行）》等相关法规特制定以下评标办法。</w:t>
      </w:r>
    </w:p>
    <w:p>
      <w:pPr>
        <w:pStyle w:val="14"/>
        <w:spacing w:before="120" w:beforeLines="50" w:after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遵循公平、公正、科学、择优原则和诚实、信誉、效率的服务原则。本着科学、严谨的态度，认真进行评标。择优选用，推进技术进步，确保编制质量、完成时间，节约投资，最大限度的保护当事人权益，严格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的商务、技术要求，对投标文件进行综合评定，提出优选方案，编写评标报告。对落标单位，评标委员会不作任何落标解释。</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不得以任何方式干扰招投标工作的进行，一经发现其投标文件将被拒绝。</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二、评标组织</w:t>
      </w:r>
    </w:p>
    <w:p>
      <w:pPr>
        <w:spacing w:line="360" w:lineRule="auto"/>
        <w:ind w:left="439" w:leftChars="2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依法组建的评标委员会负责，评标全过程由有关部门指导监督。</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的投标资格进行审查；然后对合格</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的技术资信标进行评</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审；技术资信标评审结束后即公布</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技术资信标得分情况，之后开商务（价格）标；对商务（价格）标评审后，根据综合评审结果，提交评审报告。</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如本项目第一次采购因有效</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数量不足3家作流（废）标处理，根据《温州市市属国有企业采购管理办法（试行）的通知》相关条款规定，采购人将重新组织采购。</w:t>
      </w:r>
      <w:r>
        <w:rPr>
          <w:rFonts w:hint="eastAsia" w:ascii="宋体" w:hAnsi="宋体" w:eastAsia="宋体" w:cs="宋体"/>
          <w:color w:val="auto"/>
          <w:sz w:val="21"/>
          <w:szCs w:val="21"/>
          <w:highlight w:val="none"/>
          <w:u w:val="single"/>
          <w:lang w:eastAsia="zh-CN"/>
        </w:rPr>
        <w:t>本项目属于国有企业采购项目</w:t>
      </w:r>
      <w:r>
        <w:rPr>
          <w:rFonts w:hint="eastAsia" w:ascii="宋体" w:hAnsi="宋体" w:eastAsia="宋体" w:cs="宋体"/>
          <w:color w:val="auto"/>
          <w:sz w:val="21"/>
          <w:szCs w:val="21"/>
          <w:highlight w:val="none"/>
          <w:u w:val="single"/>
        </w:rPr>
        <w:t>，如重新采购后，在投标截止时间止及评审期间，出现有效供应商不足三家的情形，采购人可根据实际情况决定本项目继续按原有采购方式继续进行采购活动或转变采购方式或流标。</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3、若所有</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投标报价均超出</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auto"/>
          <w:sz w:val="21"/>
          <w:szCs w:val="21"/>
          <w:highlight w:val="none"/>
          <w:u w:val="single"/>
        </w:rPr>
        <w:t>预算金额</w:t>
      </w:r>
      <w:r>
        <w:rPr>
          <w:rFonts w:hint="eastAsia" w:ascii="宋体" w:hAnsi="宋体" w:eastAsia="宋体" w:cs="宋体"/>
          <w:color w:val="auto"/>
          <w:sz w:val="21"/>
          <w:szCs w:val="21"/>
          <w:highlight w:val="none"/>
          <w:u w:val="single"/>
          <w:lang w:val="en-US" w:eastAsia="zh-CN"/>
        </w:rPr>
        <w:t>或最高限价</w:t>
      </w:r>
      <w:r>
        <w:rPr>
          <w:rFonts w:hint="eastAsia" w:ascii="宋体" w:hAnsi="宋体" w:eastAsia="宋体" w:cs="宋体"/>
          <w:color w:val="auto"/>
          <w:sz w:val="21"/>
          <w:szCs w:val="21"/>
          <w:highlight w:val="none"/>
          <w:u w:val="single"/>
        </w:rPr>
        <w:t>，本项目做流标处理。</w:t>
      </w: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询标</w:t>
      </w:r>
      <w:r>
        <w:rPr>
          <w:rFonts w:hint="eastAsia" w:ascii="宋体" w:hAnsi="宋体" w:eastAsia="宋体" w:cs="宋体"/>
          <w:color w:val="auto"/>
          <w:sz w:val="21"/>
          <w:szCs w:val="21"/>
          <w:highlight w:val="none"/>
          <w:lang w:eastAsia="zh-CN"/>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投标文件中有含义不明确的内容、明显文字或计算错误，评标委员会认为需要投标供应商作出必要澄清、说明的，应当组织询标。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是评标委员会拟做出否决投标认定的，须组织相关投标供应商询问核实。未进行询问核实的，不得做出否决投标的认定，投标供应商放弃询问核实机会的除外（投标供应商所留联系方式无法联系上、在规定的时限内投标供应商不参加询问核实活动或不予答复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（3）询标内容及投标供应商的澄清、说明应当采用书面形式，并不得超出投标文件的范围或者改变投标文件的实质性内容。</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（4）评标委员会不得暗示或者诱导投标供应商作出澄清、说明，不得接受投标供应商主动提出的澄清、说明。</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（5）投标供应商不得通过补充、修改或撤消投标文件中的内容使其成为实质性响应的投标，投标供应商在投标截止时间以后不得提交任何资料作为评标依据。</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四、评标办法</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本评标办法采用百分制综合评估法，</w:t>
      </w:r>
      <w:r>
        <w:rPr>
          <w:rFonts w:hint="eastAsia" w:ascii="宋体" w:hAnsi="宋体" w:eastAsia="宋体" w:cs="宋体"/>
          <w:b/>
          <w:bCs/>
          <w:color w:val="auto"/>
          <w:sz w:val="21"/>
          <w:szCs w:val="21"/>
          <w:highlight w:val="none"/>
        </w:rPr>
        <w:t>技术资信</w:t>
      </w:r>
      <w:r>
        <w:rPr>
          <w:rFonts w:hint="eastAsia" w:ascii="宋体" w:hAnsi="宋体" w:cs="宋体"/>
          <w:b/>
          <w:bCs/>
          <w:color w:val="auto"/>
          <w:sz w:val="21"/>
          <w:szCs w:val="21"/>
          <w:highlight w:val="none"/>
          <w:lang w:val="en-US" w:eastAsia="zh-CN"/>
        </w:rPr>
        <w:t>85</w:t>
      </w:r>
      <w:r>
        <w:rPr>
          <w:rFonts w:hint="eastAsia" w:ascii="宋体" w:hAnsi="宋体" w:eastAsia="宋体" w:cs="宋体"/>
          <w:b/>
          <w:bCs/>
          <w:color w:val="auto"/>
          <w:sz w:val="21"/>
          <w:szCs w:val="21"/>
          <w:highlight w:val="none"/>
        </w:rPr>
        <w:t>分（技术资信权值</w:t>
      </w:r>
      <w:r>
        <w:rPr>
          <w:rFonts w:hint="eastAsia" w:ascii="宋体" w:hAnsi="宋体" w:cs="宋体"/>
          <w:b/>
          <w:bCs/>
          <w:color w:val="auto"/>
          <w:sz w:val="21"/>
          <w:szCs w:val="21"/>
          <w:highlight w:val="none"/>
          <w:lang w:val="en-US" w:eastAsia="zh-CN"/>
        </w:rPr>
        <w:t>85</w:t>
      </w:r>
      <w:r>
        <w:rPr>
          <w:rFonts w:hint="eastAsia" w:ascii="宋体" w:hAnsi="宋体" w:eastAsia="宋体" w:cs="宋体"/>
          <w:b/>
          <w:bCs/>
          <w:color w:val="auto"/>
          <w:sz w:val="21"/>
          <w:szCs w:val="21"/>
          <w:highlight w:val="none"/>
        </w:rPr>
        <w:t>%），商务（报价）</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分（商务（报价）权值</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。最大限度地满足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中规定的各项综合评价标准且综合得分最高的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，将被推荐为中标候选人。</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技术资信分的评定</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85</w:t>
      </w:r>
      <w:r>
        <w:rPr>
          <w:rFonts w:hint="eastAsia" w:ascii="宋体" w:hAnsi="宋体" w:eastAsia="宋体" w:cs="宋体"/>
          <w:b/>
          <w:bCs/>
          <w:color w:val="auto"/>
          <w:sz w:val="21"/>
          <w:szCs w:val="21"/>
          <w:highlight w:val="none"/>
        </w:rPr>
        <w:t>分）</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的各项评分内容评分的合计的算术平均值为各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技术资信分得分（小数点后按四舍五入保留2位）。</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87"/>
        <w:gridCol w:w="1000"/>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63" w:type="dxa"/>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序号</w:t>
            </w:r>
          </w:p>
        </w:tc>
        <w:tc>
          <w:tcPr>
            <w:tcW w:w="1087" w:type="dxa"/>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评分项目</w:t>
            </w:r>
          </w:p>
        </w:tc>
        <w:tc>
          <w:tcPr>
            <w:tcW w:w="1000" w:type="dxa"/>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满分值</w:t>
            </w:r>
          </w:p>
        </w:tc>
        <w:tc>
          <w:tcPr>
            <w:tcW w:w="6421" w:type="dxa"/>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券商资信</w:t>
            </w:r>
          </w:p>
        </w:tc>
        <w:tc>
          <w:tcPr>
            <w:tcW w:w="1087" w:type="dxa"/>
            <w:vMerge w:val="restart"/>
            <w:vAlign w:val="center"/>
          </w:tcPr>
          <w:p>
            <w:pPr>
              <w:pStyle w:val="18"/>
              <w:keepNext w:val="0"/>
              <w:keepLines w:val="0"/>
              <w:suppressLineNumbers w:val="0"/>
              <w:spacing w:beforeAutospacing="0" w:afterAutospacing="0"/>
              <w:ind w:left="0" w:leftChars="0" w:firstLine="0" w:firstLineChars="0"/>
              <w:jc w:val="both"/>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投标人综合实力</w:t>
            </w:r>
          </w:p>
        </w:tc>
        <w:tc>
          <w:tcPr>
            <w:tcW w:w="1000" w:type="dxa"/>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5</w:t>
            </w:r>
          </w:p>
        </w:tc>
        <w:tc>
          <w:tcPr>
            <w:tcW w:w="6421" w:type="dxa"/>
          </w:tcPr>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供应商在近三年（2020-2022年）中国证监会公布的证券公司分类评级结果中，能够两年及以上取得AA评级结果的，得5分；能够两年及以上取得A评级结果的，得3分；能够连续三年取得</w:t>
            </w:r>
            <w:r>
              <w:rPr>
                <w:rFonts w:hint="eastAsia" w:ascii="宋体" w:hAnsi="宋体" w:eastAsia="宋体" w:cs="宋体"/>
                <w:color w:val="auto"/>
                <w:sz w:val="21"/>
                <w:szCs w:val="21"/>
                <w:highlight w:val="none"/>
              </w:rPr>
              <w:t>BBB及以上评级结果的，得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新宋体" w:hAnsi="新宋体" w:eastAsia="新宋体" w:cs="新宋体"/>
                <w:vertAlign w:val="baseline"/>
                <w:lang w:val="en-US" w:eastAsia="zh-CN"/>
              </w:rPr>
              <w:t>其余等级不得分。</w:t>
            </w:r>
          </w:p>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备注：提供中国证监会官网公布的证券公司分类结果截图并加盖投标人公章，附入投标文件中，否则不得分。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rPr>
            </w:pPr>
          </w:p>
        </w:tc>
        <w:tc>
          <w:tcPr>
            <w:tcW w:w="1087" w:type="dxa"/>
            <w:vMerge w:val="continue"/>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rPr>
            </w:pPr>
          </w:p>
        </w:tc>
        <w:tc>
          <w:tcPr>
            <w:tcW w:w="1000" w:type="dxa"/>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10</w:t>
            </w:r>
          </w:p>
        </w:tc>
        <w:tc>
          <w:tcPr>
            <w:tcW w:w="6421" w:type="dxa"/>
          </w:tcPr>
          <w:p>
            <w:pPr>
              <w:pStyle w:val="18"/>
              <w:keepNext w:val="0"/>
              <w:keepLines w:val="0"/>
              <w:suppressLineNumbers w:val="0"/>
              <w:spacing w:beforeAutospacing="0" w:afterAutospacing="0"/>
              <w:ind w:left="0" w:leftChars="0" w:firstLine="0" w:firstLineChars="0"/>
              <w:rPr>
                <w:rFonts w:hint="default" w:ascii="新宋体" w:hAnsi="新宋体" w:eastAsia="宋体" w:cs="新宋体"/>
                <w:vertAlign w:val="baseline"/>
                <w:lang w:val="en-US" w:eastAsia="zh-CN"/>
              </w:rPr>
            </w:pPr>
            <w:r>
              <w:rPr>
                <w:rFonts w:hint="eastAsia" w:ascii="新宋体" w:hAnsi="新宋体" w:eastAsia="新宋体" w:cs="新宋体"/>
                <w:vertAlign w:val="baseline"/>
                <w:lang w:val="en-US" w:eastAsia="zh-CN"/>
              </w:rPr>
              <w:t>自2020年1月1日至投标截止时间（以公告发布时间为准），供应商</w:t>
            </w:r>
            <w:r>
              <w:rPr>
                <w:rFonts w:hint="eastAsia" w:ascii="新宋体" w:hAnsi="新宋体" w:eastAsia="新宋体" w:cs="新宋体"/>
                <w:color w:val="auto"/>
                <w:kern w:val="2"/>
                <w:sz w:val="21"/>
                <w:szCs w:val="24"/>
                <w:highlight w:val="none"/>
              </w:rPr>
              <w:t>保荐承销的已成功</w:t>
            </w:r>
            <w:r>
              <w:rPr>
                <w:rFonts w:hint="eastAsia" w:ascii="新宋体" w:hAnsi="新宋体" w:eastAsia="新宋体" w:cs="新宋体"/>
                <w:color w:val="auto"/>
                <w:kern w:val="2"/>
                <w:sz w:val="21"/>
                <w:szCs w:val="24"/>
                <w:highlight w:val="none"/>
                <w:lang w:val="en-US" w:eastAsia="zh-CN"/>
              </w:rPr>
              <w:t>IPO</w:t>
            </w:r>
            <w:r>
              <w:rPr>
                <w:rFonts w:hint="eastAsia" w:ascii="新宋体" w:hAnsi="新宋体" w:eastAsia="新宋体" w:cs="新宋体"/>
                <w:color w:val="auto"/>
                <w:kern w:val="2"/>
                <w:sz w:val="21"/>
                <w:szCs w:val="24"/>
                <w:highlight w:val="none"/>
              </w:rPr>
              <w:t>项目</w:t>
            </w:r>
            <w:r>
              <w:rPr>
                <w:rFonts w:hint="eastAsia" w:ascii="新宋体" w:hAnsi="新宋体" w:eastAsia="新宋体" w:cs="新宋体"/>
                <w:color w:val="auto"/>
                <w:kern w:val="2"/>
                <w:sz w:val="21"/>
                <w:szCs w:val="24"/>
                <w:highlight w:val="none"/>
                <w:lang w:eastAsia="zh-CN"/>
              </w:rPr>
              <w:t>，</w:t>
            </w:r>
            <w:r>
              <w:rPr>
                <w:rFonts w:hint="eastAsia" w:ascii="新宋体" w:hAnsi="新宋体" w:eastAsia="新宋体" w:cs="新宋体"/>
                <w:vertAlign w:val="baseline"/>
                <w:lang w:val="en-US" w:eastAsia="zh-CN"/>
              </w:rPr>
              <w:t>每提供一个有效业绩得1分，本项最高不超过7分。</w:t>
            </w:r>
          </w:p>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自2022年1月1日至投标截止时间（以公告发布时间为准），供应商</w:t>
            </w:r>
            <w:r>
              <w:rPr>
                <w:rFonts w:hint="eastAsia" w:ascii="新宋体" w:hAnsi="新宋体" w:eastAsia="新宋体" w:cs="新宋体"/>
                <w:kern w:val="2"/>
                <w:sz w:val="21"/>
                <w:szCs w:val="24"/>
              </w:rPr>
              <w:t>保荐承销的已成功</w:t>
            </w:r>
            <w:r>
              <w:rPr>
                <w:rFonts w:hint="eastAsia" w:ascii="新宋体" w:hAnsi="新宋体" w:eastAsia="新宋体" w:cs="新宋体"/>
                <w:kern w:val="2"/>
                <w:sz w:val="21"/>
                <w:szCs w:val="24"/>
                <w:lang w:val="en-US" w:eastAsia="zh-CN"/>
              </w:rPr>
              <w:t>IPO</w:t>
            </w:r>
            <w:r>
              <w:rPr>
                <w:rFonts w:hint="eastAsia" w:ascii="新宋体" w:hAnsi="新宋体" w:eastAsia="新宋体" w:cs="新宋体"/>
                <w:kern w:val="2"/>
                <w:sz w:val="21"/>
                <w:szCs w:val="24"/>
              </w:rPr>
              <w:t>项目</w:t>
            </w:r>
            <w:r>
              <w:rPr>
                <w:rFonts w:hint="eastAsia" w:ascii="新宋体" w:hAnsi="新宋体" w:eastAsia="新宋体" w:cs="新宋体"/>
                <w:kern w:val="2"/>
                <w:sz w:val="21"/>
                <w:szCs w:val="24"/>
                <w:lang w:eastAsia="zh-CN"/>
              </w:rPr>
              <w:t>，</w:t>
            </w:r>
            <w:r>
              <w:rPr>
                <w:rFonts w:hint="eastAsia" w:ascii="新宋体" w:hAnsi="新宋体" w:eastAsia="新宋体" w:cs="新宋体"/>
                <w:vertAlign w:val="baseline"/>
                <w:lang w:val="en-US" w:eastAsia="zh-CN"/>
              </w:rPr>
              <w:t>每提供一个有效业绩加1分，本项最高加3分。证明材料：提供中国证监会官网披露的公告关键页截图并加盖公章（同时提供网址），不符合要求的不得分。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rPr>
            </w:pPr>
          </w:p>
        </w:tc>
        <w:tc>
          <w:tcPr>
            <w:tcW w:w="1087" w:type="dxa"/>
            <w:vAlign w:val="center"/>
          </w:tcPr>
          <w:p>
            <w:pPr>
              <w:pStyle w:val="18"/>
              <w:keepNext w:val="0"/>
              <w:keepLines w:val="0"/>
              <w:suppressLineNumbers w:val="0"/>
              <w:spacing w:beforeAutospacing="0" w:afterAutospacing="0"/>
              <w:ind w:left="0" w:leftChars="0" w:firstLine="0" w:firstLineChars="0"/>
              <w:jc w:val="both"/>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国有企业股改及IPO成功案例</w:t>
            </w:r>
          </w:p>
        </w:tc>
        <w:tc>
          <w:tcPr>
            <w:tcW w:w="1000" w:type="dxa"/>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2</w:t>
            </w:r>
          </w:p>
        </w:tc>
        <w:tc>
          <w:tcPr>
            <w:tcW w:w="6421" w:type="dxa"/>
          </w:tcPr>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自2020年1月1日至投标截止时间（以公告发布时间为准），供应商参与国有企业股份改制及IPO上市有成功经验的，每提供一个有效业绩得1分；本项最多得2分。</w:t>
            </w:r>
          </w:p>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证明材料：提供合同协议书复印件加盖公章，中国证监会官网披露公告关键页截图并加盖公章（同时提供网址），二者缺一不可，不符合要求的不得分。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rPr>
            </w:pPr>
          </w:p>
        </w:tc>
        <w:tc>
          <w:tcPr>
            <w:tcW w:w="1087" w:type="dxa"/>
            <w:vAlign w:val="center"/>
          </w:tcPr>
          <w:p>
            <w:pPr>
              <w:pStyle w:val="18"/>
              <w:keepNext w:val="0"/>
              <w:keepLines w:val="0"/>
              <w:suppressLineNumbers w:val="0"/>
              <w:spacing w:beforeAutospacing="0" w:afterAutospacing="0"/>
              <w:ind w:left="0" w:leftChars="0" w:firstLine="0" w:firstLineChars="0"/>
              <w:jc w:val="both"/>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同行业IPO成功案例</w:t>
            </w:r>
          </w:p>
        </w:tc>
        <w:tc>
          <w:tcPr>
            <w:tcW w:w="1000" w:type="dxa"/>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2</w:t>
            </w:r>
          </w:p>
        </w:tc>
        <w:tc>
          <w:tcPr>
            <w:tcW w:w="6421" w:type="dxa"/>
          </w:tcPr>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自2020年1月1日至投标截止时间（以公告发布时间为准），供应商作为主承销商保荐专业技术服务类企业并成功上市的得2分，否则不得分。</w:t>
            </w:r>
          </w:p>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证明材料：提供合同协议书复印件加盖公章，中国证监会官网披露公告关键页截图并加盖公章（同时提供网址），二者缺一不可，不符合要求的不得分。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rPr>
            </w:pPr>
          </w:p>
        </w:tc>
        <w:tc>
          <w:tcPr>
            <w:tcW w:w="1087" w:type="dxa"/>
            <w:vAlign w:val="center"/>
          </w:tcPr>
          <w:p>
            <w:pPr>
              <w:pStyle w:val="18"/>
              <w:keepNext w:val="0"/>
              <w:keepLines w:val="0"/>
              <w:suppressLineNumbers w:val="0"/>
              <w:spacing w:beforeAutospacing="0" w:afterAutospacing="0"/>
              <w:ind w:left="0" w:leftChars="0" w:firstLine="0" w:firstLineChars="0"/>
              <w:jc w:val="both"/>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温州本地企业IPO成功案例</w:t>
            </w:r>
          </w:p>
        </w:tc>
        <w:tc>
          <w:tcPr>
            <w:tcW w:w="1000" w:type="dxa"/>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2</w:t>
            </w:r>
          </w:p>
        </w:tc>
        <w:tc>
          <w:tcPr>
            <w:tcW w:w="6421" w:type="dxa"/>
          </w:tcPr>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自2022年1月1日至投标截止时间（以公告发布时间为准），供应商作为主承销商保荐温州本地企业并成功上市的，每上市一家得1分，本项最多得2分。</w:t>
            </w:r>
          </w:p>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证明材料：提供合同协议书复印件加盖公章，中国证监会官网披露公告关键页截图并加盖公章（同时提供网址），二者缺一不可，不符合要求的不得分。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rPr>
            </w:pPr>
          </w:p>
        </w:tc>
        <w:tc>
          <w:tcPr>
            <w:tcW w:w="1087" w:type="dxa"/>
            <w:vAlign w:val="center"/>
          </w:tcPr>
          <w:p>
            <w:pPr>
              <w:pStyle w:val="18"/>
              <w:keepNext w:val="0"/>
              <w:keepLines w:val="0"/>
              <w:suppressLineNumbers w:val="0"/>
              <w:spacing w:beforeAutospacing="0" w:afterAutospacing="0"/>
              <w:ind w:left="0" w:leftChars="0" w:firstLine="0" w:firstLineChars="0"/>
              <w:jc w:val="both"/>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企业上市成功率</w:t>
            </w:r>
          </w:p>
        </w:tc>
        <w:tc>
          <w:tcPr>
            <w:tcW w:w="1000" w:type="dxa"/>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10</w:t>
            </w:r>
          </w:p>
        </w:tc>
        <w:tc>
          <w:tcPr>
            <w:tcW w:w="6421" w:type="dxa"/>
          </w:tcPr>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年1月1日至投标截止时间</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以公告发布时间为准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r>
              <w:rPr>
                <w:rFonts w:hint="eastAsia" w:ascii="新宋体" w:hAnsi="新宋体" w:eastAsia="新宋体" w:cs="新宋体"/>
                <w:vertAlign w:val="baseline"/>
                <w:lang w:val="en-US" w:eastAsia="zh-CN"/>
              </w:rPr>
              <w:t>供应商作为承销商在全国范围内企业成功上市（首发10家及10家案例以上）案例成功率情况：上市成功率在100%的得10分，</w:t>
            </w:r>
            <w:r>
              <w:rPr>
                <w:rFonts w:hint="eastAsia" w:ascii="宋体" w:hAnsi="宋体" w:eastAsia="宋体" w:cs="宋体"/>
                <w:bCs/>
                <w:color w:val="auto"/>
                <w:sz w:val="21"/>
                <w:szCs w:val="21"/>
                <w:highlight w:val="none"/>
                <w:lang w:eastAsia="zh-CN"/>
              </w:rPr>
              <w:t>上市成功率在</w:t>
            </w:r>
            <w:r>
              <w:rPr>
                <w:rFonts w:hint="eastAsia" w:ascii="宋体" w:hAnsi="宋体" w:eastAsia="宋体" w:cs="宋体"/>
                <w:bCs/>
                <w:color w:val="auto"/>
                <w:sz w:val="21"/>
                <w:szCs w:val="21"/>
                <w:highlight w:val="none"/>
                <w:lang w:val="en-US" w:eastAsia="zh-CN"/>
              </w:rPr>
              <w:t>95%-100%之间的扣2分，上市成功率在90%-95%之间的扣3分，在90%以下的扣5分</w:t>
            </w:r>
            <w:r>
              <w:rPr>
                <w:rFonts w:hint="eastAsia" w:ascii="宋体" w:hAnsi="宋体" w:eastAsia="宋体" w:cs="宋体"/>
                <w:bCs/>
                <w:color w:val="auto"/>
                <w:sz w:val="21"/>
                <w:szCs w:val="21"/>
                <w:highlight w:val="none"/>
              </w:rPr>
              <w:t>。</w:t>
            </w:r>
            <w:r>
              <w:rPr>
                <w:rFonts w:hint="eastAsia" w:ascii="新宋体" w:hAnsi="新宋体" w:eastAsia="新宋体" w:cs="新宋体"/>
                <w:vertAlign w:val="baseline"/>
                <w:lang w:val="en-US" w:eastAsia="zh-CN"/>
              </w:rPr>
              <w:t>其中上市成功率=（</w:t>
            </w:r>
            <w:r>
              <w:rPr>
                <w:rFonts w:hint="eastAsia" w:ascii="宋体" w:hAnsi="宋体" w:eastAsia="宋体" w:cs="宋体"/>
                <w:bCs/>
                <w:color w:val="auto"/>
                <w:sz w:val="21"/>
                <w:szCs w:val="21"/>
                <w:highlight w:val="none"/>
              </w:rPr>
              <w:t>A/（A+B）*100%</w:t>
            </w:r>
            <w:r>
              <w:rPr>
                <w:rFonts w:hint="eastAsia" w:ascii="新宋体" w:hAnsi="新宋体" w:eastAsia="新宋体" w:cs="新宋体"/>
                <w:vertAlign w:val="baseline"/>
                <w:lang w:val="en-US" w:eastAsia="zh-CN"/>
              </w:rPr>
              <w:t>）。</w:t>
            </w:r>
          </w:p>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A=投标承销商在全国范围内企业成功上市的数量；</w:t>
            </w:r>
          </w:p>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B=投标承销商全国范围内企业上市被发审否决的数量；</w:t>
            </w:r>
          </w:p>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如首发企业家数不足10家，则不得分。</w:t>
            </w:r>
          </w:p>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证明材料：提供中国证监会官网披露的公告关键页截图并加盖公章（同时提供网址），不符合要求的不得分。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gridSpan w:val="2"/>
            <w:vMerge w:val="restart"/>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券商工作方案</w:t>
            </w:r>
          </w:p>
        </w:tc>
        <w:tc>
          <w:tcPr>
            <w:tcW w:w="1000" w:type="dxa"/>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5</w:t>
            </w:r>
          </w:p>
        </w:tc>
        <w:tc>
          <w:tcPr>
            <w:tcW w:w="6421" w:type="dxa"/>
          </w:tcPr>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供应商服务方案是否完善（投标人的服务方案是否满足采购要求、是否齐全、结构完善、表述准确、条理清晰），供应商针对本项目业务特点，分析现状及存在问题，提出混改及上市的合理路径，给出解决方案、合理化建议，优3-5分，一般1-2.9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gridSpan w:val="2"/>
            <w:vMerge w:val="continue"/>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rPr>
            </w:pPr>
          </w:p>
        </w:tc>
        <w:tc>
          <w:tcPr>
            <w:tcW w:w="1000" w:type="dxa"/>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3</w:t>
            </w:r>
          </w:p>
        </w:tc>
        <w:tc>
          <w:tcPr>
            <w:tcW w:w="6421" w:type="dxa"/>
          </w:tcPr>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按照供应商承诺的项目服务方案时间表进行评分，根据采购人上市工作计划主要时间节点，总体安排合理得2-3分，良好得1-1.9分，一般得0-0.9分，两个及以上的投标人承诺的时间相同的得分相同，其他不得分）。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gridSpan w:val="2"/>
            <w:vMerge w:val="continue"/>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rPr>
            </w:pPr>
          </w:p>
        </w:tc>
        <w:tc>
          <w:tcPr>
            <w:tcW w:w="1000" w:type="dxa"/>
            <w:vAlign w:val="center"/>
          </w:tcPr>
          <w:p>
            <w:pPr>
              <w:pStyle w:val="18"/>
              <w:keepNext w:val="0"/>
              <w:keepLines w:val="0"/>
              <w:suppressLineNumbers w:val="0"/>
              <w:spacing w:beforeAutospacing="0" w:afterAutospacing="0"/>
              <w:ind w:left="426" w:leftChars="0" w:right="-11" w:rightChars="0" w:hanging="426" w:hangingChars="203"/>
              <w:jc w:val="center"/>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vertAlign w:val="baseline"/>
                <w:lang w:val="en-US" w:eastAsia="zh-CN"/>
              </w:rPr>
              <w:t>8</w:t>
            </w:r>
          </w:p>
        </w:tc>
        <w:tc>
          <w:tcPr>
            <w:tcW w:w="6421" w:type="dxa"/>
            <w:vAlign w:val="top"/>
          </w:tcPr>
          <w:p>
            <w:pPr>
              <w:pStyle w:val="18"/>
              <w:keepNext w:val="0"/>
              <w:keepLines w:val="0"/>
              <w:suppressLineNumbers w:val="0"/>
              <w:spacing w:beforeAutospacing="0" w:afterAutospacing="0"/>
              <w:ind w:left="0" w:leftChars="0" w:right="-11" w:rightChars="0" w:firstLine="0" w:firstLineChars="0"/>
              <w:rPr>
                <w:rFonts w:hint="default" w:ascii="新宋体" w:hAnsi="新宋体" w:eastAsia="新宋体" w:cs="新宋体"/>
                <w:kern w:val="2"/>
                <w:sz w:val="21"/>
                <w:szCs w:val="24"/>
                <w:vertAlign w:val="baseline"/>
                <w:lang w:val="en-US" w:eastAsia="zh-CN" w:bidi="ar-SA"/>
              </w:rPr>
            </w:pPr>
            <w:r>
              <w:rPr>
                <w:rFonts w:hint="eastAsia" w:ascii="新宋体" w:hAnsi="新宋体" w:eastAsia="新宋体" w:cs="新宋体"/>
                <w:vertAlign w:val="baseline"/>
                <w:lang w:val="en-US" w:eastAsia="zh-CN"/>
              </w:rPr>
              <w:t>供应商针对本项目重点、难点分析及解决方案、合理化建议（主办券商本项目执行过程中可能影响结果及进程的风险主要节点进行分析，并给出风险规避方案，酌情评分。需包括企业混改方案），优6-8分，良好得3-5.9分，一般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gridSpan w:val="2"/>
            <w:vMerge w:val="continue"/>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rPr>
            </w:pPr>
          </w:p>
        </w:tc>
        <w:tc>
          <w:tcPr>
            <w:tcW w:w="1000" w:type="dxa"/>
            <w:vAlign w:val="center"/>
          </w:tcPr>
          <w:p>
            <w:pPr>
              <w:pStyle w:val="18"/>
              <w:keepNext w:val="0"/>
              <w:keepLines w:val="0"/>
              <w:suppressLineNumbers w:val="0"/>
              <w:spacing w:beforeAutospacing="0" w:afterAutospacing="0"/>
              <w:ind w:left="426" w:leftChars="0" w:right="-11" w:rightChars="0" w:hanging="426" w:hangingChars="203"/>
              <w:jc w:val="center"/>
              <w:rPr>
                <w:rFonts w:hint="default" w:ascii="新宋体" w:hAnsi="新宋体" w:eastAsia="新宋体" w:cs="新宋体"/>
                <w:kern w:val="2"/>
                <w:sz w:val="21"/>
                <w:szCs w:val="24"/>
                <w:vertAlign w:val="baseline"/>
                <w:lang w:val="en-US" w:eastAsia="zh-CN" w:bidi="ar-SA"/>
              </w:rPr>
            </w:pPr>
            <w:r>
              <w:rPr>
                <w:rFonts w:hint="eastAsia" w:ascii="新宋体" w:hAnsi="新宋体" w:eastAsia="新宋体" w:cs="新宋体"/>
                <w:vertAlign w:val="baseline"/>
                <w:lang w:val="en-US" w:eastAsia="zh-CN"/>
              </w:rPr>
              <w:t>3</w:t>
            </w:r>
          </w:p>
        </w:tc>
        <w:tc>
          <w:tcPr>
            <w:tcW w:w="6421" w:type="dxa"/>
            <w:vAlign w:val="top"/>
          </w:tcPr>
          <w:p>
            <w:pPr>
              <w:pStyle w:val="18"/>
              <w:keepNext w:val="0"/>
              <w:keepLines w:val="0"/>
              <w:suppressLineNumbers w:val="0"/>
              <w:spacing w:beforeAutospacing="0" w:afterAutospacing="0"/>
              <w:ind w:left="0" w:leftChars="0" w:right="-11" w:rightChars="0" w:firstLine="0" w:firstLineChars="0"/>
              <w:rPr>
                <w:rFonts w:hint="default" w:ascii="新宋体" w:hAnsi="新宋体" w:eastAsia="新宋体" w:cs="新宋体"/>
                <w:kern w:val="2"/>
                <w:sz w:val="21"/>
                <w:szCs w:val="24"/>
                <w:vertAlign w:val="baseline"/>
                <w:lang w:val="en-US" w:eastAsia="zh-CN" w:bidi="ar-SA"/>
              </w:rPr>
            </w:pPr>
            <w:r>
              <w:rPr>
                <w:rFonts w:hint="eastAsia" w:ascii="新宋体" w:hAnsi="新宋体" w:eastAsia="新宋体" w:cs="新宋体"/>
                <w:vertAlign w:val="baseline"/>
                <w:lang w:val="en-US" w:eastAsia="zh-CN"/>
              </w:rPr>
              <w:t>供应商应在项目完成挂牌后提供的后续督导服务，包括但不限于给项目企业必要的培训、督导及辅导服务，根据投标人提供的服务承诺打分，承诺优得2-3分，良好得1-1.9分，一般得0-0.9分。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gridSpan w:val="2"/>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eastAsia="zh-CN"/>
              </w:rPr>
            </w:pPr>
            <w:r>
              <w:rPr>
                <w:rFonts w:hint="eastAsia" w:ascii="新宋体" w:hAnsi="新宋体" w:eastAsia="新宋体" w:cs="新宋体"/>
                <w:vertAlign w:val="baseline"/>
                <w:lang w:eastAsia="zh-CN"/>
              </w:rPr>
              <w:t>本地服务</w:t>
            </w:r>
          </w:p>
        </w:tc>
        <w:tc>
          <w:tcPr>
            <w:tcW w:w="1000" w:type="dxa"/>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2</w:t>
            </w:r>
          </w:p>
        </w:tc>
        <w:tc>
          <w:tcPr>
            <w:tcW w:w="6421" w:type="dxa"/>
          </w:tcPr>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供应商提供较好的本地服务，承诺24小时内响应到位，得1分；总部在浙江省，或在浙江省设有分支服务机构（</w:t>
            </w:r>
            <w:r>
              <w:rPr>
                <w:rFonts w:hint="eastAsia" w:ascii="宋体" w:hAnsi="宋体" w:eastAsia="宋体" w:cs="宋体"/>
                <w:color w:val="auto"/>
                <w:szCs w:val="21"/>
                <w:highlight w:val="none"/>
              </w:rPr>
              <w:t>提供服务机构注册证明复印件</w:t>
            </w:r>
            <w:r>
              <w:rPr>
                <w:rFonts w:hint="eastAsia" w:ascii="宋体" w:hAnsi="宋体" w:eastAsia="宋体" w:cs="宋体"/>
                <w:color w:val="auto"/>
                <w:szCs w:val="21"/>
                <w:highlight w:val="none"/>
                <w:lang w:eastAsia="zh-CN"/>
              </w:rPr>
              <w:t>并</w:t>
            </w:r>
            <w:r>
              <w:rPr>
                <w:rFonts w:hint="eastAsia" w:ascii="宋体" w:hAnsi="宋体" w:eastAsia="宋体" w:cs="宋体"/>
                <w:color w:val="auto"/>
                <w:szCs w:val="21"/>
                <w:highlight w:val="none"/>
              </w:rPr>
              <w:t>加盖公章</w:t>
            </w:r>
            <w:r>
              <w:rPr>
                <w:rFonts w:hint="eastAsia" w:ascii="宋体" w:hAnsi="宋体" w:eastAsia="宋体" w:cs="宋体"/>
                <w:color w:val="auto"/>
                <w:szCs w:val="21"/>
                <w:highlight w:val="none"/>
                <w:lang w:eastAsia="zh-CN"/>
              </w:rPr>
              <w:t>）</w:t>
            </w:r>
            <w:r>
              <w:rPr>
                <w:rFonts w:hint="eastAsia" w:ascii="新宋体" w:hAnsi="新宋体" w:eastAsia="新宋体" w:cs="新宋体"/>
                <w:vertAlign w:val="baseline"/>
                <w:lang w:val="en-US" w:eastAsia="zh-CN"/>
              </w:rPr>
              <w:t>，承诺24小时内响应到位，得2分</w:t>
            </w:r>
            <w:r>
              <w:rPr>
                <w:rFonts w:hint="eastAsia" w:ascii="新宋体" w:hAnsi="新宋体" w:eastAsia="新宋体" w:cs="新宋体"/>
                <w:u w:val="none"/>
                <w:vertAlign w:val="baseline"/>
                <w:lang w:val="en-US" w:eastAsia="zh-CN"/>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gridSpan w:val="2"/>
            <w:vAlign w:val="center"/>
          </w:tcPr>
          <w:p>
            <w:pPr>
              <w:pStyle w:val="18"/>
              <w:keepNext w:val="0"/>
              <w:keepLines w:val="0"/>
              <w:suppressLineNumbers w:val="0"/>
              <w:spacing w:beforeAutospacing="0" w:afterAutospacing="0"/>
              <w:ind w:left="426" w:leftChars="0" w:right="-11" w:rightChars="0" w:hanging="426" w:hangingChars="203"/>
              <w:jc w:val="center"/>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vertAlign w:val="baseline"/>
                <w:lang w:val="en-US" w:eastAsia="zh-CN"/>
              </w:rPr>
              <w:t>承销费用</w:t>
            </w:r>
          </w:p>
        </w:tc>
        <w:tc>
          <w:tcPr>
            <w:tcW w:w="1000" w:type="dxa"/>
            <w:vAlign w:val="center"/>
          </w:tcPr>
          <w:p>
            <w:pPr>
              <w:pStyle w:val="18"/>
              <w:keepNext w:val="0"/>
              <w:keepLines w:val="0"/>
              <w:suppressLineNumbers w:val="0"/>
              <w:spacing w:beforeAutospacing="0" w:afterAutospacing="0"/>
              <w:ind w:left="426" w:leftChars="0" w:right="-11" w:rightChars="0" w:hanging="426" w:hangingChars="203"/>
              <w:jc w:val="center"/>
              <w:rPr>
                <w:rFonts w:hint="default" w:ascii="新宋体" w:hAnsi="新宋体" w:eastAsia="新宋体" w:cs="新宋体"/>
                <w:kern w:val="2"/>
                <w:sz w:val="21"/>
                <w:szCs w:val="24"/>
                <w:vertAlign w:val="baseline"/>
                <w:lang w:val="en-US" w:eastAsia="zh-CN" w:bidi="ar-SA"/>
              </w:rPr>
            </w:pPr>
            <w:r>
              <w:rPr>
                <w:rFonts w:hint="eastAsia" w:ascii="新宋体" w:hAnsi="新宋体" w:eastAsia="新宋体" w:cs="新宋体"/>
                <w:vertAlign w:val="baseline"/>
                <w:lang w:val="en-US" w:eastAsia="zh-CN"/>
              </w:rPr>
              <w:t>15</w:t>
            </w:r>
          </w:p>
        </w:tc>
        <w:tc>
          <w:tcPr>
            <w:tcW w:w="6421" w:type="dxa"/>
            <w:vAlign w:val="top"/>
          </w:tcPr>
          <w:p>
            <w:pPr>
              <w:pStyle w:val="18"/>
              <w:keepNext w:val="0"/>
              <w:keepLines w:val="0"/>
              <w:suppressLineNumbers w:val="0"/>
              <w:spacing w:beforeAutospacing="0" w:afterAutospacing="0"/>
              <w:ind w:left="0" w:leftChars="0" w:right="-11" w:rightChars="0" w:firstLine="0" w:firstLineChars="0"/>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vertAlign w:val="baseline"/>
                <w:lang w:val="en-US" w:eastAsia="zh-CN"/>
              </w:rPr>
              <w:t>承销费率按承销费率（8%）为基准，承销费率等于基准价得5分，在基准价基础上每下浮0.1个百分点加1分（不足0.1个百分点的部分均不加分），本项最高15分，承诺承销费高于基准价不得分。如承诺承销费率8%的得5分，承诺7.9%加1分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gridSpan w:val="2"/>
            <w:vMerge w:val="restart"/>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p>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项目工作组</w:t>
            </w:r>
          </w:p>
        </w:tc>
        <w:tc>
          <w:tcPr>
            <w:tcW w:w="1000" w:type="dxa"/>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6</w:t>
            </w:r>
          </w:p>
        </w:tc>
        <w:tc>
          <w:tcPr>
            <w:tcW w:w="6421" w:type="dxa"/>
          </w:tcPr>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供应商指定的项目负责人具备10年及以上投行从业经验且具有保荐代表人资格的得2分，在注册制下曾作为签字保荐代表人成功完成5个及以上IPO项目的得4分；完成3-4个的得3分；完成1-2个的得2分。</w:t>
            </w:r>
          </w:p>
          <w:p>
            <w:pPr>
              <w:pStyle w:val="18"/>
              <w:keepNext w:val="0"/>
              <w:keepLines w:val="0"/>
              <w:suppressLineNumbers w:val="0"/>
              <w:spacing w:beforeAutospacing="0" w:afterAutospacing="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本项需提供成功上市项目保荐书签字页截图并加盖公章。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gridSpan w:val="2"/>
            <w:vMerge w:val="continue"/>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p>
        </w:tc>
        <w:tc>
          <w:tcPr>
            <w:tcW w:w="1000" w:type="dxa"/>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7</w:t>
            </w:r>
          </w:p>
        </w:tc>
        <w:tc>
          <w:tcPr>
            <w:tcW w:w="6421" w:type="dxa"/>
          </w:tcPr>
          <w:p>
            <w:pPr>
              <w:pStyle w:val="18"/>
              <w:keepNext w:val="0"/>
              <w:keepLines w:val="0"/>
              <w:suppressLineNumbers w:val="0"/>
              <w:spacing w:beforeAutospacing="0" w:afterAutospacing="0"/>
              <w:ind w:left="0" w:leftChars="0" w:firstLine="0" w:firstLineChars="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供应商指定的现场负责人具备10年及以上投行从业经验且具有保荐代表人资格的得2分，具备5年以上投行从业经验且具有保荐代表人资格的得1分；具有2个及以上IPO经验的加2分；具有注册会计师或律师执业证书的得1分；团队成员中有注册会计师证书或律师执业证书的，每增加一个得1分，最多不超过2分。</w:t>
            </w:r>
          </w:p>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本项需提供证明材料复印件并加盖公章。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0" w:type="dxa"/>
            <w:gridSpan w:val="2"/>
            <w:vMerge w:val="continue"/>
            <w:vAlign w:val="center"/>
          </w:tcPr>
          <w:p>
            <w:pPr>
              <w:pStyle w:val="18"/>
              <w:keepNext w:val="0"/>
              <w:keepLines w:val="0"/>
              <w:suppressLineNumbers w:val="0"/>
              <w:spacing w:beforeAutospacing="0" w:afterAutospacing="0"/>
              <w:jc w:val="center"/>
              <w:rPr>
                <w:rFonts w:hint="default" w:ascii="新宋体" w:hAnsi="新宋体" w:eastAsia="新宋体" w:cs="新宋体"/>
                <w:vertAlign w:val="baseline"/>
                <w:lang w:val="en-US" w:eastAsia="zh-CN"/>
              </w:rPr>
            </w:pPr>
          </w:p>
        </w:tc>
        <w:tc>
          <w:tcPr>
            <w:tcW w:w="1000" w:type="dxa"/>
            <w:vAlign w:val="center"/>
          </w:tcPr>
          <w:p>
            <w:pPr>
              <w:pStyle w:val="18"/>
              <w:keepNext w:val="0"/>
              <w:keepLines w:val="0"/>
              <w:suppressLineNumbers w:val="0"/>
              <w:spacing w:beforeAutospacing="0" w:afterAutospacing="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5</w:t>
            </w:r>
          </w:p>
        </w:tc>
        <w:tc>
          <w:tcPr>
            <w:tcW w:w="6421" w:type="dxa"/>
          </w:tcPr>
          <w:p>
            <w:pPr>
              <w:pStyle w:val="18"/>
              <w:keepNext w:val="0"/>
              <w:keepLines w:val="0"/>
              <w:suppressLineNumbers w:val="0"/>
              <w:spacing w:beforeAutospacing="0" w:afterAutospacing="0"/>
              <w:ind w:left="0" w:leftChars="0" w:firstLine="0" w:firstLineChars="0"/>
              <w:rPr>
                <w:rFonts w:hint="default"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项目负责人由券商总部人员担任的得1分（须提供聘用合同、社保等相关证明资料）；项目团队成员专业情况视提供材料得0-2分，成员情况需提供相应证书复印件并加盖公章才予以认可；团队岗位分工职责是否明确且完全满足项目运作需要得0-1分；承诺在项目运行期间不更换主要人员得1分，否则不得分。</w:t>
            </w:r>
          </w:p>
        </w:tc>
      </w:tr>
    </w:tbl>
    <w:p>
      <w:pPr>
        <w:pStyle w:val="18"/>
        <w:spacing w:before="0" w:beforeLines="0" w:after="0" w:afterLines="0"/>
        <w:ind w:left="0" w:leftChars="0" w:right="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商务评分（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pPr>
        <w:pStyle w:val="162"/>
        <w:spacing w:line="360" w:lineRule="auto"/>
        <w:ind w:firstLine="0" w:firstLineChars="0"/>
        <w:jc w:val="left"/>
        <w:rPr>
          <w:rFonts w:hint="eastAsia" w:hAnsi="宋体" w:eastAsia="宋体" w:cs="宋体"/>
          <w:color w:val="auto"/>
          <w:szCs w:val="21"/>
          <w:highlight w:val="none"/>
          <w:shd w:val="clear" w:color="auto" w:fill="FFFFFF"/>
        </w:rPr>
      </w:pPr>
      <w:r>
        <w:rPr>
          <w:rFonts w:hint="eastAsia" w:hAnsi="宋体" w:eastAsia="宋体" w:cs="宋体"/>
          <w:color w:val="auto"/>
          <w:szCs w:val="21"/>
          <w:highlight w:val="none"/>
          <w:shd w:val="clear" w:color="auto" w:fill="FFFFFF"/>
        </w:rPr>
        <w:t>（1）评分范围：通过初步评审的所有投标文件进入评分范围。</w:t>
      </w:r>
    </w:p>
    <w:p>
      <w:pPr>
        <w:pStyle w:val="162"/>
        <w:spacing w:line="360" w:lineRule="auto"/>
        <w:ind w:firstLine="0" w:firstLineChars="0"/>
        <w:jc w:val="left"/>
        <w:rPr>
          <w:rFonts w:hint="eastAsia" w:hAnsi="宋体" w:eastAsia="宋体" w:cs="宋体"/>
          <w:color w:val="auto"/>
          <w:szCs w:val="21"/>
          <w:highlight w:val="none"/>
          <w:shd w:val="clear" w:color="auto" w:fill="FFFFFF"/>
        </w:rPr>
      </w:pPr>
      <w:r>
        <w:rPr>
          <w:rFonts w:hint="eastAsia" w:hAnsi="宋体" w:eastAsia="宋体" w:cs="宋体"/>
          <w:color w:val="auto"/>
          <w:szCs w:val="21"/>
          <w:highlight w:val="none"/>
          <w:shd w:val="clear" w:color="auto" w:fill="FFFFFF"/>
        </w:rPr>
        <w:t>（2）评审基准价：所有有效报价的算数平均价为评审基准价。</w:t>
      </w:r>
      <w:r>
        <w:rPr>
          <w:rFonts w:hint="eastAsia" w:hAnsi="宋体" w:eastAsia="宋体" w:cs="宋体"/>
          <w:color w:val="auto"/>
          <w:highlight w:val="none"/>
        </w:rPr>
        <w:t>（有效</w:t>
      </w:r>
      <w:r>
        <w:rPr>
          <w:rFonts w:hint="eastAsia" w:hAnsi="宋体" w:eastAsia="宋体" w:cs="宋体"/>
          <w:color w:val="auto"/>
          <w:highlight w:val="none"/>
          <w:lang w:eastAsia="zh-CN"/>
        </w:rPr>
        <w:t>投标供应商</w:t>
      </w:r>
      <w:r>
        <w:rPr>
          <w:rFonts w:hint="eastAsia" w:hAnsi="宋体" w:eastAsia="宋体" w:cs="宋体"/>
          <w:color w:val="auto"/>
          <w:highlight w:val="none"/>
        </w:rPr>
        <w:t>在5个及以上时，去除一个最高价和一个最低价；有效</w:t>
      </w:r>
      <w:r>
        <w:rPr>
          <w:rFonts w:hint="eastAsia" w:hAnsi="宋体" w:eastAsia="宋体" w:cs="宋体"/>
          <w:color w:val="auto"/>
          <w:highlight w:val="none"/>
          <w:lang w:eastAsia="zh-CN"/>
        </w:rPr>
        <w:t>投标供应商</w:t>
      </w:r>
      <w:r>
        <w:rPr>
          <w:rFonts w:hint="eastAsia" w:hAnsi="宋体" w:eastAsia="宋体" w:cs="宋体"/>
          <w:color w:val="auto"/>
          <w:highlight w:val="none"/>
        </w:rPr>
        <w:t>在8个及以上时，去除一个最高、次高价和一个最低、次低价）。</w:t>
      </w:r>
    </w:p>
    <w:p>
      <w:pPr>
        <w:pStyle w:val="162"/>
        <w:spacing w:line="360" w:lineRule="auto"/>
        <w:ind w:firstLine="0" w:firstLineChars="0"/>
        <w:jc w:val="left"/>
        <w:rPr>
          <w:rFonts w:hint="eastAsia" w:hAnsi="宋体" w:eastAsia="宋体" w:cs="宋体"/>
          <w:color w:val="auto"/>
          <w:szCs w:val="21"/>
          <w:highlight w:val="none"/>
          <w:shd w:val="clear" w:color="auto" w:fill="FFFFFF"/>
        </w:rPr>
      </w:pPr>
      <w:r>
        <w:rPr>
          <w:rFonts w:hint="eastAsia" w:hAnsi="宋体" w:eastAsia="宋体" w:cs="宋体"/>
          <w:color w:val="auto"/>
          <w:szCs w:val="21"/>
          <w:highlight w:val="none"/>
          <w:shd w:val="clear" w:color="auto" w:fill="FFFFFF"/>
        </w:rPr>
        <w:t>（3）根据投标文件的投标报价与评审基准价对比，计算供应商的该项得分值</w:t>
      </w:r>
      <w:r>
        <w:rPr>
          <w:rFonts w:hint="eastAsia" w:hAnsi="宋体" w:eastAsia="宋体" w:cs="宋体"/>
          <w:color w:val="auto"/>
          <w:szCs w:val="21"/>
          <w:highlight w:val="none"/>
          <w:shd w:val="clear" w:color="auto" w:fill="FFFFFF"/>
          <w:lang w:eastAsia="zh-CN"/>
        </w:rPr>
        <w:t>，</w:t>
      </w:r>
      <w:r>
        <w:rPr>
          <w:rFonts w:hint="eastAsia" w:ascii="宋体" w:hAnsi="宋体" w:eastAsia="宋体" w:cs="宋体"/>
          <w:color w:val="auto"/>
          <w:sz w:val="22"/>
          <w:szCs w:val="22"/>
          <w:highlight w:val="none"/>
          <w:lang w:val="en-US" w:eastAsia="zh-CN"/>
        </w:rPr>
        <w:t>四舍五入，保留小数点后二位。</w:t>
      </w:r>
      <w:r>
        <w:rPr>
          <w:rFonts w:hint="eastAsia" w:hAnsi="宋体" w:eastAsia="宋体" w:cs="宋体"/>
          <w:color w:val="auto"/>
          <w:szCs w:val="21"/>
          <w:highlight w:val="none"/>
          <w:shd w:val="clear" w:color="auto" w:fill="FFFFFF"/>
        </w:rPr>
        <w:t>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a.投标报价等于评审基准价时，得15分；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报价每高于评标基准价1个百分点（相对数），在基准分上扣0.5分，即：得分=15-︱（投标报价-基准价）︱/基准价*100*0.5；或每低于评标基准价1个百分点（相对数），在基准分上扣0.3分，即：得分=15-︱（投标报价-基准价）︱/基准价*100*0.3。</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不足1个百分点时，使用直线插入法计算，保留小数2位；计算扣分超过15分的本项不得分。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例：假如基准价210万元，投标报价220万元，得分=15-（220-210）/210*100*0.5=12.62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有效投标供应商的综合得分为技术资信分和商务（报价）分的总和。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评标委员会按综合得分高低顺序排列，综合得分最高的投标供应商作为该项目中标候选人向采购人推荐，并提交评标报告。综合得分相同的，按投标报价由低到高顺序排列；综合得分且投标报价相同的，则由评标委员会在所有得分均相同者中随机抽取其中一名为名次优先者。</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六、定标办法</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本次招标由评标委员会推荐中标候选人，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根据评标委员会的推荐结果进行最终确认。如中标人放弃中标、或因不可抗力提出不能履行合同；或未能在规定时间内与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签订合同的；或者经质疑，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审查后，确因招中标人在本次采购活动中存在违法违规行为或其他原因使质疑成立的，本次招标失败，重新招标。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七、确定中标人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评标结束后，采购人将在浙江政府采购网、温州国企采购平台等发布采购公告的网站上公示中标结果。中标公告期为1个工作日，中标公告期限结束无异议的，</w:t>
      </w:r>
      <w:r>
        <w:rPr>
          <w:rFonts w:hint="eastAsia" w:ascii="宋体" w:hAnsi="宋体" w:eastAsia="宋体" w:cs="宋体"/>
          <w:b w:val="0"/>
          <w:color w:val="auto"/>
          <w:sz w:val="21"/>
          <w:szCs w:val="21"/>
          <w:highlight w:val="none"/>
          <w:lang w:val="en-US" w:eastAsia="zh-CN"/>
        </w:rPr>
        <w:t>项目业主</w:t>
      </w:r>
      <w:r>
        <w:rPr>
          <w:rFonts w:hint="eastAsia" w:ascii="宋体" w:hAnsi="宋体" w:eastAsia="宋体" w:cs="宋体"/>
          <w:b w:val="0"/>
          <w:color w:val="auto"/>
          <w:sz w:val="21"/>
          <w:szCs w:val="21"/>
          <w:highlight w:val="none"/>
        </w:rPr>
        <w:t>与中标人按照采购文件和中标人投标文件的约定签订合同。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各</w:t>
      </w:r>
      <w:r>
        <w:rPr>
          <w:rFonts w:hint="eastAsia" w:ascii="宋体" w:hAnsi="宋体" w:eastAsia="宋体" w:cs="宋体"/>
          <w:b w:val="0"/>
          <w:color w:val="auto"/>
          <w:sz w:val="21"/>
          <w:szCs w:val="21"/>
          <w:highlight w:val="none"/>
          <w:lang w:eastAsia="zh-CN"/>
        </w:rPr>
        <w:t>投标供应商</w:t>
      </w:r>
      <w:r>
        <w:rPr>
          <w:rFonts w:hint="eastAsia" w:ascii="宋体" w:hAnsi="宋体" w:eastAsia="宋体" w:cs="宋体"/>
          <w:b w:val="0"/>
          <w:color w:val="auto"/>
          <w:sz w:val="21"/>
          <w:szCs w:val="21"/>
          <w:highlight w:val="none"/>
        </w:rPr>
        <w:t>对评标结果如有异议，可在中标结果公告之日起7个工作日内以书面形式向采购人进行署名投诉或提出质疑，但需对投诉或质疑内容的真实性承担法律责任。</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color w:val="auto"/>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应随时接受评标委员会的询标，解答包括有关的商务、技术问题等。评标结束，所有评标资料存招标机构备查。</w:t>
      </w:r>
    </w:p>
    <w:p>
      <w:pPr>
        <w:outlineLvl w:val="9"/>
        <w:rPr>
          <w:color w:val="auto"/>
          <w:highlight w:val="none"/>
        </w:rPr>
      </w:pPr>
    </w:p>
    <w:sectPr>
      <w:pgSz w:w="11906" w:h="16838"/>
      <w:pgMar w:top="1134" w:right="1134" w:bottom="1134" w:left="1417" w:header="851" w:footer="567" w:gutter="0"/>
      <w:pgBorders>
        <w:top w:val="none" w:sz="0" w:space="0"/>
        <w:left w:val="none" w:sz="0" w:space="0"/>
        <w:bottom w:val="none" w:sz="0" w:space="0"/>
        <w:right w:val="none" w:sz="0" w:space="0"/>
      </w:pgBorders>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ggypDUAQAAp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IIMqQ1AEAAKYDAAAOAAAAAAAAAAEAIAAA&#10;ACIBAABkcnMvZTJvRG9jLnhtbFBLBQYAAAAABgAGAFkBAABoBQAAAAA=&#10;">
              <v:fill on="f" focussize="0,0"/>
              <v:stroke on="f" weight="1.25pt"/>
              <v:imagedata o:title=""/>
              <o:lock v:ext="edit" aspectratio="f"/>
              <v:textbox inset="0mm,0mm,0mm,0mm" style="mso-fit-shape-to-text:t;">
                <w:txbxContent>
                  <w:p>
                    <w:pPr>
                      <w:pStyle w:val="24"/>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Style w:val="37"/>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0xsjUAQAApg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2jD+rQ5Y1KrYC/PUZsJ3eZKoywU2EcX+Y5rVraj3/9nPXw&#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aNMbI1AEAAKYDAAAOAAAAAAAAAAEAIAAA&#10;ACIBAABkcnMvZTJvRG9jLnhtbFBLBQYAAAAABgAGAFkBAABoBQA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p>
    <w:pPr>
      <w:pStyle w:val="24"/>
      <w:jc w:val="center"/>
      <w:rPr>
        <w:rStyle w:val="37"/>
        <w:rFonts w:hint="eastAsia"/>
      </w:rPr>
    </w:pPr>
  </w:p>
  <w:p>
    <w:pPr>
      <w:pStyle w:val="24"/>
      <w:jc w:val="center"/>
      <w:rPr>
        <w:rStyle w:val="37"/>
        <w:rFonts w:hint="eastAsia"/>
      </w:rPr>
    </w:pPr>
  </w:p>
  <w:p>
    <w:pPr>
      <w:pStyle w:val="24"/>
      <w:rPr>
        <w:rStyle w:val="37"/>
        <w:rFonts w:hint="eastAsia"/>
      </w:rPr>
    </w:pPr>
  </w:p>
  <w:p>
    <w:pPr>
      <w:pStyle w:val="24"/>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w:t>
                          </w:r>
                          <w:r>
                            <w:rPr>
                              <w:rFonts w:hint="eastAsia"/>
                              <w:sz w:val="1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1.65pt;width:72.05pt;mso-position-horizontal:center;mso-position-horizontal-relative:margin;mso-wrap-style:none;z-index:251660288;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HX+cYtEBAACaAwAADgAAAGRycy9lMm9Eb2MueG1srVPNjtMwEL4j&#10;7TtYvlMnhbK7UdMVq2oREgKkXR7AdezGkv/kcZv0BeANOHHhznP1ORgnaReWyx64OJOZyTff93my&#10;vOmtIXsZQXtX03JWUCKd8I1225p+ebh7eUUJJO4abryTNT1IoDerixfLLlRy7ltvGhkJgjioulDT&#10;NqVQMQailZbDzAfpsKh8tDzha9yyJvIO0a1h86J4wzofmxC9kACYXY9FOiHG5wB6pbSQay92Vro0&#10;okZpeEJJ0OoAdDWwVUqK9EkpkImYmqLSNJw4BONNPtlqyatt5KHVYqLAn0PhiSbLtcOhZ6g1T5zs&#10;ov4HymoRPXiVZsJbNgoZHEEVZfHEm/uWBzloQashnE2H/wcrPu4/R6Ib3ARKHLd44cfv344/fh1/&#10;fiVlMb/MDnUBKmy8D9ia+lvf5+4pD5jMwnsVbX6iJIJ19Pdw9lf2iQhMXpeL4tWCEoGl8vXl9WKR&#10;UdjjxyFCeie9JTmoacTrG1zl+w+QxtZTS57l/J02BvO8Mu6vBGLmDMvMR4Y5Sv2mn2hvfHNANR3e&#10;fE0dLjol5r1DY/OSnIJ4CjanYBei3rbDFuV5EN7uEpIYuOUJI+w0GK9sUDetV96JP9+Hrsdfa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eqt9IAAAAEAQAADwAAAAAAAAABACAAAAAiAAAAZHJz&#10;L2Rvd25yZXYueG1sUEsBAhQAFAAAAAgAh07iQB1/nGLRAQAAmgMAAA4AAAAAAAAAAQAgAAAAIQ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4410" w:firstLineChars="24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Dl9+EdABAACaAwAADgAAAGRycy9lMm9Eb2MueG1srVPNjtMwEL4j&#10;8Q6W7zQ/omw3aroCVYuQECAtPIDrOI0l/8njNukLwBtw4sKd5+pzMHaSLrt72QMXZzwz+Wa+b8br&#10;m0ErchQepDU1LRY5JcJw20izr+m3r7evVpRAYKZhyhpR05MAerN5+WLdu0qUtrOqEZ4giIGqdzXt&#10;QnBVlgHvhGawsE4YDLbWaxbw6vdZ41mP6FplZZ6/yXrrG+ctFwDo3Y5BOiH65wDatpVcbC0/aGHC&#10;iOqFYgEpQScd0E3qtm0FD5/bFkQgqqbINKQTi6C9i2e2WbNq75nrJJ9aYM9p4REnzaTBoheoLQuM&#10;HLx8AqUl9xZsGxbc6mwkkhRBFkX+SJu7jjmRuKDU4C6iw/+D5Z+OXzyRTU1LSgzTOPDzzx/nX3/O&#10;v7+TIi9XUaHeQYWJdw5Tw/DODrg3sx/QGYkPrdfxi5QIxlHf00VfMQTC0Xl9VRarJSUcQ8Xrq+vl&#10;MqJk9z87D+G9sJpEo6Yex5dUZcePEMbUOSXWMvZWKpVGqMwDB2JGTxY7HzuMVhh2w0RnZ5sTsulx&#10;8jU1uOiUqA8GhY1LMht+NnazcXBe7ru0RbEeuLeHgE2k3mKFEXYqjCNL7Kb1ijvx7z1l3T+p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0naTQ0gAAAAQBAAAPAAAAAAAAAAEAIAAAACIAAABkcnMv&#10;ZG93bnJldi54bWxQSwECFAAUAAAACACHTuJADl9+EdABAACaAwAADgAAAAAAAAABACAAAAAh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ind w:left="3" w:leftChars="1" w:right="-82" w:rightChars="-39" w:hanging="1" w:hangingChars="1"/>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3C880"/>
    <w:multiLevelType w:val="singleLevel"/>
    <w:tmpl w:val="F173C880"/>
    <w:lvl w:ilvl="0" w:tentative="0">
      <w:start w:val="4"/>
      <w:numFmt w:val="chineseCounting"/>
      <w:suff w:val="space"/>
      <w:lvlText w:val="第%1部分"/>
      <w:lvlJc w:val="left"/>
      <w:rPr>
        <w:rFonts w:hint="eastAsia"/>
      </w:rPr>
    </w:lvl>
  </w:abstractNum>
  <w:abstractNum w:abstractNumId="1">
    <w:nsid w:val="FF281FFD"/>
    <w:multiLevelType w:val="singleLevel"/>
    <w:tmpl w:val="FF281FFD"/>
    <w:lvl w:ilvl="0" w:tentative="0">
      <w:start w:val="1"/>
      <w:numFmt w:val="decimal"/>
      <w:suff w:val="nothing"/>
      <w:lvlText w:val="%1、"/>
      <w:lvlJc w:val="left"/>
      <w:pPr>
        <w:ind w:left="835"/>
      </w:pPr>
    </w:lvl>
  </w:abstractNum>
  <w:abstractNum w:abstractNumId="2">
    <w:nsid w:val="0000000D"/>
    <w:multiLevelType w:val="multilevel"/>
    <w:tmpl w:val="0000000D"/>
    <w:lvl w:ilvl="0" w:tentative="0">
      <w:start w:val="1"/>
      <w:numFmt w:val="bullet"/>
      <w:pStyle w:val="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3CA6AE4"/>
    <w:multiLevelType w:val="multilevel"/>
    <w:tmpl w:val="13CA6AE4"/>
    <w:lvl w:ilvl="0" w:tentative="0">
      <w:start w:val="1"/>
      <w:numFmt w:val="bullet"/>
      <w:pStyle w:val="81"/>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12.%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4760E44A"/>
    <w:multiLevelType w:val="singleLevel"/>
    <w:tmpl w:val="4760E44A"/>
    <w:lvl w:ilvl="0" w:tentative="0">
      <w:start w:val="1"/>
      <w:numFmt w:val="bullet"/>
      <w:lvlText w:val=""/>
      <w:lvlJc w:val="left"/>
      <w:pPr>
        <w:ind w:left="420" w:hanging="420"/>
      </w:pPr>
      <w:rPr>
        <w:rFonts w:hint="default" w:ascii="Wingdings" w:hAnsi="Wingdings"/>
      </w:rPr>
    </w:lvl>
  </w:abstractNum>
  <w:abstractNum w:abstractNumId="6">
    <w:nsid w:val="4CA75A52"/>
    <w:multiLevelType w:val="multilevel"/>
    <w:tmpl w:val="4CA75A52"/>
    <w:lvl w:ilvl="0" w:tentative="0">
      <w:start w:val="1"/>
      <w:numFmt w:val="decimal"/>
      <w:pStyle w:val="131"/>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57CE32F0"/>
    <w:multiLevelType w:val="multilevel"/>
    <w:tmpl w:val="57CE32F0"/>
    <w:lvl w:ilvl="0" w:tentative="0">
      <w:start w:val="1"/>
      <w:numFmt w:val="decimal"/>
      <w:lvlText w:val="（%1）"/>
      <w:lvlJc w:val="left"/>
      <w:rPr>
        <w:rFonts w:ascii="楷体_GB2312" w:hAnsi="楷体_GB2312"/>
        <w:b w:val="0"/>
      </w:rPr>
    </w:lvl>
    <w:lvl w:ilvl="1" w:tentative="0">
      <w:start w:val="2"/>
      <w:numFmt w:val="decimal"/>
      <w:lvlText w:val="%2．"/>
      <w:lvlJc w:val="left"/>
      <w:rPr>
        <w:color w:val="000000"/>
        <w:sz w:val="24"/>
      </w:rPr>
    </w:lvl>
    <w:lvl w:ilvl="2" w:tentative="0">
      <w:start w:val="1"/>
      <w:numFmt w:val="decimal"/>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57CE32F6"/>
    <w:multiLevelType w:val="multilevel"/>
    <w:tmpl w:val="57CE32F6"/>
    <w:lvl w:ilvl="0" w:tentative="0">
      <w:start w:val="1"/>
      <w:numFmt w:val="none"/>
      <w:lvlText w:val="2"/>
      <w:lvlJc w:val="left"/>
    </w:lvl>
    <w:lvl w:ilvl="1" w:tentative="0">
      <w:start w:val="1"/>
      <w:numFmt w:val="decimal"/>
      <w:lvlText w:val="%117.%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9">
    <w:nsid w:val="57CE32F7"/>
    <w:multiLevelType w:val="multilevel"/>
    <w:tmpl w:val="57CE32F7"/>
    <w:lvl w:ilvl="0" w:tentative="0">
      <w:start w:val="1"/>
      <w:numFmt w:val="none"/>
      <w:lvlText w:val="2"/>
      <w:lvlJc w:val="left"/>
    </w:lvl>
    <w:lvl w:ilvl="1" w:tentative="0">
      <w:start w:val="1"/>
      <w:numFmt w:val="decimal"/>
      <w:pStyle w:val="154"/>
      <w:lvlText w:val="%12.%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0">
    <w:nsid w:val="57CE32F8"/>
    <w:multiLevelType w:val="multilevel"/>
    <w:tmpl w:val="57CE32F8"/>
    <w:lvl w:ilvl="0" w:tentative="0">
      <w:start w:val="1"/>
      <w:numFmt w:val="decimal"/>
      <w:lvlText w:val="%1)"/>
      <w:lvlJc w:val="left"/>
      <w:rPr>
        <w:rFonts w:ascii="楷体_GB2312" w:hAnsi="楷体_GB2312"/>
        <w:b w:val="0"/>
      </w:rPr>
    </w:lvl>
    <w:lvl w:ilvl="1" w:tentative="0">
      <w:start w:val="1"/>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1">
    <w:nsid w:val="57CE32FA"/>
    <w:multiLevelType w:val="multilevel"/>
    <w:tmpl w:val="57CE32FA"/>
    <w:lvl w:ilvl="0" w:tentative="0">
      <w:start w:val="1"/>
      <w:numFmt w:val="decimal"/>
      <w:pStyle w:val="124"/>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12">
    <w:nsid w:val="57CE32FB"/>
    <w:multiLevelType w:val="multilevel"/>
    <w:tmpl w:val="57CE32FB"/>
    <w:lvl w:ilvl="0" w:tentative="0">
      <w:start w:val="1"/>
      <w:numFmt w:val="decimal"/>
      <w:lvlText w:val="（%1）"/>
      <w:lvlJc w:val="left"/>
      <w:rPr>
        <w:rFonts w:ascii="楷体_GB2312" w:hAnsi="楷体_GB2312"/>
      </w:rPr>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3">
    <w:nsid w:val="57CE32FC"/>
    <w:multiLevelType w:val="multilevel"/>
    <w:tmpl w:val="57CE32FC"/>
    <w:lvl w:ilvl="0" w:tentative="0">
      <w:start w:val="1"/>
      <w:numFmt w:val="none"/>
      <w:lvlText w:val="2"/>
      <w:lvlJc w:val="left"/>
    </w:lvl>
    <w:lvl w:ilvl="1" w:tentative="0">
      <w:start w:val="1"/>
      <w:numFmt w:val="decimal"/>
      <w:lvlText w:val="%110.%2"/>
      <w:lvlJc w:val="left"/>
      <w:rPr>
        <w:rFonts w:ascii="楷体_GB2312" w:hAnsi="楷体_GB2312"/>
        <w:b w:val="0"/>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4">
    <w:nsid w:val="57CE3301"/>
    <w:multiLevelType w:val="multilevel"/>
    <w:tmpl w:val="57CE3301"/>
    <w:lvl w:ilvl="0" w:tentative="0">
      <w:start w:val="1"/>
      <w:numFmt w:val="none"/>
      <w:lvlText w:val="2"/>
      <w:lvlJc w:val="left"/>
    </w:lvl>
    <w:lvl w:ilvl="1" w:tentative="0">
      <w:start w:val="1"/>
      <w:numFmt w:val="decimal"/>
      <w:lvlText w:val="%114.%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5">
    <w:nsid w:val="57CE3302"/>
    <w:multiLevelType w:val="multilevel"/>
    <w:tmpl w:val="57CE3302"/>
    <w:lvl w:ilvl="0" w:tentative="0">
      <w:start w:val="19"/>
      <w:numFmt w:val="decimal"/>
      <w:lvlText w:val="%1."/>
      <w:lvlJc w:val="left"/>
      <w:rPr>
        <w:rFonts w:ascii="楷体_GB2312" w:hAnsi="楷体_GB2312"/>
        <w:b w:val="0"/>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16">
    <w:nsid w:val="57CE3303"/>
    <w:multiLevelType w:val="multilevel"/>
    <w:tmpl w:val="57CE3303"/>
    <w:lvl w:ilvl="0" w:tentative="0">
      <w:start w:val="1"/>
      <w:numFmt w:val="none"/>
      <w:lvlText w:val="2"/>
      <w:lvlJc w:val="left"/>
    </w:lvl>
    <w:lvl w:ilvl="1" w:tentative="0">
      <w:start w:val="1"/>
      <w:numFmt w:val="decimal"/>
      <w:lvlText w:val="%111.%2"/>
      <w:lvlJc w:val="left"/>
      <w:rPr>
        <w:rFonts w:ascii="楷体_GB2312" w:hAnsi="楷体_GB2312"/>
        <w:b w:val="0"/>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7">
    <w:nsid w:val="57CE3304"/>
    <w:multiLevelType w:val="multilevel"/>
    <w:tmpl w:val="57CE3304"/>
    <w:lvl w:ilvl="0" w:tentative="0">
      <w:start w:val="1"/>
      <w:numFmt w:val="none"/>
      <w:lvlText w:val="2"/>
      <w:lvlJc w:val="left"/>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8">
    <w:nsid w:val="57CE3305"/>
    <w:multiLevelType w:val="multilevel"/>
    <w:tmpl w:val="57CE3305"/>
    <w:lvl w:ilvl="0" w:tentative="0">
      <w:start w:val="1"/>
      <w:numFmt w:val="none"/>
      <w:lvlText w:val="2"/>
      <w:lvlJc w:val="left"/>
    </w:lvl>
    <w:lvl w:ilvl="1" w:tentative="0">
      <w:start w:val="1"/>
      <w:numFmt w:val="decimal"/>
      <w:lvlText w:val="%113.%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9">
    <w:nsid w:val="57CE3306"/>
    <w:multiLevelType w:val="multilevel"/>
    <w:tmpl w:val="57CE3306"/>
    <w:lvl w:ilvl="0" w:tentative="0">
      <w:start w:val="1"/>
      <w:numFmt w:val="decimal"/>
      <w:lvlText w:val="（%1）"/>
      <w:lvlJc w:val="left"/>
      <w:rPr>
        <w:rFonts w:ascii="楷体_GB2312" w:hAnsi="楷体_GB2312"/>
      </w:rPr>
    </w:lvl>
    <w:lvl w:ilvl="1" w:tentative="0">
      <w:start w:val="1"/>
      <w:numFmt w:val="lowerLetter"/>
      <w:lvlText w:val="%2)"/>
      <w:lvlJc w:val="left"/>
    </w:lvl>
    <w:lvl w:ilvl="2" w:tentative="0">
      <w:start w:val="1"/>
      <w:numFmt w:val="decimal"/>
      <w:lvlText w:val="%3."/>
      <w:lvlJc w:val="left"/>
      <w:rPr>
        <w:b w:val="0"/>
        <w:i w:val="0"/>
      </w:rPr>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0">
    <w:nsid w:val="57CE3307"/>
    <w:multiLevelType w:val="multilevel"/>
    <w:tmpl w:val="57CE3307"/>
    <w:lvl w:ilvl="0" w:tentative="0">
      <w:start w:val="5"/>
      <w:numFmt w:val="decimal"/>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21">
    <w:nsid w:val="57CE3308"/>
    <w:multiLevelType w:val="multilevel"/>
    <w:tmpl w:val="57CE3308"/>
    <w:lvl w:ilvl="0" w:tentative="0">
      <w:start w:val="1"/>
      <w:numFmt w:val="none"/>
      <w:lvlText w:val="2"/>
      <w:lvlJc w:val="left"/>
    </w:lvl>
    <w:lvl w:ilvl="1" w:tentative="0">
      <w:start w:val="1"/>
      <w:numFmt w:val="decimal"/>
      <w:lvlText w:val="%115.%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2">
    <w:nsid w:val="57CE3309"/>
    <w:multiLevelType w:val="multilevel"/>
    <w:tmpl w:val="57CE3309"/>
    <w:lvl w:ilvl="0" w:tentative="0">
      <w:start w:val="1"/>
      <w:numFmt w:val="none"/>
      <w:lvlText w:val="2"/>
      <w:lvlJc w:val="left"/>
    </w:lvl>
    <w:lvl w:ilvl="1" w:tentative="0">
      <w:start w:val="1"/>
      <w:numFmt w:val="decimal"/>
      <w:lvlText w:val="%121.%2"/>
      <w:lvlJc w:val="left"/>
      <w:rPr>
        <w:rFonts w:ascii="楷体_GB2312" w:hAnsi="楷体_GB2312"/>
        <w:b w:val="0"/>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3">
    <w:nsid w:val="57CE330B"/>
    <w:multiLevelType w:val="multilevel"/>
    <w:tmpl w:val="57CE330B"/>
    <w:lvl w:ilvl="0" w:tentative="0">
      <w:start w:val="16"/>
      <w:numFmt w:val="decimal"/>
      <w:lvlText w:val="%1."/>
      <w:lvlJc w:val="left"/>
      <w:rPr>
        <w:rFonts w:ascii="楷体_GB2312" w:hAnsi="楷体_GB2312"/>
        <w:b w:val="0"/>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24">
    <w:nsid w:val="57CE330C"/>
    <w:multiLevelType w:val="multilevel"/>
    <w:tmpl w:val="57CE330C"/>
    <w:lvl w:ilvl="0" w:tentative="0">
      <w:start w:val="8"/>
      <w:numFmt w:val="decimal"/>
      <w:lvlText w:val="%1."/>
      <w:lvlJc w:val="left"/>
      <w:rPr>
        <w:rFonts w:ascii="楷体_GB2312" w:hAnsi="楷体_GB2312"/>
        <w:b w:val="0"/>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25">
    <w:nsid w:val="57CE330F"/>
    <w:multiLevelType w:val="multilevel"/>
    <w:tmpl w:val="57CE330F"/>
    <w:lvl w:ilvl="0" w:tentative="0">
      <w:start w:val="1"/>
      <w:numFmt w:val="decimal"/>
      <w:lvlText w:val="%1."/>
      <w:lvlJc w:val="left"/>
      <w:rPr>
        <w:b w:val="0"/>
      </w:rPr>
    </w:lvl>
    <w:lvl w:ilvl="1" w:tentative="0">
      <w:start w:val="1"/>
      <w:numFmt w:val="decimal"/>
      <w:lvlText w:val="18.%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6">
    <w:nsid w:val="57CE3313"/>
    <w:multiLevelType w:val="multilevel"/>
    <w:tmpl w:val="57CE3313"/>
    <w:lvl w:ilvl="0" w:tentative="0">
      <w:start w:val="1"/>
      <w:numFmt w:val="bullet"/>
      <w:lvlText w:val=""/>
      <w:lvlJc w:val="left"/>
      <w:rPr>
        <w:rFonts w:ascii="Wingdings" w:hAnsi="Wingdings"/>
      </w:rPr>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7">
    <w:nsid w:val="674AE301"/>
    <w:multiLevelType w:val="singleLevel"/>
    <w:tmpl w:val="674AE301"/>
    <w:lvl w:ilvl="0" w:tentative="0">
      <w:start w:val="14"/>
      <w:numFmt w:val="decimal"/>
      <w:suff w:val="space"/>
      <w:lvlText w:val="%1."/>
      <w:lvlJc w:val="left"/>
    </w:lvl>
  </w:abstractNum>
  <w:num w:numId="1">
    <w:abstractNumId w:val="2"/>
  </w:num>
  <w:num w:numId="2">
    <w:abstractNumId w:val="3"/>
  </w:num>
  <w:num w:numId="3">
    <w:abstractNumId w:val="11"/>
  </w:num>
  <w:num w:numId="4">
    <w:abstractNumId w:val="6"/>
  </w:num>
  <w:num w:numId="5">
    <w:abstractNumId w:val="9"/>
  </w:num>
  <w:num w:numId="6">
    <w:abstractNumId w:val="20"/>
  </w:num>
  <w:num w:numId="7">
    <w:abstractNumId w:val="24"/>
  </w:num>
  <w:num w:numId="8">
    <w:abstractNumId w:val="13"/>
  </w:num>
  <w:num w:numId="9">
    <w:abstractNumId w:val="25"/>
  </w:num>
  <w:num w:numId="10">
    <w:abstractNumId w:val="10"/>
  </w:num>
  <w:num w:numId="11">
    <w:abstractNumId w:val="16"/>
  </w:num>
  <w:num w:numId="12">
    <w:abstractNumId w:val="4"/>
  </w:num>
  <w:num w:numId="13">
    <w:abstractNumId w:val="19"/>
  </w:num>
  <w:num w:numId="14">
    <w:abstractNumId w:val="18"/>
  </w:num>
  <w:num w:numId="15">
    <w:abstractNumId w:val="27"/>
  </w:num>
  <w:num w:numId="16">
    <w:abstractNumId w:val="14"/>
  </w:num>
  <w:num w:numId="17">
    <w:abstractNumId w:val="21"/>
  </w:num>
  <w:num w:numId="18">
    <w:abstractNumId w:val="23"/>
  </w:num>
  <w:num w:numId="19">
    <w:abstractNumId w:val="17"/>
  </w:num>
  <w:num w:numId="20">
    <w:abstractNumId w:val="26"/>
  </w:num>
  <w:num w:numId="21">
    <w:abstractNumId w:val="8"/>
  </w:num>
  <w:num w:numId="22">
    <w:abstractNumId w:val="15"/>
  </w:num>
  <w:num w:numId="23">
    <w:abstractNumId w:val="22"/>
  </w:num>
  <w:num w:numId="24">
    <w:abstractNumId w:val="12"/>
  </w:num>
  <w:num w:numId="25">
    <w:abstractNumId w:val="7"/>
  </w:num>
  <w:num w:numId="26">
    <w:abstractNumId w:val="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172A27"/>
    <w:rsid w:val="0000045B"/>
    <w:rsid w:val="00000910"/>
    <w:rsid w:val="00001382"/>
    <w:rsid w:val="0000269A"/>
    <w:rsid w:val="00002EEF"/>
    <w:rsid w:val="00003B96"/>
    <w:rsid w:val="00004475"/>
    <w:rsid w:val="000049A2"/>
    <w:rsid w:val="000052E4"/>
    <w:rsid w:val="00005627"/>
    <w:rsid w:val="00006633"/>
    <w:rsid w:val="00006856"/>
    <w:rsid w:val="00007792"/>
    <w:rsid w:val="00007D05"/>
    <w:rsid w:val="00007FA6"/>
    <w:rsid w:val="00010272"/>
    <w:rsid w:val="00010658"/>
    <w:rsid w:val="000107BC"/>
    <w:rsid w:val="0001106C"/>
    <w:rsid w:val="000112C2"/>
    <w:rsid w:val="000112F1"/>
    <w:rsid w:val="000118AD"/>
    <w:rsid w:val="00011950"/>
    <w:rsid w:val="000125A1"/>
    <w:rsid w:val="0001303F"/>
    <w:rsid w:val="000132A3"/>
    <w:rsid w:val="0001340A"/>
    <w:rsid w:val="00013D56"/>
    <w:rsid w:val="000148BE"/>
    <w:rsid w:val="00014E8D"/>
    <w:rsid w:val="00014F0F"/>
    <w:rsid w:val="000154DD"/>
    <w:rsid w:val="000157D0"/>
    <w:rsid w:val="000157E2"/>
    <w:rsid w:val="00017528"/>
    <w:rsid w:val="00017BEE"/>
    <w:rsid w:val="00017C5A"/>
    <w:rsid w:val="0002051E"/>
    <w:rsid w:val="00020A6C"/>
    <w:rsid w:val="00020C97"/>
    <w:rsid w:val="000217D5"/>
    <w:rsid w:val="000219E6"/>
    <w:rsid w:val="0002210A"/>
    <w:rsid w:val="00022A55"/>
    <w:rsid w:val="0002319B"/>
    <w:rsid w:val="00023536"/>
    <w:rsid w:val="00023A83"/>
    <w:rsid w:val="00023B8C"/>
    <w:rsid w:val="00023CC4"/>
    <w:rsid w:val="0002485D"/>
    <w:rsid w:val="000257A3"/>
    <w:rsid w:val="00025E6F"/>
    <w:rsid w:val="00026885"/>
    <w:rsid w:val="000268D6"/>
    <w:rsid w:val="00026CDA"/>
    <w:rsid w:val="00027286"/>
    <w:rsid w:val="00027E21"/>
    <w:rsid w:val="00031A43"/>
    <w:rsid w:val="00032D9E"/>
    <w:rsid w:val="000336C4"/>
    <w:rsid w:val="00033C3B"/>
    <w:rsid w:val="00033E21"/>
    <w:rsid w:val="0003439D"/>
    <w:rsid w:val="00034B43"/>
    <w:rsid w:val="00034B9E"/>
    <w:rsid w:val="00034C48"/>
    <w:rsid w:val="000353A2"/>
    <w:rsid w:val="00035D89"/>
    <w:rsid w:val="000362FC"/>
    <w:rsid w:val="00036763"/>
    <w:rsid w:val="00036DC2"/>
    <w:rsid w:val="00037096"/>
    <w:rsid w:val="00037185"/>
    <w:rsid w:val="00037705"/>
    <w:rsid w:val="00037EFE"/>
    <w:rsid w:val="000402B1"/>
    <w:rsid w:val="00040A96"/>
    <w:rsid w:val="00040B6A"/>
    <w:rsid w:val="0004134C"/>
    <w:rsid w:val="0004171A"/>
    <w:rsid w:val="00041FB2"/>
    <w:rsid w:val="000428B0"/>
    <w:rsid w:val="0004296F"/>
    <w:rsid w:val="00043BE6"/>
    <w:rsid w:val="00044097"/>
    <w:rsid w:val="00044943"/>
    <w:rsid w:val="000453C0"/>
    <w:rsid w:val="00045905"/>
    <w:rsid w:val="00046230"/>
    <w:rsid w:val="000462B9"/>
    <w:rsid w:val="00046819"/>
    <w:rsid w:val="00047279"/>
    <w:rsid w:val="000476B8"/>
    <w:rsid w:val="0004799E"/>
    <w:rsid w:val="00047A4B"/>
    <w:rsid w:val="000502A4"/>
    <w:rsid w:val="00050A6E"/>
    <w:rsid w:val="000518C4"/>
    <w:rsid w:val="00051F6A"/>
    <w:rsid w:val="000524E1"/>
    <w:rsid w:val="00052BEE"/>
    <w:rsid w:val="00052EDA"/>
    <w:rsid w:val="000530D7"/>
    <w:rsid w:val="000543BA"/>
    <w:rsid w:val="00054EE1"/>
    <w:rsid w:val="00055098"/>
    <w:rsid w:val="00055504"/>
    <w:rsid w:val="00055729"/>
    <w:rsid w:val="00055A42"/>
    <w:rsid w:val="00055B7F"/>
    <w:rsid w:val="000562A9"/>
    <w:rsid w:val="00057988"/>
    <w:rsid w:val="00060193"/>
    <w:rsid w:val="00060848"/>
    <w:rsid w:val="00060E83"/>
    <w:rsid w:val="000614C6"/>
    <w:rsid w:val="00061EAA"/>
    <w:rsid w:val="0006235F"/>
    <w:rsid w:val="00062645"/>
    <w:rsid w:val="00063307"/>
    <w:rsid w:val="000637D0"/>
    <w:rsid w:val="00064A87"/>
    <w:rsid w:val="00064DC1"/>
    <w:rsid w:val="00065A2A"/>
    <w:rsid w:val="00065B97"/>
    <w:rsid w:val="00065DAD"/>
    <w:rsid w:val="00066716"/>
    <w:rsid w:val="000669A1"/>
    <w:rsid w:val="00067316"/>
    <w:rsid w:val="00067466"/>
    <w:rsid w:val="0006756C"/>
    <w:rsid w:val="00071111"/>
    <w:rsid w:val="00072E07"/>
    <w:rsid w:val="00073A41"/>
    <w:rsid w:val="0007416C"/>
    <w:rsid w:val="00075CA6"/>
    <w:rsid w:val="00076D51"/>
    <w:rsid w:val="00077438"/>
    <w:rsid w:val="000805F1"/>
    <w:rsid w:val="00080776"/>
    <w:rsid w:val="00081051"/>
    <w:rsid w:val="0008112D"/>
    <w:rsid w:val="000814C0"/>
    <w:rsid w:val="000815F0"/>
    <w:rsid w:val="00081770"/>
    <w:rsid w:val="00081AEF"/>
    <w:rsid w:val="00081BBF"/>
    <w:rsid w:val="00081D12"/>
    <w:rsid w:val="000821FB"/>
    <w:rsid w:val="0008327F"/>
    <w:rsid w:val="00084DE5"/>
    <w:rsid w:val="00085398"/>
    <w:rsid w:val="00085C9D"/>
    <w:rsid w:val="00085E73"/>
    <w:rsid w:val="000863EF"/>
    <w:rsid w:val="00086BC5"/>
    <w:rsid w:val="00086E21"/>
    <w:rsid w:val="00086F3A"/>
    <w:rsid w:val="00087221"/>
    <w:rsid w:val="00087F2B"/>
    <w:rsid w:val="00090406"/>
    <w:rsid w:val="0009123A"/>
    <w:rsid w:val="00091E7E"/>
    <w:rsid w:val="00092376"/>
    <w:rsid w:val="000927EE"/>
    <w:rsid w:val="00092B54"/>
    <w:rsid w:val="00093646"/>
    <w:rsid w:val="0009380E"/>
    <w:rsid w:val="00093CC3"/>
    <w:rsid w:val="00093DBD"/>
    <w:rsid w:val="000943F5"/>
    <w:rsid w:val="00094C1A"/>
    <w:rsid w:val="00095404"/>
    <w:rsid w:val="00095952"/>
    <w:rsid w:val="00095DA8"/>
    <w:rsid w:val="00095EE4"/>
    <w:rsid w:val="00095F26"/>
    <w:rsid w:val="000964EB"/>
    <w:rsid w:val="0009678C"/>
    <w:rsid w:val="00096872"/>
    <w:rsid w:val="00097130"/>
    <w:rsid w:val="00097466"/>
    <w:rsid w:val="000977CC"/>
    <w:rsid w:val="00097A71"/>
    <w:rsid w:val="00097B9E"/>
    <w:rsid w:val="000A0471"/>
    <w:rsid w:val="000A26C7"/>
    <w:rsid w:val="000A31A0"/>
    <w:rsid w:val="000A38BE"/>
    <w:rsid w:val="000A38DD"/>
    <w:rsid w:val="000A59EB"/>
    <w:rsid w:val="000A5C44"/>
    <w:rsid w:val="000A635F"/>
    <w:rsid w:val="000A6421"/>
    <w:rsid w:val="000A7001"/>
    <w:rsid w:val="000A7014"/>
    <w:rsid w:val="000A705C"/>
    <w:rsid w:val="000B14D9"/>
    <w:rsid w:val="000B2470"/>
    <w:rsid w:val="000B3228"/>
    <w:rsid w:val="000B3A5B"/>
    <w:rsid w:val="000B409C"/>
    <w:rsid w:val="000B42D3"/>
    <w:rsid w:val="000B481B"/>
    <w:rsid w:val="000B4A36"/>
    <w:rsid w:val="000B4BC8"/>
    <w:rsid w:val="000B4CA5"/>
    <w:rsid w:val="000B5308"/>
    <w:rsid w:val="000B53C7"/>
    <w:rsid w:val="000B55C8"/>
    <w:rsid w:val="000B57F3"/>
    <w:rsid w:val="000B61AC"/>
    <w:rsid w:val="000B62E4"/>
    <w:rsid w:val="000B65F8"/>
    <w:rsid w:val="000B6713"/>
    <w:rsid w:val="000B6A63"/>
    <w:rsid w:val="000C0089"/>
    <w:rsid w:val="000C00CD"/>
    <w:rsid w:val="000C031D"/>
    <w:rsid w:val="000C0429"/>
    <w:rsid w:val="000C0AF9"/>
    <w:rsid w:val="000C113D"/>
    <w:rsid w:val="000C2B7E"/>
    <w:rsid w:val="000C2C12"/>
    <w:rsid w:val="000C2C71"/>
    <w:rsid w:val="000C312D"/>
    <w:rsid w:val="000C3A4C"/>
    <w:rsid w:val="000C486F"/>
    <w:rsid w:val="000C4F5A"/>
    <w:rsid w:val="000C525F"/>
    <w:rsid w:val="000C536B"/>
    <w:rsid w:val="000C69DB"/>
    <w:rsid w:val="000C6EEB"/>
    <w:rsid w:val="000C7B88"/>
    <w:rsid w:val="000C7B90"/>
    <w:rsid w:val="000D0735"/>
    <w:rsid w:val="000D1016"/>
    <w:rsid w:val="000D1177"/>
    <w:rsid w:val="000D22BF"/>
    <w:rsid w:val="000D29AF"/>
    <w:rsid w:val="000D2AF4"/>
    <w:rsid w:val="000D3A62"/>
    <w:rsid w:val="000D3E69"/>
    <w:rsid w:val="000D43C8"/>
    <w:rsid w:val="000D4433"/>
    <w:rsid w:val="000D49BE"/>
    <w:rsid w:val="000D4EE5"/>
    <w:rsid w:val="000D53D7"/>
    <w:rsid w:val="000D6CFD"/>
    <w:rsid w:val="000D6E2E"/>
    <w:rsid w:val="000D7AA0"/>
    <w:rsid w:val="000D7CFA"/>
    <w:rsid w:val="000E04C4"/>
    <w:rsid w:val="000E0926"/>
    <w:rsid w:val="000E157D"/>
    <w:rsid w:val="000E1E91"/>
    <w:rsid w:val="000E1F10"/>
    <w:rsid w:val="000E2173"/>
    <w:rsid w:val="000E22F6"/>
    <w:rsid w:val="000E31E5"/>
    <w:rsid w:val="000E33F8"/>
    <w:rsid w:val="000E380B"/>
    <w:rsid w:val="000E3A79"/>
    <w:rsid w:val="000E3B3E"/>
    <w:rsid w:val="000E3DCA"/>
    <w:rsid w:val="000E3E1B"/>
    <w:rsid w:val="000E429B"/>
    <w:rsid w:val="000E4492"/>
    <w:rsid w:val="000E4DF1"/>
    <w:rsid w:val="000E5C44"/>
    <w:rsid w:val="000E5C97"/>
    <w:rsid w:val="000E6B5E"/>
    <w:rsid w:val="000E6C32"/>
    <w:rsid w:val="000E6FE0"/>
    <w:rsid w:val="000E7317"/>
    <w:rsid w:val="000E74A7"/>
    <w:rsid w:val="000F0C49"/>
    <w:rsid w:val="000F0E07"/>
    <w:rsid w:val="000F0EB8"/>
    <w:rsid w:val="000F0EFA"/>
    <w:rsid w:val="000F1016"/>
    <w:rsid w:val="000F1FCC"/>
    <w:rsid w:val="000F2658"/>
    <w:rsid w:val="000F32B0"/>
    <w:rsid w:val="000F38BF"/>
    <w:rsid w:val="000F3D91"/>
    <w:rsid w:val="000F5CA7"/>
    <w:rsid w:val="000F6922"/>
    <w:rsid w:val="000F6FC3"/>
    <w:rsid w:val="000F7945"/>
    <w:rsid w:val="000F7D14"/>
    <w:rsid w:val="00100812"/>
    <w:rsid w:val="00100D40"/>
    <w:rsid w:val="001012AF"/>
    <w:rsid w:val="00101732"/>
    <w:rsid w:val="001028A4"/>
    <w:rsid w:val="001029EA"/>
    <w:rsid w:val="00102B12"/>
    <w:rsid w:val="00102D0A"/>
    <w:rsid w:val="00103B94"/>
    <w:rsid w:val="00104EFE"/>
    <w:rsid w:val="001050CE"/>
    <w:rsid w:val="001066B4"/>
    <w:rsid w:val="001072B7"/>
    <w:rsid w:val="00107BDD"/>
    <w:rsid w:val="001107D2"/>
    <w:rsid w:val="001109F6"/>
    <w:rsid w:val="00110B0D"/>
    <w:rsid w:val="00110DE0"/>
    <w:rsid w:val="00111876"/>
    <w:rsid w:val="00112924"/>
    <w:rsid w:val="001129DD"/>
    <w:rsid w:val="001129F7"/>
    <w:rsid w:val="00112A79"/>
    <w:rsid w:val="0011356F"/>
    <w:rsid w:val="00113949"/>
    <w:rsid w:val="00113BE7"/>
    <w:rsid w:val="00114066"/>
    <w:rsid w:val="00114245"/>
    <w:rsid w:val="00114811"/>
    <w:rsid w:val="001149F3"/>
    <w:rsid w:val="00114A24"/>
    <w:rsid w:val="00114A66"/>
    <w:rsid w:val="00114E56"/>
    <w:rsid w:val="00116894"/>
    <w:rsid w:val="00116F1D"/>
    <w:rsid w:val="001170F9"/>
    <w:rsid w:val="00117103"/>
    <w:rsid w:val="0011764B"/>
    <w:rsid w:val="001177D1"/>
    <w:rsid w:val="00117FFB"/>
    <w:rsid w:val="00120014"/>
    <w:rsid w:val="00121235"/>
    <w:rsid w:val="00121340"/>
    <w:rsid w:val="00121599"/>
    <w:rsid w:val="00122576"/>
    <w:rsid w:val="00123B00"/>
    <w:rsid w:val="00123F17"/>
    <w:rsid w:val="001242FA"/>
    <w:rsid w:val="001245F0"/>
    <w:rsid w:val="00124753"/>
    <w:rsid w:val="001250D0"/>
    <w:rsid w:val="00125558"/>
    <w:rsid w:val="00125A1A"/>
    <w:rsid w:val="001265E6"/>
    <w:rsid w:val="00127321"/>
    <w:rsid w:val="00127ACF"/>
    <w:rsid w:val="00127D89"/>
    <w:rsid w:val="001300AB"/>
    <w:rsid w:val="001304E9"/>
    <w:rsid w:val="00130548"/>
    <w:rsid w:val="00130F85"/>
    <w:rsid w:val="00131523"/>
    <w:rsid w:val="0013210D"/>
    <w:rsid w:val="00132698"/>
    <w:rsid w:val="001328ED"/>
    <w:rsid w:val="00132A74"/>
    <w:rsid w:val="00132BD9"/>
    <w:rsid w:val="001330CD"/>
    <w:rsid w:val="001335B3"/>
    <w:rsid w:val="00133929"/>
    <w:rsid w:val="001348C5"/>
    <w:rsid w:val="00134921"/>
    <w:rsid w:val="0013519A"/>
    <w:rsid w:val="0013561F"/>
    <w:rsid w:val="001359A9"/>
    <w:rsid w:val="00135CB1"/>
    <w:rsid w:val="00135E99"/>
    <w:rsid w:val="00136DAD"/>
    <w:rsid w:val="00136DE9"/>
    <w:rsid w:val="00137300"/>
    <w:rsid w:val="00137466"/>
    <w:rsid w:val="00137C1A"/>
    <w:rsid w:val="00137EAF"/>
    <w:rsid w:val="00140201"/>
    <w:rsid w:val="00140FFB"/>
    <w:rsid w:val="0014159D"/>
    <w:rsid w:val="00141E37"/>
    <w:rsid w:val="001427AB"/>
    <w:rsid w:val="001433E5"/>
    <w:rsid w:val="001456DE"/>
    <w:rsid w:val="00145DFF"/>
    <w:rsid w:val="00145E2B"/>
    <w:rsid w:val="001460DE"/>
    <w:rsid w:val="0014616D"/>
    <w:rsid w:val="00147668"/>
    <w:rsid w:val="00147C4B"/>
    <w:rsid w:val="00151FF0"/>
    <w:rsid w:val="00152EA1"/>
    <w:rsid w:val="00153483"/>
    <w:rsid w:val="00153AA1"/>
    <w:rsid w:val="00153EBD"/>
    <w:rsid w:val="001544A3"/>
    <w:rsid w:val="00154836"/>
    <w:rsid w:val="00156BAA"/>
    <w:rsid w:val="00156C60"/>
    <w:rsid w:val="0015755F"/>
    <w:rsid w:val="0015758A"/>
    <w:rsid w:val="00157AE3"/>
    <w:rsid w:val="00157C3F"/>
    <w:rsid w:val="00160310"/>
    <w:rsid w:val="00160515"/>
    <w:rsid w:val="001605B3"/>
    <w:rsid w:val="0016159A"/>
    <w:rsid w:val="001623A1"/>
    <w:rsid w:val="0016314E"/>
    <w:rsid w:val="001634DC"/>
    <w:rsid w:val="0016391F"/>
    <w:rsid w:val="00163B69"/>
    <w:rsid w:val="0016460F"/>
    <w:rsid w:val="00164ADB"/>
    <w:rsid w:val="001650D5"/>
    <w:rsid w:val="001652CA"/>
    <w:rsid w:val="0016571F"/>
    <w:rsid w:val="00165F3B"/>
    <w:rsid w:val="001665A3"/>
    <w:rsid w:val="00166F28"/>
    <w:rsid w:val="001672B8"/>
    <w:rsid w:val="001702E1"/>
    <w:rsid w:val="00171110"/>
    <w:rsid w:val="0017117F"/>
    <w:rsid w:val="0017200A"/>
    <w:rsid w:val="0017216F"/>
    <w:rsid w:val="001725F9"/>
    <w:rsid w:val="00172736"/>
    <w:rsid w:val="00173483"/>
    <w:rsid w:val="00173826"/>
    <w:rsid w:val="00175EB3"/>
    <w:rsid w:val="00176460"/>
    <w:rsid w:val="001769A9"/>
    <w:rsid w:val="0017799A"/>
    <w:rsid w:val="00180F7E"/>
    <w:rsid w:val="0018151E"/>
    <w:rsid w:val="001817DA"/>
    <w:rsid w:val="00181ED8"/>
    <w:rsid w:val="00182B62"/>
    <w:rsid w:val="00184272"/>
    <w:rsid w:val="0018494C"/>
    <w:rsid w:val="00184C68"/>
    <w:rsid w:val="001856A5"/>
    <w:rsid w:val="00185C5C"/>
    <w:rsid w:val="00185F2E"/>
    <w:rsid w:val="00186A45"/>
    <w:rsid w:val="00186D4C"/>
    <w:rsid w:val="00187FF7"/>
    <w:rsid w:val="00190070"/>
    <w:rsid w:val="001905AA"/>
    <w:rsid w:val="0019114C"/>
    <w:rsid w:val="001911CA"/>
    <w:rsid w:val="00192330"/>
    <w:rsid w:val="00192333"/>
    <w:rsid w:val="00193ACA"/>
    <w:rsid w:val="00194539"/>
    <w:rsid w:val="001947C2"/>
    <w:rsid w:val="00194926"/>
    <w:rsid w:val="001951D3"/>
    <w:rsid w:val="0019689E"/>
    <w:rsid w:val="0019775A"/>
    <w:rsid w:val="00197768"/>
    <w:rsid w:val="00197A47"/>
    <w:rsid w:val="00197B7A"/>
    <w:rsid w:val="00197BA9"/>
    <w:rsid w:val="001A012B"/>
    <w:rsid w:val="001A15D2"/>
    <w:rsid w:val="001A26B5"/>
    <w:rsid w:val="001A278D"/>
    <w:rsid w:val="001A2D7D"/>
    <w:rsid w:val="001A3B8D"/>
    <w:rsid w:val="001A3E1D"/>
    <w:rsid w:val="001A4C2B"/>
    <w:rsid w:val="001A4D93"/>
    <w:rsid w:val="001A5A5E"/>
    <w:rsid w:val="001A5AA3"/>
    <w:rsid w:val="001A63EA"/>
    <w:rsid w:val="001A6776"/>
    <w:rsid w:val="001A6CE6"/>
    <w:rsid w:val="001A70FE"/>
    <w:rsid w:val="001A720F"/>
    <w:rsid w:val="001A75B5"/>
    <w:rsid w:val="001A76F2"/>
    <w:rsid w:val="001B1409"/>
    <w:rsid w:val="001B1CA1"/>
    <w:rsid w:val="001B1D51"/>
    <w:rsid w:val="001B209B"/>
    <w:rsid w:val="001B34E5"/>
    <w:rsid w:val="001B4887"/>
    <w:rsid w:val="001B4B36"/>
    <w:rsid w:val="001B4EA2"/>
    <w:rsid w:val="001B65B7"/>
    <w:rsid w:val="001B675F"/>
    <w:rsid w:val="001B6E34"/>
    <w:rsid w:val="001C0850"/>
    <w:rsid w:val="001C0BF7"/>
    <w:rsid w:val="001C0D2E"/>
    <w:rsid w:val="001C1CAA"/>
    <w:rsid w:val="001C2080"/>
    <w:rsid w:val="001C2122"/>
    <w:rsid w:val="001C28A2"/>
    <w:rsid w:val="001C29E1"/>
    <w:rsid w:val="001C39AC"/>
    <w:rsid w:val="001C3CBA"/>
    <w:rsid w:val="001C3FD2"/>
    <w:rsid w:val="001C4CD9"/>
    <w:rsid w:val="001C5352"/>
    <w:rsid w:val="001C540F"/>
    <w:rsid w:val="001C5E96"/>
    <w:rsid w:val="001C6048"/>
    <w:rsid w:val="001C64BE"/>
    <w:rsid w:val="001C693D"/>
    <w:rsid w:val="001C7350"/>
    <w:rsid w:val="001C76A6"/>
    <w:rsid w:val="001C7846"/>
    <w:rsid w:val="001C78E0"/>
    <w:rsid w:val="001C79D2"/>
    <w:rsid w:val="001C7B18"/>
    <w:rsid w:val="001D02B6"/>
    <w:rsid w:val="001D0764"/>
    <w:rsid w:val="001D1E38"/>
    <w:rsid w:val="001D1F17"/>
    <w:rsid w:val="001D29BF"/>
    <w:rsid w:val="001D3C1B"/>
    <w:rsid w:val="001D4AB0"/>
    <w:rsid w:val="001D4CF1"/>
    <w:rsid w:val="001D5D18"/>
    <w:rsid w:val="001D6443"/>
    <w:rsid w:val="001D782D"/>
    <w:rsid w:val="001D7B0A"/>
    <w:rsid w:val="001E011E"/>
    <w:rsid w:val="001E06A6"/>
    <w:rsid w:val="001E0CDF"/>
    <w:rsid w:val="001E1F38"/>
    <w:rsid w:val="001E1F92"/>
    <w:rsid w:val="001E2431"/>
    <w:rsid w:val="001E2A33"/>
    <w:rsid w:val="001E4B0C"/>
    <w:rsid w:val="001E5323"/>
    <w:rsid w:val="001E5A19"/>
    <w:rsid w:val="001E5D30"/>
    <w:rsid w:val="001E60B2"/>
    <w:rsid w:val="001E73AF"/>
    <w:rsid w:val="001E79BE"/>
    <w:rsid w:val="001F03D9"/>
    <w:rsid w:val="001F04F0"/>
    <w:rsid w:val="001F0ED8"/>
    <w:rsid w:val="001F195B"/>
    <w:rsid w:val="001F286B"/>
    <w:rsid w:val="001F31C6"/>
    <w:rsid w:val="001F326F"/>
    <w:rsid w:val="001F3550"/>
    <w:rsid w:val="001F3A16"/>
    <w:rsid w:val="001F427C"/>
    <w:rsid w:val="001F43D9"/>
    <w:rsid w:val="001F474E"/>
    <w:rsid w:val="001F4752"/>
    <w:rsid w:val="001F5649"/>
    <w:rsid w:val="001F5DE9"/>
    <w:rsid w:val="001F666D"/>
    <w:rsid w:val="001F723E"/>
    <w:rsid w:val="00200BD2"/>
    <w:rsid w:val="002019EB"/>
    <w:rsid w:val="00202548"/>
    <w:rsid w:val="00202FA3"/>
    <w:rsid w:val="002041DD"/>
    <w:rsid w:val="00205043"/>
    <w:rsid w:val="0020613C"/>
    <w:rsid w:val="002069D3"/>
    <w:rsid w:val="0021028C"/>
    <w:rsid w:val="002104B9"/>
    <w:rsid w:val="00210C8C"/>
    <w:rsid w:val="00211270"/>
    <w:rsid w:val="00211450"/>
    <w:rsid w:val="002126BA"/>
    <w:rsid w:val="00212862"/>
    <w:rsid w:val="00212FC2"/>
    <w:rsid w:val="0021320C"/>
    <w:rsid w:val="00213261"/>
    <w:rsid w:val="0021364B"/>
    <w:rsid w:val="002138BC"/>
    <w:rsid w:val="002151D7"/>
    <w:rsid w:val="002154C4"/>
    <w:rsid w:val="002159D9"/>
    <w:rsid w:val="00215D82"/>
    <w:rsid w:val="00215E8B"/>
    <w:rsid w:val="002163CA"/>
    <w:rsid w:val="00216458"/>
    <w:rsid w:val="002178D6"/>
    <w:rsid w:val="00217C00"/>
    <w:rsid w:val="0022058B"/>
    <w:rsid w:val="002208B7"/>
    <w:rsid w:val="002210F3"/>
    <w:rsid w:val="00221248"/>
    <w:rsid w:val="002212BC"/>
    <w:rsid w:val="0022141D"/>
    <w:rsid w:val="0022191A"/>
    <w:rsid w:val="00221D2C"/>
    <w:rsid w:val="00221D65"/>
    <w:rsid w:val="00221E6E"/>
    <w:rsid w:val="00222884"/>
    <w:rsid w:val="00222BC2"/>
    <w:rsid w:val="002232FF"/>
    <w:rsid w:val="00223CF8"/>
    <w:rsid w:val="00225156"/>
    <w:rsid w:val="002255F7"/>
    <w:rsid w:val="002257E6"/>
    <w:rsid w:val="00225BC3"/>
    <w:rsid w:val="00225DF4"/>
    <w:rsid w:val="00226968"/>
    <w:rsid w:val="00226F28"/>
    <w:rsid w:val="002273E1"/>
    <w:rsid w:val="002307D3"/>
    <w:rsid w:val="00231234"/>
    <w:rsid w:val="00231335"/>
    <w:rsid w:val="0023191B"/>
    <w:rsid w:val="002319A7"/>
    <w:rsid w:val="00232921"/>
    <w:rsid w:val="00233BB7"/>
    <w:rsid w:val="00234276"/>
    <w:rsid w:val="00234A50"/>
    <w:rsid w:val="002354FD"/>
    <w:rsid w:val="002364C8"/>
    <w:rsid w:val="002364CD"/>
    <w:rsid w:val="00236653"/>
    <w:rsid w:val="002366FE"/>
    <w:rsid w:val="00236946"/>
    <w:rsid w:val="00237058"/>
    <w:rsid w:val="0023758A"/>
    <w:rsid w:val="00237E3D"/>
    <w:rsid w:val="00237EC5"/>
    <w:rsid w:val="00237FCD"/>
    <w:rsid w:val="002409BB"/>
    <w:rsid w:val="00240B81"/>
    <w:rsid w:val="00240EC6"/>
    <w:rsid w:val="00241185"/>
    <w:rsid w:val="00241AE2"/>
    <w:rsid w:val="00241B4C"/>
    <w:rsid w:val="00242472"/>
    <w:rsid w:val="00243B8D"/>
    <w:rsid w:val="0024486D"/>
    <w:rsid w:val="00245540"/>
    <w:rsid w:val="002456DA"/>
    <w:rsid w:val="002459D9"/>
    <w:rsid w:val="00245B89"/>
    <w:rsid w:val="00246147"/>
    <w:rsid w:val="00246328"/>
    <w:rsid w:val="002468D7"/>
    <w:rsid w:val="00246F67"/>
    <w:rsid w:val="002475F9"/>
    <w:rsid w:val="0024765B"/>
    <w:rsid w:val="0024780B"/>
    <w:rsid w:val="00247A98"/>
    <w:rsid w:val="00247B5D"/>
    <w:rsid w:val="00250149"/>
    <w:rsid w:val="00250C08"/>
    <w:rsid w:val="002513AB"/>
    <w:rsid w:val="002515C7"/>
    <w:rsid w:val="00251F85"/>
    <w:rsid w:val="002521EB"/>
    <w:rsid w:val="00252378"/>
    <w:rsid w:val="00252E6B"/>
    <w:rsid w:val="00252F23"/>
    <w:rsid w:val="00253C19"/>
    <w:rsid w:val="00254182"/>
    <w:rsid w:val="002549E4"/>
    <w:rsid w:val="00256C34"/>
    <w:rsid w:val="00257C41"/>
    <w:rsid w:val="00257DDA"/>
    <w:rsid w:val="00260A60"/>
    <w:rsid w:val="00260F0B"/>
    <w:rsid w:val="00261E3C"/>
    <w:rsid w:val="00262067"/>
    <w:rsid w:val="00262554"/>
    <w:rsid w:val="00262990"/>
    <w:rsid w:val="00262D4E"/>
    <w:rsid w:val="00262E59"/>
    <w:rsid w:val="00263811"/>
    <w:rsid w:val="00263A83"/>
    <w:rsid w:val="002643EA"/>
    <w:rsid w:val="0026493E"/>
    <w:rsid w:val="00264A61"/>
    <w:rsid w:val="00264E9B"/>
    <w:rsid w:val="002658F1"/>
    <w:rsid w:val="002669E8"/>
    <w:rsid w:val="00266BF3"/>
    <w:rsid w:val="00266C98"/>
    <w:rsid w:val="00266DB4"/>
    <w:rsid w:val="002678D9"/>
    <w:rsid w:val="00267D7F"/>
    <w:rsid w:val="00270A98"/>
    <w:rsid w:val="00270DCC"/>
    <w:rsid w:val="00271A34"/>
    <w:rsid w:val="00271E9B"/>
    <w:rsid w:val="00272ADD"/>
    <w:rsid w:val="00273E7D"/>
    <w:rsid w:val="00273EBB"/>
    <w:rsid w:val="00274583"/>
    <w:rsid w:val="0027468F"/>
    <w:rsid w:val="00275DF1"/>
    <w:rsid w:val="0027666D"/>
    <w:rsid w:val="00276832"/>
    <w:rsid w:val="00276B2F"/>
    <w:rsid w:val="00277253"/>
    <w:rsid w:val="002775D9"/>
    <w:rsid w:val="00280035"/>
    <w:rsid w:val="0028061D"/>
    <w:rsid w:val="0028085F"/>
    <w:rsid w:val="00280D11"/>
    <w:rsid w:val="00280D39"/>
    <w:rsid w:val="002811F5"/>
    <w:rsid w:val="00281C0E"/>
    <w:rsid w:val="0028265D"/>
    <w:rsid w:val="00282C4E"/>
    <w:rsid w:val="00282D27"/>
    <w:rsid w:val="00283040"/>
    <w:rsid w:val="0028475E"/>
    <w:rsid w:val="00284F1A"/>
    <w:rsid w:val="00284FFB"/>
    <w:rsid w:val="00285085"/>
    <w:rsid w:val="00286B6D"/>
    <w:rsid w:val="002875E7"/>
    <w:rsid w:val="002877D8"/>
    <w:rsid w:val="00287A9E"/>
    <w:rsid w:val="00287D3C"/>
    <w:rsid w:val="00287F96"/>
    <w:rsid w:val="002900D7"/>
    <w:rsid w:val="0029066A"/>
    <w:rsid w:val="00290E05"/>
    <w:rsid w:val="00290FDD"/>
    <w:rsid w:val="0029164B"/>
    <w:rsid w:val="00291AAB"/>
    <w:rsid w:val="00291D4B"/>
    <w:rsid w:val="00291DDB"/>
    <w:rsid w:val="00292713"/>
    <w:rsid w:val="002927AF"/>
    <w:rsid w:val="00292C5E"/>
    <w:rsid w:val="00293443"/>
    <w:rsid w:val="00293717"/>
    <w:rsid w:val="002939B7"/>
    <w:rsid w:val="00293F34"/>
    <w:rsid w:val="00294238"/>
    <w:rsid w:val="002946A3"/>
    <w:rsid w:val="0029573E"/>
    <w:rsid w:val="00295BFB"/>
    <w:rsid w:val="00295CD3"/>
    <w:rsid w:val="00295F03"/>
    <w:rsid w:val="00295FF0"/>
    <w:rsid w:val="0029642A"/>
    <w:rsid w:val="00296592"/>
    <w:rsid w:val="0029689C"/>
    <w:rsid w:val="002968F2"/>
    <w:rsid w:val="0029794E"/>
    <w:rsid w:val="00297975"/>
    <w:rsid w:val="002A09C2"/>
    <w:rsid w:val="002A10A8"/>
    <w:rsid w:val="002A149C"/>
    <w:rsid w:val="002A2205"/>
    <w:rsid w:val="002A22ED"/>
    <w:rsid w:val="002A23A5"/>
    <w:rsid w:val="002A26FD"/>
    <w:rsid w:val="002A2C20"/>
    <w:rsid w:val="002A307A"/>
    <w:rsid w:val="002A336A"/>
    <w:rsid w:val="002A3495"/>
    <w:rsid w:val="002A3553"/>
    <w:rsid w:val="002A362B"/>
    <w:rsid w:val="002A374E"/>
    <w:rsid w:val="002A4ACC"/>
    <w:rsid w:val="002A5022"/>
    <w:rsid w:val="002A5E77"/>
    <w:rsid w:val="002A6090"/>
    <w:rsid w:val="002A63B1"/>
    <w:rsid w:val="002A63CB"/>
    <w:rsid w:val="002A6899"/>
    <w:rsid w:val="002A69B9"/>
    <w:rsid w:val="002A69D8"/>
    <w:rsid w:val="002A732F"/>
    <w:rsid w:val="002A7813"/>
    <w:rsid w:val="002A7E39"/>
    <w:rsid w:val="002A7F6D"/>
    <w:rsid w:val="002B1069"/>
    <w:rsid w:val="002B11D1"/>
    <w:rsid w:val="002B1DC1"/>
    <w:rsid w:val="002B21F5"/>
    <w:rsid w:val="002B2C62"/>
    <w:rsid w:val="002B2F04"/>
    <w:rsid w:val="002B3030"/>
    <w:rsid w:val="002B39D7"/>
    <w:rsid w:val="002B3C71"/>
    <w:rsid w:val="002B3FEC"/>
    <w:rsid w:val="002B4093"/>
    <w:rsid w:val="002B40DC"/>
    <w:rsid w:val="002B4739"/>
    <w:rsid w:val="002B4B3D"/>
    <w:rsid w:val="002B54EF"/>
    <w:rsid w:val="002B6654"/>
    <w:rsid w:val="002B6941"/>
    <w:rsid w:val="002B6DF6"/>
    <w:rsid w:val="002B7627"/>
    <w:rsid w:val="002B7827"/>
    <w:rsid w:val="002C051E"/>
    <w:rsid w:val="002C056A"/>
    <w:rsid w:val="002C0C7F"/>
    <w:rsid w:val="002C0EFC"/>
    <w:rsid w:val="002C2DC7"/>
    <w:rsid w:val="002C366B"/>
    <w:rsid w:val="002C5240"/>
    <w:rsid w:val="002C5960"/>
    <w:rsid w:val="002C66B8"/>
    <w:rsid w:val="002C672D"/>
    <w:rsid w:val="002C6ACD"/>
    <w:rsid w:val="002C7D11"/>
    <w:rsid w:val="002C7F8A"/>
    <w:rsid w:val="002D0332"/>
    <w:rsid w:val="002D0D27"/>
    <w:rsid w:val="002D11C3"/>
    <w:rsid w:val="002D1CB4"/>
    <w:rsid w:val="002D2857"/>
    <w:rsid w:val="002D38FD"/>
    <w:rsid w:val="002D3C4C"/>
    <w:rsid w:val="002D4058"/>
    <w:rsid w:val="002D40F8"/>
    <w:rsid w:val="002D46F5"/>
    <w:rsid w:val="002D4996"/>
    <w:rsid w:val="002D4C38"/>
    <w:rsid w:val="002D4F33"/>
    <w:rsid w:val="002D6D54"/>
    <w:rsid w:val="002D75FD"/>
    <w:rsid w:val="002D7F81"/>
    <w:rsid w:val="002E0367"/>
    <w:rsid w:val="002E0AF9"/>
    <w:rsid w:val="002E0FDE"/>
    <w:rsid w:val="002E135A"/>
    <w:rsid w:val="002E20A7"/>
    <w:rsid w:val="002E235F"/>
    <w:rsid w:val="002E2432"/>
    <w:rsid w:val="002E250D"/>
    <w:rsid w:val="002E3A9A"/>
    <w:rsid w:val="002E3BDE"/>
    <w:rsid w:val="002E3F6D"/>
    <w:rsid w:val="002E40FE"/>
    <w:rsid w:val="002E47A6"/>
    <w:rsid w:val="002E4934"/>
    <w:rsid w:val="002E49D5"/>
    <w:rsid w:val="002E4B92"/>
    <w:rsid w:val="002E4BD6"/>
    <w:rsid w:val="002E4F44"/>
    <w:rsid w:val="002E501C"/>
    <w:rsid w:val="002E519D"/>
    <w:rsid w:val="002E5FC9"/>
    <w:rsid w:val="002E5FEC"/>
    <w:rsid w:val="002E6FC3"/>
    <w:rsid w:val="002E722C"/>
    <w:rsid w:val="002F015C"/>
    <w:rsid w:val="002F1262"/>
    <w:rsid w:val="002F1459"/>
    <w:rsid w:val="002F17B8"/>
    <w:rsid w:val="002F1C84"/>
    <w:rsid w:val="002F231E"/>
    <w:rsid w:val="002F2495"/>
    <w:rsid w:val="002F3170"/>
    <w:rsid w:val="002F32B0"/>
    <w:rsid w:val="002F3671"/>
    <w:rsid w:val="002F3752"/>
    <w:rsid w:val="002F4241"/>
    <w:rsid w:val="002F42B4"/>
    <w:rsid w:val="002F508E"/>
    <w:rsid w:val="002F533A"/>
    <w:rsid w:val="002F5B2F"/>
    <w:rsid w:val="002F6994"/>
    <w:rsid w:val="002F72A9"/>
    <w:rsid w:val="002F73A4"/>
    <w:rsid w:val="002F7D44"/>
    <w:rsid w:val="002F7FED"/>
    <w:rsid w:val="00300284"/>
    <w:rsid w:val="00300A56"/>
    <w:rsid w:val="00301D80"/>
    <w:rsid w:val="00302667"/>
    <w:rsid w:val="00302C1F"/>
    <w:rsid w:val="0030305B"/>
    <w:rsid w:val="00303BDA"/>
    <w:rsid w:val="0030450C"/>
    <w:rsid w:val="00304728"/>
    <w:rsid w:val="00306362"/>
    <w:rsid w:val="0030675A"/>
    <w:rsid w:val="00307567"/>
    <w:rsid w:val="003076F6"/>
    <w:rsid w:val="00307752"/>
    <w:rsid w:val="00307DBA"/>
    <w:rsid w:val="00311B2C"/>
    <w:rsid w:val="0031251C"/>
    <w:rsid w:val="003136A1"/>
    <w:rsid w:val="003140AC"/>
    <w:rsid w:val="0031423C"/>
    <w:rsid w:val="003145F9"/>
    <w:rsid w:val="00314BC0"/>
    <w:rsid w:val="00314EFF"/>
    <w:rsid w:val="0031529D"/>
    <w:rsid w:val="00315345"/>
    <w:rsid w:val="00315445"/>
    <w:rsid w:val="003158DE"/>
    <w:rsid w:val="003166A5"/>
    <w:rsid w:val="00316DB3"/>
    <w:rsid w:val="00316F91"/>
    <w:rsid w:val="00317240"/>
    <w:rsid w:val="0031725D"/>
    <w:rsid w:val="003174E6"/>
    <w:rsid w:val="0032055D"/>
    <w:rsid w:val="00321F77"/>
    <w:rsid w:val="003225F4"/>
    <w:rsid w:val="00322FC4"/>
    <w:rsid w:val="00323320"/>
    <w:rsid w:val="0032359F"/>
    <w:rsid w:val="0032409E"/>
    <w:rsid w:val="00324135"/>
    <w:rsid w:val="00324AEC"/>
    <w:rsid w:val="00324CA3"/>
    <w:rsid w:val="003255ED"/>
    <w:rsid w:val="00327BAB"/>
    <w:rsid w:val="00327F86"/>
    <w:rsid w:val="003301BA"/>
    <w:rsid w:val="0033065D"/>
    <w:rsid w:val="0033172D"/>
    <w:rsid w:val="00332025"/>
    <w:rsid w:val="00332426"/>
    <w:rsid w:val="00332E6F"/>
    <w:rsid w:val="003334B3"/>
    <w:rsid w:val="0033355A"/>
    <w:rsid w:val="003336B5"/>
    <w:rsid w:val="00333813"/>
    <w:rsid w:val="00333A5E"/>
    <w:rsid w:val="00333CFF"/>
    <w:rsid w:val="00333E68"/>
    <w:rsid w:val="00334A01"/>
    <w:rsid w:val="00335166"/>
    <w:rsid w:val="0033568F"/>
    <w:rsid w:val="003360CE"/>
    <w:rsid w:val="003361C9"/>
    <w:rsid w:val="00336204"/>
    <w:rsid w:val="0033652C"/>
    <w:rsid w:val="003368AF"/>
    <w:rsid w:val="0033698E"/>
    <w:rsid w:val="00336A05"/>
    <w:rsid w:val="003376FE"/>
    <w:rsid w:val="003377A6"/>
    <w:rsid w:val="003406B0"/>
    <w:rsid w:val="003406CA"/>
    <w:rsid w:val="00340C37"/>
    <w:rsid w:val="00341443"/>
    <w:rsid w:val="00341752"/>
    <w:rsid w:val="003418AE"/>
    <w:rsid w:val="00341DB4"/>
    <w:rsid w:val="00341EB8"/>
    <w:rsid w:val="00341F26"/>
    <w:rsid w:val="00342123"/>
    <w:rsid w:val="003423F3"/>
    <w:rsid w:val="0034330D"/>
    <w:rsid w:val="003435ED"/>
    <w:rsid w:val="003436CD"/>
    <w:rsid w:val="00343853"/>
    <w:rsid w:val="003449F2"/>
    <w:rsid w:val="00344DE6"/>
    <w:rsid w:val="003452F1"/>
    <w:rsid w:val="003453EA"/>
    <w:rsid w:val="00345592"/>
    <w:rsid w:val="00345AAD"/>
    <w:rsid w:val="00345E88"/>
    <w:rsid w:val="0034671B"/>
    <w:rsid w:val="00346804"/>
    <w:rsid w:val="00346C10"/>
    <w:rsid w:val="0035033C"/>
    <w:rsid w:val="003511CC"/>
    <w:rsid w:val="0035142F"/>
    <w:rsid w:val="00351810"/>
    <w:rsid w:val="00352492"/>
    <w:rsid w:val="00352799"/>
    <w:rsid w:val="0035410E"/>
    <w:rsid w:val="00354196"/>
    <w:rsid w:val="00354280"/>
    <w:rsid w:val="00354DA3"/>
    <w:rsid w:val="0035603D"/>
    <w:rsid w:val="00356517"/>
    <w:rsid w:val="00356CBE"/>
    <w:rsid w:val="0035706E"/>
    <w:rsid w:val="00357494"/>
    <w:rsid w:val="00357712"/>
    <w:rsid w:val="00357ACE"/>
    <w:rsid w:val="003609DB"/>
    <w:rsid w:val="003623F5"/>
    <w:rsid w:val="00362787"/>
    <w:rsid w:val="00363D17"/>
    <w:rsid w:val="003646AE"/>
    <w:rsid w:val="00364A68"/>
    <w:rsid w:val="00366710"/>
    <w:rsid w:val="003668B3"/>
    <w:rsid w:val="0036745D"/>
    <w:rsid w:val="00367E6F"/>
    <w:rsid w:val="00370D88"/>
    <w:rsid w:val="00372BFE"/>
    <w:rsid w:val="00372C94"/>
    <w:rsid w:val="0037349E"/>
    <w:rsid w:val="003737DC"/>
    <w:rsid w:val="00373F24"/>
    <w:rsid w:val="00374212"/>
    <w:rsid w:val="00374DC6"/>
    <w:rsid w:val="0037599D"/>
    <w:rsid w:val="003760F2"/>
    <w:rsid w:val="00380714"/>
    <w:rsid w:val="00380B5A"/>
    <w:rsid w:val="00380DF9"/>
    <w:rsid w:val="00381040"/>
    <w:rsid w:val="00381C68"/>
    <w:rsid w:val="00382224"/>
    <w:rsid w:val="003822E0"/>
    <w:rsid w:val="00382A76"/>
    <w:rsid w:val="00382B91"/>
    <w:rsid w:val="00382C2E"/>
    <w:rsid w:val="00382C43"/>
    <w:rsid w:val="0038308E"/>
    <w:rsid w:val="00384A2C"/>
    <w:rsid w:val="00385817"/>
    <w:rsid w:val="00385B48"/>
    <w:rsid w:val="00386336"/>
    <w:rsid w:val="00386786"/>
    <w:rsid w:val="003873D9"/>
    <w:rsid w:val="00387583"/>
    <w:rsid w:val="003903C2"/>
    <w:rsid w:val="00390C41"/>
    <w:rsid w:val="00391565"/>
    <w:rsid w:val="00391F27"/>
    <w:rsid w:val="00391F5B"/>
    <w:rsid w:val="00392295"/>
    <w:rsid w:val="0039238E"/>
    <w:rsid w:val="00393046"/>
    <w:rsid w:val="003932F9"/>
    <w:rsid w:val="00393603"/>
    <w:rsid w:val="00393ABD"/>
    <w:rsid w:val="00394053"/>
    <w:rsid w:val="0039635A"/>
    <w:rsid w:val="00396E87"/>
    <w:rsid w:val="003974E4"/>
    <w:rsid w:val="00397A49"/>
    <w:rsid w:val="00397EFB"/>
    <w:rsid w:val="003A0420"/>
    <w:rsid w:val="003A0D72"/>
    <w:rsid w:val="003A12BF"/>
    <w:rsid w:val="003A1802"/>
    <w:rsid w:val="003A1841"/>
    <w:rsid w:val="003A2874"/>
    <w:rsid w:val="003A320F"/>
    <w:rsid w:val="003A4561"/>
    <w:rsid w:val="003A48C9"/>
    <w:rsid w:val="003A534E"/>
    <w:rsid w:val="003A690A"/>
    <w:rsid w:val="003A6B58"/>
    <w:rsid w:val="003A6C6A"/>
    <w:rsid w:val="003A6F69"/>
    <w:rsid w:val="003A7321"/>
    <w:rsid w:val="003A7A15"/>
    <w:rsid w:val="003A7BCB"/>
    <w:rsid w:val="003A7D75"/>
    <w:rsid w:val="003A7E77"/>
    <w:rsid w:val="003B0C8C"/>
    <w:rsid w:val="003B0E92"/>
    <w:rsid w:val="003B18CA"/>
    <w:rsid w:val="003B1BA2"/>
    <w:rsid w:val="003B1EFD"/>
    <w:rsid w:val="003B229B"/>
    <w:rsid w:val="003B23BD"/>
    <w:rsid w:val="003B26D2"/>
    <w:rsid w:val="003B35CA"/>
    <w:rsid w:val="003B4444"/>
    <w:rsid w:val="003B5327"/>
    <w:rsid w:val="003B57DF"/>
    <w:rsid w:val="003B5861"/>
    <w:rsid w:val="003B5FF2"/>
    <w:rsid w:val="003B6DC5"/>
    <w:rsid w:val="003B711C"/>
    <w:rsid w:val="003B730D"/>
    <w:rsid w:val="003C185D"/>
    <w:rsid w:val="003C190A"/>
    <w:rsid w:val="003C1A1F"/>
    <w:rsid w:val="003C33C6"/>
    <w:rsid w:val="003C3B33"/>
    <w:rsid w:val="003C3E32"/>
    <w:rsid w:val="003C43CF"/>
    <w:rsid w:val="003C466A"/>
    <w:rsid w:val="003C4D06"/>
    <w:rsid w:val="003C4F9A"/>
    <w:rsid w:val="003C517B"/>
    <w:rsid w:val="003C62CF"/>
    <w:rsid w:val="003C64E5"/>
    <w:rsid w:val="003C6CE0"/>
    <w:rsid w:val="003C7356"/>
    <w:rsid w:val="003C777F"/>
    <w:rsid w:val="003C7887"/>
    <w:rsid w:val="003C7E18"/>
    <w:rsid w:val="003D02BC"/>
    <w:rsid w:val="003D0712"/>
    <w:rsid w:val="003D0E3A"/>
    <w:rsid w:val="003D1A22"/>
    <w:rsid w:val="003D1AE9"/>
    <w:rsid w:val="003D1EA6"/>
    <w:rsid w:val="003D32AF"/>
    <w:rsid w:val="003D3542"/>
    <w:rsid w:val="003D39B3"/>
    <w:rsid w:val="003D3EA4"/>
    <w:rsid w:val="003D42D6"/>
    <w:rsid w:val="003D5182"/>
    <w:rsid w:val="003D6999"/>
    <w:rsid w:val="003D69C4"/>
    <w:rsid w:val="003E0247"/>
    <w:rsid w:val="003E043F"/>
    <w:rsid w:val="003E056A"/>
    <w:rsid w:val="003E1CB4"/>
    <w:rsid w:val="003E1D35"/>
    <w:rsid w:val="003E1EA8"/>
    <w:rsid w:val="003E2218"/>
    <w:rsid w:val="003E3291"/>
    <w:rsid w:val="003E3D32"/>
    <w:rsid w:val="003E4BFE"/>
    <w:rsid w:val="003E4D22"/>
    <w:rsid w:val="003E508A"/>
    <w:rsid w:val="003E53FF"/>
    <w:rsid w:val="003E5CED"/>
    <w:rsid w:val="003E7420"/>
    <w:rsid w:val="003E7568"/>
    <w:rsid w:val="003F00DB"/>
    <w:rsid w:val="003F278E"/>
    <w:rsid w:val="003F2C96"/>
    <w:rsid w:val="003F309B"/>
    <w:rsid w:val="003F3873"/>
    <w:rsid w:val="003F3D1B"/>
    <w:rsid w:val="003F4A53"/>
    <w:rsid w:val="003F4E2E"/>
    <w:rsid w:val="003F4F5E"/>
    <w:rsid w:val="003F5843"/>
    <w:rsid w:val="003F7CFE"/>
    <w:rsid w:val="003F7EFE"/>
    <w:rsid w:val="004000D4"/>
    <w:rsid w:val="00400766"/>
    <w:rsid w:val="00400C72"/>
    <w:rsid w:val="0040145E"/>
    <w:rsid w:val="0040191C"/>
    <w:rsid w:val="004032A9"/>
    <w:rsid w:val="004032FC"/>
    <w:rsid w:val="0040340D"/>
    <w:rsid w:val="00403525"/>
    <w:rsid w:val="00403EA4"/>
    <w:rsid w:val="004048E6"/>
    <w:rsid w:val="00404BCB"/>
    <w:rsid w:val="0040557D"/>
    <w:rsid w:val="0040569E"/>
    <w:rsid w:val="00405881"/>
    <w:rsid w:val="00405F60"/>
    <w:rsid w:val="00406576"/>
    <w:rsid w:val="00407009"/>
    <w:rsid w:val="00407825"/>
    <w:rsid w:val="004102C7"/>
    <w:rsid w:val="004103D1"/>
    <w:rsid w:val="004122E9"/>
    <w:rsid w:val="004127E5"/>
    <w:rsid w:val="00412975"/>
    <w:rsid w:val="00413095"/>
    <w:rsid w:val="00413D6F"/>
    <w:rsid w:val="00414C33"/>
    <w:rsid w:val="00414D0B"/>
    <w:rsid w:val="00414F7D"/>
    <w:rsid w:val="00415A9F"/>
    <w:rsid w:val="00416227"/>
    <w:rsid w:val="00416A2A"/>
    <w:rsid w:val="00416CC4"/>
    <w:rsid w:val="00416F07"/>
    <w:rsid w:val="004171AE"/>
    <w:rsid w:val="0041796B"/>
    <w:rsid w:val="004200C5"/>
    <w:rsid w:val="004203B8"/>
    <w:rsid w:val="00420679"/>
    <w:rsid w:val="004210BB"/>
    <w:rsid w:val="0042114A"/>
    <w:rsid w:val="00422192"/>
    <w:rsid w:val="00422DEB"/>
    <w:rsid w:val="00422E85"/>
    <w:rsid w:val="00423240"/>
    <w:rsid w:val="004232F2"/>
    <w:rsid w:val="0042372C"/>
    <w:rsid w:val="00423C4A"/>
    <w:rsid w:val="00423C6B"/>
    <w:rsid w:val="004240F2"/>
    <w:rsid w:val="004242BC"/>
    <w:rsid w:val="00424978"/>
    <w:rsid w:val="00424E7C"/>
    <w:rsid w:val="00425128"/>
    <w:rsid w:val="00425507"/>
    <w:rsid w:val="004256E6"/>
    <w:rsid w:val="00425E6A"/>
    <w:rsid w:val="00426337"/>
    <w:rsid w:val="00426F74"/>
    <w:rsid w:val="00430FD8"/>
    <w:rsid w:val="00431298"/>
    <w:rsid w:val="00431352"/>
    <w:rsid w:val="00433797"/>
    <w:rsid w:val="00433CCB"/>
    <w:rsid w:val="00433E6C"/>
    <w:rsid w:val="00434BB2"/>
    <w:rsid w:val="004352B9"/>
    <w:rsid w:val="00435581"/>
    <w:rsid w:val="0043574C"/>
    <w:rsid w:val="00435D5E"/>
    <w:rsid w:val="00435D93"/>
    <w:rsid w:val="00436993"/>
    <w:rsid w:val="00436E18"/>
    <w:rsid w:val="00437254"/>
    <w:rsid w:val="004372C0"/>
    <w:rsid w:val="00437821"/>
    <w:rsid w:val="004379E9"/>
    <w:rsid w:val="00437CD7"/>
    <w:rsid w:val="00437E58"/>
    <w:rsid w:val="0044008A"/>
    <w:rsid w:val="00441A13"/>
    <w:rsid w:val="004421F7"/>
    <w:rsid w:val="0044235E"/>
    <w:rsid w:val="00442D98"/>
    <w:rsid w:val="00442DD7"/>
    <w:rsid w:val="00443322"/>
    <w:rsid w:val="00443C82"/>
    <w:rsid w:val="00443CEA"/>
    <w:rsid w:val="00443D12"/>
    <w:rsid w:val="00445263"/>
    <w:rsid w:val="00445273"/>
    <w:rsid w:val="004453B8"/>
    <w:rsid w:val="004456A4"/>
    <w:rsid w:val="00446034"/>
    <w:rsid w:val="00446B54"/>
    <w:rsid w:val="0044707C"/>
    <w:rsid w:val="004518FC"/>
    <w:rsid w:val="00451B79"/>
    <w:rsid w:val="0045233B"/>
    <w:rsid w:val="00452F1F"/>
    <w:rsid w:val="00453070"/>
    <w:rsid w:val="0045321A"/>
    <w:rsid w:val="00453346"/>
    <w:rsid w:val="00453C47"/>
    <w:rsid w:val="004543AC"/>
    <w:rsid w:val="0045631F"/>
    <w:rsid w:val="00456B2C"/>
    <w:rsid w:val="00456D5D"/>
    <w:rsid w:val="0045713A"/>
    <w:rsid w:val="0045780C"/>
    <w:rsid w:val="00457C5D"/>
    <w:rsid w:val="00457D0D"/>
    <w:rsid w:val="00460371"/>
    <w:rsid w:val="00460558"/>
    <w:rsid w:val="004610F1"/>
    <w:rsid w:val="004619AD"/>
    <w:rsid w:val="00461B3C"/>
    <w:rsid w:val="00462055"/>
    <w:rsid w:val="00462281"/>
    <w:rsid w:val="0046290F"/>
    <w:rsid w:val="00462C24"/>
    <w:rsid w:val="00462D7C"/>
    <w:rsid w:val="004635DC"/>
    <w:rsid w:val="00464C1A"/>
    <w:rsid w:val="00465721"/>
    <w:rsid w:val="00465C84"/>
    <w:rsid w:val="00465DF4"/>
    <w:rsid w:val="00466829"/>
    <w:rsid w:val="00467184"/>
    <w:rsid w:val="0046729B"/>
    <w:rsid w:val="0046741B"/>
    <w:rsid w:val="004676CB"/>
    <w:rsid w:val="0046778C"/>
    <w:rsid w:val="00467899"/>
    <w:rsid w:val="00467B38"/>
    <w:rsid w:val="00470081"/>
    <w:rsid w:val="00470803"/>
    <w:rsid w:val="00471244"/>
    <w:rsid w:val="00471CFF"/>
    <w:rsid w:val="00471E05"/>
    <w:rsid w:val="004739DF"/>
    <w:rsid w:val="0047433D"/>
    <w:rsid w:val="0047570A"/>
    <w:rsid w:val="00476407"/>
    <w:rsid w:val="004767D0"/>
    <w:rsid w:val="00476F15"/>
    <w:rsid w:val="0047761C"/>
    <w:rsid w:val="00477781"/>
    <w:rsid w:val="00480039"/>
    <w:rsid w:val="0048057A"/>
    <w:rsid w:val="00480B8A"/>
    <w:rsid w:val="00481855"/>
    <w:rsid w:val="004821B3"/>
    <w:rsid w:val="00483743"/>
    <w:rsid w:val="00483B8A"/>
    <w:rsid w:val="00484606"/>
    <w:rsid w:val="00485B6F"/>
    <w:rsid w:val="00485F86"/>
    <w:rsid w:val="004864D8"/>
    <w:rsid w:val="00487163"/>
    <w:rsid w:val="004871B9"/>
    <w:rsid w:val="004876B7"/>
    <w:rsid w:val="004902A5"/>
    <w:rsid w:val="00490330"/>
    <w:rsid w:val="00490674"/>
    <w:rsid w:val="00490840"/>
    <w:rsid w:val="00490B2A"/>
    <w:rsid w:val="00490BE6"/>
    <w:rsid w:val="00491457"/>
    <w:rsid w:val="0049149D"/>
    <w:rsid w:val="00491894"/>
    <w:rsid w:val="00491F58"/>
    <w:rsid w:val="004923A9"/>
    <w:rsid w:val="00492A52"/>
    <w:rsid w:val="00492B59"/>
    <w:rsid w:val="00493C7D"/>
    <w:rsid w:val="00493F8E"/>
    <w:rsid w:val="004942FE"/>
    <w:rsid w:val="0049489D"/>
    <w:rsid w:val="00494B50"/>
    <w:rsid w:val="00494F68"/>
    <w:rsid w:val="0049525E"/>
    <w:rsid w:val="0049556C"/>
    <w:rsid w:val="00495896"/>
    <w:rsid w:val="00495A90"/>
    <w:rsid w:val="00495D32"/>
    <w:rsid w:val="00496889"/>
    <w:rsid w:val="00496A6C"/>
    <w:rsid w:val="00496D9D"/>
    <w:rsid w:val="00496F54"/>
    <w:rsid w:val="00497107"/>
    <w:rsid w:val="004971AD"/>
    <w:rsid w:val="004978FA"/>
    <w:rsid w:val="004979C6"/>
    <w:rsid w:val="004A0715"/>
    <w:rsid w:val="004A0CB7"/>
    <w:rsid w:val="004A1255"/>
    <w:rsid w:val="004A12C0"/>
    <w:rsid w:val="004A1ADF"/>
    <w:rsid w:val="004A1BD7"/>
    <w:rsid w:val="004A1E80"/>
    <w:rsid w:val="004A2F54"/>
    <w:rsid w:val="004A42A5"/>
    <w:rsid w:val="004A4CF9"/>
    <w:rsid w:val="004A4FFB"/>
    <w:rsid w:val="004A5428"/>
    <w:rsid w:val="004A5A36"/>
    <w:rsid w:val="004A5EAC"/>
    <w:rsid w:val="004A61CB"/>
    <w:rsid w:val="004A65B4"/>
    <w:rsid w:val="004A6616"/>
    <w:rsid w:val="004A67BF"/>
    <w:rsid w:val="004A7553"/>
    <w:rsid w:val="004B0057"/>
    <w:rsid w:val="004B2416"/>
    <w:rsid w:val="004B2C88"/>
    <w:rsid w:val="004B3741"/>
    <w:rsid w:val="004B44A2"/>
    <w:rsid w:val="004B4966"/>
    <w:rsid w:val="004B5151"/>
    <w:rsid w:val="004B51D1"/>
    <w:rsid w:val="004B6078"/>
    <w:rsid w:val="004B63C9"/>
    <w:rsid w:val="004B679C"/>
    <w:rsid w:val="004B743E"/>
    <w:rsid w:val="004B795A"/>
    <w:rsid w:val="004B7F7F"/>
    <w:rsid w:val="004C0166"/>
    <w:rsid w:val="004C04BC"/>
    <w:rsid w:val="004C0D94"/>
    <w:rsid w:val="004C1653"/>
    <w:rsid w:val="004C22FD"/>
    <w:rsid w:val="004C26CB"/>
    <w:rsid w:val="004C2DA5"/>
    <w:rsid w:val="004C2E32"/>
    <w:rsid w:val="004C3393"/>
    <w:rsid w:val="004C3689"/>
    <w:rsid w:val="004C4A49"/>
    <w:rsid w:val="004C4BC4"/>
    <w:rsid w:val="004C5152"/>
    <w:rsid w:val="004C5640"/>
    <w:rsid w:val="004C60D6"/>
    <w:rsid w:val="004C6D11"/>
    <w:rsid w:val="004C720B"/>
    <w:rsid w:val="004C76F4"/>
    <w:rsid w:val="004C7833"/>
    <w:rsid w:val="004D0059"/>
    <w:rsid w:val="004D0106"/>
    <w:rsid w:val="004D0E76"/>
    <w:rsid w:val="004D1588"/>
    <w:rsid w:val="004D3861"/>
    <w:rsid w:val="004D3A83"/>
    <w:rsid w:val="004D4048"/>
    <w:rsid w:val="004D42A7"/>
    <w:rsid w:val="004D4388"/>
    <w:rsid w:val="004D52B8"/>
    <w:rsid w:val="004D5643"/>
    <w:rsid w:val="004D72ED"/>
    <w:rsid w:val="004D7B1C"/>
    <w:rsid w:val="004E0199"/>
    <w:rsid w:val="004E1C76"/>
    <w:rsid w:val="004E2223"/>
    <w:rsid w:val="004E2FA5"/>
    <w:rsid w:val="004E30E9"/>
    <w:rsid w:val="004E3125"/>
    <w:rsid w:val="004E31C6"/>
    <w:rsid w:val="004E3255"/>
    <w:rsid w:val="004E32BD"/>
    <w:rsid w:val="004E32C1"/>
    <w:rsid w:val="004E3731"/>
    <w:rsid w:val="004E3EBF"/>
    <w:rsid w:val="004E4011"/>
    <w:rsid w:val="004E493F"/>
    <w:rsid w:val="004E4A96"/>
    <w:rsid w:val="004E54DD"/>
    <w:rsid w:val="004E561E"/>
    <w:rsid w:val="004E5959"/>
    <w:rsid w:val="004E5E01"/>
    <w:rsid w:val="004E6438"/>
    <w:rsid w:val="004E66C2"/>
    <w:rsid w:val="004E67FD"/>
    <w:rsid w:val="004E6DF6"/>
    <w:rsid w:val="004E70D8"/>
    <w:rsid w:val="004E716A"/>
    <w:rsid w:val="004F0560"/>
    <w:rsid w:val="004F133A"/>
    <w:rsid w:val="004F202E"/>
    <w:rsid w:val="004F2189"/>
    <w:rsid w:val="004F2334"/>
    <w:rsid w:val="004F2418"/>
    <w:rsid w:val="004F24F9"/>
    <w:rsid w:val="004F2D11"/>
    <w:rsid w:val="004F2FC6"/>
    <w:rsid w:val="004F31BE"/>
    <w:rsid w:val="004F3373"/>
    <w:rsid w:val="004F3B59"/>
    <w:rsid w:val="004F3CCF"/>
    <w:rsid w:val="004F433C"/>
    <w:rsid w:val="004F4E0B"/>
    <w:rsid w:val="004F5ACE"/>
    <w:rsid w:val="004F5DC4"/>
    <w:rsid w:val="004F6743"/>
    <w:rsid w:val="004F6A55"/>
    <w:rsid w:val="004F71C4"/>
    <w:rsid w:val="004F7967"/>
    <w:rsid w:val="00500668"/>
    <w:rsid w:val="00500C7C"/>
    <w:rsid w:val="00500D16"/>
    <w:rsid w:val="00500E98"/>
    <w:rsid w:val="00500ED9"/>
    <w:rsid w:val="00501030"/>
    <w:rsid w:val="00501E5A"/>
    <w:rsid w:val="00502423"/>
    <w:rsid w:val="005025CD"/>
    <w:rsid w:val="005027D1"/>
    <w:rsid w:val="00502908"/>
    <w:rsid w:val="00503119"/>
    <w:rsid w:val="005042B4"/>
    <w:rsid w:val="00504EF2"/>
    <w:rsid w:val="005055A3"/>
    <w:rsid w:val="00506072"/>
    <w:rsid w:val="005063A7"/>
    <w:rsid w:val="005064F5"/>
    <w:rsid w:val="005076C5"/>
    <w:rsid w:val="0050794B"/>
    <w:rsid w:val="00507AEC"/>
    <w:rsid w:val="00507CFF"/>
    <w:rsid w:val="00507D9F"/>
    <w:rsid w:val="00511497"/>
    <w:rsid w:val="005122F3"/>
    <w:rsid w:val="00512B93"/>
    <w:rsid w:val="00512FBD"/>
    <w:rsid w:val="005135F1"/>
    <w:rsid w:val="00513AF7"/>
    <w:rsid w:val="00514708"/>
    <w:rsid w:val="0051479E"/>
    <w:rsid w:val="00514C8C"/>
    <w:rsid w:val="00515660"/>
    <w:rsid w:val="0051699B"/>
    <w:rsid w:val="00516F12"/>
    <w:rsid w:val="005171C8"/>
    <w:rsid w:val="00517305"/>
    <w:rsid w:val="0051760A"/>
    <w:rsid w:val="00517621"/>
    <w:rsid w:val="00517BB7"/>
    <w:rsid w:val="00520B77"/>
    <w:rsid w:val="00520F6E"/>
    <w:rsid w:val="0052104B"/>
    <w:rsid w:val="00521342"/>
    <w:rsid w:val="00521ACD"/>
    <w:rsid w:val="005221E8"/>
    <w:rsid w:val="0052279E"/>
    <w:rsid w:val="00522CA3"/>
    <w:rsid w:val="00522E35"/>
    <w:rsid w:val="0052320E"/>
    <w:rsid w:val="00523675"/>
    <w:rsid w:val="0052403F"/>
    <w:rsid w:val="005248C9"/>
    <w:rsid w:val="005254E1"/>
    <w:rsid w:val="00525AFF"/>
    <w:rsid w:val="005260FB"/>
    <w:rsid w:val="00527509"/>
    <w:rsid w:val="00527DEC"/>
    <w:rsid w:val="00527E54"/>
    <w:rsid w:val="00527F83"/>
    <w:rsid w:val="0053024D"/>
    <w:rsid w:val="00530309"/>
    <w:rsid w:val="005308B3"/>
    <w:rsid w:val="00531C25"/>
    <w:rsid w:val="00531C30"/>
    <w:rsid w:val="00531C93"/>
    <w:rsid w:val="00532ABF"/>
    <w:rsid w:val="0053385D"/>
    <w:rsid w:val="00533EEB"/>
    <w:rsid w:val="0053409C"/>
    <w:rsid w:val="005346DA"/>
    <w:rsid w:val="00534857"/>
    <w:rsid w:val="00534ECA"/>
    <w:rsid w:val="005355A5"/>
    <w:rsid w:val="0053594D"/>
    <w:rsid w:val="00535CDB"/>
    <w:rsid w:val="00535D80"/>
    <w:rsid w:val="00535FD9"/>
    <w:rsid w:val="00536215"/>
    <w:rsid w:val="00536387"/>
    <w:rsid w:val="005374AF"/>
    <w:rsid w:val="00537A51"/>
    <w:rsid w:val="00537B9F"/>
    <w:rsid w:val="00537BF0"/>
    <w:rsid w:val="00537C11"/>
    <w:rsid w:val="00537EA5"/>
    <w:rsid w:val="005407CA"/>
    <w:rsid w:val="005419D4"/>
    <w:rsid w:val="00541E3E"/>
    <w:rsid w:val="005424A2"/>
    <w:rsid w:val="005424E2"/>
    <w:rsid w:val="005425E4"/>
    <w:rsid w:val="005429A3"/>
    <w:rsid w:val="00543218"/>
    <w:rsid w:val="005434D1"/>
    <w:rsid w:val="00543FAE"/>
    <w:rsid w:val="005446B8"/>
    <w:rsid w:val="00544731"/>
    <w:rsid w:val="00544A6E"/>
    <w:rsid w:val="005458F5"/>
    <w:rsid w:val="005462DA"/>
    <w:rsid w:val="005467B1"/>
    <w:rsid w:val="00546C5C"/>
    <w:rsid w:val="0054778A"/>
    <w:rsid w:val="00547E18"/>
    <w:rsid w:val="005507AB"/>
    <w:rsid w:val="00550ACB"/>
    <w:rsid w:val="00550FB1"/>
    <w:rsid w:val="00551325"/>
    <w:rsid w:val="0055146F"/>
    <w:rsid w:val="00551826"/>
    <w:rsid w:val="005520E7"/>
    <w:rsid w:val="0055334F"/>
    <w:rsid w:val="00553964"/>
    <w:rsid w:val="005558EE"/>
    <w:rsid w:val="00555FA4"/>
    <w:rsid w:val="00556205"/>
    <w:rsid w:val="005567AD"/>
    <w:rsid w:val="005573D9"/>
    <w:rsid w:val="00557BD0"/>
    <w:rsid w:val="0056077F"/>
    <w:rsid w:val="00560871"/>
    <w:rsid w:val="005608F9"/>
    <w:rsid w:val="005610AD"/>
    <w:rsid w:val="005613AB"/>
    <w:rsid w:val="00561505"/>
    <w:rsid w:val="00561948"/>
    <w:rsid w:val="005621D6"/>
    <w:rsid w:val="00562429"/>
    <w:rsid w:val="0056362F"/>
    <w:rsid w:val="005638B1"/>
    <w:rsid w:val="005640DA"/>
    <w:rsid w:val="005642F4"/>
    <w:rsid w:val="0056454F"/>
    <w:rsid w:val="00564662"/>
    <w:rsid w:val="00564889"/>
    <w:rsid w:val="00564F8C"/>
    <w:rsid w:val="00564FFB"/>
    <w:rsid w:val="00565F23"/>
    <w:rsid w:val="0056618F"/>
    <w:rsid w:val="0056638B"/>
    <w:rsid w:val="0056766C"/>
    <w:rsid w:val="00567EAE"/>
    <w:rsid w:val="00570F65"/>
    <w:rsid w:val="00571C22"/>
    <w:rsid w:val="00571DEA"/>
    <w:rsid w:val="005721AB"/>
    <w:rsid w:val="0057231B"/>
    <w:rsid w:val="005726FF"/>
    <w:rsid w:val="00572706"/>
    <w:rsid w:val="005731F8"/>
    <w:rsid w:val="0057362A"/>
    <w:rsid w:val="0057395C"/>
    <w:rsid w:val="00573CDA"/>
    <w:rsid w:val="00573DF9"/>
    <w:rsid w:val="00573EA2"/>
    <w:rsid w:val="0057426F"/>
    <w:rsid w:val="005754B5"/>
    <w:rsid w:val="00575C75"/>
    <w:rsid w:val="005760FB"/>
    <w:rsid w:val="005761BC"/>
    <w:rsid w:val="005768BD"/>
    <w:rsid w:val="00580BBA"/>
    <w:rsid w:val="005810BB"/>
    <w:rsid w:val="00581E92"/>
    <w:rsid w:val="00582432"/>
    <w:rsid w:val="0058267D"/>
    <w:rsid w:val="00582BDD"/>
    <w:rsid w:val="00582CD4"/>
    <w:rsid w:val="00583020"/>
    <w:rsid w:val="00583231"/>
    <w:rsid w:val="00583DBE"/>
    <w:rsid w:val="0058437D"/>
    <w:rsid w:val="00584B7B"/>
    <w:rsid w:val="00584E02"/>
    <w:rsid w:val="00585214"/>
    <w:rsid w:val="0058553C"/>
    <w:rsid w:val="005855F7"/>
    <w:rsid w:val="00586C26"/>
    <w:rsid w:val="0058702B"/>
    <w:rsid w:val="005870A0"/>
    <w:rsid w:val="0058713C"/>
    <w:rsid w:val="00587A97"/>
    <w:rsid w:val="00587C37"/>
    <w:rsid w:val="00587C6C"/>
    <w:rsid w:val="00587EFC"/>
    <w:rsid w:val="00587F12"/>
    <w:rsid w:val="0059078B"/>
    <w:rsid w:val="0059088A"/>
    <w:rsid w:val="00590E93"/>
    <w:rsid w:val="00591EC0"/>
    <w:rsid w:val="00591EC6"/>
    <w:rsid w:val="00593A3D"/>
    <w:rsid w:val="00593DB7"/>
    <w:rsid w:val="00593E59"/>
    <w:rsid w:val="005941C0"/>
    <w:rsid w:val="00595149"/>
    <w:rsid w:val="00595A7E"/>
    <w:rsid w:val="00595DC7"/>
    <w:rsid w:val="00595DE3"/>
    <w:rsid w:val="005968FD"/>
    <w:rsid w:val="0059710E"/>
    <w:rsid w:val="00597285"/>
    <w:rsid w:val="005973C4"/>
    <w:rsid w:val="0059791D"/>
    <w:rsid w:val="00597CC1"/>
    <w:rsid w:val="00597DE5"/>
    <w:rsid w:val="005A0188"/>
    <w:rsid w:val="005A2FD2"/>
    <w:rsid w:val="005A345D"/>
    <w:rsid w:val="005A3995"/>
    <w:rsid w:val="005A41F8"/>
    <w:rsid w:val="005A4283"/>
    <w:rsid w:val="005A5CA9"/>
    <w:rsid w:val="005A66A6"/>
    <w:rsid w:val="005A6D5C"/>
    <w:rsid w:val="005A6DE2"/>
    <w:rsid w:val="005A6F94"/>
    <w:rsid w:val="005A7009"/>
    <w:rsid w:val="005A7258"/>
    <w:rsid w:val="005A7C52"/>
    <w:rsid w:val="005B06CA"/>
    <w:rsid w:val="005B0D9B"/>
    <w:rsid w:val="005B1011"/>
    <w:rsid w:val="005B10F6"/>
    <w:rsid w:val="005B1F4E"/>
    <w:rsid w:val="005B26AC"/>
    <w:rsid w:val="005B2AC7"/>
    <w:rsid w:val="005B2E24"/>
    <w:rsid w:val="005B37FE"/>
    <w:rsid w:val="005B3981"/>
    <w:rsid w:val="005B3C5A"/>
    <w:rsid w:val="005B43AA"/>
    <w:rsid w:val="005B4BC2"/>
    <w:rsid w:val="005B4C55"/>
    <w:rsid w:val="005B5389"/>
    <w:rsid w:val="005B53A3"/>
    <w:rsid w:val="005B573F"/>
    <w:rsid w:val="005B5F8D"/>
    <w:rsid w:val="005B6497"/>
    <w:rsid w:val="005B70DC"/>
    <w:rsid w:val="005B72FF"/>
    <w:rsid w:val="005B791A"/>
    <w:rsid w:val="005B7AAE"/>
    <w:rsid w:val="005B7B59"/>
    <w:rsid w:val="005C02BC"/>
    <w:rsid w:val="005C08B2"/>
    <w:rsid w:val="005C0A99"/>
    <w:rsid w:val="005C130C"/>
    <w:rsid w:val="005C1483"/>
    <w:rsid w:val="005C1824"/>
    <w:rsid w:val="005C1887"/>
    <w:rsid w:val="005C1A5D"/>
    <w:rsid w:val="005C1BE5"/>
    <w:rsid w:val="005C1FB7"/>
    <w:rsid w:val="005C31E6"/>
    <w:rsid w:val="005C34C1"/>
    <w:rsid w:val="005C3D44"/>
    <w:rsid w:val="005C44C0"/>
    <w:rsid w:val="005C4830"/>
    <w:rsid w:val="005C4B6F"/>
    <w:rsid w:val="005C4D2E"/>
    <w:rsid w:val="005C7334"/>
    <w:rsid w:val="005C7A35"/>
    <w:rsid w:val="005C7CEB"/>
    <w:rsid w:val="005D04A4"/>
    <w:rsid w:val="005D0C80"/>
    <w:rsid w:val="005D0EA9"/>
    <w:rsid w:val="005D1805"/>
    <w:rsid w:val="005D1821"/>
    <w:rsid w:val="005D24E6"/>
    <w:rsid w:val="005D2C27"/>
    <w:rsid w:val="005D2D23"/>
    <w:rsid w:val="005D3694"/>
    <w:rsid w:val="005D391E"/>
    <w:rsid w:val="005D3B8C"/>
    <w:rsid w:val="005D3CA2"/>
    <w:rsid w:val="005D4ADD"/>
    <w:rsid w:val="005D4C96"/>
    <w:rsid w:val="005D5298"/>
    <w:rsid w:val="005D59C2"/>
    <w:rsid w:val="005D642E"/>
    <w:rsid w:val="005E1CFB"/>
    <w:rsid w:val="005E2583"/>
    <w:rsid w:val="005E26C5"/>
    <w:rsid w:val="005E2C7D"/>
    <w:rsid w:val="005E2E8B"/>
    <w:rsid w:val="005E37FF"/>
    <w:rsid w:val="005E3B6F"/>
    <w:rsid w:val="005E5044"/>
    <w:rsid w:val="005E5459"/>
    <w:rsid w:val="005E6ABB"/>
    <w:rsid w:val="005E6DC0"/>
    <w:rsid w:val="005E7405"/>
    <w:rsid w:val="005E742C"/>
    <w:rsid w:val="005F00BB"/>
    <w:rsid w:val="005F0890"/>
    <w:rsid w:val="005F0A7E"/>
    <w:rsid w:val="005F0E9C"/>
    <w:rsid w:val="005F1412"/>
    <w:rsid w:val="005F1474"/>
    <w:rsid w:val="005F1A86"/>
    <w:rsid w:val="005F1C6F"/>
    <w:rsid w:val="005F202F"/>
    <w:rsid w:val="005F2B0B"/>
    <w:rsid w:val="005F30C7"/>
    <w:rsid w:val="005F3132"/>
    <w:rsid w:val="005F395C"/>
    <w:rsid w:val="005F3B74"/>
    <w:rsid w:val="005F3CA9"/>
    <w:rsid w:val="005F3CEC"/>
    <w:rsid w:val="005F4470"/>
    <w:rsid w:val="005F4D35"/>
    <w:rsid w:val="005F5089"/>
    <w:rsid w:val="005F5555"/>
    <w:rsid w:val="005F60EB"/>
    <w:rsid w:val="005F6109"/>
    <w:rsid w:val="005F618B"/>
    <w:rsid w:val="005F62AC"/>
    <w:rsid w:val="005F639F"/>
    <w:rsid w:val="005F640F"/>
    <w:rsid w:val="005F70B2"/>
    <w:rsid w:val="005F76FA"/>
    <w:rsid w:val="005F7A71"/>
    <w:rsid w:val="005F7D7D"/>
    <w:rsid w:val="005F7F20"/>
    <w:rsid w:val="0060003A"/>
    <w:rsid w:val="006012A0"/>
    <w:rsid w:val="00601905"/>
    <w:rsid w:val="00601B5E"/>
    <w:rsid w:val="00601FBE"/>
    <w:rsid w:val="00602110"/>
    <w:rsid w:val="00602966"/>
    <w:rsid w:val="006029DD"/>
    <w:rsid w:val="006037B9"/>
    <w:rsid w:val="0060405E"/>
    <w:rsid w:val="00604962"/>
    <w:rsid w:val="00604EB1"/>
    <w:rsid w:val="006054E7"/>
    <w:rsid w:val="006062D0"/>
    <w:rsid w:val="0060678C"/>
    <w:rsid w:val="00606F08"/>
    <w:rsid w:val="006078C7"/>
    <w:rsid w:val="00607B50"/>
    <w:rsid w:val="00610938"/>
    <w:rsid w:val="006113EE"/>
    <w:rsid w:val="0061181B"/>
    <w:rsid w:val="0061188D"/>
    <w:rsid w:val="00612109"/>
    <w:rsid w:val="006121B5"/>
    <w:rsid w:val="006121CE"/>
    <w:rsid w:val="00613336"/>
    <w:rsid w:val="006135C1"/>
    <w:rsid w:val="006147D8"/>
    <w:rsid w:val="00614D3E"/>
    <w:rsid w:val="00615013"/>
    <w:rsid w:val="006155B0"/>
    <w:rsid w:val="0061599F"/>
    <w:rsid w:val="00615F56"/>
    <w:rsid w:val="00615FA4"/>
    <w:rsid w:val="00616DB0"/>
    <w:rsid w:val="00617324"/>
    <w:rsid w:val="00617D2D"/>
    <w:rsid w:val="00621BD4"/>
    <w:rsid w:val="00621CF6"/>
    <w:rsid w:val="006221EE"/>
    <w:rsid w:val="006228BC"/>
    <w:rsid w:val="006231A7"/>
    <w:rsid w:val="00623453"/>
    <w:rsid w:val="00625B06"/>
    <w:rsid w:val="00625F6A"/>
    <w:rsid w:val="00626820"/>
    <w:rsid w:val="00626D1B"/>
    <w:rsid w:val="00627378"/>
    <w:rsid w:val="00630721"/>
    <w:rsid w:val="0063096F"/>
    <w:rsid w:val="00630BF7"/>
    <w:rsid w:val="00630E58"/>
    <w:rsid w:val="00631204"/>
    <w:rsid w:val="00631384"/>
    <w:rsid w:val="00631443"/>
    <w:rsid w:val="00631992"/>
    <w:rsid w:val="00633131"/>
    <w:rsid w:val="00633D8C"/>
    <w:rsid w:val="006340D3"/>
    <w:rsid w:val="006347B8"/>
    <w:rsid w:val="00634983"/>
    <w:rsid w:val="00634F46"/>
    <w:rsid w:val="0063526B"/>
    <w:rsid w:val="00635303"/>
    <w:rsid w:val="00636241"/>
    <w:rsid w:val="00636348"/>
    <w:rsid w:val="00636421"/>
    <w:rsid w:val="00636583"/>
    <w:rsid w:val="00636739"/>
    <w:rsid w:val="006368EE"/>
    <w:rsid w:val="00637D4E"/>
    <w:rsid w:val="006402A9"/>
    <w:rsid w:val="006405DA"/>
    <w:rsid w:val="00640738"/>
    <w:rsid w:val="00640F06"/>
    <w:rsid w:val="0064170F"/>
    <w:rsid w:val="00641AD6"/>
    <w:rsid w:val="0064296D"/>
    <w:rsid w:val="00642CC2"/>
    <w:rsid w:val="00642EFB"/>
    <w:rsid w:val="00644923"/>
    <w:rsid w:val="00644C07"/>
    <w:rsid w:val="0064502E"/>
    <w:rsid w:val="006451C8"/>
    <w:rsid w:val="00645B87"/>
    <w:rsid w:val="00646450"/>
    <w:rsid w:val="006468D1"/>
    <w:rsid w:val="00646C80"/>
    <w:rsid w:val="00646F0B"/>
    <w:rsid w:val="00647612"/>
    <w:rsid w:val="00647AD5"/>
    <w:rsid w:val="00647B36"/>
    <w:rsid w:val="00650421"/>
    <w:rsid w:val="006505A4"/>
    <w:rsid w:val="00650F81"/>
    <w:rsid w:val="006512CB"/>
    <w:rsid w:val="00651413"/>
    <w:rsid w:val="00651AAC"/>
    <w:rsid w:val="00651BE6"/>
    <w:rsid w:val="006520BE"/>
    <w:rsid w:val="006520CC"/>
    <w:rsid w:val="006534AB"/>
    <w:rsid w:val="006538AA"/>
    <w:rsid w:val="00655729"/>
    <w:rsid w:val="006557AA"/>
    <w:rsid w:val="00655B5E"/>
    <w:rsid w:val="00655B99"/>
    <w:rsid w:val="00655E0B"/>
    <w:rsid w:val="00655FCE"/>
    <w:rsid w:val="00656725"/>
    <w:rsid w:val="00656BDB"/>
    <w:rsid w:val="006570D1"/>
    <w:rsid w:val="00657198"/>
    <w:rsid w:val="006604B0"/>
    <w:rsid w:val="00660A65"/>
    <w:rsid w:val="00660A9E"/>
    <w:rsid w:val="00660E1B"/>
    <w:rsid w:val="00661206"/>
    <w:rsid w:val="006612EA"/>
    <w:rsid w:val="0066305A"/>
    <w:rsid w:val="00663311"/>
    <w:rsid w:val="006644E1"/>
    <w:rsid w:val="0066470F"/>
    <w:rsid w:val="0066591C"/>
    <w:rsid w:val="00665A33"/>
    <w:rsid w:val="00665D51"/>
    <w:rsid w:val="006663CB"/>
    <w:rsid w:val="006666AD"/>
    <w:rsid w:val="00667DBF"/>
    <w:rsid w:val="00667E6C"/>
    <w:rsid w:val="00670490"/>
    <w:rsid w:val="0067053D"/>
    <w:rsid w:val="00670540"/>
    <w:rsid w:val="0067134D"/>
    <w:rsid w:val="00671E5B"/>
    <w:rsid w:val="00671F6D"/>
    <w:rsid w:val="0067201A"/>
    <w:rsid w:val="0067240F"/>
    <w:rsid w:val="00672464"/>
    <w:rsid w:val="006724B5"/>
    <w:rsid w:val="00672786"/>
    <w:rsid w:val="006728DD"/>
    <w:rsid w:val="006729D4"/>
    <w:rsid w:val="00672F2B"/>
    <w:rsid w:val="0067335B"/>
    <w:rsid w:val="00673ED6"/>
    <w:rsid w:val="006748BA"/>
    <w:rsid w:val="00674D6B"/>
    <w:rsid w:val="00674EB4"/>
    <w:rsid w:val="00675274"/>
    <w:rsid w:val="00675926"/>
    <w:rsid w:val="00675F6E"/>
    <w:rsid w:val="0067610B"/>
    <w:rsid w:val="00676481"/>
    <w:rsid w:val="00676970"/>
    <w:rsid w:val="00676B30"/>
    <w:rsid w:val="00677114"/>
    <w:rsid w:val="00677BA5"/>
    <w:rsid w:val="00680196"/>
    <w:rsid w:val="00681734"/>
    <w:rsid w:val="00681E05"/>
    <w:rsid w:val="00682107"/>
    <w:rsid w:val="0068243B"/>
    <w:rsid w:val="006830E4"/>
    <w:rsid w:val="00683504"/>
    <w:rsid w:val="00683EE4"/>
    <w:rsid w:val="00684706"/>
    <w:rsid w:val="006849F0"/>
    <w:rsid w:val="00684E2B"/>
    <w:rsid w:val="00684F07"/>
    <w:rsid w:val="0068656B"/>
    <w:rsid w:val="00686E26"/>
    <w:rsid w:val="00687BF4"/>
    <w:rsid w:val="00690005"/>
    <w:rsid w:val="00690894"/>
    <w:rsid w:val="006908B1"/>
    <w:rsid w:val="00691E59"/>
    <w:rsid w:val="00692A4F"/>
    <w:rsid w:val="00692B73"/>
    <w:rsid w:val="006940E4"/>
    <w:rsid w:val="00694480"/>
    <w:rsid w:val="006971CE"/>
    <w:rsid w:val="0069723D"/>
    <w:rsid w:val="00697A58"/>
    <w:rsid w:val="006A0C8C"/>
    <w:rsid w:val="006A0CE9"/>
    <w:rsid w:val="006A1429"/>
    <w:rsid w:val="006A1680"/>
    <w:rsid w:val="006A27DC"/>
    <w:rsid w:val="006A2870"/>
    <w:rsid w:val="006A2FBE"/>
    <w:rsid w:val="006A330D"/>
    <w:rsid w:val="006A353A"/>
    <w:rsid w:val="006A3B83"/>
    <w:rsid w:val="006A403B"/>
    <w:rsid w:val="006A44AF"/>
    <w:rsid w:val="006A4523"/>
    <w:rsid w:val="006A484D"/>
    <w:rsid w:val="006A50DB"/>
    <w:rsid w:val="006A539A"/>
    <w:rsid w:val="006A54AE"/>
    <w:rsid w:val="006A56CA"/>
    <w:rsid w:val="006A5799"/>
    <w:rsid w:val="006A5F43"/>
    <w:rsid w:val="006A619C"/>
    <w:rsid w:val="006A6B16"/>
    <w:rsid w:val="006A6D92"/>
    <w:rsid w:val="006A73DD"/>
    <w:rsid w:val="006A7426"/>
    <w:rsid w:val="006A7A94"/>
    <w:rsid w:val="006B0286"/>
    <w:rsid w:val="006B0583"/>
    <w:rsid w:val="006B0CF7"/>
    <w:rsid w:val="006B1170"/>
    <w:rsid w:val="006B13CE"/>
    <w:rsid w:val="006B1B14"/>
    <w:rsid w:val="006B1B52"/>
    <w:rsid w:val="006B3333"/>
    <w:rsid w:val="006B48DD"/>
    <w:rsid w:val="006B4A8E"/>
    <w:rsid w:val="006B55ED"/>
    <w:rsid w:val="006B6B4D"/>
    <w:rsid w:val="006B6CFA"/>
    <w:rsid w:val="006B6E42"/>
    <w:rsid w:val="006B7B6A"/>
    <w:rsid w:val="006B7D44"/>
    <w:rsid w:val="006C059E"/>
    <w:rsid w:val="006C0681"/>
    <w:rsid w:val="006C08FB"/>
    <w:rsid w:val="006C0E3F"/>
    <w:rsid w:val="006C1AB2"/>
    <w:rsid w:val="006C24ED"/>
    <w:rsid w:val="006C2C29"/>
    <w:rsid w:val="006C2CA6"/>
    <w:rsid w:val="006C3114"/>
    <w:rsid w:val="006C35D1"/>
    <w:rsid w:val="006C4167"/>
    <w:rsid w:val="006C4FEA"/>
    <w:rsid w:val="006C5A2D"/>
    <w:rsid w:val="006C5C5B"/>
    <w:rsid w:val="006C6469"/>
    <w:rsid w:val="006C67A3"/>
    <w:rsid w:val="006C6D61"/>
    <w:rsid w:val="006C7B08"/>
    <w:rsid w:val="006D12D9"/>
    <w:rsid w:val="006D13EF"/>
    <w:rsid w:val="006D17EB"/>
    <w:rsid w:val="006D19C9"/>
    <w:rsid w:val="006D2F35"/>
    <w:rsid w:val="006D2F8D"/>
    <w:rsid w:val="006D30D0"/>
    <w:rsid w:val="006D32EF"/>
    <w:rsid w:val="006D41AA"/>
    <w:rsid w:val="006D41B2"/>
    <w:rsid w:val="006D476A"/>
    <w:rsid w:val="006D5BC6"/>
    <w:rsid w:val="006D6625"/>
    <w:rsid w:val="006D7D59"/>
    <w:rsid w:val="006D7E17"/>
    <w:rsid w:val="006E027D"/>
    <w:rsid w:val="006E1026"/>
    <w:rsid w:val="006E1455"/>
    <w:rsid w:val="006E201A"/>
    <w:rsid w:val="006E2787"/>
    <w:rsid w:val="006E2B7F"/>
    <w:rsid w:val="006E2C71"/>
    <w:rsid w:val="006E3E0B"/>
    <w:rsid w:val="006E4751"/>
    <w:rsid w:val="006E4D9B"/>
    <w:rsid w:val="006E649D"/>
    <w:rsid w:val="006E6830"/>
    <w:rsid w:val="006E6D9E"/>
    <w:rsid w:val="006E6EB5"/>
    <w:rsid w:val="006E6EE4"/>
    <w:rsid w:val="006F0509"/>
    <w:rsid w:val="006F101E"/>
    <w:rsid w:val="006F1DF7"/>
    <w:rsid w:val="006F266D"/>
    <w:rsid w:val="006F3C93"/>
    <w:rsid w:val="006F4634"/>
    <w:rsid w:val="006F4668"/>
    <w:rsid w:val="006F4851"/>
    <w:rsid w:val="006F52E4"/>
    <w:rsid w:val="006F5AF3"/>
    <w:rsid w:val="006F619D"/>
    <w:rsid w:val="006F62E0"/>
    <w:rsid w:val="006F63AB"/>
    <w:rsid w:val="006F7107"/>
    <w:rsid w:val="006F726D"/>
    <w:rsid w:val="006F76D1"/>
    <w:rsid w:val="006F7856"/>
    <w:rsid w:val="007004F7"/>
    <w:rsid w:val="00701560"/>
    <w:rsid w:val="00701BED"/>
    <w:rsid w:val="00702745"/>
    <w:rsid w:val="00702754"/>
    <w:rsid w:val="0070300D"/>
    <w:rsid w:val="00703581"/>
    <w:rsid w:val="00703700"/>
    <w:rsid w:val="00705E43"/>
    <w:rsid w:val="00706340"/>
    <w:rsid w:val="00706375"/>
    <w:rsid w:val="007072C0"/>
    <w:rsid w:val="00710188"/>
    <w:rsid w:val="0071019A"/>
    <w:rsid w:val="00711812"/>
    <w:rsid w:val="007125B7"/>
    <w:rsid w:val="00712FED"/>
    <w:rsid w:val="00713497"/>
    <w:rsid w:val="007145E5"/>
    <w:rsid w:val="00714A05"/>
    <w:rsid w:val="00714E4B"/>
    <w:rsid w:val="00715276"/>
    <w:rsid w:val="007161AD"/>
    <w:rsid w:val="0071624D"/>
    <w:rsid w:val="007162CB"/>
    <w:rsid w:val="007165F7"/>
    <w:rsid w:val="00716886"/>
    <w:rsid w:val="00716D13"/>
    <w:rsid w:val="00717070"/>
    <w:rsid w:val="007171F6"/>
    <w:rsid w:val="0071778E"/>
    <w:rsid w:val="0071787C"/>
    <w:rsid w:val="00720374"/>
    <w:rsid w:val="007203AF"/>
    <w:rsid w:val="007208E1"/>
    <w:rsid w:val="00720B1A"/>
    <w:rsid w:val="00720CD8"/>
    <w:rsid w:val="007214D8"/>
    <w:rsid w:val="0072156F"/>
    <w:rsid w:val="00721817"/>
    <w:rsid w:val="0072191D"/>
    <w:rsid w:val="00721A6B"/>
    <w:rsid w:val="00721EC9"/>
    <w:rsid w:val="00722246"/>
    <w:rsid w:val="00722253"/>
    <w:rsid w:val="00722F57"/>
    <w:rsid w:val="007231DC"/>
    <w:rsid w:val="00723375"/>
    <w:rsid w:val="007245B2"/>
    <w:rsid w:val="00724AA2"/>
    <w:rsid w:val="00724CD6"/>
    <w:rsid w:val="00724D05"/>
    <w:rsid w:val="00724E0F"/>
    <w:rsid w:val="00724F50"/>
    <w:rsid w:val="00724F66"/>
    <w:rsid w:val="00725A5C"/>
    <w:rsid w:val="0072644C"/>
    <w:rsid w:val="00726A08"/>
    <w:rsid w:val="007274B4"/>
    <w:rsid w:val="0072755F"/>
    <w:rsid w:val="0073119D"/>
    <w:rsid w:val="007320AC"/>
    <w:rsid w:val="0073251B"/>
    <w:rsid w:val="007335DD"/>
    <w:rsid w:val="00734089"/>
    <w:rsid w:val="007352B5"/>
    <w:rsid w:val="007354C7"/>
    <w:rsid w:val="00736399"/>
    <w:rsid w:val="00737AD9"/>
    <w:rsid w:val="00740017"/>
    <w:rsid w:val="007401A8"/>
    <w:rsid w:val="00741013"/>
    <w:rsid w:val="007412D4"/>
    <w:rsid w:val="00741D86"/>
    <w:rsid w:val="00743086"/>
    <w:rsid w:val="00743708"/>
    <w:rsid w:val="00745273"/>
    <w:rsid w:val="007452B8"/>
    <w:rsid w:val="007454D4"/>
    <w:rsid w:val="00745982"/>
    <w:rsid w:val="007464AD"/>
    <w:rsid w:val="0074655B"/>
    <w:rsid w:val="0074658A"/>
    <w:rsid w:val="007465AD"/>
    <w:rsid w:val="007466AA"/>
    <w:rsid w:val="0074672A"/>
    <w:rsid w:val="007469BD"/>
    <w:rsid w:val="007470FC"/>
    <w:rsid w:val="0074763E"/>
    <w:rsid w:val="007477D6"/>
    <w:rsid w:val="00747A89"/>
    <w:rsid w:val="00750883"/>
    <w:rsid w:val="007508B7"/>
    <w:rsid w:val="00750D32"/>
    <w:rsid w:val="00750F6F"/>
    <w:rsid w:val="00750FAB"/>
    <w:rsid w:val="007512BE"/>
    <w:rsid w:val="00751411"/>
    <w:rsid w:val="00751A5D"/>
    <w:rsid w:val="0075205C"/>
    <w:rsid w:val="00752F50"/>
    <w:rsid w:val="00753D0A"/>
    <w:rsid w:val="00753D7E"/>
    <w:rsid w:val="00754B07"/>
    <w:rsid w:val="0075521A"/>
    <w:rsid w:val="007579A9"/>
    <w:rsid w:val="00757D07"/>
    <w:rsid w:val="00757E50"/>
    <w:rsid w:val="007601B1"/>
    <w:rsid w:val="00760C87"/>
    <w:rsid w:val="00761750"/>
    <w:rsid w:val="0076176E"/>
    <w:rsid w:val="00763164"/>
    <w:rsid w:val="0076338E"/>
    <w:rsid w:val="00763407"/>
    <w:rsid w:val="007634B6"/>
    <w:rsid w:val="007635C9"/>
    <w:rsid w:val="0076402C"/>
    <w:rsid w:val="00764D12"/>
    <w:rsid w:val="00764ED2"/>
    <w:rsid w:val="00765D83"/>
    <w:rsid w:val="0076625C"/>
    <w:rsid w:val="00767F47"/>
    <w:rsid w:val="007708EC"/>
    <w:rsid w:val="00770DE5"/>
    <w:rsid w:val="007710C6"/>
    <w:rsid w:val="0077122B"/>
    <w:rsid w:val="0077156A"/>
    <w:rsid w:val="00771A83"/>
    <w:rsid w:val="007720F4"/>
    <w:rsid w:val="0077239C"/>
    <w:rsid w:val="007734B8"/>
    <w:rsid w:val="00773CDD"/>
    <w:rsid w:val="00773E36"/>
    <w:rsid w:val="007747E3"/>
    <w:rsid w:val="00774969"/>
    <w:rsid w:val="00774C3B"/>
    <w:rsid w:val="00774CE9"/>
    <w:rsid w:val="007752FB"/>
    <w:rsid w:val="007757FC"/>
    <w:rsid w:val="0077698D"/>
    <w:rsid w:val="00777420"/>
    <w:rsid w:val="00777804"/>
    <w:rsid w:val="0078002E"/>
    <w:rsid w:val="0078056F"/>
    <w:rsid w:val="007807A1"/>
    <w:rsid w:val="0078143C"/>
    <w:rsid w:val="0078169B"/>
    <w:rsid w:val="007818B6"/>
    <w:rsid w:val="00782D29"/>
    <w:rsid w:val="00782D94"/>
    <w:rsid w:val="00782DF5"/>
    <w:rsid w:val="007830C9"/>
    <w:rsid w:val="0078377E"/>
    <w:rsid w:val="00784178"/>
    <w:rsid w:val="00784B52"/>
    <w:rsid w:val="00784C07"/>
    <w:rsid w:val="00784F68"/>
    <w:rsid w:val="00786D5D"/>
    <w:rsid w:val="00787145"/>
    <w:rsid w:val="00787930"/>
    <w:rsid w:val="007900FD"/>
    <w:rsid w:val="007901EC"/>
    <w:rsid w:val="0079021D"/>
    <w:rsid w:val="00791A12"/>
    <w:rsid w:val="00791C0A"/>
    <w:rsid w:val="007920D7"/>
    <w:rsid w:val="007935AA"/>
    <w:rsid w:val="0079402D"/>
    <w:rsid w:val="00794311"/>
    <w:rsid w:val="00795073"/>
    <w:rsid w:val="00795647"/>
    <w:rsid w:val="00795668"/>
    <w:rsid w:val="0079569A"/>
    <w:rsid w:val="00795CF6"/>
    <w:rsid w:val="007966F9"/>
    <w:rsid w:val="00797031"/>
    <w:rsid w:val="007974CD"/>
    <w:rsid w:val="00797BA4"/>
    <w:rsid w:val="007A0A30"/>
    <w:rsid w:val="007A10AC"/>
    <w:rsid w:val="007A1C8D"/>
    <w:rsid w:val="007A1DCE"/>
    <w:rsid w:val="007A31DA"/>
    <w:rsid w:val="007A3D07"/>
    <w:rsid w:val="007A40B9"/>
    <w:rsid w:val="007A41FF"/>
    <w:rsid w:val="007A4634"/>
    <w:rsid w:val="007A4A0E"/>
    <w:rsid w:val="007A4EB3"/>
    <w:rsid w:val="007A4EEE"/>
    <w:rsid w:val="007A513D"/>
    <w:rsid w:val="007A54F7"/>
    <w:rsid w:val="007A55B7"/>
    <w:rsid w:val="007A6CDB"/>
    <w:rsid w:val="007A71B3"/>
    <w:rsid w:val="007A7F25"/>
    <w:rsid w:val="007A7F9B"/>
    <w:rsid w:val="007A7FA2"/>
    <w:rsid w:val="007B06F2"/>
    <w:rsid w:val="007B0FB1"/>
    <w:rsid w:val="007B1B48"/>
    <w:rsid w:val="007B27FB"/>
    <w:rsid w:val="007B28E3"/>
    <w:rsid w:val="007B325C"/>
    <w:rsid w:val="007B3656"/>
    <w:rsid w:val="007B3A29"/>
    <w:rsid w:val="007B3E2F"/>
    <w:rsid w:val="007B434A"/>
    <w:rsid w:val="007B4857"/>
    <w:rsid w:val="007B4FF1"/>
    <w:rsid w:val="007B5754"/>
    <w:rsid w:val="007B6B67"/>
    <w:rsid w:val="007C00AF"/>
    <w:rsid w:val="007C02B7"/>
    <w:rsid w:val="007C0E3E"/>
    <w:rsid w:val="007C150A"/>
    <w:rsid w:val="007C2376"/>
    <w:rsid w:val="007C246D"/>
    <w:rsid w:val="007C254F"/>
    <w:rsid w:val="007C2E5D"/>
    <w:rsid w:val="007C36FA"/>
    <w:rsid w:val="007C3A05"/>
    <w:rsid w:val="007C48AD"/>
    <w:rsid w:val="007C5657"/>
    <w:rsid w:val="007C568F"/>
    <w:rsid w:val="007C603F"/>
    <w:rsid w:val="007C6587"/>
    <w:rsid w:val="007C7007"/>
    <w:rsid w:val="007C7221"/>
    <w:rsid w:val="007C7C58"/>
    <w:rsid w:val="007D10B1"/>
    <w:rsid w:val="007D1C0C"/>
    <w:rsid w:val="007D1C3C"/>
    <w:rsid w:val="007D20A9"/>
    <w:rsid w:val="007D21A9"/>
    <w:rsid w:val="007D2677"/>
    <w:rsid w:val="007D3A72"/>
    <w:rsid w:val="007D3A76"/>
    <w:rsid w:val="007D3C2D"/>
    <w:rsid w:val="007D4171"/>
    <w:rsid w:val="007D43D2"/>
    <w:rsid w:val="007D5251"/>
    <w:rsid w:val="007D575F"/>
    <w:rsid w:val="007D57DE"/>
    <w:rsid w:val="007D5947"/>
    <w:rsid w:val="007D61F3"/>
    <w:rsid w:val="007D65C4"/>
    <w:rsid w:val="007D6791"/>
    <w:rsid w:val="007D6E91"/>
    <w:rsid w:val="007D72E4"/>
    <w:rsid w:val="007D7398"/>
    <w:rsid w:val="007D78DC"/>
    <w:rsid w:val="007D7943"/>
    <w:rsid w:val="007D7ADA"/>
    <w:rsid w:val="007E0A1F"/>
    <w:rsid w:val="007E1A99"/>
    <w:rsid w:val="007E21CC"/>
    <w:rsid w:val="007E2DAF"/>
    <w:rsid w:val="007E3A15"/>
    <w:rsid w:val="007E3C04"/>
    <w:rsid w:val="007E5443"/>
    <w:rsid w:val="007E5840"/>
    <w:rsid w:val="007E5BA5"/>
    <w:rsid w:val="007E5CB4"/>
    <w:rsid w:val="007E5CB9"/>
    <w:rsid w:val="007E5FE0"/>
    <w:rsid w:val="007E62F8"/>
    <w:rsid w:val="007E67BA"/>
    <w:rsid w:val="007E6987"/>
    <w:rsid w:val="007E778B"/>
    <w:rsid w:val="007E7EC0"/>
    <w:rsid w:val="007F036F"/>
    <w:rsid w:val="007F072B"/>
    <w:rsid w:val="007F1BF8"/>
    <w:rsid w:val="007F1E25"/>
    <w:rsid w:val="007F1F92"/>
    <w:rsid w:val="007F1F9B"/>
    <w:rsid w:val="007F327C"/>
    <w:rsid w:val="007F3363"/>
    <w:rsid w:val="007F36AC"/>
    <w:rsid w:val="007F3BC2"/>
    <w:rsid w:val="007F3C9A"/>
    <w:rsid w:val="007F416E"/>
    <w:rsid w:val="007F4829"/>
    <w:rsid w:val="007F5719"/>
    <w:rsid w:val="007F5B98"/>
    <w:rsid w:val="007F5FDE"/>
    <w:rsid w:val="007F6820"/>
    <w:rsid w:val="007F6D6B"/>
    <w:rsid w:val="007F7007"/>
    <w:rsid w:val="007F7A35"/>
    <w:rsid w:val="00800C9B"/>
    <w:rsid w:val="00801187"/>
    <w:rsid w:val="00802163"/>
    <w:rsid w:val="0080363C"/>
    <w:rsid w:val="0080369A"/>
    <w:rsid w:val="0080496D"/>
    <w:rsid w:val="00804E7C"/>
    <w:rsid w:val="008053E7"/>
    <w:rsid w:val="00805D79"/>
    <w:rsid w:val="0080644F"/>
    <w:rsid w:val="00806E50"/>
    <w:rsid w:val="008078A8"/>
    <w:rsid w:val="00810C5E"/>
    <w:rsid w:val="00810DA2"/>
    <w:rsid w:val="00810E9F"/>
    <w:rsid w:val="0081229E"/>
    <w:rsid w:val="008123BF"/>
    <w:rsid w:val="0081247A"/>
    <w:rsid w:val="0081248B"/>
    <w:rsid w:val="008131BC"/>
    <w:rsid w:val="0081396F"/>
    <w:rsid w:val="00814412"/>
    <w:rsid w:val="00814EDB"/>
    <w:rsid w:val="00815AEE"/>
    <w:rsid w:val="00815F14"/>
    <w:rsid w:val="00815F44"/>
    <w:rsid w:val="00816001"/>
    <w:rsid w:val="00817060"/>
    <w:rsid w:val="0081780F"/>
    <w:rsid w:val="00817B32"/>
    <w:rsid w:val="00817D96"/>
    <w:rsid w:val="0082004A"/>
    <w:rsid w:val="00820AF8"/>
    <w:rsid w:val="0082148E"/>
    <w:rsid w:val="00821AA1"/>
    <w:rsid w:val="00821D6E"/>
    <w:rsid w:val="0082238F"/>
    <w:rsid w:val="00822872"/>
    <w:rsid w:val="00822AED"/>
    <w:rsid w:val="008231D9"/>
    <w:rsid w:val="00824355"/>
    <w:rsid w:val="00824881"/>
    <w:rsid w:val="00825118"/>
    <w:rsid w:val="008251BC"/>
    <w:rsid w:val="008257E4"/>
    <w:rsid w:val="00826107"/>
    <w:rsid w:val="00826A0B"/>
    <w:rsid w:val="00827131"/>
    <w:rsid w:val="0082756E"/>
    <w:rsid w:val="00827A4C"/>
    <w:rsid w:val="00830132"/>
    <w:rsid w:val="008302AC"/>
    <w:rsid w:val="00830DA2"/>
    <w:rsid w:val="008311BF"/>
    <w:rsid w:val="008312C8"/>
    <w:rsid w:val="00831CBD"/>
    <w:rsid w:val="008326A8"/>
    <w:rsid w:val="00832A41"/>
    <w:rsid w:val="008339F1"/>
    <w:rsid w:val="00833A9E"/>
    <w:rsid w:val="00833CE9"/>
    <w:rsid w:val="00833E83"/>
    <w:rsid w:val="00834023"/>
    <w:rsid w:val="00834146"/>
    <w:rsid w:val="00834BC6"/>
    <w:rsid w:val="0083507A"/>
    <w:rsid w:val="008350A0"/>
    <w:rsid w:val="00835395"/>
    <w:rsid w:val="008358EF"/>
    <w:rsid w:val="0083645E"/>
    <w:rsid w:val="00836E57"/>
    <w:rsid w:val="008372C9"/>
    <w:rsid w:val="00837433"/>
    <w:rsid w:val="00837DF1"/>
    <w:rsid w:val="00840BD6"/>
    <w:rsid w:val="008414DA"/>
    <w:rsid w:val="008417FE"/>
    <w:rsid w:val="00841E2D"/>
    <w:rsid w:val="00843471"/>
    <w:rsid w:val="0084348A"/>
    <w:rsid w:val="00843695"/>
    <w:rsid w:val="00844B24"/>
    <w:rsid w:val="008456DF"/>
    <w:rsid w:val="008459FF"/>
    <w:rsid w:val="0084682E"/>
    <w:rsid w:val="00847ABE"/>
    <w:rsid w:val="00850044"/>
    <w:rsid w:val="008500AD"/>
    <w:rsid w:val="00850279"/>
    <w:rsid w:val="00850D8E"/>
    <w:rsid w:val="00851760"/>
    <w:rsid w:val="00851973"/>
    <w:rsid w:val="00852036"/>
    <w:rsid w:val="008528CC"/>
    <w:rsid w:val="0085375A"/>
    <w:rsid w:val="0085383B"/>
    <w:rsid w:val="00853D18"/>
    <w:rsid w:val="00854022"/>
    <w:rsid w:val="0085459A"/>
    <w:rsid w:val="00854D28"/>
    <w:rsid w:val="0085566C"/>
    <w:rsid w:val="00856C34"/>
    <w:rsid w:val="00857D6C"/>
    <w:rsid w:val="0086054D"/>
    <w:rsid w:val="00860624"/>
    <w:rsid w:val="00860781"/>
    <w:rsid w:val="00861FE9"/>
    <w:rsid w:val="00862587"/>
    <w:rsid w:val="00863657"/>
    <w:rsid w:val="00863CB6"/>
    <w:rsid w:val="00864118"/>
    <w:rsid w:val="0086453D"/>
    <w:rsid w:val="00864C6E"/>
    <w:rsid w:val="00864CF7"/>
    <w:rsid w:val="00864DF3"/>
    <w:rsid w:val="00865426"/>
    <w:rsid w:val="008669EA"/>
    <w:rsid w:val="00866CB8"/>
    <w:rsid w:val="00867146"/>
    <w:rsid w:val="008672D3"/>
    <w:rsid w:val="00867420"/>
    <w:rsid w:val="008679A2"/>
    <w:rsid w:val="0087096A"/>
    <w:rsid w:val="00870B53"/>
    <w:rsid w:val="0087105A"/>
    <w:rsid w:val="00871C10"/>
    <w:rsid w:val="00871F46"/>
    <w:rsid w:val="00872353"/>
    <w:rsid w:val="008726F9"/>
    <w:rsid w:val="008737D3"/>
    <w:rsid w:val="008738D0"/>
    <w:rsid w:val="00873B40"/>
    <w:rsid w:val="00874CFF"/>
    <w:rsid w:val="00875336"/>
    <w:rsid w:val="00875517"/>
    <w:rsid w:val="00875971"/>
    <w:rsid w:val="00875C53"/>
    <w:rsid w:val="00875E77"/>
    <w:rsid w:val="008762E0"/>
    <w:rsid w:val="00876AD2"/>
    <w:rsid w:val="00876B72"/>
    <w:rsid w:val="00876E22"/>
    <w:rsid w:val="00877724"/>
    <w:rsid w:val="00877772"/>
    <w:rsid w:val="00880124"/>
    <w:rsid w:val="00880947"/>
    <w:rsid w:val="008825B7"/>
    <w:rsid w:val="00883905"/>
    <w:rsid w:val="0088411F"/>
    <w:rsid w:val="00884588"/>
    <w:rsid w:val="00884CF4"/>
    <w:rsid w:val="008853E6"/>
    <w:rsid w:val="00885B23"/>
    <w:rsid w:val="0088610A"/>
    <w:rsid w:val="008869D3"/>
    <w:rsid w:val="00887D41"/>
    <w:rsid w:val="00887FA5"/>
    <w:rsid w:val="0089005C"/>
    <w:rsid w:val="008905EF"/>
    <w:rsid w:val="00890968"/>
    <w:rsid w:val="00890D5F"/>
    <w:rsid w:val="0089132A"/>
    <w:rsid w:val="00891568"/>
    <w:rsid w:val="00892666"/>
    <w:rsid w:val="00892BD6"/>
    <w:rsid w:val="00892D7F"/>
    <w:rsid w:val="00892EF3"/>
    <w:rsid w:val="00894319"/>
    <w:rsid w:val="008944AF"/>
    <w:rsid w:val="008944D7"/>
    <w:rsid w:val="008947FB"/>
    <w:rsid w:val="00894C25"/>
    <w:rsid w:val="00895648"/>
    <w:rsid w:val="008965D7"/>
    <w:rsid w:val="00896B0F"/>
    <w:rsid w:val="0089768F"/>
    <w:rsid w:val="008976D5"/>
    <w:rsid w:val="00897AF5"/>
    <w:rsid w:val="00897DED"/>
    <w:rsid w:val="008A0ACC"/>
    <w:rsid w:val="008A20A7"/>
    <w:rsid w:val="008A26B3"/>
    <w:rsid w:val="008A2D0A"/>
    <w:rsid w:val="008A2D47"/>
    <w:rsid w:val="008A2ECB"/>
    <w:rsid w:val="008A358B"/>
    <w:rsid w:val="008A35A5"/>
    <w:rsid w:val="008A3C56"/>
    <w:rsid w:val="008A4D99"/>
    <w:rsid w:val="008A5C69"/>
    <w:rsid w:val="008A5E2B"/>
    <w:rsid w:val="008A5EB3"/>
    <w:rsid w:val="008A5F54"/>
    <w:rsid w:val="008A6436"/>
    <w:rsid w:val="008A6523"/>
    <w:rsid w:val="008A66E6"/>
    <w:rsid w:val="008A67DC"/>
    <w:rsid w:val="008A690B"/>
    <w:rsid w:val="008A6D14"/>
    <w:rsid w:val="008A6D8E"/>
    <w:rsid w:val="008A75A1"/>
    <w:rsid w:val="008A7D3F"/>
    <w:rsid w:val="008A7FED"/>
    <w:rsid w:val="008B034E"/>
    <w:rsid w:val="008B10DA"/>
    <w:rsid w:val="008B12B0"/>
    <w:rsid w:val="008B249E"/>
    <w:rsid w:val="008B2D87"/>
    <w:rsid w:val="008B4714"/>
    <w:rsid w:val="008B4C1D"/>
    <w:rsid w:val="008B5614"/>
    <w:rsid w:val="008B57F4"/>
    <w:rsid w:val="008B592A"/>
    <w:rsid w:val="008B5B38"/>
    <w:rsid w:val="008B5B8A"/>
    <w:rsid w:val="008B5E53"/>
    <w:rsid w:val="008B6085"/>
    <w:rsid w:val="008B699F"/>
    <w:rsid w:val="008B6D2A"/>
    <w:rsid w:val="008B79B8"/>
    <w:rsid w:val="008C025B"/>
    <w:rsid w:val="008C02C7"/>
    <w:rsid w:val="008C053A"/>
    <w:rsid w:val="008C06AE"/>
    <w:rsid w:val="008C1225"/>
    <w:rsid w:val="008C1693"/>
    <w:rsid w:val="008C1DB5"/>
    <w:rsid w:val="008C23EA"/>
    <w:rsid w:val="008C26BB"/>
    <w:rsid w:val="008C2942"/>
    <w:rsid w:val="008C2F39"/>
    <w:rsid w:val="008C380A"/>
    <w:rsid w:val="008C3B6B"/>
    <w:rsid w:val="008C53BF"/>
    <w:rsid w:val="008C5F7C"/>
    <w:rsid w:val="008C67B5"/>
    <w:rsid w:val="008C6A21"/>
    <w:rsid w:val="008C6D8C"/>
    <w:rsid w:val="008C6F1B"/>
    <w:rsid w:val="008D014A"/>
    <w:rsid w:val="008D02CC"/>
    <w:rsid w:val="008D03FD"/>
    <w:rsid w:val="008D177F"/>
    <w:rsid w:val="008D1950"/>
    <w:rsid w:val="008D20DB"/>
    <w:rsid w:val="008D26CA"/>
    <w:rsid w:val="008D2723"/>
    <w:rsid w:val="008D2B78"/>
    <w:rsid w:val="008D36E5"/>
    <w:rsid w:val="008D3801"/>
    <w:rsid w:val="008D3BF2"/>
    <w:rsid w:val="008D3EB3"/>
    <w:rsid w:val="008D49B9"/>
    <w:rsid w:val="008D6409"/>
    <w:rsid w:val="008D7123"/>
    <w:rsid w:val="008D71FA"/>
    <w:rsid w:val="008D76CF"/>
    <w:rsid w:val="008D7EAA"/>
    <w:rsid w:val="008E0A98"/>
    <w:rsid w:val="008E1735"/>
    <w:rsid w:val="008E2562"/>
    <w:rsid w:val="008E2EA4"/>
    <w:rsid w:val="008E5A81"/>
    <w:rsid w:val="008E5DD9"/>
    <w:rsid w:val="008E6396"/>
    <w:rsid w:val="008E660F"/>
    <w:rsid w:val="008E6B5C"/>
    <w:rsid w:val="008E6C73"/>
    <w:rsid w:val="008E736B"/>
    <w:rsid w:val="008E742E"/>
    <w:rsid w:val="008F0031"/>
    <w:rsid w:val="008F0D5C"/>
    <w:rsid w:val="008F17FF"/>
    <w:rsid w:val="008F1C9B"/>
    <w:rsid w:val="008F22F2"/>
    <w:rsid w:val="008F2BFB"/>
    <w:rsid w:val="008F3E0F"/>
    <w:rsid w:val="008F4FB3"/>
    <w:rsid w:val="008F52B1"/>
    <w:rsid w:val="008F55C6"/>
    <w:rsid w:val="008F5731"/>
    <w:rsid w:val="008F5CFD"/>
    <w:rsid w:val="008F5F4D"/>
    <w:rsid w:val="008F710A"/>
    <w:rsid w:val="008F7415"/>
    <w:rsid w:val="009010C7"/>
    <w:rsid w:val="009020B3"/>
    <w:rsid w:val="0090234A"/>
    <w:rsid w:val="009023C2"/>
    <w:rsid w:val="00902CDF"/>
    <w:rsid w:val="00902D15"/>
    <w:rsid w:val="0090388F"/>
    <w:rsid w:val="00903A01"/>
    <w:rsid w:val="009042FC"/>
    <w:rsid w:val="009043A0"/>
    <w:rsid w:val="009056BF"/>
    <w:rsid w:val="0090589E"/>
    <w:rsid w:val="00905995"/>
    <w:rsid w:val="00906316"/>
    <w:rsid w:val="00906790"/>
    <w:rsid w:val="00906F7A"/>
    <w:rsid w:val="00907249"/>
    <w:rsid w:val="009103FE"/>
    <w:rsid w:val="009107F6"/>
    <w:rsid w:val="00910B04"/>
    <w:rsid w:val="00910BC8"/>
    <w:rsid w:val="009113F5"/>
    <w:rsid w:val="00911971"/>
    <w:rsid w:val="00912F5A"/>
    <w:rsid w:val="009130D3"/>
    <w:rsid w:val="009133B7"/>
    <w:rsid w:val="00913869"/>
    <w:rsid w:val="0091444A"/>
    <w:rsid w:val="009150DA"/>
    <w:rsid w:val="00915327"/>
    <w:rsid w:val="00915465"/>
    <w:rsid w:val="009161AC"/>
    <w:rsid w:val="009166B6"/>
    <w:rsid w:val="009169D6"/>
    <w:rsid w:val="00916C3C"/>
    <w:rsid w:val="00916CA1"/>
    <w:rsid w:val="00917187"/>
    <w:rsid w:val="009171B7"/>
    <w:rsid w:val="009173DF"/>
    <w:rsid w:val="00917A0C"/>
    <w:rsid w:val="009200FB"/>
    <w:rsid w:val="00920E42"/>
    <w:rsid w:val="00921581"/>
    <w:rsid w:val="009216DD"/>
    <w:rsid w:val="009221AB"/>
    <w:rsid w:val="009224FE"/>
    <w:rsid w:val="00922EE8"/>
    <w:rsid w:val="0092300B"/>
    <w:rsid w:val="009245D9"/>
    <w:rsid w:val="00926C8D"/>
    <w:rsid w:val="009272DE"/>
    <w:rsid w:val="00927387"/>
    <w:rsid w:val="00927B04"/>
    <w:rsid w:val="00927C29"/>
    <w:rsid w:val="00927C9A"/>
    <w:rsid w:val="00927DF9"/>
    <w:rsid w:val="00931DD1"/>
    <w:rsid w:val="00931E80"/>
    <w:rsid w:val="00932229"/>
    <w:rsid w:val="0093281D"/>
    <w:rsid w:val="009338E5"/>
    <w:rsid w:val="00933900"/>
    <w:rsid w:val="009353F2"/>
    <w:rsid w:val="00935428"/>
    <w:rsid w:val="00936793"/>
    <w:rsid w:val="009367A9"/>
    <w:rsid w:val="00936C70"/>
    <w:rsid w:val="0094044C"/>
    <w:rsid w:val="00940872"/>
    <w:rsid w:val="00940953"/>
    <w:rsid w:val="00941919"/>
    <w:rsid w:val="00941DA2"/>
    <w:rsid w:val="00942437"/>
    <w:rsid w:val="00942D4B"/>
    <w:rsid w:val="00943232"/>
    <w:rsid w:val="0094359E"/>
    <w:rsid w:val="00943956"/>
    <w:rsid w:val="00944257"/>
    <w:rsid w:val="009455E9"/>
    <w:rsid w:val="009464E4"/>
    <w:rsid w:val="00946B14"/>
    <w:rsid w:val="0094743B"/>
    <w:rsid w:val="00947AA4"/>
    <w:rsid w:val="009500F2"/>
    <w:rsid w:val="0095030F"/>
    <w:rsid w:val="00950DAE"/>
    <w:rsid w:val="00951BE8"/>
    <w:rsid w:val="00951ECF"/>
    <w:rsid w:val="00952188"/>
    <w:rsid w:val="00952378"/>
    <w:rsid w:val="009523B6"/>
    <w:rsid w:val="009537D0"/>
    <w:rsid w:val="00953989"/>
    <w:rsid w:val="00954373"/>
    <w:rsid w:val="00954380"/>
    <w:rsid w:val="00954802"/>
    <w:rsid w:val="00954C6A"/>
    <w:rsid w:val="00954D1D"/>
    <w:rsid w:val="00955C01"/>
    <w:rsid w:val="0095644F"/>
    <w:rsid w:val="00956DA0"/>
    <w:rsid w:val="00956DB2"/>
    <w:rsid w:val="0095795B"/>
    <w:rsid w:val="00957BBE"/>
    <w:rsid w:val="00961379"/>
    <w:rsid w:val="00961F01"/>
    <w:rsid w:val="00963C38"/>
    <w:rsid w:val="0096452D"/>
    <w:rsid w:val="00964951"/>
    <w:rsid w:val="00965776"/>
    <w:rsid w:val="00965828"/>
    <w:rsid w:val="00966082"/>
    <w:rsid w:val="00966665"/>
    <w:rsid w:val="00966811"/>
    <w:rsid w:val="00966F66"/>
    <w:rsid w:val="009674D9"/>
    <w:rsid w:val="009675DD"/>
    <w:rsid w:val="00967D12"/>
    <w:rsid w:val="00971829"/>
    <w:rsid w:val="009721ED"/>
    <w:rsid w:val="009722D9"/>
    <w:rsid w:val="009729BD"/>
    <w:rsid w:val="00972A8B"/>
    <w:rsid w:val="00972C57"/>
    <w:rsid w:val="00973A2F"/>
    <w:rsid w:val="00974D85"/>
    <w:rsid w:val="009758A9"/>
    <w:rsid w:val="0097646E"/>
    <w:rsid w:val="0097715E"/>
    <w:rsid w:val="009772FB"/>
    <w:rsid w:val="0097764F"/>
    <w:rsid w:val="00977739"/>
    <w:rsid w:val="00977970"/>
    <w:rsid w:val="00977CF2"/>
    <w:rsid w:val="00977EC9"/>
    <w:rsid w:val="00977EDF"/>
    <w:rsid w:val="009808A3"/>
    <w:rsid w:val="00980917"/>
    <w:rsid w:val="00980B1E"/>
    <w:rsid w:val="009813A9"/>
    <w:rsid w:val="00981719"/>
    <w:rsid w:val="009817AF"/>
    <w:rsid w:val="00981A6F"/>
    <w:rsid w:val="00981FD2"/>
    <w:rsid w:val="00982B31"/>
    <w:rsid w:val="00982BA8"/>
    <w:rsid w:val="00983A5F"/>
    <w:rsid w:val="009844F5"/>
    <w:rsid w:val="009845B1"/>
    <w:rsid w:val="009845F9"/>
    <w:rsid w:val="009850B1"/>
    <w:rsid w:val="00985821"/>
    <w:rsid w:val="00985D68"/>
    <w:rsid w:val="009860E9"/>
    <w:rsid w:val="009863C3"/>
    <w:rsid w:val="00986AEA"/>
    <w:rsid w:val="00986B02"/>
    <w:rsid w:val="00990071"/>
    <w:rsid w:val="00990074"/>
    <w:rsid w:val="00990132"/>
    <w:rsid w:val="00990278"/>
    <w:rsid w:val="00992619"/>
    <w:rsid w:val="00992B22"/>
    <w:rsid w:val="00992BD9"/>
    <w:rsid w:val="0099318D"/>
    <w:rsid w:val="009933D2"/>
    <w:rsid w:val="00993EB1"/>
    <w:rsid w:val="00993EE1"/>
    <w:rsid w:val="0099495B"/>
    <w:rsid w:val="00994B9A"/>
    <w:rsid w:val="00995324"/>
    <w:rsid w:val="009954E6"/>
    <w:rsid w:val="0099633B"/>
    <w:rsid w:val="009965C5"/>
    <w:rsid w:val="00997237"/>
    <w:rsid w:val="00997379"/>
    <w:rsid w:val="00997D13"/>
    <w:rsid w:val="00997D30"/>
    <w:rsid w:val="00997E2A"/>
    <w:rsid w:val="009A0445"/>
    <w:rsid w:val="009A06C7"/>
    <w:rsid w:val="009A0CD2"/>
    <w:rsid w:val="009A1002"/>
    <w:rsid w:val="009A13D8"/>
    <w:rsid w:val="009A166C"/>
    <w:rsid w:val="009A1A6F"/>
    <w:rsid w:val="009A1DF2"/>
    <w:rsid w:val="009A1E20"/>
    <w:rsid w:val="009A21A7"/>
    <w:rsid w:val="009A2334"/>
    <w:rsid w:val="009A274F"/>
    <w:rsid w:val="009A2B06"/>
    <w:rsid w:val="009A2E28"/>
    <w:rsid w:val="009A36B6"/>
    <w:rsid w:val="009A3A63"/>
    <w:rsid w:val="009A3A9C"/>
    <w:rsid w:val="009A3E42"/>
    <w:rsid w:val="009A3EF5"/>
    <w:rsid w:val="009A4E39"/>
    <w:rsid w:val="009A4E84"/>
    <w:rsid w:val="009A5CB3"/>
    <w:rsid w:val="009A64C4"/>
    <w:rsid w:val="009A6531"/>
    <w:rsid w:val="009A69BD"/>
    <w:rsid w:val="009A6A27"/>
    <w:rsid w:val="009A6AF4"/>
    <w:rsid w:val="009A6F53"/>
    <w:rsid w:val="009A7390"/>
    <w:rsid w:val="009A7CD5"/>
    <w:rsid w:val="009B09C3"/>
    <w:rsid w:val="009B18BE"/>
    <w:rsid w:val="009B1D13"/>
    <w:rsid w:val="009B1DF6"/>
    <w:rsid w:val="009B2261"/>
    <w:rsid w:val="009B23A8"/>
    <w:rsid w:val="009B2998"/>
    <w:rsid w:val="009B31A5"/>
    <w:rsid w:val="009B336E"/>
    <w:rsid w:val="009B36A9"/>
    <w:rsid w:val="009B3892"/>
    <w:rsid w:val="009B3C7F"/>
    <w:rsid w:val="009B41FB"/>
    <w:rsid w:val="009B47ED"/>
    <w:rsid w:val="009B5163"/>
    <w:rsid w:val="009B5837"/>
    <w:rsid w:val="009B5CCD"/>
    <w:rsid w:val="009B6EA2"/>
    <w:rsid w:val="009B7155"/>
    <w:rsid w:val="009B79B4"/>
    <w:rsid w:val="009B7FB1"/>
    <w:rsid w:val="009C0133"/>
    <w:rsid w:val="009C04E9"/>
    <w:rsid w:val="009C0576"/>
    <w:rsid w:val="009C0842"/>
    <w:rsid w:val="009C0E55"/>
    <w:rsid w:val="009C179D"/>
    <w:rsid w:val="009C19D2"/>
    <w:rsid w:val="009C1A65"/>
    <w:rsid w:val="009C2CBA"/>
    <w:rsid w:val="009C2E51"/>
    <w:rsid w:val="009C3B38"/>
    <w:rsid w:val="009C4305"/>
    <w:rsid w:val="009C465A"/>
    <w:rsid w:val="009C4865"/>
    <w:rsid w:val="009C54FA"/>
    <w:rsid w:val="009C5EBA"/>
    <w:rsid w:val="009C5ED4"/>
    <w:rsid w:val="009C6606"/>
    <w:rsid w:val="009C73B7"/>
    <w:rsid w:val="009C7EA6"/>
    <w:rsid w:val="009D0925"/>
    <w:rsid w:val="009D12FD"/>
    <w:rsid w:val="009D1623"/>
    <w:rsid w:val="009D1DE1"/>
    <w:rsid w:val="009D2AA8"/>
    <w:rsid w:val="009D2D31"/>
    <w:rsid w:val="009D3278"/>
    <w:rsid w:val="009D3666"/>
    <w:rsid w:val="009D3B44"/>
    <w:rsid w:val="009D3B8A"/>
    <w:rsid w:val="009D3C51"/>
    <w:rsid w:val="009D3D69"/>
    <w:rsid w:val="009D4205"/>
    <w:rsid w:val="009D4E82"/>
    <w:rsid w:val="009D501D"/>
    <w:rsid w:val="009D5BDB"/>
    <w:rsid w:val="009E03A2"/>
    <w:rsid w:val="009E0837"/>
    <w:rsid w:val="009E133B"/>
    <w:rsid w:val="009E217E"/>
    <w:rsid w:val="009E2240"/>
    <w:rsid w:val="009E2829"/>
    <w:rsid w:val="009E30B3"/>
    <w:rsid w:val="009E33D5"/>
    <w:rsid w:val="009E3562"/>
    <w:rsid w:val="009E3CC3"/>
    <w:rsid w:val="009E460F"/>
    <w:rsid w:val="009E47F8"/>
    <w:rsid w:val="009E528A"/>
    <w:rsid w:val="009E54BC"/>
    <w:rsid w:val="009E5FB1"/>
    <w:rsid w:val="009E6F8B"/>
    <w:rsid w:val="009E7118"/>
    <w:rsid w:val="009F01B6"/>
    <w:rsid w:val="009F0360"/>
    <w:rsid w:val="009F07CF"/>
    <w:rsid w:val="009F0900"/>
    <w:rsid w:val="009F0C05"/>
    <w:rsid w:val="009F0C83"/>
    <w:rsid w:val="009F0FFA"/>
    <w:rsid w:val="009F13EE"/>
    <w:rsid w:val="009F1FED"/>
    <w:rsid w:val="009F2FE0"/>
    <w:rsid w:val="009F30F5"/>
    <w:rsid w:val="009F37C4"/>
    <w:rsid w:val="009F3829"/>
    <w:rsid w:val="009F387A"/>
    <w:rsid w:val="009F3B00"/>
    <w:rsid w:val="009F419A"/>
    <w:rsid w:val="009F455A"/>
    <w:rsid w:val="009F4748"/>
    <w:rsid w:val="009F4C64"/>
    <w:rsid w:val="009F5219"/>
    <w:rsid w:val="009F5DAD"/>
    <w:rsid w:val="009F63C6"/>
    <w:rsid w:val="009F699C"/>
    <w:rsid w:val="009F6B42"/>
    <w:rsid w:val="009F6B61"/>
    <w:rsid w:val="009F6C9D"/>
    <w:rsid w:val="009F7AE5"/>
    <w:rsid w:val="009F7CA9"/>
    <w:rsid w:val="009F7CFA"/>
    <w:rsid w:val="00A00B86"/>
    <w:rsid w:val="00A01415"/>
    <w:rsid w:val="00A018CB"/>
    <w:rsid w:val="00A02171"/>
    <w:rsid w:val="00A02AB2"/>
    <w:rsid w:val="00A0308F"/>
    <w:rsid w:val="00A037D0"/>
    <w:rsid w:val="00A03EB1"/>
    <w:rsid w:val="00A04034"/>
    <w:rsid w:val="00A062FD"/>
    <w:rsid w:val="00A06777"/>
    <w:rsid w:val="00A07535"/>
    <w:rsid w:val="00A07BE1"/>
    <w:rsid w:val="00A07C1D"/>
    <w:rsid w:val="00A07D1F"/>
    <w:rsid w:val="00A10FEC"/>
    <w:rsid w:val="00A110BE"/>
    <w:rsid w:val="00A1159F"/>
    <w:rsid w:val="00A119DD"/>
    <w:rsid w:val="00A11D20"/>
    <w:rsid w:val="00A12919"/>
    <w:rsid w:val="00A12D92"/>
    <w:rsid w:val="00A132EC"/>
    <w:rsid w:val="00A13C8F"/>
    <w:rsid w:val="00A1437F"/>
    <w:rsid w:val="00A14616"/>
    <w:rsid w:val="00A14DF7"/>
    <w:rsid w:val="00A1571B"/>
    <w:rsid w:val="00A1585E"/>
    <w:rsid w:val="00A15C16"/>
    <w:rsid w:val="00A15E21"/>
    <w:rsid w:val="00A16031"/>
    <w:rsid w:val="00A16399"/>
    <w:rsid w:val="00A1649F"/>
    <w:rsid w:val="00A166F1"/>
    <w:rsid w:val="00A172BB"/>
    <w:rsid w:val="00A200B9"/>
    <w:rsid w:val="00A20195"/>
    <w:rsid w:val="00A2043F"/>
    <w:rsid w:val="00A21841"/>
    <w:rsid w:val="00A21875"/>
    <w:rsid w:val="00A226E5"/>
    <w:rsid w:val="00A228B9"/>
    <w:rsid w:val="00A22C09"/>
    <w:rsid w:val="00A22FCD"/>
    <w:rsid w:val="00A23234"/>
    <w:rsid w:val="00A232D7"/>
    <w:rsid w:val="00A240D0"/>
    <w:rsid w:val="00A2430C"/>
    <w:rsid w:val="00A2455A"/>
    <w:rsid w:val="00A246FD"/>
    <w:rsid w:val="00A24D0A"/>
    <w:rsid w:val="00A24F9B"/>
    <w:rsid w:val="00A25554"/>
    <w:rsid w:val="00A25B38"/>
    <w:rsid w:val="00A25D12"/>
    <w:rsid w:val="00A26DE7"/>
    <w:rsid w:val="00A272E7"/>
    <w:rsid w:val="00A27E4D"/>
    <w:rsid w:val="00A309CA"/>
    <w:rsid w:val="00A31ABE"/>
    <w:rsid w:val="00A31E7A"/>
    <w:rsid w:val="00A32058"/>
    <w:rsid w:val="00A3273F"/>
    <w:rsid w:val="00A32F28"/>
    <w:rsid w:val="00A33662"/>
    <w:rsid w:val="00A3404E"/>
    <w:rsid w:val="00A3416C"/>
    <w:rsid w:val="00A347E2"/>
    <w:rsid w:val="00A350AB"/>
    <w:rsid w:val="00A35FC9"/>
    <w:rsid w:val="00A366A0"/>
    <w:rsid w:val="00A36FD9"/>
    <w:rsid w:val="00A375BC"/>
    <w:rsid w:val="00A379B5"/>
    <w:rsid w:val="00A40176"/>
    <w:rsid w:val="00A40872"/>
    <w:rsid w:val="00A40942"/>
    <w:rsid w:val="00A40E9C"/>
    <w:rsid w:val="00A4122A"/>
    <w:rsid w:val="00A41294"/>
    <w:rsid w:val="00A41334"/>
    <w:rsid w:val="00A413D4"/>
    <w:rsid w:val="00A414C5"/>
    <w:rsid w:val="00A41CB2"/>
    <w:rsid w:val="00A42965"/>
    <w:rsid w:val="00A42A39"/>
    <w:rsid w:val="00A42E15"/>
    <w:rsid w:val="00A42F2D"/>
    <w:rsid w:val="00A4367F"/>
    <w:rsid w:val="00A43E9C"/>
    <w:rsid w:val="00A44108"/>
    <w:rsid w:val="00A445E6"/>
    <w:rsid w:val="00A44AC7"/>
    <w:rsid w:val="00A45191"/>
    <w:rsid w:val="00A451F5"/>
    <w:rsid w:val="00A45582"/>
    <w:rsid w:val="00A46420"/>
    <w:rsid w:val="00A46A29"/>
    <w:rsid w:val="00A47656"/>
    <w:rsid w:val="00A47716"/>
    <w:rsid w:val="00A47AB0"/>
    <w:rsid w:val="00A50022"/>
    <w:rsid w:val="00A50A1B"/>
    <w:rsid w:val="00A51227"/>
    <w:rsid w:val="00A52369"/>
    <w:rsid w:val="00A524FB"/>
    <w:rsid w:val="00A529D7"/>
    <w:rsid w:val="00A53A2F"/>
    <w:rsid w:val="00A53CA9"/>
    <w:rsid w:val="00A544ED"/>
    <w:rsid w:val="00A55499"/>
    <w:rsid w:val="00A558C9"/>
    <w:rsid w:val="00A56979"/>
    <w:rsid w:val="00A5698A"/>
    <w:rsid w:val="00A56AA7"/>
    <w:rsid w:val="00A56B4D"/>
    <w:rsid w:val="00A56BE0"/>
    <w:rsid w:val="00A57067"/>
    <w:rsid w:val="00A5782B"/>
    <w:rsid w:val="00A57BA9"/>
    <w:rsid w:val="00A6015D"/>
    <w:rsid w:val="00A6146B"/>
    <w:rsid w:val="00A62810"/>
    <w:rsid w:val="00A62996"/>
    <w:rsid w:val="00A63023"/>
    <w:rsid w:val="00A6345D"/>
    <w:rsid w:val="00A63E20"/>
    <w:rsid w:val="00A640B2"/>
    <w:rsid w:val="00A65065"/>
    <w:rsid w:val="00A65136"/>
    <w:rsid w:val="00A65284"/>
    <w:rsid w:val="00A6630C"/>
    <w:rsid w:val="00A6634B"/>
    <w:rsid w:val="00A66ACD"/>
    <w:rsid w:val="00A66D0C"/>
    <w:rsid w:val="00A67069"/>
    <w:rsid w:val="00A701E6"/>
    <w:rsid w:val="00A710C0"/>
    <w:rsid w:val="00A71181"/>
    <w:rsid w:val="00A71245"/>
    <w:rsid w:val="00A71373"/>
    <w:rsid w:val="00A71A20"/>
    <w:rsid w:val="00A71CB8"/>
    <w:rsid w:val="00A71E9E"/>
    <w:rsid w:val="00A720B2"/>
    <w:rsid w:val="00A722B0"/>
    <w:rsid w:val="00A72870"/>
    <w:rsid w:val="00A73488"/>
    <w:rsid w:val="00A73983"/>
    <w:rsid w:val="00A7399C"/>
    <w:rsid w:val="00A739E4"/>
    <w:rsid w:val="00A73B50"/>
    <w:rsid w:val="00A73BAD"/>
    <w:rsid w:val="00A73F66"/>
    <w:rsid w:val="00A74EF2"/>
    <w:rsid w:val="00A7548E"/>
    <w:rsid w:val="00A75FF0"/>
    <w:rsid w:val="00A76A7E"/>
    <w:rsid w:val="00A76D42"/>
    <w:rsid w:val="00A76D55"/>
    <w:rsid w:val="00A76F6C"/>
    <w:rsid w:val="00A77193"/>
    <w:rsid w:val="00A77A53"/>
    <w:rsid w:val="00A77F4D"/>
    <w:rsid w:val="00A80798"/>
    <w:rsid w:val="00A80E2F"/>
    <w:rsid w:val="00A8170F"/>
    <w:rsid w:val="00A820C0"/>
    <w:rsid w:val="00A82147"/>
    <w:rsid w:val="00A82358"/>
    <w:rsid w:val="00A82435"/>
    <w:rsid w:val="00A828D1"/>
    <w:rsid w:val="00A82BF7"/>
    <w:rsid w:val="00A83440"/>
    <w:rsid w:val="00A837F4"/>
    <w:rsid w:val="00A83B2B"/>
    <w:rsid w:val="00A85881"/>
    <w:rsid w:val="00A8616A"/>
    <w:rsid w:val="00A86740"/>
    <w:rsid w:val="00A86C36"/>
    <w:rsid w:val="00A86E04"/>
    <w:rsid w:val="00A8777B"/>
    <w:rsid w:val="00A87C63"/>
    <w:rsid w:val="00A87E84"/>
    <w:rsid w:val="00A90388"/>
    <w:rsid w:val="00A91D59"/>
    <w:rsid w:val="00A91EDB"/>
    <w:rsid w:val="00A91F75"/>
    <w:rsid w:val="00A922B8"/>
    <w:rsid w:val="00A92957"/>
    <w:rsid w:val="00A92F8D"/>
    <w:rsid w:val="00A93231"/>
    <w:rsid w:val="00A938C1"/>
    <w:rsid w:val="00A93B15"/>
    <w:rsid w:val="00A9467E"/>
    <w:rsid w:val="00A96288"/>
    <w:rsid w:val="00A96464"/>
    <w:rsid w:val="00A96B83"/>
    <w:rsid w:val="00A96FAF"/>
    <w:rsid w:val="00A97401"/>
    <w:rsid w:val="00A97B9D"/>
    <w:rsid w:val="00AA036A"/>
    <w:rsid w:val="00AA069F"/>
    <w:rsid w:val="00AA14C2"/>
    <w:rsid w:val="00AA15B5"/>
    <w:rsid w:val="00AA18A9"/>
    <w:rsid w:val="00AA1A49"/>
    <w:rsid w:val="00AA1CAC"/>
    <w:rsid w:val="00AA1FB3"/>
    <w:rsid w:val="00AA2F0C"/>
    <w:rsid w:val="00AA345C"/>
    <w:rsid w:val="00AA3EF8"/>
    <w:rsid w:val="00AA418E"/>
    <w:rsid w:val="00AA4FBC"/>
    <w:rsid w:val="00AA60BE"/>
    <w:rsid w:val="00AA65E9"/>
    <w:rsid w:val="00AA7822"/>
    <w:rsid w:val="00AA7AB3"/>
    <w:rsid w:val="00AB0551"/>
    <w:rsid w:val="00AB1205"/>
    <w:rsid w:val="00AB16C1"/>
    <w:rsid w:val="00AB1B10"/>
    <w:rsid w:val="00AB1FC8"/>
    <w:rsid w:val="00AB1FF7"/>
    <w:rsid w:val="00AB3990"/>
    <w:rsid w:val="00AB41E4"/>
    <w:rsid w:val="00AB45A5"/>
    <w:rsid w:val="00AB59C1"/>
    <w:rsid w:val="00AB7422"/>
    <w:rsid w:val="00AB7631"/>
    <w:rsid w:val="00AB77A5"/>
    <w:rsid w:val="00AC07BA"/>
    <w:rsid w:val="00AC2035"/>
    <w:rsid w:val="00AC28F5"/>
    <w:rsid w:val="00AC2F4E"/>
    <w:rsid w:val="00AC357E"/>
    <w:rsid w:val="00AC3F81"/>
    <w:rsid w:val="00AC4090"/>
    <w:rsid w:val="00AC4DEA"/>
    <w:rsid w:val="00AC78F9"/>
    <w:rsid w:val="00AD01C8"/>
    <w:rsid w:val="00AD091E"/>
    <w:rsid w:val="00AD0DF7"/>
    <w:rsid w:val="00AD2408"/>
    <w:rsid w:val="00AD24ED"/>
    <w:rsid w:val="00AD3F1F"/>
    <w:rsid w:val="00AD488C"/>
    <w:rsid w:val="00AD4D60"/>
    <w:rsid w:val="00AD5623"/>
    <w:rsid w:val="00AD5B1F"/>
    <w:rsid w:val="00AD5C05"/>
    <w:rsid w:val="00AD5C89"/>
    <w:rsid w:val="00AD6681"/>
    <w:rsid w:val="00AD66B4"/>
    <w:rsid w:val="00AD6D9D"/>
    <w:rsid w:val="00AD70A8"/>
    <w:rsid w:val="00AD736D"/>
    <w:rsid w:val="00AE0C64"/>
    <w:rsid w:val="00AE0CFB"/>
    <w:rsid w:val="00AE0D03"/>
    <w:rsid w:val="00AE0DBA"/>
    <w:rsid w:val="00AE0F9F"/>
    <w:rsid w:val="00AE12B8"/>
    <w:rsid w:val="00AE39E9"/>
    <w:rsid w:val="00AE3DAD"/>
    <w:rsid w:val="00AE4CDB"/>
    <w:rsid w:val="00AE55A3"/>
    <w:rsid w:val="00AE569B"/>
    <w:rsid w:val="00AE5A87"/>
    <w:rsid w:val="00AE5EC5"/>
    <w:rsid w:val="00AE60E6"/>
    <w:rsid w:val="00AE61BB"/>
    <w:rsid w:val="00AE64FC"/>
    <w:rsid w:val="00AE6586"/>
    <w:rsid w:val="00AE6F9A"/>
    <w:rsid w:val="00AE795B"/>
    <w:rsid w:val="00AE79F9"/>
    <w:rsid w:val="00AF075F"/>
    <w:rsid w:val="00AF0C5D"/>
    <w:rsid w:val="00AF0D2C"/>
    <w:rsid w:val="00AF1B77"/>
    <w:rsid w:val="00AF2008"/>
    <w:rsid w:val="00AF2118"/>
    <w:rsid w:val="00AF2215"/>
    <w:rsid w:val="00AF2B31"/>
    <w:rsid w:val="00AF2FB2"/>
    <w:rsid w:val="00AF35AF"/>
    <w:rsid w:val="00AF3894"/>
    <w:rsid w:val="00AF47A7"/>
    <w:rsid w:val="00AF4DCF"/>
    <w:rsid w:val="00AF4E8D"/>
    <w:rsid w:val="00AF556B"/>
    <w:rsid w:val="00AF5CE3"/>
    <w:rsid w:val="00AF6CA9"/>
    <w:rsid w:val="00AF71E7"/>
    <w:rsid w:val="00AF7829"/>
    <w:rsid w:val="00AF7EC3"/>
    <w:rsid w:val="00B00940"/>
    <w:rsid w:val="00B00F8E"/>
    <w:rsid w:val="00B0110D"/>
    <w:rsid w:val="00B016C8"/>
    <w:rsid w:val="00B01A27"/>
    <w:rsid w:val="00B01E80"/>
    <w:rsid w:val="00B0310A"/>
    <w:rsid w:val="00B04225"/>
    <w:rsid w:val="00B04531"/>
    <w:rsid w:val="00B0492D"/>
    <w:rsid w:val="00B04951"/>
    <w:rsid w:val="00B04CA3"/>
    <w:rsid w:val="00B0527E"/>
    <w:rsid w:val="00B064D8"/>
    <w:rsid w:val="00B067CC"/>
    <w:rsid w:val="00B06E6A"/>
    <w:rsid w:val="00B0705C"/>
    <w:rsid w:val="00B07266"/>
    <w:rsid w:val="00B0731C"/>
    <w:rsid w:val="00B07CF8"/>
    <w:rsid w:val="00B10029"/>
    <w:rsid w:val="00B101F2"/>
    <w:rsid w:val="00B109BB"/>
    <w:rsid w:val="00B10F50"/>
    <w:rsid w:val="00B113FF"/>
    <w:rsid w:val="00B11A2B"/>
    <w:rsid w:val="00B121EC"/>
    <w:rsid w:val="00B12D70"/>
    <w:rsid w:val="00B14212"/>
    <w:rsid w:val="00B14598"/>
    <w:rsid w:val="00B14724"/>
    <w:rsid w:val="00B14760"/>
    <w:rsid w:val="00B15E10"/>
    <w:rsid w:val="00B1638F"/>
    <w:rsid w:val="00B1665B"/>
    <w:rsid w:val="00B16E83"/>
    <w:rsid w:val="00B17126"/>
    <w:rsid w:val="00B17717"/>
    <w:rsid w:val="00B20724"/>
    <w:rsid w:val="00B20CEE"/>
    <w:rsid w:val="00B211CD"/>
    <w:rsid w:val="00B2270F"/>
    <w:rsid w:val="00B230EE"/>
    <w:rsid w:val="00B23983"/>
    <w:rsid w:val="00B24742"/>
    <w:rsid w:val="00B247B2"/>
    <w:rsid w:val="00B24F49"/>
    <w:rsid w:val="00B251DB"/>
    <w:rsid w:val="00B25C11"/>
    <w:rsid w:val="00B25DD4"/>
    <w:rsid w:val="00B26908"/>
    <w:rsid w:val="00B26964"/>
    <w:rsid w:val="00B26EEB"/>
    <w:rsid w:val="00B26F70"/>
    <w:rsid w:val="00B27C1E"/>
    <w:rsid w:val="00B27E08"/>
    <w:rsid w:val="00B27E75"/>
    <w:rsid w:val="00B309DB"/>
    <w:rsid w:val="00B30BE2"/>
    <w:rsid w:val="00B30DCC"/>
    <w:rsid w:val="00B30FD0"/>
    <w:rsid w:val="00B31D5D"/>
    <w:rsid w:val="00B32AA9"/>
    <w:rsid w:val="00B337FA"/>
    <w:rsid w:val="00B33F7B"/>
    <w:rsid w:val="00B3489B"/>
    <w:rsid w:val="00B354E2"/>
    <w:rsid w:val="00B35CC9"/>
    <w:rsid w:val="00B3607E"/>
    <w:rsid w:val="00B3644E"/>
    <w:rsid w:val="00B3673D"/>
    <w:rsid w:val="00B36859"/>
    <w:rsid w:val="00B36E44"/>
    <w:rsid w:val="00B37DF7"/>
    <w:rsid w:val="00B37ECC"/>
    <w:rsid w:val="00B4153F"/>
    <w:rsid w:val="00B41A3C"/>
    <w:rsid w:val="00B41D77"/>
    <w:rsid w:val="00B4277C"/>
    <w:rsid w:val="00B42D22"/>
    <w:rsid w:val="00B4414C"/>
    <w:rsid w:val="00B4428A"/>
    <w:rsid w:val="00B44732"/>
    <w:rsid w:val="00B45147"/>
    <w:rsid w:val="00B45597"/>
    <w:rsid w:val="00B45C2D"/>
    <w:rsid w:val="00B45F8F"/>
    <w:rsid w:val="00B463C8"/>
    <w:rsid w:val="00B466CA"/>
    <w:rsid w:val="00B46963"/>
    <w:rsid w:val="00B473FF"/>
    <w:rsid w:val="00B4743C"/>
    <w:rsid w:val="00B47911"/>
    <w:rsid w:val="00B50097"/>
    <w:rsid w:val="00B501AD"/>
    <w:rsid w:val="00B514DE"/>
    <w:rsid w:val="00B51613"/>
    <w:rsid w:val="00B529F0"/>
    <w:rsid w:val="00B537C6"/>
    <w:rsid w:val="00B54520"/>
    <w:rsid w:val="00B557AC"/>
    <w:rsid w:val="00B55DD2"/>
    <w:rsid w:val="00B55F50"/>
    <w:rsid w:val="00B56F57"/>
    <w:rsid w:val="00B57B6F"/>
    <w:rsid w:val="00B60AC6"/>
    <w:rsid w:val="00B60BAF"/>
    <w:rsid w:val="00B61041"/>
    <w:rsid w:val="00B61566"/>
    <w:rsid w:val="00B62B4A"/>
    <w:rsid w:val="00B62DE7"/>
    <w:rsid w:val="00B63744"/>
    <w:rsid w:val="00B64AEB"/>
    <w:rsid w:val="00B64E16"/>
    <w:rsid w:val="00B64EAB"/>
    <w:rsid w:val="00B6511F"/>
    <w:rsid w:val="00B65343"/>
    <w:rsid w:val="00B66F0C"/>
    <w:rsid w:val="00B67AFD"/>
    <w:rsid w:val="00B67CF1"/>
    <w:rsid w:val="00B704E9"/>
    <w:rsid w:val="00B7063C"/>
    <w:rsid w:val="00B711BF"/>
    <w:rsid w:val="00B712C3"/>
    <w:rsid w:val="00B71824"/>
    <w:rsid w:val="00B718B2"/>
    <w:rsid w:val="00B729B0"/>
    <w:rsid w:val="00B72C75"/>
    <w:rsid w:val="00B730E8"/>
    <w:rsid w:val="00B73653"/>
    <w:rsid w:val="00B739B8"/>
    <w:rsid w:val="00B73ADF"/>
    <w:rsid w:val="00B73E23"/>
    <w:rsid w:val="00B74546"/>
    <w:rsid w:val="00B7550D"/>
    <w:rsid w:val="00B758A7"/>
    <w:rsid w:val="00B76287"/>
    <w:rsid w:val="00B76C18"/>
    <w:rsid w:val="00B77199"/>
    <w:rsid w:val="00B803A0"/>
    <w:rsid w:val="00B81A35"/>
    <w:rsid w:val="00B82E68"/>
    <w:rsid w:val="00B830F9"/>
    <w:rsid w:val="00B841C9"/>
    <w:rsid w:val="00B847FD"/>
    <w:rsid w:val="00B84F3C"/>
    <w:rsid w:val="00B852A6"/>
    <w:rsid w:val="00B8532E"/>
    <w:rsid w:val="00B8539C"/>
    <w:rsid w:val="00B853BC"/>
    <w:rsid w:val="00B8593E"/>
    <w:rsid w:val="00B86201"/>
    <w:rsid w:val="00B862E0"/>
    <w:rsid w:val="00B86B3C"/>
    <w:rsid w:val="00B90C20"/>
    <w:rsid w:val="00B919CB"/>
    <w:rsid w:val="00B91C97"/>
    <w:rsid w:val="00B92E3A"/>
    <w:rsid w:val="00B92F96"/>
    <w:rsid w:val="00B93A31"/>
    <w:rsid w:val="00B93D9E"/>
    <w:rsid w:val="00B94AD1"/>
    <w:rsid w:val="00B95064"/>
    <w:rsid w:val="00B959C0"/>
    <w:rsid w:val="00B95D51"/>
    <w:rsid w:val="00B963E1"/>
    <w:rsid w:val="00B96840"/>
    <w:rsid w:val="00B96A50"/>
    <w:rsid w:val="00B96DF0"/>
    <w:rsid w:val="00B9747F"/>
    <w:rsid w:val="00B97ED4"/>
    <w:rsid w:val="00B97F81"/>
    <w:rsid w:val="00BA00A3"/>
    <w:rsid w:val="00BA05DB"/>
    <w:rsid w:val="00BA077C"/>
    <w:rsid w:val="00BA1CD1"/>
    <w:rsid w:val="00BA1E7C"/>
    <w:rsid w:val="00BA208F"/>
    <w:rsid w:val="00BA21EF"/>
    <w:rsid w:val="00BA2C77"/>
    <w:rsid w:val="00BA2D74"/>
    <w:rsid w:val="00BA3716"/>
    <w:rsid w:val="00BA42CA"/>
    <w:rsid w:val="00BA4380"/>
    <w:rsid w:val="00BA45FC"/>
    <w:rsid w:val="00BA4C6D"/>
    <w:rsid w:val="00BA51C3"/>
    <w:rsid w:val="00BA56F2"/>
    <w:rsid w:val="00BA5A8E"/>
    <w:rsid w:val="00BA5A9A"/>
    <w:rsid w:val="00BA62C6"/>
    <w:rsid w:val="00BA6936"/>
    <w:rsid w:val="00BA6B09"/>
    <w:rsid w:val="00BB02D7"/>
    <w:rsid w:val="00BB0530"/>
    <w:rsid w:val="00BB0E93"/>
    <w:rsid w:val="00BB0F71"/>
    <w:rsid w:val="00BB1000"/>
    <w:rsid w:val="00BB1582"/>
    <w:rsid w:val="00BB16D7"/>
    <w:rsid w:val="00BB1F7C"/>
    <w:rsid w:val="00BB21AF"/>
    <w:rsid w:val="00BB244A"/>
    <w:rsid w:val="00BB2D8A"/>
    <w:rsid w:val="00BB319F"/>
    <w:rsid w:val="00BB476E"/>
    <w:rsid w:val="00BB5268"/>
    <w:rsid w:val="00BB547D"/>
    <w:rsid w:val="00BB60A2"/>
    <w:rsid w:val="00BB6C1A"/>
    <w:rsid w:val="00BB6FD5"/>
    <w:rsid w:val="00BB761E"/>
    <w:rsid w:val="00BB7B62"/>
    <w:rsid w:val="00BB7BA3"/>
    <w:rsid w:val="00BC0460"/>
    <w:rsid w:val="00BC06CD"/>
    <w:rsid w:val="00BC07A8"/>
    <w:rsid w:val="00BC24B2"/>
    <w:rsid w:val="00BC457A"/>
    <w:rsid w:val="00BC47A0"/>
    <w:rsid w:val="00BC5013"/>
    <w:rsid w:val="00BC6751"/>
    <w:rsid w:val="00BC6760"/>
    <w:rsid w:val="00BC72C1"/>
    <w:rsid w:val="00BC7373"/>
    <w:rsid w:val="00BC7BB0"/>
    <w:rsid w:val="00BC7C17"/>
    <w:rsid w:val="00BD0046"/>
    <w:rsid w:val="00BD018A"/>
    <w:rsid w:val="00BD07DF"/>
    <w:rsid w:val="00BD09AB"/>
    <w:rsid w:val="00BD0F23"/>
    <w:rsid w:val="00BD13FD"/>
    <w:rsid w:val="00BD2714"/>
    <w:rsid w:val="00BD2A05"/>
    <w:rsid w:val="00BD2A79"/>
    <w:rsid w:val="00BD2A8F"/>
    <w:rsid w:val="00BD2D51"/>
    <w:rsid w:val="00BD3111"/>
    <w:rsid w:val="00BD3543"/>
    <w:rsid w:val="00BD3820"/>
    <w:rsid w:val="00BD431C"/>
    <w:rsid w:val="00BD49C1"/>
    <w:rsid w:val="00BD4B8B"/>
    <w:rsid w:val="00BD533D"/>
    <w:rsid w:val="00BD5BA4"/>
    <w:rsid w:val="00BD6DF7"/>
    <w:rsid w:val="00BD7066"/>
    <w:rsid w:val="00BD71D8"/>
    <w:rsid w:val="00BD737A"/>
    <w:rsid w:val="00BD750F"/>
    <w:rsid w:val="00BE0DEA"/>
    <w:rsid w:val="00BE1184"/>
    <w:rsid w:val="00BE167B"/>
    <w:rsid w:val="00BE249F"/>
    <w:rsid w:val="00BE31AC"/>
    <w:rsid w:val="00BE35F2"/>
    <w:rsid w:val="00BE3926"/>
    <w:rsid w:val="00BE3F60"/>
    <w:rsid w:val="00BE4BEB"/>
    <w:rsid w:val="00BE4C94"/>
    <w:rsid w:val="00BE6211"/>
    <w:rsid w:val="00BE62BB"/>
    <w:rsid w:val="00BE6579"/>
    <w:rsid w:val="00BE66F1"/>
    <w:rsid w:val="00BE6932"/>
    <w:rsid w:val="00BE73D3"/>
    <w:rsid w:val="00BE7911"/>
    <w:rsid w:val="00BF0035"/>
    <w:rsid w:val="00BF0269"/>
    <w:rsid w:val="00BF0386"/>
    <w:rsid w:val="00BF0E72"/>
    <w:rsid w:val="00BF1DD0"/>
    <w:rsid w:val="00BF318E"/>
    <w:rsid w:val="00BF367F"/>
    <w:rsid w:val="00BF3C3E"/>
    <w:rsid w:val="00BF61CA"/>
    <w:rsid w:val="00BF6F14"/>
    <w:rsid w:val="00BF7C5F"/>
    <w:rsid w:val="00BF7E64"/>
    <w:rsid w:val="00C00311"/>
    <w:rsid w:val="00C010EF"/>
    <w:rsid w:val="00C01260"/>
    <w:rsid w:val="00C013DA"/>
    <w:rsid w:val="00C01607"/>
    <w:rsid w:val="00C0283F"/>
    <w:rsid w:val="00C03883"/>
    <w:rsid w:val="00C03910"/>
    <w:rsid w:val="00C0402F"/>
    <w:rsid w:val="00C0455C"/>
    <w:rsid w:val="00C05EBF"/>
    <w:rsid w:val="00C060BC"/>
    <w:rsid w:val="00C07361"/>
    <w:rsid w:val="00C101C9"/>
    <w:rsid w:val="00C10EE0"/>
    <w:rsid w:val="00C11541"/>
    <w:rsid w:val="00C117BE"/>
    <w:rsid w:val="00C11DC4"/>
    <w:rsid w:val="00C12A0C"/>
    <w:rsid w:val="00C13BC9"/>
    <w:rsid w:val="00C13BD8"/>
    <w:rsid w:val="00C144C9"/>
    <w:rsid w:val="00C14C44"/>
    <w:rsid w:val="00C202DA"/>
    <w:rsid w:val="00C203F4"/>
    <w:rsid w:val="00C206C3"/>
    <w:rsid w:val="00C211C5"/>
    <w:rsid w:val="00C2155A"/>
    <w:rsid w:val="00C21CA8"/>
    <w:rsid w:val="00C22035"/>
    <w:rsid w:val="00C221CD"/>
    <w:rsid w:val="00C23029"/>
    <w:rsid w:val="00C23C2D"/>
    <w:rsid w:val="00C243C4"/>
    <w:rsid w:val="00C24910"/>
    <w:rsid w:val="00C24A2D"/>
    <w:rsid w:val="00C24D2F"/>
    <w:rsid w:val="00C2545B"/>
    <w:rsid w:val="00C256F2"/>
    <w:rsid w:val="00C25E21"/>
    <w:rsid w:val="00C26080"/>
    <w:rsid w:val="00C26589"/>
    <w:rsid w:val="00C26603"/>
    <w:rsid w:val="00C26C04"/>
    <w:rsid w:val="00C27E93"/>
    <w:rsid w:val="00C301EC"/>
    <w:rsid w:val="00C30945"/>
    <w:rsid w:val="00C31211"/>
    <w:rsid w:val="00C31575"/>
    <w:rsid w:val="00C31643"/>
    <w:rsid w:val="00C32000"/>
    <w:rsid w:val="00C322B0"/>
    <w:rsid w:val="00C32778"/>
    <w:rsid w:val="00C33444"/>
    <w:rsid w:val="00C33E96"/>
    <w:rsid w:val="00C34445"/>
    <w:rsid w:val="00C3472F"/>
    <w:rsid w:val="00C355B5"/>
    <w:rsid w:val="00C361ED"/>
    <w:rsid w:val="00C36DD3"/>
    <w:rsid w:val="00C37049"/>
    <w:rsid w:val="00C37CF8"/>
    <w:rsid w:val="00C4020A"/>
    <w:rsid w:val="00C402D9"/>
    <w:rsid w:val="00C40358"/>
    <w:rsid w:val="00C403E0"/>
    <w:rsid w:val="00C40DD1"/>
    <w:rsid w:val="00C41A72"/>
    <w:rsid w:val="00C41B91"/>
    <w:rsid w:val="00C420B3"/>
    <w:rsid w:val="00C421D8"/>
    <w:rsid w:val="00C42241"/>
    <w:rsid w:val="00C42CD3"/>
    <w:rsid w:val="00C42D9B"/>
    <w:rsid w:val="00C42FE4"/>
    <w:rsid w:val="00C43BFD"/>
    <w:rsid w:val="00C44ADE"/>
    <w:rsid w:val="00C44F01"/>
    <w:rsid w:val="00C453C2"/>
    <w:rsid w:val="00C45F88"/>
    <w:rsid w:val="00C467A1"/>
    <w:rsid w:val="00C46AA0"/>
    <w:rsid w:val="00C46CE7"/>
    <w:rsid w:val="00C47C91"/>
    <w:rsid w:val="00C501DF"/>
    <w:rsid w:val="00C5056F"/>
    <w:rsid w:val="00C50A0A"/>
    <w:rsid w:val="00C50B54"/>
    <w:rsid w:val="00C50B6F"/>
    <w:rsid w:val="00C5184E"/>
    <w:rsid w:val="00C51A05"/>
    <w:rsid w:val="00C53269"/>
    <w:rsid w:val="00C53ED9"/>
    <w:rsid w:val="00C5656E"/>
    <w:rsid w:val="00C56771"/>
    <w:rsid w:val="00C568A7"/>
    <w:rsid w:val="00C572C2"/>
    <w:rsid w:val="00C57839"/>
    <w:rsid w:val="00C57A14"/>
    <w:rsid w:val="00C57F2A"/>
    <w:rsid w:val="00C60001"/>
    <w:rsid w:val="00C60289"/>
    <w:rsid w:val="00C611A1"/>
    <w:rsid w:val="00C61694"/>
    <w:rsid w:val="00C62505"/>
    <w:rsid w:val="00C6285D"/>
    <w:rsid w:val="00C63351"/>
    <w:rsid w:val="00C63836"/>
    <w:rsid w:val="00C64426"/>
    <w:rsid w:val="00C6464D"/>
    <w:rsid w:val="00C6513F"/>
    <w:rsid w:val="00C65867"/>
    <w:rsid w:val="00C65A9A"/>
    <w:rsid w:val="00C65C0D"/>
    <w:rsid w:val="00C665B2"/>
    <w:rsid w:val="00C66A4E"/>
    <w:rsid w:val="00C66EC9"/>
    <w:rsid w:val="00C70DBC"/>
    <w:rsid w:val="00C712E7"/>
    <w:rsid w:val="00C71AC1"/>
    <w:rsid w:val="00C71EEE"/>
    <w:rsid w:val="00C71F17"/>
    <w:rsid w:val="00C722C9"/>
    <w:rsid w:val="00C7245F"/>
    <w:rsid w:val="00C72F3A"/>
    <w:rsid w:val="00C73282"/>
    <w:rsid w:val="00C7378B"/>
    <w:rsid w:val="00C73CD8"/>
    <w:rsid w:val="00C73E7C"/>
    <w:rsid w:val="00C74AE3"/>
    <w:rsid w:val="00C75114"/>
    <w:rsid w:val="00C752B1"/>
    <w:rsid w:val="00C754A8"/>
    <w:rsid w:val="00C75F58"/>
    <w:rsid w:val="00C75FDC"/>
    <w:rsid w:val="00C766BB"/>
    <w:rsid w:val="00C768C0"/>
    <w:rsid w:val="00C771F7"/>
    <w:rsid w:val="00C7738A"/>
    <w:rsid w:val="00C774F1"/>
    <w:rsid w:val="00C775CA"/>
    <w:rsid w:val="00C77B78"/>
    <w:rsid w:val="00C77C4C"/>
    <w:rsid w:val="00C811CD"/>
    <w:rsid w:val="00C81400"/>
    <w:rsid w:val="00C820CE"/>
    <w:rsid w:val="00C8263D"/>
    <w:rsid w:val="00C8305F"/>
    <w:rsid w:val="00C83A7D"/>
    <w:rsid w:val="00C83FA2"/>
    <w:rsid w:val="00C844E5"/>
    <w:rsid w:val="00C84594"/>
    <w:rsid w:val="00C84AE0"/>
    <w:rsid w:val="00C84C67"/>
    <w:rsid w:val="00C85B0A"/>
    <w:rsid w:val="00C861C3"/>
    <w:rsid w:val="00C864C2"/>
    <w:rsid w:val="00C86E47"/>
    <w:rsid w:val="00C8738E"/>
    <w:rsid w:val="00C87B32"/>
    <w:rsid w:val="00C87FF3"/>
    <w:rsid w:val="00C915E5"/>
    <w:rsid w:val="00C917D5"/>
    <w:rsid w:val="00C91DE1"/>
    <w:rsid w:val="00C92983"/>
    <w:rsid w:val="00C92B3A"/>
    <w:rsid w:val="00C92F2A"/>
    <w:rsid w:val="00C92FFA"/>
    <w:rsid w:val="00C938A1"/>
    <w:rsid w:val="00C93CDE"/>
    <w:rsid w:val="00C94222"/>
    <w:rsid w:val="00C95511"/>
    <w:rsid w:val="00C95522"/>
    <w:rsid w:val="00C96DF4"/>
    <w:rsid w:val="00C977E8"/>
    <w:rsid w:val="00CA0349"/>
    <w:rsid w:val="00CA0CFB"/>
    <w:rsid w:val="00CA12A0"/>
    <w:rsid w:val="00CA2085"/>
    <w:rsid w:val="00CA26EF"/>
    <w:rsid w:val="00CA2BFF"/>
    <w:rsid w:val="00CA31CD"/>
    <w:rsid w:val="00CA3998"/>
    <w:rsid w:val="00CA4D5C"/>
    <w:rsid w:val="00CA5BD8"/>
    <w:rsid w:val="00CA659E"/>
    <w:rsid w:val="00CA68F8"/>
    <w:rsid w:val="00CA7939"/>
    <w:rsid w:val="00CA7F06"/>
    <w:rsid w:val="00CB0E98"/>
    <w:rsid w:val="00CB1094"/>
    <w:rsid w:val="00CB10DD"/>
    <w:rsid w:val="00CB1A15"/>
    <w:rsid w:val="00CB1AAB"/>
    <w:rsid w:val="00CB258F"/>
    <w:rsid w:val="00CB261E"/>
    <w:rsid w:val="00CB27A4"/>
    <w:rsid w:val="00CB430B"/>
    <w:rsid w:val="00CB4E68"/>
    <w:rsid w:val="00CB51DA"/>
    <w:rsid w:val="00CB5B1F"/>
    <w:rsid w:val="00CB5BE3"/>
    <w:rsid w:val="00CB64EB"/>
    <w:rsid w:val="00CB66F2"/>
    <w:rsid w:val="00CB6B29"/>
    <w:rsid w:val="00CB77FB"/>
    <w:rsid w:val="00CB7A86"/>
    <w:rsid w:val="00CB7D06"/>
    <w:rsid w:val="00CC0363"/>
    <w:rsid w:val="00CC1045"/>
    <w:rsid w:val="00CC1497"/>
    <w:rsid w:val="00CC152E"/>
    <w:rsid w:val="00CC1F82"/>
    <w:rsid w:val="00CC2BC2"/>
    <w:rsid w:val="00CC3051"/>
    <w:rsid w:val="00CC307D"/>
    <w:rsid w:val="00CC317A"/>
    <w:rsid w:val="00CC35E0"/>
    <w:rsid w:val="00CC3D6E"/>
    <w:rsid w:val="00CC4576"/>
    <w:rsid w:val="00CC4707"/>
    <w:rsid w:val="00CC4777"/>
    <w:rsid w:val="00CC4CBF"/>
    <w:rsid w:val="00CC58E9"/>
    <w:rsid w:val="00CC5A12"/>
    <w:rsid w:val="00CC5B8C"/>
    <w:rsid w:val="00CC5C7D"/>
    <w:rsid w:val="00CC6409"/>
    <w:rsid w:val="00CC6CB5"/>
    <w:rsid w:val="00CC6CF3"/>
    <w:rsid w:val="00CC7E8C"/>
    <w:rsid w:val="00CD0943"/>
    <w:rsid w:val="00CD1AFC"/>
    <w:rsid w:val="00CD1CFD"/>
    <w:rsid w:val="00CD2670"/>
    <w:rsid w:val="00CD29B3"/>
    <w:rsid w:val="00CD2A48"/>
    <w:rsid w:val="00CD3567"/>
    <w:rsid w:val="00CD368A"/>
    <w:rsid w:val="00CD3964"/>
    <w:rsid w:val="00CD3C24"/>
    <w:rsid w:val="00CD4E55"/>
    <w:rsid w:val="00CD540A"/>
    <w:rsid w:val="00CD54C3"/>
    <w:rsid w:val="00CD5987"/>
    <w:rsid w:val="00CD5D5A"/>
    <w:rsid w:val="00CD6151"/>
    <w:rsid w:val="00CD65CD"/>
    <w:rsid w:val="00CD6F13"/>
    <w:rsid w:val="00CD71B7"/>
    <w:rsid w:val="00CD7556"/>
    <w:rsid w:val="00CD7BC1"/>
    <w:rsid w:val="00CD7F2D"/>
    <w:rsid w:val="00CE1079"/>
    <w:rsid w:val="00CE174A"/>
    <w:rsid w:val="00CE1978"/>
    <w:rsid w:val="00CE1998"/>
    <w:rsid w:val="00CE1B5F"/>
    <w:rsid w:val="00CE1C42"/>
    <w:rsid w:val="00CE235F"/>
    <w:rsid w:val="00CE2460"/>
    <w:rsid w:val="00CE2AE1"/>
    <w:rsid w:val="00CE2AF7"/>
    <w:rsid w:val="00CE2B4E"/>
    <w:rsid w:val="00CE3066"/>
    <w:rsid w:val="00CE460C"/>
    <w:rsid w:val="00CE4F4C"/>
    <w:rsid w:val="00CE50E6"/>
    <w:rsid w:val="00CE520F"/>
    <w:rsid w:val="00CE5288"/>
    <w:rsid w:val="00CE53C5"/>
    <w:rsid w:val="00CE5611"/>
    <w:rsid w:val="00CE6819"/>
    <w:rsid w:val="00CE7A26"/>
    <w:rsid w:val="00CE7DD2"/>
    <w:rsid w:val="00CF0675"/>
    <w:rsid w:val="00CF1324"/>
    <w:rsid w:val="00CF13B9"/>
    <w:rsid w:val="00CF189A"/>
    <w:rsid w:val="00CF218D"/>
    <w:rsid w:val="00CF2ED2"/>
    <w:rsid w:val="00CF330A"/>
    <w:rsid w:val="00CF3996"/>
    <w:rsid w:val="00CF3DAF"/>
    <w:rsid w:val="00CF409D"/>
    <w:rsid w:val="00CF44AB"/>
    <w:rsid w:val="00CF4FE1"/>
    <w:rsid w:val="00CF5282"/>
    <w:rsid w:val="00CF676B"/>
    <w:rsid w:val="00CF6F73"/>
    <w:rsid w:val="00CF7711"/>
    <w:rsid w:val="00CF7BF1"/>
    <w:rsid w:val="00CF7DD7"/>
    <w:rsid w:val="00CF7E56"/>
    <w:rsid w:val="00D00A93"/>
    <w:rsid w:val="00D00DB3"/>
    <w:rsid w:val="00D0155A"/>
    <w:rsid w:val="00D02196"/>
    <w:rsid w:val="00D0238C"/>
    <w:rsid w:val="00D024E5"/>
    <w:rsid w:val="00D02ED7"/>
    <w:rsid w:val="00D03481"/>
    <w:rsid w:val="00D04858"/>
    <w:rsid w:val="00D0486F"/>
    <w:rsid w:val="00D05AA4"/>
    <w:rsid w:val="00D05BD4"/>
    <w:rsid w:val="00D05F01"/>
    <w:rsid w:val="00D05F98"/>
    <w:rsid w:val="00D05FC9"/>
    <w:rsid w:val="00D065BB"/>
    <w:rsid w:val="00D0673B"/>
    <w:rsid w:val="00D0746D"/>
    <w:rsid w:val="00D078C8"/>
    <w:rsid w:val="00D07B16"/>
    <w:rsid w:val="00D07CCD"/>
    <w:rsid w:val="00D07EE8"/>
    <w:rsid w:val="00D11776"/>
    <w:rsid w:val="00D127BE"/>
    <w:rsid w:val="00D1357B"/>
    <w:rsid w:val="00D137F1"/>
    <w:rsid w:val="00D1452C"/>
    <w:rsid w:val="00D1522C"/>
    <w:rsid w:val="00D163F4"/>
    <w:rsid w:val="00D16450"/>
    <w:rsid w:val="00D164BE"/>
    <w:rsid w:val="00D16948"/>
    <w:rsid w:val="00D17F23"/>
    <w:rsid w:val="00D2045F"/>
    <w:rsid w:val="00D206A0"/>
    <w:rsid w:val="00D20F64"/>
    <w:rsid w:val="00D2101E"/>
    <w:rsid w:val="00D21212"/>
    <w:rsid w:val="00D2150D"/>
    <w:rsid w:val="00D21A4F"/>
    <w:rsid w:val="00D21DD9"/>
    <w:rsid w:val="00D224F1"/>
    <w:rsid w:val="00D2259E"/>
    <w:rsid w:val="00D22986"/>
    <w:rsid w:val="00D22D3F"/>
    <w:rsid w:val="00D23192"/>
    <w:rsid w:val="00D23548"/>
    <w:rsid w:val="00D23E72"/>
    <w:rsid w:val="00D24268"/>
    <w:rsid w:val="00D242F2"/>
    <w:rsid w:val="00D2430E"/>
    <w:rsid w:val="00D2431C"/>
    <w:rsid w:val="00D25237"/>
    <w:rsid w:val="00D252FE"/>
    <w:rsid w:val="00D26B7D"/>
    <w:rsid w:val="00D26BE6"/>
    <w:rsid w:val="00D26FA3"/>
    <w:rsid w:val="00D3075C"/>
    <w:rsid w:val="00D308C0"/>
    <w:rsid w:val="00D30CB1"/>
    <w:rsid w:val="00D3108D"/>
    <w:rsid w:val="00D311D9"/>
    <w:rsid w:val="00D318FA"/>
    <w:rsid w:val="00D32461"/>
    <w:rsid w:val="00D32F66"/>
    <w:rsid w:val="00D330B6"/>
    <w:rsid w:val="00D3318C"/>
    <w:rsid w:val="00D3455B"/>
    <w:rsid w:val="00D3502F"/>
    <w:rsid w:val="00D35A08"/>
    <w:rsid w:val="00D3699D"/>
    <w:rsid w:val="00D373DF"/>
    <w:rsid w:val="00D37D70"/>
    <w:rsid w:val="00D40129"/>
    <w:rsid w:val="00D403C8"/>
    <w:rsid w:val="00D40E95"/>
    <w:rsid w:val="00D41250"/>
    <w:rsid w:val="00D41ACC"/>
    <w:rsid w:val="00D41B45"/>
    <w:rsid w:val="00D427E1"/>
    <w:rsid w:val="00D428EA"/>
    <w:rsid w:val="00D42EEF"/>
    <w:rsid w:val="00D43092"/>
    <w:rsid w:val="00D4344E"/>
    <w:rsid w:val="00D437FF"/>
    <w:rsid w:val="00D43970"/>
    <w:rsid w:val="00D43994"/>
    <w:rsid w:val="00D43AAC"/>
    <w:rsid w:val="00D43C4A"/>
    <w:rsid w:val="00D43C75"/>
    <w:rsid w:val="00D44220"/>
    <w:rsid w:val="00D44A2D"/>
    <w:rsid w:val="00D44A6B"/>
    <w:rsid w:val="00D44FA0"/>
    <w:rsid w:val="00D4556A"/>
    <w:rsid w:val="00D45F60"/>
    <w:rsid w:val="00D46533"/>
    <w:rsid w:val="00D46C8D"/>
    <w:rsid w:val="00D50108"/>
    <w:rsid w:val="00D5043E"/>
    <w:rsid w:val="00D52910"/>
    <w:rsid w:val="00D541CE"/>
    <w:rsid w:val="00D5460F"/>
    <w:rsid w:val="00D54FA8"/>
    <w:rsid w:val="00D55350"/>
    <w:rsid w:val="00D554D1"/>
    <w:rsid w:val="00D55BA5"/>
    <w:rsid w:val="00D56A00"/>
    <w:rsid w:val="00D56D5D"/>
    <w:rsid w:val="00D57485"/>
    <w:rsid w:val="00D57598"/>
    <w:rsid w:val="00D5784A"/>
    <w:rsid w:val="00D57A3F"/>
    <w:rsid w:val="00D57C34"/>
    <w:rsid w:val="00D610B1"/>
    <w:rsid w:val="00D61668"/>
    <w:rsid w:val="00D61B2A"/>
    <w:rsid w:val="00D61E11"/>
    <w:rsid w:val="00D63652"/>
    <w:rsid w:val="00D64BF7"/>
    <w:rsid w:val="00D64CC8"/>
    <w:rsid w:val="00D655C0"/>
    <w:rsid w:val="00D655C7"/>
    <w:rsid w:val="00D65DB9"/>
    <w:rsid w:val="00D65ED8"/>
    <w:rsid w:val="00D66262"/>
    <w:rsid w:val="00D66E1D"/>
    <w:rsid w:val="00D671B5"/>
    <w:rsid w:val="00D67497"/>
    <w:rsid w:val="00D67EEF"/>
    <w:rsid w:val="00D708E1"/>
    <w:rsid w:val="00D70E79"/>
    <w:rsid w:val="00D72532"/>
    <w:rsid w:val="00D72BBA"/>
    <w:rsid w:val="00D73752"/>
    <w:rsid w:val="00D73FF4"/>
    <w:rsid w:val="00D74293"/>
    <w:rsid w:val="00D74BE9"/>
    <w:rsid w:val="00D74DD2"/>
    <w:rsid w:val="00D7532C"/>
    <w:rsid w:val="00D7665B"/>
    <w:rsid w:val="00D77DCB"/>
    <w:rsid w:val="00D803C7"/>
    <w:rsid w:val="00D80D86"/>
    <w:rsid w:val="00D81C24"/>
    <w:rsid w:val="00D81FE7"/>
    <w:rsid w:val="00D82612"/>
    <w:rsid w:val="00D82CDE"/>
    <w:rsid w:val="00D83C57"/>
    <w:rsid w:val="00D8415A"/>
    <w:rsid w:val="00D84541"/>
    <w:rsid w:val="00D8488D"/>
    <w:rsid w:val="00D84C16"/>
    <w:rsid w:val="00D84EAB"/>
    <w:rsid w:val="00D855C6"/>
    <w:rsid w:val="00D860F4"/>
    <w:rsid w:val="00D86637"/>
    <w:rsid w:val="00D86C6B"/>
    <w:rsid w:val="00D87151"/>
    <w:rsid w:val="00D872A4"/>
    <w:rsid w:val="00D87413"/>
    <w:rsid w:val="00D87D3C"/>
    <w:rsid w:val="00D917F9"/>
    <w:rsid w:val="00D928D1"/>
    <w:rsid w:val="00D929D3"/>
    <w:rsid w:val="00D92F9B"/>
    <w:rsid w:val="00D93B50"/>
    <w:rsid w:val="00D940F9"/>
    <w:rsid w:val="00D94375"/>
    <w:rsid w:val="00D9543B"/>
    <w:rsid w:val="00D9583C"/>
    <w:rsid w:val="00D95B4F"/>
    <w:rsid w:val="00D95DCE"/>
    <w:rsid w:val="00D96626"/>
    <w:rsid w:val="00D96F17"/>
    <w:rsid w:val="00D9785E"/>
    <w:rsid w:val="00D97DE3"/>
    <w:rsid w:val="00DA00A1"/>
    <w:rsid w:val="00DA043D"/>
    <w:rsid w:val="00DA07DD"/>
    <w:rsid w:val="00DA0D5A"/>
    <w:rsid w:val="00DA11F4"/>
    <w:rsid w:val="00DA162B"/>
    <w:rsid w:val="00DA1743"/>
    <w:rsid w:val="00DA1D0D"/>
    <w:rsid w:val="00DA20D2"/>
    <w:rsid w:val="00DA224B"/>
    <w:rsid w:val="00DA25C8"/>
    <w:rsid w:val="00DA2D37"/>
    <w:rsid w:val="00DA2E5B"/>
    <w:rsid w:val="00DA42BA"/>
    <w:rsid w:val="00DA4484"/>
    <w:rsid w:val="00DA4B3D"/>
    <w:rsid w:val="00DA50C4"/>
    <w:rsid w:val="00DA6B86"/>
    <w:rsid w:val="00DA7CF3"/>
    <w:rsid w:val="00DA7EC6"/>
    <w:rsid w:val="00DA7F18"/>
    <w:rsid w:val="00DB045C"/>
    <w:rsid w:val="00DB1374"/>
    <w:rsid w:val="00DB1911"/>
    <w:rsid w:val="00DB1D50"/>
    <w:rsid w:val="00DB292B"/>
    <w:rsid w:val="00DB2DC9"/>
    <w:rsid w:val="00DB3BD1"/>
    <w:rsid w:val="00DB3CCF"/>
    <w:rsid w:val="00DB48B5"/>
    <w:rsid w:val="00DB51BD"/>
    <w:rsid w:val="00DB58C6"/>
    <w:rsid w:val="00DB5CF7"/>
    <w:rsid w:val="00DB5F6F"/>
    <w:rsid w:val="00DB679C"/>
    <w:rsid w:val="00DB6A86"/>
    <w:rsid w:val="00DB712D"/>
    <w:rsid w:val="00DC01E4"/>
    <w:rsid w:val="00DC07DB"/>
    <w:rsid w:val="00DC085E"/>
    <w:rsid w:val="00DC0C6C"/>
    <w:rsid w:val="00DC2276"/>
    <w:rsid w:val="00DC2835"/>
    <w:rsid w:val="00DC291D"/>
    <w:rsid w:val="00DC2D4E"/>
    <w:rsid w:val="00DC3061"/>
    <w:rsid w:val="00DC309A"/>
    <w:rsid w:val="00DC35B6"/>
    <w:rsid w:val="00DC385A"/>
    <w:rsid w:val="00DC410D"/>
    <w:rsid w:val="00DC466F"/>
    <w:rsid w:val="00DC5038"/>
    <w:rsid w:val="00DC5A88"/>
    <w:rsid w:val="00DC5F9C"/>
    <w:rsid w:val="00DC65CC"/>
    <w:rsid w:val="00DC68E4"/>
    <w:rsid w:val="00DC798D"/>
    <w:rsid w:val="00DD0518"/>
    <w:rsid w:val="00DD09DE"/>
    <w:rsid w:val="00DD0DDB"/>
    <w:rsid w:val="00DD1CDC"/>
    <w:rsid w:val="00DD24CA"/>
    <w:rsid w:val="00DD3200"/>
    <w:rsid w:val="00DD364E"/>
    <w:rsid w:val="00DD61B0"/>
    <w:rsid w:val="00DD6A1E"/>
    <w:rsid w:val="00DD708A"/>
    <w:rsid w:val="00DE0063"/>
    <w:rsid w:val="00DE0EF5"/>
    <w:rsid w:val="00DE1351"/>
    <w:rsid w:val="00DE1BBB"/>
    <w:rsid w:val="00DE1FE9"/>
    <w:rsid w:val="00DE2927"/>
    <w:rsid w:val="00DE2EDC"/>
    <w:rsid w:val="00DE4406"/>
    <w:rsid w:val="00DE46C7"/>
    <w:rsid w:val="00DE4892"/>
    <w:rsid w:val="00DE633D"/>
    <w:rsid w:val="00DE6644"/>
    <w:rsid w:val="00DE7AA8"/>
    <w:rsid w:val="00DF0033"/>
    <w:rsid w:val="00DF04F8"/>
    <w:rsid w:val="00DF04FD"/>
    <w:rsid w:val="00DF0E0B"/>
    <w:rsid w:val="00DF1FFE"/>
    <w:rsid w:val="00DF29E2"/>
    <w:rsid w:val="00DF3257"/>
    <w:rsid w:val="00DF33B0"/>
    <w:rsid w:val="00DF3EB1"/>
    <w:rsid w:val="00DF4119"/>
    <w:rsid w:val="00DF4A47"/>
    <w:rsid w:val="00DF4ADB"/>
    <w:rsid w:val="00DF5B2D"/>
    <w:rsid w:val="00DF5E5E"/>
    <w:rsid w:val="00DF712A"/>
    <w:rsid w:val="00DF74A0"/>
    <w:rsid w:val="00DF7D3D"/>
    <w:rsid w:val="00DF7D96"/>
    <w:rsid w:val="00E00119"/>
    <w:rsid w:val="00E00480"/>
    <w:rsid w:val="00E00524"/>
    <w:rsid w:val="00E00ADE"/>
    <w:rsid w:val="00E01606"/>
    <w:rsid w:val="00E02458"/>
    <w:rsid w:val="00E02BEA"/>
    <w:rsid w:val="00E03633"/>
    <w:rsid w:val="00E03E5F"/>
    <w:rsid w:val="00E0564E"/>
    <w:rsid w:val="00E05A46"/>
    <w:rsid w:val="00E06580"/>
    <w:rsid w:val="00E06B6E"/>
    <w:rsid w:val="00E07972"/>
    <w:rsid w:val="00E10A55"/>
    <w:rsid w:val="00E10E0A"/>
    <w:rsid w:val="00E11885"/>
    <w:rsid w:val="00E1362C"/>
    <w:rsid w:val="00E1369E"/>
    <w:rsid w:val="00E13DAC"/>
    <w:rsid w:val="00E141C3"/>
    <w:rsid w:val="00E146FC"/>
    <w:rsid w:val="00E15234"/>
    <w:rsid w:val="00E15276"/>
    <w:rsid w:val="00E15DC8"/>
    <w:rsid w:val="00E15E9E"/>
    <w:rsid w:val="00E15F39"/>
    <w:rsid w:val="00E16391"/>
    <w:rsid w:val="00E1679F"/>
    <w:rsid w:val="00E17B8D"/>
    <w:rsid w:val="00E203B1"/>
    <w:rsid w:val="00E211AE"/>
    <w:rsid w:val="00E21330"/>
    <w:rsid w:val="00E22D41"/>
    <w:rsid w:val="00E250A4"/>
    <w:rsid w:val="00E2530B"/>
    <w:rsid w:val="00E25CF5"/>
    <w:rsid w:val="00E2606C"/>
    <w:rsid w:val="00E26369"/>
    <w:rsid w:val="00E26901"/>
    <w:rsid w:val="00E27362"/>
    <w:rsid w:val="00E27647"/>
    <w:rsid w:val="00E27B33"/>
    <w:rsid w:val="00E27EED"/>
    <w:rsid w:val="00E30803"/>
    <w:rsid w:val="00E30E7D"/>
    <w:rsid w:val="00E31829"/>
    <w:rsid w:val="00E3193A"/>
    <w:rsid w:val="00E31963"/>
    <w:rsid w:val="00E32BF2"/>
    <w:rsid w:val="00E33017"/>
    <w:rsid w:val="00E33A6F"/>
    <w:rsid w:val="00E33E98"/>
    <w:rsid w:val="00E33F5E"/>
    <w:rsid w:val="00E348F9"/>
    <w:rsid w:val="00E357AB"/>
    <w:rsid w:val="00E3596B"/>
    <w:rsid w:val="00E3723A"/>
    <w:rsid w:val="00E37671"/>
    <w:rsid w:val="00E40810"/>
    <w:rsid w:val="00E4086E"/>
    <w:rsid w:val="00E40B05"/>
    <w:rsid w:val="00E40CA8"/>
    <w:rsid w:val="00E40FA8"/>
    <w:rsid w:val="00E41B44"/>
    <w:rsid w:val="00E4251B"/>
    <w:rsid w:val="00E42E33"/>
    <w:rsid w:val="00E433CB"/>
    <w:rsid w:val="00E43C7C"/>
    <w:rsid w:val="00E4418E"/>
    <w:rsid w:val="00E4431E"/>
    <w:rsid w:val="00E4465D"/>
    <w:rsid w:val="00E45F82"/>
    <w:rsid w:val="00E4675D"/>
    <w:rsid w:val="00E47A9C"/>
    <w:rsid w:val="00E47E79"/>
    <w:rsid w:val="00E5005A"/>
    <w:rsid w:val="00E516C1"/>
    <w:rsid w:val="00E5216D"/>
    <w:rsid w:val="00E525F2"/>
    <w:rsid w:val="00E52D33"/>
    <w:rsid w:val="00E52EDD"/>
    <w:rsid w:val="00E5319F"/>
    <w:rsid w:val="00E532EB"/>
    <w:rsid w:val="00E53CCA"/>
    <w:rsid w:val="00E53DBA"/>
    <w:rsid w:val="00E53E6C"/>
    <w:rsid w:val="00E53E83"/>
    <w:rsid w:val="00E5486D"/>
    <w:rsid w:val="00E55311"/>
    <w:rsid w:val="00E55B45"/>
    <w:rsid w:val="00E56096"/>
    <w:rsid w:val="00E572CC"/>
    <w:rsid w:val="00E577DA"/>
    <w:rsid w:val="00E57F9C"/>
    <w:rsid w:val="00E60BAD"/>
    <w:rsid w:val="00E60BC5"/>
    <w:rsid w:val="00E60DD6"/>
    <w:rsid w:val="00E612DA"/>
    <w:rsid w:val="00E61AAD"/>
    <w:rsid w:val="00E62017"/>
    <w:rsid w:val="00E62EE5"/>
    <w:rsid w:val="00E63801"/>
    <w:rsid w:val="00E651CF"/>
    <w:rsid w:val="00E65553"/>
    <w:rsid w:val="00E65D83"/>
    <w:rsid w:val="00E66819"/>
    <w:rsid w:val="00E6681E"/>
    <w:rsid w:val="00E669C9"/>
    <w:rsid w:val="00E66BA9"/>
    <w:rsid w:val="00E67EBE"/>
    <w:rsid w:val="00E71725"/>
    <w:rsid w:val="00E71A23"/>
    <w:rsid w:val="00E72730"/>
    <w:rsid w:val="00E74AD6"/>
    <w:rsid w:val="00E74F7D"/>
    <w:rsid w:val="00E75127"/>
    <w:rsid w:val="00E76081"/>
    <w:rsid w:val="00E770DB"/>
    <w:rsid w:val="00E80149"/>
    <w:rsid w:val="00E807D0"/>
    <w:rsid w:val="00E81960"/>
    <w:rsid w:val="00E81A3D"/>
    <w:rsid w:val="00E81C81"/>
    <w:rsid w:val="00E837AA"/>
    <w:rsid w:val="00E83A8B"/>
    <w:rsid w:val="00E83B9C"/>
    <w:rsid w:val="00E83F5D"/>
    <w:rsid w:val="00E83FDA"/>
    <w:rsid w:val="00E8489F"/>
    <w:rsid w:val="00E85EB6"/>
    <w:rsid w:val="00E865F0"/>
    <w:rsid w:val="00E86B87"/>
    <w:rsid w:val="00E8734A"/>
    <w:rsid w:val="00E87900"/>
    <w:rsid w:val="00E87A4B"/>
    <w:rsid w:val="00E87C6C"/>
    <w:rsid w:val="00E87DF9"/>
    <w:rsid w:val="00E904FD"/>
    <w:rsid w:val="00E90F70"/>
    <w:rsid w:val="00E916C9"/>
    <w:rsid w:val="00E92552"/>
    <w:rsid w:val="00E92CAD"/>
    <w:rsid w:val="00E934AD"/>
    <w:rsid w:val="00E93A4D"/>
    <w:rsid w:val="00E93D40"/>
    <w:rsid w:val="00E9409E"/>
    <w:rsid w:val="00E9438A"/>
    <w:rsid w:val="00E94948"/>
    <w:rsid w:val="00E949B2"/>
    <w:rsid w:val="00E94E31"/>
    <w:rsid w:val="00E95A89"/>
    <w:rsid w:val="00E95EBA"/>
    <w:rsid w:val="00E96794"/>
    <w:rsid w:val="00E96B01"/>
    <w:rsid w:val="00E97C95"/>
    <w:rsid w:val="00EA018D"/>
    <w:rsid w:val="00EA03CE"/>
    <w:rsid w:val="00EA10AB"/>
    <w:rsid w:val="00EA1A61"/>
    <w:rsid w:val="00EA1F10"/>
    <w:rsid w:val="00EA226C"/>
    <w:rsid w:val="00EA2CB7"/>
    <w:rsid w:val="00EA2EF8"/>
    <w:rsid w:val="00EA38F2"/>
    <w:rsid w:val="00EA3A87"/>
    <w:rsid w:val="00EA4E67"/>
    <w:rsid w:val="00EA5C51"/>
    <w:rsid w:val="00EA6457"/>
    <w:rsid w:val="00EA65CC"/>
    <w:rsid w:val="00EA678E"/>
    <w:rsid w:val="00EA7724"/>
    <w:rsid w:val="00EA7FB0"/>
    <w:rsid w:val="00EB1773"/>
    <w:rsid w:val="00EB17DD"/>
    <w:rsid w:val="00EB20E6"/>
    <w:rsid w:val="00EB2179"/>
    <w:rsid w:val="00EB2273"/>
    <w:rsid w:val="00EB22CF"/>
    <w:rsid w:val="00EB23C6"/>
    <w:rsid w:val="00EB2547"/>
    <w:rsid w:val="00EB328F"/>
    <w:rsid w:val="00EB3A59"/>
    <w:rsid w:val="00EB4B7B"/>
    <w:rsid w:val="00EB51ED"/>
    <w:rsid w:val="00EB5298"/>
    <w:rsid w:val="00EB58AF"/>
    <w:rsid w:val="00EB5D91"/>
    <w:rsid w:val="00EB659D"/>
    <w:rsid w:val="00EB68E2"/>
    <w:rsid w:val="00EB69F5"/>
    <w:rsid w:val="00EC027E"/>
    <w:rsid w:val="00EC15C5"/>
    <w:rsid w:val="00EC1D6B"/>
    <w:rsid w:val="00EC1E47"/>
    <w:rsid w:val="00EC21FE"/>
    <w:rsid w:val="00EC243C"/>
    <w:rsid w:val="00EC2AB5"/>
    <w:rsid w:val="00EC312B"/>
    <w:rsid w:val="00EC3318"/>
    <w:rsid w:val="00EC358C"/>
    <w:rsid w:val="00EC3C38"/>
    <w:rsid w:val="00EC3DE8"/>
    <w:rsid w:val="00EC423E"/>
    <w:rsid w:val="00EC43FA"/>
    <w:rsid w:val="00EC5296"/>
    <w:rsid w:val="00EC5A8C"/>
    <w:rsid w:val="00EC6CEC"/>
    <w:rsid w:val="00EC6DEA"/>
    <w:rsid w:val="00EC6F6E"/>
    <w:rsid w:val="00EC7CEA"/>
    <w:rsid w:val="00ED0B8E"/>
    <w:rsid w:val="00ED0C4C"/>
    <w:rsid w:val="00ED0D45"/>
    <w:rsid w:val="00ED112B"/>
    <w:rsid w:val="00ED1360"/>
    <w:rsid w:val="00ED18A0"/>
    <w:rsid w:val="00ED2506"/>
    <w:rsid w:val="00ED2F0D"/>
    <w:rsid w:val="00ED33C2"/>
    <w:rsid w:val="00ED3A11"/>
    <w:rsid w:val="00ED3C5C"/>
    <w:rsid w:val="00ED3C7A"/>
    <w:rsid w:val="00ED57B2"/>
    <w:rsid w:val="00ED5E48"/>
    <w:rsid w:val="00ED5E92"/>
    <w:rsid w:val="00ED6FAC"/>
    <w:rsid w:val="00ED7D3E"/>
    <w:rsid w:val="00EE006F"/>
    <w:rsid w:val="00EE0E96"/>
    <w:rsid w:val="00EE178F"/>
    <w:rsid w:val="00EE209B"/>
    <w:rsid w:val="00EE2281"/>
    <w:rsid w:val="00EE277A"/>
    <w:rsid w:val="00EE27CF"/>
    <w:rsid w:val="00EE299C"/>
    <w:rsid w:val="00EE2A7C"/>
    <w:rsid w:val="00EE2BA5"/>
    <w:rsid w:val="00EE2F1F"/>
    <w:rsid w:val="00EE300B"/>
    <w:rsid w:val="00EE319B"/>
    <w:rsid w:val="00EE398A"/>
    <w:rsid w:val="00EE4336"/>
    <w:rsid w:val="00EE45F1"/>
    <w:rsid w:val="00EE4671"/>
    <w:rsid w:val="00EE4B70"/>
    <w:rsid w:val="00EE4C7D"/>
    <w:rsid w:val="00EE4EB7"/>
    <w:rsid w:val="00EE56E5"/>
    <w:rsid w:val="00EE581D"/>
    <w:rsid w:val="00EE5A41"/>
    <w:rsid w:val="00EE5E42"/>
    <w:rsid w:val="00EE5E63"/>
    <w:rsid w:val="00EE7F4A"/>
    <w:rsid w:val="00EF04F3"/>
    <w:rsid w:val="00EF0606"/>
    <w:rsid w:val="00EF079B"/>
    <w:rsid w:val="00EF09BA"/>
    <w:rsid w:val="00EF0AA2"/>
    <w:rsid w:val="00EF0DD3"/>
    <w:rsid w:val="00EF1163"/>
    <w:rsid w:val="00EF1271"/>
    <w:rsid w:val="00EF17E4"/>
    <w:rsid w:val="00EF1868"/>
    <w:rsid w:val="00EF1EB2"/>
    <w:rsid w:val="00EF20DF"/>
    <w:rsid w:val="00EF24BC"/>
    <w:rsid w:val="00EF2B92"/>
    <w:rsid w:val="00EF2FFA"/>
    <w:rsid w:val="00EF309C"/>
    <w:rsid w:val="00EF3FFB"/>
    <w:rsid w:val="00EF411B"/>
    <w:rsid w:val="00EF4249"/>
    <w:rsid w:val="00EF5482"/>
    <w:rsid w:val="00EF58C6"/>
    <w:rsid w:val="00EF601D"/>
    <w:rsid w:val="00EF62DE"/>
    <w:rsid w:val="00EF73D1"/>
    <w:rsid w:val="00EF7414"/>
    <w:rsid w:val="00F004B0"/>
    <w:rsid w:val="00F006EB"/>
    <w:rsid w:val="00F00FD2"/>
    <w:rsid w:val="00F01132"/>
    <w:rsid w:val="00F03068"/>
    <w:rsid w:val="00F03739"/>
    <w:rsid w:val="00F03AD9"/>
    <w:rsid w:val="00F03F32"/>
    <w:rsid w:val="00F045EE"/>
    <w:rsid w:val="00F050DC"/>
    <w:rsid w:val="00F0741B"/>
    <w:rsid w:val="00F10051"/>
    <w:rsid w:val="00F10D7D"/>
    <w:rsid w:val="00F12568"/>
    <w:rsid w:val="00F12633"/>
    <w:rsid w:val="00F1301B"/>
    <w:rsid w:val="00F133C0"/>
    <w:rsid w:val="00F138B5"/>
    <w:rsid w:val="00F14207"/>
    <w:rsid w:val="00F14362"/>
    <w:rsid w:val="00F14E16"/>
    <w:rsid w:val="00F15F24"/>
    <w:rsid w:val="00F15F59"/>
    <w:rsid w:val="00F160E8"/>
    <w:rsid w:val="00F16462"/>
    <w:rsid w:val="00F16A6A"/>
    <w:rsid w:val="00F17C4D"/>
    <w:rsid w:val="00F17CFA"/>
    <w:rsid w:val="00F17DEC"/>
    <w:rsid w:val="00F2020F"/>
    <w:rsid w:val="00F2071A"/>
    <w:rsid w:val="00F20DEB"/>
    <w:rsid w:val="00F21369"/>
    <w:rsid w:val="00F21630"/>
    <w:rsid w:val="00F218E5"/>
    <w:rsid w:val="00F218FA"/>
    <w:rsid w:val="00F21F1F"/>
    <w:rsid w:val="00F230E0"/>
    <w:rsid w:val="00F23508"/>
    <w:rsid w:val="00F235E3"/>
    <w:rsid w:val="00F236F9"/>
    <w:rsid w:val="00F24268"/>
    <w:rsid w:val="00F2498B"/>
    <w:rsid w:val="00F24C24"/>
    <w:rsid w:val="00F25580"/>
    <w:rsid w:val="00F3101C"/>
    <w:rsid w:val="00F31A4C"/>
    <w:rsid w:val="00F31D79"/>
    <w:rsid w:val="00F32514"/>
    <w:rsid w:val="00F32CD0"/>
    <w:rsid w:val="00F33573"/>
    <w:rsid w:val="00F3412F"/>
    <w:rsid w:val="00F351E9"/>
    <w:rsid w:val="00F352E7"/>
    <w:rsid w:val="00F353BB"/>
    <w:rsid w:val="00F353CB"/>
    <w:rsid w:val="00F370B5"/>
    <w:rsid w:val="00F372D9"/>
    <w:rsid w:val="00F373B0"/>
    <w:rsid w:val="00F400B8"/>
    <w:rsid w:val="00F4051E"/>
    <w:rsid w:val="00F41BC2"/>
    <w:rsid w:val="00F43A5F"/>
    <w:rsid w:val="00F43B9A"/>
    <w:rsid w:val="00F447BE"/>
    <w:rsid w:val="00F44836"/>
    <w:rsid w:val="00F44936"/>
    <w:rsid w:val="00F4519B"/>
    <w:rsid w:val="00F452D3"/>
    <w:rsid w:val="00F45465"/>
    <w:rsid w:val="00F46936"/>
    <w:rsid w:val="00F4726A"/>
    <w:rsid w:val="00F47316"/>
    <w:rsid w:val="00F47F93"/>
    <w:rsid w:val="00F50920"/>
    <w:rsid w:val="00F50A98"/>
    <w:rsid w:val="00F50F4B"/>
    <w:rsid w:val="00F517B4"/>
    <w:rsid w:val="00F51F6D"/>
    <w:rsid w:val="00F52C04"/>
    <w:rsid w:val="00F52D33"/>
    <w:rsid w:val="00F5355F"/>
    <w:rsid w:val="00F5368A"/>
    <w:rsid w:val="00F541FC"/>
    <w:rsid w:val="00F54328"/>
    <w:rsid w:val="00F54C8D"/>
    <w:rsid w:val="00F56CC2"/>
    <w:rsid w:val="00F56DDE"/>
    <w:rsid w:val="00F57545"/>
    <w:rsid w:val="00F57905"/>
    <w:rsid w:val="00F57C43"/>
    <w:rsid w:val="00F57C87"/>
    <w:rsid w:val="00F60023"/>
    <w:rsid w:val="00F604C4"/>
    <w:rsid w:val="00F60BFC"/>
    <w:rsid w:val="00F617A4"/>
    <w:rsid w:val="00F62097"/>
    <w:rsid w:val="00F627B0"/>
    <w:rsid w:val="00F629A0"/>
    <w:rsid w:val="00F6527A"/>
    <w:rsid w:val="00F65C41"/>
    <w:rsid w:val="00F66885"/>
    <w:rsid w:val="00F66B71"/>
    <w:rsid w:val="00F66DA9"/>
    <w:rsid w:val="00F66EB2"/>
    <w:rsid w:val="00F6741B"/>
    <w:rsid w:val="00F67669"/>
    <w:rsid w:val="00F67858"/>
    <w:rsid w:val="00F7040E"/>
    <w:rsid w:val="00F7078F"/>
    <w:rsid w:val="00F7090B"/>
    <w:rsid w:val="00F70992"/>
    <w:rsid w:val="00F70F09"/>
    <w:rsid w:val="00F71022"/>
    <w:rsid w:val="00F71399"/>
    <w:rsid w:val="00F716EA"/>
    <w:rsid w:val="00F71FE9"/>
    <w:rsid w:val="00F7248E"/>
    <w:rsid w:val="00F72896"/>
    <w:rsid w:val="00F72E42"/>
    <w:rsid w:val="00F72F20"/>
    <w:rsid w:val="00F7419F"/>
    <w:rsid w:val="00F749BE"/>
    <w:rsid w:val="00F75EA3"/>
    <w:rsid w:val="00F75FEA"/>
    <w:rsid w:val="00F76125"/>
    <w:rsid w:val="00F763DD"/>
    <w:rsid w:val="00F76D5C"/>
    <w:rsid w:val="00F777A4"/>
    <w:rsid w:val="00F777C8"/>
    <w:rsid w:val="00F802FB"/>
    <w:rsid w:val="00F8066D"/>
    <w:rsid w:val="00F8073F"/>
    <w:rsid w:val="00F808D4"/>
    <w:rsid w:val="00F809CD"/>
    <w:rsid w:val="00F81EC2"/>
    <w:rsid w:val="00F8252F"/>
    <w:rsid w:val="00F826A1"/>
    <w:rsid w:val="00F829B0"/>
    <w:rsid w:val="00F82AE8"/>
    <w:rsid w:val="00F83142"/>
    <w:rsid w:val="00F8352B"/>
    <w:rsid w:val="00F8374F"/>
    <w:rsid w:val="00F83C13"/>
    <w:rsid w:val="00F83D73"/>
    <w:rsid w:val="00F8457E"/>
    <w:rsid w:val="00F84CA8"/>
    <w:rsid w:val="00F84DFF"/>
    <w:rsid w:val="00F856F7"/>
    <w:rsid w:val="00F85D89"/>
    <w:rsid w:val="00F86E59"/>
    <w:rsid w:val="00F87430"/>
    <w:rsid w:val="00F876E7"/>
    <w:rsid w:val="00F87987"/>
    <w:rsid w:val="00F90809"/>
    <w:rsid w:val="00F91E1E"/>
    <w:rsid w:val="00F92C11"/>
    <w:rsid w:val="00F92C93"/>
    <w:rsid w:val="00F92F7C"/>
    <w:rsid w:val="00F930A2"/>
    <w:rsid w:val="00F935B6"/>
    <w:rsid w:val="00F9370D"/>
    <w:rsid w:val="00F93A09"/>
    <w:rsid w:val="00F93BC9"/>
    <w:rsid w:val="00F943D6"/>
    <w:rsid w:val="00F95513"/>
    <w:rsid w:val="00F95E4A"/>
    <w:rsid w:val="00F961CD"/>
    <w:rsid w:val="00F96532"/>
    <w:rsid w:val="00F96C20"/>
    <w:rsid w:val="00F96D8A"/>
    <w:rsid w:val="00F97A5C"/>
    <w:rsid w:val="00FA003B"/>
    <w:rsid w:val="00FA0EA0"/>
    <w:rsid w:val="00FA1081"/>
    <w:rsid w:val="00FA1C56"/>
    <w:rsid w:val="00FA2378"/>
    <w:rsid w:val="00FA2758"/>
    <w:rsid w:val="00FA2850"/>
    <w:rsid w:val="00FA30CC"/>
    <w:rsid w:val="00FA3160"/>
    <w:rsid w:val="00FA3297"/>
    <w:rsid w:val="00FA32AB"/>
    <w:rsid w:val="00FA34AB"/>
    <w:rsid w:val="00FA42FA"/>
    <w:rsid w:val="00FA49B5"/>
    <w:rsid w:val="00FA6F40"/>
    <w:rsid w:val="00FA6F96"/>
    <w:rsid w:val="00FB125E"/>
    <w:rsid w:val="00FB15E9"/>
    <w:rsid w:val="00FB1D42"/>
    <w:rsid w:val="00FB2587"/>
    <w:rsid w:val="00FB2634"/>
    <w:rsid w:val="00FB2714"/>
    <w:rsid w:val="00FB2FB5"/>
    <w:rsid w:val="00FB3AE3"/>
    <w:rsid w:val="00FB494C"/>
    <w:rsid w:val="00FB4E53"/>
    <w:rsid w:val="00FB50F4"/>
    <w:rsid w:val="00FB55DC"/>
    <w:rsid w:val="00FB55F7"/>
    <w:rsid w:val="00FB5947"/>
    <w:rsid w:val="00FB61B8"/>
    <w:rsid w:val="00FB631C"/>
    <w:rsid w:val="00FB6E3A"/>
    <w:rsid w:val="00FC1E0C"/>
    <w:rsid w:val="00FC25DD"/>
    <w:rsid w:val="00FC3515"/>
    <w:rsid w:val="00FC3B5A"/>
    <w:rsid w:val="00FC45E3"/>
    <w:rsid w:val="00FC4951"/>
    <w:rsid w:val="00FC5425"/>
    <w:rsid w:val="00FC555E"/>
    <w:rsid w:val="00FC5F63"/>
    <w:rsid w:val="00FC600B"/>
    <w:rsid w:val="00FC6573"/>
    <w:rsid w:val="00FC6885"/>
    <w:rsid w:val="00FC6976"/>
    <w:rsid w:val="00FC6D2F"/>
    <w:rsid w:val="00FC7215"/>
    <w:rsid w:val="00FC7239"/>
    <w:rsid w:val="00FC747E"/>
    <w:rsid w:val="00FC7A9F"/>
    <w:rsid w:val="00FC7D48"/>
    <w:rsid w:val="00FD03DE"/>
    <w:rsid w:val="00FD08EA"/>
    <w:rsid w:val="00FD23AD"/>
    <w:rsid w:val="00FD2577"/>
    <w:rsid w:val="00FD3758"/>
    <w:rsid w:val="00FD3B44"/>
    <w:rsid w:val="00FD3FC1"/>
    <w:rsid w:val="00FD4555"/>
    <w:rsid w:val="00FD4AB7"/>
    <w:rsid w:val="00FD5831"/>
    <w:rsid w:val="00FD5B00"/>
    <w:rsid w:val="00FD5D19"/>
    <w:rsid w:val="00FD6F5F"/>
    <w:rsid w:val="00FE08C1"/>
    <w:rsid w:val="00FE0BCB"/>
    <w:rsid w:val="00FE0EB7"/>
    <w:rsid w:val="00FE1131"/>
    <w:rsid w:val="00FE1D1D"/>
    <w:rsid w:val="00FE2230"/>
    <w:rsid w:val="00FE2E0C"/>
    <w:rsid w:val="00FE3116"/>
    <w:rsid w:val="00FE3273"/>
    <w:rsid w:val="00FE37A4"/>
    <w:rsid w:val="00FE37F1"/>
    <w:rsid w:val="00FE39CF"/>
    <w:rsid w:val="00FE3AA8"/>
    <w:rsid w:val="00FE4423"/>
    <w:rsid w:val="00FE455F"/>
    <w:rsid w:val="00FE47A4"/>
    <w:rsid w:val="00FE4D11"/>
    <w:rsid w:val="00FE56F8"/>
    <w:rsid w:val="00FE574D"/>
    <w:rsid w:val="00FE5E89"/>
    <w:rsid w:val="00FE627B"/>
    <w:rsid w:val="00FE63E3"/>
    <w:rsid w:val="00FE6AC8"/>
    <w:rsid w:val="00FE6D62"/>
    <w:rsid w:val="00FE7575"/>
    <w:rsid w:val="00FE75C7"/>
    <w:rsid w:val="00FE7804"/>
    <w:rsid w:val="00FE7B4A"/>
    <w:rsid w:val="00FF0442"/>
    <w:rsid w:val="00FF0550"/>
    <w:rsid w:val="00FF0558"/>
    <w:rsid w:val="00FF0AB0"/>
    <w:rsid w:val="00FF0FF2"/>
    <w:rsid w:val="00FF1114"/>
    <w:rsid w:val="00FF128B"/>
    <w:rsid w:val="00FF1441"/>
    <w:rsid w:val="00FF14F9"/>
    <w:rsid w:val="00FF1935"/>
    <w:rsid w:val="00FF1A4D"/>
    <w:rsid w:val="00FF2F22"/>
    <w:rsid w:val="00FF368A"/>
    <w:rsid w:val="00FF3F39"/>
    <w:rsid w:val="00FF5312"/>
    <w:rsid w:val="00FF540E"/>
    <w:rsid w:val="00FF56BA"/>
    <w:rsid w:val="00FF5D2C"/>
    <w:rsid w:val="00FF5ECD"/>
    <w:rsid w:val="00FF63F5"/>
    <w:rsid w:val="00FF6418"/>
    <w:rsid w:val="00FF73B7"/>
    <w:rsid w:val="00FF754E"/>
    <w:rsid w:val="00FF754F"/>
    <w:rsid w:val="00FF7840"/>
    <w:rsid w:val="00FF795F"/>
    <w:rsid w:val="00FF7D83"/>
    <w:rsid w:val="011C2D0B"/>
    <w:rsid w:val="011E2D38"/>
    <w:rsid w:val="012539DB"/>
    <w:rsid w:val="0127533C"/>
    <w:rsid w:val="012C2953"/>
    <w:rsid w:val="01347A59"/>
    <w:rsid w:val="013B6B5D"/>
    <w:rsid w:val="0154289E"/>
    <w:rsid w:val="015772A4"/>
    <w:rsid w:val="0159792A"/>
    <w:rsid w:val="015D0D5E"/>
    <w:rsid w:val="018B7BC6"/>
    <w:rsid w:val="01964270"/>
    <w:rsid w:val="01A240C2"/>
    <w:rsid w:val="01B4086F"/>
    <w:rsid w:val="01BB7833"/>
    <w:rsid w:val="01C34939"/>
    <w:rsid w:val="01DE3640"/>
    <w:rsid w:val="01E52B01"/>
    <w:rsid w:val="01E7687A"/>
    <w:rsid w:val="01E850A3"/>
    <w:rsid w:val="01F33470"/>
    <w:rsid w:val="01F64D0F"/>
    <w:rsid w:val="02021905"/>
    <w:rsid w:val="020510A1"/>
    <w:rsid w:val="0216715F"/>
    <w:rsid w:val="02290C40"/>
    <w:rsid w:val="022A76E3"/>
    <w:rsid w:val="02412E30"/>
    <w:rsid w:val="0241303B"/>
    <w:rsid w:val="025263E9"/>
    <w:rsid w:val="02535CBD"/>
    <w:rsid w:val="02555161"/>
    <w:rsid w:val="025D4496"/>
    <w:rsid w:val="026A2F71"/>
    <w:rsid w:val="0281633B"/>
    <w:rsid w:val="028415AA"/>
    <w:rsid w:val="02843A23"/>
    <w:rsid w:val="028F58D9"/>
    <w:rsid w:val="02924A37"/>
    <w:rsid w:val="029702A0"/>
    <w:rsid w:val="02A824AD"/>
    <w:rsid w:val="02A90E72"/>
    <w:rsid w:val="02A93B2F"/>
    <w:rsid w:val="02AB3D4B"/>
    <w:rsid w:val="02AE55E9"/>
    <w:rsid w:val="02B61C6F"/>
    <w:rsid w:val="02B726F0"/>
    <w:rsid w:val="02BE441C"/>
    <w:rsid w:val="02BE61EA"/>
    <w:rsid w:val="02C02DD6"/>
    <w:rsid w:val="02C42F4A"/>
    <w:rsid w:val="02D37A2A"/>
    <w:rsid w:val="02F565B8"/>
    <w:rsid w:val="02FA35F7"/>
    <w:rsid w:val="02FB5F01"/>
    <w:rsid w:val="031713E0"/>
    <w:rsid w:val="03192A63"/>
    <w:rsid w:val="031C3BCC"/>
    <w:rsid w:val="03305DBD"/>
    <w:rsid w:val="034B55D8"/>
    <w:rsid w:val="03541CED"/>
    <w:rsid w:val="03555A65"/>
    <w:rsid w:val="035F6D40"/>
    <w:rsid w:val="0364016E"/>
    <w:rsid w:val="036A171F"/>
    <w:rsid w:val="036D2DAF"/>
    <w:rsid w:val="0370464D"/>
    <w:rsid w:val="0374413D"/>
    <w:rsid w:val="037708EB"/>
    <w:rsid w:val="03820E78"/>
    <w:rsid w:val="03A16874"/>
    <w:rsid w:val="03B863D4"/>
    <w:rsid w:val="03C17F50"/>
    <w:rsid w:val="03C30C20"/>
    <w:rsid w:val="03CA0524"/>
    <w:rsid w:val="03E43571"/>
    <w:rsid w:val="04001F15"/>
    <w:rsid w:val="04115E30"/>
    <w:rsid w:val="04142469"/>
    <w:rsid w:val="04181A86"/>
    <w:rsid w:val="042A0CA0"/>
    <w:rsid w:val="042F134C"/>
    <w:rsid w:val="043A3F7F"/>
    <w:rsid w:val="04443659"/>
    <w:rsid w:val="044C330C"/>
    <w:rsid w:val="044F0706"/>
    <w:rsid w:val="04581CB1"/>
    <w:rsid w:val="0464619F"/>
    <w:rsid w:val="047E3A7D"/>
    <w:rsid w:val="04810F1A"/>
    <w:rsid w:val="04845087"/>
    <w:rsid w:val="04896013"/>
    <w:rsid w:val="04A921D1"/>
    <w:rsid w:val="04AB0FFD"/>
    <w:rsid w:val="04AB1DE0"/>
    <w:rsid w:val="04B14F1D"/>
    <w:rsid w:val="04BC3FEE"/>
    <w:rsid w:val="04C94C9B"/>
    <w:rsid w:val="04CD691B"/>
    <w:rsid w:val="04CE1F73"/>
    <w:rsid w:val="04D05CEB"/>
    <w:rsid w:val="04DE0B22"/>
    <w:rsid w:val="04E87DBA"/>
    <w:rsid w:val="04EF43C3"/>
    <w:rsid w:val="050414F1"/>
    <w:rsid w:val="050E0E60"/>
    <w:rsid w:val="0522654F"/>
    <w:rsid w:val="05281683"/>
    <w:rsid w:val="053B7608"/>
    <w:rsid w:val="055B3806"/>
    <w:rsid w:val="055C757F"/>
    <w:rsid w:val="05616943"/>
    <w:rsid w:val="056A1C9B"/>
    <w:rsid w:val="057513D1"/>
    <w:rsid w:val="05793C8D"/>
    <w:rsid w:val="057A683F"/>
    <w:rsid w:val="05A21435"/>
    <w:rsid w:val="05A7034E"/>
    <w:rsid w:val="05BE1FE7"/>
    <w:rsid w:val="05C25634"/>
    <w:rsid w:val="05C75836"/>
    <w:rsid w:val="05CA098C"/>
    <w:rsid w:val="05CF6EFA"/>
    <w:rsid w:val="05CF7D50"/>
    <w:rsid w:val="05DA3601"/>
    <w:rsid w:val="05E91398"/>
    <w:rsid w:val="05EA06E6"/>
    <w:rsid w:val="05ED13B3"/>
    <w:rsid w:val="06035C4C"/>
    <w:rsid w:val="060A67AF"/>
    <w:rsid w:val="060C6775"/>
    <w:rsid w:val="060F2843"/>
    <w:rsid w:val="0618720B"/>
    <w:rsid w:val="061F28BB"/>
    <w:rsid w:val="06224324"/>
    <w:rsid w:val="06231CCF"/>
    <w:rsid w:val="062736E9"/>
    <w:rsid w:val="065546FA"/>
    <w:rsid w:val="066E2B97"/>
    <w:rsid w:val="066F5090"/>
    <w:rsid w:val="067508F8"/>
    <w:rsid w:val="06810AB9"/>
    <w:rsid w:val="068A5032"/>
    <w:rsid w:val="06A02BE2"/>
    <w:rsid w:val="06A31B81"/>
    <w:rsid w:val="06B00EE4"/>
    <w:rsid w:val="06B07B82"/>
    <w:rsid w:val="06C96DE5"/>
    <w:rsid w:val="07013F3A"/>
    <w:rsid w:val="0721638A"/>
    <w:rsid w:val="0725775F"/>
    <w:rsid w:val="073F2CB4"/>
    <w:rsid w:val="07484347"/>
    <w:rsid w:val="07524795"/>
    <w:rsid w:val="07571DAC"/>
    <w:rsid w:val="0757624F"/>
    <w:rsid w:val="076444C8"/>
    <w:rsid w:val="076646E5"/>
    <w:rsid w:val="0788465B"/>
    <w:rsid w:val="07886409"/>
    <w:rsid w:val="0790350F"/>
    <w:rsid w:val="07987D21"/>
    <w:rsid w:val="079C7F32"/>
    <w:rsid w:val="07A03018"/>
    <w:rsid w:val="07A6732F"/>
    <w:rsid w:val="07A7743A"/>
    <w:rsid w:val="07AA4BA0"/>
    <w:rsid w:val="07B00766"/>
    <w:rsid w:val="07C90C5E"/>
    <w:rsid w:val="07CE3B6C"/>
    <w:rsid w:val="07E06245"/>
    <w:rsid w:val="07E5385B"/>
    <w:rsid w:val="07EA2C20"/>
    <w:rsid w:val="07EB0E6D"/>
    <w:rsid w:val="07F226D3"/>
    <w:rsid w:val="07F95559"/>
    <w:rsid w:val="08091E9C"/>
    <w:rsid w:val="080A5070"/>
    <w:rsid w:val="0813711E"/>
    <w:rsid w:val="08236B0E"/>
    <w:rsid w:val="08251291"/>
    <w:rsid w:val="08314716"/>
    <w:rsid w:val="08444A26"/>
    <w:rsid w:val="08534C69"/>
    <w:rsid w:val="08627618"/>
    <w:rsid w:val="08646E76"/>
    <w:rsid w:val="086A3D60"/>
    <w:rsid w:val="087118E4"/>
    <w:rsid w:val="08832ED9"/>
    <w:rsid w:val="088C1F29"/>
    <w:rsid w:val="08A52E0C"/>
    <w:rsid w:val="08B6462D"/>
    <w:rsid w:val="08BA17C6"/>
    <w:rsid w:val="08C43471"/>
    <w:rsid w:val="08D67FF6"/>
    <w:rsid w:val="08E60609"/>
    <w:rsid w:val="08F10DED"/>
    <w:rsid w:val="08FB4A65"/>
    <w:rsid w:val="09167A44"/>
    <w:rsid w:val="092108C3"/>
    <w:rsid w:val="092263E9"/>
    <w:rsid w:val="092D781C"/>
    <w:rsid w:val="092F562C"/>
    <w:rsid w:val="09436A8B"/>
    <w:rsid w:val="09491BC8"/>
    <w:rsid w:val="094B5940"/>
    <w:rsid w:val="0956479B"/>
    <w:rsid w:val="095F346D"/>
    <w:rsid w:val="0969457A"/>
    <w:rsid w:val="097338EA"/>
    <w:rsid w:val="09801C3A"/>
    <w:rsid w:val="09821F98"/>
    <w:rsid w:val="098826F0"/>
    <w:rsid w:val="098D5F59"/>
    <w:rsid w:val="0992356F"/>
    <w:rsid w:val="099700EE"/>
    <w:rsid w:val="09AA4D5C"/>
    <w:rsid w:val="09BC4A90"/>
    <w:rsid w:val="09C556F2"/>
    <w:rsid w:val="09CA440C"/>
    <w:rsid w:val="09D171C5"/>
    <w:rsid w:val="09D51F72"/>
    <w:rsid w:val="09DB4F16"/>
    <w:rsid w:val="09E33DCA"/>
    <w:rsid w:val="09F258F5"/>
    <w:rsid w:val="09F60C58"/>
    <w:rsid w:val="09F623CE"/>
    <w:rsid w:val="0A185604"/>
    <w:rsid w:val="0A2111FE"/>
    <w:rsid w:val="0A245577"/>
    <w:rsid w:val="0A342878"/>
    <w:rsid w:val="0A3604C6"/>
    <w:rsid w:val="0A4009B1"/>
    <w:rsid w:val="0A477E03"/>
    <w:rsid w:val="0A4B5C12"/>
    <w:rsid w:val="0A4F2821"/>
    <w:rsid w:val="0A5D6A2C"/>
    <w:rsid w:val="0A6071C9"/>
    <w:rsid w:val="0A66087D"/>
    <w:rsid w:val="0A6F38B0"/>
    <w:rsid w:val="0A7E3AF3"/>
    <w:rsid w:val="0A864A3F"/>
    <w:rsid w:val="0A92556F"/>
    <w:rsid w:val="0A943317"/>
    <w:rsid w:val="0AA017EC"/>
    <w:rsid w:val="0AE96B29"/>
    <w:rsid w:val="0AEA6B4E"/>
    <w:rsid w:val="0AFA761E"/>
    <w:rsid w:val="0B032E7A"/>
    <w:rsid w:val="0B072B3A"/>
    <w:rsid w:val="0B1A7CEE"/>
    <w:rsid w:val="0B1B2399"/>
    <w:rsid w:val="0B1B3016"/>
    <w:rsid w:val="0B2226D0"/>
    <w:rsid w:val="0B2D2A19"/>
    <w:rsid w:val="0B380146"/>
    <w:rsid w:val="0B381EF4"/>
    <w:rsid w:val="0B4765DB"/>
    <w:rsid w:val="0B57681E"/>
    <w:rsid w:val="0B5A630E"/>
    <w:rsid w:val="0B5F3925"/>
    <w:rsid w:val="0B6009BF"/>
    <w:rsid w:val="0B607562"/>
    <w:rsid w:val="0B651029"/>
    <w:rsid w:val="0B720882"/>
    <w:rsid w:val="0B754EF6"/>
    <w:rsid w:val="0B763412"/>
    <w:rsid w:val="0B7A6CEC"/>
    <w:rsid w:val="0B805C85"/>
    <w:rsid w:val="0B9B7B81"/>
    <w:rsid w:val="0B9D61FB"/>
    <w:rsid w:val="0B9F053B"/>
    <w:rsid w:val="0BA94BA0"/>
    <w:rsid w:val="0BBC71F2"/>
    <w:rsid w:val="0BBE2317"/>
    <w:rsid w:val="0BC835B0"/>
    <w:rsid w:val="0BC85FF0"/>
    <w:rsid w:val="0BCA3494"/>
    <w:rsid w:val="0BCB720C"/>
    <w:rsid w:val="0BCF606E"/>
    <w:rsid w:val="0C0645F0"/>
    <w:rsid w:val="0C122745"/>
    <w:rsid w:val="0C1E10EA"/>
    <w:rsid w:val="0C236700"/>
    <w:rsid w:val="0C2A5CE1"/>
    <w:rsid w:val="0C30233C"/>
    <w:rsid w:val="0C4A6C5B"/>
    <w:rsid w:val="0C66524E"/>
    <w:rsid w:val="0C684A5B"/>
    <w:rsid w:val="0C6C3495"/>
    <w:rsid w:val="0C7B478E"/>
    <w:rsid w:val="0C7D5E81"/>
    <w:rsid w:val="0CAC6535"/>
    <w:rsid w:val="0CAE24F9"/>
    <w:rsid w:val="0CB13789"/>
    <w:rsid w:val="0CC336B3"/>
    <w:rsid w:val="0CC55A09"/>
    <w:rsid w:val="0CD42F61"/>
    <w:rsid w:val="0CD901D5"/>
    <w:rsid w:val="0CDC49D2"/>
    <w:rsid w:val="0CDC4F61"/>
    <w:rsid w:val="0CDD07CE"/>
    <w:rsid w:val="0CE57E5A"/>
    <w:rsid w:val="0CF15CF4"/>
    <w:rsid w:val="0CF92C7B"/>
    <w:rsid w:val="0D084DCD"/>
    <w:rsid w:val="0D1F524B"/>
    <w:rsid w:val="0D2546FA"/>
    <w:rsid w:val="0D270472"/>
    <w:rsid w:val="0D380826"/>
    <w:rsid w:val="0D3F57BC"/>
    <w:rsid w:val="0D484889"/>
    <w:rsid w:val="0D4874A9"/>
    <w:rsid w:val="0D7D0761"/>
    <w:rsid w:val="0D951880"/>
    <w:rsid w:val="0D9C49BC"/>
    <w:rsid w:val="0DA0358F"/>
    <w:rsid w:val="0DA1300A"/>
    <w:rsid w:val="0DA675E9"/>
    <w:rsid w:val="0DB02216"/>
    <w:rsid w:val="0DB22432"/>
    <w:rsid w:val="0DBA3094"/>
    <w:rsid w:val="0DBD4932"/>
    <w:rsid w:val="0DBE2B84"/>
    <w:rsid w:val="0DC2161A"/>
    <w:rsid w:val="0DC618C7"/>
    <w:rsid w:val="0DCF16EF"/>
    <w:rsid w:val="0DD26844"/>
    <w:rsid w:val="0E0C012B"/>
    <w:rsid w:val="0E131B45"/>
    <w:rsid w:val="0E1E401F"/>
    <w:rsid w:val="0E2C0A8C"/>
    <w:rsid w:val="0E370B89"/>
    <w:rsid w:val="0E3F6C7C"/>
    <w:rsid w:val="0E42139A"/>
    <w:rsid w:val="0E473391"/>
    <w:rsid w:val="0E4A4418"/>
    <w:rsid w:val="0E517A1B"/>
    <w:rsid w:val="0E59465B"/>
    <w:rsid w:val="0E6B25E0"/>
    <w:rsid w:val="0E707FAD"/>
    <w:rsid w:val="0E736198"/>
    <w:rsid w:val="0E83347D"/>
    <w:rsid w:val="0E8E2C24"/>
    <w:rsid w:val="0E9C01D8"/>
    <w:rsid w:val="0E9C7FC8"/>
    <w:rsid w:val="0EA40CAF"/>
    <w:rsid w:val="0EB304BC"/>
    <w:rsid w:val="0ECD7D40"/>
    <w:rsid w:val="0ED407AA"/>
    <w:rsid w:val="0ED92269"/>
    <w:rsid w:val="0EE165B6"/>
    <w:rsid w:val="0EED16E8"/>
    <w:rsid w:val="0EEE1FB3"/>
    <w:rsid w:val="0F020C19"/>
    <w:rsid w:val="0F040A6B"/>
    <w:rsid w:val="0F052A35"/>
    <w:rsid w:val="0F1F541B"/>
    <w:rsid w:val="0F292DE5"/>
    <w:rsid w:val="0F2F360E"/>
    <w:rsid w:val="0F3244A3"/>
    <w:rsid w:val="0F384BB8"/>
    <w:rsid w:val="0F4870A8"/>
    <w:rsid w:val="0F4A0448"/>
    <w:rsid w:val="0F511572"/>
    <w:rsid w:val="0F550F53"/>
    <w:rsid w:val="0F565DC7"/>
    <w:rsid w:val="0F566D70"/>
    <w:rsid w:val="0F587009"/>
    <w:rsid w:val="0F5B2655"/>
    <w:rsid w:val="0F5D253D"/>
    <w:rsid w:val="0F8B4CE8"/>
    <w:rsid w:val="0F8F3AB5"/>
    <w:rsid w:val="0F90435C"/>
    <w:rsid w:val="0F910D32"/>
    <w:rsid w:val="0FA062BA"/>
    <w:rsid w:val="0FA22032"/>
    <w:rsid w:val="0FA91EC1"/>
    <w:rsid w:val="0FAB0EE6"/>
    <w:rsid w:val="0FAB6B10"/>
    <w:rsid w:val="0FB26719"/>
    <w:rsid w:val="0FC71A98"/>
    <w:rsid w:val="0FD221D2"/>
    <w:rsid w:val="0FDD270D"/>
    <w:rsid w:val="0FED0431"/>
    <w:rsid w:val="10090303"/>
    <w:rsid w:val="10432B4B"/>
    <w:rsid w:val="104906FF"/>
    <w:rsid w:val="1054157E"/>
    <w:rsid w:val="106063AA"/>
    <w:rsid w:val="10611EED"/>
    <w:rsid w:val="10653BD9"/>
    <w:rsid w:val="106B68C8"/>
    <w:rsid w:val="107B379B"/>
    <w:rsid w:val="107F6DE4"/>
    <w:rsid w:val="10885856"/>
    <w:rsid w:val="109B71AD"/>
    <w:rsid w:val="10A818CA"/>
    <w:rsid w:val="10AB3168"/>
    <w:rsid w:val="10B052F5"/>
    <w:rsid w:val="10BD64F2"/>
    <w:rsid w:val="10BE10ED"/>
    <w:rsid w:val="10CF32FA"/>
    <w:rsid w:val="10D840C9"/>
    <w:rsid w:val="10D97CD5"/>
    <w:rsid w:val="10DF1356"/>
    <w:rsid w:val="10E01064"/>
    <w:rsid w:val="10EF0666"/>
    <w:rsid w:val="11086EBE"/>
    <w:rsid w:val="110D4F61"/>
    <w:rsid w:val="110E048D"/>
    <w:rsid w:val="111D5683"/>
    <w:rsid w:val="112768A5"/>
    <w:rsid w:val="11335637"/>
    <w:rsid w:val="11415DF7"/>
    <w:rsid w:val="114A3B4D"/>
    <w:rsid w:val="116972AB"/>
    <w:rsid w:val="116F0D7B"/>
    <w:rsid w:val="11750B6F"/>
    <w:rsid w:val="117A7878"/>
    <w:rsid w:val="117B0D8C"/>
    <w:rsid w:val="118400B0"/>
    <w:rsid w:val="118440E5"/>
    <w:rsid w:val="11934F04"/>
    <w:rsid w:val="119F2F9C"/>
    <w:rsid w:val="11A2456B"/>
    <w:rsid w:val="11B53C4A"/>
    <w:rsid w:val="11B5604C"/>
    <w:rsid w:val="11B970BF"/>
    <w:rsid w:val="11BF511D"/>
    <w:rsid w:val="11BF6ECB"/>
    <w:rsid w:val="11C269BB"/>
    <w:rsid w:val="11C40985"/>
    <w:rsid w:val="11C537A2"/>
    <w:rsid w:val="11C924C1"/>
    <w:rsid w:val="11CA5601"/>
    <w:rsid w:val="11CC783A"/>
    <w:rsid w:val="11E22431"/>
    <w:rsid w:val="11E479CB"/>
    <w:rsid w:val="11F95924"/>
    <w:rsid w:val="11FA3416"/>
    <w:rsid w:val="12035A07"/>
    <w:rsid w:val="12040D82"/>
    <w:rsid w:val="120A43C6"/>
    <w:rsid w:val="12311B84"/>
    <w:rsid w:val="123449D0"/>
    <w:rsid w:val="12445622"/>
    <w:rsid w:val="1246139A"/>
    <w:rsid w:val="12462401"/>
    <w:rsid w:val="124755D5"/>
    <w:rsid w:val="12490E8B"/>
    <w:rsid w:val="124F64A1"/>
    <w:rsid w:val="125900B2"/>
    <w:rsid w:val="12610B6D"/>
    <w:rsid w:val="12614426"/>
    <w:rsid w:val="12755C92"/>
    <w:rsid w:val="127E28E2"/>
    <w:rsid w:val="129105F5"/>
    <w:rsid w:val="12911EF1"/>
    <w:rsid w:val="12AA36D7"/>
    <w:rsid w:val="12AF2577"/>
    <w:rsid w:val="12BE6B73"/>
    <w:rsid w:val="12BF4EB8"/>
    <w:rsid w:val="12C14EC5"/>
    <w:rsid w:val="12C56763"/>
    <w:rsid w:val="12CA1FCB"/>
    <w:rsid w:val="12CC7AF2"/>
    <w:rsid w:val="12D6271E"/>
    <w:rsid w:val="12F86B39"/>
    <w:rsid w:val="12F928B1"/>
    <w:rsid w:val="12FE7EC7"/>
    <w:rsid w:val="130B7721"/>
    <w:rsid w:val="13174AE5"/>
    <w:rsid w:val="132475B6"/>
    <w:rsid w:val="1324792E"/>
    <w:rsid w:val="132C67E2"/>
    <w:rsid w:val="135350C1"/>
    <w:rsid w:val="135F091C"/>
    <w:rsid w:val="135F2879"/>
    <w:rsid w:val="137B5074"/>
    <w:rsid w:val="137C1780"/>
    <w:rsid w:val="138E2FF9"/>
    <w:rsid w:val="13912AE9"/>
    <w:rsid w:val="13923D70"/>
    <w:rsid w:val="1396611E"/>
    <w:rsid w:val="139B5716"/>
    <w:rsid w:val="139C7B5A"/>
    <w:rsid w:val="139E0996"/>
    <w:rsid w:val="139E19ED"/>
    <w:rsid w:val="13AA61E0"/>
    <w:rsid w:val="13B642FE"/>
    <w:rsid w:val="13B77E26"/>
    <w:rsid w:val="13D15645"/>
    <w:rsid w:val="13DF14C8"/>
    <w:rsid w:val="14061C1F"/>
    <w:rsid w:val="140C03C2"/>
    <w:rsid w:val="141352AC"/>
    <w:rsid w:val="14182CF5"/>
    <w:rsid w:val="141F44C0"/>
    <w:rsid w:val="14312B79"/>
    <w:rsid w:val="143C14DB"/>
    <w:rsid w:val="14404A34"/>
    <w:rsid w:val="14494080"/>
    <w:rsid w:val="144C629F"/>
    <w:rsid w:val="145A50B4"/>
    <w:rsid w:val="14636234"/>
    <w:rsid w:val="14661880"/>
    <w:rsid w:val="14670B76"/>
    <w:rsid w:val="1468384A"/>
    <w:rsid w:val="146D0E60"/>
    <w:rsid w:val="14700951"/>
    <w:rsid w:val="1477742A"/>
    <w:rsid w:val="147D6BCA"/>
    <w:rsid w:val="148C2CB4"/>
    <w:rsid w:val="149A54A8"/>
    <w:rsid w:val="149E07C9"/>
    <w:rsid w:val="14B32A8F"/>
    <w:rsid w:val="14B4083D"/>
    <w:rsid w:val="14BC5EE0"/>
    <w:rsid w:val="14E0370A"/>
    <w:rsid w:val="14F275B8"/>
    <w:rsid w:val="14F90946"/>
    <w:rsid w:val="14FC3F92"/>
    <w:rsid w:val="15052E55"/>
    <w:rsid w:val="15120349"/>
    <w:rsid w:val="151632A6"/>
    <w:rsid w:val="151E215B"/>
    <w:rsid w:val="152754B3"/>
    <w:rsid w:val="153365DC"/>
    <w:rsid w:val="153B4ABB"/>
    <w:rsid w:val="154D0C92"/>
    <w:rsid w:val="1554489C"/>
    <w:rsid w:val="15671D54"/>
    <w:rsid w:val="156C736A"/>
    <w:rsid w:val="156E6271"/>
    <w:rsid w:val="1573694A"/>
    <w:rsid w:val="15816760"/>
    <w:rsid w:val="158C5316"/>
    <w:rsid w:val="159159C0"/>
    <w:rsid w:val="159266A5"/>
    <w:rsid w:val="159B020B"/>
    <w:rsid w:val="159C0716"/>
    <w:rsid w:val="159D39C7"/>
    <w:rsid w:val="15A07014"/>
    <w:rsid w:val="15AA1C40"/>
    <w:rsid w:val="15AA3A18"/>
    <w:rsid w:val="15AC1251"/>
    <w:rsid w:val="15C27472"/>
    <w:rsid w:val="15D31197"/>
    <w:rsid w:val="15E77D94"/>
    <w:rsid w:val="15F8031E"/>
    <w:rsid w:val="161B2305"/>
    <w:rsid w:val="16201F02"/>
    <w:rsid w:val="16205108"/>
    <w:rsid w:val="1621190A"/>
    <w:rsid w:val="16291E54"/>
    <w:rsid w:val="16322A9F"/>
    <w:rsid w:val="163B705A"/>
    <w:rsid w:val="16461969"/>
    <w:rsid w:val="16467BBB"/>
    <w:rsid w:val="164D719B"/>
    <w:rsid w:val="1657280D"/>
    <w:rsid w:val="16695657"/>
    <w:rsid w:val="167143CC"/>
    <w:rsid w:val="167835B4"/>
    <w:rsid w:val="167E60DC"/>
    <w:rsid w:val="1682323F"/>
    <w:rsid w:val="16823A23"/>
    <w:rsid w:val="1693258A"/>
    <w:rsid w:val="16985257"/>
    <w:rsid w:val="169D182C"/>
    <w:rsid w:val="16AF286C"/>
    <w:rsid w:val="16BC39F0"/>
    <w:rsid w:val="16D43177"/>
    <w:rsid w:val="16D451C7"/>
    <w:rsid w:val="16EE5252"/>
    <w:rsid w:val="16FC296F"/>
    <w:rsid w:val="16FE3FF2"/>
    <w:rsid w:val="16FF1B3E"/>
    <w:rsid w:val="170D06D9"/>
    <w:rsid w:val="1715252F"/>
    <w:rsid w:val="17190B83"/>
    <w:rsid w:val="171E4368"/>
    <w:rsid w:val="17535B2F"/>
    <w:rsid w:val="17566817"/>
    <w:rsid w:val="17571954"/>
    <w:rsid w:val="1767603B"/>
    <w:rsid w:val="177469AA"/>
    <w:rsid w:val="178766DD"/>
    <w:rsid w:val="17A63418"/>
    <w:rsid w:val="17A728DB"/>
    <w:rsid w:val="17BE7C25"/>
    <w:rsid w:val="17C211D0"/>
    <w:rsid w:val="17C43F85"/>
    <w:rsid w:val="17D47448"/>
    <w:rsid w:val="17DD6997"/>
    <w:rsid w:val="17E86A50"/>
    <w:rsid w:val="180E295A"/>
    <w:rsid w:val="180E4708"/>
    <w:rsid w:val="181B6E25"/>
    <w:rsid w:val="18216B7B"/>
    <w:rsid w:val="18267CA4"/>
    <w:rsid w:val="1830405F"/>
    <w:rsid w:val="1836010C"/>
    <w:rsid w:val="183E5080"/>
    <w:rsid w:val="18422604"/>
    <w:rsid w:val="184E7566"/>
    <w:rsid w:val="18511F7B"/>
    <w:rsid w:val="18514D04"/>
    <w:rsid w:val="18697B91"/>
    <w:rsid w:val="18711A77"/>
    <w:rsid w:val="18714C97"/>
    <w:rsid w:val="187B7D7B"/>
    <w:rsid w:val="188A56C0"/>
    <w:rsid w:val="188E75F7"/>
    <w:rsid w:val="189B2329"/>
    <w:rsid w:val="18A137CE"/>
    <w:rsid w:val="18A254E0"/>
    <w:rsid w:val="18B015C6"/>
    <w:rsid w:val="18B03A11"/>
    <w:rsid w:val="18C43019"/>
    <w:rsid w:val="18CD2347"/>
    <w:rsid w:val="18CE20EA"/>
    <w:rsid w:val="18D6132D"/>
    <w:rsid w:val="18DA1C8B"/>
    <w:rsid w:val="18E765BB"/>
    <w:rsid w:val="18F112B9"/>
    <w:rsid w:val="19102431"/>
    <w:rsid w:val="19145D4E"/>
    <w:rsid w:val="19266489"/>
    <w:rsid w:val="19353F17"/>
    <w:rsid w:val="193F08F1"/>
    <w:rsid w:val="19456052"/>
    <w:rsid w:val="194B1768"/>
    <w:rsid w:val="1956151F"/>
    <w:rsid w:val="195F2281"/>
    <w:rsid w:val="19600F94"/>
    <w:rsid w:val="19630A84"/>
    <w:rsid w:val="1966641E"/>
    <w:rsid w:val="196D16E9"/>
    <w:rsid w:val="196D472F"/>
    <w:rsid w:val="196D545F"/>
    <w:rsid w:val="19720533"/>
    <w:rsid w:val="19856C4C"/>
    <w:rsid w:val="199C38C7"/>
    <w:rsid w:val="19A6191B"/>
    <w:rsid w:val="19AA0461"/>
    <w:rsid w:val="19CE2059"/>
    <w:rsid w:val="19EB33D0"/>
    <w:rsid w:val="19EC5694"/>
    <w:rsid w:val="19F1077B"/>
    <w:rsid w:val="19F33BB6"/>
    <w:rsid w:val="19F90A68"/>
    <w:rsid w:val="1A0314F5"/>
    <w:rsid w:val="1A057B8F"/>
    <w:rsid w:val="1A0D33B2"/>
    <w:rsid w:val="1A0F645B"/>
    <w:rsid w:val="1A10540D"/>
    <w:rsid w:val="1A1B4EBB"/>
    <w:rsid w:val="1A254201"/>
    <w:rsid w:val="1A2E2E40"/>
    <w:rsid w:val="1A3F6DFB"/>
    <w:rsid w:val="1A404921"/>
    <w:rsid w:val="1A4162BA"/>
    <w:rsid w:val="1A455016"/>
    <w:rsid w:val="1A491C1E"/>
    <w:rsid w:val="1A4A1825"/>
    <w:rsid w:val="1A4E34E2"/>
    <w:rsid w:val="1A587EBD"/>
    <w:rsid w:val="1A5A3C35"/>
    <w:rsid w:val="1A5E0B32"/>
    <w:rsid w:val="1A6478D0"/>
    <w:rsid w:val="1A7578F5"/>
    <w:rsid w:val="1A7B5148"/>
    <w:rsid w:val="1A856B1C"/>
    <w:rsid w:val="1A943D1C"/>
    <w:rsid w:val="1AAE21D3"/>
    <w:rsid w:val="1AAE3F81"/>
    <w:rsid w:val="1ACE6D7A"/>
    <w:rsid w:val="1AD5150D"/>
    <w:rsid w:val="1AD82DAC"/>
    <w:rsid w:val="1AEC04B2"/>
    <w:rsid w:val="1AF8540B"/>
    <w:rsid w:val="1AFD2812"/>
    <w:rsid w:val="1B066D72"/>
    <w:rsid w:val="1B1F4E7E"/>
    <w:rsid w:val="1B23502C"/>
    <w:rsid w:val="1B2B0B2B"/>
    <w:rsid w:val="1B315AE2"/>
    <w:rsid w:val="1B3401EA"/>
    <w:rsid w:val="1B4459E3"/>
    <w:rsid w:val="1B4B06D5"/>
    <w:rsid w:val="1B522B5E"/>
    <w:rsid w:val="1B5419E7"/>
    <w:rsid w:val="1B542D7A"/>
    <w:rsid w:val="1B657548"/>
    <w:rsid w:val="1B6D6086"/>
    <w:rsid w:val="1B775612"/>
    <w:rsid w:val="1B811858"/>
    <w:rsid w:val="1B8751B7"/>
    <w:rsid w:val="1B8C1DFB"/>
    <w:rsid w:val="1B9211AC"/>
    <w:rsid w:val="1B976543"/>
    <w:rsid w:val="1B9E2C8F"/>
    <w:rsid w:val="1BA333BA"/>
    <w:rsid w:val="1BB05793"/>
    <w:rsid w:val="1BBC447B"/>
    <w:rsid w:val="1BC25F36"/>
    <w:rsid w:val="1BC47F37"/>
    <w:rsid w:val="1BCA30A8"/>
    <w:rsid w:val="1BD01CD5"/>
    <w:rsid w:val="1BE058C3"/>
    <w:rsid w:val="1BE13EE2"/>
    <w:rsid w:val="1BEC4D61"/>
    <w:rsid w:val="1BF1692E"/>
    <w:rsid w:val="1BF41E67"/>
    <w:rsid w:val="1BFC0F14"/>
    <w:rsid w:val="1BFF32E4"/>
    <w:rsid w:val="1C144B4A"/>
    <w:rsid w:val="1C250273"/>
    <w:rsid w:val="1C3E1334"/>
    <w:rsid w:val="1C406E5A"/>
    <w:rsid w:val="1C5D17BA"/>
    <w:rsid w:val="1C5D7A0C"/>
    <w:rsid w:val="1C5F3784"/>
    <w:rsid w:val="1C6F7740"/>
    <w:rsid w:val="1C787AFD"/>
    <w:rsid w:val="1C7B5167"/>
    <w:rsid w:val="1C8E14EE"/>
    <w:rsid w:val="1C8E290F"/>
    <w:rsid w:val="1C930D61"/>
    <w:rsid w:val="1CA13D9D"/>
    <w:rsid w:val="1CA2357A"/>
    <w:rsid w:val="1CA500C6"/>
    <w:rsid w:val="1CAA49BD"/>
    <w:rsid w:val="1CC00D0E"/>
    <w:rsid w:val="1CCF11A1"/>
    <w:rsid w:val="1CD221A8"/>
    <w:rsid w:val="1CD359F6"/>
    <w:rsid w:val="1CE12983"/>
    <w:rsid w:val="1CEC2B3E"/>
    <w:rsid w:val="1CEC56C6"/>
    <w:rsid w:val="1CFC0FD3"/>
    <w:rsid w:val="1D05532B"/>
    <w:rsid w:val="1D12396D"/>
    <w:rsid w:val="1D1327C1"/>
    <w:rsid w:val="1D17405F"/>
    <w:rsid w:val="1D1D20C9"/>
    <w:rsid w:val="1D210A3A"/>
    <w:rsid w:val="1D235D75"/>
    <w:rsid w:val="1D3249F5"/>
    <w:rsid w:val="1D351BD5"/>
    <w:rsid w:val="1D44297A"/>
    <w:rsid w:val="1D4A3283"/>
    <w:rsid w:val="1D4C4AF7"/>
    <w:rsid w:val="1D540E0F"/>
    <w:rsid w:val="1D5C5F16"/>
    <w:rsid w:val="1D706292"/>
    <w:rsid w:val="1D754BF1"/>
    <w:rsid w:val="1D756FD8"/>
    <w:rsid w:val="1D8B67FB"/>
    <w:rsid w:val="1D9456B0"/>
    <w:rsid w:val="1DA21F76"/>
    <w:rsid w:val="1DB00D10"/>
    <w:rsid w:val="1DBF0DD0"/>
    <w:rsid w:val="1DD0420E"/>
    <w:rsid w:val="1DDB4025"/>
    <w:rsid w:val="1DE55F0B"/>
    <w:rsid w:val="1DF148B0"/>
    <w:rsid w:val="1E007FAD"/>
    <w:rsid w:val="1E1933BA"/>
    <w:rsid w:val="1E3D5D47"/>
    <w:rsid w:val="1E48797C"/>
    <w:rsid w:val="1E4C01D3"/>
    <w:rsid w:val="1E4D4545"/>
    <w:rsid w:val="1E4F2C3F"/>
    <w:rsid w:val="1E522E75"/>
    <w:rsid w:val="1E641526"/>
    <w:rsid w:val="1E6A25F7"/>
    <w:rsid w:val="1E6B66E3"/>
    <w:rsid w:val="1E6D7CAF"/>
    <w:rsid w:val="1E7C0235"/>
    <w:rsid w:val="1E831280"/>
    <w:rsid w:val="1E8A260F"/>
    <w:rsid w:val="1E9015A8"/>
    <w:rsid w:val="1E917E41"/>
    <w:rsid w:val="1EA90CE7"/>
    <w:rsid w:val="1EA96F39"/>
    <w:rsid w:val="1EAD6901"/>
    <w:rsid w:val="1EAE3636"/>
    <w:rsid w:val="1EB57F80"/>
    <w:rsid w:val="1EBE6643"/>
    <w:rsid w:val="1EC450BA"/>
    <w:rsid w:val="1ECB3ABB"/>
    <w:rsid w:val="1ED347D1"/>
    <w:rsid w:val="1EDC730E"/>
    <w:rsid w:val="1EDD4E34"/>
    <w:rsid w:val="1EE73F05"/>
    <w:rsid w:val="1EF108E0"/>
    <w:rsid w:val="1EFA59E6"/>
    <w:rsid w:val="1EFF124F"/>
    <w:rsid w:val="1F0108E9"/>
    <w:rsid w:val="1F2472DD"/>
    <w:rsid w:val="1F2962CC"/>
    <w:rsid w:val="1F2F7577"/>
    <w:rsid w:val="1F336601"/>
    <w:rsid w:val="1F525966"/>
    <w:rsid w:val="1F552885"/>
    <w:rsid w:val="1F584E4F"/>
    <w:rsid w:val="1F603402"/>
    <w:rsid w:val="1F613647"/>
    <w:rsid w:val="1F6272CF"/>
    <w:rsid w:val="1F6D7B33"/>
    <w:rsid w:val="1F6F5903"/>
    <w:rsid w:val="1F9B2041"/>
    <w:rsid w:val="1FAD7766"/>
    <w:rsid w:val="1FB6316D"/>
    <w:rsid w:val="1FBA6856"/>
    <w:rsid w:val="1FBA6F24"/>
    <w:rsid w:val="1FEF4E1F"/>
    <w:rsid w:val="1FF474D5"/>
    <w:rsid w:val="20010622"/>
    <w:rsid w:val="200148E1"/>
    <w:rsid w:val="20140D2A"/>
    <w:rsid w:val="2015557A"/>
    <w:rsid w:val="201C373B"/>
    <w:rsid w:val="202866BE"/>
    <w:rsid w:val="2029112A"/>
    <w:rsid w:val="202B047B"/>
    <w:rsid w:val="20315438"/>
    <w:rsid w:val="2035005E"/>
    <w:rsid w:val="20355839"/>
    <w:rsid w:val="203C5B8B"/>
    <w:rsid w:val="203E1903"/>
    <w:rsid w:val="204809D3"/>
    <w:rsid w:val="2050449D"/>
    <w:rsid w:val="205C6849"/>
    <w:rsid w:val="205E7196"/>
    <w:rsid w:val="206879C4"/>
    <w:rsid w:val="206A094A"/>
    <w:rsid w:val="207F6CD8"/>
    <w:rsid w:val="2099122F"/>
    <w:rsid w:val="20A53730"/>
    <w:rsid w:val="20A976C4"/>
    <w:rsid w:val="20B6593D"/>
    <w:rsid w:val="20B73672"/>
    <w:rsid w:val="20BB11A5"/>
    <w:rsid w:val="20BE4F05"/>
    <w:rsid w:val="20DD55C0"/>
    <w:rsid w:val="20DF33BF"/>
    <w:rsid w:val="20EF0E4F"/>
    <w:rsid w:val="21073380"/>
    <w:rsid w:val="21095FEA"/>
    <w:rsid w:val="212B00D9"/>
    <w:rsid w:val="212B621B"/>
    <w:rsid w:val="21373996"/>
    <w:rsid w:val="215D225D"/>
    <w:rsid w:val="216E0C7E"/>
    <w:rsid w:val="21720694"/>
    <w:rsid w:val="219B707D"/>
    <w:rsid w:val="219C6341"/>
    <w:rsid w:val="21B1573D"/>
    <w:rsid w:val="21C34C84"/>
    <w:rsid w:val="21DB28CB"/>
    <w:rsid w:val="21EA1722"/>
    <w:rsid w:val="21EE4E29"/>
    <w:rsid w:val="21F20BF7"/>
    <w:rsid w:val="21FA5CFD"/>
    <w:rsid w:val="222E2BCF"/>
    <w:rsid w:val="2230171F"/>
    <w:rsid w:val="22351050"/>
    <w:rsid w:val="22394A78"/>
    <w:rsid w:val="225278E7"/>
    <w:rsid w:val="225A7C7A"/>
    <w:rsid w:val="22725CD1"/>
    <w:rsid w:val="229D60CC"/>
    <w:rsid w:val="22A32754"/>
    <w:rsid w:val="22A53EBB"/>
    <w:rsid w:val="22AF0896"/>
    <w:rsid w:val="22BA014F"/>
    <w:rsid w:val="22C733E0"/>
    <w:rsid w:val="22D64075"/>
    <w:rsid w:val="22DC5FF2"/>
    <w:rsid w:val="22DD3655"/>
    <w:rsid w:val="22ED69EA"/>
    <w:rsid w:val="22F82FE0"/>
    <w:rsid w:val="22F86AB7"/>
    <w:rsid w:val="22FD5AA5"/>
    <w:rsid w:val="22FF583D"/>
    <w:rsid w:val="23014CCC"/>
    <w:rsid w:val="23046E34"/>
    <w:rsid w:val="23056708"/>
    <w:rsid w:val="23197531"/>
    <w:rsid w:val="231A7DFC"/>
    <w:rsid w:val="231B0800"/>
    <w:rsid w:val="233D40F4"/>
    <w:rsid w:val="234F1862"/>
    <w:rsid w:val="238E2856"/>
    <w:rsid w:val="2392443F"/>
    <w:rsid w:val="23BA2A2E"/>
    <w:rsid w:val="23C12F77"/>
    <w:rsid w:val="23C6058D"/>
    <w:rsid w:val="23C71C0F"/>
    <w:rsid w:val="23E80503"/>
    <w:rsid w:val="23FB537B"/>
    <w:rsid w:val="23FC763B"/>
    <w:rsid w:val="240F65F1"/>
    <w:rsid w:val="24134E54"/>
    <w:rsid w:val="241C63FF"/>
    <w:rsid w:val="24214B3D"/>
    <w:rsid w:val="2426692F"/>
    <w:rsid w:val="2428627F"/>
    <w:rsid w:val="2428729B"/>
    <w:rsid w:val="242B0CE0"/>
    <w:rsid w:val="242E43EB"/>
    <w:rsid w:val="2435301D"/>
    <w:rsid w:val="24392625"/>
    <w:rsid w:val="243948BB"/>
    <w:rsid w:val="243C4BFD"/>
    <w:rsid w:val="24431BDE"/>
    <w:rsid w:val="245416F5"/>
    <w:rsid w:val="24577437"/>
    <w:rsid w:val="245A2A83"/>
    <w:rsid w:val="245B0EF6"/>
    <w:rsid w:val="24674E07"/>
    <w:rsid w:val="24773C37"/>
    <w:rsid w:val="247C7C96"/>
    <w:rsid w:val="247D056D"/>
    <w:rsid w:val="248159A8"/>
    <w:rsid w:val="24961D0D"/>
    <w:rsid w:val="24997A50"/>
    <w:rsid w:val="24BB1774"/>
    <w:rsid w:val="24BC104F"/>
    <w:rsid w:val="24BC4B7C"/>
    <w:rsid w:val="24C35FFD"/>
    <w:rsid w:val="24C7636B"/>
    <w:rsid w:val="24CD14A7"/>
    <w:rsid w:val="24D528C8"/>
    <w:rsid w:val="24DB57CD"/>
    <w:rsid w:val="24F13E0A"/>
    <w:rsid w:val="24F60D1D"/>
    <w:rsid w:val="25037266"/>
    <w:rsid w:val="250A78B2"/>
    <w:rsid w:val="25237319"/>
    <w:rsid w:val="25372975"/>
    <w:rsid w:val="253D30E8"/>
    <w:rsid w:val="25473008"/>
    <w:rsid w:val="254C6870"/>
    <w:rsid w:val="25687529"/>
    <w:rsid w:val="256E51F3"/>
    <w:rsid w:val="25761B3F"/>
    <w:rsid w:val="25861B66"/>
    <w:rsid w:val="259C390C"/>
    <w:rsid w:val="259D70CC"/>
    <w:rsid w:val="25A61150"/>
    <w:rsid w:val="25AE12D9"/>
    <w:rsid w:val="25B07326"/>
    <w:rsid w:val="25B508B9"/>
    <w:rsid w:val="25B83F05"/>
    <w:rsid w:val="25C767FB"/>
    <w:rsid w:val="25F2263E"/>
    <w:rsid w:val="25F25669"/>
    <w:rsid w:val="25F52012"/>
    <w:rsid w:val="25F969F8"/>
    <w:rsid w:val="25FB2263"/>
    <w:rsid w:val="25FC58BB"/>
    <w:rsid w:val="26030FFB"/>
    <w:rsid w:val="26061115"/>
    <w:rsid w:val="26142B86"/>
    <w:rsid w:val="26174B81"/>
    <w:rsid w:val="26180815"/>
    <w:rsid w:val="261C6242"/>
    <w:rsid w:val="26395046"/>
    <w:rsid w:val="263B316B"/>
    <w:rsid w:val="26492DAF"/>
    <w:rsid w:val="264D28A0"/>
    <w:rsid w:val="26584F46"/>
    <w:rsid w:val="26586048"/>
    <w:rsid w:val="265A6D6B"/>
    <w:rsid w:val="266215FC"/>
    <w:rsid w:val="26667E05"/>
    <w:rsid w:val="268169ED"/>
    <w:rsid w:val="26853E37"/>
    <w:rsid w:val="269229A8"/>
    <w:rsid w:val="269C55D5"/>
    <w:rsid w:val="269E208E"/>
    <w:rsid w:val="26A71E26"/>
    <w:rsid w:val="26A76454"/>
    <w:rsid w:val="26A821CC"/>
    <w:rsid w:val="26B11081"/>
    <w:rsid w:val="26B730FC"/>
    <w:rsid w:val="26BD06A7"/>
    <w:rsid w:val="26BD5C77"/>
    <w:rsid w:val="26BE72FA"/>
    <w:rsid w:val="26E1500A"/>
    <w:rsid w:val="26E52AD8"/>
    <w:rsid w:val="26F22019"/>
    <w:rsid w:val="270B04C3"/>
    <w:rsid w:val="27103C37"/>
    <w:rsid w:val="27147861"/>
    <w:rsid w:val="27374C98"/>
    <w:rsid w:val="27400656"/>
    <w:rsid w:val="274E0A59"/>
    <w:rsid w:val="27593E4D"/>
    <w:rsid w:val="276A143F"/>
    <w:rsid w:val="276B5295"/>
    <w:rsid w:val="27736D9E"/>
    <w:rsid w:val="27767BD4"/>
    <w:rsid w:val="277B7C10"/>
    <w:rsid w:val="27856069"/>
    <w:rsid w:val="2788542C"/>
    <w:rsid w:val="279978A1"/>
    <w:rsid w:val="27A143AE"/>
    <w:rsid w:val="27AD7DA2"/>
    <w:rsid w:val="27CC5A46"/>
    <w:rsid w:val="27E70AD2"/>
    <w:rsid w:val="27EF271C"/>
    <w:rsid w:val="28095B17"/>
    <w:rsid w:val="28101FE6"/>
    <w:rsid w:val="28284BD4"/>
    <w:rsid w:val="28333D17"/>
    <w:rsid w:val="28441A80"/>
    <w:rsid w:val="28487915"/>
    <w:rsid w:val="284A0FF5"/>
    <w:rsid w:val="285A12A4"/>
    <w:rsid w:val="285F670D"/>
    <w:rsid w:val="287C56BE"/>
    <w:rsid w:val="287C746C"/>
    <w:rsid w:val="288E0F4E"/>
    <w:rsid w:val="28BD72A1"/>
    <w:rsid w:val="28CD1A76"/>
    <w:rsid w:val="28EC5824"/>
    <w:rsid w:val="28F54945"/>
    <w:rsid w:val="28F873ED"/>
    <w:rsid w:val="29080D00"/>
    <w:rsid w:val="291834B8"/>
    <w:rsid w:val="291C47AB"/>
    <w:rsid w:val="291E4B2B"/>
    <w:rsid w:val="292559B5"/>
    <w:rsid w:val="293B1047"/>
    <w:rsid w:val="293D3EB3"/>
    <w:rsid w:val="295E660F"/>
    <w:rsid w:val="295E6B72"/>
    <w:rsid w:val="296F6AEF"/>
    <w:rsid w:val="29824994"/>
    <w:rsid w:val="29844243"/>
    <w:rsid w:val="2984482A"/>
    <w:rsid w:val="298A7967"/>
    <w:rsid w:val="298D0473"/>
    <w:rsid w:val="29A263F9"/>
    <w:rsid w:val="29A632EB"/>
    <w:rsid w:val="29B04E61"/>
    <w:rsid w:val="29B31040"/>
    <w:rsid w:val="29B41A9A"/>
    <w:rsid w:val="29BB2216"/>
    <w:rsid w:val="29BF3AB4"/>
    <w:rsid w:val="29CA2459"/>
    <w:rsid w:val="29E74DB9"/>
    <w:rsid w:val="29E929AE"/>
    <w:rsid w:val="2A0038F0"/>
    <w:rsid w:val="2A092F82"/>
    <w:rsid w:val="2A104310"/>
    <w:rsid w:val="2A157EA6"/>
    <w:rsid w:val="2A1805FD"/>
    <w:rsid w:val="2A1A5586"/>
    <w:rsid w:val="2A2111BF"/>
    <w:rsid w:val="2A255ACC"/>
    <w:rsid w:val="2A367C21"/>
    <w:rsid w:val="2A37462E"/>
    <w:rsid w:val="2A3A138D"/>
    <w:rsid w:val="2A532F2C"/>
    <w:rsid w:val="2A5F0DF4"/>
    <w:rsid w:val="2A6E1037"/>
    <w:rsid w:val="2A711836"/>
    <w:rsid w:val="2AB4113F"/>
    <w:rsid w:val="2AB5244A"/>
    <w:rsid w:val="2AB70C30"/>
    <w:rsid w:val="2AB77E0B"/>
    <w:rsid w:val="2AC1560A"/>
    <w:rsid w:val="2AC776EE"/>
    <w:rsid w:val="2AC82E3D"/>
    <w:rsid w:val="2AF16E79"/>
    <w:rsid w:val="2AFA6471"/>
    <w:rsid w:val="2AFE23BA"/>
    <w:rsid w:val="2B0C0F7B"/>
    <w:rsid w:val="2B0D2CED"/>
    <w:rsid w:val="2B0E7D9D"/>
    <w:rsid w:val="2B0F3833"/>
    <w:rsid w:val="2B102FB5"/>
    <w:rsid w:val="2B1F714C"/>
    <w:rsid w:val="2B2014AE"/>
    <w:rsid w:val="2B2B6040"/>
    <w:rsid w:val="2B33475A"/>
    <w:rsid w:val="2B4858AF"/>
    <w:rsid w:val="2B514F0A"/>
    <w:rsid w:val="2B575A34"/>
    <w:rsid w:val="2B5B014C"/>
    <w:rsid w:val="2B7E52A9"/>
    <w:rsid w:val="2B8D039B"/>
    <w:rsid w:val="2B90195F"/>
    <w:rsid w:val="2B9866A5"/>
    <w:rsid w:val="2B9B5E5B"/>
    <w:rsid w:val="2B9F0788"/>
    <w:rsid w:val="2BB1742D"/>
    <w:rsid w:val="2BB21A69"/>
    <w:rsid w:val="2BDF21EC"/>
    <w:rsid w:val="2BE9306B"/>
    <w:rsid w:val="2BEB3377"/>
    <w:rsid w:val="2C0A4127"/>
    <w:rsid w:val="2C0D6779"/>
    <w:rsid w:val="2C1E35D9"/>
    <w:rsid w:val="2C1F083A"/>
    <w:rsid w:val="2C416A03"/>
    <w:rsid w:val="2C522201"/>
    <w:rsid w:val="2C530710"/>
    <w:rsid w:val="2C657D51"/>
    <w:rsid w:val="2C7566AC"/>
    <w:rsid w:val="2C807E2F"/>
    <w:rsid w:val="2C8114F5"/>
    <w:rsid w:val="2C8132A3"/>
    <w:rsid w:val="2C840FE5"/>
    <w:rsid w:val="2C844B41"/>
    <w:rsid w:val="2C954FA0"/>
    <w:rsid w:val="2C9E2ECC"/>
    <w:rsid w:val="2C9E6AF0"/>
    <w:rsid w:val="2CA64F96"/>
    <w:rsid w:val="2CAE117D"/>
    <w:rsid w:val="2CAE1BBE"/>
    <w:rsid w:val="2CB4131A"/>
    <w:rsid w:val="2CC234F1"/>
    <w:rsid w:val="2CC338BC"/>
    <w:rsid w:val="2CCA0CCA"/>
    <w:rsid w:val="2CE13D42"/>
    <w:rsid w:val="2CED44CE"/>
    <w:rsid w:val="2CF47F19"/>
    <w:rsid w:val="2D016192"/>
    <w:rsid w:val="2D0A14EA"/>
    <w:rsid w:val="2D1C2005"/>
    <w:rsid w:val="2D257DDB"/>
    <w:rsid w:val="2D263E4A"/>
    <w:rsid w:val="2D303F58"/>
    <w:rsid w:val="2D341F2A"/>
    <w:rsid w:val="2D6055AE"/>
    <w:rsid w:val="2D7626DC"/>
    <w:rsid w:val="2D7801D2"/>
    <w:rsid w:val="2D9B0395"/>
    <w:rsid w:val="2DA42C0C"/>
    <w:rsid w:val="2DB476A8"/>
    <w:rsid w:val="2DBC4548"/>
    <w:rsid w:val="2DCA03B0"/>
    <w:rsid w:val="2DCD2FA3"/>
    <w:rsid w:val="2DE30427"/>
    <w:rsid w:val="2DE735DA"/>
    <w:rsid w:val="2DE871BD"/>
    <w:rsid w:val="2DF872ED"/>
    <w:rsid w:val="2E1122A7"/>
    <w:rsid w:val="2E192945"/>
    <w:rsid w:val="2E2959A0"/>
    <w:rsid w:val="2E40405E"/>
    <w:rsid w:val="2E4427DA"/>
    <w:rsid w:val="2E4B1DBB"/>
    <w:rsid w:val="2E4B40DF"/>
    <w:rsid w:val="2E4E5407"/>
    <w:rsid w:val="2E530C6F"/>
    <w:rsid w:val="2E633990"/>
    <w:rsid w:val="2E644F4D"/>
    <w:rsid w:val="2E660EFE"/>
    <w:rsid w:val="2E666BF4"/>
    <w:rsid w:val="2E725599"/>
    <w:rsid w:val="2E755089"/>
    <w:rsid w:val="2E840E29"/>
    <w:rsid w:val="2EA2374F"/>
    <w:rsid w:val="2EAE40F8"/>
    <w:rsid w:val="2EE47B19"/>
    <w:rsid w:val="2EF44200"/>
    <w:rsid w:val="2F0343B1"/>
    <w:rsid w:val="2F1C72B3"/>
    <w:rsid w:val="2F256003"/>
    <w:rsid w:val="2F4405B8"/>
    <w:rsid w:val="2F567BD3"/>
    <w:rsid w:val="2F5B4F94"/>
    <w:rsid w:val="2F6641B9"/>
    <w:rsid w:val="2F6F3887"/>
    <w:rsid w:val="2F750D0C"/>
    <w:rsid w:val="2F805A94"/>
    <w:rsid w:val="2F837332"/>
    <w:rsid w:val="2F9953DE"/>
    <w:rsid w:val="2FA67BEF"/>
    <w:rsid w:val="2FB92D54"/>
    <w:rsid w:val="2FC33BD3"/>
    <w:rsid w:val="2FC82F97"/>
    <w:rsid w:val="2FCC0CD9"/>
    <w:rsid w:val="2FDF6A95"/>
    <w:rsid w:val="2FE45109"/>
    <w:rsid w:val="2FF95846"/>
    <w:rsid w:val="300246FB"/>
    <w:rsid w:val="30093CDB"/>
    <w:rsid w:val="30134B5A"/>
    <w:rsid w:val="30134B9E"/>
    <w:rsid w:val="301937F3"/>
    <w:rsid w:val="303845C1"/>
    <w:rsid w:val="30406FD1"/>
    <w:rsid w:val="30450A8C"/>
    <w:rsid w:val="304E5B92"/>
    <w:rsid w:val="306C4840"/>
    <w:rsid w:val="306E7B96"/>
    <w:rsid w:val="307779B6"/>
    <w:rsid w:val="30962F52"/>
    <w:rsid w:val="30990ED5"/>
    <w:rsid w:val="30BE1F06"/>
    <w:rsid w:val="30C145B6"/>
    <w:rsid w:val="30C831C7"/>
    <w:rsid w:val="30CC4D09"/>
    <w:rsid w:val="30D616E4"/>
    <w:rsid w:val="30DF2C8E"/>
    <w:rsid w:val="310855D7"/>
    <w:rsid w:val="312A6542"/>
    <w:rsid w:val="314F1EA4"/>
    <w:rsid w:val="316311C9"/>
    <w:rsid w:val="31717D8A"/>
    <w:rsid w:val="31741628"/>
    <w:rsid w:val="318A0E4C"/>
    <w:rsid w:val="318A49A8"/>
    <w:rsid w:val="318C4BC4"/>
    <w:rsid w:val="31B82C24"/>
    <w:rsid w:val="31CE331C"/>
    <w:rsid w:val="31DC0F7C"/>
    <w:rsid w:val="31E52004"/>
    <w:rsid w:val="31E569C4"/>
    <w:rsid w:val="31EB52FA"/>
    <w:rsid w:val="31F42769"/>
    <w:rsid w:val="320F1A2D"/>
    <w:rsid w:val="32133D5A"/>
    <w:rsid w:val="32140991"/>
    <w:rsid w:val="321815D1"/>
    <w:rsid w:val="3224687F"/>
    <w:rsid w:val="322D4ACD"/>
    <w:rsid w:val="3235386A"/>
    <w:rsid w:val="324234D5"/>
    <w:rsid w:val="324A2266"/>
    <w:rsid w:val="324D6924"/>
    <w:rsid w:val="324E2CE2"/>
    <w:rsid w:val="32526702"/>
    <w:rsid w:val="325A7D56"/>
    <w:rsid w:val="327318E0"/>
    <w:rsid w:val="32755467"/>
    <w:rsid w:val="327B600A"/>
    <w:rsid w:val="327F4D78"/>
    <w:rsid w:val="32821B23"/>
    <w:rsid w:val="32836549"/>
    <w:rsid w:val="3287538B"/>
    <w:rsid w:val="32B9580A"/>
    <w:rsid w:val="32DC56D7"/>
    <w:rsid w:val="32F43EB9"/>
    <w:rsid w:val="32F93107"/>
    <w:rsid w:val="33002903"/>
    <w:rsid w:val="33014FE2"/>
    <w:rsid w:val="33106F7B"/>
    <w:rsid w:val="331309CD"/>
    <w:rsid w:val="331532D3"/>
    <w:rsid w:val="3317670F"/>
    <w:rsid w:val="33233533"/>
    <w:rsid w:val="332C1A8F"/>
    <w:rsid w:val="332E1CAB"/>
    <w:rsid w:val="332F6F63"/>
    <w:rsid w:val="333077D1"/>
    <w:rsid w:val="33354DE7"/>
    <w:rsid w:val="333D68D1"/>
    <w:rsid w:val="33423060"/>
    <w:rsid w:val="334E7C57"/>
    <w:rsid w:val="335039CF"/>
    <w:rsid w:val="335C0A14"/>
    <w:rsid w:val="335E2B6C"/>
    <w:rsid w:val="33635E53"/>
    <w:rsid w:val="33641229"/>
    <w:rsid w:val="33767FA9"/>
    <w:rsid w:val="337C6572"/>
    <w:rsid w:val="339910B4"/>
    <w:rsid w:val="339E2CFE"/>
    <w:rsid w:val="33A14B6A"/>
    <w:rsid w:val="33A930DF"/>
    <w:rsid w:val="33AB50A9"/>
    <w:rsid w:val="33C00B55"/>
    <w:rsid w:val="33D26ADA"/>
    <w:rsid w:val="33DB773D"/>
    <w:rsid w:val="33E67E90"/>
    <w:rsid w:val="33EF57B7"/>
    <w:rsid w:val="33F054D3"/>
    <w:rsid w:val="33F24A86"/>
    <w:rsid w:val="340225C1"/>
    <w:rsid w:val="34034EE6"/>
    <w:rsid w:val="341E3ACD"/>
    <w:rsid w:val="34235B6C"/>
    <w:rsid w:val="3445105A"/>
    <w:rsid w:val="34497086"/>
    <w:rsid w:val="3451335B"/>
    <w:rsid w:val="346810AD"/>
    <w:rsid w:val="347972AF"/>
    <w:rsid w:val="34943237"/>
    <w:rsid w:val="34A7178A"/>
    <w:rsid w:val="34C849A9"/>
    <w:rsid w:val="34CB5B1B"/>
    <w:rsid w:val="34D4418C"/>
    <w:rsid w:val="34D90FE6"/>
    <w:rsid w:val="34F32569"/>
    <w:rsid w:val="34F47453"/>
    <w:rsid w:val="34FE7690"/>
    <w:rsid w:val="34FF17C5"/>
    <w:rsid w:val="35095D36"/>
    <w:rsid w:val="350E5C1B"/>
    <w:rsid w:val="35142B6E"/>
    <w:rsid w:val="35154ED0"/>
    <w:rsid w:val="351A4DEC"/>
    <w:rsid w:val="351D1FD7"/>
    <w:rsid w:val="35215623"/>
    <w:rsid w:val="35274BB7"/>
    <w:rsid w:val="3539462C"/>
    <w:rsid w:val="35415CC5"/>
    <w:rsid w:val="354355A3"/>
    <w:rsid w:val="356419B4"/>
    <w:rsid w:val="358B5A5F"/>
    <w:rsid w:val="358C0119"/>
    <w:rsid w:val="359D5EC3"/>
    <w:rsid w:val="35BE2E72"/>
    <w:rsid w:val="35BE7A8E"/>
    <w:rsid w:val="35D02BA5"/>
    <w:rsid w:val="35D56FBA"/>
    <w:rsid w:val="35F40F8A"/>
    <w:rsid w:val="35FA08D1"/>
    <w:rsid w:val="35FC5E78"/>
    <w:rsid w:val="360A4309"/>
    <w:rsid w:val="360F7B72"/>
    <w:rsid w:val="36140CB9"/>
    <w:rsid w:val="361B6516"/>
    <w:rsid w:val="361E2874"/>
    <w:rsid w:val="36257395"/>
    <w:rsid w:val="36370E76"/>
    <w:rsid w:val="363932F5"/>
    <w:rsid w:val="364F0283"/>
    <w:rsid w:val="36511F38"/>
    <w:rsid w:val="365C268B"/>
    <w:rsid w:val="365E3B0D"/>
    <w:rsid w:val="365E4655"/>
    <w:rsid w:val="367774C5"/>
    <w:rsid w:val="36851EDC"/>
    <w:rsid w:val="36932F45"/>
    <w:rsid w:val="369D517D"/>
    <w:rsid w:val="369E4A52"/>
    <w:rsid w:val="36AE738B"/>
    <w:rsid w:val="36B3674F"/>
    <w:rsid w:val="36BD56F1"/>
    <w:rsid w:val="36BE3744"/>
    <w:rsid w:val="36BE5504"/>
    <w:rsid w:val="36E42DAC"/>
    <w:rsid w:val="36E7464B"/>
    <w:rsid w:val="36EF34FF"/>
    <w:rsid w:val="36F572A0"/>
    <w:rsid w:val="371E0791"/>
    <w:rsid w:val="3727621C"/>
    <w:rsid w:val="372C4753"/>
    <w:rsid w:val="374C6AA7"/>
    <w:rsid w:val="375647D6"/>
    <w:rsid w:val="37732382"/>
    <w:rsid w:val="378219F7"/>
    <w:rsid w:val="37823DA5"/>
    <w:rsid w:val="378974B0"/>
    <w:rsid w:val="37A04FCA"/>
    <w:rsid w:val="37A42999"/>
    <w:rsid w:val="37A77220"/>
    <w:rsid w:val="37AA6032"/>
    <w:rsid w:val="37B92247"/>
    <w:rsid w:val="37BC1229"/>
    <w:rsid w:val="37CD7BFE"/>
    <w:rsid w:val="37DA51A5"/>
    <w:rsid w:val="37F0284C"/>
    <w:rsid w:val="3810198A"/>
    <w:rsid w:val="381E5E4A"/>
    <w:rsid w:val="38250279"/>
    <w:rsid w:val="383E473E"/>
    <w:rsid w:val="38455ACD"/>
    <w:rsid w:val="38580A64"/>
    <w:rsid w:val="385E26EA"/>
    <w:rsid w:val="38611B4B"/>
    <w:rsid w:val="38635F53"/>
    <w:rsid w:val="3873436A"/>
    <w:rsid w:val="3883307A"/>
    <w:rsid w:val="3885236D"/>
    <w:rsid w:val="38A8464C"/>
    <w:rsid w:val="38B1729A"/>
    <w:rsid w:val="38B93DC5"/>
    <w:rsid w:val="38BB7B3D"/>
    <w:rsid w:val="38C509BB"/>
    <w:rsid w:val="38C904AC"/>
    <w:rsid w:val="38CC421A"/>
    <w:rsid w:val="38CD0F8C"/>
    <w:rsid w:val="38D94BBA"/>
    <w:rsid w:val="38E075A3"/>
    <w:rsid w:val="38E1420B"/>
    <w:rsid w:val="38E27E68"/>
    <w:rsid w:val="38EF5A38"/>
    <w:rsid w:val="38F04EFE"/>
    <w:rsid w:val="390810C8"/>
    <w:rsid w:val="390A24E3"/>
    <w:rsid w:val="390A2872"/>
    <w:rsid w:val="390B6EF7"/>
    <w:rsid w:val="39112E4E"/>
    <w:rsid w:val="391C307B"/>
    <w:rsid w:val="39221266"/>
    <w:rsid w:val="392D4A0A"/>
    <w:rsid w:val="393578EF"/>
    <w:rsid w:val="3938118D"/>
    <w:rsid w:val="39480AC1"/>
    <w:rsid w:val="394A237A"/>
    <w:rsid w:val="394E275F"/>
    <w:rsid w:val="395025EE"/>
    <w:rsid w:val="39567866"/>
    <w:rsid w:val="39583C9F"/>
    <w:rsid w:val="395B4E7C"/>
    <w:rsid w:val="3961094E"/>
    <w:rsid w:val="39700927"/>
    <w:rsid w:val="39754190"/>
    <w:rsid w:val="397A15B2"/>
    <w:rsid w:val="397F3F36"/>
    <w:rsid w:val="399251F3"/>
    <w:rsid w:val="39A44A75"/>
    <w:rsid w:val="39B60304"/>
    <w:rsid w:val="39B744F9"/>
    <w:rsid w:val="39BC1DBE"/>
    <w:rsid w:val="39C8220B"/>
    <w:rsid w:val="39C90037"/>
    <w:rsid w:val="39D10AA3"/>
    <w:rsid w:val="39D12944"/>
    <w:rsid w:val="39EB4452"/>
    <w:rsid w:val="39F8091D"/>
    <w:rsid w:val="39FC2C7A"/>
    <w:rsid w:val="3A183EB1"/>
    <w:rsid w:val="3A276794"/>
    <w:rsid w:val="3A2C0AE9"/>
    <w:rsid w:val="3A4F2C33"/>
    <w:rsid w:val="3A571AE7"/>
    <w:rsid w:val="3A5868EC"/>
    <w:rsid w:val="3A655F55"/>
    <w:rsid w:val="3A672189"/>
    <w:rsid w:val="3A6C28F2"/>
    <w:rsid w:val="3A747E84"/>
    <w:rsid w:val="3A856654"/>
    <w:rsid w:val="3ABE56C2"/>
    <w:rsid w:val="3AC30A47"/>
    <w:rsid w:val="3AD62A0C"/>
    <w:rsid w:val="3AE03C9D"/>
    <w:rsid w:val="3AE61078"/>
    <w:rsid w:val="3AEA37C6"/>
    <w:rsid w:val="3AF25027"/>
    <w:rsid w:val="3AF866BC"/>
    <w:rsid w:val="3B0F4170"/>
    <w:rsid w:val="3B1242ED"/>
    <w:rsid w:val="3B1B32C2"/>
    <w:rsid w:val="3B443E1A"/>
    <w:rsid w:val="3B451940"/>
    <w:rsid w:val="3B502F8E"/>
    <w:rsid w:val="3B534A75"/>
    <w:rsid w:val="3B5953EB"/>
    <w:rsid w:val="3B5A188F"/>
    <w:rsid w:val="3B6049CB"/>
    <w:rsid w:val="3B6722D3"/>
    <w:rsid w:val="3B736951"/>
    <w:rsid w:val="3B76714D"/>
    <w:rsid w:val="3B84690C"/>
    <w:rsid w:val="3B8561E0"/>
    <w:rsid w:val="3B8E784F"/>
    <w:rsid w:val="3B9259C0"/>
    <w:rsid w:val="3BB6283D"/>
    <w:rsid w:val="3BC431AC"/>
    <w:rsid w:val="3BCB3FD3"/>
    <w:rsid w:val="3BDB05F6"/>
    <w:rsid w:val="3BE830AD"/>
    <w:rsid w:val="3BF84C04"/>
    <w:rsid w:val="3BFA097C"/>
    <w:rsid w:val="3C0001FC"/>
    <w:rsid w:val="3C0F7707"/>
    <w:rsid w:val="3C125CC6"/>
    <w:rsid w:val="3C131A3E"/>
    <w:rsid w:val="3C1A2DCC"/>
    <w:rsid w:val="3C243C4B"/>
    <w:rsid w:val="3C2854E9"/>
    <w:rsid w:val="3C2D6FA3"/>
    <w:rsid w:val="3C3E2F5F"/>
    <w:rsid w:val="3C463BC1"/>
    <w:rsid w:val="3C4816E7"/>
    <w:rsid w:val="3C4E65DA"/>
    <w:rsid w:val="3C567AE3"/>
    <w:rsid w:val="3C57138A"/>
    <w:rsid w:val="3C620EB2"/>
    <w:rsid w:val="3C6B4CC5"/>
    <w:rsid w:val="3C7249B6"/>
    <w:rsid w:val="3C776471"/>
    <w:rsid w:val="3C787A30"/>
    <w:rsid w:val="3C8A61A4"/>
    <w:rsid w:val="3C8B453E"/>
    <w:rsid w:val="3CB90837"/>
    <w:rsid w:val="3CBA20AB"/>
    <w:rsid w:val="3CBE05CE"/>
    <w:rsid w:val="3CC64DD6"/>
    <w:rsid w:val="3CD636FE"/>
    <w:rsid w:val="3CE957CA"/>
    <w:rsid w:val="3CFB6910"/>
    <w:rsid w:val="3D2008B6"/>
    <w:rsid w:val="3D2832C7"/>
    <w:rsid w:val="3D2A703F"/>
    <w:rsid w:val="3D402D06"/>
    <w:rsid w:val="3D407F0C"/>
    <w:rsid w:val="3D4103E4"/>
    <w:rsid w:val="3D891FB8"/>
    <w:rsid w:val="3D89635E"/>
    <w:rsid w:val="3D912DD0"/>
    <w:rsid w:val="3D9907AC"/>
    <w:rsid w:val="3D995500"/>
    <w:rsid w:val="3DB17760"/>
    <w:rsid w:val="3DD31EFC"/>
    <w:rsid w:val="3DD32146"/>
    <w:rsid w:val="3DDE728C"/>
    <w:rsid w:val="3DE03BA2"/>
    <w:rsid w:val="3DED69EA"/>
    <w:rsid w:val="3DFF474F"/>
    <w:rsid w:val="3E0755D2"/>
    <w:rsid w:val="3E203150"/>
    <w:rsid w:val="3E3E1ADA"/>
    <w:rsid w:val="3E3E7246"/>
    <w:rsid w:val="3E437BFD"/>
    <w:rsid w:val="3E4A5DD5"/>
    <w:rsid w:val="3E4B3711"/>
    <w:rsid w:val="3E55419C"/>
    <w:rsid w:val="3E5A7DF8"/>
    <w:rsid w:val="3E6B6EBE"/>
    <w:rsid w:val="3E707E79"/>
    <w:rsid w:val="3E7375E2"/>
    <w:rsid w:val="3E7C38CA"/>
    <w:rsid w:val="3E817133"/>
    <w:rsid w:val="3E8407E0"/>
    <w:rsid w:val="3E861193"/>
    <w:rsid w:val="3E9055C8"/>
    <w:rsid w:val="3E95136C"/>
    <w:rsid w:val="3E9C21BE"/>
    <w:rsid w:val="3EB40CEE"/>
    <w:rsid w:val="3EBB0897"/>
    <w:rsid w:val="3ECD2378"/>
    <w:rsid w:val="3ED24B60"/>
    <w:rsid w:val="3EDE6B6B"/>
    <w:rsid w:val="3EE80F60"/>
    <w:rsid w:val="3EE84E4F"/>
    <w:rsid w:val="3EFB54FF"/>
    <w:rsid w:val="3F0328C5"/>
    <w:rsid w:val="3F0C204C"/>
    <w:rsid w:val="3F171845"/>
    <w:rsid w:val="3F1C5CDE"/>
    <w:rsid w:val="3F223AA0"/>
    <w:rsid w:val="3F2350B4"/>
    <w:rsid w:val="3F34287B"/>
    <w:rsid w:val="3F45714D"/>
    <w:rsid w:val="3F496E81"/>
    <w:rsid w:val="3F4C5264"/>
    <w:rsid w:val="3F512DDB"/>
    <w:rsid w:val="3F514D57"/>
    <w:rsid w:val="3F7217F0"/>
    <w:rsid w:val="3F8664D8"/>
    <w:rsid w:val="3F9C2AF5"/>
    <w:rsid w:val="3F9F3D14"/>
    <w:rsid w:val="3FA1467E"/>
    <w:rsid w:val="3FB86B84"/>
    <w:rsid w:val="3FBD063E"/>
    <w:rsid w:val="3FC03C8B"/>
    <w:rsid w:val="3FC17BA4"/>
    <w:rsid w:val="3FC432BB"/>
    <w:rsid w:val="3FD15E98"/>
    <w:rsid w:val="3FE21E53"/>
    <w:rsid w:val="401435B0"/>
    <w:rsid w:val="4024421A"/>
    <w:rsid w:val="4037219F"/>
    <w:rsid w:val="403749A1"/>
    <w:rsid w:val="403838CF"/>
    <w:rsid w:val="40655DAC"/>
    <w:rsid w:val="40697B54"/>
    <w:rsid w:val="40745B6C"/>
    <w:rsid w:val="407955BC"/>
    <w:rsid w:val="408E47C7"/>
    <w:rsid w:val="409B286F"/>
    <w:rsid w:val="409E221E"/>
    <w:rsid w:val="409F1AF2"/>
    <w:rsid w:val="40A23AD8"/>
    <w:rsid w:val="40AF414B"/>
    <w:rsid w:val="40C9460E"/>
    <w:rsid w:val="40D40E0E"/>
    <w:rsid w:val="40D739F2"/>
    <w:rsid w:val="40E15914"/>
    <w:rsid w:val="40F24318"/>
    <w:rsid w:val="41061B71"/>
    <w:rsid w:val="411725F3"/>
    <w:rsid w:val="411C310C"/>
    <w:rsid w:val="411E138B"/>
    <w:rsid w:val="41200E85"/>
    <w:rsid w:val="41250259"/>
    <w:rsid w:val="41285F8B"/>
    <w:rsid w:val="41306BEE"/>
    <w:rsid w:val="41395AA3"/>
    <w:rsid w:val="41405083"/>
    <w:rsid w:val="41411E71"/>
    <w:rsid w:val="41443AE3"/>
    <w:rsid w:val="41460F8F"/>
    <w:rsid w:val="4149483A"/>
    <w:rsid w:val="41635215"/>
    <w:rsid w:val="417979B4"/>
    <w:rsid w:val="419E624E"/>
    <w:rsid w:val="41A028AC"/>
    <w:rsid w:val="41A35272"/>
    <w:rsid w:val="41A76EB0"/>
    <w:rsid w:val="41AB6C30"/>
    <w:rsid w:val="41D27F9E"/>
    <w:rsid w:val="41D659E7"/>
    <w:rsid w:val="41D8350E"/>
    <w:rsid w:val="41DA12FB"/>
    <w:rsid w:val="41DA7286"/>
    <w:rsid w:val="42004812"/>
    <w:rsid w:val="42042555"/>
    <w:rsid w:val="420662CD"/>
    <w:rsid w:val="421107CE"/>
    <w:rsid w:val="42187DAE"/>
    <w:rsid w:val="421B6F3F"/>
    <w:rsid w:val="42260235"/>
    <w:rsid w:val="42312C1E"/>
    <w:rsid w:val="42313785"/>
    <w:rsid w:val="42332E3A"/>
    <w:rsid w:val="423C1CEE"/>
    <w:rsid w:val="423E3462"/>
    <w:rsid w:val="42576B28"/>
    <w:rsid w:val="42703746"/>
    <w:rsid w:val="42760F52"/>
    <w:rsid w:val="42776299"/>
    <w:rsid w:val="427C658F"/>
    <w:rsid w:val="427F3DA2"/>
    <w:rsid w:val="4287667D"/>
    <w:rsid w:val="429107C7"/>
    <w:rsid w:val="42915594"/>
    <w:rsid w:val="42A20F87"/>
    <w:rsid w:val="42AC04F6"/>
    <w:rsid w:val="42AD5223"/>
    <w:rsid w:val="42B21FB1"/>
    <w:rsid w:val="42B44153"/>
    <w:rsid w:val="42B76DE9"/>
    <w:rsid w:val="42C259CE"/>
    <w:rsid w:val="42C51789"/>
    <w:rsid w:val="42C83C9E"/>
    <w:rsid w:val="42CE66BF"/>
    <w:rsid w:val="42E07A7D"/>
    <w:rsid w:val="42F95E64"/>
    <w:rsid w:val="43010842"/>
    <w:rsid w:val="43056584"/>
    <w:rsid w:val="43086074"/>
    <w:rsid w:val="431B3177"/>
    <w:rsid w:val="43217136"/>
    <w:rsid w:val="432804C5"/>
    <w:rsid w:val="432D7889"/>
    <w:rsid w:val="4333000A"/>
    <w:rsid w:val="433D167D"/>
    <w:rsid w:val="434067DF"/>
    <w:rsid w:val="43444EC6"/>
    <w:rsid w:val="434E6604"/>
    <w:rsid w:val="435419B5"/>
    <w:rsid w:val="43562321"/>
    <w:rsid w:val="43631F42"/>
    <w:rsid w:val="43657F58"/>
    <w:rsid w:val="437F46CD"/>
    <w:rsid w:val="438A245E"/>
    <w:rsid w:val="438C0A54"/>
    <w:rsid w:val="439E42E3"/>
    <w:rsid w:val="43A31DF5"/>
    <w:rsid w:val="43AE647A"/>
    <w:rsid w:val="43AF6CB4"/>
    <w:rsid w:val="43C26223"/>
    <w:rsid w:val="43CA15A0"/>
    <w:rsid w:val="43D45F57"/>
    <w:rsid w:val="43DB2D79"/>
    <w:rsid w:val="43F16B09"/>
    <w:rsid w:val="43F26A6D"/>
    <w:rsid w:val="44096233"/>
    <w:rsid w:val="441D5B50"/>
    <w:rsid w:val="4428381B"/>
    <w:rsid w:val="44440224"/>
    <w:rsid w:val="445804CA"/>
    <w:rsid w:val="447504D4"/>
    <w:rsid w:val="447F4B92"/>
    <w:rsid w:val="448654A3"/>
    <w:rsid w:val="44905564"/>
    <w:rsid w:val="44BB02B2"/>
    <w:rsid w:val="44C4421D"/>
    <w:rsid w:val="44D073C1"/>
    <w:rsid w:val="44D3712D"/>
    <w:rsid w:val="44D83825"/>
    <w:rsid w:val="44E03886"/>
    <w:rsid w:val="44E11217"/>
    <w:rsid w:val="44EB619B"/>
    <w:rsid w:val="44F77A33"/>
    <w:rsid w:val="44F87A23"/>
    <w:rsid w:val="44FC59D4"/>
    <w:rsid w:val="450C0C5A"/>
    <w:rsid w:val="450F1F1B"/>
    <w:rsid w:val="45187B20"/>
    <w:rsid w:val="45195706"/>
    <w:rsid w:val="452D1A51"/>
    <w:rsid w:val="4530540F"/>
    <w:rsid w:val="455354ED"/>
    <w:rsid w:val="45571DB1"/>
    <w:rsid w:val="45576E3F"/>
    <w:rsid w:val="45596713"/>
    <w:rsid w:val="456B6447"/>
    <w:rsid w:val="45713DE8"/>
    <w:rsid w:val="45835E86"/>
    <w:rsid w:val="458A0BEF"/>
    <w:rsid w:val="45912351"/>
    <w:rsid w:val="45AB26B8"/>
    <w:rsid w:val="45BA6330"/>
    <w:rsid w:val="45C30031"/>
    <w:rsid w:val="45C77E7B"/>
    <w:rsid w:val="45D71D2E"/>
    <w:rsid w:val="45DD01B5"/>
    <w:rsid w:val="45DD7344"/>
    <w:rsid w:val="45ED2AC0"/>
    <w:rsid w:val="45F75EB9"/>
    <w:rsid w:val="46050649"/>
    <w:rsid w:val="461B60BF"/>
    <w:rsid w:val="461E7067"/>
    <w:rsid w:val="462C3E28"/>
    <w:rsid w:val="462D5F0B"/>
    <w:rsid w:val="463B050F"/>
    <w:rsid w:val="463D6035"/>
    <w:rsid w:val="463F7FFF"/>
    <w:rsid w:val="464506CE"/>
    <w:rsid w:val="464C0026"/>
    <w:rsid w:val="465E1F1B"/>
    <w:rsid w:val="468462A3"/>
    <w:rsid w:val="468C0F41"/>
    <w:rsid w:val="46B226AF"/>
    <w:rsid w:val="46C81799"/>
    <w:rsid w:val="46CF702C"/>
    <w:rsid w:val="46D30747"/>
    <w:rsid w:val="46F35188"/>
    <w:rsid w:val="470433AC"/>
    <w:rsid w:val="47064679"/>
    <w:rsid w:val="4710242B"/>
    <w:rsid w:val="471F5C4F"/>
    <w:rsid w:val="472866DC"/>
    <w:rsid w:val="4732546E"/>
    <w:rsid w:val="47431D24"/>
    <w:rsid w:val="47482EE3"/>
    <w:rsid w:val="474A397C"/>
    <w:rsid w:val="47691672"/>
    <w:rsid w:val="476B1202"/>
    <w:rsid w:val="478163F5"/>
    <w:rsid w:val="4791488A"/>
    <w:rsid w:val="47AB44A7"/>
    <w:rsid w:val="47B169D4"/>
    <w:rsid w:val="47B57E4D"/>
    <w:rsid w:val="47B70069"/>
    <w:rsid w:val="47BA5463"/>
    <w:rsid w:val="47BE6D02"/>
    <w:rsid w:val="47E36278"/>
    <w:rsid w:val="47E41B01"/>
    <w:rsid w:val="47FB6345"/>
    <w:rsid w:val="480256DE"/>
    <w:rsid w:val="48175F8B"/>
    <w:rsid w:val="482A25E9"/>
    <w:rsid w:val="482A3405"/>
    <w:rsid w:val="48324B53"/>
    <w:rsid w:val="483529B5"/>
    <w:rsid w:val="483E7897"/>
    <w:rsid w:val="483F42E6"/>
    <w:rsid w:val="484336AB"/>
    <w:rsid w:val="484918BE"/>
    <w:rsid w:val="484C255F"/>
    <w:rsid w:val="484F1238"/>
    <w:rsid w:val="485B134D"/>
    <w:rsid w:val="485D69D2"/>
    <w:rsid w:val="48621D83"/>
    <w:rsid w:val="4871227C"/>
    <w:rsid w:val="487E50B2"/>
    <w:rsid w:val="488A74EF"/>
    <w:rsid w:val="488C6E00"/>
    <w:rsid w:val="48B015E7"/>
    <w:rsid w:val="48B80F6E"/>
    <w:rsid w:val="48BF5427"/>
    <w:rsid w:val="48C0725D"/>
    <w:rsid w:val="48C17C7F"/>
    <w:rsid w:val="48C76ACC"/>
    <w:rsid w:val="48CC3D64"/>
    <w:rsid w:val="48CE19E6"/>
    <w:rsid w:val="48E00EFA"/>
    <w:rsid w:val="48E357A6"/>
    <w:rsid w:val="48E9042E"/>
    <w:rsid w:val="48EC1A58"/>
    <w:rsid w:val="48F27740"/>
    <w:rsid w:val="4904108C"/>
    <w:rsid w:val="490948F4"/>
    <w:rsid w:val="49156307"/>
    <w:rsid w:val="49170DBF"/>
    <w:rsid w:val="49197ED6"/>
    <w:rsid w:val="491D3EFC"/>
    <w:rsid w:val="491F38BC"/>
    <w:rsid w:val="49206677"/>
    <w:rsid w:val="493612BF"/>
    <w:rsid w:val="493C500A"/>
    <w:rsid w:val="49494CF1"/>
    <w:rsid w:val="495A6A50"/>
    <w:rsid w:val="496B110B"/>
    <w:rsid w:val="496F4787"/>
    <w:rsid w:val="497912B4"/>
    <w:rsid w:val="498126DD"/>
    <w:rsid w:val="499616E7"/>
    <w:rsid w:val="49A40179"/>
    <w:rsid w:val="49AC617A"/>
    <w:rsid w:val="49B83F7E"/>
    <w:rsid w:val="49BD459D"/>
    <w:rsid w:val="49C2361A"/>
    <w:rsid w:val="49C5081B"/>
    <w:rsid w:val="49C86A61"/>
    <w:rsid w:val="49C94099"/>
    <w:rsid w:val="49D071C0"/>
    <w:rsid w:val="49D942C7"/>
    <w:rsid w:val="49E435E0"/>
    <w:rsid w:val="49E56856"/>
    <w:rsid w:val="49ED1B20"/>
    <w:rsid w:val="49FE1F7F"/>
    <w:rsid w:val="4A0330F2"/>
    <w:rsid w:val="4A081A4B"/>
    <w:rsid w:val="4A08695A"/>
    <w:rsid w:val="4A0F7CE8"/>
    <w:rsid w:val="4A105B3D"/>
    <w:rsid w:val="4A111CB3"/>
    <w:rsid w:val="4A146C78"/>
    <w:rsid w:val="4A1D447C"/>
    <w:rsid w:val="4A24440E"/>
    <w:rsid w:val="4A30518F"/>
    <w:rsid w:val="4A336577"/>
    <w:rsid w:val="4A3D4856"/>
    <w:rsid w:val="4A565917"/>
    <w:rsid w:val="4A592677"/>
    <w:rsid w:val="4A5E657A"/>
    <w:rsid w:val="4A707CD5"/>
    <w:rsid w:val="4A9B272E"/>
    <w:rsid w:val="4A9E2E1A"/>
    <w:rsid w:val="4AC12FAB"/>
    <w:rsid w:val="4AC8224B"/>
    <w:rsid w:val="4ACE4B79"/>
    <w:rsid w:val="4ACF1C05"/>
    <w:rsid w:val="4AD52CE0"/>
    <w:rsid w:val="4AD63E8B"/>
    <w:rsid w:val="4AD87C28"/>
    <w:rsid w:val="4AE271AB"/>
    <w:rsid w:val="4AE304BB"/>
    <w:rsid w:val="4AE63099"/>
    <w:rsid w:val="4AF62C56"/>
    <w:rsid w:val="4B1F03FF"/>
    <w:rsid w:val="4B272E10"/>
    <w:rsid w:val="4B3317B5"/>
    <w:rsid w:val="4B397515"/>
    <w:rsid w:val="4B3D1AB5"/>
    <w:rsid w:val="4B3F0159"/>
    <w:rsid w:val="4B447E66"/>
    <w:rsid w:val="4B4614E8"/>
    <w:rsid w:val="4B481704"/>
    <w:rsid w:val="4B4E6231"/>
    <w:rsid w:val="4B524836"/>
    <w:rsid w:val="4B5556D7"/>
    <w:rsid w:val="4B5619A4"/>
    <w:rsid w:val="4B7122DD"/>
    <w:rsid w:val="4B7F0168"/>
    <w:rsid w:val="4B840262"/>
    <w:rsid w:val="4B842010"/>
    <w:rsid w:val="4B9F0FFF"/>
    <w:rsid w:val="4BA36E61"/>
    <w:rsid w:val="4BA56A48"/>
    <w:rsid w:val="4BB05A0E"/>
    <w:rsid w:val="4BB9615E"/>
    <w:rsid w:val="4BBE7206"/>
    <w:rsid w:val="4BC93EC7"/>
    <w:rsid w:val="4BD54436"/>
    <w:rsid w:val="4BE11211"/>
    <w:rsid w:val="4BF61160"/>
    <w:rsid w:val="4C017B05"/>
    <w:rsid w:val="4C0B6FF0"/>
    <w:rsid w:val="4C110A6F"/>
    <w:rsid w:val="4C4A2867"/>
    <w:rsid w:val="4C5B10B2"/>
    <w:rsid w:val="4C5E6D05"/>
    <w:rsid w:val="4C5F55F7"/>
    <w:rsid w:val="4C6562E6"/>
    <w:rsid w:val="4C6F1504"/>
    <w:rsid w:val="4C6F4853"/>
    <w:rsid w:val="4C72455F"/>
    <w:rsid w:val="4C7E2F03"/>
    <w:rsid w:val="4C924E2D"/>
    <w:rsid w:val="4CA832EE"/>
    <w:rsid w:val="4CAF130F"/>
    <w:rsid w:val="4CBC5A46"/>
    <w:rsid w:val="4CBD13AA"/>
    <w:rsid w:val="4CBF59F6"/>
    <w:rsid w:val="4CC528E0"/>
    <w:rsid w:val="4CC56D84"/>
    <w:rsid w:val="4CD60F91"/>
    <w:rsid w:val="4CD63CA5"/>
    <w:rsid w:val="4CD754F1"/>
    <w:rsid w:val="4CE37F1B"/>
    <w:rsid w:val="4CE52F83"/>
    <w:rsid w:val="4CE56B27"/>
    <w:rsid w:val="4D111FCA"/>
    <w:rsid w:val="4D153868"/>
    <w:rsid w:val="4D1C1903"/>
    <w:rsid w:val="4D2414EF"/>
    <w:rsid w:val="4D2E4F0D"/>
    <w:rsid w:val="4D3121D0"/>
    <w:rsid w:val="4D31389E"/>
    <w:rsid w:val="4D395197"/>
    <w:rsid w:val="4D474356"/>
    <w:rsid w:val="4D52686A"/>
    <w:rsid w:val="4D862425"/>
    <w:rsid w:val="4D8B58D8"/>
    <w:rsid w:val="4D93478D"/>
    <w:rsid w:val="4D9C7306"/>
    <w:rsid w:val="4DA02203"/>
    <w:rsid w:val="4DA977C7"/>
    <w:rsid w:val="4DAC584E"/>
    <w:rsid w:val="4DAE5A6A"/>
    <w:rsid w:val="4DAE6651"/>
    <w:rsid w:val="4DB473A2"/>
    <w:rsid w:val="4DC96400"/>
    <w:rsid w:val="4DCA28A4"/>
    <w:rsid w:val="4DD74FC1"/>
    <w:rsid w:val="4DD94895"/>
    <w:rsid w:val="4DDC65B1"/>
    <w:rsid w:val="4DF33E82"/>
    <w:rsid w:val="4DFC67D6"/>
    <w:rsid w:val="4E0929FA"/>
    <w:rsid w:val="4E0C7232"/>
    <w:rsid w:val="4E1D492C"/>
    <w:rsid w:val="4E2574FC"/>
    <w:rsid w:val="4E3B694B"/>
    <w:rsid w:val="4E3E34B5"/>
    <w:rsid w:val="4E522718"/>
    <w:rsid w:val="4E5524F6"/>
    <w:rsid w:val="4E751272"/>
    <w:rsid w:val="4E772300"/>
    <w:rsid w:val="4E7939C1"/>
    <w:rsid w:val="4E812E8E"/>
    <w:rsid w:val="4E8C30EE"/>
    <w:rsid w:val="4E8C3CA1"/>
    <w:rsid w:val="4E8D6FCE"/>
    <w:rsid w:val="4E907D8B"/>
    <w:rsid w:val="4E927F61"/>
    <w:rsid w:val="4E956C60"/>
    <w:rsid w:val="4E9823FF"/>
    <w:rsid w:val="4E9C3B15"/>
    <w:rsid w:val="4EB37674"/>
    <w:rsid w:val="4EC310A1"/>
    <w:rsid w:val="4ECC61A8"/>
    <w:rsid w:val="4ED432AF"/>
    <w:rsid w:val="4EDA49A4"/>
    <w:rsid w:val="4EDF04EB"/>
    <w:rsid w:val="4EE31744"/>
    <w:rsid w:val="4EE62F10"/>
    <w:rsid w:val="4F004A6C"/>
    <w:rsid w:val="4F016ADD"/>
    <w:rsid w:val="4F073684"/>
    <w:rsid w:val="4F3D70A6"/>
    <w:rsid w:val="4F456A25"/>
    <w:rsid w:val="4F4E3EA4"/>
    <w:rsid w:val="4F6B0DA8"/>
    <w:rsid w:val="4F6B2B1F"/>
    <w:rsid w:val="4F6D3DC4"/>
    <w:rsid w:val="4F762C43"/>
    <w:rsid w:val="4F82477B"/>
    <w:rsid w:val="4F9D2381"/>
    <w:rsid w:val="4F9F185E"/>
    <w:rsid w:val="4FA2522A"/>
    <w:rsid w:val="4FB25B1F"/>
    <w:rsid w:val="4FC675FE"/>
    <w:rsid w:val="4FCF20BE"/>
    <w:rsid w:val="4FDD6193"/>
    <w:rsid w:val="4FDF311C"/>
    <w:rsid w:val="4FEC5731"/>
    <w:rsid w:val="4FF36048"/>
    <w:rsid w:val="5001388B"/>
    <w:rsid w:val="50051DBE"/>
    <w:rsid w:val="50066CDB"/>
    <w:rsid w:val="50081433"/>
    <w:rsid w:val="50147408"/>
    <w:rsid w:val="50195A76"/>
    <w:rsid w:val="501A1195"/>
    <w:rsid w:val="501A73E7"/>
    <w:rsid w:val="501E2A33"/>
    <w:rsid w:val="50250266"/>
    <w:rsid w:val="502E69EF"/>
    <w:rsid w:val="50354221"/>
    <w:rsid w:val="505E72D4"/>
    <w:rsid w:val="50630D4D"/>
    <w:rsid w:val="506348EA"/>
    <w:rsid w:val="50697817"/>
    <w:rsid w:val="506E62E8"/>
    <w:rsid w:val="50792360"/>
    <w:rsid w:val="50854860"/>
    <w:rsid w:val="508C721A"/>
    <w:rsid w:val="50903205"/>
    <w:rsid w:val="50A867A1"/>
    <w:rsid w:val="50AA7726"/>
    <w:rsid w:val="50AB003F"/>
    <w:rsid w:val="50B96C00"/>
    <w:rsid w:val="50DA0D51"/>
    <w:rsid w:val="50EA43F6"/>
    <w:rsid w:val="50ED2E63"/>
    <w:rsid w:val="50FA3A11"/>
    <w:rsid w:val="5118100E"/>
    <w:rsid w:val="511856D5"/>
    <w:rsid w:val="51281690"/>
    <w:rsid w:val="51512619"/>
    <w:rsid w:val="515406D7"/>
    <w:rsid w:val="51585DA9"/>
    <w:rsid w:val="518D27D7"/>
    <w:rsid w:val="519630FA"/>
    <w:rsid w:val="51974326"/>
    <w:rsid w:val="519B757D"/>
    <w:rsid w:val="51A0391C"/>
    <w:rsid w:val="51A61200"/>
    <w:rsid w:val="51A90A23"/>
    <w:rsid w:val="51AA6D0A"/>
    <w:rsid w:val="51AB47EE"/>
    <w:rsid w:val="51AD0775"/>
    <w:rsid w:val="51B318A1"/>
    <w:rsid w:val="51CB2747"/>
    <w:rsid w:val="51CE04D5"/>
    <w:rsid w:val="51D068B2"/>
    <w:rsid w:val="51E17DD8"/>
    <w:rsid w:val="51E5351D"/>
    <w:rsid w:val="51EC7255"/>
    <w:rsid w:val="51F003FF"/>
    <w:rsid w:val="5201260D"/>
    <w:rsid w:val="520E6AD8"/>
    <w:rsid w:val="52176253"/>
    <w:rsid w:val="521A547C"/>
    <w:rsid w:val="52304D2F"/>
    <w:rsid w:val="52326C6A"/>
    <w:rsid w:val="523350A2"/>
    <w:rsid w:val="5259532C"/>
    <w:rsid w:val="525E7A5F"/>
    <w:rsid w:val="525F7333"/>
    <w:rsid w:val="526C0B94"/>
    <w:rsid w:val="52707792"/>
    <w:rsid w:val="52880638"/>
    <w:rsid w:val="528B1ED6"/>
    <w:rsid w:val="52917701"/>
    <w:rsid w:val="52AC708D"/>
    <w:rsid w:val="52B302A6"/>
    <w:rsid w:val="52B814FE"/>
    <w:rsid w:val="52BE7D56"/>
    <w:rsid w:val="52C84ED8"/>
    <w:rsid w:val="52CA0FA4"/>
    <w:rsid w:val="52DE1094"/>
    <w:rsid w:val="52E77591"/>
    <w:rsid w:val="52EC1CE1"/>
    <w:rsid w:val="52F04AE9"/>
    <w:rsid w:val="52F203B0"/>
    <w:rsid w:val="52F3107C"/>
    <w:rsid w:val="52F552A5"/>
    <w:rsid w:val="530E6CE2"/>
    <w:rsid w:val="533407C0"/>
    <w:rsid w:val="534C3D5B"/>
    <w:rsid w:val="53565C5E"/>
    <w:rsid w:val="535F10F2"/>
    <w:rsid w:val="5367649F"/>
    <w:rsid w:val="53682EE2"/>
    <w:rsid w:val="536A5F90"/>
    <w:rsid w:val="53704398"/>
    <w:rsid w:val="537B1F4B"/>
    <w:rsid w:val="53860F02"/>
    <w:rsid w:val="538F59F6"/>
    <w:rsid w:val="539D0113"/>
    <w:rsid w:val="53AA47B9"/>
    <w:rsid w:val="53AC378D"/>
    <w:rsid w:val="53C27B7A"/>
    <w:rsid w:val="53C63FD1"/>
    <w:rsid w:val="53C7491B"/>
    <w:rsid w:val="53DF697E"/>
    <w:rsid w:val="53E144A4"/>
    <w:rsid w:val="53E4700B"/>
    <w:rsid w:val="53FA3C53"/>
    <w:rsid w:val="53FC29DA"/>
    <w:rsid w:val="54071C8E"/>
    <w:rsid w:val="54102FDB"/>
    <w:rsid w:val="54216F96"/>
    <w:rsid w:val="5426635A"/>
    <w:rsid w:val="543A7D6A"/>
    <w:rsid w:val="544B5DC1"/>
    <w:rsid w:val="545318ED"/>
    <w:rsid w:val="54716CC6"/>
    <w:rsid w:val="5472334E"/>
    <w:rsid w:val="54752E3E"/>
    <w:rsid w:val="548412D3"/>
    <w:rsid w:val="54890697"/>
    <w:rsid w:val="549351CF"/>
    <w:rsid w:val="54995E0B"/>
    <w:rsid w:val="549C0855"/>
    <w:rsid w:val="54C618EB"/>
    <w:rsid w:val="54F92EF3"/>
    <w:rsid w:val="55007040"/>
    <w:rsid w:val="55050B9B"/>
    <w:rsid w:val="5512068D"/>
    <w:rsid w:val="551C4417"/>
    <w:rsid w:val="55216B22"/>
    <w:rsid w:val="552503C0"/>
    <w:rsid w:val="55254864"/>
    <w:rsid w:val="553973C4"/>
    <w:rsid w:val="554C0043"/>
    <w:rsid w:val="555461F4"/>
    <w:rsid w:val="55591B89"/>
    <w:rsid w:val="556F788D"/>
    <w:rsid w:val="5573405C"/>
    <w:rsid w:val="557D4431"/>
    <w:rsid w:val="55B55D4B"/>
    <w:rsid w:val="55BD684B"/>
    <w:rsid w:val="55BE25C3"/>
    <w:rsid w:val="55C220B3"/>
    <w:rsid w:val="55C4407D"/>
    <w:rsid w:val="55C56B4E"/>
    <w:rsid w:val="55C92486"/>
    <w:rsid w:val="55D50038"/>
    <w:rsid w:val="55EE4C56"/>
    <w:rsid w:val="55F432B8"/>
    <w:rsid w:val="55F61D5C"/>
    <w:rsid w:val="56053A7E"/>
    <w:rsid w:val="560D1830"/>
    <w:rsid w:val="560D3DAD"/>
    <w:rsid w:val="560D6F51"/>
    <w:rsid w:val="56184A51"/>
    <w:rsid w:val="56351A54"/>
    <w:rsid w:val="56386F4A"/>
    <w:rsid w:val="5648419A"/>
    <w:rsid w:val="564C33E3"/>
    <w:rsid w:val="564E1B99"/>
    <w:rsid w:val="5651115B"/>
    <w:rsid w:val="5651609A"/>
    <w:rsid w:val="5652729B"/>
    <w:rsid w:val="56570A4D"/>
    <w:rsid w:val="56574EF1"/>
    <w:rsid w:val="56646662"/>
    <w:rsid w:val="566E3FE9"/>
    <w:rsid w:val="567A0BDF"/>
    <w:rsid w:val="568A4384"/>
    <w:rsid w:val="56957A31"/>
    <w:rsid w:val="56BC6B02"/>
    <w:rsid w:val="56C035E5"/>
    <w:rsid w:val="56DA342C"/>
    <w:rsid w:val="56DC4D8F"/>
    <w:rsid w:val="56DF0A43"/>
    <w:rsid w:val="56E10C5F"/>
    <w:rsid w:val="56E81623"/>
    <w:rsid w:val="56F3003C"/>
    <w:rsid w:val="56F91B04"/>
    <w:rsid w:val="56F95FA8"/>
    <w:rsid w:val="57075569"/>
    <w:rsid w:val="570F757A"/>
    <w:rsid w:val="5714693E"/>
    <w:rsid w:val="572172AD"/>
    <w:rsid w:val="572528F9"/>
    <w:rsid w:val="573578F0"/>
    <w:rsid w:val="573967DC"/>
    <w:rsid w:val="574057D9"/>
    <w:rsid w:val="57540446"/>
    <w:rsid w:val="575907F5"/>
    <w:rsid w:val="575A0494"/>
    <w:rsid w:val="577D0987"/>
    <w:rsid w:val="57825F9E"/>
    <w:rsid w:val="5785783C"/>
    <w:rsid w:val="57900884"/>
    <w:rsid w:val="57911D3D"/>
    <w:rsid w:val="57946072"/>
    <w:rsid w:val="5798020F"/>
    <w:rsid w:val="579D29FC"/>
    <w:rsid w:val="57A34752"/>
    <w:rsid w:val="57AF6667"/>
    <w:rsid w:val="57B036A5"/>
    <w:rsid w:val="57B4088C"/>
    <w:rsid w:val="57C2639A"/>
    <w:rsid w:val="57C57C38"/>
    <w:rsid w:val="57C9719E"/>
    <w:rsid w:val="57CF0AB7"/>
    <w:rsid w:val="57CF5E09"/>
    <w:rsid w:val="57D321C5"/>
    <w:rsid w:val="57D4431F"/>
    <w:rsid w:val="57D83E10"/>
    <w:rsid w:val="57DD1426"/>
    <w:rsid w:val="57E07B2A"/>
    <w:rsid w:val="57FB18AC"/>
    <w:rsid w:val="580249E9"/>
    <w:rsid w:val="5809221B"/>
    <w:rsid w:val="580E5B38"/>
    <w:rsid w:val="58185A7A"/>
    <w:rsid w:val="581A4428"/>
    <w:rsid w:val="58207565"/>
    <w:rsid w:val="58240E03"/>
    <w:rsid w:val="58276B45"/>
    <w:rsid w:val="583A0626"/>
    <w:rsid w:val="583A23D4"/>
    <w:rsid w:val="583B239C"/>
    <w:rsid w:val="58494664"/>
    <w:rsid w:val="5851771E"/>
    <w:rsid w:val="58597148"/>
    <w:rsid w:val="58600972"/>
    <w:rsid w:val="58605180"/>
    <w:rsid w:val="58737694"/>
    <w:rsid w:val="587A291B"/>
    <w:rsid w:val="587F48DE"/>
    <w:rsid w:val="588418A2"/>
    <w:rsid w:val="5889510A"/>
    <w:rsid w:val="58977827"/>
    <w:rsid w:val="5898138F"/>
    <w:rsid w:val="589C1084"/>
    <w:rsid w:val="58AE4B70"/>
    <w:rsid w:val="58B06B3A"/>
    <w:rsid w:val="58B34C11"/>
    <w:rsid w:val="58C30E7D"/>
    <w:rsid w:val="58C35A5C"/>
    <w:rsid w:val="58C373C9"/>
    <w:rsid w:val="58E6430A"/>
    <w:rsid w:val="58E662A8"/>
    <w:rsid w:val="58F06F37"/>
    <w:rsid w:val="58F5454D"/>
    <w:rsid w:val="58FC1D80"/>
    <w:rsid w:val="59030A18"/>
    <w:rsid w:val="59033C07"/>
    <w:rsid w:val="59084281"/>
    <w:rsid w:val="59102873"/>
    <w:rsid w:val="59156760"/>
    <w:rsid w:val="591A5A7B"/>
    <w:rsid w:val="591D2568"/>
    <w:rsid w:val="592201AE"/>
    <w:rsid w:val="592310BA"/>
    <w:rsid w:val="59253085"/>
    <w:rsid w:val="592D39AB"/>
    <w:rsid w:val="59444C41"/>
    <w:rsid w:val="5952374E"/>
    <w:rsid w:val="59594ADC"/>
    <w:rsid w:val="595B379D"/>
    <w:rsid w:val="59622AE1"/>
    <w:rsid w:val="59646258"/>
    <w:rsid w:val="597459BF"/>
    <w:rsid w:val="597C07CB"/>
    <w:rsid w:val="597C6A1D"/>
    <w:rsid w:val="59995821"/>
    <w:rsid w:val="59A17C3D"/>
    <w:rsid w:val="59CD7278"/>
    <w:rsid w:val="59D6437F"/>
    <w:rsid w:val="59D94E1E"/>
    <w:rsid w:val="59DC6116"/>
    <w:rsid w:val="59E76F1A"/>
    <w:rsid w:val="59E77A8E"/>
    <w:rsid w:val="59E944B5"/>
    <w:rsid w:val="59F64A21"/>
    <w:rsid w:val="59F824B8"/>
    <w:rsid w:val="5A00551A"/>
    <w:rsid w:val="5A13112F"/>
    <w:rsid w:val="5A165FC8"/>
    <w:rsid w:val="5A174AEB"/>
    <w:rsid w:val="5A19426B"/>
    <w:rsid w:val="5A2A1379"/>
    <w:rsid w:val="5A395F05"/>
    <w:rsid w:val="5A3966BC"/>
    <w:rsid w:val="5A494BC1"/>
    <w:rsid w:val="5A621F92"/>
    <w:rsid w:val="5A667E66"/>
    <w:rsid w:val="5A844281"/>
    <w:rsid w:val="5A89319F"/>
    <w:rsid w:val="5A8B6F17"/>
    <w:rsid w:val="5A9304C2"/>
    <w:rsid w:val="5A987931"/>
    <w:rsid w:val="5A9A1850"/>
    <w:rsid w:val="5A9B4B84"/>
    <w:rsid w:val="5AA1498D"/>
    <w:rsid w:val="5AA4447D"/>
    <w:rsid w:val="5AA93841"/>
    <w:rsid w:val="5AB31742"/>
    <w:rsid w:val="5AC266B1"/>
    <w:rsid w:val="5ADB6D77"/>
    <w:rsid w:val="5AFC7E15"/>
    <w:rsid w:val="5B0311A3"/>
    <w:rsid w:val="5B0F13AB"/>
    <w:rsid w:val="5B150ED7"/>
    <w:rsid w:val="5B3951AC"/>
    <w:rsid w:val="5B4E75CF"/>
    <w:rsid w:val="5B547C51"/>
    <w:rsid w:val="5B5852AB"/>
    <w:rsid w:val="5B670635"/>
    <w:rsid w:val="5B783FF8"/>
    <w:rsid w:val="5B8402CF"/>
    <w:rsid w:val="5B901433"/>
    <w:rsid w:val="5BA20379"/>
    <w:rsid w:val="5BA22FF9"/>
    <w:rsid w:val="5BB701E0"/>
    <w:rsid w:val="5BB7574F"/>
    <w:rsid w:val="5BBA79E8"/>
    <w:rsid w:val="5BC37463"/>
    <w:rsid w:val="5BC8419B"/>
    <w:rsid w:val="5BF14E79"/>
    <w:rsid w:val="5BF40AEC"/>
    <w:rsid w:val="5BF44F90"/>
    <w:rsid w:val="5BF84A80"/>
    <w:rsid w:val="5BFD0E7B"/>
    <w:rsid w:val="5C043425"/>
    <w:rsid w:val="5C1E63D9"/>
    <w:rsid w:val="5C2A2760"/>
    <w:rsid w:val="5C2C297C"/>
    <w:rsid w:val="5C2C57D9"/>
    <w:rsid w:val="5C2D3FFE"/>
    <w:rsid w:val="5C3F76AA"/>
    <w:rsid w:val="5C64278E"/>
    <w:rsid w:val="5C6C4B26"/>
    <w:rsid w:val="5C6E01B4"/>
    <w:rsid w:val="5C882B19"/>
    <w:rsid w:val="5C8D77D5"/>
    <w:rsid w:val="5C9127DF"/>
    <w:rsid w:val="5CD54512"/>
    <w:rsid w:val="5CD8040E"/>
    <w:rsid w:val="5CE943C9"/>
    <w:rsid w:val="5CFC234E"/>
    <w:rsid w:val="5CFE4309"/>
    <w:rsid w:val="5D053658"/>
    <w:rsid w:val="5D0E2082"/>
    <w:rsid w:val="5D1F7DEB"/>
    <w:rsid w:val="5D284EF1"/>
    <w:rsid w:val="5D2C22D6"/>
    <w:rsid w:val="5D333A82"/>
    <w:rsid w:val="5D3550EC"/>
    <w:rsid w:val="5D355860"/>
    <w:rsid w:val="5D521F6E"/>
    <w:rsid w:val="5D5B704F"/>
    <w:rsid w:val="5D665A1A"/>
    <w:rsid w:val="5D7F7C86"/>
    <w:rsid w:val="5D8159AA"/>
    <w:rsid w:val="5D8A308E"/>
    <w:rsid w:val="5D900B7B"/>
    <w:rsid w:val="5D9E47C0"/>
    <w:rsid w:val="5DA55635"/>
    <w:rsid w:val="5DB42C29"/>
    <w:rsid w:val="5DB70023"/>
    <w:rsid w:val="5DBD7190"/>
    <w:rsid w:val="5DC866D4"/>
    <w:rsid w:val="5DD0462F"/>
    <w:rsid w:val="5DD13BCE"/>
    <w:rsid w:val="5DD166EA"/>
    <w:rsid w:val="5DD76D12"/>
    <w:rsid w:val="5DE828D3"/>
    <w:rsid w:val="5DF70D68"/>
    <w:rsid w:val="5E23390B"/>
    <w:rsid w:val="5E282CCF"/>
    <w:rsid w:val="5E734892"/>
    <w:rsid w:val="5E83050C"/>
    <w:rsid w:val="5E991118"/>
    <w:rsid w:val="5E9B5B97"/>
    <w:rsid w:val="5EAA7669"/>
    <w:rsid w:val="5EAE6868"/>
    <w:rsid w:val="5EC953DF"/>
    <w:rsid w:val="5ECA3D86"/>
    <w:rsid w:val="5ED66BCF"/>
    <w:rsid w:val="5EE1723E"/>
    <w:rsid w:val="5EEC31DD"/>
    <w:rsid w:val="5EF04772"/>
    <w:rsid w:val="5EF05EE3"/>
    <w:rsid w:val="5EF36EB6"/>
    <w:rsid w:val="5F021772"/>
    <w:rsid w:val="5F096FA4"/>
    <w:rsid w:val="5F0B0627"/>
    <w:rsid w:val="5F171192"/>
    <w:rsid w:val="5F241273"/>
    <w:rsid w:val="5F243081"/>
    <w:rsid w:val="5F2A12F8"/>
    <w:rsid w:val="5F2E22CA"/>
    <w:rsid w:val="5F334021"/>
    <w:rsid w:val="5F3C58B7"/>
    <w:rsid w:val="5F3E6E9B"/>
    <w:rsid w:val="5F4678B1"/>
    <w:rsid w:val="5F4E193D"/>
    <w:rsid w:val="5F642583"/>
    <w:rsid w:val="5F6441DB"/>
    <w:rsid w:val="5F6A0654"/>
    <w:rsid w:val="5F751F44"/>
    <w:rsid w:val="5F7A755A"/>
    <w:rsid w:val="5F7C2BC5"/>
    <w:rsid w:val="5F866F22"/>
    <w:rsid w:val="5F8F4D7B"/>
    <w:rsid w:val="5F8F74AA"/>
    <w:rsid w:val="5F915CB4"/>
    <w:rsid w:val="5F920D48"/>
    <w:rsid w:val="5F9C361C"/>
    <w:rsid w:val="5FA42829"/>
    <w:rsid w:val="5FBF1411"/>
    <w:rsid w:val="5FCA0D9F"/>
    <w:rsid w:val="5FCE126B"/>
    <w:rsid w:val="5FD67828"/>
    <w:rsid w:val="5FD76DC5"/>
    <w:rsid w:val="5FDE04BB"/>
    <w:rsid w:val="600F3107"/>
    <w:rsid w:val="60161096"/>
    <w:rsid w:val="6017749F"/>
    <w:rsid w:val="602478DB"/>
    <w:rsid w:val="603747E8"/>
    <w:rsid w:val="60481228"/>
    <w:rsid w:val="60496E03"/>
    <w:rsid w:val="60533A3D"/>
    <w:rsid w:val="60536729"/>
    <w:rsid w:val="60567FC7"/>
    <w:rsid w:val="605A639A"/>
    <w:rsid w:val="60681728"/>
    <w:rsid w:val="6071159A"/>
    <w:rsid w:val="60760C14"/>
    <w:rsid w:val="60824CE9"/>
    <w:rsid w:val="60870181"/>
    <w:rsid w:val="608F6033"/>
    <w:rsid w:val="609C3324"/>
    <w:rsid w:val="609D1752"/>
    <w:rsid w:val="60A24FBB"/>
    <w:rsid w:val="60AF2BCD"/>
    <w:rsid w:val="60B8658C"/>
    <w:rsid w:val="60BC0341"/>
    <w:rsid w:val="60CC6205"/>
    <w:rsid w:val="60E75352"/>
    <w:rsid w:val="60F40E89"/>
    <w:rsid w:val="60FF065F"/>
    <w:rsid w:val="61037CF4"/>
    <w:rsid w:val="61073840"/>
    <w:rsid w:val="61137C66"/>
    <w:rsid w:val="613F6CAD"/>
    <w:rsid w:val="61471ACE"/>
    <w:rsid w:val="614A2D2C"/>
    <w:rsid w:val="614A7C31"/>
    <w:rsid w:val="615950B5"/>
    <w:rsid w:val="615F10FE"/>
    <w:rsid w:val="617C580C"/>
    <w:rsid w:val="61866A86"/>
    <w:rsid w:val="61907509"/>
    <w:rsid w:val="619E1C26"/>
    <w:rsid w:val="61A82AA5"/>
    <w:rsid w:val="61AB4343"/>
    <w:rsid w:val="61B437D3"/>
    <w:rsid w:val="61BA27D8"/>
    <w:rsid w:val="61BF2475"/>
    <w:rsid w:val="61C947C9"/>
    <w:rsid w:val="61D07906"/>
    <w:rsid w:val="61DE513F"/>
    <w:rsid w:val="61DF3FED"/>
    <w:rsid w:val="61EB0423"/>
    <w:rsid w:val="61ED0120"/>
    <w:rsid w:val="61F25A52"/>
    <w:rsid w:val="620A1884"/>
    <w:rsid w:val="621041A6"/>
    <w:rsid w:val="6214107C"/>
    <w:rsid w:val="623E51B7"/>
    <w:rsid w:val="62483D95"/>
    <w:rsid w:val="624A76B8"/>
    <w:rsid w:val="624B51DE"/>
    <w:rsid w:val="625C1559"/>
    <w:rsid w:val="62683FE2"/>
    <w:rsid w:val="62744735"/>
    <w:rsid w:val="627D06E2"/>
    <w:rsid w:val="627D5CDF"/>
    <w:rsid w:val="62B72874"/>
    <w:rsid w:val="62C51434"/>
    <w:rsid w:val="62CB283C"/>
    <w:rsid w:val="62D653F0"/>
    <w:rsid w:val="62ED0FD3"/>
    <w:rsid w:val="62FD0BCE"/>
    <w:rsid w:val="630261E5"/>
    <w:rsid w:val="63304B00"/>
    <w:rsid w:val="63343EC4"/>
    <w:rsid w:val="633D721D"/>
    <w:rsid w:val="63461B81"/>
    <w:rsid w:val="63720880"/>
    <w:rsid w:val="63860BC4"/>
    <w:rsid w:val="63860E60"/>
    <w:rsid w:val="639808F7"/>
    <w:rsid w:val="639A569E"/>
    <w:rsid w:val="639A6746"/>
    <w:rsid w:val="63A177AC"/>
    <w:rsid w:val="63A46C3D"/>
    <w:rsid w:val="63C11BFC"/>
    <w:rsid w:val="63C139AA"/>
    <w:rsid w:val="63C416EC"/>
    <w:rsid w:val="63C77D26"/>
    <w:rsid w:val="63CD6CBE"/>
    <w:rsid w:val="63D7141F"/>
    <w:rsid w:val="63E2436F"/>
    <w:rsid w:val="63EE4356"/>
    <w:rsid w:val="63F975E8"/>
    <w:rsid w:val="6403064C"/>
    <w:rsid w:val="64046C3B"/>
    <w:rsid w:val="641C5084"/>
    <w:rsid w:val="641F5809"/>
    <w:rsid w:val="642F3009"/>
    <w:rsid w:val="644353F5"/>
    <w:rsid w:val="644D7933"/>
    <w:rsid w:val="644F546A"/>
    <w:rsid w:val="645804F4"/>
    <w:rsid w:val="646A7B3B"/>
    <w:rsid w:val="64871480"/>
    <w:rsid w:val="6487730D"/>
    <w:rsid w:val="64AD03D2"/>
    <w:rsid w:val="64BD0615"/>
    <w:rsid w:val="64BE25DF"/>
    <w:rsid w:val="64D9450A"/>
    <w:rsid w:val="64E220FD"/>
    <w:rsid w:val="64EE4C72"/>
    <w:rsid w:val="64F00736"/>
    <w:rsid w:val="64F34037"/>
    <w:rsid w:val="652977A7"/>
    <w:rsid w:val="652C424A"/>
    <w:rsid w:val="652F0DE7"/>
    <w:rsid w:val="6530072B"/>
    <w:rsid w:val="65366A7B"/>
    <w:rsid w:val="65493C57"/>
    <w:rsid w:val="65544F71"/>
    <w:rsid w:val="655C1270"/>
    <w:rsid w:val="656932F7"/>
    <w:rsid w:val="65695546"/>
    <w:rsid w:val="657131AE"/>
    <w:rsid w:val="65782D4B"/>
    <w:rsid w:val="65837903"/>
    <w:rsid w:val="658E01CE"/>
    <w:rsid w:val="65A76BCF"/>
    <w:rsid w:val="65C854C3"/>
    <w:rsid w:val="65CC6636"/>
    <w:rsid w:val="65DD280C"/>
    <w:rsid w:val="65E25E59"/>
    <w:rsid w:val="65EB2F60"/>
    <w:rsid w:val="65F21520"/>
    <w:rsid w:val="66180023"/>
    <w:rsid w:val="661C5518"/>
    <w:rsid w:val="661D6DEA"/>
    <w:rsid w:val="661E7DF0"/>
    <w:rsid w:val="66214BD4"/>
    <w:rsid w:val="66266DCE"/>
    <w:rsid w:val="66284AF4"/>
    <w:rsid w:val="663A5C95"/>
    <w:rsid w:val="664A237C"/>
    <w:rsid w:val="665066E6"/>
    <w:rsid w:val="6663423B"/>
    <w:rsid w:val="669140FA"/>
    <w:rsid w:val="669C425A"/>
    <w:rsid w:val="66A74E0F"/>
    <w:rsid w:val="66B47F1D"/>
    <w:rsid w:val="66BC5FE0"/>
    <w:rsid w:val="66C11F13"/>
    <w:rsid w:val="66D71736"/>
    <w:rsid w:val="66E23A27"/>
    <w:rsid w:val="67134D8E"/>
    <w:rsid w:val="671604B0"/>
    <w:rsid w:val="671939D8"/>
    <w:rsid w:val="671C6B25"/>
    <w:rsid w:val="672038EA"/>
    <w:rsid w:val="67240B64"/>
    <w:rsid w:val="67307B4D"/>
    <w:rsid w:val="673B33B6"/>
    <w:rsid w:val="674C5C80"/>
    <w:rsid w:val="67582877"/>
    <w:rsid w:val="675E5115"/>
    <w:rsid w:val="676C4760"/>
    <w:rsid w:val="6784541A"/>
    <w:rsid w:val="67917B37"/>
    <w:rsid w:val="679F04A6"/>
    <w:rsid w:val="67A21D44"/>
    <w:rsid w:val="67A61834"/>
    <w:rsid w:val="67A71109"/>
    <w:rsid w:val="67A96EE5"/>
    <w:rsid w:val="67AD7DD6"/>
    <w:rsid w:val="67DB0DB2"/>
    <w:rsid w:val="67DD3A75"/>
    <w:rsid w:val="67ED03C9"/>
    <w:rsid w:val="67F120DA"/>
    <w:rsid w:val="67F51E74"/>
    <w:rsid w:val="67FF2CF3"/>
    <w:rsid w:val="68060525"/>
    <w:rsid w:val="680E1188"/>
    <w:rsid w:val="680E630A"/>
    <w:rsid w:val="68124EB0"/>
    <w:rsid w:val="681364CD"/>
    <w:rsid w:val="68242759"/>
    <w:rsid w:val="68243885"/>
    <w:rsid w:val="68260326"/>
    <w:rsid w:val="683B3B1F"/>
    <w:rsid w:val="683E6AEB"/>
    <w:rsid w:val="68744D1D"/>
    <w:rsid w:val="688356D2"/>
    <w:rsid w:val="68A044D6"/>
    <w:rsid w:val="68A613C0"/>
    <w:rsid w:val="68A71F0C"/>
    <w:rsid w:val="68B51B7E"/>
    <w:rsid w:val="68BC4845"/>
    <w:rsid w:val="68CB0E27"/>
    <w:rsid w:val="68D66127"/>
    <w:rsid w:val="69032E72"/>
    <w:rsid w:val="690C1B6B"/>
    <w:rsid w:val="69286279"/>
    <w:rsid w:val="693B5DB2"/>
    <w:rsid w:val="694105EE"/>
    <w:rsid w:val="6945507D"/>
    <w:rsid w:val="69566E7A"/>
    <w:rsid w:val="69603C65"/>
    <w:rsid w:val="696075A1"/>
    <w:rsid w:val="696B0B76"/>
    <w:rsid w:val="69797B93"/>
    <w:rsid w:val="697A6D19"/>
    <w:rsid w:val="69847953"/>
    <w:rsid w:val="698F2FC0"/>
    <w:rsid w:val="69AC2A06"/>
    <w:rsid w:val="69B02243"/>
    <w:rsid w:val="69B16A82"/>
    <w:rsid w:val="69C67B3E"/>
    <w:rsid w:val="69D57C48"/>
    <w:rsid w:val="69DD5D56"/>
    <w:rsid w:val="69F61B52"/>
    <w:rsid w:val="69FF2B55"/>
    <w:rsid w:val="6A016C65"/>
    <w:rsid w:val="6A0171F6"/>
    <w:rsid w:val="6A0A361D"/>
    <w:rsid w:val="6A0B1E23"/>
    <w:rsid w:val="6A0C7949"/>
    <w:rsid w:val="6A1113CA"/>
    <w:rsid w:val="6A1707C7"/>
    <w:rsid w:val="6A184B90"/>
    <w:rsid w:val="6A19661F"/>
    <w:rsid w:val="6A20375A"/>
    <w:rsid w:val="6A25387A"/>
    <w:rsid w:val="6A2627B9"/>
    <w:rsid w:val="6A4415E9"/>
    <w:rsid w:val="6A5F3BB4"/>
    <w:rsid w:val="6A5F5CCB"/>
    <w:rsid w:val="6A6534F3"/>
    <w:rsid w:val="6A7379C8"/>
    <w:rsid w:val="6A7A370B"/>
    <w:rsid w:val="6A8B2F63"/>
    <w:rsid w:val="6A933BC6"/>
    <w:rsid w:val="6A9516EC"/>
    <w:rsid w:val="6AA41B3A"/>
    <w:rsid w:val="6AAD7B53"/>
    <w:rsid w:val="6AD37B7E"/>
    <w:rsid w:val="6ADF6E0B"/>
    <w:rsid w:val="6AEA7C8A"/>
    <w:rsid w:val="6AF22AF0"/>
    <w:rsid w:val="6B09579B"/>
    <w:rsid w:val="6B32469D"/>
    <w:rsid w:val="6B3709F5"/>
    <w:rsid w:val="6B425A43"/>
    <w:rsid w:val="6B4534B2"/>
    <w:rsid w:val="6B4A43F1"/>
    <w:rsid w:val="6B533A81"/>
    <w:rsid w:val="6B581098"/>
    <w:rsid w:val="6B6A2C01"/>
    <w:rsid w:val="6B6E0E53"/>
    <w:rsid w:val="6B7457A6"/>
    <w:rsid w:val="6B80239C"/>
    <w:rsid w:val="6B8068EB"/>
    <w:rsid w:val="6B84510D"/>
    <w:rsid w:val="6BAF6037"/>
    <w:rsid w:val="6BBD38BD"/>
    <w:rsid w:val="6BCD3CC0"/>
    <w:rsid w:val="6BD00FC6"/>
    <w:rsid w:val="6BD44496"/>
    <w:rsid w:val="6BDA0D35"/>
    <w:rsid w:val="6C0A4BCD"/>
    <w:rsid w:val="6C0E79A8"/>
    <w:rsid w:val="6C163A2B"/>
    <w:rsid w:val="6C1D29BA"/>
    <w:rsid w:val="6C2E143A"/>
    <w:rsid w:val="6C481B35"/>
    <w:rsid w:val="6C690350"/>
    <w:rsid w:val="6C692E30"/>
    <w:rsid w:val="6C70308B"/>
    <w:rsid w:val="6C7F4402"/>
    <w:rsid w:val="6C8D4D71"/>
    <w:rsid w:val="6CA07073"/>
    <w:rsid w:val="6CA87DFD"/>
    <w:rsid w:val="6CAD5413"/>
    <w:rsid w:val="6CB272BB"/>
    <w:rsid w:val="6CB30550"/>
    <w:rsid w:val="6CBF0CA2"/>
    <w:rsid w:val="6CC5493F"/>
    <w:rsid w:val="6CD609FE"/>
    <w:rsid w:val="6CD94064"/>
    <w:rsid w:val="6CDC7AA6"/>
    <w:rsid w:val="6CE10C19"/>
    <w:rsid w:val="6CE8644B"/>
    <w:rsid w:val="6CF7043C"/>
    <w:rsid w:val="6D035033"/>
    <w:rsid w:val="6D08089B"/>
    <w:rsid w:val="6D0F560C"/>
    <w:rsid w:val="6D194857"/>
    <w:rsid w:val="6D2A6553"/>
    <w:rsid w:val="6D321474"/>
    <w:rsid w:val="6D396CA7"/>
    <w:rsid w:val="6D505A47"/>
    <w:rsid w:val="6D526662"/>
    <w:rsid w:val="6D561607"/>
    <w:rsid w:val="6D645431"/>
    <w:rsid w:val="6D6F0791"/>
    <w:rsid w:val="6D75698C"/>
    <w:rsid w:val="6D885538"/>
    <w:rsid w:val="6D9B480C"/>
    <w:rsid w:val="6D9D7236"/>
    <w:rsid w:val="6DA82D3D"/>
    <w:rsid w:val="6DAA42C3"/>
    <w:rsid w:val="6DB644D4"/>
    <w:rsid w:val="6DBE53FE"/>
    <w:rsid w:val="6DC179FA"/>
    <w:rsid w:val="6DC249BF"/>
    <w:rsid w:val="6DC36570"/>
    <w:rsid w:val="6DCF4F15"/>
    <w:rsid w:val="6DD30FEB"/>
    <w:rsid w:val="6DE05374"/>
    <w:rsid w:val="6DE44E65"/>
    <w:rsid w:val="6DE51FC5"/>
    <w:rsid w:val="6DEA61F3"/>
    <w:rsid w:val="6DF00C5C"/>
    <w:rsid w:val="6DFB21AE"/>
    <w:rsid w:val="6E027099"/>
    <w:rsid w:val="6E03170B"/>
    <w:rsid w:val="6E072901"/>
    <w:rsid w:val="6E0E7DF8"/>
    <w:rsid w:val="6E14501E"/>
    <w:rsid w:val="6E2A4841"/>
    <w:rsid w:val="6E3B56D2"/>
    <w:rsid w:val="6E470F4F"/>
    <w:rsid w:val="6E526272"/>
    <w:rsid w:val="6E565F7C"/>
    <w:rsid w:val="6E584EF8"/>
    <w:rsid w:val="6E59013E"/>
    <w:rsid w:val="6E654F2C"/>
    <w:rsid w:val="6E6D6FE0"/>
    <w:rsid w:val="6E6F65BF"/>
    <w:rsid w:val="6E731D44"/>
    <w:rsid w:val="6E801D36"/>
    <w:rsid w:val="6E865F1C"/>
    <w:rsid w:val="6E8D36BE"/>
    <w:rsid w:val="6E923636"/>
    <w:rsid w:val="6E9D4600"/>
    <w:rsid w:val="6EA1100F"/>
    <w:rsid w:val="6EA6162E"/>
    <w:rsid w:val="6EA6688B"/>
    <w:rsid w:val="6EAF43DA"/>
    <w:rsid w:val="6EB557D6"/>
    <w:rsid w:val="6EC6456A"/>
    <w:rsid w:val="6EDC3D8E"/>
    <w:rsid w:val="6EE135E3"/>
    <w:rsid w:val="6EFC4430"/>
    <w:rsid w:val="6EFF5CCE"/>
    <w:rsid w:val="6F1057E5"/>
    <w:rsid w:val="6F2542F6"/>
    <w:rsid w:val="6F2A4AF9"/>
    <w:rsid w:val="6F3C65DA"/>
    <w:rsid w:val="6F4D4C8B"/>
    <w:rsid w:val="6F8166E3"/>
    <w:rsid w:val="6F92269E"/>
    <w:rsid w:val="6F951522"/>
    <w:rsid w:val="6FA10B33"/>
    <w:rsid w:val="6FA441A8"/>
    <w:rsid w:val="6FA52550"/>
    <w:rsid w:val="6FB6638D"/>
    <w:rsid w:val="6FBA413A"/>
    <w:rsid w:val="6FC569FF"/>
    <w:rsid w:val="6FCB0CF7"/>
    <w:rsid w:val="6FD35191"/>
    <w:rsid w:val="6FD46C64"/>
    <w:rsid w:val="6FEE4BEB"/>
    <w:rsid w:val="700215D2"/>
    <w:rsid w:val="700510C2"/>
    <w:rsid w:val="70126A6A"/>
    <w:rsid w:val="70190E0F"/>
    <w:rsid w:val="70371866"/>
    <w:rsid w:val="70553D17"/>
    <w:rsid w:val="705931BC"/>
    <w:rsid w:val="705D2AD6"/>
    <w:rsid w:val="705E5AAA"/>
    <w:rsid w:val="705F2369"/>
    <w:rsid w:val="7064228D"/>
    <w:rsid w:val="70755457"/>
    <w:rsid w:val="7082528E"/>
    <w:rsid w:val="70A07FA3"/>
    <w:rsid w:val="70A64653"/>
    <w:rsid w:val="70AC7790"/>
    <w:rsid w:val="70B7060E"/>
    <w:rsid w:val="70BA00FF"/>
    <w:rsid w:val="70BD7BEF"/>
    <w:rsid w:val="70C45C38"/>
    <w:rsid w:val="70C97A41"/>
    <w:rsid w:val="70D34D1C"/>
    <w:rsid w:val="70F51656"/>
    <w:rsid w:val="70F84783"/>
    <w:rsid w:val="70FA273A"/>
    <w:rsid w:val="71037B0A"/>
    <w:rsid w:val="71154EDC"/>
    <w:rsid w:val="71174225"/>
    <w:rsid w:val="71461035"/>
    <w:rsid w:val="714A7C64"/>
    <w:rsid w:val="71535959"/>
    <w:rsid w:val="715C5FD9"/>
    <w:rsid w:val="717C1858"/>
    <w:rsid w:val="717C7162"/>
    <w:rsid w:val="71816E6E"/>
    <w:rsid w:val="71817BFF"/>
    <w:rsid w:val="718907D9"/>
    <w:rsid w:val="719F001B"/>
    <w:rsid w:val="71A25CF6"/>
    <w:rsid w:val="71A30E03"/>
    <w:rsid w:val="71A863B8"/>
    <w:rsid w:val="71B74082"/>
    <w:rsid w:val="71BB412E"/>
    <w:rsid w:val="71C50D8A"/>
    <w:rsid w:val="71C97242"/>
    <w:rsid w:val="71CC1958"/>
    <w:rsid w:val="71CF3736"/>
    <w:rsid w:val="71E90971"/>
    <w:rsid w:val="72037883"/>
    <w:rsid w:val="72141A90"/>
    <w:rsid w:val="722436B3"/>
    <w:rsid w:val="722C51DE"/>
    <w:rsid w:val="724335ED"/>
    <w:rsid w:val="72455208"/>
    <w:rsid w:val="72536897"/>
    <w:rsid w:val="72577769"/>
    <w:rsid w:val="725D0E4E"/>
    <w:rsid w:val="72632DD6"/>
    <w:rsid w:val="72693B8A"/>
    <w:rsid w:val="72710C91"/>
    <w:rsid w:val="72713736"/>
    <w:rsid w:val="727D2B35"/>
    <w:rsid w:val="7289156A"/>
    <w:rsid w:val="7294672D"/>
    <w:rsid w:val="729A01E8"/>
    <w:rsid w:val="72A15DC8"/>
    <w:rsid w:val="72B017B9"/>
    <w:rsid w:val="72B03567"/>
    <w:rsid w:val="72B175CC"/>
    <w:rsid w:val="72D134AC"/>
    <w:rsid w:val="72EB3CBE"/>
    <w:rsid w:val="72EB459F"/>
    <w:rsid w:val="72FA6ED8"/>
    <w:rsid w:val="73143081"/>
    <w:rsid w:val="73467A28"/>
    <w:rsid w:val="73577FD4"/>
    <w:rsid w:val="73691968"/>
    <w:rsid w:val="736B1B84"/>
    <w:rsid w:val="737724A0"/>
    <w:rsid w:val="738320CD"/>
    <w:rsid w:val="73852C46"/>
    <w:rsid w:val="738F56A5"/>
    <w:rsid w:val="7394423F"/>
    <w:rsid w:val="739939DD"/>
    <w:rsid w:val="739B4217"/>
    <w:rsid w:val="73A368C1"/>
    <w:rsid w:val="73B04E40"/>
    <w:rsid w:val="73C63158"/>
    <w:rsid w:val="73CD1EF7"/>
    <w:rsid w:val="73D50AB3"/>
    <w:rsid w:val="73D634A1"/>
    <w:rsid w:val="73D76CAF"/>
    <w:rsid w:val="73EF1E6D"/>
    <w:rsid w:val="74075FB0"/>
    <w:rsid w:val="740C0C71"/>
    <w:rsid w:val="7416616B"/>
    <w:rsid w:val="74193F58"/>
    <w:rsid w:val="741D778A"/>
    <w:rsid w:val="741E2752"/>
    <w:rsid w:val="742C42E4"/>
    <w:rsid w:val="74387CB8"/>
    <w:rsid w:val="7445482C"/>
    <w:rsid w:val="74467A52"/>
    <w:rsid w:val="744B07FC"/>
    <w:rsid w:val="744F6DB0"/>
    <w:rsid w:val="746C1710"/>
    <w:rsid w:val="7470370E"/>
    <w:rsid w:val="74736F42"/>
    <w:rsid w:val="747607E0"/>
    <w:rsid w:val="74784D53"/>
    <w:rsid w:val="748F61B6"/>
    <w:rsid w:val="749073BC"/>
    <w:rsid w:val="749A1F54"/>
    <w:rsid w:val="74A013B9"/>
    <w:rsid w:val="74A71A4B"/>
    <w:rsid w:val="74AC1C9D"/>
    <w:rsid w:val="74AE7A9D"/>
    <w:rsid w:val="74AF784E"/>
    <w:rsid w:val="74C4154C"/>
    <w:rsid w:val="74D06143"/>
    <w:rsid w:val="74D27F2D"/>
    <w:rsid w:val="74D94952"/>
    <w:rsid w:val="74E36A44"/>
    <w:rsid w:val="74E90FB2"/>
    <w:rsid w:val="74EB5C99"/>
    <w:rsid w:val="74FF6B82"/>
    <w:rsid w:val="75037369"/>
    <w:rsid w:val="750603EC"/>
    <w:rsid w:val="750671AB"/>
    <w:rsid w:val="750E0A19"/>
    <w:rsid w:val="75283036"/>
    <w:rsid w:val="752E55CB"/>
    <w:rsid w:val="75306BE1"/>
    <w:rsid w:val="75377F70"/>
    <w:rsid w:val="753D3294"/>
    <w:rsid w:val="754206C3"/>
    <w:rsid w:val="754601B3"/>
    <w:rsid w:val="755C3532"/>
    <w:rsid w:val="75656E97"/>
    <w:rsid w:val="757614C7"/>
    <w:rsid w:val="758233BE"/>
    <w:rsid w:val="758B5863"/>
    <w:rsid w:val="759D60A7"/>
    <w:rsid w:val="75A60C51"/>
    <w:rsid w:val="75AB59D8"/>
    <w:rsid w:val="75B34AF2"/>
    <w:rsid w:val="75C01EA3"/>
    <w:rsid w:val="75CA033B"/>
    <w:rsid w:val="75E46FC4"/>
    <w:rsid w:val="75E8126A"/>
    <w:rsid w:val="75EA4FE2"/>
    <w:rsid w:val="75ED4AD2"/>
    <w:rsid w:val="75F57246"/>
    <w:rsid w:val="760360A4"/>
    <w:rsid w:val="761262E7"/>
    <w:rsid w:val="761612B3"/>
    <w:rsid w:val="763B49C3"/>
    <w:rsid w:val="765B39FF"/>
    <w:rsid w:val="766351AE"/>
    <w:rsid w:val="76645C78"/>
    <w:rsid w:val="766905FD"/>
    <w:rsid w:val="767825EE"/>
    <w:rsid w:val="767B2F7C"/>
    <w:rsid w:val="76805946"/>
    <w:rsid w:val="7682346D"/>
    <w:rsid w:val="768374B6"/>
    <w:rsid w:val="76876225"/>
    <w:rsid w:val="76876CD5"/>
    <w:rsid w:val="76972F5A"/>
    <w:rsid w:val="769B568F"/>
    <w:rsid w:val="769D0129"/>
    <w:rsid w:val="769F6722"/>
    <w:rsid w:val="76A417B2"/>
    <w:rsid w:val="76A96C4B"/>
    <w:rsid w:val="76BF6130"/>
    <w:rsid w:val="76DB2B7D"/>
    <w:rsid w:val="76DD68F5"/>
    <w:rsid w:val="770A5210"/>
    <w:rsid w:val="770C2D36"/>
    <w:rsid w:val="771F2A69"/>
    <w:rsid w:val="772042D9"/>
    <w:rsid w:val="7728424C"/>
    <w:rsid w:val="77291B3A"/>
    <w:rsid w:val="77336515"/>
    <w:rsid w:val="77372CC4"/>
    <w:rsid w:val="773C699C"/>
    <w:rsid w:val="7741229E"/>
    <w:rsid w:val="77601CBF"/>
    <w:rsid w:val="7762556B"/>
    <w:rsid w:val="778F0FBE"/>
    <w:rsid w:val="7790745B"/>
    <w:rsid w:val="77923A19"/>
    <w:rsid w:val="77E90BBD"/>
    <w:rsid w:val="77EE068E"/>
    <w:rsid w:val="780600CD"/>
    <w:rsid w:val="780F6F82"/>
    <w:rsid w:val="78153E6C"/>
    <w:rsid w:val="78372035"/>
    <w:rsid w:val="78393FFF"/>
    <w:rsid w:val="7840713B"/>
    <w:rsid w:val="78474C8B"/>
    <w:rsid w:val="784F27C1"/>
    <w:rsid w:val="78526E6F"/>
    <w:rsid w:val="786A00BE"/>
    <w:rsid w:val="78746DE5"/>
    <w:rsid w:val="78872FBC"/>
    <w:rsid w:val="788C2381"/>
    <w:rsid w:val="78A7292D"/>
    <w:rsid w:val="78B13B95"/>
    <w:rsid w:val="78BB0E3D"/>
    <w:rsid w:val="78D635FC"/>
    <w:rsid w:val="78DD2859"/>
    <w:rsid w:val="78E81250"/>
    <w:rsid w:val="78F61EF0"/>
    <w:rsid w:val="79102FB2"/>
    <w:rsid w:val="791D122B"/>
    <w:rsid w:val="795D3C1D"/>
    <w:rsid w:val="796075AF"/>
    <w:rsid w:val="79650C6A"/>
    <w:rsid w:val="79667075"/>
    <w:rsid w:val="79703A50"/>
    <w:rsid w:val="798019D1"/>
    <w:rsid w:val="79823784"/>
    <w:rsid w:val="798E2128"/>
    <w:rsid w:val="798E42B3"/>
    <w:rsid w:val="79AC25AE"/>
    <w:rsid w:val="79AD6A52"/>
    <w:rsid w:val="79B17BC5"/>
    <w:rsid w:val="79B576B5"/>
    <w:rsid w:val="79BF5F60"/>
    <w:rsid w:val="79D02741"/>
    <w:rsid w:val="79D5608F"/>
    <w:rsid w:val="79E4061A"/>
    <w:rsid w:val="79EE5FFB"/>
    <w:rsid w:val="79F226B7"/>
    <w:rsid w:val="7A0423EA"/>
    <w:rsid w:val="7A155F22"/>
    <w:rsid w:val="7A1E3683"/>
    <w:rsid w:val="7A2C376D"/>
    <w:rsid w:val="7A370F38"/>
    <w:rsid w:val="7A392094"/>
    <w:rsid w:val="7A574C10"/>
    <w:rsid w:val="7A5C5D83"/>
    <w:rsid w:val="7A635363"/>
    <w:rsid w:val="7A7272AE"/>
    <w:rsid w:val="7A7632E8"/>
    <w:rsid w:val="7A76533C"/>
    <w:rsid w:val="7A9674E6"/>
    <w:rsid w:val="7AAA1FDB"/>
    <w:rsid w:val="7AB91427"/>
    <w:rsid w:val="7ABC2730"/>
    <w:rsid w:val="7AC733F4"/>
    <w:rsid w:val="7ACD6FD5"/>
    <w:rsid w:val="7AD616C9"/>
    <w:rsid w:val="7AD87AFF"/>
    <w:rsid w:val="7ADB4DD1"/>
    <w:rsid w:val="7AE244DA"/>
    <w:rsid w:val="7AE30252"/>
    <w:rsid w:val="7AE51809"/>
    <w:rsid w:val="7AEC5358"/>
    <w:rsid w:val="7AED55D2"/>
    <w:rsid w:val="7AF95CC7"/>
    <w:rsid w:val="7AFA5427"/>
    <w:rsid w:val="7B084A14"/>
    <w:rsid w:val="7B252618"/>
    <w:rsid w:val="7B297EA4"/>
    <w:rsid w:val="7B3566C9"/>
    <w:rsid w:val="7B474C85"/>
    <w:rsid w:val="7B533629"/>
    <w:rsid w:val="7B610EBF"/>
    <w:rsid w:val="7B6475E5"/>
    <w:rsid w:val="7B65510B"/>
    <w:rsid w:val="7B72293D"/>
    <w:rsid w:val="7B784E3E"/>
    <w:rsid w:val="7B931C78"/>
    <w:rsid w:val="7BBB4173"/>
    <w:rsid w:val="7BBF019E"/>
    <w:rsid w:val="7BC260B9"/>
    <w:rsid w:val="7BC41A78"/>
    <w:rsid w:val="7BD86151"/>
    <w:rsid w:val="7BDA78A7"/>
    <w:rsid w:val="7BE023AE"/>
    <w:rsid w:val="7BE40725"/>
    <w:rsid w:val="7BE95D3C"/>
    <w:rsid w:val="7C086E90"/>
    <w:rsid w:val="7C0E57A2"/>
    <w:rsid w:val="7C1C1C6D"/>
    <w:rsid w:val="7C2E374F"/>
    <w:rsid w:val="7C336D80"/>
    <w:rsid w:val="7C3A5D4A"/>
    <w:rsid w:val="7C3F3BAE"/>
    <w:rsid w:val="7C3F595C"/>
    <w:rsid w:val="7C4250E9"/>
    <w:rsid w:val="7C45537B"/>
    <w:rsid w:val="7C605FFE"/>
    <w:rsid w:val="7C66738C"/>
    <w:rsid w:val="7C6944CC"/>
    <w:rsid w:val="7C6D24C9"/>
    <w:rsid w:val="7C857813"/>
    <w:rsid w:val="7C8D6A46"/>
    <w:rsid w:val="7C8E3521"/>
    <w:rsid w:val="7C995777"/>
    <w:rsid w:val="7C9D3D1B"/>
    <w:rsid w:val="7C9E79C2"/>
    <w:rsid w:val="7C9F1FF3"/>
    <w:rsid w:val="7CAE75E0"/>
    <w:rsid w:val="7CAF663E"/>
    <w:rsid w:val="7CB5571E"/>
    <w:rsid w:val="7CC15684"/>
    <w:rsid w:val="7CC16371"/>
    <w:rsid w:val="7CC534D5"/>
    <w:rsid w:val="7CD2719C"/>
    <w:rsid w:val="7CDE33C7"/>
    <w:rsid w:val="7CDE6F23"/>
    <w:rsid w:val="7CE32552"/>
    <w:rsid w:val="7CE87DA1"/>
    <w:rsid w:val="7CEF1130"/>
    <w:rsid w:val="7CF2727E"/>
    <w:rsid w:val="7D1961AD"/>
    <w:rsid w:val="7D257B78"/>
    <w:rsid w:val="7D2C5EE0"/>
    <w:rsid w:val="7D3134F6"/>
    <w:rsid w:val="7D41294B"/>
    <w:rsid w:val="7D4415A9"/>
    <w:rsid w:val="7D4C5992"/>
    <w:rsid w:val="7D630C0D"/>
    <w:rsid w:val="7D6A07B6"/>
    <w:rsid w:val="7D7004C3"/>
    <w:rsid w:val="7D717D97"/>
    <w:rsid w:val="7D721A7F"/>
    <w:rsid w:val="7D7635FF"/>
    <w:rsid w:val="7D767CCF"/>
    <w:rsid w:val="7D841263"/>
    <w:rsid w:val="7D897FB0"/>
    <w:rsid w:val="7D8C08A4"/>
    <w:rsid w:val="7D8C5801"/>
    <w:rsid w:val="7D983576"/>
    <w:rsid w:val="7DB62063"/>
    <w:rsid w:val="7DB92843"/>
    <w:rsid w:val="7DBB7264"/>
    <w:rsid w:val="7DBD0B76"/>
    <w:rsid w:val="7DCC76C3"/>
    <w:rsid w:val="7DD6660C"/>
    <w:rsid w:val="7DD87AEC"/>
    <w:rsid w:val="7DDD141E"/>
    <w:rsid w:val="7DE41430"/>
    <w:rsid w:val="7DE5777F"/>
    <w:rsid w:val="7E0B1F99"/>
    <w:rsid w:val="7E1627B9"/>
    <w:rsid w:val="7E2272E3"/>
    <w:rsid w:val="7E24305B"/>
    <w:rsid w:val="7E27490B"/>
    <w:rsid w:val="7E485582"/>
    <w:rsid w:val="7E5378C5"/>
    <w:rsid w:val="7E611BB9"/>
    <w:rsid w:val="7E6B25BB"/>
    <w:rsid w:val="7E6C3D1C"/>
    <w:rsid w:val="7E6E2528"/>
    <w:rsid w:val="7E714AA9"/>
    <w:rsid w:val="7E725B75"/>
    <w:rsid w:val="7E8104AE"/>
    <w:rsid w:val="7E865AC4"/>
    <w:rsid w:val="7E8F67B5"/>
    <w:rsid w:val="7E9802BB"/>
    <w:rsid w:val="7E9C6D4C"/>
    <w:rsid w:val="7EAA512E"/>
    <w:rsid w:val="7EAA7A04"/>
    <w:rsid w:val="7EC108AA"/>
    <w:rsid w:val="7EC272FC"/>
    <w:rsid w:val="7ED42AEF"/>
    <w:rsid w:val="7EDC55AA"/>
    <w:rsid w:val="7EDF54D0"/>
    <w:rsid w:val="7EEA7E01"/>
    <w:rsid w:val="7EEB1D75"/>
    <w:rsid w:val="7EF23159"/>
    <w:rsid w:val="7EF23CE2"/>
    <w:rsid w:val="7F0950B4"/>
    <w:rsid w:val="7F0C2702"/>
    <w:rsid w:val="7F0E68CA"/>
    <w:rsid w:val="7F211349"/>
    <w:rsid w:val="7F233313"/>
    <w:rsid w:val="7F2822B2"/>
    <w:rsid w:val="7F2F3374"/>
    <w:rsid w:val="7F3472CE"/>
    <w:rsid w:val="7F370B6C"/>
    <w:rsid w:val="7F383F22"/>
    <w:rsid w:val="7F427C3D"/>
    <w:rsid w:val="7F44676E"/>
    <w:rsid w:val="7F531E4A"/>
    <w:rsid w:val="7F555E5A"/>
    <w:rsid w:val="7F5D6511"/>
    <w:rsid w:val="7F671451"/>
    <w:rsid w:val="7F6C4C41"/>
    <w:rsid w:val="7F8253D1"/>
    <w:rsid w:val="7F923880"/>
    <w:rsid w:val="7F933E41"/>
    <w:rsid w:val="7F947D6D"/>
    <w:rsid w:val="7F9963BC"/>
    <w:rsid w:val="7F9B10FB"/>
    <w:rsid w:val="7F9D4908"/>
    <w:rsid w:val="7F9E4EE6"/>
    <w:rsid w:val="7FA5765E"/>
    <w:rsid w:val="7FA85ABC"/>
    <w:rsid w:val="7FAC4FAE"/>
    <w:rsid w:val="7FAF70F7"/>
    <w:rsid w:val="7FBB179D"/>
    <w:rsid w:val="7FCC5758"/>
    <w:rsid w:val="7FD567C9"/>
    <w:rsid w:val="7FD840FD"/>
    <w:rsid w:val="7FE17456"/>
    <w:rsid w:val="7FF70E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jc w:val="center"/>
      <w:outlineLvl w:val="0"/>
    </w:pPr>
    <w:rPr>
      <w:rFonts w:ascii="楷体_GB2312" w:eastAsia="楷体_GB2312"/>
      <w:b/>
      <w:bCs/>
    </w:rPr>
  </w:style>
  <w:style w:type="paragraph" w:styleId="3">
    <w:name w:val="heading 2"/>
    <w:basedOn w:val="1"/>
    <w:next w:val="1"/>
    <w:link w:val="48"/>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link w:val="50"/>
    <w:qFormat/>
    <w:uiPriority w:val="0"/>
    <w:pPr>
      <w:keepNext/>
      <w:keepLines/>
      <w:spacing w:before="280" w:beforeLines="0" w:after="290" w:afterLines="0" w:line="376" w:lineRule="auto"/>
      <w:outlineLvl w:val="3"/>
    </w:pPr>
    <w:rPr>
      <w:rFonts w:ascii="Cambria" w:hAnsi="Cambria"/>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8">
    <w:name w:val="heading 7"/>
    <w:basedOn w:val="1"/>
    <w:next w:val="1"/>
    <w:link w:val="5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5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54"/>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35">
    <w:name w:val="Default Paragraph Font"/>
    <w:unhideWhenUsed/>
    <w:qFormat/>
    <w:uiPriority w:val="1"/>
  </w:style>
  <w:style w:type="table" w:default="1" w:styleId="3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Normal Indent"/>
    <w:basedOn w:val="1"/>
    <w:link w:val="55"/>
    <w:qFormat/>
    <w:uiPriority w:val="0"/>
    <w:pPr>
      <w:adjustRightInd w:val="0"/>
      <w:spacing w:line="312" w:lineRule="atLeast"/>
      <w:ind w:firstLine="420"/>
      <w:textAlignment w:val="baseline"/>
    </w:pPr>
    <w:rPr>
      <w:kern w:val="0"/>
      <w:szCs w:val="20"/>
    </w:rPr>
  </w:style>
  <w:style w:type="paragraph" w:styleId="12">
    <w:name w:val="Document Map"/>
    <w:basedOn w:val="1"/>
    <w:qFormat/>
    <w:uiPriority w:val="0"/>
    <w:pPr>
      <w:shd w:val="clear" w:color="auto" w:fill="000080"/>
    </w:pPr>
  </w:style>
  <w:style w:type="paragraph" w:styleId="13">
    <w:name w:val="annotation text"/>
    <w:basedOn w:val="1"/>
    <w:link w:val="56"/>
    <w:qFormat/>
    <w:uiPriority w:val="0"/>
    <w:pPr>
      <w:jc w:val="left"/>
    </w:pPr>
  </w:style>
  <w:style w:type="paragraph" w:styleId="14">
    <w:name w:val="Body Text"/>
    <w:basedOn w:val="1"/>
    <w:next w:val="15"/>
    <w:link w:val="45"/>
    <w:qFormat/>
    <w:uiPriority w:val="0"/>
    <w:pPr>
      <w:keepNext w:val="0"/>
      <w:keepLines w:val="0"/>
      <w:widowControl w:val="0"/>
      <w:suppressLineNumbers w:val="0"/>
      <w:spacing w:before="0" w:beforeAutospacing="0" w:after="120" w:afterAutospacing="0"/>
      <w:ind w:left="0" w:right="0"/>
      <w:jc w:val="both"/>
    </w:pPr>
  </w:style>
  <w:style w:type="paragraph" w:styleId="15">
    <w:name w:val="Body Text First Indent"/>
    <w:basedOn w:val="14"/>
    <w:next w:val="16"/>
    <w:link w:val="46"/>
    <w:qFormat/>
    <w:uiPriority w:val="0"/>
    <w:pPr>
      <w:ind w:firstLine="420" w:firstLineChars="100"/>
    </w:pPr>
  </w:style>
  <w:style w:type="paragraph" w:styleId="16">
    <w:name w:val="toc 6"/>
    <w:basedOn w:val="1"/>
    <w:next w:val="1"/>
    <w:semiHidden/>
    <w:qFormat/>
    <w:uiPriority w:val="0"/>
    <w:pPr>
      <w:ind w:left="1050"/>
      <w:jc w:val="left"/>
    </w:pPr>
    <w:rPr>
      <w:sz w:val="18"/>
      <w:szCs w:val="18"/>
    </w:rPr>
  </w:style>
  <w:style w:type="paragraph" w:styleId="17">
    <w:name w:val="Body Text Indent"/>
    <w:basedOn w:val="1"/>
    <w:link w:val="57"/>
    <w:qFormat/>
    <w:uiPriority w:val="0"/>
    <w:pPr>
      <w:ind w:left="480" w:hanging="480" w:hangingChars="200"/>
    </w:pPr>
    <w:rPr>
      <w:sz w:val="24"/>
    </w:rPr>
  </w:style>
  <w:style w:type="paragraph" w:styleId="18">
    <w:name w:val="Block Text"/>
    <w:basedOn w:val="1"/>
    <w:qFormat/>
    <w:uiPriority w:val="0"/>
    <w:pPr>
      <w:spacing w:before="156" w:beforeLines="50" w:after="156" w:afterLines="50"/>
      <w:ind w:left="426" w:right="-11" w:hanging="426" w:hangingChars="203"/>
    </w:pPr>
    <w:rPr>
      <w:rFonts w:eastAsia="楷体_GB2312"/>
    </w:rPr>
  </w:style>
  <w:style w:type="paragraph" w:styleId="19">
    <w:name w:val="toc 3"/>
    <w:basedOn w:val="1"/>
    <w:next w:val="1"/>
    <w:qFormat/>
    <w:uiPriority w:val="39"/>
    <w:pPr>
      <w:ind w:left="840" w:leftChars="400"/>
    </w:pPr>
  </w:style>
  <w:style w:type="paragraph" w:styleId="20">
    <w:name w:val="Plain Text"/>
    <w:basedOn w:val="1"/>
    <w:link w:val="5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1">
    <w:name w:val="Date"/>
    <w:basedOn w:val="1"/>
    <w:next w:val="1"/>
    <w:link w:val="59"/>
    <w:qFormat/>
    <w:uiPriority w:val="0"/>
    <w:pPr>
      <w:ind w:left="100" w:leftChars="2500"/>
    </w:pPr>
  </w:style>
  <w:style w:type="paragraph" w:styleId="22">
    <w:name w:val="Body Text Indent 2"/>
    <w:basedOn w:val="1"/>
    <w:qFormat/>
    <w:uiPriority w:val="0"/>
    <w:pPr>
      <w:spacing w:line="500" w:lineRule="exact"/>
      <w:ind w:firstLine="511" w:firstLineChars="213"/>
    </w:pPr>
    <w:rPr>
      <w:sz w:val="24"/>
    </w:rPr>
  </w:style>
  <w:style w:type="paragraph" w:styleId="23">
    <w:name w:val="Balloon Text"/>
    <w:basedOn w:val="1"/>
    <w:qFormat/>
    <w:uiPriority w:val="0"/>
    <w:rPr>
      <w:sz w:val="18"/>
      <w:szCs w:val="18"/>
    </w:rPr>
  </w:style>
  <w:style w:type="paragraph" w:styleId="24">
    <w:name w:val="footer"/>
    <w:basedOn w:val="1"/>
    <w:link w:val="60"/>
    <w:qFormat/>
    <w:uiPriority w:val="0"/>
    <w:pPr>
      <w:tabs>
        <w:tab w:val="center" w:pos="4153"/>
        <w:tab w:val="right" w:pos="8306"/>
      </w:tabs>
      <w:snapToGrid w:val="0"/>
      <w:jc w:val="left"/>
    </w:pPr>
    <w:rPr>
      <w:sz w:val="18"/>
      <w:szCs w:val="18"/>
    </w:rPr>
  </w:style>
  <w:style w:type="paragraph" w:styleId="25">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27">
    <w:name w:val="Body Text Indent 3"/>
    <w:basedOn w:val="1"/>
    <w:link w:val="62"/>
    <w:qFormat/>
    <w:uiPriority w:val="0"/>
    <w:pPr>
      <w:spacing w:line="500" w:lineRule="exact"/>
      <w:ind w:left="511" w:hanging="511" w:hangingChars="213"/>
    </w:pPr>
    <w:rPr>
      <w:sz w:val="24"/>
    </w:rPr>
  </w:style>
  <w:style w:type="paragraph" w:styleId="28">
    <w:name w:val="toc 2"/>
    <w:basedOn w:val="1"/>
    <w:next w:val="1"/>
    <w:qFormat/>
    <w:uiPriority w:val="39"/>
    <w:pPr>
      <w:ind w:left="420" w:leftChars="200"/>
    </w:pPr>
  </w:style>
  <w:style w:type="paragraph" w:styleId="2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0">
    <w:name w:val="Title"/>
    <w:basedOn w:val="1"/>
    <w:next w:val="1"/>
    <w:link w:val="63"/>
    <w:qFormat/>
    <w:uiPriority w:val="0"/>
    <w:pPr>
      <w:spacing w:before="240" w:after="60"/>
      <w:jc w:val="center"/>
      <w:outlineLvl w:val="0"/>
    </w:pPr>
    <w:rPr>
      <w:rFonts w:ascii="Cambria" w:hAnsi="Cambria"/>
      <w:b/>
      <w:bCs/>
      <w:sz w:val="32"/>
      <w:szCs w:val="32"/>
    </w:rPr>
  </w:style>
  <w:style w:type="paragraph" w:styleId="31">
    <w:name w:val="annotation subject"/>
    <w:basedOn w:val="13"/>
    <w:next w:val="13"/>
    <w:link w:val="64"/>
    <w:qFormat/>
    <w:uiPriority w:val="0"/>
    <w:rPr>
      <w:b/>
      <w:bCs/>
    </w:rPr>
  </w:style>
  <w:style w:type="paragraph" w:styleId="32">
    <w:name w:val="Body Text First Indent 2"/>
    <w:basedOn w:val="17"/>
    <w:unhideWhenUsed/>
    <w:qFormat/>
    <w:uiPriority w:val="99"/>
    <w:pPr>
      <w:ind w:firstLine="420" w:firstLineChars="200"/>
    </w:pPr>
  </w:style>
  <w:style w:type="table" w:styleId="34">
    <w:name w:val="Table Grid"/>
    <w:basedOn w:val="3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none"/>
    </w:rPr>
  </w:style>
  <w:style w:type="character" w:styleId="39">
    <w:name w:val="Emphasis"/>
    <w:basedOn w:val="35"/>
    <w:qFormat/>
    <w:uiPriority w:val="0"/>
  </w:style>
  <w:style w:type="character" w:styleId="40">
    <w:name w:val="Hyperlink"/>
    <w:qFormat/>
    <w:uiPriority w:val="99"/>
    <w:rPr>
      <w:color w:val="000000"/>
      <w:sz w:val="20"/>
      <w:szCs w:val="20"/>
      <w:u w:val="none"/>
    </w:rPr>
  </w:style>
  <w:style w:type="character" w:styleId="41">
    <w:name w:val="HTML Code"/>
    <w:basedOn w:val="35"/>
    <w:qFormat/>
    <w:uiPriority w:val="0"/>
    <w:rPr>
      <w:rFonts w:ascii="Courier New" w:hAnsi="Courier New"/>
      <w:sz w:val="20"/>
    </w:rPr>
  </w:style>
  <w:style w:type="character" w:styleId="42">
    <w:name w:val="annotation reference"/>
    <w:qFormat/>
    <w:uiPriority w:val="0"/>
    <w:rPr>
      <w:sz w:val="21"/>
      <w:szCs w:val="21"/>
    </w:rPr>
  </w:style>
  <w:style w:type="character" w:styleId="43">
    <w:name w:val="HTML Cite"/>
    <w:basedOn w:val="35"/>
    <w:qFormat/>
    <w:uiPriority w:val="0"/>
  </w:style>
  <w:style w:type="paragraph" w:customStyle="1" w:styleId="44">
    <w:name w:val="首行缩进"/>
    <w:basedOn w:val="1"/>
    <w:qFormat/>
    <w:uiPriority w:val="0"/>
    <w:pPr>
      <w:spacing w:line="360" w:lineRule="auto"/>
      <w:ind w:firstLine="480" w:firstLineChars="200"/>
    </w:pPr>
    <w:rPr>
      <w:rFonts w:hAnsi="宋体" w:cs="宋体"/>
      <w:sz w:val="24"/>
    </w:rPr>
  </w:style>
  <w:style w:type="character" w:customStyle="1" w:styleId="45">
    <w:name w:val="正文文本 Char"/>
    <w:link w:val="14"/>
    <w:qFormat/>
    <w:uiPriority w:val="0"/>
    <w:rPr>
      <w:kern w:val="2"/>
      <w:sz w:val="21"/>
      <w:szCs w:val="24"/>
    </w:rPr>
  </w:style>
  <w:style w:type="character" w:customStyle="1" w:styleId="46">
    <w:name w:val="正文首行缩进 Char"/>
    <w:basedOn w:val="45"/>
    <w:link w:val="15"/>
    <w:qFormat/>
    <w:uiPriority w:val="0"/>
  </w:style>
  <w:style w:type="character" w:customStyle="1" w:styleId="47">
    <w:name w:val="标题 1 Char"/>
    <w:link w:val="2"/>
    <w:qFormat/>
    <w:uiPriority w:val="0"/>
    <w:rPr>
      <w:rFonts w:ascii="楷体_GB2312" w:eastAsia="楷体_GB2312"/>
      <w:b/>
      <w:bCs/>
      <w:kern w:val="2"/>
      <w:sz w:val="21"/>
      <w:szCs w:val="24"/>
      <w:lang w:val="en-US" w:eastAsia="zh-CN" w:bidi="ar-SA"/>
    </w:rPr>
  </w:style>
  <w:style w:type="character" w:customStyle="1" w:styleId="48">
    <w:name w:val="标题 2 Char"/>
    <w:link w:val="3"/>
    <w:qFormat/>
    <w:uiPriority w:val="0"/>
    <w:rPr>
      <w:rFonts w:ascii="Arial" w:hAnsi="Arial" w:eastAsia="黑体"/>
      <w:b/>
      <w:bCs/>
      <w:kern w:val="2"/>
      <w:sz w:val="32"/>
      <w:szCs w:val="32"/>
    </w:rPr>
  </w:style>
  <w:style w:type="character" w:customStyle="1" w:styleId="49">
    <w:name w:val="标题 3 Char"/>
    <w:link w:val="4"/>
    <w:qFormat/>
    <w:uiPriority w:val="0"/>
    <w:rPr>
      <w:b/>
      <w:bCs/>
      <w:kern w:val="2"/>
      <w:sz w:val="32"/>
      <w:szCs w:val="32"/>
      <w:lang w:bidi="ar-SA"/>
    </w:rPr>
  </w:style>
  <w:style w:type="character" w:customStyle="1" w:styleId="50">
    <w:name w:val="标题 4 Char"/>
    <w:link w:val="5"/>
    <w:qFormat/>
    <w:uiPriority w:val="0"/>
    <w:rPr>
      <w:rFonts w:ascii="Cambria" w:hAnsi="Cambria" w:eastAsia="宋体"/>
      <w:b/>
      <w:bCs/>
      <w:kern w:val="2"/>
      <w:sz w:val="28"/>
      <w:szCs w:val="28"/>
      <w:lang w:bidi="ar-SA"/>
    </w:rPr>
  </w:style>
  <w:style w:type="character" w:customStyle="1" w:styleId="51">
    <w:name w:val="标题 5 Char"/>
    <w:link w:val="6"/>
    <w:qFormat/>
    <w:uiPriority w:val="0"/>
    <w:rPr>
      <w:b/>
      <w:bCs/>
      <w:kern w:val="2"/>
      <w:sz w:val="28"/>
      <w:szCs w:val="28"/>
    </w:rPr>
  </w:style>
  <w:style w:type="character" w:customStyle="1" w:styleId="52">
    <w:name w:val="标题 7 Char"/>
    <w:link w:val="8"/>
    <w:qFormat/>
    <w:uiPriority w:val="0"/>
    <w:rPr>
      <w:b/>
      <w:bCs/>
      <w:kern w:val="2"/>
      <w:sz w:val="24"/>
      <w:szCs w:val="24"/>
    </w:rPr>
  </w:style>
  <w:style w:type="character" w:customStyle="1" w:styleId="53">
    <w:name w:val="标题 8 Char"/>
    <w:link w:val="9"/>
    <w:qFormat/>
    <w:uiPriority w:val="0"/>
    <w:rPr>
      <w:rFonts w:ascii="Arial" w:hAnsi="Arial" w:eastAsia="黑体"/>
      <w:kern w:val="2"/>
      <w:sz w:val="24"/>
      <w:szCs w:val="24"/>
    </w:rPr>
  </w:style>
  <w:style w:type="character" w:customStyle="1" w:styleId="54">
    <w:name w:val="标题 9 Char"/>
    <w:link w:val="10"/>
    <w:qFormat/>
    <w:uiPriority w:val="0"/>
    <w:rPr>
      <w:rFonts w:ascii="Arial" w:hAnsi="Arial" w:eastAsia="黑体"/>
      <w:kern w:val="2"/>
      <w:sz w:val="24"/>
      <w:szCs w:val="21"/>
    </w:rPr>
  </w:style>
  <w:style w:type="character" w:customStyle="1" w:styleId="55">
    <w:name w:val="正文缩进 Char"/>
    <w:link w:val="11"/>
    <w:qFormat/>
    <w:uiPriority w:val="0"/>
    <w:rPr>
      <w:rFonts w:eastAsia="宋体"/>
      <w:sz w:val="21"/>
      <w:lang w:val="en-US" w:eastAsia="zh-CN" w:bidi="ar-SA"/>
    </w:rPr>
  </w:style>
  <w:style w:type="character" w:customStyle="1" w:styleId="56">
    <w:name w:val="批注文字 Char"/>
    <w:link w:val="13"/>
    <w:qFormat/>
    <w:uiPriority w:val="0"/>
    <w:rPr>
      <w:kern w:val="2"/>
      <w:sz w:val="21"/>
      <w:szCs w:val="24"/>
    </w:rPr>
  </w:style>
  <w:style w:type="character" w:customStyle="1" w:styleId="57">
    <w:name w:val="正文文本缩进 Char"/>
    <w:link w:val="17"/>
    <w:qFormat/>
    <w:uiPriority w:val="0"/>
    <w:rPr>
      <w:kern w:val="2"/>
      <w:sz w:val="24"/>
      <w:szCs w:val="24"/>
    </w:rPr>
  </w:style>
  <w:style w:type="character" w:customStyle="1" w:styleId="58">
    <w:name w:val="纯文本 Char"/>
    <w:link w:val="20"/>
    <w:qFormat/>
    <w:uiPriority w:val="0"/>
    <w:rPr>
      <w:rFonts w:ascii="宋体" w:hAnsi="Courier New" w:eastAsia="宋体"/>
      <w:sz w:val="21"/>
      <w:szCs w:val="21"/>
      <w:lang w:val="en-US" w:eastAsia="zh-CN" w:bidi="ar-SA"/>
    </w:rPr>
  </w:style>
  <w:style w:type="character" w:customStyle="1" w:styleId="59">
    <w:name w:val="日期 Char"/>
    <w:link w:val="21"/>
    <w:qFormat/>
    <w:uiPriority w:val="0"/>
    <w:rPr>
      <w:kern w:val="2"/>
      <w:sz w:val="21"/>
      <w:szCs w:val="24"/>
    </w:rPr>
  </w:style>
  <w:style w:type="character" w:customStyle="1" w:styleId="60">
    <w:name w:val="页脚 Char"/>
    <w:link w:val="24"/>
    <w:qFormat/>
    <w:uiPriority w:val="0"/>
    <w:rPr>
      <w:kern w:val="2"/>
      <w:sz w:val="18"/>
      <w:szCs w:val="18"/>
    </w:rPr>
  </w:style>
  <w:style w:type="character" w:customStyle="1" w:styleId="61">
    <w:name w:val="页眉 Char"/>
    <w:link w:val="25"/>
    <w:qFormat/>
    <w:uiPriority w:val="0"/>
    <w:rPr>
      <w:kern w:val="2"/>
      <w:sz w:val="18"/>
      <w:szCs w:val="18"/>
    </w:rPr>
  </w:style>
  <w:style w:type="character" w:customStyle="1" w:styleId="62">
    <w:name w:val="正文文本缩进 3 Char"/>
    <w:link w:val="27"/>
    <w:qFormat/>
    <w:uiPriority w:val="0"/>
    <w:rPr>
      <w:kern w:val="2"/>
      <w:sz w:val="24"/>
      <w:szCs w:val="24"/>
    </w:rPr>
  </w:style>
  <w:style w:type="character" w:customStyle="1" w:styleId="63">
    <w:name w:val="标题 Char"/>
    <w:link w:val="30"/>
    <w:qFormat/>
    <w:uiPriority w:val="0"/>
    <w:rPr>
      <w:rFonts w:ascii="Cambria" w:hAnsi="Cambria" w:cs="Times New Roman"/>
      <w:b/>
      <w:bCs/>
      <w:kern w:val="2"/>
      <w:sz w:val="32"/>
      <w:szCs w:val="32"/>
    </w:rPr>
  </w:style>
  <w:style w:type="character" w:customStyle="1" w:styleId="64">
    <w:name w:val="批注主题 Char"/>
    <w:link w:val="31"/>
    <w:qFormat/>
    <w:uiPriority w:val="0"/>
    <w:rPr>
      <w:b/>
      <w:bCs/>
      <w:kern w:val="2"/>
      <w:sz w:val="21"/>
      <w:szCs w:val="24"/>
    </w:rPr>
  </w:style>
  <w:style w:type="paragraph" w:customStyle="1" w:styleId="65">
    <w:name w:val="BodyText1I"/>
    <w:basedOn w:val="66"/>
    <w:qFormat/>
    <w:uiPriority w:val="0"/>
    <w:pPr>
      <w:spacing w:after="120" w:line="240" w:lineRule="auto"/>
      <w:ind w:firstLine="420" w:firstLineChars="100"/>
      <w:jc w:val="both"/>
    </w:pPr>
  </w:style>
  <w:style w:type="paragraph" w:customStyle="1" w:styleId="66">
    <w:name w:val="BodyText"/>
    <w:basedOn w:val="1"/>
    <w:qFormat/>
    <w:uiPriority w:val="0"/>
    <w:pPr>
      <w:spacing w:after="120" w:line="240" w:lineRule="auto"/>
      <w:jc w:val="both"/>
    </w:pPr>
  </w:style>
  <w:style w:type="character" w:customStyle="1" w:styleId="67">
    <w:name w:val="正文（缩进） Char Char"/>
    <w:link w:val="68"/>
    <w:qFormat/>
    <w:uiPriority w:val="0"/>
    <w:rPr>
      <w:sz w:val="24"/>
      <w:szCs w:val="24"/>
    </w:rPr>
  </w:style>
  <w:style w:type="paragraph" w:customStyle="1" w:styleId="68">
    <w:name w:val="正文（缩进）"/>
    <w:basedOn w:val="1"/>
    <w:link w:val="67"/>
    <w:qFormat/>
    <w:uiPriority w:val="0"/>
    <w:pPr>
      <w:spacing w:before="156" w:beforeLines="50" w:after="156" w:afterLines="50" w:line="360" w:lineRule="auto"/>
      <w:ind w:firstLine="480" w:firstLineChars="200"/>
    </w:pPr>
    <w:rPr>
      <w:kern w:val="0"/>
      <w:sz w:val="24"/>
    </w:rPr>
  </w:style>
  <w:style w:type="character" w:customStyle="1" w:styleId="69">
    <w:name w:val="正文（标记） Char Char"/>
    <w:link w:val="70"/>
    <w:qFormat/>
    <w:uiPriority w:val="0"/>
    <w:rPr>
      <w:sz w:val="24"/>
      <w:szCs w:val="24"/>
    </w:rPr>
  </w:style>
  <w:style w:type="paragraph" w:customStyle="1" w:styleId="70">
    <w:name w:val="正文（标记）"/>
    <w:basedOn w:val="1"/>
    <w:link w:val="69"/>
    <w:qFormat/>
    <w:uiPriority w:val="0"/>
    <w:pPr>
      <w:numPr>
        <w:ilvl w:val="0"/>
        <w:numId w:val="1"/>
      </w:numPr>
      <w:spacing w:before="156" w:beforeLines="50" w:after="156" w:afterLines="50"/>
    </w:pPr>
    <w:rPr>
      <w:kern w:val="0"/>
      <w:sz w:val="24"/>
    </w:rPr>
  </w:style>
  <w:style w:type="character" w:customStyle="1" w:styleId="71">
    <w:name w:val="文档正文 Char"/>
    <w:link w:val="72"/>
    <w:qFormat/>
    <w:uiPriority w:val="0"/>
    <w:rPr>
      <w:rFonts w:ascii="Tahoma" w:hAnsi="Tahoma" w:eastAsia="仿宋_GB2312"/>
      <w:sz w:val="28"/>
      <w:lang w:val="en-US" w:eastAsia="zh-CN" w:bidi="ar-SA"/>
    </w:rPr>
  </w:style>
  <w:style w:type="paragraph" w:customStyle="1" w:styleId="72">
    <w:name w:val="文档正文"/>
    <w:basedOn w:val="1"/>
    <w:link w:val="71"/>
    <w:qFormat/>
    <w:uiPriority w:val="0"/>
    <w:pPr>
      <w:spacing w:line="360" w:lineRule="auto"/>
      <w:ind w:firstLine="480" w:firstLineChars="200"/>
    </w:pPr>
    <w:rPr>
      <w:rFonts w:ascii="Tahoma" w:hAnsi="Tahoma" w:eastAsia="仿宋_GB2312"/>
      <w:kern w:val="0"/>
      <w:sz w:val="28"/>
      <w:szCs w:val="20"/>
    </w:rPr>
  </w:style>
  <w:style w:type="character" w:customStyle="1" w:styleId="73">
    <w:name w:val="unnamed51"/>
    <w:qFormat/>
    <w:uiPriority w:val="0"/>
    <w:rPr>
      <w:sz w:val="22"/>
      <w:szCs w:val="22"/>
    </w:rPr>
  </w:style>
  <w:style w:type="character" w:customStyle="1" w:styleId="74">
    <w:name w:val="textcolor1"/>
    <w:qFormat/>
    <w:uiPriority w:val="0"/>
    <w:rPr>
      <w:color w:val="FF6600"/>
    </w:rPr>
  </w:style>
  <w:style w:type="character" w:customStyle="1" w:styleId="75">
    <w:name w:val="Char Char2"/>
    <w:qFormat/>
    <w:uiPriority w:val="0"/>
    <w:rPr>
      <w:rFonts w:ascii="宋体" w:hAnsi="Courier New" w:eastAsia="宋体"/>
      <w:kern w:val="2"/>
      <w:sz w:val="21"/>
      <w:lang w:val="en-US" w:eastAsia="zh-CN"/>
    </w:rPr>
  </w:style>
  <w:style w:type="character" w:customStyle="1" w:styleId="76">
    <w:name w:val="无间隔 Char Char"/>
    <w:link w:val="77"/>
    <w:qFormat/>
    <w:uiPriority w:val="0"/>
    <w:rPr>
      <w:rFonts w:ascii="楷体_GB2312" w:hAnsi="宋体" w:eastAsia="楷体_GB2312"/>
      <w:bCs/>
      <w:kern w:val="2"/>
      <w:sz w:val="24"/>
      <w:szCs w:val="24"/>
      <w:u w:val="single"/>
      <w:lang w:val="en-US" w:eastAsia="zh-CN" w:bidi="ar-SA"/>
    </w:rPr>
  </w:style>
  <w:style w:type="paragraph" w:customStyle="1" w:styleId="77">
    <w:name w:val="无间隔1"/>
    <w:link w:val="76"/>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character" w:customStyle="1" w:styleId="78">
    <w:name w:val="彩色列表 - 强调文字颜色 1 Char"/>
    <w:link w:val="79"/>
    <w:qFormat/>
    <w:uiPriority w:val="0"/>
    <w:rPr>
      <w:rFonts w:ascii="Calibri" w:hAnsi="Calibri"/>
      <w:kern w:val="2"/>
      <w:sz w:val="21"/>
      <w:szCs w:val="24"/>
    </w:rPr>
  </w:style>
  <w:style w:type="paragraph" w:customStyle="1" w:styleId="79">
    <w:name w:val="彩色列表 - 强调文字颜色 11"/>
    <w:basedOn w:val="1"/>
    <w:link w:val="78"/>
    <w:qFormat/>
    <w:uiPriority w:val="0"/>
    <w:pPr>
      <w:ind w:firstLine="420" w:firstLineChars="200"/>
    </w:pPr>
    <w:rPr>
      <w:rFonts w:ascii="Calibri" w:hAnsi="Calibri"/>
    </w:rPr>
  </w:style>
  <w:style w:type="character" w:customStyle="1" w:styleId="80">
    <w:name w:val="样式6 列表并列 Char"/>
    <w:link w:val="81"/>
    <w:qFormat/>
    <w:locked/>
    <w:uiPriority w:val="0"/>
    <w:rPr>
      <w:rFonts w:ascii="Arial" w:hAnsi="Arial" w:cs="Arial"/>
      <w:kern w:val="21"/>
      <w:sz w:val="21"/>
      <w:szCs w:val="24"/>
      <w:lang w:val="en-US" w:eastAsia="zh-CN" w:bidi="ar-SA"/>
    </w:rPr>
  </w:style>
  <w:style w:type="paragraph" w:customStyle="1" w:styleId="81">
    <w:name w:val="样式6 列表并列"/>
    <w:link w:val="80"/>
    <w:qFormat/>
    <w:uiPriority w:val="0"/>
    <w:pPr>
      <w:widowControl w:val="0"/>
      <w:numPr>
        <w:ilvl w:val="0"/>
        <w:numId w:val="2"/>
      </w:numPr>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2">
    <w:name w:val="证 Char Char"/>
    <w:link w:val="83"/>
    <w:qFormat/>
    <w:uiPriority w:val="0"/>
    <w:rPr>
      <w:rFonts w:ascii="宋体" w:hAnsi="宋体"/>
      <w:kern w:val="2"/>
      <w:sz w:val="24"/>
      <w:szCs w:val="24"/>
    </w:rPr>
  </w:style>
  <w:style w:type="paragraph" w:customStyle="1" w:styleId="83">
    <w:name w:val="证"/>
    <w:basedOn w:val="1"/>
    <w:link w:val="82"/>
    <w:qFormat/>
    <w:uiPriority w:val="0"/>
    <w:pPr>
      <w:spacing w:line="360" w:lineRule="auto"/>
      <w:ind w:firstLine="480" w:firstLineChars="200"/>
    </w:pPr>
    <w:rPr>
      <w:rFonts w:ascii="宋体" w:hAnsi="宋体"/>
      <w:sz w:val="24"/>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List Paragraph Char"/>
    <w:link w:val="86"/>
    <w:qFormat/>
    <w:uiPriority w:val="0"/>
    <w:rPr>
      <w:rFonts w:ascii="Calibri" w:hAnsi="Calibri" w:eastAsia="宋体"/>
      <w:kern w:val="2"/>
      <w:sz w:val="21"/>
      <w:szCs w:val="22"/>
      <w:lang w:val="en-US" w:eastAsia="zh-CN" w:bidi="ar-SA"/>
    </w:rPr>
  </w:style>
  <w:style w:type="paragraph" w:customStyle="1" w:styleId="86">
    <w:name w:val="List Paragraph1"/>
    <w:basedOn w:val="1"/>
    <w:link w:val="85"/>
    <w:qFormat/>
    <w:uiPriority w:val="0"/>
    <w:pPr>
      <w:ind w:firstLine="420" w:firstLineChars="200"/>
    </w:pPr>
    <w:rPr>
      <w:rFonts w:ascii="Calibri" w:hAnsi="Calibri"/>
      <w:szCs w:val="22"/>
    </w:rPr>
  </w:style>
  <w:style w:type="character" w:customStyle="1" w:styleId="87">
    <w:name w:val="标准文本 Char Char"/>
    <w:link w:val="88"/>
    <w:qFormat/>
    <w:uiPriority w:val="0"/>
    <w:rPr>
      <w:sz w:val="24"/>
    </w:rPr>
  </w:style>
  <w:style w:type="paragraph" w:customStyle="1" w:styleId="88">
    <w:name w:val="标准文本"/>
    <w:basedOn w:val="1"/>
    <w:link w:val="87"/>
    <w:qFormat/>
    <w:uiPriority w:val="0"/>
    <w:pPr>
      <w:spacing w:line="360" w:lineRule="auto"/>
      <w:ind w:firstLine="480" w:firstLineChars="200"/>
    </w:pPr>
    <w:rPr>
      <w:kern w:val="0"/>
      <w:sz w:val="24"/>
      <w:szCs w:val="20"/>
    </w:rPr>
  </w:style>
  <w:style w:type="character" w:customStyle="1" w:styleId="89">
    <w:name w:val="Char Char1"/>
    <w:qFormat/>
    <w:uiPriority w:val="0"/>
    <w:rPr>
      <w:rFonts w:ascii="宋体" w:hAnsi="Courier New" w:eastAsia="宋体"/>
      <w:kern w:val="2"/>
      <w:sz w:val="21"/>
      <w:lang w:val="en-US" w:eastAsia="zh-CN" w:bidi="ar-SA"/>
    </w:rPr>
  </w:style>
  <w:style w:type="character" w:customStyle="1" w:styleId="90">
    <w:name w:val="ca-18"/>
    <w:qFormat/>
    <w:uiPriority w:val="0"/>
  </w:style>
  <w:style w:type="character" w:customStyle="1" w:styleId="91">
    <w:name w:val="Texte Char Char"/>
    <w:qFormat/>
    <w:uiPriority w:val="0"/>
    <w:rPr>
      <w:rFonts w:ascii="宋体" w:hAnsi="Courier New" w:eastAsia="宋体"/>
      <w:sz w:val="21"/>
      <w:szCs w:val="21"/>
      <w:lang w:val="en-US" w:eastAsia="zh-CN" w:bidi="ar-SA"/>
    </w:rPr>
  </w:style>
  <w:style w:type="character" w:customStyle="1" w:styleId="92">
    <w:name w:val="目录1 Char"/>
    <w:link w:val="93"/>
    <w:qFormat/>
    <w:uiPriority w:val="0"/>
    <w:rPr>
      <w:b/>
      <w:bCs/>
      <w:kern w:val="44"/>
      <w:sz w:val="36"/>
      <w:szCs w:val="36"/>
    </w:rPr>
  </w:style>
  <w:style w:type="paragraph" w:customStyle="1" w:styleId="93">
    <w:name w:val="目录1"/>
    <w:basedOn w:val="2"/>
    <w:link w:val="92"/>
    <w:qFormat/>
    <w:uiPriority w:val="0"/>
    <w:pPr>
      <w:keepLines/>
      <w:spacing w:before="340" w:after="330" w:line="440" w:lineRule="exact"/>
    </w:pPr>
    <w:rPr>
      <w:rFonts w:ascii="Times New Roman" w:eastAsia="宋体"/>
      <w:kern w:val="44"/>
      <w:sz w:val="36"/>
      <w:szCs w:val="36"/>
    </w:rPr>
  </w:style>
  <w:style w:type="character" w:customStyle="1" w:styleId="94">
    <w:name w:val="Char Char Char"/>
    <w:qFormat/>
    <w:uiPriority w:val="0"/>
    <w:rPr>
      <w:rFonts w:ascii="宋体" w:hAnsi="Courier New" w:eastAsia="宋体"/>
      <w:sz w:val="21"/>
      <w:szCs w:val="21"/>
      <w:lang w:val="en-US" w:eastAsia="zh-CN" w:bidi="ar-SA"/>
    </w:rPr>
  </w:style>
  <w:style w:type="character" w:customStyle="1" w:styleId="95">
    <w:name w:val="表内 Char Char"/>
    <w:link w:val="96"/>
    <w:qFormat/>
    <w:uiPriority w:val="0"/>
    <w:rPr>
      <w:rFonts w:ascii="宋体" w:hAnsi="宋体"/>
      <w:kern w:val="2"/>
      <w:sz w:val="18"/>
      <w:szCs w:val="18"/>
    </w:rPr>
  </w:style>
  <w:style w:type="paragraph" w:customStyle="1" w:styleId="96">
    <w:name w:val="表内"/>
    <w:basedOn w:val="1"/>
    <w:link w:val="95"/>
    <w:qFormat/>
    <w:uiPriority w:val="0"/>
    <w:rPr>
      <w:rFonts w:ascii="宋体" w:hAnsi="宋体"/>
      <w:sz w:val="18"/>
      <w:szCs w:val="18"/>
    </w:rPr>
  </w:style>
  <w:style w:type="character" w:customStyle="1" w:styleId="97">
    <w:name w:val="font01"/>
    <w:qFormat/>
    <w:uiPriority w:val="0"/>
    <w:rPr>
      <w:rFonts w:ascii="font-weight : 400" w:hAnsi="font-weight : 400" w:eastAsia="font-weight : 400" w:cs="font-weight : 400"/>
      <w:color w:val="000000"/>
      <w:sz w:val="22"/>
      <w:szCs w:val="22"/>
      <w:u w:val="none"/>
    </w:rPr>
  </w:style>
  <w:style w:type="character" w:customStyle="1" w:styleId="98">
    <w:name w:val="style21"/>
    <w:qFormat/>
    <w:uiPriority w:val="0"/>
    <w:rPr>
      <w:sz w:val="15"/>
      <w:szCs w:val="15"/>
    </w:rPr>
  </w:style>
  <w:style w:type="character" w:customStyle="1" w:styleId="99">
    <w:name w:val="apple-converted-space"/>
    <w:basedOn w:val="35"/>
    <w:qFormat/>
    <w:uiPriority w:val="0"/>
  </w:style>
  <w:style w:type="character" w:customStyle="1" w:styleId="100">
    <w:name w:val="哈哈正文 Char"/>
    <w:link w:val="101"/>
    <w:qFormat/>
    <w:uiPriority w:val="0"/>
    <w:rPr>
      <w:rFonts w:ascii="宋体" w:hAnsi="宋体" w:eastAsia="宋体" w:cs="宋体"/>
      <w:kern w:val="2"/>
      <w:sz w:val="24"/>
      <w:lang w:val="en-US" w:eastAsia="zh-CN" w:bidi="ar-SA"/>
    </w:rPr>
  </w:style>
  <w:style w:type="paragraph" w:customStyle="1" w:styleId="101">
    <w:name w:val="哈哈正文"/>
    <w:basedOn w:val="1"/>
    <w:link w:val="100"/>
    <w:qFormat/>
    <w:uiPriority w:val="0"/>
    <w:pPr>
      <w:spacing w:line="360" w:lineRule="auto"/>
      <w:ind w:firstLine="200" w:firstLineChars="200"/>
    </w:pPr>
    <w:rPr>
      <w:rFonts w:ascii="宋体" w:hAnsi="宋体" w:cs="宋体"/>
      <w:sz w:val="24"/>
      <w:szCs w:val="20"/>
    </w:rPr>
  </w:style>
  <w:style w:type="character" w:customStyle="1" w:styleId="102">
    <w:name w:val="font11"/>
    <w:qFormat/>
    <w:uiPriority w:val="0"/>
    <w:rPr>
      <w:rFonts w:hint="eastAsia" w:ascii="宋体" w:hAnsi="宋体" w:eastAsia="宋体" w:cs="宋体"/>
      <w:color w:val="000000"/>
      <w:sz w:val="22"/>
      <w:szCs w:val="22"/>
      <w:u w:val="none"/>
    </w:rPr>
  </w:style>
  <w:style w:type="paragraph" w:customStyle="1" w:styleId="103">
    <w:name w:val="Char Char Char Char"/>
    <w:basedOn w:val="12"/>
    <w:qFormat/>
    <w:uiPriority w:val="0"/>
    <w:rPr>
      <w:rFonts w:ascii="Tahoma" w:hAnsi="Tahoma"/>
      <w:sz w:val="24"/>
    </w:rPr>
  </w:style>
  <w:style w:type="paragraph" w:customStyle="1" w:styleId="104">
    <w:name w:val="style3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5">
    <w:name w:val="Char Char Char Char Char Char"/>
    <w:basedOn w:val="1"/>
    <w:qFormat/>
    <w:uiPriority w:val="0"/>
    <w:rPr>
      <w:rFonts w:ascii="Tahoma" w:hAnsi="Tahoma"/>
      <w:sz w:val="24"/>
      <w:szCs w:val="20"/>
    </w:rPr>
  </w:style>
  <w:style w:type="paragraph" w:customStyle="1" w:styleId="106">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7">
    <w:name w:val="列表内容"/>
    <w:basedOn w:val="1"/>
    <w:next w:val="1"/>
    <w:qFormat/>
    <w:uiPriority w:val="0"/>
    <w:pPr>
      <w:widowControl/>
      <w:tabs>
        <w:tab w:val="left" w:pos="840"/>
      </w:tabs>
      <w:ind w:left="360"/>
      <w:jc w:val="left"/>
    </w:pPr>
    <w:rPr>
      <w:kern w:val="0"/>
      <w:sz w:val="18"/>
      <w:szCs w:val="20"/>
    </w:rPr>
  </w:style>
  <w:style w:type="paragraph" w:customStyle="1" w:styleId="108">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xl35"/>
    <w:basedOn w:val="1"/>
    <w:qFormat/>
    <w:uiPriority w:val="0"/>
    <w:pPr>
      <w:widowControl/>
      <w:pBdr>
        <w:left w:val="single" w:color="auto" w:sz="2" w:space="0"/>
        <w:bottom w:val="single" w:color="auto" w:sz="2" w:space="0"/>
        <w:right w:val="single" w:color="auto" w:sz="2"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0">
    <w:name w:val="Char Char1 Char Char Char Char Char Char"/>
    <w:basedOn w:val="1"/>
    <w:qFormat/>
    <w:uiPriority w:val="0"/>
    <w:pPr>
      <w:widowControl/>
      <w:spacing w:after="160" w:afterLines="0" w:line="240" w:lineRule="exact"/>
      <w:jc w:val="left"/>
    </w:pPr>
    <w:rPr>
      <w:rFonts w:ascii="宋体" w:hAnsi="宋体" w:cs="宋体"/>
      <w:kern w:val="0"/>
      <w:szCs w:val="20"/>
    </w:rPr>
  </w:style>
  <w:style w:type="paragraph" w:customStyle="1" w:styleId="111">
    <w:name w:val="列出段落1"/>
    <w:basedOn w:val="1"/>
    <w:qFormat/>
    <w:uiPriority w:val="0"/>
    <w:pPr>
      <w:spacing w:line="415" w:lineRule="auto"/>
      <w:ind w:left="420" w:firstLine="420" w:firstLineChars="200"/>
      <w:jc w:val="left"/>
    </w:pPr>
    <w:rPr>
      <w:rFonts w:ascii="Calibri" w:hAnsi="Calibri"/>
      <w:sz w:val="28"/>
      <w:szCs w:val="22"/>
    </w:rPr>
  </w:style>
  <w:style w:type="paragraph" w:customStyle="1" w:styleId="112">
    <w:name w:val="Char Char Char Char Char Char Char Char Char Char Char Char Char1"/>
    <w:basedOn w:val="1"/>
    <w:qFormat/>
    <w:uiPriority w:val="0"/>
    <w:rPr>
      <w:rFonts w:ascii="Tahoma" w:hAnsi="Tahoma"/>
      <w:sz w:val="24"/>
      <w:szCs w:val="20"/>
    </w:rPr>
  </w:style>
  <w:style w:type="paragraph" w:customStyle="1" w:styleId="113">
    <w:name w:val=" Char3"/>
    <w:basedOn w:val="12"/>
    <w:qFormat/>
    <w:uiPriority w:val="0"/>
  </w:style>
  <w:style w:type="paragraph" w:customStyle="1" w:styleId="114">
    <w:name w:val=" Char Char7 Char"/>
    <w:basedOn w:val="1"/>
    <w:qFormat/>
    <w:uiPriority w:val="0"/>
    <w:pPr>
      <w:tabs>
        <w:tab w:val="left" w:pos="425"/>
      </w:tabs>
      <w:ind w:left="420" w:leftChars="200" w:firstLine="270" w:firstLineChars="150"/>
    </w:pPr>
  </w:style>
  <w:style w:type="paragraph" w:customStyle="1" w:styleId="115">
    <w:name w:val="正文2"/>
    <w:basedOn w:val="1"/>
    <w:qFormat/>
    <w:uiPriority w:val="0"/>
    <w:pPr>
      <w:spacing w:before="156" w:beforeLines="0" w:line="360" w:lineRule="auto"/>
      <w:ind w:firstLine="510" w:firstLineChars="200"/>
    </w:pPr>
    <w:rPr>
      <w:sz w:val="24"/>
      <w:szCs w:val="20"/>
    </w:rPr>
  </w:style>
  <w:style w:type="paragraph" w:customStyle="1" w:styleId="116">
    <w:name w:val="正文－恩普"/>
    <w:basedOn w:val="11"/>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17">
    <w:name w:val="默认段落字体 Para Char"/>
    <w:basedOn w:val="1"/>
    <w:qFormat/>
    <w:uiPriority w:val="0"/>
    <w:pPr>
      <w:tabs>
        <w:tab w:val="left" w:pos="360"/>
      </w:tabs>
      <w:adjustRightInd w:val="0"/>
      <w:textAlignment w:val="baseline"/>
    </w:pPr>
  </w:style>
  <w:style w:type="paragraph" w:customStyle="1" w:styleId="118">
    <w:name w:val=" Char Char Char Char Char Char Char"/>
    <w:basedOn w:val="1"/>
    <w:qFormat/>
    <w:uiPriority w:val="0"/>
    <w:rPr>
      <w:rFonts w:ascii="仿宋_GB2312" w:eastAsia="仿宋_GB2312"/>
      <w:b/>
      <w:sz w:val="32"/>
      <w:szCs w:val="32"/>
    </w:rPr>
  </w:style>
  <w:style w:type="paragraph" w:customStyle="1" w:styleId="119">
    <w:name w:val=" Char Char1 Char Char Char Char Char Char"/>
    <w:basedOn w:val="1"/>
    <w:qFormat/>
    <w:uiPriority w:val="0"/>
    <w:rPr>
      <w:rFonts w:ascii="仿宋_GB2312" w:eastAsia="仿宋_GB2312"/>
      <w:b/>
      <w:sz w:val="32"/>
      <w:szCs w:val="32"/>
    </w:rPr>
  </w:style>
  <w:style w:type="paragraph" w:customStyle="1" w:styleId="120">
    <w:name w:val="空格"/>
    <w:basedOn w:val="1"/>
    <w:next w:val="1"/>
    <w:qFormat/>
    <w:uiPriority w:val="0"/>
    <w:pPr>
      <w:autoSpaceDE w:val="0"/>
      <w:autoSpaceDN w:val="0"/>
      <w:adjustRightInd w:val="0"/>
      <w:snapToGrid w:val="0"/>
      <w:ind w:firstLine="200" w:firstLineChars="200"/>
      <w:jc w:val="left"/>
    </w:pPr>
    <w:rPr>
      <w:rFonts w:ascii="Calibri" w:hAnsi="Calibri"/>
      <w:snapToGrid w:val="0"/>
      <w:kern w:val="0"/>
      <w:szCs w:val="21"/>
    </w:rPr>
  </w:style>
  <w:style w:type="paragraph" w:customStyle="1" w:styleId="121">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122">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123">
    <w:name w:val="_Style 121"/>
    <w:basedOn w:val="2"/>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124">
    <w:name w:val="GP标题1"/>
    <w:basedOn w:val="1"/>
    <w:next w:val="1"/>
    <w:qFormat/>
    <w:uiPriority w:val="0"/>
    <w:pPr>
      <w:numPr>
        <w:ilvl w:val="0"/>
        <w:numId w:val="3"/>
      </w:numPr>
      <w:tabs>
        <w:tab w:val="left" w:pos="360"/>
      </w:tabs>
      <w:spacing w:before="312" w:beforeLines="100" w:after="312" w:afterLines="100" w:line="360" w:lineRule="auto"/>
      <w:jc w:val="center"/>
      <w:outlineLvl w:val="0"/>
    </w:pPr>
    <w:rPr>
      <w:rFonts w:ascii="黑体" w:hAnsi="黑体" w:eastAsia="黑体"/>
      <w:b/>
      <w:sz w:val="36"/>
      <w:szCs w:val="21"/>
    </w:rPr>
  </w:style>
  <w:style w:type="paragraph" w:customStyle="1" w:styleId="125">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26">
    <w:name w:val="简单回函地址"/>
    <w:basedOn w:val="1"/>
    <w:qFormat/>
    <w:uiPriority w:val="0"/>
  </w:style>
  <w:style w:type="paragraph" w:customStyle="1" w:styleId="127">
    <w:name w:val=" Char Char Char Char Char Char Char Char Char Char Char Char Char"/>
    <w:basedOn w:val="1"/>
    <w:qFormat/>
    <w:uiPriority w:val="0"/>
    <w:rPr>
      <w:rFonts w:ascii="Tahoma" w:hAnsi="Tahoma"/>
      <w:sz w:val="24"/>
      <w:szCs w:val="20"/>
    </w:rPr>
  </w:style>
  <w:style w:type="paragraph" w:customStyle="1" w:styleId="128">
    <w:name w:val="正文首行缩进1"/>
    <w:basedOn w:val="14"/>
    <w:qFormat/>
    <w:uiPriority w:val="0"/>
    <w:pPr>
      <w:ind w:firstLine="420" w:firstLineChars="100"/>
    </w:pPr>
    <w:rPr>
      <w:rFonts w:ascii="Calibri" w:hAnsi="Calibri"/>
    </w:rPr>
  </w:style>
  <w:style w:type="paragraph" w:customStyle="1" w:styleId="129">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131">
    <w:name w:val="编号，小四"/>
    <w:basedOn w:val="1"/>
    <w:qFormat/>
    <w:uiPriority w:val="0"/>
    <w:pPr>
      <w:numPr>
        <w:ilvl w:val="0"/>
        <w:numId w:val="4"/>
      </w:numPr>
      <w:spacing w:line="360" w:lineRule="auto"/>
    </w:pPr>
    <w:rPr>
      <w:rFonts w:ascii="Arial" w:hAnsi="Arial" w:cs="宋体"/>
      <w:sz w:val="24"/>
      <w:szCs w:val="20"/>
    </w:rPr>
  </w:style>
  <w:style w:type="paragraph" w:customStyle="1" w:styleId="132">
    <w:name w:val="p0"/>
    <w:basedOn w:val="1"/>
    <w:qFormat/>
    <w:uiPriority w:val="0"/>
    <w:pPr>
      <w:widowControl/>
    </w:pPr>
    <w:rPr>
      <w:rFonts w:ascii="Calibri" w:hAnsi="Calibri" w:cs="Calibri"/>
      <w:kern w:val="0"/>
      <w:szCs w:val="21"/>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_Style 13"/>
    <w:basedOn w:val="1"/>
    <w:qFormat/>
    <w:uiPriority w:val="0"/>
    <w:rPr>
      <w:rFonts w:ascii="Tahoma" w:hAnsi="Tahoma"/>
      <w:sz w:val="24"/>
      <w:szCs w:val="20"/>
    </w:rPr>
  </w:style>
  <w:style w:type="paragraph" w:customStyle="1" w:styleId="135">
    <w:name w:val="表内文字"/>
    <w:basedOn w:val="1"/>
    <w:qFormat/>
    <w:uiPriority w:val="0"/>
    <w:pPr>
      <w:spacing w:line="240" w:lineRule="atLeast"/>
      <w:jc w:val="center"/>
    </w:pPr>
    <w:rPr>
      <w:rFonts w:ascii="Arial" w:hAnsi="Arial" w:eastAsia="宋体" w:cs="Arial"/>
      <w:b/>
      <w:bCs/>
    </w:rPr>
  </w:style>
  <w:style w:type="paragraph" w:styleId="136">
    <w:name w:val="No Spacing"/>
    <w:basedOn w:val="4"/>
    <w:qFormat/>
    <w:uiPriority w:val="0"/>
    <w:pPr>
      <w:widowControl w:val="0"/>
      <w:jc w:val="both"/>
    </w:pPr>
    <w:rPr>
      <w:kern w:val="2"/>
      <w:sz w:val="21"/>
      <w:szCs w:val="24"/>
      <w:lang w:val="en-US" w:eastAsia="zh-CN" w:bidi="ar-SA"/>
    </w:rPr>
  </w:style>
  <w:style w:type="paragraph" w:customStyle="1" w:styleId="137">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38">
    <w:name w:val="Char Char Char Char Char Char Char"/>
    <w:basedOn w:val="1"/>
    <w:qFormat/>
    <w:uiPriority w:val="0"/>
    <w:rPr>
      <w:rFonts w:ascii="仿宋_GB2312" w:eastAsia="仿宋_GB2312"/>
      <w:b/>
      <w:sz w:val="32"/>
      <w:szCs w:val="32"/>
    </w:rPr>
  </w:style>
  <w:style w:type="paragraph" w:customStyle="1" w:styleId="139">
    <w:name w:val="Char Char"/>
    <w:basedOn w:val="1"/>
    <w:qFormat/>
    <w:uiPriority w:val="0"/>
    <w:rPr>
      <w:rFonts w:ascii="仿宋_GB2312" w:eastAsia="仿宋_GB2312"/>
      <w:b/>
      <w:sz w:val="32"/>
      <w:szCs w:val="32"/>
    </w:rPr>
  </w:style>
  <w:style w:type="paragraph" w:customStyle="1" w:styleId="140">
    <w:name w:val="Char Char Char Char Char Char Char Char Char Char Char Char Char"/>
    <w:basedOn w:val="1"/>
    <w:qFormat/>
    <w:uiPriority w:val="0"/>
    <w:rPr>
      <w:rFonts w:ascii="Tahoma" w:hAnsi="Tahoma"/>
      <w:sz w:val="24"/>
      <w:szCs w:val="20"/>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 Char Char Char Char"/>
    <w:basedOn w:val="12"/>
    <w:qFormat/>
    <w:uiPriority w:val="0"/>
    <w:rPr>
      <w:rFonts w:ascii="Tahoma" w:hAnsi="Tahoma"/>
      <w:sz w:val="24"/>
    </w:rPr>
  </w:style>
  <w:style w:type="paragraph" w:customStyle="1" w:styleId="143">
    <w:name w:val="正文1"/>
    <w:basedOn w:val="1"/>
    <w:qFormat/>
    <w:uiPriority w:val="0"/>
    <w:pPr>
      <w:spacing w:line="480" w:lineRule="exact"/>
      <w:ind w:firstLine="480" w:firstLineChars="200"/>
    </w:pPr>
    <w:rPr>
      <w:rFonts w:ascii="宋体"/>
      <w:sz w:val="24"/>
      <w:szCs w:val="20"/>
    </w:rPr>
  </w:style>
  <w:style w:type="paragraph" w:customStyle="1" w:styleId="144">
    <w:name w:val="Char1 Char Char Char Char"/>
    <w:basedOn w:val="12"/>
    <w:qFormat/>
    <w:uiPriority w:val="0"/>
    <w:rPr>
      <w:rFonts w:ascii="Tahoma" w:hAnsi="Tahoma" w:cs="Tahoma"/>
      <w:kern w:val="0"/>
      <w:sz w:val="18"/>
    </w:rPr>
  </w:style>
  <w:style w:type="paragraph" w:customStyle="1" w:styleId="145">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表标题"/>
    <w:next w:val="141"/>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147">
    <w:name w:val="表内容"/>
    <w:basedOn w:val="1"/>
    <w:qFormat/>
    <w:uiPriority w:val="0"/>
    <w:pPr>
      <w:widowControl/>
      <w:spacing w:line="320" w:lineRule="exact"/>
      <w:jc w:val="left"/>
    </w:pPr>
    <w:rPr>
      <w:rFonts w:cs="Arial"/>
      <w:kern w:val="0"/>
      <w:sz w:val="20"/>
      <w:szCs w:val="20"/>
    </w:rPr>
  </w:style>
  <w:style w:type="paragraph" w:customStyle="1" w:styleId="148">
    <w:name w:val="保留正文"/>
    <w:basedOn w:val="14"/>
    <w:qFormat/>
    <w:uiPriority w:val="0"/>
    <w:pPr>
      <w:keepNext/>
      <w:spacing w:after="160" w:afterLines="0"/>
    </w:pPr>
  </w:style>
  <w:style w:type="paragraph" w:customStyle="1" w:styleId="149">
    <w:name w:val="TableCaption Char"/>
    <w:next w:val="1"/>
    <w:qFormat/>
    <w:uiPriority w:val="0"/>
    <w:pPr>
      <w:numPr>
        <w:ilvl w:val="0"/>
        <w:numId w:val="2"/>
      </w:numPr>
      <w:tabs>
        <w:tab w:val="left" w:pos="720"/>
      </w:tabs>
      <w:spacing w:line="480" w:lineRule="auto"/>
      <w:ind w:left="907" w:hanging="907"/>
    </w:pPr>
    <w:rPr>
      <w:rFonts w:ascii="Arial" w:hAnsi="Arial" w:eastAsia="宋体" w:cs="Times New Roman"/>
      <w:color w:val="000000"/>
      <w:sz w:val="18"/>
      <w:lang w:val="en-US" w:eastAsia="en-US" w:bidi="ar-SA"/>
    </w:rPr>
  </w:style>
  <w:style w:type="paragraph" w:customStyle="1" w:styleId="150">
    <w:name w:val="pa-8"/>
    <w:basedOn w:val="1"/>
    <w:qFormat/>
    <w:uiPriority w:val="0"/>
    <w:pPr>
      <w:widowControl/>
      <w:spacing w:before="150" w:after="150"/>
      <w:jc w:val="left"/>
    </w:pPr>
    <w:rPr>
      <w:rFonts w:ascii="宋体" w:hAnsi="宋体" w:cs="宋体"/>
      <w:kern w:val="0"/>
      <w:sz w:val="24"/>
    </w:rPr>
  </w:style>
  <w:style w:type="paragraph" w:styleId="151">
    <w:name w:val="List Paragraph"/>
    <w:basedOn w:val="1"/>
    <w:qFormat/>
    <w:uiPriority w:val="34"/>
    <w:pPr>
      <w:ind w:firstLine="420" w:firstLineChars="200"/>
    </w:pPr>
  </w:style>
  <w:style w:type="paragraph" w:customStyle="1" w:styleId="152">
    <w:name w:val="Char Char Char Char1"/>
    <w:basedOn w:val="1"/>
    <w:qFormat/>
    <w:uiPriority w:val="0"/>
    <w:rPr>
      <w:rFonts w:ascii="Tahoma" w:hAnsi="Tahoma"/>
      <w:sz w:val="24"/>
      <w:szCs w:val="20"/>
    </w:rPr>
  </w:style>
  <w:style w:type="paragraph" w:customStyle="1" w:styleId="153">
    <w:name w:val="pbulletcmt"/>
    <w:basedOn w:val="1"/>
    <w:qFormat/>
    <w:uiPriority w:val="0"/>
    <w:pPr>
      <w:widowControl/>
      <w:spacing w:before="100" w:beforeAutospacing="1" w:after="100" w:afterAutospacing="1"/>
      <w:jc w:val="left"/>
    </w:pPr>
    <w:rPr>
      <w:kern w:val="0"/>
      <w:sz w:val="24"/>
    </w:rPr>
  </w:style>
  <w:style w:type="paragraph" w:customStyle="1" w:styleId="154">
    <w:name w:val="项目标号"/>
    <w:qFormat/>
    <w:uiPriority w:val="0"/>
    <w:pPr>
      <w:numPr>
        <w:ilvl w:val="1"/>
        <w:numId w:val="5"/>
      </w:numPr>
      <w:tabs>
        <w:tab w:val="left" w:pos="780"/>
      </w:tabs>
      <w:spacing w:line="360" w:lineRule="auto"/>
    </w:pPr>
    <w:rPr>
      <w:rFonts w:ascii="Times New Roman" w:hAnsi="Times New Roman" w:eastAsia="宋体" w:cs="Times New Roman"/>
      <w:sz w:val="24"/>
      <w:lang w:val="en-US" w:eastAsia="zh-CN" w:bidi="ar-SA"/>
    </w:rPr>
  </w:style>
  <w:style w:type="paragraph" w:customStyle="1" w:styleId="155">
    <w:name w:val="样式 四号 首行缩进:  1 厘米"/>
    <w:basedOn w:val="1"/>
    <w:qFormat/>
    <w:uiPriority w:val="0"/>
    <w:pPr>
      <w:spacing w:line="440" w:lineRule="exact"/>
      <w:ind w:firstLine="567"/>
    </w:pPr>
    <w:rPr>
      <w:rFonts w:cs="宋体"/>
      <w:sz w:val="28"/>
      <w:szCs w:val="20"/>
    </w:rPr>
  </w:style>
  <w:style w:type="paragraph" w:customStyle="1" w:styleId="156">
    <w:name w:val="表格"/>
    <w:basedOn w:val="157"/>
    <w:next w:val="1"/>
    <w:qFormat/>
    <w:uiPriority w:val="99"/>
    <w:pPr>
      <w:tabs>
        <w:tab w:val="left" w:pos="540"/>
      </w:tabs>
      <w:adjustRightInd w:val="0"/>
      <w:snapToGrid w:val="0"/>
      <w:spacing w:line="240" w:lineRule="atLeast"/>
      <w:jc w:val="center"/>
      <w:textAlignment w:val="baseline"/>
    </w:pPr>
    <w:rPr>
      <w:rFonts w:ascii="仿宋_GB2312" w:eastAsia="仿宋"/>
      <w:kern w:val="0"/>
      <w:sz w:val="28"/>
      <w:szCs w:val="20"/>
    </w:rPr>
  </w:style>
  <w:style w:type="paragraph" w:customStyle="1" w:styleId="157">
    <w:name w:val="表头"/>
    <w:basedOn w:val="136"/>
    <w:qFormat/>
    <w:uiPriority w:val="0"/>
    <w:pPr>
      <w:jc w:val="center"/>
    </w:pPr>
    <w:rPr>
      <w:rFonts w:ascii="楷体_GB2312"/>
      <w:kern w:val="28"/>
      <w:sz w:val="28"/>
      <w:szCs w:val="28"/>
    </w:rPr>
  </w:style>
  <w:style w:type="paragraph" w:customStyle="1" w:styleId="158">
    <w:name w:val="正文文本首行缩进1"/>
    <w:basedOn w:val="14"/>
    <w:qFormat/>
    <w:uiPriority w:val="0"/>
    <w:pPr>
      <w:ind w:firstLine="420" w:firstLineChars="100"/>
    </w:pPr>
    <w:rPr>
      <w:szCs w:val="21"/>
    </w:rPr>
  </w:style>
  <w:style w:type="paragraph" w:customStyle="1" w:styleId="159">
    <w:name w:val="[Normal]"/>
    <w:qFormat/>
    <w:uiPriority w:val="0"/>
    <w:rPr>
      <w:rFonts w:ascii="宋体" w:hAnsi="宋体" w:eastAsia="宋体" w:cs="Times New Roman"/>
      <w:sz w:val="24"/>
      <w:szCs w:val="22"/>
      <w:lang w:val="zh-CN" w:eastAsia="zh-CN" w:bidi="ar-SA"/>
    </w:rPr>
  </w:style>
  <w:style w:type="paragraph" w:customStyle="1" w:styleId="160">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msonospacing"/>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1"/>
      <w:szCs w:val="22"/>
      <w:lang w:val="en-US" w:eastAsia="zh-CN" w:bidi="ar"/>
    </w:rPr>
  </w:style>
  <w:style w:type="paragraph" w:customStyle="1" w:styleId="162">
    <w:name w:val="内文正文"/>
    <w:basedOn w:val="1"/>
    <w:qFormat/>
    <w:uiPriority w:val="0"/>
    <w:pPr>
      <w:adjustRightInd w:val="0"/>
      <w:snapToGrid w:val="0"/>
      <w:spacing w:line="400" w:lineRule="atLeast"/>
      <w:ind w:firstLine="200" w:firstLineChars="200"/>
    </w:pPr>
    <w:rPr>
      <w:rFonts w:ascii="宋体"/>
    </w:rPr>
  </w:style>
  <w:style w:type="paragraph" w:customStyle="1" w:styleId="163">
    <w:name w:val="Table Paragraph"/>
    <w:basedOn w:val="1"/>
    <w:qFormat/>
    <w:uiPriority w:val="1"/>
  </w:style>
  <w:style w:type="table" w:customStyle="1" w:styleId="16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29835</Words>
  <Characters>31171</Characters>
  <Lines>316</Lines>
  <Paragraphs>89</Paragraphs>
  <TotalTime>5</TotalTime>
  <ScaleCrop>false</ScaleCrop>
  <LinksUpToDate>false</LinksUpToDate>
  <CharactersWithSpaces>33426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2019-08-29T03:55:00Z</dcterms:created>
  <dc:creator>Administrator</dc:creator>
  <cp:lastModifiedBy>未知</cp:lastModifiedBy>
  <cp:lastPrinted>2023-11-27T02:17:00Z</cp:lastPrinted>
  <dcterms:modified xsi:type="dcterms:W3CDTF">2024-01-10T06:51:06Z</dcterms:modified>
  <dc:title>温州市国企采购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9CE1BFC752BD43EAB7E4C13B240D4561_13</vt:lpwstr>
  </property>
</Properties>
</file>