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市交发集团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视觉识别系统（VI）应用场所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提升设计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一、基础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系统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设计范围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品牌标识、品牌标识标准组合（含与下属企业品牌组合）、中文标识、中英文标识、英文变形标识、标准颜色、标准字体、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企业造型（吉祥物）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禁用规则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应用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系统设计范围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办公形象应用规范、企业指示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规范、媒体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应用规范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项目工地应用规范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具体包括但不限于：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办公形象类：纸品（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信封、请柬、便笺、笔记本、名片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），证件（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工作证及工作证挂带、出入证、参观证）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，文具（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文件夹、档案袋、档案盒、文件封套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，文件规范（PPT模板、合同封面、企业日常工作会议及党建会议背景），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办公周边（茶杯、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意见箱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席签、标签贴、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荣誉证书、奖牌、奖杯、雨伞、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纸质手提袋、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鼠标垫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），车辆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指示类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：建筑物外观装饰设计规范识别、企业门面、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企业铭牌（以上含下属公司）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企业品牌墙、墙面企业文化宣传栏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、公司旗帜、路牌指示、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户外宣传栏、楼层指示牌、部室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办公桌标识牌、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玻璃门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防撞条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上墙制度、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公共标识牌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、环境色彩标示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服装类：收费员、监控员、清障施救员、物业、监理、检测等工种着装，反光背心、安全帽、雨衣等。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媒体宣传类：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易拉宝设计规范、展板设计规范、活动背景板设计规范、电视标版使用规范、工地标语设计规范、道旗设计规范、海报设计规范、画册设计规范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7756"/>
    <w:rsid w:val="24563072"/>
    <w:rsid w:val="685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80" w:hanging="480" w:hangingChars="200"/>
    </w:pPr>
    <w:rPr>
      <w:sz w:val="24"/>
    </w:rPr>
  </w:style>
  <w:style w:type="paragraph" w:styleId="3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2023-08-22T09:21:00Z</dcterms:created>
  <dc:creator>马纯洁</dc:creator>
  <cp:lastModifiedBy>马纯洁</cp:lastModifiedBy>
  <dcterms:modified xsi:type="dcterms:W3CDTF">2023-08-28T06:49:24Z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