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洞头区小门岛石化产业基地市政配套工程项目资金绩效评价报告</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hAnsi="黑体" w:eastAsia="黑体"/>
          <w:sz w:val="32"/>
          <w:szCs w:val="32"/>
        </w:rPr>
      </w:pPr>
      <w:r>
        <w:rPr>
          <w:rFonts w:ascii="仿宋_GB2312" w:hAnsi="仿宋_GB2312" w:cs="仿宋_GB2312"/>
          <w:sz w:val="32"/>
          <w:szCs w:val="32"/>
        </w:rPr>
        <w:t xml:space="preserve">    </w:t>
      </w: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仿宋_GB2312"/>
          <w:sz w:val="32"/>
          <w:szCs w:val="32"/>
        </w:rPr>
      </w:pPr>
      <w:r>
        <w:rPr>
          <w:rFonts w:hint="eastAsia" w:ascii="仿宋_GB2312"/>
          <w:sz w:val="32"/>
          <w:szCs w:val="32"/>
        </w:rPr>
        <w:t>（一）项目概况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sz w:val="32"/>
          <w:szCs w:val="32"/>
        </w:rPr>
      </w:pPr>
      <w:r>
        <w:rPr>
          <w:rFonts w:hint="eastAsia" w:ascii="仿宋_GB2312" w:cs="仿宋_GB2312"/>
          <w:sz w:val="32"/>
          <w:szCs w:val="32"/>
          <w:lang w:val="en-US" w:eastAsia="zh-CN"/>
        </w:rPr>
        <w:t>洞头区小门岛石化产业基地市政配套工程</w:t>
      </w:r>
      <w:r>
        <w:rPr>
          <w:rFonts w:hint="eastAsia" w:ascii="仿宋_GB2312" w:cs="仿宋_GB2312"/>
          <w:sz w:val="32"/>
          <w:szCs w:val="32"/>
        </w:rPr>
        <w:t>项目由小门西污水处理厂一期及B区污水泵站工程、市政路网工程、防洪排涝工程组成。工程位于洞头区大门镇小门岛围垦区域内，建设内容主要有6条道路、4座箱涵、给排水等主体工程投资和绿化（行道树）、照明、交通设施等附属工程投资，以及B组团防洪排涝工程、配水站衔接管，同时包括1座污水处理厂、1座污水提升泵站、污水管道及排海口等市政附属工程。道路红线宽度7~16m，按城市支路标准设计，设计车速为30km/h。防洪排涝工程排涝河道长1.75km，外侧海堤加固设计682m，3m×2m水闸一座。污水处理厂一期工程规模1.0万吨/日，B 组团污水泵站设计规模为 1.0万m³/日。项目初步设计概算总投资为3</w:t>
      </w:r>
      <w:r>
        <w:rPr>
          <w:rFonts w:hint="default" w:ascii="仿宋_GB2312" w:cs="仿宋_GB2312"/>
          <w:sz w:val="32"/>
          <w:szCs w:val="32"/>
          <w:lang w:val="en-US"/>
        </w:rPr>
        <w:t>7456.31</w:t>
      </w:r>
      <w:r>
        <w:rPr>
          <w:rFonts w:hint="eastAsia" w:ascii="仿宋_GB2312" w:cs="仿宋_GB2312"/>
          <w:sz w:val="32"/>
          <w:szCs w:val="32"/>
        </w:rPr>
        <w:t>万元，其中温州市小门西污水处理厂一期及B区污水泵站工程总投资19902.17万元</w:t>
      </w:r>
      <w:r>
        <w:rPr>
          <w:rFonts w:hint="eastAsia" w:ascii="仿宋_GB2312" w:cs="仿宋_GB2312"/>
          <w:sz w:val="32"/>
          <w:szCs w:val="32"/>
          <w:lang w:eastAsia="zh-CN"/>
        </w:rPr>
        <w:t>，</w:t>
      </w:r>
      <w:r>
        <w:rPr>
          <w:rFonts w:hint="eastAsia" w:ascii="仿宋_GB2312" w:cs="仿宋_GB2312"/>
          <w:sz w:val="32"/>
          <w:szCs w:val="32"/>
        </w:rPr>
        <w:t>市政路网工程总投资11540.42万元</w:t>
      </w:r>
      <w:r>
        <w:rPr>
          <w:rFonts w:hint="eastAsia" w:ascii="仿宋_GB2312" w:cs="仿宋_GB2312"/>
          <w:sz w:val="32"/>
          <w:szCs w:val="32"/>
          <w:lang w:val="en-US" w:eastAsia="zh-CN"/>
        </w:rPr>
        <w:t>，防洪排涝工程总投资60</w:t>
      </w:r>
      <w:r>
        <w:rPr>
          <w:rFonts w:hint="default" w:ascii="仿宋_GB2312" w:cs="仿宋_GB2312"/>
          <w:sz w:val="32"/>
          <w:szCs w:val="32"/>
          <w:lang w:val="en-US" w:eastAsia="zh-CN"/>
        </w:rPr>
        <w:t>1</w:t>
      </w:r>
      <w:r>
        <w:rPr>
          <w:rFonts w:hint="eastAsia" w:ascii="仿宋_GB2312" w:cs="仿宋_GB2312"/>
          <w:sz w:val="32"/>
          <w:szCs w:val="32"/>
          <w:lang w:val="en-US" w:eastAsia="zh-CN"/>
        </w:rPr>
        <w:t>3.</w:t>
      </w:r>
      <w:r>
        <w:rPr>
          <w:rFonts w:hint="default" w:ascii="仿宋_GB2312" w:cs="仿宋_GB2312"/>
          <w:sz w:val="32"/>
          <w:szCs w:val="32"/>
          <w:lang w:val="en-US" w:eastAsia="zh-CN"/>
        </w:rPr>
        <w:t>72</w:t>
      </w:r>
      <w:r>
        <w:rPr>
          <w:rFonts w:hint="eastAsia" w:ascii="仿宋_GB2312" w:cs="仿宋_GB2312"/>
          <w:sz w:val="32"/>
          <w:szCs w:val="32"/>
          <w:lang w:val="en-US" w:eastAsia="zh-CN"/>
        </w:rPr>
        <w:t>万元</w:t>
      </w:r>
      <w:r>
        <w:rPr>
          <w:rFonts w:hint="eastAsia" w:ascii="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color w:val="auto"/>
          <w:sz w:val="32"/>
          <w:szCs w:val="32"/>
          <w:lang w:val="en-US" w:eastAsia="zh-CN"/>
        </w:rPr>
      </w:pPr>
      <w:r>
        <w:rPr>
          <w:rFonts w:hint="eastAsia" w:ascii="仿宋_GB2312"/>
          <w:color w:val="auto"/>
          <w:sz w:val="32"/>
          <w:szCs w:val="32"/>
        </w:rPr>
        <w:t>截至2023年</w:t>
      </w:r>
      <w:r>
        <w:rPr>
          <w:rFonts w:hint="eastAsia" w:ascii="仿宋_GB2312"/>
          <w:color w:val="auto"/>
          <w:sz w:val="32"/>
          <w:szCs w:val="32"/>
          <w:lang w:val="en-US" w:eastAsia="zh-CN"/>
        </w:rPr>
        <w:t>6</w:t>
      </w:r>
      <w:r>
        <w:rPr>
          <w:rFonts w:hint="eastAsia" w:ascii="仿宋_GB2312"/>
          <w:color w:val="auto"/>
          <w:sz w:val="32"/>
          <w:szCs w:val="32"/>
        </w:rPr>
        <w:t>月底完成年度投资</w:t>
      </w:r>
      <w:r>
        <w:rPr>
          <w:rFonts w:hint="eastAsia" w:ascii="仿宋_GB2312"/>
          <w:color w:val="auto"/>
          <w:sz w:val="32"/>
          <w:szCs w:val="32"/>
          <w:lang w:val="en-US" w:eastAsia="zh-CN"/>
        </w:rPr>
        <w:t>9705</w:t>
      </w:r>
      <w:r>
        <w:rPr>
          <w:rFonts w:hint="eastAsia" w:ascii="仿宋_GB2312"/>
          <w:color w:val="auto"/>
          <w:sz w:val="32"/>
          <w:szCs w:val="32"/>
        </w:rPr>
        <w:t>万元</w:t>
      </w:r>
      <w:r>
        <w:rPr>
          <w:rFonts w:hint="eastAsia" w:ascii="仿宋_GB2312"/>
          <w:color w:val="auto"/>
          <w:sz w:val="32"/>
          <w:szCs w:val="32"/>
          <w:lang w:eastAsia="zh-CN"/>
        </w:rPr>
        <w:t>，</w:t>
      </w:r>
      <w:r>
        <w:rPr>
          <w:rFonts w:hint="eastAsia" w:ascii="仿宋_GB2312"/>
          <w:color w:val="auto"/>
          <w:sz w:val="32"/>
          <w:szCs w:val="32"/>
          <w:lang w:val="en-US" w:eastAsia="zh-CN"/>
        </w:rPr>
        <w:t>累计完成投资24039万元</w:t>
      </w:r>
      <w:r>
        <w:rPr>
          <w:rFonts w:hint="eastAsia" w:ascii="仿宋_GB2312"/>
          <w:color w:val="auto"/>
          <w:sz w:val="32"/>
          <w:szCs w:val="32"/>
        </w:rPr>
        <w:t>。专项债券资金投入和使用情况</w:t>
      </w:r>
      <w:r>
        <w:rPr>
          <w:rFonts w:hint="eastAsia" w:ascii="仿宋_GB2312"/>
          <w:color w:val="auto"/>
          <w:sz w:val="32"/>
          <w:szCs w:val="32"/>
          <w:lang w:eastAsia="zh-CN"/>
        </w:rPr>
        <w:t>：</w:t>
      </w:r>
      <w:r>
        <w:rPr>
          <w:rFonts w:hint="eastAsia" w:ascii="仿宋_GB2312"/>
          <w:color w:val="auto"/>
          <w:sz w:val="32"/>
          <w:szCs w:val="32"/>
          <w:lang w:val="en-US" w:eastAsia="zh-CN"/>
        </w:rPr>
        <w:t>专项债资金目前已经全部使用完毕。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sz w:val="32"/>
          <w:szCs w:val="32"/>
        </w:rPr>
      </w:pPr>
      <w:r>
        <w:rPr>
          <w:rFonts w:hint="eastAsia" w:ascii="仿宋_GB2312"/>
          <w:sz w:val="32"/>
          <w:szCs w:val="32"/>
          <w:lang w:eastAsia="zh-CN"/>
        </w:rPr>
        <w:t>（二）</w:t>
      </w:r>
      <w:r>
        <w:rPr>
          <w:rFonts w:hint="eastAsia" w:ascii="仿宋_GB2312"/>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color w:val="auto"/>
          <w:sz w:val="32"/>
          <w:szCs w:val="32"/>
        </w:rPr>
      </w:pPr>
      <w:r>
        <w:rPr>
          <w:rFonts w:hint="eastAsia" w:ascii="宋体" w:hAnsi="宋体"/>
          <w:color w:val="auto"/>
          <w:sz w:val="32"/>
          <w:szCs w:val="32"/>
        </w:rPr>
        <w:t>绩效目标总体描述</w:t>
      </w:r>
      <w:r>
        <w:rPr>
          <w:rFonts w:hint="eastAsia" w:ascii="宋体" w:hAnsi="宋体"/>
          <w:color w:val="auto"/>
          <w:sz w:val="32"/>
          <w:szCs w:val="32"/>
          <w:lang w:eastAsia="zh-CN"/>
        </w:rPr>
        <w:t>：项目的</w:t>
      </w:r>
      <w:r>
        <w:rPr>
          <w:rFonts w:hint="eastAsia" w:ascii="宋体" w:hAnsi="宋体"/>
          <w:color w:val="auto"/>
          <w:sz w:val="32"/>
          <w:szCs w:val="32"/>
          <w:lang w:val="en-US" w:eastAsia="zh-CN"/>
        </w:rPr>
        <w:t>完成</w:t>
      </w:r>
      <w:r>
        <w:rPr>
          <w:rFonts w:hint="eastAsia" w:ascii="仿宋_GB2312"/>
          <w:color w:val="auto"/>
          <w:sz w:val="32"/>
          <w:szCs w:val="32"/>
        </w:rPr>
        <w:t>将</w:t>
      </w:r>
      <w:r>
        <w:rPr>
          <w:rFonts w:hint="eastAsia" w:ascii="仿宋_GB2312"/>
          <w:color w:val="auto"/>
          <w:sz w:val="32"/>
          <w:szCs w:val="32"/>
          <w:lang w:val="en-US" w:eastAsia="zh-CN"/>
        </w:rPr>
        <w:t>完善小门岛石化基地</w:t>
      </w:r>
      <w:r>
        <w:rPr>
          <w:rFonts w:hint="eastAsia" w:ascii="仿宋_GB2312"/>
          <w:color w:val="auto"/>
          <w:sz w:val="32"/>
          <w:szCs w:val="32"/>
        </w:rPr>
        <w:t>的</w:t>
      </w:r>
      <w:r>
        <w:rPr>
          <w:rFonts w:hint="eastAsia" w:ascii="仿宋_GB2312"/>
          <w:color w:val="auto"/>
          <w:sz w:val="32"/>
          <w:szCs w:val="32"/>
          <w:lang w:val="en-US" w:eastAsia="zh-CN"/>
        </w:rPr>
        <w:t>基础设施</w:t>
      </w:r>
      <w:r>
        <w:rPr>
          <w:rFonts w:hint="eastAsia" w:ascii="仿宋_GB2312"/>
          <w:color w:val="auto"/>
          <w:sz w:val="32"/>
          <w:szCs w:val="32"/>
        </w:rPr>
        <w:t>，</w:t>
      </w:r>
      <w:r>
        <w:rPr>
          <w:rFonts w:hint="eastAsia" w:ascii="仿宋_GB2312"/>
          <w:color w:val="auto"/>
          <w:sz w:val="32"/>
          <w:szCs w:val="32"/>
          <w:lang w:val="en-US" w:eastAsia="zh-CN"/>
        </w:rPr>
        <w:t>提升小门岛石化基地的产业规模和档次，吸引更多的石化型企业在此落户，带动周边产业经济的发展。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仿宋_GB2312"/>
          <w:color w:val="auto"/>
          <w:sz w:val="32"/>
          <w:szCs w:val="32"/>
        </w:rPr>
      </w:pPr>
      <w:r>
        <w:rPr>
          <w:rFonts w:hint="eastAsia" w:ascii="仿宋_GB2312"/>
          <w:color w:val="auto"/>
          <w:sz w:val="32"/>
          <w:szCs w:val="32"/>
          <w:lang w:val="en-US" w:eastAsia="zh-CN"/>
        </w:rPr>
        <w:t>年度绩效</w:t>
      </w:r>
      <w:r>
        <w:rPr>
          <w:rFonts w:hint="eastAsia" w:ascii="仿宋_GB2312"/>
          <w:color w:val="auto"/>
          <w:sz w:val="32"/>
          <w:szCs w:val="32"/>
        </w:rPr>
        <w:t>目标</w:t>
      </w:r>
      <w:r>
        <w:rPr>
          <w:rFonts w:hint="eastAsia" w:ascii="仿宋_GB2312"/>
          <w:color w:val="auto"/>
          <w:sz w:val="32"/>
          <w:szCs w:val="32"/>
          <w:lang w:val="en-US" w:eastAsia="zh-CN"/>
        </w:rPr>
        <w:t>描述：市政路网项目完成电力路、弘博路、中油环路主体工程，污水处理厂项目完成综合楼工程，防洪排涝项目完成主体工程。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二、绩效评价工作开展情况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rPr>
        <w:t>（一）绩效评价目的、对象和范围</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本次评估目的</w:t>
      </w:r>
      <w:r>
        <w:rPr>
          <w:rFonts w:hint="eastAsia" w:ascii="仿宋_GB2312" w:hAnsi="仿宋_GB2312" w:eastAsia="仿宋_GB2312" w:cs="仿宋_GB2312"/>
          <w:color w:val="auto"/>
          <w:sz w:val="32"/>
          <w:highlight w:val="none"/>
        </w:rPr>
        <w:t>为</w:t>
      </w:r>
      <w:r>
        <w:rPr>
          <w:rFonts w:hint="eastAsia" w:ascii="仿宋_GB2312" w:hAnsi="仿宋_GB2312" w:eastAsia="仿宋_GB2312" w:cs="仿宋_GB2312"/>
          <w:color w:val="auto"/>
          <w:sz w:val="32"/>
        </w:rPr>
        <w:t>完成</w:t>
      </w:r>
      <w:r>
        <w:rPr>
          <w:rFonts w:hint="eastAsia" w:ascii="仿宋_GB2312" w:hAnsi="仿宋_GB2312" w:eastAsia="仿宋_GB2312" w:cs="仿宋_GB2312"/>
          <w:color w:val="auto"/>
          <w:sz w:val="32"/>
          <w:lang w:val="en-US" w:eastAsia="zh-CN"/>
        </w:rPr>
        <w:t>小门岛石化产业基地市政配套工程</w:t>
      </w:r>
      <w:r>
        <w:rPr>
          <w:rFonts w:hint="eastAsia" w:ascii="仿宋_GB2312" w:hAnsi="仿宋_GB2312" w:eastAsia="仿宋_GB2312" w:cs="仿宋_GB2312"/>
          <w:color w:val="auto"/>
          <w:sz w:val="32"/>
        </w:rPr>
        <w:t>项目概算投资</w:t>
      </w:r>
      <w:r>
        <w:rPr>
          <w:rFonts w:hint="eastAsia" w:ascii="仿宋_GB2312" w:hAnsi="仿宋_GB2312" w:eastAsia="仿宋_GB2312" w:cs="仿宋_GB2312"/>
          <w:color w:val="auto"/>
          <w:sz w:val="32"/>
          <w:lang w:val="en-US" w:eastAsia="zh-CN"/>
        </w:rPr>
        <w:t>3.75</w:t>
      </w:r>
      <w:r>
        <w:rPr>
          <w:rFonts w:hint="eastAsia" w:ascii="仿宋_GB2312" w:hAnsi="仿宋_GB2312" w:eastAsia="仿宋_GB2312" w:cs="仿宋_GB2312"/>
          <w:color w:val="auto"/>
          <w:sz w:val="32"/>
        </w:rPr>
        <w:t>亿元，</w:t>
      </w:r>
      <w:r>
        <w:rPr>
          <w:rFonts w:hint="eastAsia" w:ascii="仿宋_GB2312" w:hAnsi="仿宋_GB2312" w:eastAsia="仿宋_GB2312" w:cs="仿宋_GB2312"/>
          <w:color w:val="auto"/>
          <w:sz w:val="32"/>
          <w:lang w:val="en-US" w:eastAsia="zh-CN"/>
        </w:rPr>
        <w:t>确保</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lang w:eastAsia="zh-CN"/>
        </w:rPr>
        <w:t>运行情况正常，各项指标基本达到设计要求和规范要求，保障</w:t>
      </w:r>
      <w:r>
        <w:rPr>
          <w:rFonts w:hint="eastAsia" w:ascii="仿宋_GB2312" w:hAnsi="仿宋_GB2312" w:eastAsia="仿宋_GB2312" w:cs="仿宋_GB2312"/>
          <w:color w:val="auto"/>
          <w:sz w:val="32"/>
          <w:szCs w:val="32"/>
          <w:lang w:val="en-US" w:eastAsia="zh-CN"/>
        </w:rPr>
        <w:t>小门岛石化产业基地企业落户</w:t>
      </w:r>
      <w:r>
        <w:rPr>
          <w:rFonts w:hint="eastAsia" w:ascii="仿宋_GB2312" w:hAnsi="仿宋_GB2312" w:eastAsia="仿宋_GB2312" w:cs="仿宋_GB2312"/>
          <w:color w:val="auto"/>
          <w:sz w:val="32"/>
          <w:szCs w:val="32"/>
          <w:lang w:eastAsia="zh-CN"/>
        </w:rPr>
        <w:t>需求</w:t>
      </w:r>
      <w:r>
        <w:rPr>
          <w:rFonts w:hint="eastAsia" w:ascii="仿宋_GB2312" w:hAnsi="仿宋_GB2312" w:eastAsia="仿宋_GB2312" w:cs="仿宋_GB2312"/>
          <w:color w:val="auto"/>
          <w:sz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highlight w:val="none"/>
          <w:lang w:val="en-US" w:eastAsia="zh-CN"/>
        </w:rPr>
        <w:t>本次评估对象</w:t>
      </w:r>
      <w:r>
        <w:rPr>
          <w:rFonts w:hint="eastAsia" w:ascii="仿宋_GB2312" w:hAnsi="仿宋_GB2312" w:eastAsia="仿宋_GB2312" w:cs="仿宋_GB2312"/>
          <w:color w:val="auto"/>
          <w:sz w:val="32"/>
          <w:highlight w:val="none"/>
        </w:rPr>
        <w:t>为</w:t>
      </w:r>
      <w:r>
        <w:rPr>
          <w:rFonts w:hint="eastAsia" w:ascii="仿宋_GB2312" w:hAnsi="仿宋_GB2312" w:eastAsia="仿宋_GB2312" w:cs="仿宋_GB2312"/>
          <w:color w:val="auto"/>
          <w:sz w:val="32"/>
          <w:szCs w:val="32"/>
          <w:highlight w:val="none"/>
          <w:lang w:eastAsia="zh-CN"/>
        </w:rPr>
        <w:t>洞头区</w:t>
      </w:r>
      <w:r>
        <w:rPr>
          <w:rFonts w:hint="eastAsia" w:ascii="仿宋_GB2312" w:hAnsi="仿宋_GB2312" w:eastAsia="仿宋_GB2312" w:cs="仿宋_GB2312"/>
          <w:color w:val="auto"/>
          <w:sz w:val="32"/>
          <w:szCs w:val="32"/>
          <w:highlight w:val="none"/>
          <w:lang w:val="en-US" w:eastAsia="zh-CN"/>
        </w:rPr>
        <w:t>小门岛石化产业基地市政配套工程</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）绩效评价工作过程</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highlight w:val="none"/>
        </w:rPr>
      </w:pPr>
      <w:r>
        <w:rPr>
          <w:rFonts w:hint="eastAsia" w:ascii="仿宋_GB2312" w:hAnsi="仿宋_GB2312" w:eastAsia="仿宋_GB2312" w:cs="仿宋_GB2312"/>
          <w:color w:val="auto"/>
          <w:sz w:val="32"/>
          <w:highlight w:val="none"/>
        </w:rPr>
        <w:t xml:space="preserve">1. </w:t>
      </w:r>
      <w:r>
        <w:rPr>
          <w:rFonts w:hint="eastAsia" w:ascii="仿宋_GB2312" w:hAnsi="仿宋_GB2312" w:eastAsia="仿宋_GB2312" w:cs="仿宋_GB2312"/>
          <w:color w:val="auto"/>
          <w:sz w:val="32"/>
          <w:highlight w:val="none"/>
          <w:lang w:eastAsia="zh-CN"/>
        </w:rPr>
        <w:t>2022</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9</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1</w:t>
      </w:r>
      <w:r>
        <w:rPr>
          <w:rFonts w:hint="eastAsia" w:ascii="仿宋_GB2312" w:hAnsi="仿宋_GB2312" w:eastAsia="仿宋_GB2312" w:cs="仿宋_GB2312"/>
          <w:color w:val="auto"/>
          <w:sz w:val="32"/>
          <w:highlight w:val="none"/>
        </w:rPr>
        <w:t>日</w:t>
      </w:r>
      <w:r>
        <w:rPr>
          <w:rFonts w:hint="eastAsia" w:ascii="仿宋_GB2312" w:hAnsi="仿宋_GB2312" w:eastAsia="仿宋_GB2312" w:cs="仿宋_GB2312"/>
          <w:color w:val="auto"/>
          <w:sz w:val="32"/>
          <w:highlight w:val="none"/>
          <w:lang w:val="en-US" w:eastAsia="zh-CN"/>
        </w:rPr>
        <w:t>至10月31</w:t>
      </w:r>
      <w:r>
        <w:rPr>
          <w:rFonts w:hint="eastAsia" w:ascii="仿宋_GB2312" w:hAnsi="仿宋_GB2312" w:eastAsia="仿宋_GB2312" w:cs="仿宋_GB2312"/>
          <w:color w:val="auto"/>
          <w:sz w:val="32"/>
          <w:highlight w:val="none"/>
        </w:rPr>
        <w:t>日：绩效评估准备阶段。</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楷体_GB2312" w:hAnsi="楷体_GB2312" w:eastAsia="楷体_GB2312" w:cs="楷体_GB2312"/>
          <w:color w:val="auto"/>
          <w:sz w:val="32"/>
          <w:highlight w:val="none"/>
        </w:rPr>
        <w:t>（1）确定评估对象。</w:t>
      </w:r>
      <w:r>
        <w:rPr>
          <w:rFonts w:hint="eastAsia" w:ascii="仿宋_GB2312" w:hAnsi="仿宋_GB2312" w:eastAsia="仿宋_GB2312" w:cs="仿宋_GB2312"/>
          <w:color w:val="auto"/>
          <w:sz w:val="32"/>
          <w:highlight w:val="none"/>
          <w:lang w:val="en-US" w:eastAsia="zh-CN"/>
        </w:rPr>
        <w:t>本次评估对象</w:t>
      </w:r>
      <w:r>
        <w:rPr>
          <w:rFonts w:hint="eastAsia" w:ascii="仿宋_GB2312" w:hAnsi="仿宋_GB2312" w:eastAsia="仿宋_GB2312" w:cs="仿宋_GB2312"/>
          <w:color w:val="auto"/>
          <w:sz w:val="32"/>
          <w:highlight w:val="none"/>
        </w:rPr>
        <w:t>为</w:t>
      </w:r>
      <w:r>
        <w:rPr>
          <w:rFonts w:hint="eastAsia" w:ascii="仿宋_GB2312" w:hAnsi="仿宋_GB2312" w:eastAsia="仿宋_GB2312" w:cs="仿宋_GB2312"/>
          <w:color w:val="auto"/>
          <w:sz w:val="32"/>
          <w:highlight w:val="none"/>
          <w:lang w:eastAsia="zh-CN"/>
        </w:rPr>
        <w:t>洞头区</w:t>
      </w:r>
      <w:r>
        <w:rPr>
          <w:rFonts w:hint="eastAsia" w:ascii="仿宋_GB2312" w:hAnsi="仿宋_GB2312" w:eastAsia="仿宋_GB2312" w:cs="仿宋_GB2312"/>
          <w:color w:val="auto"/>
          <w:sz w:val="32"/>
          <w:highlight w:val="none"/>
          <w:lang w:val="en-US" w:eastAsia="zh-CN"/>
        </w:rPr>
        <w:t>小门岛石化产业基地市政配套工程</w:t>
      </w:r>
      <w:r>
        <w:rPr>
          <w:rFonts w:hint="eastAsia" w:ascii="仿宋_GB2312" w:hAnsi="仿宋_GB2312" w:eastAsia="仿宋_GB2312" w:cs="仿宋_GB2312"/>
          <w:color w:val="auto"/>
          <w:sz w:val="32"/>
          <w:highlight w:val="none"/>
          <w:lang w:eastAsia="zh-CN"/>
        </w:rPr>
        <w:t>项目</w:t>
      </w:r>
      <w:r>
        <w:rPr>
          <w:rFonts w:hint="eastAsia" w:ascii="仿宋_GB2312" w:hAnsi="仿宋_GB2312" w:eastAsia="仿宋_GB2312" w:cs="仿宋_GB2312"/>
          <w:color w:val="auto"/>
          <w:sz w:val="32"/>
          <w:highlight w:val="none"/>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楷体_GB2312" w:hAnsi="楷体_GB2312" w:eastAsia="楷体_GB2312" w:cs="楷体_GB2312"/>
          <w:color w:val="auto"/>
          <w:sz w:val="32"/>
          <w:highlight w:val="none"/>
        </w:rPr>
        <w:t>（</w:t>
      </w:r>
      <w:r>
        <w:rPr>
          <w:rFonts w:hint="eastAsia" w:ascii="楷体_GB2312" w:hAnsi="楷体_GB2312" w:eastAsia="楷体_GB2312" w:cs="楷体_GB2312"/>
          <w:color w:val="auto"/>
          <w:sz w:val="32"/>
          <w:highlight w:val="none"/>
          <w:lang w:val="en-US" w:eastAsia="zh-CN"/>
        </w:rPr>
        <w:t>2</w:t>
      </w:r>
      <w:r>
        <w:rPr>
          <w:rFonts w:hint="eastAsia" w:ascii="楷体_GB2312" w:hAnsi="楷体_GB2312" w:eastAsia="楷体_GB2312" w:cs="楷体_GB2312"/>
          <w:color w:val="auto"/>
          <w:sz w:val="32"/>
          <w:highlight w:val="none"/>
        </w:rPr>
        <w:t>）制定评估方案。</w:t>
      </w:r>
      <w:r>
        <w:rPr>
          <w:rFonts w:hint="eastAsia" w:ascii="仿宋_GB2312" w:hAnsi="仿宋_GB2312" w:eastAsia="仿宋_GB2312" w:cs="仿宋_GB2312"/>
          <w:color w:val="auto"/>
          <w:sz w:val="32"/>
          <w:highlight w:val="none"/>
        </w:rPr>
        <w:t>明确评估任务后需拟定具体的事前绩效评估工作方案。</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800" w:firstLineChars="25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 xml:space="preserve">2. </w:t>
      </w:r>
      <w:r>
        <w:rPr>
          <w:rFonts w:hint="eastAsia" w:ascii="仿宋_GB2312" w:hAnsi="仿宋_GB2312" w:eastAsia="仿宋_GB2312" w:cs="仿宋_GB2312"/>
          <w:color w:val="auto"/>
          <w:sz w:val="32"/>
          <w:highlight w:val="none"/>
          <w:lang w:eastAsia="zh-CN"/>
        </w:rPr>
        <w:t>2022</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11</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1</w:t>
      </w:r>
      <w:r>
        <w:rPr>
          <w:rFonts w:hint="eastAsia" w:ascii="仿宋_GB2312" w:hAnsi="仿宋_GB2312" w:eastAsia="仿宋_GB2312" w:cs="仿宋_GB2312"/>
          <w:color w:val="auto"/>
          <w:sz w:val="32"/>
          <w:highlight w:val="none"/>
        </w:rPr>
        <w:t>日</w:t>
      </w:r>
      <w:r>
        <w:rPr>
          <w:rFonts w:hint="eastAsia" w:ascii="仿宋_GB2312" w:hAnsi="仿宋_GB2312" w:eastAsia="仿宋_GB2312" w:cs="仿宋_GB2312"/>
          <w:color w:val="auto"/>
          <w:sz w:val="32"/>
          <w:highlight w:val="none"/>
          <w:lang w:val="en-US" w:eastAsia="zh-CN"/>
        </w:rPr>
        <w:t>至12月31</w:t>
      </w:r>
      <w:r>
        <w:rPr>
          <w:rFonts w:hint="eastAsia" w:ascii="仿宋_GB2312" w:hAnsi="仿宋_GB2312" w:eastAsia="仿宋_GB2312" w:cs="仿宋_GB2312"/>
          <w:color w:val="auto"/>
          <w:sz w:val="32"/>
          <w:highlight w:val="none"/>
        </w:rPr>
        <w:t>日：绩效评估实施阶段。</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楷体_GB2312" w:hAnsi="楷体_GB2312" w:eastAsia="楷体_GB2312" w:cs="楷体_GB2312"/>
          <w:color w:val="auto"/>
          <w:sz w:val="32"/>
          <w:highlight w:val="none"/>
        </w:rPr>
        <w:t>（1）资料收集与审核。</w:t>
      </w:r>
      <w:r>
        <w:rPr>
          <w:rFonts w:hint="eastAsia" w:ascii="仿宋_GB2312" w:hAnsi="仿宋_GB2312" w:eastAsia="仿宋_GB2312" w:cs="仿宋_GB2312"/>
          <w:color w:val="auto"/>
          <w:sz w:val="32"/>
          <w:highlight w:val="none"/>
        </w:rPr>
        <w:t>全面收集与被评估政策和项目有关的数据和资料，并进行审核与分析。</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楷体_GB2312" w:hAnsi="楷体_GB2312" w:eastAsia="楷体_GB2312" w:cs="楷体_GB2312"/>
          <w:color w:val="auto"/>
          <w:sz w:val="32"/>
          <w:highlight w:val="none"/>
        </w:rPr>
        <w:t>（2）现场与非现场评估。</w:t>
      </w:r>
      <w:r>
        <w:rPr>
          <w:rFonts w:hint="eastAsia" w:ascii="仿宋_GB2312" w:hAnsi="仿宋_GB2312" w:eastAsia="仿宋_GB2312" w:cs="仿宋_GB2312"/>
          <w:color w:val="auto"/>
          <w:sz w:val="32"/>
          <w:highlight w:val="none"/>
        </w:rPr>
        <w:t>现场评估是指评估组到现场采取勘察、询查、复核等方式，对有关情况进行调查、核实，并对所掌握的有关信息资料进行分类、整理和分析，提出评估意见。非现场评估是指评估组在听取相关方汇报或介绍后，对所提交的有关资料进行分类、整理与分析，提出评估意见。评估组可根据具体情况结合选择。</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highlight w:val="none"/>
        </w:rPr>
      </w:pPr>
      <w:r>
        <w:rPr>
          <w:rFonts w:hint="eastAsia" w:ascii="楷体_GB2312" w:hAnsi="楷体_GB2312" w:eastAsia="楷体_GB2312" w:cs="楷体_GB2312"/>
          <w:color w:val="auto"/>
          <w:sz w:val="32"/>
          <w:highlight w:val="none"/>
        </w:rPr>
        <w:t>（3）综合评估。</w:t>
      </w:r>
      <w:r>
        <w:rPr>
          <w:rFonts w:hint="eastAsia" w:ascii="仿宋_GB2312" w:hAnsi="仿宋_GB2312" w:eastAsia="仿宋_GB2312" w:cs="仿宋_GB2312"/>
          <w:color w:val="auto"/>
          <w:sz w:val="32"/>
          <w:highlight w:val="none"/>
        </w:rPr>
        <w:t>评估组在现场与非现场评估的基础上，选择合适的评估方法，对照评估方案中内容，项目立项必要性、投入经济性、绩效目标合理性、实施方案可行性、筹资合规性等情况进行综合评判。</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highlight w:val="none"/>
        </w:rPr>
        <w:t xml:space="preserve">3. </w:t>
      </w:r>
      <w:r>
        <w:rPr>
          <w:rFonts w:hint="eastAsia" w:ascii="仿宋_GB2312" w:hAnsi="仿宋_GB2312" w:eastAsia="仿宋_GB2312" w:cs="仿宋_GB2312"/>
          <w:color w:val="auto"/>
          <w:sz w:val="32"/>
          <w:highlight w:val="none"/>
          <w:lang w:eastAsia="zh-CN"/>
        </w:rPr>
        <w:t>202</w:t>
      </w:r>
      <w:r>
        <w:rPr>
          <w:rFonts w:hint="eastAsia" w:ascii="仿宋_GB2312" w:hAnsi="仿宋_GB2312" w:eastAsia="仿宋_GB2312" w:cs="仿宋_GB2312"/>
          <w:color w:val="auto"/>
          <w:sz w:val="32"/>
          <w:highlight w:val="none"/>
          <w:lang w:val="en-US" w:eastAsia="zh-CN"/>
        </w:rPr>
        <w:t>3</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lang w:val="en-US" w:eastAsia="zh-CN"/>
        </w:rPr>
        <w:t>1</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lang w:val="en-US" w:eastAsia="zh-CN"/>
        </w:rPr>
        <w:t>1</w:t>
      </w:r>
      <w:r>
        <w:rPr>
          <w:rFonts w:hint="eastAsia" w:ascii="仿宋_GB2312" w:hAnsi="仿宋_GB2312" w:eastAsia="仿宋_GB2312" w:cs="仿宋_GB2312"/>
          <w:color w:val="auto"/>
          <w:sz w:val="32"/>
          <w:highlight w:val="none"/>
        </w:rPr>
        <w:t>日</w:t>
      </w:r>
      <w:r>
        <w:rPr>
          <w:rFonts w:hint="eastAsia" w:ascii="仿宋_GB2312" w:hAnsi="仿宋_GB2312" w:eastAsia="仿宋_GB2312" w:cs="仿宋_GB2312"/>
          <w:color w:val="auto"/>
          <w:sz w:val="32"/>
          <w:highlight w:val="none"/>
          <w:lang w:val="en-US" w:eastAsia="zh-CN"/>
        </w:rPr>
        <w:t>至3月31</w:t>
      </w:r>
      <w:r>
        <w:rPr>
          <w:rFonts w:hint="eastAsia" w:ascii="仿宋_GB2312" w:hAnsi="仿宋_GB2312" w:eastAsia="仿宋_GB2312" w:cs="仿宋_GB2312"/>
          <w:color w:val="auto"/>
          <w:sz w:val="32"/>
          <w:highlight w:val="none"/>
        </w:rPr>
        <w:t>日：绩效评估报告</w:t>
      </w:r>
      <w:r>
        <w:rPr>
          <w:rFonts w:hint="eastAsia" w:ascii="仿宋_GB2312" w:hAnsi="仿宋_GB2312" w:eastAsia="仿宋_GB2312" w:cs="仿宋_GB2312"/>
          <w:color w:val="auto"/>
          <w:sz w:val="32"/>
          <w:highlight w:val="none"/>
          <w:lang w:val="en-US" w:eastAsia="zh-CN"/>
        </w:rPr>
        <w:t>形成</w:t>
      </w:r>
      <w:r>
        <w:rPr>
          <w:rFonts w:hint="eastAsia" w:ascii="仿宋_GB2312" w:hAnsi="仿宋_GB2312" w:eastAsia="仿宋_GB2312" w:cs="仿宋_GB2312"/>
          <w:color w:val="auto"/>
          <w:sz w:val="32"/>
          <w:highlight w:val="none"/>
        </w:rPr>
        <w:t>阶段。</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三、综合评价情况及评价结论</w:t>
      </w:r>
      <w:r>
        <w:rPr>
          <w:rFonts w:hint="eastAsia" w:ascii="仿宋_GB2312"/>
          <w:color w:val="auto"/>
          <w:sz w:val="32"/>
          <w:szCs w:val="32"/>
        </w:rPr>
        <w:t>（附相关评分表）</w:t>
      </w:r>
    </w:p>
    <w:p>
      <w:pPr>
        <w:snapToGrid w:val="0"/>
        <w:spacing w:line="540" w:lineRule="exact"/>
        <w:rPr>
          <w:rFonts w:ascii="仿宋_GB2312" w:hAnsi="仿宋_GB2312" w:cs="仿宋_GB2312"/>
          <w:sz w:val="32"/>
          <w:szCs w:val="32"/>
        </w:rPr>
      </w:pPr>
    </w:p>
    <w:tbl>
      <w:tblPr>
        <w:tblStyle w:val="7"/>
        <w:tblW w:w="9255"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1248"/>
        <w:gridCol w:w="1218"/>
        <w:gridCol w:w="1905"/>
        <w:gridCol w:w="855"/>
        <w:gridCol w:w="645"/>
        <w:gridCol w:w="61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255"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90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24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1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0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85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全年完成值</w:t>
            </w:r>
          </w:p>
        </w:tc>
        <w:tc>
          <w:tcPr>
            <w:tcW w:w="64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1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86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未完成指标或偏离年初设定的绩效指标值的原因分析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决策</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项目立项批复情况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立项依据充分性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项目立项符合法律法规、相关政策、发展规划以及部门职责。</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立项程序合规性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项目申请、设立过程符合相关要求。</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项目完成勘察、设计、用地、环评、开工许可等前期工作情况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前期工作准备充分性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各项前期工作按要求在计划的时间内完成</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前期工作开展规范性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前期工作开展规范、符合程序，开工前取得各项审批</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项目符合专项债券支持领域和方向情况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项目与专项债券支持领域和方向匹配性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cs="仿宋_GB2312"/>
                <w:i w:val="0"/>
                <w:iCs w:val="0"/>
                <w:color w:val="000000"/>
                <w:kern w:val="0"/>
                <w:sz w:val="22"/>
                <w:szCs w:val="22"/>
                <w:u w:val="none"/>
                <w:lang w:val="en-US" w:eastAsia="zh-CN" w:bidi="ar"/>
              </w:rPr>
              <w:t>相</w:t>
            </w:r>
            <w:r>
              <w:rPr>
                <w:rFonts w:hint="eastAsia" w:ascii="仿宋_GB2312" w:hAnsi="Arial" w:eastAsia="仿宋_GB2312" w:cs="仿宋_GB2312"/>
                <w:i w:val="0"/>
                <w:iCs w:val="0"/>
                <w:color w:val="000000"/>
                <w:kern w:val="0"/>
                <w:sz w:val="22"/>
                <w:szCs w:val="22"/>
                <w:u w:val="none"/>
                <w:lang w:val="en-US" w:eastAsia="zh-CN" w:bidi="ar"/>
              </w:rPr>
              <w:t>匹配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项目申请专项债券额度与实际需要匹配性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cs="仿宋_GB2312"/>
                <w:i w:val="0"/>
                <w:iCs w:val="0"/>
                <w:color w:val="000000"/>
                <w:kern w:val="0"/>
                <w:sz w:val="22"/>
                <w:szCs w:val="22"/>
                <w:u w:val="none"/>
                <w:lang w:val="en-US" w:eastAsia="zh-CN" w:bidi="ar"/>
              </w:rPr>
              <w:t>相</w:t>
            </w:r>
            <w:r>
              <w:rPr>
                <w:rFonts w:hint="eastAsia" w:ascii="仿宋_GB2312" w:hAnsi="Arial" w:eastAsia="仿宋_GB2312" w:cs="仿宋_GB2312"/>
                <w:i w:val="0"/>
                <w:iCs w:val="0"/>
                <w:color w:val="000000"/>
                <w:kern w:val="0"/>
                <w:sz w:val="22"/>
                <w:szCs w:val="22"/>
                <w:u w:val="none"/>
                <w:lang w:val="en-US" w:eastAsia="zh-CN" w:bidi="ar"/>
              </w:rPr>
              <w:t>匹配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项目绩效目标设定情况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目标设立合理性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项目绩效目标依据充分，符合客观实际。</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目标设立明确性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目标设立与项目总体目标相对应</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管理</w:t>
            </w:r>
          </w:p>
        </w:tc>
        <w:tc>
          <w:tcPr>
            <w:tcW w:w="12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专项债券管理</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专项债券预算管理情况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根据要求，有序、全面管理</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债券资金按规定用途使用情况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资金使用、拨付符合规定，手续完整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资金拨付和支出进度与项目建设进度匹配性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资金根据项目建设进度支出</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专项债券本息偿还计划执行情况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专项债券本息按规定时间、规定金额进行偿还</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项目收入、成本及预期收益合理性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项目收入、成本和预期收益的测算合理</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项目年度收支平衡或项目全生命周期预期收益与专项债券规模匹配性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项目收支平衡，收益</w:t>
            </w:r>
            <w:r>
              <w:rPr>
                <w:rFonts w:hint="eastAsia" w:ascii="仿宋_GB2312" w:hAnsi="Arial" w:cs="仿宋_GB2312"/>
                <w:i w:val="0"/>
                <w:iCs w:val="0"/>
                <w:color w:val="000000"/>
                <w:kern w:val="0"/>
                <w:sz w:val="22"/>
                <w:szCs w:val="22"/>
                <w:u w:val="none"/>
                <w:lang w:val="en-US" w:eastAsia="zh-CN" w:bidi="ar"/>
              </w:rPr>
              <w:t>相</w:t>
            </w:r>
            <w:r>
              <w:rPr>
                <w:rFonts w:hint="eastAsia" w:ascii="仿宋_GB2312" w:hAnsi="Arial" w:eastAsia="仿宋_GB2312" w:cs="仿宋_GB2312"/>
                <w:i w:val="0"/>
                <w:iCs w:val="0"/>
                <w:color w:val="000000"/>
                <w:kern w:val="0"/>
                <w:sz w:val="22"/>
                <w:szCs w:val="22"/>
                <w:u w:val="none"/>
                <w:lang w:val="en-US" w:eastAsia="zh-CN" w:bidi="ar"/>
              </w:rPr>
              <w:t>匹配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专项债券期限与项目期限匹配情况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专项债券期限与项目建设和运营期限匹配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资产管理</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项目竣工后资产备案和产权登记情况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项目仍在施工中</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项目</w:t>
            </w:r>
            <w:r>
              <w:rPr>
                <w:rFonts w:hint="eastAsia" w:ascii="仿宋_GB2312" w:hAnsi="Arial" w:cs="仿宋_GB2312"/>
                <w:i w:val="0"/>
                <w:iCs w:val="0"/>
                <w:color w:val="000000"/>
                <w:kern w:val="0"/>
                <w:sz w:val="22"/>
                <w:szCs w:val="22"/>
                <w:u w:val="none"/>
                <w:lang w:val="en-US" w:eastAsia="zh-CN" w:bidi="ar"/>
              </w:rPr>
              <w:t>尚未</w:t>
            </w:r>
            <w:r>
              <w:rPr>
                <w:rFonts w:hint="eastAsia" w:ascii="仿宋_GB2312" w:hAnsi="Arial" w:eastAsia="仿宋_GB2312" w:cs="仿宋_GB2312"/>
                <w:i w:val="0"/>
                <w:iCs w:val="0"/>
                <w:color w:val="000000"/>
                <w:kern w:val="0"/>
                <w:sz w:val="22"/>
                <w:szCs w:val="22"/>
                <w:u w:val="none"/>
                <w:lang w:val="en-US" w:eastAsia="zh-CN" w:bidi="ar"/>
              </w:rPr>
              <w:t>竣工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问题整改</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外部监督发现问题整改情况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整改及时、到位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专项债券项目信息管理</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专项债券项目信息公开情况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根据规定公开</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信息系统管理使用情况</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信息公开更新及时、完整</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其他财务、采购和管理情况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财务制度健全性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制定相应的财务管理制度</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财务管理有效性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项目财务管理按照制度执行，管理有效</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管理制度健全性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业务管理制度和组织机制健全</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管理规范性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项目实施符合相关管理规定</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产出</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项目形成资产情况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数量完成率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形成资产</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1"/>
                <w:szCs w:val="21"/>
                <w:u w:val="none"/>
                <w:lang w:val="en-US" w:eastAsia="zh-CN" w:bidi="ar"/>
              </w:rPr>
              <w:t>工程进度未完成，故资产尚未归集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项目建设质量达标情况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质量达标率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质量达标</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项目建设进度情况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完成及时性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及时完成</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1"/>
                <w:szCs w:val="21"/>
                <w:u w:val="none"/>
                <w:lang w:val="en-US" w:eastAsia="zh-CN" w:bidi="ar"/>
              </w:rPr>
              <w:t>因区政府规划调整项目完成30.</w:t>
            </w:r>
            <w:r>
              <w:rPr>
                <w:rFonts w:hint="eastAsia" w:ascii="仿宋_GB2312" w:hAnsi="Arial" w:cs="仿宋_GB2312"/>
                <w:i w:val="0"/>
                <w:iCs w:val="0"/>
                <w:color w:val="000000"/>
                <w:kern w:val="0"/>
                <w:sz w:val="21"/>
                <w:szCs w:val="21"/>
                <w:u w:val="none"/>
                <w:lang w:val="en-US" w:eastAsia="zh-CN" w:bidi="ar"/>
              </w:rPr>
              <w:t>5</w:t>
            </w:r>
            <w:r>
              <w:rPr>
                <w:rFonts w:hint="eastAsia" w:ascii="仿宋_GB2312" w:hAnsi="Arial"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项目建设成本情况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成本节约率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节约成本</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考虑闲置因素后债券资金实际成本情况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专项债券资金实际成本</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降低成本</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项目建成后提供公共产品和服务情况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提供的公共产品和服务实际完成率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服务到位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提供的公共产品和服务质量达标率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质量达标</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rPr>
                <w:rFonts w:hint="default" w:ascii="仿宋_GB2312" w:hAnsi="Arial" w:eastAsia="仿宋_GB2312" w:cs="仿宋_GB2312"/>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提供的公共产品和服务及时性</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服务提供及时</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运营成本情况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运营成本节约率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节约成本</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90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效益</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项目综合效益实现情况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4"/>
                <w:szCs w:val="24"/>
                <w:u w:val="none"/>
              </w:rPr>
            </w:pPr>
            <w:r>
              <w:rPr>
                <w:rFonts w:hint="default" w:ascii="仿宋_GB2312" w:hAnsi="Arial" w:eastAsia="仿宋_GB2312" w:cs="仿宋_GB2312"/>
                <w:i w:val="0"/>
                <w:iCs w:val="0"/>
                <w:color w:val="000000"/>
                <w:kern w:val="0"/>
                <w:sz w:val="24"/>
                <w:szCs w:val="24"/>
                <w:u w:val="none"/>
                <w:lang w:val="en-US" w:eastAsia="zh-CN" w:bidi="ar"/>
              </w:rPr>
              <w:t>项目综合效益</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项目带动社会有效投资情况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社会有效投资带动度</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项目支持国家及本地区重大区域发展战略情况</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国家及本地区重大区域发展战略支持度</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0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仿宋_GB2312" w:hAnsi="Arial" w:eastAsia="仿宋_GB2312" w:cs="仿宋_GB2312"/>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项目直接服务对象满意度</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default" w:ascii="仿宋_GB2312" w:hAnsi="Arial" w:eastAsia="仿宋_GB2312" w:cs="仿宋_GB2312"/>
                <w:i w:val="0"/>
                <w:iCs w:val="0"/>
                <w:color w:val="000000"/>
                <w:kern w:val="0"/>
                <w:sz w:val="22"/>
                <w:szCs w:val="22"/>
                <w:u w:val="none"/>
                <w:lang w:val="en-US" w:eastAsia="zh-CN" w:bidi="ar"/>
              </w:rPr>
              <w:t>服务对象或项目受益人等相关群体满意度</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lang w:val="en-US" w:eastAsia="zh-CN" w:bidi="ar"/>
              </w:rPr>
              <w:t>群众满意度高</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w:t>
            </w:r>
          </w:p>
        </w:tc>
        <w:tc>
          <w:tcPr>
            <w:tcW w:w="18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仿宋_GB2312" w:hAnsi="Arial" w:cs="仿宋_GB2312"/>
                <w:i w:val="0"/>
                <w:iCs w:val="0"/>
                <w:color w:val="000000"/>
                <w:kern w:val="0"/>
                <w:sz w:val="22"/>
                <w:szCs w:val="22"/>
                <w:u w:val="none"/>
                <w:lang w:val="en-US" w:eastAsia="zh-CN" w:bidi="ar"/>
              </w:rPr>
              <w:t>项目未建成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135" w:type="dxa"/>
            <w:gridSpan w:val="5"/>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得分合计</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860" w:type="dxa"/>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57" w:type="dxa"/>
            <w:gridSpan w:val="2"/>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下一步拟采取的改进措施</w:t>
            </w:r>
          </w:p>
        </w:tc>
        <w:tc>
          <w:tcPr>
            <w:tcW w:w="7098" w:type="dxa"/>
            <w:gridSpan w:val="6"/>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val="0"/>
              <w:jc w:val="left"/>
              <w:textAlignment w:val="bottom"/>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一、充分发挥EPC项目优势，积极推进污水处理厂工程在规模调整后的初步设计调整工作，尽快落实该工程前期审批，以及设备采购工作；二、主动配合部门开展项目有关政策协调事宜，并尽快形成建设工作面；三、根据年内遇到的实际问题，出台有关破解措施，及时调整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1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其他说明</w:t>
            </w:r>
          </w:p>
        </w:tc>
        <w:tc>
          <w:tcPr>
            <w:tcW w:w="709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_GB2312" w:hAnsi="Arial" w:eastAsia="仿宋_GB2312" w:cs="仿宋_GB2312"/>
                <w:i w:val="0"/>
                <w:iCs w:val="0"/>
                <w:color w:val="000000"/>
                <w:kern w:val="0"/>
                <w:sz w:val="22"/>
                <w:szCs w:val="22"/>
                <w:u w:val="none"/>
                <w:lang w:val="en-US" w:eastAsia="zh-CN" w:bidi="ar"/>
              </w:rPr>
              <w:t>无</w:t>
            </w:r>
          </w:p>
        </w:tc>
      </w:tr>
    </w:tbl>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，我公司申请地方政府专项债券资金</w:t>
      </w:r>
      <w:r>
        <w:rPr>
          <w:rFonts w:hint="eastAsia" w:ascii="仿宋_GB2312" w:hAnsi="仿宋_GB2312" w:eastAsia="仿宋_GB2312" w:cs="仿宋_GB2312"/>
          <w:sz w:val="32"/>
          <w:szCs w:val="32"/>
          <w:lang w:val="en-US" w:eastAsia="zh-CN"/>
        </w:rPr>
        <w:t>6600</w:t>
      </w:r>
      <w:r>
        <w:rPr>
          <w:rFonts w:hint="eastAsia" w:ascii="仿宋_GB2312" w:hAnsi="仿宋_GB2312" w:eastAsia="仿宋_GB2312" w:cs="仿宋_GB2312"/>
          <w:sz w:val="32"/>
          <w:szCs w:val="32"/>
        </w:rPr>
        <w:t>万元用于洞头区小门岛石化产业基地市政配套工程项目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年12月末，</w:t>
      </w:r>
      <w:r>
        <w:rPr>
          <w:rFonts w:hint="eastAsia" w:ascii="仿宋_GB2312" w:hAnsi="仿宋_GB2312" w:eastAsia="仿宋_GB2312" w:cs="仿宋_GB2312"/>
          <w:sz w:val="32"/>
          <w:szCs w:val="32"/>
          <w:lang w:eastAsia="zh-CN"/>
        </w:rPr>
        <w:t>本年已使用专项债券资金</w:t>
      </w:r>
      <w:r>
        <w:rPr>
          <w:rFonts w:hint="eastAsia" w:ascii="仿宋_GB2312" w:hAnsi="仿宋_GB2312" w:eastAsia="仿宋_GB2312" w:cs="仿宋_GB2312"/>
          <w:sz w:val="32"/>
          <w:szCs w:val="32"/>
          <w:lang w:val="en-US" w:eastAsia="zh-CN"/>
        </w:rPr>
        <w:t>4208.45万元，占当年申请数的63.76%，未能按计划完成的主要原因是因区政府规划调整导致工程进度滞后。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本项目的建成对促进城镇化的发展起着巨大的作用，对于改善投资环境，扩大对外开放，繁荣经济，提高人民生活具有重要作用。对进一步促进海洋渔业的迅速发展，加快渔业产业化进程，进一步促进市场经济的发展，加快经济体制改革，适应未来经济的发展，起着重要的作用。 本项目作为小门岛的基础设施，其作用、意义及其影响是广泛而深远的，得到了当地政府、企业、居民的广泛理解和支持。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当地政府对该项目的建设十分重视，多次组织水利、电力、通信、土地、规划等部门召开会议，对建设方案、建设规模等问题进行专题研究，征求各部门、单位的意见和建议，不断完善建设方案；当地政府也在项目前期工作阶段给予了大力协助与支持，表示在项目</w:t>
      </w:r>
      <w:bookmarkStart w:id="0" w:name="_GoBack"/>
      <w:bookmarkEnd w:id="0"/>
      <w:r>
        <w:rPr>
          <w:rFonts w:hint="eastAsia" w:ascii="仿宋_GB2312" w:hAnsi="仿宋_GB2312" w:eastAsia="仿宋_GB2312" w:cs="仿宋_GB2312"/>
          <w:color w:val="000000"/>
          <w:kern w:val="0"/>
          <w:sz w:val="32"/>
          <w:szCs w:val="32"/>
          <w:lang w:val="en-US" w:eastAsia="zh-CN" w:bidi="ar"/>
        </w:rPr>
        <w:t>实施阶段不遗余力地做好征地、拆迁等配合、协调、服务工作，为工程建设营造一个宽松、优越的外部环境，确保工程建设顺利进行。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当地政府及相关部门的配合与支持，使得本项目的建设实施得以顺利进行，该项目的建设有着十分良好的社会环境，群众满意度和支持率很高。</w:t>
      </w:r>
    </w:p>
    <w:p>
      <w:pPr>
        <w:keepNext w:val="0"/>
        <w:keepLines w:val="0"/>
        <w:pageBreakBefore w:val="0"/>
        <w:widowControl w:val="0"/>
        <w:tabs>
          <w:tab w:val="center" w:pos="4153"/>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绩效评价结果应用情况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w:t>
      </w:r>
      <w:r>
        <w:rPr>
          <w:rFonts w:hint="eastAsia" w:ascii="仿宋_GB2312" w:hAnsi="仿宋_GB2312" w:eastAsia="仿宋_GB2312" w:cs="仿宋_GB2312"/>
          <w:sz w:val="32"/>
          <w:szCs w:val="32"/>
          <w:lang w:val="en-US" w:eastAsia="zh-CN"/>
        </w:rPr>
        <w:t>地方政府专项债券资金</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工作，及时发现</w:t>
      </w:r>
      <w:r>
        <w:rPr>
          <w:rFonts w:hint="eastAsia" w:ascii="仿宋_GB2312" w:hAnsi="仿宋_GB2312" w:eastAsia="仿宋_GB2312" w:cs="仿宋_GB2312"/>
          <w:sz w:val="32"/>
          <w:szCs w:val="32"/>
          <w:lang w:val="en-US" w:eastAsia="zh-CN"/>
        </w:rPr>
        <w:t>工作中</w:t>
      </w:r>
      <w:r>
        <w:rPr>
          <w:rFonts w:hint="eastAsia" w:ascii="仿宋_GB2312" w:hAnsi="仿宋_GB2312" w:eastAsia="仿宋_GB2312" w:cs="仿宋_GB2312"/>
          <w:sz w:val="32"/>
          <w:szCs w:val="32"/>
        </w:rPr>
        <w:t>存在的问题，</w:t>
      </w:r>
      <w:r>
        <w:rPr>
          <w:rFonts w:hint="eastAsia" w:ascii="仿宋_GB2312" w:hAnsi="仿宋_GB2312" w:eastAsia="仿宋_GB2312" w:cs="仿宋_GB2312"/>
          <w:sz w:val="32"/>
          <w:szCs w:val="32"/>
          <w:lang w:val="en-US" w:eastAsia="zh-CN"/>
        </w:rPr>
        <w:t>总结经验、</w:t>
      </w:r>
      <w:r>
        <w:rPr>
          <w:rFonts w:hint="eastAsia" w:ascii="仿宋_GB2312" w:hAnsi="仿宋_GB2312" w:eastAsia="仿宋_GB2312" w:cs="仿宋_GB2312"/>
          <w:sz w:val="32"/>
          <w:szCs w:val="32"/>
        </w:rPr>
        <w:t>提出整改措施和意见，将绩效评价结果</w:t>
      </w:r>
      <w:r>
        <w:rPr>
          <w:rFonts w:hint="eastAsia" w:ascii="仿宋_GB2312" w:hAnsi="仿宋_GB2312" w:eastAsia="仿宋_GB2312" w:cs="仿宋_GB2312"/>
          <w:sz w:val="32"/>
          <w:szCs w:val="32"/>
          <w:lang w:val="en-US" w:eastAsia="zh-CN"/>
        </w:rPr>
        <w:t>运用于</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lang w:val="en-US" w:eastAsia="zh-CN"/>
        </w:rPr>
        <w:t>国债资金使用方面的有关</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val="en-US" w:eastAsia="zh-CN"/>
        </w:rPr>
        <w:t>、指导试点申报和评审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并作为我地区政府债自主试点和相关专项资金分配的重要参考因素，</w:t>
      </w:r>
      <w:r>
        <w:rPr>
          <w:rFonts w:hint="eastAsia" w:ascii="仿宋_GB2312" w:hAnsi="仿宋_GB2312" w:eastAsia="仿宋_GB2312" w:cs="仿宋_GB2312"/>
          <w:sz w:val="32"/>
          <w:szCs w:val="32"/>
        </w:rPr>
        <w:t>不断提高财政资金使用效益，更好地</w:t>
      </w:r>
      <w:r>
        <w:rPr>
          <w:rFonts w:hint="eastAsia" w:ascii="仿宋_GB2312" w:hAnsi="仿宋_GB2312" w:eastAsia="仿宋_GB2312" w:cs="仿宋_GB2312"/>
          <w:sz w:val="32"/>
          <w:szCs w:val="32"/>
          <w:lang w:eastAsia="zh-CN"/>
        </w:rPr>
        <w:t>引导金融资源支持地方基础设施建设</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val="0"/>
        <w:spacing w:beforeLines="0" w:afterLines="0" w:line="560" w:lineRule="exact"/>
        <w:ind w:firstLine="630"/>
        <w:jc w:val="righ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napToGrid w:val="0"/>
        <w:spacing w:beforeLines="0" w:afterLines="0" w:line="560" w:lineRule="exact"/>
        <w:ind w:firstLine="630"/>
        <w:jc w:val="righ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napToGrid w:val="0"/>
        <w:spacing w:beforeLines="0" w:afterLines="0" w:line="560" w:lineRule="exact"/>
        <w:ind w:firstLine="63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温州大小门岛投资开发有限公司</w:t>
      </w:r>
    </w:p>
    <w:p>
      <w:pPr>
        <w:keepNext w:val="0"/>
        <w:keepLines w:val="0"/>
        <w:pageBreakBefore w:val="0"/>
        <w:kinsoku/>
        <w:wordWrap/>
        <w:overflowPunct/>
        <w:topLinePunct w:val="0"/>
        <w:autoSpaceDE/>
        <w:autoSpaceDN/>
        <w:bidi w:val="0"/>
        <w:snapToGrid w:val="0"/>
        <w:spacing w:beforeLines="0" w:afterLines="0" w:line="560" w:lineRule="exact"/>
        <w:ind w:left="4500" w:left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GB"/>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GB"/>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50"/>
  <w:drawingGridVerticalSpacing w:val="58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MTE2YzQ4NGJjMzUxY2E4MTUzNzU4YzNiNjUyY2YifQ=="/>
  </w:docVars>
  <w:rsids>
    <w:rsidRoot w:val="00F57F82"/>
    <w:rsid w:val="00001460"/>
    <w:rsid w:val="000101E1"/>
    <w:rsid w:val="00026177"/>
    <w:rsid w:val="00031A8C"/>
    <w:rsid w:val="00060E9E"/>
    <w:rsid w:val="000732DA"/>
    <w:rsid w:val="00075CDC"/>
    <w:rsid w:val="000B1E8F"/>
    <w:rsid w:val="000B6964"/>
    <w:rsid w:val="000D5C4A"/>
    <w:rsid w:val="00103D16"/>
    <w:rsid w:val="00111638"/>
    <w:rsid w:val="00111928"/>
    <w:rsid w:val="0012041C"/>
    <w:rsid w:val="00164D84"/>
    <w:rsid w:val="00173016"/>
    <w:rsid w:val="0017509C"/>
    <w:rsid w:val="001808CA"/>
    <w:rsid w:val="00180A4A"/>
    <w:rsid w:val="001A4E46"/>
    <w:rsid w:val="001E03FE"/>
    <w:rsid w:val="002123E8"/>
    <w:rsid w:val="00250053"/>
    <w:rsid w:val="00262B05"/>
    <w:rsid w:val="00282F07"/>
    <w:rsid w:val="0029569C"/>
    <w:rsid w:val="002A16E4"/>
    <w:rsid w:val="002A5FA7"/>
    <w:rsid w:val="002B3EEF"/>
    <w:rsid w:val="002B54E4"/>
    <w:rsid w:val="002E5562"/>
    <w:rsid w:val="002F6705"/>
    <w:rsid w:val="00301FC0"/>
    <w:rsid w:val="00336A16"/>
    <w:rsid w:val="003663A3"/>
    <w:rsid w:val="00387DD5"/>
    <w:rsid w:val="003A55A6"/>
    <w:rsid w:val="003B0980"/>
    <w:rsid w:val="003C6374"/>
    <w:rsid w:val="003D2CB9"/>
    <w:rsid w:val="00413F12"/>
    <w:rsid w:val="004300E7"/>
    <w:rsid w:val="004824C6"/>
    <w:rsid w:val="00493012"/>
    <w:rsid w:val="004D2137"/>
    <w:rsid w:val="004D491D"/>
    <w:rsid w:val="0050365C"/>
    <w:rsid w:val="005A7358"/>
    <w:rsid w:val="005D1514"/>
    <w:rsid w:val="005D7CC3"/>
    <w:rsid w:val="006218A1"/>
    <w:rsid w:val="006421DA"/>
    <w:rsid w:val="0067582D"/>
    <w:rsid w:val="00682A10"/>
    <w:rsid w:val="006A30E4"/>
    <w:rsid w:val="006A74BF"/>
    <w:rsid w:val="006C1CEE"/>
    <w:rsid w:val="006D5A86"/>
    <w:rsid w:val="00707C2E"/>
    <w:rsid w:val="00722A7D"/>
    <w:rsid w:val="00724A6B"/>
    <w:rsid w:val="0073331B"/>
    <w:rsid w:val="00733C2D"/>
    <w:rsid w:val="00756C7F"/>
    <w:rsid w:val="007D7E6E"/>
    <w:rsid w:val="007F119C"/>
    <w:rsid w:val="00850797"/>
    <w:rsid w:val="00853FC4"/>
    <w:rsid w:val="008720F1"/>
    <w:rsid w:val="00882EFA"/>
    <w:rsid w:val="008B2F56"/>
    <w:rsid w:val="008F0996"/>
    <w:rsid w:val="00903791"/>
    <w:rsid w:val="009600BD"/>
    <w:rsid w:val="00961C83"/>
    <w:rsid w:val="009922BC"/>
    <w:rsid w:val="00994483"/>
    <w:rsid w:val="009E0D8C"/>
    <w:rsid w:val="009F4BEF"/>
    <w:rsid w:val="00A02AF3"/>
    <w:rsid w:val="00A25077"/>
    <w:rsid w:val="00A610CC"/>
    <w:rsid w:val="00A8737E"/>
    <w:rsid w:val="00AA19AF"/>
    <w:rsid w:val="00AE4057"/>
    <w:rsid w:val="00B8526A"/>
    <w:rsid w:val="00BC6882"/>
    <w:rsid w:val="00BD3FE0"/>
    <w:rsid w:val="00BE58CF"/>
    <w:rsid w:val="00CA5578"/>
    <w:rsid w:val="00CA7DAA"/>
    <w:rsid w:val="00CC40C2"/>
    <w:rsid w:val="00D04826"/>
    <w:rsid w:val="00D63908"/>
    <w:rsid w:val="00D8718A"/>
    <w:rsid w:val="00D93453"/>
    <w:rsid w:val="00DC524D"/>
    <w:rsid w:val="00E071D6"/>
    <w:rsid w:val="00E14D54"/>
    <w:rsid w:val="00ED3E0F"/>
    <w:rsid w:val="00F015E4"/>
    <w:rsid w:val="00F36DDF"/>
    <w:rsid w:val="00F57F82"/>
    <w:rsid w:val="00F75224"/>
    <w:rsid w:val="00F91EAE"/>
    <w:rsid w:val="00FA086C"/>
    <w:rsid w:val="00FA2093"/>
    <w:rsid w:val="00FA357A"/>
    <w:rsid w:val="0317318F"/>
    <w:rsid w:val="037D0BC8"/>
    <w:rsid w:val="044E08C1"/>
    <w:rsid w:val="05CA098C"/>
    <w:rsid w:val="076E084E"/>
    <w:rsid w:val="07B7459B"/>
    <w:rsid w:val="083403B0"/>
    <w:rsid w:val="0845082D"/>
    <w:rsid w:val="08A66397"/>
    <w:rsid w:val="09E965F2"/>
    <w:rsid w:val="0A12283E"/>
    <w:rsid w:val="0D817CC7"/>
    <w:rsid w:val="0E1D3E85"/>
    <w:rsid w:val="0E374C9D"/>
    <w:rsid w:val="106945CB"/>
    <w:rsid w:val="10E31915"/>
    <w:rsid w:val="110E5BD1"/>
    <w:rsid w:val="11ED4068"/>
    <w:rsid w:val="13723216"/>
    <w:rsid w:val="139840D3"/>
    <w:rsid w:val="143E091F"/>
    <w:rsid w:val="14865FC8"/>
    <w:rsid w:val="150C2DB0"/>
    <w:rsid w:val="15C60002"/>
    <w:rsid w:val="1621168A"/>
    <w:rsid w:val="17C85A17"/>
    <w:rsid w:val="199C56EB"/>
    <w:rsid w:val="19DE5A5A"/>
    <w:rsid w:val="1A9E1ABD"/>
    <w:rsid w:val="1BF55BDB"/>
    <w:rsid w:val="1E761F05"/>
    <w:rsid w:val="1ED764FC"/>
    <w:rsid w:val="1FC7205C"/>
    <w:rsid w:val="2024689E"/>
    <w:rsid w:val="20BB613A"/>
    <w:rsid w:val="22125C5D"/>
    <w:rsid w:val="228B3D05"/>
    <w:rsid w:val="22AC0A58"/>
    <w:rsid w:val="22B03359"/>
    <w:rsid w:val="26CE0722"/>
    <w:rsid w:val="284E74F8"/>
    <w:rsid w:val="28825156"/>
    <w:rsid w:val="28F16217"/>
    <w:rsid w:val="295226C2"/>
    <w:rsid w:val="29820AB2"/>
    <w:rsid w:val="2A6060B1"/>
    <w:rsid w:val="2A7B37FE"/>
    <w:rsid w:val="2ADB48E8"/>
    <w:rsid w:val="2CCD7CD3"/>
    <w:rsid w:val="2E9069B8"/>
    <w:rsid w:val="2EE40028"/>
    <w:rsid w:val="2F0B154A"/>
    <w:rsid w:val="2F644B7D"/>
    <w:rsid w:val="2FD869BA"/>
    <w:rsid w:val="30082525"/>
    <w:rsid w:val="30146D9A"/>
    <w:rsid w:val="314671C3"/>
    <w:rsid w:val="316221BC"/>
    <w:rsid w:val="3195586F"/>
    <w:rsid w:val="3255465D"/>
    <w:rsid w:val="326C579C"/>
    <w:rsid w:val="35260DFF"/>
    <w:rsid w:val="357F6D41"/>
    <w:rsid w:val="36687282"/>
    <w:rsid w:val="36DA0180"/>
    <w:rsid w:val="370E1CD4"/>
    <w:rsid w:val="38950DA7"/>
    <w:rsid w:val="38EF7AD8"/>
    <w:rsid w:val="398A1010"/>
    <w:rsid w:val="39DA5AEC"/>
    <w:rsid w:val="3B3D2BF1"/>
    <w:rsid w:val="3C406CD7"/>
    <w:rsid w:val="3DB13563"/>
    <w:rsid w:val="3E1672E6"/>
    <w:rsid w:val="3F452A3F"/>
    <w:rsid w:val="415F08D8"/>
    <w:rsid w:val="42E46D38"/>
    <w:rsid w:val="42F644D0"/>
    <w:rsid w:val="431D4FE6"/>
    <w:rsid w:val="4474581A"/>
    <w:rsid w:val="44801BED"/>
    <w:rsid w:val="44E2230F"/>
    <w:rsid w:val="457A5A18"/>
    <w:rsid w:val="461611CE"/>
    <w:rsid w:val="464D7CC6"/>
    <w:rsid w:val="46B502C1"/>
    <w:rsid w:val="473377ED"/>
    <w:rsid w:val="47FE7FDB"/>
    <w:rsid w:val="48B51347"/>
    <w:rsid w:val="491B45FA"/>
    <w:rsid w:val="4A55216A"/>
    <w:rsid w:val="4A6A1FA2"/>
    <w:rsid w:val="4ACF7CC8"/>
    <w:rsid w:val="4CDD4723"/>
    <w:rsid w:val="4E8739E0"/>
    <w:rsid w:val="4F223B76"/>
    <w:rsid w:val="4FE0696A"/>
    <w:rsid w:val="516E4D69"/>
    <w:rsid w:val="52BD4598"/>
    <w:rsid w:val="55673508"/>
    <w:rsid w:val="558F1CDD"/>
    <w:rsid w:val="561F5757"/>
    <w:rsid w:val="578239E3"/>
    <w:rsid w:val="57A21A9C"/>
    <w:rsid w:val="57C17B2E"/>
    <w:rsid w:val="58BA73F7"/>
    <w:rsid w:val="58BC01E2"/>
    <w:rsid w:val="59595A6F"/>
    <w:rsid w:val="59662C8B"/>
    <w:rsid w:val="599330CA"/>
    <w:rsid w:val="59C53F20"/>
    <w:rsid w:val="5C8F03E2"/>
    <w:rsid w:val="5CC1636D"/>
    <w:rsid w:val="5E554A92"/>
    <w:rsid w:val="5E882B0A"/>
    <w:rsid w:val="5F3758C0"/>
    <w:rsid w:val="606C699B"/>
    <w:rsid w:val="60D5009F"/>
    <w:rsid w:val="6163774C"/>
    <w:rsid w:val="617A3052"/>
    <w:rsid w:val="61920DBA"/>
    <w:rsid w:val="61A25E98"/>
    <w:rsid w:val="61BE50F3"/>
    <w:rsid w:val="64AC2E11"/>
    <w:rsid w:val="660721C9"/>
    <w:rsid w:val="661E6C75"/>
    <w:rsid w:val="67F75FF5"/>
    <w:rsid w:val="681D4831"/>
    <w:rsid w:val="692E4B19"/>
    <w:rsid w:val="69513EF7"/>
    <w:rsid w:val="69957858"/>
    <w:rsid w:val="69DD79DC"/>
    <w:rsid w:val="6BAF6C45"/>
    <w:rsid w:val="6BF3256F"/>
    <w:rsid w:val="6CE7018A"/>
    <w:rsid w:val="6E197A49"/>
    <w:rsid w:val="6E3E3F2D"/>
    <w:rsid w:val="6E8521C9"/>
    <w:rsid w:val="715B2F02"/>
    <w:rsid w:val="73283A8B"/>
    <w:rsid w:val="73477B27"/>
    <w:rsid w:val="74654E38"/>
    <w:rsid w:val="76A548F2"/>
    <w:rsid w:val="76DD5573"/>
    <w:rsid w:val="7765772E"/>
    <w:rsid w:val="77867685"/>
    <w:rsid w:val="781316BF"/>
    <w:rsid w:val="781F36B6"/>
    <w:rsid w:val="78631286"/>
    <w:rsid w:val="78C343AF"/>
    <w:rsid w:val="790627AD"/>
    <w:rsid w:val="7ABD455E"/>
    <w:rsid w:val="7ADC59FA"/>
    <w:rsid w:val="7B1B17F3"/>
    <w:rsid w:val="7C101DEB"/>
    <w:rsid w:val="7C182CBA"/>
    <w:rsid w:val="7D246B50"/>
    <w:rsid w:val="7D2A07C3"/>
    <w:rsid w:val="7DD94434"/>
    <w:rsid w:val="7DDD794F"/>
    <w:rsid w:val="7ED71806"/>
    <w:rsid w:val="7FE00E35"/>
    <w:rsid w:val="7FE901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pPr>
      <w:widowControl w:val="0"/>
      <w:adjustRightInd/>
      <w:snapToGrid/>
      <w:spacing w:after="0"/>
      <w:jc w:val="both"/>
    </w:pPr>
    <w:rPr>
      <w:rFonts w:ascii="宋体" w:hAnsi="Courier New" w:eastAsia="宋体" w:cs="Courier New"/>
      <w:sz w:val="21"/>
      <w:szCs w:val="21"/>
    </w:rPr>
  </w:style>
  <w:style w:type="paragraph" w:styleId="4">
    <w:name w:val="Balloon Text"/>
    <w:basedOn w:val="1"/>
    <w:link w:val="12"/>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Balloon Text Char"/>
    <w:qFormat/>
    <w:locked/>
    <w:uiPriority w:val="99"/>
    <w:rPr>
      <w:rFonts w:eastAsia="仿宋_GB2312"/>
      <w:kern w:val="2"/>
      <w:sz w:val="18"/>
      <w:szCs w:val="18"/>
    </w:rPr>
  </w:style>
  <w:style w:type="character" w:customStyle="1" w:styleId="10">
    <w:name w:val="Header Char"/>
    <w:qFormat/>
    <w:locked/>
    <w:uiPriority w:val="99"/>
    <w:rPr>
      <w:rFonts w:eastAsia="仿宋_GB2312"/>
      <w:kern w:val="2"/>
      <w:sz w:val="18"/>
      <w:szCs w:val="18"/>
    </w:rPr>
  </w:style>
  <w:style w:type="character" w:customStyle="1" w:styleId="11">
    <w:name w:val="Footer Char"/>
    <w:qFormat/>
    <w:locked/>
    <w:uiPriority w:val="99"/>
    <w:rPr>
      <w:rFonts w:eastAsia="仿宋_GB2312"/>
      <w:kern w:val="2"/>
      <w:sz w:val="18"/>
      <w:szCs w:val="18"/>
    </w:rPr>
  </w:style>
  <w:style w:type="character" w:customStyle="1" w:styleId="12">
    <w:name w:val="Balloon Text Char1"/>
    <w:basedOn w:val="8"/>
    <w:link w:val="4"/>
    <w:semiHidden/>
    <w:qFormat/>
    <w:locked/>
    <w:uiPriority w:val="99"/>
    <w:rPr>
      <w:rFonts w:eastAsia="仿宋_GB2312"/>
      <w:sz w:val="2"/>
      <w:szCs w:val="2"/>
    </w:rPr>
  </w:style>
  <w:style w:type="character" w:customStyle="1" w:styleId="13">
    <w:name w:val="Header Char1"/>
    <w:basedOn w:val="8"/>
    <w:link w:val="6"/>
    <w:semiHidden/>
    <w:qFormat/>
    <w:locked/>
    <w:uiPriority w:val="99"/>
    <w:rPr>
      <w:rFonts w:eastAsia="仿宋_GB2312"/>
      <w:sz w:val="18"/>
      <w:szCs w:val="18"/>
    </w:rPr>
  </w:style>
  <w:style w:type="character" w:customStyle="1" w:styleId="14">
    <w:name w:val="Footer Char1"/>
    <w:basedOn w:val="8"/>
    <w:link w:val="5"/>
    <w:semiHidden/>
    <w:qFormat/>
    <w:locked/>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3312</Words>
  <Characters>3497</Characters>
  <Lines>0</Lines>
  <Paragraphs>0</Paragraphs>
  <TotalTime>24</TotalTime>
  <ScaleCrop>false</ScaleCrop>
  <LinksUpToDate>false</LinksUpToDate>
  <CharactersWithSpaces>3514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2019-02-12T06:26:00Z</dcterms:created>
  <dc:creator>lhn</dc:creator>
  <cp:lastModifiedBy>陈强</cp:lastModifiedBy>
  <cp:lastPrinted>2021-03-02T06:48:00Z</cp:lastPrinted>
  <dcterms:modified xsi:type="dcterms:W3CDTF">2023-07-06T07:56:48Z</dcterms:modified>
  <dc:title>财政支出绩效评价报告</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ADA1181DAB2A447192CE427BC5A32133</vt:lpwstr>
  </property>
</Properties>
</file>