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5"/>
        <w:tblW w:w="0" w:type="auto"/>
        <w:jc w:val="center"/>
        <w:tblLayout w:type="fixed"/>
        <w:tblCellMar>
          <w:top w:w="0" w:type="dxa"/>
          <w:left w:w="108" w:type="dxa"/>
          <w:bottom w:w="0" w:type="dxa"/>
          <w:right w:w="108" w:type="dxa"/>
        </w:tblCellMar>
      </w:tblPr>
      <w:tblGrid>
        <w:gridCol w:w="1972"/>
        <w:gridCol w:w="360"/>
        <w:gridCol w:w="3089"/>
      </w:tblGrid>
      <w:tr>
        <w:tblPrEx>
          <w:tblCellMar>
            <w:top w:w="0" w:type="dxa"/>
            <w:left w:w="108" w:type="dxa"/>
            <w:bottom w:w="0" w:type="dxa"/>
            <w:right w:w="108" w:type="dxa"/>
          </w:tblCellMar>
        </w:tblPrEx>
        <w:trPr>
          <w:trHeight w:val="659" w:hRule="atLeast"/>
          <w:jc w:val="center"/>
        </w:trPr>
        <w:tc>
          <w:tcPr>
            <w:tcW w:w="1972"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089"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WGSS-JFJT-Z-2023039</w:t>
            </w:r>
          </w:p>
        </w:tc>
      </w:tr>
      <w:tr>
        <w:tblPrEx>
          <w:tblCellMar>
            <w:top w:w="0" w:type="dxa"/>
            <w:left w:w="108" w:type="dxa"/>
            <w:bottom w:w="0" w:type="dxa"/>
            <w:right w:w="108" w:type="dxa"/>
          </w:tblCellMar>
        </w:tblPrEx>
        <w:trPr>
          <w:trHeight w:val="614" w:hRule="atLeast"/>
          <w:jc w:val="center"/>
        </w:trPr>
        <w:tc>
          <w:tcPr>
            <w:tcW w:w="1972"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089"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物业服务</w:t>
            </w:r>
          </w:p>
        </w:tc>
      </w:tr>
      <w:tr>
        <w:tblPrEx>
          <w:tblCellMar>
            <w:top w:w="0" w:type="dxa"/>
            <w:left w:w="108" w:type="dxa"/>
            <w:bottom w:w="0" w:type="dxa"/>
            <w:right w:w="108" w:type="dxa"/>
          </w:tblCellMar>
        </w:tblPrEx>
        <w:trPr>
          <w:trHeight w:val="614" w:hRule="atLeast"/>
          <w:jc w:val="center"/>
        </w:trPr>
        <w:tc>
          <w:tcPr>
            <w:tcW w:w="1972"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089"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5"/>
        <w:tblW w:w="0" w:type="auto"/>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温州金桥建设开发有限公司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三</w:t>
      </w:r>
      <w:r>
        <w:rPr>
          <w:rFonts w:hint="eastAsia" w:ascii="宋体" w:hAnsi="宋体" w:eastAsia="宋体" w:cs="宋体"/>
          <w:spacing w:val="40"/>
          <w:sz w:val="30"/>
          <w:szCs w:val="30"/>
          <w:highlight w:val="none"/>
        </w:rPr>
        <w:t>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jc w:val="center"/>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温州市交发集团所属温州金桥建设开发有限公司关于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bookmarkStart w:id="226" w:name="_GoBack"/>
      <w:r>
        <w:rPr>
          <w:rFonts w:hint="eastAsia" w:ascii="宋体" w:hAnsi="宋体" w:eastAsia="宋体" w:cs="宋体"/>
          <w:snapToGrid w:val="0"/>
          <w:spacing w:val="-20"/>
          <w:kern w:val="0"/>
          <w:szCs w:val="24"/>
          <w:highlight w:val="none"/>
          <w:u w:val="single"/>
          <w:lang w:eastAsia="zh-CN"/>
        </w:rPr>
        <w:t>物业服务项目</w:t>
      </w:r>
      <w:bookmarkEnd w:id="226"/>
      <w:r>
        <w:rPr>
          <w:rFonts w:hint="eastAsia" w:ascii="宋体" w:hAnsi="宋体" w:eastAsia="宋体" w:cs="宋体"/>
          <w:snapToGrid w:val="0"/>
          <w:spacing w:val="-20"/>
          <w:kern w:val="0"/>
          <w:szCs w:val="24"/>
          <w:highlight w:val="none"/>
          <w:u w:val="single"/>
          <w:lang w:eastAsia="zh-CN"/>
        </w:rPr>
        <w:t>（自主）</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温州市交发集团所属温州金桥建设开发有限公司关于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物业服务项目（自主）</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lang w:val="en-US" w:eastAsia="zh-CN"/>
        </w:rPr>
        <w:t>4</w:t>
      </w:r>
      <w:r>
        <w:rPr>
          <w:rFonts w:hint="eastAsia" w:ascii="宋体" w:hAnsi="宋体" w:eastAsia="宋体" w:cs="宋体"/>
          <w:spacing w:val="-20"/>
          <w:szCs w:val="24"/>
          <w:highlight w:val="none"/>
          <w:u w:val="singl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pPr>
        <w:tabs>
          <w:tab w:val="right" w:leader="dot" w:pos="9660"/>
        </w:tabs>
        <w:spacing w:line="480" w:lineRule="auto"/>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22</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39</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43</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pPr>
        <w:jc w:val="center"/>
        <w:rPr>
          <w:rFonts w:hint="eastAsia" w:ascii="宋体" w:hAnsi="宋体" w:eastAsia="宋体" w:cs="宋体"/>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温州金桥建设开发有限公司关于物业服务项目（自主）</w:t>
      </w:r>
      <w:r>
        <w:rPr>
          <w:rFonts w:hint="eastAsia" w:ascii="宋体" w:hAnsi="宋体" w:eastAsia="宋体" w:cs="宋体"/>
          <w:b/>
          <w:bCs/>
          <w:sz w:val="24"/>
          <w:highlight w:val="none"/>
        </w:rPr>
        <w:t>的采购公告</w:t>
      </w:r>
    </w:p>
    <w:p>
      <w:pPr>
        <w:jc w:val="center"/>
        <w:rPr>
          <w:rFonts w:hint="eastAsia" w:ascii="宋体" w:hAnsi="宋体" w:eastAsia="宋体" w:cs="宋体"/>
          <w:highlight w:val="none"/>
        </w:rPr>
      </w:pP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温州金桥建设开发有限公司</w:t>
      </w:r>
      <w:r>
        <w:rPr>
          <w:rFonts w:hint="eastAsia" w:ascii="宋体" w:hAnsi="宋体" w:eastAsia="宋体" w:cs="宋体"/>
          <w:highlight w:val="none"/>
        </w:rPr>
        <w:t>的委托，就</w:t>
      </w:r>
      <w:r>
        <w:rPr>
          <w:rFonts w:hint="eastAsia" w:ascii="宋体" w:hAnsi="宋体" w:eastAsia="宋体" w:cs="宋体"/>
          <w:highlight w:val="none"/>
          <w:lang w:eastAsia="zh-CN"/>
        </w:rPr>
        <w:t>物业服务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一、公告类型：采购公告</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二、采购方式：公开招标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三、项目编号：</w:t>
      </w:r>
      <w:r>
        <w:rPr>
          <w:rFonts w:hint="eastAsia" w:ascii="宋体" w:hAnsi="宋体" w:eastAsia="宋体" w:cs="宋体"/>
          <w:bCs/>
          <w:kern w:val="0"/>
          <w:szCs w:val="21"/>
          <w:highlight w:val="none"/>
          <w:lang w:eastAsia="zh-CN"/>
        </w:rPr>
        <w:t>WGSS-JFJT-Z-2023039</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四、项目名称：</w:t>
      </w:r>
      <w:r>
        <w:rPr>
          <w:rFonts w:hint="eastAsia" w:ascii="宋体" w:hAnsi="宋体" w:eastAsia="宋体" w:cs="宋体"/>
          <w:bCs/>
          <w:kern w:val="0"/>
          <w:szCs w:val="21"/>
          <w:highlight w:val="none"/>
          <w:lang w:eastAsia="zh-CN"/>
        </w:rPr>
        <w:t>物业服务</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五、采购性质：国企采购（非政府采购）</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六、预算金额：人民币</w:t>
      </w:r>
      <w:r>
        <w:rPr>
          <w:rFonts w:hint="eastAsia" w:ascii="宋体" w:hAnsi="宋体" w:eastAsia="宋体" w:cs="宋体"/>
          <w:bCs/>
          <w:kern w:val="0"/>
          <w:szCs w:val="21"/>
          <w:highlight w:val="none"/>
          <w:lang w:val="en-US" w:eastAsia="zh-CN"/>
        </w:rPr>
        <w:t>60万元</w:t>
      </w:r>
    </w:p>
    <w:p>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rPr>
        <w:t>七、采购内容（具体采购内容及详细技术要求见采购文件相关部分）：</w:t>
      </w:r>
    </w:p>
    <w:tbl>
      <w:tblPr>
        <w:tblStyle w:val="25"/>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物业服务</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default"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60</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u w:val="single"/>
              </w:rPr>
            </w:pPr>
            <w:r>
              <w:rPr>
                <w:rFonts w:hint="eastAsia" w:ascii="宋体" w:hAnsi="宋体" w:eastAsia="宋体" w:cs="宋体"/>
                <w:sz w:val="18"/>
                <w:szCs w:val="18"/>
                <w:highlight w:val="none"/>
                <w:lang w:eastAsia="zh-CN"/>
              </w:rPr>
              <w:t>温州金桥建设开发有限公司洞头区珑头湾项目</w:t>
            </w:r>
            <w:r>
              <w:rPr>
                <w:rFonts w:hint="eastAsia" w:ascii="宋体" w:hAnsi="宋体" w:eastAsia="宋体" w:cs="宋体"/>
                <w:sz w:val="18"/>
                <w:szCs w:val="18"/>
                <w:highlight w:val="none"/>
              </w:rPr>
              <w:t>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物业服务</w:t>
            </w:r>
            <w:r>
              <w:rPr>
                <w:rFonts w:hint="eastAsia" w:ascii="宋体" w:hAnsi="宋体" w:eastAsia="宋体" w:cs="宋体"/>
                <w:sz w:val="18"/>
                <w:szCs w:val="18"/>
                <w:highlight w:val="none"/>
              </w:rPr>
              <w:t>，具体服务内容包括秩序维护、</w:t>
            </w:r>
            <w:r>
              <w:rPr>
                <w:rFonts w:hint="eastAsia" w:ascii="宋体" w:hAnsi="宋体" w:eastAsia="宋体" w:cs="宋体"/>
                <w:sz w:val="18"/>
                <w:szCs w:val="18"/>
                <w:highlight w:val="none"/>
                <w:lang w:val="en-US" w:eastAsia="zh-CN"/>
              </w:rPr>
              <w:t>道路清洁、办公区环境卫生保洁、</w:t>
            </w:r>
            <w:r>
              <w:rPr>
                <w:rFonts w:hint="eastAsia" w:ascii="宋体" w:hAnsi="宋体" w:eastAsia="宋体" w:cs="宋体"/>
                <w:sz w:val="18"/>
                <w:szCs w:val="18"/>
                <w:highlight w:val="none"/>
              </w:rPr>
              <w:t>安保管理、</w:t>
            </w:r>
            <w:r>
              <w:rPr>
                <w:rFonts w:hint="eastAsia" w:ascii="宋体" w:hAnsi="宋体" w:eastAsia="宋体" w:cs="宋体"/>
                <w:sz w:val="18"/>
                <w:szCs w:val="18"/>
                <w:highlight w:val="none"/>
                <w:lang w:val="en-US" w:eastAsia="zh-CN"/>
              </w:rPr>
              <w:t>员工食堂服务</w:t>
            </w:r>
            <w:r>
              <w:rPr>
                <w:rFonts w:hint="eastAsia" w:ascii="宋体" w:hAnsi="宋体" w:eastAsia="宋体" w:cs="宋体"/>
                <w:sz w:val="18"/>
                <w:szCs w:val="18"/>
                <w:highlight w:val="none"/>
              </w:rPr>
              <w:t>等，</w:t>
            </w:r>
            <w:r>
              <w:rPr>
                <w:rFonts w:hint="eastAsia" w:ascii="宋体" w:hAnsi="宋体" w:eastAsia="宋体" w:cs="宋体"/>
                <w:sz w:val="18"/>
                <w:szCs w:val="18"/>
                <w:highlight w:val="none"/>
                <w:lang w:val="en-US" w:eastAsia="zh-CN"/>
              </w:rPr>
              <w:t>本项目服务期限为1年，并采用1+1+1年模式，具体采购</w:t>
            </w:r>
            <w:r>
              <w:rPr>
                <w:rFonts w:hint="eastAsia" w:ascii="宋体" w:hAnsi="宋体" w:eastAsia="宋体" w:cs="宋体"/>
                <w:sz w:val="18"/>
                <w:szCs w:val="18"/>
                <w:highlight w:val="none"/>
              </w:rPr>
              <w:t>内容及详细技术要求见采购文件相关部分。</w:t>
            </w:r>
          </w:p>
        </w:tc>
      </w:tr>
    </w:tbl>
    <w:p>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rPr>
        <w:t>八、投标供应商资格要求：</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rPr>
        <w:t>九、发售</w:t>
      </w:r>
      <w:r>
        <w:rPr>
          <w:rFonts w:hint="eastAsia" w:ascii="宋体" w:hAnsi="宋体" w:eastAsia="宋体" w:cs="宋体"/>
          <w:kern w:val="0"/>
          <w:szCs w:val="21"/>
          <w:highlight w:val="none"/>
        </w:rPr>
        <w:t>采购文件时间及地点：</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采购文件地址：本项目不接受现场获取采购文件；</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keepNext w:val="0"/>
        <w:keepLines w:val="0"/>
        <w:pageBreakBefore w:val="0"/>
        <w:widowControl/>
        <w:kinsoku/>
        <w:wordWrap/>
        <w:overflowPunct/>
        <w:topLinePunct w:val="0"/>
        <w:autoSpaceDE/>
        <w:autoSpaceDN/>
        <w:bidi w:val="0"/>
        <w:adjustRightInd/>
        <w:snapToGrid/>
        <w:spacing w:before="60" w:after="60"/>
        <w:ind w:right="62"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缴纳报名费凭证、开票信息）等资料发代理机构电子邮箱1826066763@qq.com）并联系采购代理公司审核。标书款汇入账户信息：</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称：浙江国际招投标有限公司</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rPr>
        <w:t>十、投标截止时间：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21</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下午14</w:t>
      </w:r>
      <w:r>
        <w:rPr>
          <w:rFonts w:hint="eastAsia" w:ascii="宋体" w:hAnsi="宋体" w:eastAsia="宋体" w:cs="宋体"/>
          <w:bCs/>
          <w:color w:val="0000FF"/>
          <w:kern w:val="0"/>
          <w:szCs w:val="21"/>
          <w:highlight w:val="none"/>
        </w:rPr>
        <w:t>时</w:t>
      </w:r>
      <w:r>
        <w:rPr>
          <w:rFonts w:hint="eastAsia" w:ascii="宋体" w:hAnsi="宋体" w:eastAsia="宋体" w:cs="宋体"/>
          <w:bCs/>
          <w:color w:val="0000FF"/>
          <w:kern w:val="0"/>
          <w:szCs w:val="21"/>
          <w:highlight w:val="none"/>
          <w:lang w:val="en-US" w:eastAsia="zh-CN"/>
        </w:rPr>
        <w:t>0</w:t>
      </w:r>
      <w:r>
        <w:rPr>
          <w:rFonts w:hint="eastAsia" w:ascii="宋体" w:hAnsi="宋体" w:eastAsia="宋体" w:cs="宋体"/>
          <w:bCs/>
          <w:color w:val="0000FF"/>
          <w:kern w:val="0"/>
          <w:szCs w:val="21"/>
          <w:highlight w:val="none"/>
        </w:rPr>
        <w:t>0分</w:t>
      </w:r>
      <w:r>
        <w:rPr>
          <w:rFonts w:hint="eastAsia" w:ascii="宋体" w:hAnsi="宋体" w:eastAsia="宋体" w:cs="宋体"/>
          <w:bCs/>
          <w:color w:val="auto"/>
          <w:kern w:val="0"/>
          <w:szCs w:val="21"/>
          <w:highlight w:val="none"/>
        </w:rPr>
        <w:t>(北京时间，下同)。</w:t>
      </w:r>
    </w:p>
    <w:p>
      <w:pPr>
        <w:widowControl/>
        <w:spacing w:before="60" w:after="60"/>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十一、投标文件提交地点：温州市黎明西路342号人保财险鹿城支公司办公大楼401室。</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十二、开标时间：</w:t>
      </w:r>
      <w:bookmarkStart w:id="5" w:name="B26_谈判时间日期"/>
      <w:bookmarkEnd w:id="5"/>
      <w:r>
        <w:rPr>
          <w:rFonts w:hint="eastAsia" w:ascii="宋体" w:hAnsi="宋体" w:eastAsia="宋体" w:cs="宋体"/>
          <w:bCs/>
          <w:kern w:val="0"/>
          <w:szCs w:val="21"/>
          <w:highlight w:val="none"/>
        </w:rPr>
        <w:t>同投标截止时间。</w:t>
      </w:r>
    </w:p>
    <w:p>
      <w:pPr>
        <w:widowControl/>
        <w:spacing w:before="60" w:after="60"/>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十三、开标地点：温州市黎明西路342号人保财险鹿城支公司办公大楼401室</w:t>
      </w:r>
      <w:r>
        <w:rPr>
          <w:rFonts w:hint="eastAsia" w:ascii="宋体" w:hAnsi="宋体" w:eastAsia="宋体" w:cs="宋体"/>
          <w:szCs w:val="21"/>
          <w:highlight w:val="none"/>
          <w:shd w:val="clear" w:color="auto" w:fill="FFFFFF"/>
        </w:rPr>
        <w:t>。</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十四、投标保证金及交付方式：</w:t>
      </w:r>
    </w:p>
    <w:p>
      <w:pPr>
        <w:widowControl/>
        <w:spacing w:before="60" w:after="60" w:line="280" w:lineRule="exact"/>
        <w:ind w:right="62" w:firstLine="420" w:firstLineChars="200"/>
        <w:jc w:val="left"/>
        <w:rPr>
          <w:rFonts w:hint="eastAsia" w:ascii="宋体" w:hAnsi="宋体" w:eastAsia="宋体" w:cs="宋体"/>
          <w:b/>
          <w:bCs/>
          <w:kern w:val="0"/>
          <w:szCs w:val="21"/>
          <w:highlight w:val="none"/>
          <w:u w:val="single"/>
        </w:rPr>
      </w:pPr>
      <w:bookmarkStart w:id="6" w:name="B29_谈判保证金"/>
      <w:bookmarkEnd w:id="6"/>
      <w:bookmarkStart w:id="7" w:name="_Hlk516555339"/>
      <w:bookmarkStart w:id="8" w:name="_Hlk3381632"/>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000元整，采用银行转账形式，保证金缴纳截止时间：与投标截止时间相同。</w:t>
      </w:r>
      <w:r>
        <w:rPr>
          <w:rFonts w:hint="eastAsia" w:ascii="宋体" w:hAnsi="宋体" w:eastAsia="宋体" w:cs="宋体"/>
          <w:b/>
          <w:bCs/>
          <w:kern w:val="0"/>
          <w:szCs w:val="21"/>
          <w:highlight w:val="none"/>
          <w:u w:val="single"/>
        </w:rPr>
        <w:t>投标保证金要求从投标人在政采云登记的银行账号汇出，保证金缴纳时间以到账时间为准。</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户名：政采云有限公司</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开户银行：中国农业银行杭州西湖支行</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账号：190001010400276210000003974</w:t>
      </w:r>
    </w:p>
    <w:bookmarkEnd w:id="7"/>
    <w:bookmarkEnd w:id="8"/>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十五、其他事项：</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采购公告附件的采购文件仅供阅览使用，未按照本公告规定的方式获取采购文件的潜在投标人提起的质疑，采购人及采购代理机构将不予受理、答复。</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3、质疑投标人对采购人、采购代理机构的答复不满意或者采购人、采购代理机构未在规定的时间内作出答复的，可以在答复期满后15个工作日内向采购人（集团）的内设监管职能部门投诉。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答疑回复处理结果不合法的，可以采购人或采购代理机构为对象依法向人民法院提起诉讼。</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十六、联系方式</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温州金桥建设开发有限公司</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浙江省温州市洞头区中兴路163号</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蔡先生</w:t>
      </w:r>
      <w:r>
        <w:rPr>
          <w:rFonts w:hint="eastAsia" w:ascii="宋体" w:hAnsi="宋体" w:eastAsia="宋体" w:cs="宋体"/>
          <w:highlight w:val="none"/>
        </w:rPr>
        <w:t>，联系电话：</w:t>
      </w:r>
      <w:r>
        <w:rPr>
          <w:rFonts w:hint="eastAsia" w:ascii="宋体" w:hAnsi="宋体" w:eastAsia="宋体" w:cs="宋体"/>
          <w:highlight w:val="none"/>
          <w:lang w:eastAsia="zh-CN"/>
        </w:rPr>
        <w:t>13676710615</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曾女士</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温州金桥建设开发有限公司</w:t>
      </w:r>
      <w:r>
        <w:rPr>
          <w:rFonts w:hint="eastAsia" w:ascii="宋体" w:hAnsi="宋体" w:eastAsia="宋体" w:cs="宋体"/>
          <w:bCs/>
          <w:kern w:val="0"/>
          <w:szCs w:val="21"/>
          <w:highlight w:val="none"/>
        </w:rPr>
        <w:t xml:space="preserve"> </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5</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31</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9" w:name="_Toc491780522"/>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温州金桥建设开发有限公司关于物业服务项目（自主）</w:t>
      </w:r>
      <w:r>
        <w:rPr>
          <w:rFonts w:hint="eastAsia" w:ascii="宋体" w:hAnsi="宋体" w:eastAsia="宋体" w:cs="宋体"/>
          <w:b/>
          <w:bCs/>
          <w:sz w:val="24"/>
          <w:highlight w:val="none"/>
        </w:rPr>
        <w:t>的征求意见公示</w:t>
      </w:r>
      <w:bookmarkEnd w:id="9"/>
    </w:p>
    <w:p>
      <w:pPr>
        <w:rPr>
          <w:rFonts w:hint="eastAsia" w:ascii="宋体" w:hAnsi="宋体" w:eastAsia="宋体" w:cs="宋体"/>
          <w:highlight w:val="none"/>
        </w:rPr>
      </w:pP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温州金桥建设开发有限公司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物业服务</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温州金桥建设开发有限公司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31</w:t>
      </w:r>
      <w:r>
        <w:rPr>
          <w:rFonts w:hint="eastAsia" w:ascii="宋体" w:hAnsi="宋体" w:eastAsia="宋体" w:cs="宋体"/>
          <w:bCs/>
          <w:color w:val="0000FF"/>
          <w:kern w:val="0"/>
          <w:szCs w:val="21"/>
          <w:highlight w:val="none"/>
        </w:rPr>
        <w:t>日</w:t>
      </w:r>
      <w:bookmarkEnd w:id="2"/>
    </w:p>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7489886"/>
      <w:bookmarkStart w:id="11" w:name="_Toc215415529"/>
      <w:bookmarkStart w:id="12" w:name="_Toc218041725"/>
      <w:bookmarkStart w:id="13" w:name="_Toc223717603"/>
      <w:bookmarkStart w:id="14" w:name="_Toc216667819"/>
      <w:bookmarkStart w:id="15" w:name="_Toc219538612"/>
      <w:bookmarkStart w:id="16" w:name="_Toc227057032"/>
      <w:bookmarkStart w:id="17" w:name="_Toc491780523"/>
      <w:bookmarkStart w:id="18" w:name="_Toc217460684"/>
      <w:bookmarkStart w:id="19" w:name="_Toc227056845"/>
      <w:bookmarkStart w:id="20" w:name="_Toc223933220"/>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27489887"/>
      <w:bookmarkStart w:id="24" w:name="_Toc227056846"/>
      <w:bookmarkStart w:id="25" w:name="_Toc215415530"/>
      <w:bookmarkStart w:id="26" w:name="_Toc227057033"/>
      <w:bookmarkStart w:id="27" w:name="_Toc223933221"/>
      <w:bookmarkStart w:id="28" w:name="_Toc218041726"/>
      <w:bookmarkStart w:id="29" w:name="_Toc216667820"/>
      <w:bookmarkStart w:id="30" w:name="_Toc219538613"/>
      <w:bookmarkStart w:id="31" w:name="_Toc223717604"/>
      <w:bookmarkStart w:id="32" w:name="_Toc217460685"/>
      <w:r>
        <w:rPr>
          <w:rFonts w:hint="eastAsia" w:ascii="宋体" w:hAnsi="宋体" w:eastAsia="宋体" w:cs="宋体"/>
          <w:b/>
          <w:sz w:val="28"/>
          <w:szCs w:val="28"/>
          <w:highlight w:val="none"/>
        </w:rPr>
        <w:t>投标人须知前附表</w:t>
      </w:r>
      <w:bookmarkEnd w:id="21"/>
      <w:bookmarkEnd w:id="22"/>
    </w:p>
    <w:tbl>
      <w:tblPr>
        <w:tblStyle w:val="25"/>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物业服务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WGSS-JFJT-Z-2023039</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温州金桥建设开发有限公司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浙江省温州市洞头区中兴路163号</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蔡先生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13676710615</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lang w:eastAsia="zh-CN"/>
              </w:rPr>
              <w:t>温州金桥建设开发有限公司洞头区珑头湾项目</w:t>
            </w:r>
            <w:r>
              <w:rPr>
                <w:rFonts w:hint="eastAsia" w:ascii="宋体" w:hAnsi="宋体" w:eastAsia="宋体" w:cs="宋体"/>
                <w:sz w:val="18"/>
                <w:szCs w:val="18"/>
                <w:highlight w:val="none"/>
              </w:rPr>
              <w:t>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物业服务</w:t>
            </w:r>
            <w:r>
              <w:rPr>
                <w:rFonts w:hint="eastAsia" w:ascii="宋体" w:hAnsi="宋体" w:eastAsia="宋体" w:cs="宋体"/>
                <w:sz w:val="18"/>
                <w:szCs w:val="18"/>
                <w:highlight w:val="none"/>
              </w:rPr>
              <w:t>，具体服务内容包括秩序维护、</w:t>
            </w:r>
            <w:r>
              <w:rPr>
                <w:rFonts w:hint="eastAsia" w:ascii="宋体" w:hAnsi="宋体" w:eastAsia="宋体" w:cs="宋体"/>
                <w:sz w:val="18"/>
                <w:szCs w:val="18"/>
                <w:highlight w:val="none"/>
                <w:lang w:val="en-US" w:eastAsia="zh-CN"/>
              </w:rPr>
              <w:t>道路清洁、办公区环境卫生保洁、</w:t>
            </w:r>
            <w:r>
              <w:rPr>
                <w:rFonts w:hint="eastAsia" w:ascii="宋体" w:hAnsi="宋体" w:eastAsia="宋体" w:cs="宋体"/>
                <w:sz w:val="18"/>
                <w:szCs w:val="18"/>
                <w:highlight w:val="none"/>
              </w:rPr>
              <w:t>安保管理、</w:t>
            </w:r>
            <w:r>
              <w:rPr>
                <w:rFonts w:hint="eastAsia" w:ascii="宋体" w:hAnsi="宋体" w:eastAsia="宋体" w:cs="宋体"/>
                <w:sz w:val="18"/>
                <w:szCs w:val="18"/>
                <w:highlight w:val="none"/>
                <w:lang w:val="en-US" w:eastAsia="zh-CN"/>
              </w:rPr>
              <w:t>员工食堂服务</w:t>
            </w:r>
            <w:r>
              <w:rPr>
                <w:rFonts w:hint="eastAsia" w:ascii="宋体" w:hAnsi="宋体" w:eastAsia="宋体" w:cs="宋体"/>
                <w:sz w:val="18"/>
                <w:szCs w:val="18"/>
                <w:highlight w:val="none"/>
              </w:rPr>
              <w:t>等，</w:t>
            </w:r>
            <w:r>
              <w:rPr>
                <w:rFonts w:hint="eastAsia" w:ascii="宋体" w:hAnsi="宋体" w:eastAsia="宋体" w:cs="宋体"/>
                <w:sz w:val="18"/>
                <w:szCs w:val="18"/>
                <w:highlight w:val="none"/>
                <w:lang w:val="en-US" w:eastAsia="zh-CN"/>
              </w:rPr>
              <w:t>具体采购</w:t>
            </w:r>
            <w:r>
              <w:rPr>
                <w:rFonts w:hint="eastAsia" w:ascii="宋体" w:hAnsi="宋体" w:eastAsia="宋体" w:cs="宋体"/>
                <w:sz w:val="18"/>
                <w:szCs w:val="18"/>
                <w:highlight w:val="none"/>
              </w:rPr>
              <w:t>内容及详细技术要求见采购文件相关部分。</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▲本项目采购预算为人民币</w:t>
            </w:r>
            <w:r>
              <w:rPr>
                <w:rFonts w:hint="eastAsia" w:ascii="宋体" w:hAnsi="宋体" w:eastAsia="宋体" w:cs="宋体"/>
                <w:b/>
                <w:kern w:val="0"/>
                <w:sz w:val="18"/>
                <w:szCs w:val="18"/>
                <w:highlight w:val="none"/>
                <w:u w:val="single"/>
                <w:lang w:val="en-US" w:eastAsia="zh-CN"/>
              </w:rPr>
              <w:t>60万元</w:t>
            </w:r>
            <w:r>
              <w:rPr>
                <w:rFonts w:hint="eastAsia" w:ascii="宋体" w:hAnsi="宋体" w:eastAsia="宋体" w:cs="宋体"/>
                <w:b/>
                <w:kern w:val="0"/>
                <w:sz w:val="18"/>
                <w:szCs w:val="18"/>
                <w:highlight w:val="none"/>
                <w:u w:val="single"/>
              </w:rPr>
              <w:t>，投标供应商的投标报价超出</w:t>
            </w:r>
            <w:r>
              <w:rPr>
                <w:rFonts w:hint="eastAsia" w:ascii="宋体" w:hAnsi="宋体" w:eastAsia="宋体" w:cs="宋体"/>
                <w:b/>
                <w:kern w:val="0"/>
                <w:sz w:val="18"/>
                <w:szCs w:val="18"/>
                <w:highlight w:val="none"/>
                <w:u w:val="single"/>
                <w:lang w:val="en-US" w:eastAsia="zh-CN"/>
              </w:rPr>
              <w:t>采购预算</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60万元</w:t>
            </w:r>
            <w:r>
              <w:rPr>
                <w:rFonts w:hint="eastAsia" w:ascii="宋体" w:hAnsi="宋体" w:eastAsia="宋体" w:cs="宋体"/>
                <w:b/>
                <w:kern w:val="0"/>
                <w:sz w:val="18"/>
                <w:szCs w:val="18"/>
                <w:highlight w:val="none"/>
                <w:u w:val="single"/>
              </w:rPr>
              <w:t>）的作无效标处理</w:t>
            </w:r>
            <w:r>
              <w:rPr>
                <w:rFonts w:hint="eastAsia" w:ascii="宋体" w:hAnsi="宋体" w:eastAsia="宋体" w:cs="宋体"/>
                <w:b/>
                <w:kern w:val="0"/>
                <w:sz w:val="18"/>
                <w:szCs w:val="18"/>
                <w:highlight w:val="none"/>
              </w:rPr>
              <w:t>。</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合同签订之日起1年，采用“1+1</w:t>
            </w:r>
            <w:r>
              <w:rPr>
                <w:rFonts w:hint="eastAsia" w:ascii="宋体" w:hAnsi="宋体" w:eastAsia="宋体" w:cs="宋体"/>
                <w:kern w:val="0"/>
                <w:sz w:val="18"/>
                <w:szCs w:val="18"/>
                <w:highlight w:val="none"/>
                <w:lang w:val="en-US" w:eastAsia="zh-CN"/>
              </w:rPr>
              <w:t>+1年</w:t>
            </w:r>
            <w:r>
              <w:rPr>
                <w:rFonts w:hint="eastAsia" w:ascii="宋体" w:hAnsi="宋体" w:eastAsia="宋体" w:cs="宋体"/>
                <w:kern w:val="0"/>
                <w:sz w:val="18"/>
                <w:szCs w:val="18"/>
                <w:highlight w:val="none"/>
              </w:rPr>
              <w:t>”模式，合同期满后，经</w:t>
            </w:r>
            <w:r>
              <w:rPr>
                <w:rFonts w:hint="eastAsia" w:ascii="宋体" w:hAnsi="宋体" w:eastAsia="宋体" w:cs="宋体"/>
                <w:kern w:val="0"/>
                <w:sz w:val="18"/>
                <w:szCs w:val="18"/>
                <w:highlight w:val="none"/>
                <w:lang w:val="en-US" w:eastAsia="zh-CN"/>
              </w:rPr>
              <w:t>采购人</w:t>
            </w:r>
            <w:r>
              <w:rPr>
                <w:rFonts w:hint="eastAsia" w:ascii="宋体" w:hAnsi="宋体" w:eastAsia="宋体" w:cs="宋体"/>
                <w:kern w:val="0"/>
                <w:sz w:val="18"/>
                <w:szCs w:val="18"/>
                <w:highlight w:val="none"/>
              </w:rPr>
              <w:t>考核合格后，续签下一年度合同</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最多续签2次</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1"/>
                <w:rFonts w:hint="eastAsia" w:ascii="宋体" w:hAnsi="宋体" w:eastAsia="宋体" w:cs="宋体"/>
                <w:color w:val="auto"/>
                <w:kern w:val="0"/>
                <w:sz w:val="18"/>
                <w:szCs w:val="18"/>
                <w:highlight w:val="none"/>
              </w:rPr>
              <w:t>澄清文件加盖公章后以扫描件发送至邮箱</w:t>
            </w:r>
            <w:r>
              <w:rPr>
                <w:rStyle w:val="31"/>
                <w:rFonts w:hint="eastAsia" w:ascii="宋体" w:hAnsi="宋体" w:eastAsia="宋体" w:cs="宋体"/>
                <w:color w:val="auto"/>
                <w:kern w:val="0"/>
                <w:sz w:val="18"/>
                <w:szCs w:val="18"/>
                <w:highlight w:val="none"/>
                <w:lang w:eastAsia="zh-CN"/>
              </w:rPr>
              <w:t>1826066763</w:t>
            </w:r>
            <w:r>
              <w:rPr>
                <w:rStyle w:val="31"/>
                <w:rFonts w:hint="eastAsia" w:ascii="宋体" w:hAnsi="宋体" w:eastAsia="宋体" w:cs="宋体"/>
                <w:color w:val="auto"/>
                <w:kern w:val="0"/>
                <w:sz w:val="18"/>
                <w:szCs w:val="18"/>
                <w:highlight w:val="none"/>
              </w:rPr>
              <w:t>@qq.com</w:t>
            </w:r>
            <w:r>
              <w:rPr>
                <w:rStyle w:val="31"/>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3</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6</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21</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下午14</w:t>
            </w:r>
            <w:r>
              <w:rPr>
                <w:rFonts w:hint="eastAsia" w:ascii="宋体" w:hAnsi="宋体" w:eastAsia="宋体" w:cs="宋体"/>
                <w:b/>
                <w:bCs/>
                <w:color w:val="0000FF"/>
                <w:kern w:val="0"/>
                <w:sz w:val="18"/>
                <w:szCs w:val="18"/>
                <w:highlight w:val="none"/>
              </w:rPr>
              <w:t>时</w:t>
            </w:r>
            <w:r>
              <w:rPr>
                <w:rFonts w:hint="eastAsia" w:ascii="宋体" w:hAnsi="宋体" w:eastAsia="宋体" w:cs="宋体"/>
                <w:b/>
                <w:bCs/>
                <w:color w:val="0000FF"/>
                <w:kern w:val="0"/>
                <w:sz w:val="18"/>
                <w:szCs w:val="18"/>
                <w:highlight w:val="none"/>
                <w:lang w:val="en-US" w:eastAsia="zh-CN"/>
              </w:rPr>
              <w:t>0</w:t>
            </w:r>
            <w:r>
              <w:rPr>
                <w:rFonts w:hint="eastAsia" w:ascii="宋体" w:hAnsi="宋体" w:eastAsia="宋体" w:cs="宋体"/>
                <w:b/>
                <w:bCs/>
                <w:color w:val="0000FF"/>
                <w:kern w:val="0"/>
                <w:sz w:val="18"/>
                <w:szCs w:val="18"/>
                <w:highlight w:val="none"/>
              </w:rPr>
              <w:t>0分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温州市交通发展集团有限公司</w:t>
            </w:r>
            <w:r>
              <w:rPr>
                <w:rFonts w:hint="eastAsia" w:ascii="宋体" w:hAnsi="宋体" w:eastAsia="宋体" w:cs="宋体"/>
                <w:kern w:val="0"/>
                <w:sz w:val="18"/>
                <w:szCs w:val="18"/>
                <w:highlight w:val="none"/>
              </w:rPr>
              <w:t>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val="en-US" w:eastAsia="zh-CN"/>
              </w:rPr>
              <w:t>曾女士</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hint="eastAsia" w:ascii="宋体" w:hAnsi="宋体" w:eastAsia="宋体" w:cs="宋体"/>
          <w:b/>
          <w:sz w:val="28"/>
          <w:szCs w:val="28"/>
          <w:highlight w:val="none"/>
        </w:rPr>
      </w:pPr>
      <w:bookmarkStart w:id="33" w:name="_Toc227489888"/>
      <w:bookmarkStart w:id="34" w:name="_Toc227056847"/>
      <w:bookmarkStart w:id="35" w:name="_Toc205877558"/>
      <w:bookmarkStart w:id="36" w:name="_Toc216667821"/>
      <w:bookmarkStart w:id="37" w:name="_Toc204491318"/>
      <w:bookmarkStart w:id="38" w:name="_Toc209261433"/>
      <w:bookmarkStart w:id="39" w:name="_Toc205877453"/>
      <w:bookmarkStart w:id="40" w:name="_Toc209251128"/>
      <w:bookmarkStart w:id="41" w:name="_Toc214365791"/>
      <w:bookmarkStart w:id="42" w:name="_Toc209332634"/>
      <w:bookmarkStart w:id="43" w:name="_Toc218041727"/>
      <w:bookmarkStart w:id="44" w:name="_Toc215415531"/>
      <w:bookmarkStart w:id="45" w:name="_Toc205004969"/>
      <w:bookmarkStart w:id="46" w:name="_Toc219538614"/>
      <w:bookmarkStart w:id="47" w:name="_Toc204578576"/>
      <w:bookmarkStart w:id="48" w:name="_Toc223717605"/>
      <w:bookmarkStart w:id="49" w:name="_Toc217460686"/>
      <w:bookmarkStart w:id="50" w:name="_Toc210879709"/>
      <w:bookmarkStart w:id="51" w:name="_Toc209250720"/>
      <w:bookmarkStart w:id="52" w:name="_Toc205703103"/>
      <w:bookmarkStart w:id="53" w:name="_Toc205005287"/>
      <w:bookmarkStart w:id="54" w:name="_Toc223933222"/>
      <w:bookmarkStart w:id="55" w:name="_Toc209261366"/>
      <w:bookmarkStart w:id="56" w:name="_Toc207609182"/>
      <w:bookmarkStart w:id="57" w:name="_Toc227057034"/>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pPr>
        <w:spacing w:before="156" w:beforeLines="50" w:after="156" w:afterLines="50"/>
        <w:jc w:val="center"/>
        <w:rPr>
          <w:rFonts w:hint="eastAsia" w:ascii="宋体" w:hAnsi="宋体" w:eastAsia="宋体" w:cs="宋体"/>
          <w:b/>
          <w:sz w:val="28"/>
          <w:szCs w:val="28"/>
          <w:highlight w:val="none"/>
        </w:rPr>
      </w:pPr>
      <w:bookmarkStart w:id="58" w:name="_Toc227057035"/>
      <w:bookmarkStart w:id="59" w:name="_Toc223933223"/>
      <w:bookmarkStart w:id="60" w:name="_Toc209250721"/>
      <w:bookmarkStart w:id="61" w:name="_Toc204578577"/>
      <w:bookmarkStart w:id="62" w:name="_Toc215415532"/>
      <w:bookmarkStart w:id="63" w:name="_Toc219538615"/>
      <w:bookmarkStart w:id="64" w:name="_Toc209261367"/>
      <w:bookmarkStart w:id="65" w:name="_Toc209261434"/>
      <w:bookmarkStart w:id="66" w:name="_Toc223717606"/>
      <w:bookmarkStart w:id="67" w:name="_Toc209251129"/>
      <w:bookmarkStart w:id="68" w:name="_Toc216667822"/>
      <w:bookmarkStart w:id="69" w:name="_Toc205703104"/>
      <w:bookmarkStart w:id="70" w:name="_Toc207609183"/>
      <w:bookmarkStart w:id="71" w:name="_Toc205004970"/>
      <w:bookmarkStart w:id="72" w:name="_Toc217460687"/>
      <w:bookmarkStart w:id="73" w:name="_Toc214365792"/>
      <w:bookmarkStart w:id="74" w:name="_Toc210879710"/>
      <w:bookmarkStart w:id="75" w:name="_Toc227489889"/>
      <w:bookmarkStart w:id="76" w:name="_Toc209332635"/>
      <w:bookmarkStart w:id="77" w:name="_Toc227056848"/>
      <w:bookmarkStart w:id="78" w:name="_Toc204491319"/>
      <w:bookmarkStart w:id="79" w:name="_Toc218041728"/>
      <w:bookmarkStart w:id="80" w:name="_Toc205005288"/>
      <w:bookmarkStart w:id="81" w:name="_Toc205877559"/>
      <w:bookmarkStart w:id="82" w:name="_Toc205877454"/>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2020年1月1日以来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lang w:val="en-US" w:eastAsia="zh-CN"/>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三</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rPr>
          <w:rFonts w:hint="eastAsia" w:ascii="宋体" w:hAnsi="宋体" w:eastAsia="宋体" w:cs="宋体"/>
          <w:b/>
          <w:sz w:val="22"/>
          <w:highlight w:val="none"/>
        </w:rPr>
      </w:pPr>
      <w:r>
        <w:rPr>
          <w:rFonts w:hint="eastAsia" w:ascii="宋体" w:hAnsi="宋体" w:eastAsia="宋体" w:cs="宋体"/>
          <w:b/>
          <w:sz w:val="22"/>
          <w:highlight w:val="none"/>
        </w:rPr>
        <w:t>11.3   需递交的证明文件的原件明细如下：</w:t>
      </w:r>
    </w:p>
    <w:p>
      <w:pPr>
        <w:tabs>
          <w:tab w:val="left" w:pos="360"/>
          <w:tab w:val="left" w:pos="540"/>
        </w:tabs>
        <w:ind w:firstLine="442" w:firstLineChars="200"/>
        <w:rPr>
          <w:rFonts w:hint="eastAsia" w:ascii="宋体" w:hAnsi="宋体" w:eastAsia="宋体" w:cs="宋体"/>
          <w:b/>
          <w:bCs/>
          <w:kern w:val="0"/>
          <w:sz w:val="22"/>
          <w:highlight w:val="none"/>
          <w:lang w:eastAsia="zh-CN"/>
        </w:rPr>
      </w:pPr>
      <w:r>
        <w:rPr>
          <w:rFonts w:hint="eastAsia" w:ascii="宋体" w:hAnsi="宋体" w:eastAsia="宋体" w:cs="宋体"/>
          <w:b/>
          <w:bCs/>
          <w:kern w:val="0"/>
          <w:sz w:val="22"/>
          <w:highlight w:val="none"/>
          <w:lang w:val="en-US" w:eastAsia="zh-CN"/>
        </w:rPr>
        <w:t>1）</w:t>
      </w:r>
      <w:r>
        <w:rPr>
          <w:rFonts w:hint="eastAsia" w:ascii="宋体" w:hAnsi="宋体" w:eastAsia="宋体" w:cs="宋体"/>
          <w:b/>
          <w:bCs/>
          <w:kern w:val="0"/>
          <w:sz w:val="22"/>
          <w:highlight w:val="none"/>
        </w:rPr>
        <w:t>与评分有关质量管理体系认证证书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环境体系认证证书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职业健康安全体系认证证书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政府主管部门服务业标准化创建证书</w:t>
      </w:r>
      <w:r>
        <w:rPr>
          <w:rFonts w:hint="eastAsia" w:ascii="宋体" w:hAnsi="宋体" w:eastAsia="宋体" w:cs="宋体"/>
          <w:b/>
          <w:bCs/>
          <w:kern w:val="0"/>
          <w:sz w:val="22"/>
          <w:highlight w:val="none"/>
          <w:lang w:val="en-US" w:eastAsia="zh-CN"/>
        </w:rPr>
        <w:t>原件</w:t>
      </w:r>
      <w:r>
        <w:rPr>
          <w:rFonts w:hint="eastAsia" w:ascii="宋体" w:hAnsi="宋体" w:eastAsia="宋体" w:cs="宋体"/>
          <w:b/>
          <w:bCs/>
          <w:kern w:val="0"/>
          <w:sz w:val="22"/>
          <w:highlight w:val="none"/>
          <w:lang w:eastAsia="zh-CN"/>
        </w:rPr>
        <w:t>；</w:t>
      </w:r>
    </w:p>
    <w:p>
      <w:pPr>
        <w:tabs>
          <w:tab w:val="left" w:pos="360"/>
          <w:tab w:val="left" w:pos="540"/>
        </w:tabs>
        <w:ind w:firstLine="442" w:firstLineChars="200"/>
        <w:rPr>
          <w:rFonts w:hint="eastAsia" w:ascii="宋体" w:hAnsi="宋体" w:eastAsia="宋体" w:cs="宋体"/>
          <w:b/>
          <w:bCs/>
          <w:kern w:val="0"/>
          <w:sz w:val="22"/>
          <w:highlight w:val="none"/>
          <w:lang w:val="en-US" w:eastAsia="zh-CN"/>
        </w:rPr>
      </w:pPr>
      <w:r>
        <w:rPr>
          <w:rFonts w:hint="eastAsia" w:ascii="宋体" w:hAnsi="宋体" w:eastAsia="宋体" w:cs="宋体"/>
          <w:b/>
          <w:bCs/>
          <w:kern w:val="0"/>
          <w:sz w:val="22"/>
          <w:highlight w:val="none"/>
          <w:lang w:val="en-US" w:eastAsia="zh-CN"/>
        </w:rPr>
        <w:t>2）与评分有关的</w:t>
      </w:r>
      <w:r>
        <w:rPr>
          <w:rFonts w:hint="eastAsia" w:ascii="宋体" w:hAnsi="宋体" w:eastAsia="宋体" w:cs="宋体"/>
          <w:b/>
          <w:bCs/>
          <w:kern w:val="0"/>
          <w:sz w:val="22"/>
          <w:highlight w:val="none"/>
        </w:rPr>
        <w:t>高速服务区物业管理业绩</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其他公共场所物业管理项目业绩</w:t>
      </w:r>
      <w:r>
        <w:rPr>
          <w:rFonts w:hint="eastAsia" w:ascii="宋体" w:hAnsi="宋体" w:eastAsia="宋体" w:cs="宋体"/>
          <w:b/>
          <w:bCs/>
          <w:kern w:val="0"/>
          <w:sz w:val="22"/>
          <w:highlight w:val="none"/>
          <w:lang w:val="en-US" w:eastAsia="zh-CN"/>
        </w:rPr>
        <w:t>合同原件</w:t>
      </w:r>
    </w:p>
    <w:p>
      <w:pPr>
        <w:tabs>
          <w:tab w:val="left" w:pos="360"/>
          <w:tab w:val="left" w:pos="540"/>
        </w:tabs>
        <w:ind w:firstLine="442" w:firstLineChars="200"/>
        <w:rPr>
          <w:rFonts w:hint="eastAsia" w:ascii="宋体" w:hAnsi="宋体" w:eastAsia="宋体" w:cs="宋体"/>
          <w:b/>
          <w:bCs/>
          <w:kern w:val="0"/>
          <w:sz w:val="22"/>
          <w:highlight w:val="none"/>
        </w:rPr>
      </w:pPr>
      <w:r>
        <w:rPr>
          <w:rFonts w:hint="eastAsia" w:ascii="宋体" w:hAnsi="宋体" w:eastAsia="宋体" w:cs="宋体"/>
          <w:b/>
          <w:bCs/>
          <w:kern w:val="0"/>
          <w:sz w:val="22"/>
          <w:highlight w:val="none"/>
        </w:rPr>
        <w:t>备注：</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（1）要求提供的原件在投标文件技术资信标中需提供复印件，并加盖投标人公章。</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（2）证明文件原件按规定递送后，不能再对其进行补充或删减。</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hint="eastAsia" w:ascii="宋体" w:hAnsi="宋体" w:eastAsia="宋体" w:cs="宋体"/>
          <w:highlight w:val="none"/>
        </w:rPr>
      </w:pPr>
      <w:r>
        <w:rPr>
          <w:rFonts w:hint="eastAsia" w:ascii="宋体" w:hAnsi="宋体" w:eastAsia="宋体" w:cs="宋体"/>
          <w:b/>
          <w:snapToGrid w:val="0"/>
          <w:sz w:val="22"/>
          <w:highlight w:val="none"/>
          <w:em w:val="dot"/>
        </w:rPr>
        <w:t>与评分有关的</w:t>
      </w:r>
      <w:r>
        <w:rPr>
          <w:rFonts w:hint="eastAsia" w:ascii="宋体" w:hAnsi="宋体" w:eastAsia="宋体" w:cs="宋体"/>
          <w:b/>
          <w:snapToGrid w:val="0"/>
          <w:sz w:val="22"/>
          <w:highlight w:val="none"/>
          <w:em w:val="dot"/>
          <w:lang w:val="en-US" w:eastAsia="zh-CN"/>
        </w:rPr>
        <w:t>证明文件</w:t>
      </w:r>
      <w:r>
        <w:rPr>
          <w:rFonts w:hint="eastAsia" w:ascii="宋体" w:hAnsi="宋体" w:eastAsia="宋体" w:cs="宋体"/>
          <w:b/>
          <w:snapToGrid w:val="0"/>
          <w:sz w:val="22"/>
          <w:highlight w:val="none"/>
          <w:em w:val="dot"/>
        </w:rPr>
        <w:t>原件如不按要求提交的，评标时相关评分项不得分，11.3条中规定的原件在评标结束后退还。</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▲本项目投标报价为期限壹年的承包费用报价，并采用固定总价承包。投标报价是指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ind w:left="440" w:hanging="440" w:hangingChars="200"/>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投标人须按投标人须知前附表规定交纳投标保证金，否则采购人将不接受其投标</w:t>
      </w:r>
      <w:r>
        <w:rPr>
          <w:rFonts w:hint="eastAsia" w:ascii="宋体" w:hAnsi="宋体" w:eastAsia="宋体" w:cs="宋体"/>
          <w:sz w:val="22"/>
          <w:highlight w:val="none"/>
        </w:rPr>
        <w:t>。</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highlight w:val="none"/>
        </w:rPr>
        <w:t>因此请投标人注意及时联系政采云询问有关投标保证金退还事宜，政采云服务热线95763 （服务时间：工作日8：00-20：00）。</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56" w:beforeLines="50" w:after="156" w:afterLines="50"/>
        <w:jc w:val="center"/>
        <w:rPr>
          <w:rFonts w:hint="eastAsia" w:ascii="宋体" w:hAnsi="宋体" w:eastAsia="宋体" w:cs="宋体"/>
          <w:b/>
          <w:sz w:val="28"/>
          <w:szCs w:val="28"/>
          <w:highlight w:val="none"/>
        </w:rPr>
      </w:pPr>
      <w:bookmarkStart w:id="83" w:name="_Toc205005289"/>
      <w:bookmarkStart w:id="84" w:name="_Toc223933224"/>
      <w:bookmarkStart w:id="85" w:name="_Toc205703105"/>
      <w:bookmarkStart w:id="86" w:name="_Toc223717607"/>
      <w:bookmarkStart w:id="87" w:name="_Toc217460688"/>
      <w:bookmarkStart w:id="88" w:name="_Toc219538616"/>
      <w:bookmarkStart w:id="89" w:name="_Toc227057036"/>
      <w:bookmarkStart w:id="90" w:name="_Toc207609184"/>
      <w:bookmarkStart w:id="91" w:name="_Toc227056849"/>
      <w:bookmarkStart w:id="92" w:name="_Toc205004971"/>
      <w:bookmarkStart w:id="93" w:name="_Toc209332636"/>
      <w:bookmarkStart w:id="94" w:name="_Toc209261435"/>
      <w:bookmarkStart w:id="95" w:name="_Toc209251130"/>
      <w:bookmarkStart w:id="96" w:name="_Toc209261368"/>
      <w:bookmarkStart w:id="97" w:name="_Toc216667823"/>
      <w:bookmarkStart w:id="98" w:name="_Toc209250722"/>
      <w:bookmarkStart w:id="99" w:name="_Toc227489890"/>
      <w:bookmarkStart w:id="100" w:name="_Toc218041729"/>
      <w:bookmarkStart w:id="101" w:name="_Toc214365793"/>
      <w:bookmarkStart w:id="102" w:name="_Toc215415533"/>
      <w:bookmarkStart w:id="103" w:name="_Toc204491320"/>
      <w:bookmarkStart w:id="104" w:name="_Toc204578578"/>
      <w:bookmarkStart w:id="105" w:name="_Toc205877560"/>
      <w:bookmarkStart w:id="106" w:name="_Toc205877455"/>
      <w:bookmarkStart w:id="107" w:name="_Toc210879711"/>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投标人代表有效身份证件（原件）；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56" w:beforeLines="50" w:after="156" w:afterLines="50"/>
        <w:jc w:val="center"/>
        <w:rPr>
          <w:rFonts w:hint="eastAsia" w:ascii="宋体" w:hAnsi="宋体" w:eastAsia="宋体" w:cs="宋体"/>
          <w:b/>
          <w:sz w:val="28"/>
          <w:szCs w:val="28"/>
          <w:highlight w:val="none"/>
        </w:rPr>
      </w:pPr>
      <w:bookmarkStart w:id="108" w:name="_Toc205877456"/>
      <w:bookmarkStart w:id="109" w:name="_Toc214365794"/>
      <w:bookmarkStart w:id="110" w:name="_Toc210879712"/>
      <w:bookmarkStart w:id="111" w:name="_Toc204578579"/>
      <w:bookmarkStart w:id="112" w:name="_Toc205703106"/>
      <w:bookmarkStart w:id="113" w:name="_Toc219538617"/>
      <w:bookmarkStart w:id="114" w:name="_Toc209261369"/>
      <w:bookmarkStart w:id="115" w:name="_Toc227489891"/>
      <w:bookmarkStart w:id="116" w:name="_Toc227056850"/>
      <w:bookmarkStart w:id="117" w:name="_Toc209251131"/>
      <w:bookmarkStart w:id="118" w:name="_Toc205877561"/>
      <w:bookmarkStart w:id="119" w:name="_Toc209332637"/>
      <w:bookmarkStart w:id="120" w:name="_Toc205005290"/>
      <w:bookmarkStart w:id="121" w:name="_Toc204491321"/>
      <w:bookmarkStart w:id="122" w:name="_Toc223717608"/>
      <w:bookmarkStart w:id="123" w:name="_Toc209250723"/>
      <w:bookmarkStart w:id="124" w:name="_Toc207609185"/>
      <w:bookmarkStart w:id="125" w:name="_Toc215415534"/>
      <w:bookmarkStart w:id="126" w:name="_Toc227057037"/>
      <w:bookmarkStart w:id="127" w:name="_Toc216667824"/>
      <w:bookmarkStart w:id="128" w:name="_Toc209261436"/>
      <w:bookmarkStart w:id="129" w:name="_Toc205004972"/>
      <w:bookmarkStart w:id="130" w:name="_Toc223933225"/>
      <w:bookmarkStart w:id="131" w:name="_Toc218041730"/>
      <w:bookmarkStart w:id="132" w:name="_Toc217460689"/>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numPr>
          <w:ilvl w:val="0"/>
          <w:numId w:val="3"/>
        </w:numPr>
        <w:tabs>
          <w:tab w:val="left" w:pos="525"/>
          <w:tab w:val="left" w:pos="900"/>
        </w:tabs>
        <w:ind w:left="525" w:hanging="525"/>
        <w:rPr>
          <w:rFonts w:hint="eastAsia" w:ascii="宋体" w:hAnsi="宋体" w:eastAsia="宋体" w:cs="宋体"/>
          <w:sz w:val="22"/>
          <w:highlight w:val="none"/>
        </w:rPr>
      </w:pPr>
      <w:bookmarkStart w:id="133" w:name="_Toc218041731"/>
      <w:bookmarkStart w:id="134" w:name="_Toc204578580"/>
      <w:bookmarkStart w:id="135" w:name="_Toc209250724"/>
      <w:bookmarkStart w:id="136" w:name="_Toc223933226"/>
      <w:bookmarkStart w:id="137" w:name="_Toc219538618"/>
      <w:bookmarkStart w:id="138" w:name="_Toc217460690"/>
      <w:bookmarkStart w:id="139" w:name="_Toc214365795"/>
      <w:bookmarkStart w:id="140" w:name="_Toc209332638"/>
      <w:bookmarkStart w:id="141" w:name="_Toc205877562"/>
      <w:bookmarkStart w:id="142" w:name="_Toc207609186"/>
      <w:bookmarkStart w:id="143" w:name="_Toc216667825"/>
      <w:bookmarkStart w:id="144" w:name="_Toc215415535"/>
      <w:bookmarkStart w:id="145" w:name="_Toc227056851"/>
      <w:bookmarkStart w:id="146" w:name="_Toc209261370"/>
      <w:bookmarkStart w:id="147" w:name="_Toc223717609"/>
      <w:bookmarkStart w:id="148" w:name="_Toc210879713"/>
      <w:bookmarkStart w:id="149" w:name="_Toc205005291"/>
      <w:bookmarkStart w:id="150" w:name="_Toc209251132"/>
      <w:bookmarkStart w:id="151" w:name="_Toc205703107"/>
      <w:bookmarkStart w:id="152" w:name="_Toc205004973"/>
      <w:bookmarkStart w:id="153" w:name="_Toc209261437"/>
      <w:bookmarkStart w:id="154" w:name="_Toc227057038"/>
      <w:bookmarkStart w:id="155" w:name="_Toc227489892"/>
      <w:bookmarkStart w:id="156" w:name="_Toc204491322"/>
      <w:bookmarkStart w:id="157" w:name="_Toc205877457"/>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（大于</w:t>
      </w:r>
      <w:r>
        <w:rPr>
          <w:rFonts w:hint="eastAsia" w:ascii="宋体" w:hAnsi="宋体" w:eastAsia="宋体" w:cs="宋体"/>
          <w:bCs/>
          <w:sz w:val="22"/>
          <w:highlight w:val="none"/>
          <w:u w:val="single"/>
          <w:lang w:val="en-US" w:eastAsia="zh-CN"/>
        </w:rPr>
        <w:t>60万元</w:t>
      </w:r>
      <w:r>
        <w:rPr>
          <w:rFonts w:hint="eastAsia" w:ascii="宋体" w:hAnsi="宋体" w:eastAsia="宋体" w:cs="宋体"/>
          <w:bCs/>
          <w:sz w:val="22"/>
          <w:highlight w:val="none"/>
          <w:u w:val="single"/>
        </w:rPr>
        <w:t>）的；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物业服务</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，则该供应商的报价作无效标处理。本次采购如果所有供应商的报价均超出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pPr>
        <w:tabs>
          <w:tab w:val="left" w:pos="2800"/>
        </w:tabs>
        <w:autoSpaceDE w:val="0"/>
        <w:autoSpaceDN w:val="0"/>
        <w:ind w:firstLine="440" w:firstLineChars="200"/>
        <w:jc w:val="left"/>
        <w:rPr>
          <w:rFonts w:hint="eastAsia" w:ascii="宋体" w:hAnsi="宋体" w:eastAsia="宋体" w:cs="宋体"/>
          <w:b w:val="0"/>
          <w:bCs/>
          <w:sz w:val="22"/>
          <w:szCs w:val="22"/>
          <w:highlight w:val="none"/>
        </w:rPr>
      </w:pPr>
      <w:bookmarkStart w:id="158" w:name="_Toc217460691"/>
      <w:bookmarkStart w:id="159" w:name="_Toc218041732"/>
      <w:bookmarkStart w:id="160" w:name="_Toc216667826"/>
      <w:bookmarkStart w:id="161" w:name="_Toc223717610"/>
      <w:bookmarkStart w:id="162" w:name="_Toc227056852"/>
      <w:bookmarkStart w:id="163" w:name="_Toc215415536"/>
      <w:bookmarkStart w:id="164" w:name="_Toc219538619"/>
      <w:bookmarkStart w:id="165" w:name="_Toc227489893"/>
      <w:bookmarkStart w:id="166" w:name="_Toc227057039"/>
      <w:bookmarkStart w:id="167" w:name="_Toc223933227"/>
      <w:r>
        <w:rPr>
          <w:rFonts w:hint="eastAsia" w:ascii="宋体" w:hAnsi="宋体" w:eastAsia="宋体" w:cs="宋体"/>
          <w:b w:val="0"/>
          <w:bCs/>
          <w:sz w:val="22"/>
          <w:szCs w:val="22"/>
          <w:highlight w:val="none"/>
        </w:rPr>
        <w:t>本次</w:t>
      </w: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代理服务费按固定金额</w:t>
      </w:r>
      <w:r>
        <w:rPr>
          <w:rFonts w:hint="default" w:ascii="宋体" w:hAnsi="宋体" w:eastAsia="宋体" w:cs="宋体"/>
          <w:b w:val="0"/>
          <w:bCs/>
          <w:sz w:val="22"/>
          <w:szCs w:val="22"/>
          <w:highlight w:val="none"/>
          <w:lang w:val="en-US" w:eastAsia="zh-CN"/>
        </w:rPr>
        <w:t>¥</w:t>
      </w:r>
      <w:r>
        <w:rPr>
          <w:rFonts w:hint="eastAsia" w:ascii="宋体" w:hAnsi="宋体" w:eastAsia="宋体" w:cs="宋体"/>
          <w:b w:val="0"/>
          <w:bCs/>
          <w:sz w:val="22"/>
          <w:szCs w:val="22"/>
          <w:highlight w:val="none"/>
          <w:lang w:val="en-US" w:eastAsia="zh-CN"/>
        </w:rPr>
        <w:t>8500</w:t>
      </w:r>
      <w:r>
        <w:rPr>
          <w:rFonts w:hint="eastAsia" w:ascii="宋体" w:hAnsi="宋体" w:eastAsia="宋体" w:cs="宋体"/>
          <w:b w:val="0"/>
          <w:bCs/>
          <w:sz w:val="22"/>
          <w:szCs w:val="22"/>
          <w:highlight w:val="none"/>
        </w:rPr>
        <w:t>.00元计取，在领取中标通知书前支付给采购代理机构，采购代理服务费包含在投标总价中（报价不需要单列）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pPr>
        <w:rPr>
          <w:rFonts w:hint="eastAsia" w:ascii="宋体" w:hAnsi="宋体" w:eastAsia="宋体" w:cs="宋体"/>
          <w:szCs w:val="21"/>
          <w:highlight w:val="none"/>
        </w:rPr>
      </w:pPr>
      <w:bookmarkStart w:id="169" w:name="_Toc223933228"/>
      <w:bookmarkStart w:id="170" w:name="_Toc219538620"/>
      <w:bookmarkStart w:id="171" w:name="_Toc218041733"/>
      <w:bookmarkStart w:id="172" w:name="_Toc215415537"/>
      <w:bookmarkStart w:id="173" w:name="_Toc223717611"/>
      <w:bookmarkStart w:id="174" w:name="_Toc227056853"/>
      <w:bookmarkStart w:id="175" w:name="_Toc227057040"/>
      <w:bookmarkStart w:id="176" w:name="_Toc216667827"/>
      <w:bookmarkStart w:id="177" w:name="_Toc227489894"/>
      <w:bookmarkStart w:id="178" w:name="_Toc217460692"/>
      <w:bookmarkStart w:id="179" w:name="_Toc227489895"/>
      <w:bookmarkStart w:id="180" w:name="_Toc216667828"/>
      <w:bookmarkStart w:id="181" w:name="_Toc227056854"/>
      <w:bookmarkStart w:id="182" w:name="_Toc217460693"/>
      <w:bookmarkStart w:id="183" w:name="_Toc215415538"/>
      <w:bookmarkStart w:id="184" w:name="_Toc227057041"/>
      <w:bookmarkStart w:id="185" w:name="_Toc219538621"/>
      <w:bookmarkStart w:id="186" w:name="_Toc223717612"/>
      <w:bookmarkStart w:id="187" w:name="_Toc218041734"/>
      <w:bookmarkStart w:id="188" w:name="_Toc223933229"/>
    </w:p>
    <w:p>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pPr>
        <w:pStyle w:val="14"/>
        <w:snapToGrid w:val="0"/>
        <w:jc w:val="both"/>
        <w:rPr>
          <w:rFonts w:hint="eastAsia" w:ascii="宋体" w:hAnsi="宋体" w:eastAsia="宋体" w:cs="宋体"/>
          <w:kern w:val="2"/>
          <w:highlight w:val="none"/>
        </w:rPr>
      </w:pP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p>
      <w:pPr>
        <w:spacing w:line="240" w:lineRule="auto"/>
        <w:ind w:firstLine="420" w:firstLineChars="200"/>
        <w:rPr>
          <w:rFonts w:hint="eastAsia" w:ascii="宋体" w:hAnsi="宋体" w:eastAsia="宋体" w:cs="宋体"/>
          <w:color w:val="auto"/>
          <w:sz w:val="21"/>
          <w:szCs w:val="21"/>
          <w:highlight w:val="none"/>
          <w:lang w:val="zh-CN"/>
        </w:rPr>
      </w:pP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委托方：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（以下简称甲方）</w:t>
      </w:r>
    </w:p>
    <w:p>
      <w:pPr>
        <w:tabs>
          <w:tab w:val="left" w:pos="4800"/>
        </w:tabs>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受托方：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（以下简称乙方）</w:t>
      </w:r>
    </w:p>
    <w:p>
      <w:pPr>
        <w:spacing w:line="240" w:lineRule="auto"/>
        <w:ind w:firstLine="420" w:firstLineChars="200"/>
        <w:rPr>
          <w:rFonts w:hint="eastAsia" w:ascii="宋体" w:hAnsi="宋体" w:eastAsia="宋体" w:cs="宋体"/>
          <w:color w:val="auto"/>
          <w:sz w:val="21"/>
          <w:szCs w:val="21"/>
          <w:highlight w:val="none"/>
        </w:rPr>
      </w:pPr>
    </w:p>
    <w:p>
      <w:pPr>
        <w:spacing w:line="24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甲乙双方经协商，一致同意订立如下条款：</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甲乙双方根据《中华人民共和国</w:t>
      </w:r>
      <w:r>
        <w:rPr>
          <w:rFonts w:hint="eastAsia" w:ascii="宋体" w:hAnsi="宋体" w:eastAsia="宋体" w:cs="宋体"/>
          <w:b w:val="0"/>
          <w:bCs w:val="0"/>
          <w:color w:val="auto"/>
          <w:sz w:val="22"/>
          <w:szCs w:val="22"/>
          <w:highlight w:val="none"/>
          <w:lang w:val="en-US" w:eastAsia="zh-CN"/>
        </w:rPr>
        <w:t>民法典</w:t>
      </w:r>
      <w:r>
        <w:rPr>
          <w:rFonts w:hint="eastAsia" w:ascii="宋体" w:hAnsi="宋体" w:eastAsia="宋体" w:cs="宋体"/>
          <w:b w:val="0"/>
          <w:bCs w:val="0"/>
          <w:color w:val="auto"/>
          <w:sz w:val="22"/>
          <w:szCs w:val="22"/>
          <w:highlight w:val="none"/>
        </w:rPr>
        <w:t>》等有关法律法规和本合同的</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、报价文件及承诺，经双方友好协商，同意签订本合同，共同遵守。</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承包内容和承包期限</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服务地点：珑头湾项目的配套设施看护及其周边部分路段安保、保洁等事项和采购人公司办公区域的日常管理维护进行物业管理服务。</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服务范围：本项目服务范围包括：</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（1）保安人员及保洁人员必须管好划定区域内道路畅通和保洁。根据采购人要求，物业公司需对龙头湾开发项目区域内道路畅通, 无明显的堆积垃圾和杂物。</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（2）办公楼卫生保洁。根据采购人要求，物业公司需要对整个办公楼及宿舍环境卫生每天进行保洁，确保采购人办公场所和宿舍卫生清洁。</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（3）物业公司需要对采购人办公区域内的公共配套设施加强管理, 如发现公共配套设施损坏的情况，要及时向采购人汇报，并加以防护，待采购人修复，以免出现意外事故的发生。</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（4）食堂早、中餐就餐服务。</w:t>
      </w:r>
    </w:p>
    <w:p>
      <w:pPr>
        <w:spacing w:line="24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乙方</w:t>
      </w:r>
      <w:r>
        <w:rPr>
          <w:rFonts w:hint="eastAsia" w:ascii="宋体" w:hAnsi="宋体" w:eastAsia="宋体" w:cs="宋体"/>
          <w:b w:val="0"/>
          <w:bCs w:val="0"/>
          <w:color w:val="auto"/>
          <w:sz w:val="22"/>
          <w:szCs w:val="22"/>
          <w:highlight w:val="none"/>
          <w:lang w:eastAsia="zh-CN"/>
        </w:rPr>
        <w:t>投标文件的响应承诺</w:t>
      </w:r>
      <w:r>
        <w:rPr>
          <w:rFonts w:hint="eastAsia" w:ascii="宋体" w:hAnsi="宋体" w:eastAsia="宋体" w:cs="宋体"/>
          <w:b w:val="0"/>
          <w:bCs w:val="0"/>
          <w:color w:val="auto"/>
          <w:sz w:val="22"/>
          <w:szCs w:val="22"/>
          <w:highlight w:val="none"/>
          <w:lang w:val="en-US" w:eastAsia="zh-CN"/>
        </w:rPr>
        <w:t>的其他</w:t>
      </w:r>
      <w:r>
        <w:rPr>
          <w:rFonts w:hint="eastAsia" w:ascii="宋体" w:hAnsi="宋体" w:eastAsia="宋体" w:cs="宋体"/>
          <w:b w:val="0"/>
          <w:bCs w:val="0"/>
          <w:color w:val="auto"/>
          <w:sz w:val="22"/>
          <w:szCs w:val="22"/>
          <w:highlight w:val="none"/>
          <w:lang w:eastAsia="zh-CN"/>
        </w:rPr>
        <w:t>内容。</w:t>
      </w:r>
    </w:p>
    <w:p>
      <w:pPr>
        <w:spacing w:line="24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eastAsia="zh-CN"/>
        </w:rPr>
        <w:t>乙方在只能在该</w:t>
      </w:r>
      <w:r>
        <w:rPr>
          <w:rFonts w:hint="eastAsia" w:ascii="宋体" w:hAnsi="宋体" w:eastAsia="宋体" w:cs="宋体"/>
          <w:b w:val="0"/>
          <w:bCs w:val="0"/>
          <w:color w:val="auto"/>
          <w:sz w:val="22"/>
          <w:szCs w:val="22"/>
          <w:highlight w:val="none"/>
          <w:lang w:val="en-US" w:eastAsia="zh-CN"/>
        </w:rPr>
        <w:t>规定的</w:t>
      </w:r>
      <w:r>
        <w:rPr>
          <w:rFonts w:hint="eastAsia" w:ascii="宋体" w:hAnsi="宋体" w:eastAsia="宋体" w:cs="宋体"/>
          <w:b w:val="0"/>
          <w:bCs w:val="0"/>
          <w:color w:val="auto"/>
          <w:sz w:val="22"/>
          <w:szCs w:val="22"/>
          <w:highlight w:val="none"/>
          <w:lang w:eastAsia="zh-CN"/>
        </w:rPr>
        <w:t>范围内从事相关</w:t>
      </w:r>
      <w:r>
        <w:rPr>
          <w:rFonts w:hint="eastAsia" w:ascii="宋体" w:hAnsi="宋体" w:eastAsia="宋体"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lang w:eastAsia="zh-CN"/>
        </w:rPr>
        <w:t>工作。（甲方调配除外）</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合同服务承包期限</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.1本合同服务承包期限为壹年，即202  年 月  日至 202  年  月  日。</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.2本合同承包采用</w:t>
      </w:r>
      <w:r>
        <w:rPr>
          <w:rFonts w:hint="eastAsia" w:ascii="宋体" w:hAnsi="宋体" w:eastAsia="宋体" w:cs="宋体"/>
          <w:b w:val="0"/>
          <w:bCs w:val="0"/>
          <w:color w:val="auto"/>
          <w:sz w:val="22"/>
          <w:szCs w:val="22"/>
          <w:highlight w:val="none"/>
          <w:lang w:eastAsia="zh-CN"/>
        </w:rPr>
        <w:t>1+1+1</w:t>
      </w:r>
      <w:r>
        <w:rPr>
          <w:rFonts w:hint="eastAsia" w:ascii="宋体" w:hAnsi="宋体" w:eastAsia="宋体" w:cs="宋体"/>
          <w:b w:val="0"/>
          <w:bCs w:val="0"/>
          <w:color w:val="auto"/>
          <w:sz w:val="22"/>
          <w:szCs w:val="22"/>
          <w:highlight w:val="none"/>
        </w:rPr>
        <w:t>方式。即本合同期满，如乙方达到甲方各项考核标准，且甲方对其服务效果满意，在年度预算能够保障的前提下，甲方可以根据原采购合同的约定续签合同壹年，具体是否续签由甲方决定。如未续签则甲方将重新组织招标。</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合同价格</w:t>
      </w:r>
    </w:p>
    <w:p>
      <w:pPr>
        <w:spacing w:line="240" w:lineRule="auto"/>
        <w:ind w:firstLine="440" w:firstLineChars="200"/>
        <w:rPr>
          <w:rFonts w:hint="eastAsia" w:ascii="新宋体" w:eastAsia="新宋体"/>
          <w:color w:val="auto"/>
          <w:spacing w:val="6"/>
          <w:sz w:val="22"/>
          <w:szCs w:val="22"/>
        </w:rPr>
      </w:pPr>
      <w:r>
        <w:rPr>
          <w:rFonts w:hint="eastAsia" w:ascii="宋体" w:hAnsi="宋体" w:eastAsia="宋体" w:cs="宋体"/>
          <w:b w:val="0"/>
          <w:bCs w:val="0"/>
          <w:color w:val="auto"/>
          <w:sz w:val="22"/>
          <w:szCs w:val="22"/>
          <w:highlight w:val="none"/>
        </w:rPr>
        <w:t>2.1</w:t>
      </w:r>
      <w:r>
        <w:rPr>
          <w:rFonts w:hint="eastAsia" w:ascii="宋体" w:hAnsi="宋体" w:eastAsia="宋体" w:cs="宋体"/>
          <w:b w:val="0"/>
          <w:bCs w:val="0"/>
          <w:color w:val="auto"/>
          <w:sz w:val="22"/>
          <w:szCs w:val="22"/>
          <w:highlight w:val="none"/>
        </w:rPr>
        <w:tab/>
      </w:r>
      <w:r>
        <w:rPr>
          <w:rFonts w:hint="eastAsia" w:ascii="新宋体" w:eastAsia="新宋体"/>
          <w:color w:val="auto"/>
          <w:spacing w:val="6"/>
          <w:sz w:val="22"/>
          <w:szCs w:val="22"/>
        </w:rPr>
        <w:t>承包合同价格为人民币</w:t>
      </w:r>
      <w:r>
        <w:rPr>
          <w:rFonts w:hint="eastAsia" w:ascii="新宋体" w:eastAsia="新宋体"/>
          <w:color w:val="auto"/>
          <w:spacing w:val="6"/>
          <w:sz w:val="22"/>
          <w:szCs w:val="22"/>
          <w:u w:val="single"/>
        </w:rPr>
        <w:tab/>
      </w:r>
      <w:r>
        <w:rPr>
          <w:rFonts w:hint="eastAsia" w:ascii="新宋体" w:eastAsia="新宋体"/>
          <w:color w:val="auto"/>
          <w:spacing w:val="6"/>
          <w:sz w:val="22"/>
          <w:szCs w:val="22"/>
          <w:u w:val="single"/>
        </w:rPr>
        <w:tab/>
      </w:r>
      <w:r>
        <w:rPr>
          <w:rFonts w:hint="eastAsia" w:ascii="新宋体" w:eastAsia="新宋体"/>
          <w:color w:val="auto"/>
          <w:spacing w:val="6"/>
          <w:sz w:val="22"/>
          <w:szCs w:val="22"/>
        </w:rPr>
        <w:t>元整。</w:t>
      </w:r>
    </w:p>
    <w:p>
      <w:pPr>
        <w:spacing w:line="240" w:lineRule="auto"/>
        <w:ind w:firstLine="466" w:firstLineChars="200"/>
        <w:rPr>
          <w:rFonts w:hint="eastAsia" w:ascii="宋体" w:hAnsi="宋体" w:eastAsia="宋体" w:cs="宋体"/>
          <w:b w:val="0"/>
          <w:bCs w:val="0"/>
          <w:color w:val="auto"/>
          <w:sz w:val="22"/>
          <w:szCs w:val="22"/>
          <w:highlight w:val="none"/>
        </w:rPr>
      </w:pPr>
      <w:r>
        <w:rPr>
          <w:rFonts w:hint="eastAsia" w:ascii="新宋体" w:eastAsia="新宋体"/>
          <w:b/>
          <w:bCs/>
          <w:color w:val="auto"/>
          <w:spacing w:val="6"/>
          <w:sz w:val="22"/>
          <w:szCs w:val="22"/>
        </w:rPr>
        <w:t>该价格包括但不限于所有服务所需的人工费（包括工人工资、奖金、房补、劳保福利、社保、工伤费、教育培训费、暂住费及处理一切伤亡事故等费用）、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项目承包费用</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（1）甲方提出的承包区域面积或承包内容变更，根据原中标综合单价计算变更费用。但属乙方投标漏项少算的费用不得追补。</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（2）发生不可抗力的因素造成乙方直接损失的费用，经鉴定核准，甲方酌情予以一定补偿。但属乙方可以预见、预防，而乙方预防不力所造成的损失，不予补偿。其经济损失由乙方承担。</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乙方认为为完成本</w:t>
      </w:r>
      <w:r>
        <w:rPr>
          <w:rFonts w:hint="eastAsia" w:ascii="宋体" w:hAnsi="宋体" w:eastAsia="宋体" w:cs="宋体"/>
          <w:b w:val="0"/>
          <w:bCs w:val="0"/>
          <w:color w:val="auto"/>
          <w:sz w:val="22"/>
          <w:szCs w:val="22"/>
          <w:highlight w:val="none"/>
          <w:lang w:val="en-US" w:eastAsia="zh-CN"/>
        </w:rPr>
        <w:t>合同及</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规定的内容所需发生的直接成本、间接成本、利润、税金、政策性文件规定的费用、最低工资标准变化风险等一切费用均</w:t>
      </w:r>
      <w:r>
        <w:rPr>
          <w:rFonts w:hint="eastAsia" w:ascii="宋体" w:hAnsi="宋体" w:eastAsia="宋体" w:cs="宋体"/>
          <w:b w:val="0"/>
          <w:bCs w:val="0"/>
          <w:color w:val="auto"/>
          <w:sz w:val="22"/>
          <w:szCs w:val="22"/>
          <w:highlight w:val="none"/>
          <w:lang w:val="en-US" w:eastAsia="zh-CN"/>
        </w:rPr>
        <w:t>已</w:t>
      </w:r>
      <w:r>
        <w:rPr>
          <w:rFonts w:hint="eastAsia" w:ascii="宋体" w:hAnsi="宋体" w:eastAsia="宋体" w:cs="宋体"/>
          <w:b w:val="0"/>
          <w:bCs w:val="0"/>
          <w:color w:val="auto"/>
          <w:sz w:val="22"/>
          <w:szCs w:val="22"/>
          <w:highlight w:val="none"/>
        </w:rPr>
        <w:t>计入</w:t>
      </w:r>
      <w:r>
        <w:rPr>
          <w:rFonts w:hint="eastAsia" w:ascii="宋体" w:hAnsi="宋体" w:eastAsia="宋体" w:cs="宋体"/>
          <w:b w:val="0"/>
          <w:bCs w:val="0"/>
          <w:color w:val="auto"/>
          <w:sz w:val="22"/>
          <w:szCs w:val="22"/>
          <w:highlight w:val="none"/>
          <w:lang w:val="en-US" w:eastAsia="zh-CN"/>
        </w:rPr>
        <w:t>合同总价</w:t>
      </w:r>
      <w:r>
        <w:rPr>
          <w:rFonts w:hint="eastAsia" w:ascii="宋体" w:hAnsi="宋体" w:eastAsia="宋体" w:cs="宋体"/>
          <w:b w:val="0"/>
          <w:bCs w:val="0"/>
          <w:color w:val="auto"/>
          <w:sz w:val="22"/>
          <w:szCs w:val="22"/>
          <w:highlight w:val="none"/>
        </w:rPr>
        <w:t>；凡未列入的，将被认为均已包含在</w:t>
      </w:r>
      <w:r>
        <w:rPr>
          <w:rFonts w:hint="eastAsia" w:ascii="宋体" w:hAnsi="宋体" w:eastAsia="宋体" w:cs="宋体"/>
          <w:b w:val="0"/>
          <w:bCs w:val="0"/>
          <w:color w:val="auto"/>
          <w:sz w:val="22"/>
          <w:szCs w:val="22"/>
          <w:highlight w:val="none"/>
          <w:lang w:val="en-US" w:eastAsia="zh-CN"/>
        </w:rPr>
        <w:t>合同</w:t>
      </w:r>
      <w:r>
        <w:rPr>
          <w:rFonts w:hint="eastAsia" w:ascii="宋体" w:hAnsi="宋体" w:eastAsia="宋体" w:cs="宋体"/>
          <w:b w:val="0"/>
          <w:bCs w:val="0"/>
          <w:color w:val="auto"/>
          <w:sz w:val="22"/>
          <w:szCs w:val="22"/>
          <w:highlight w:val="none"/>
        </w:rPr>
        <w:t>总价中，今后不得以任何理由追加或调整。</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甲方责任条款</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提供</w:t>
      </w:r>
      <w:r>
        <w:rPr>
          <w:rFonts w:hint="eastAsia" w:ascii="宋体" w:hAnsi="宋体" w:eastAsia="宋体" w:cs="宋体"/>
          <w:b w:val="0"/>
          <w:bCs w:val="0"/>
          <w:color w:val="auto"/>
          <w:sz w:val="22"/>
          <w:szCs w:val="22"/>
          <w:highlight w:val="none"/>
          <w:lang w:eastAsia="zh-CN"/>
        </w:rPr>
        <w:t>物业管理服务</w:t>
      </w:r>
      <w:r>
        <w:rPr>
          <w:rFonts w:hint="eastAsia" w:ascii="宋体" w:hAnsi="宋体" w:eastAsia="宋体" w:cs="宋体"/>
          <w:b w:val="0"/>
          <w:bCs w:val="0"/>
          <w:color w:val="auto"/>
          <w:sz w:val="22"/>
          <w:szCs w:val="22"/>
          <w:highlight w:val="none"/>
        </w:rPr>
        <w:t>质量标准及考核办法。</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组织对乙方提供服务的考核。</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按合同约定支付合同款项。</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3.4</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如遇突发事件，协调乙方在作业过程中与其他部门的关系。</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乙方责任条款</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按</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、报价文件及甲方的有关要求提供物业、清洁服务。</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遇到突发事件或自然灾害，必须服从甲方指挥与安排。</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协助甲方调查、处理有关投诉，并根据甲方要求及时处理。</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完成甲方交办的临时性任务，不得以任何理由推脱。</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4.5</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未经甲方同意，乙方无权在承包区域内从事任何经营活动或类似宣传，甲方有权依照法律法规和甲方相关的规定责令乙方限期改正，并接受处罚。</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4.6</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承包职责</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乙方必须信守承包承诺，认真落实具有相应的固定服务人员。</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乙方必须按甲方制订的服务标准，严格履行承包义务，为甲方提供专业、优质、高效的服务。并根据甲方要求改变不满意的状况，接受甲方的监督和检查。</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因工作需要，甲方临时向乙方提出服务的要求，乙方应全力配合，按照甲方提出标准及要求完成任务，不得无故拖延。</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5.4</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在服务期内乙方遇到各类检查（如上级部门检查等），乙方要无条件加班.</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5.5</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乙方必须对员工发生的事故责任以及员工计生、身份、健康等承担责任；同时对员工在承保区域内做出不良行为给甲方造成影响承担责任。</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5.6</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乙方员工发生被媒体曝光或影响甲方公众形象或违反甲方规章制度造成不良影响，而由此产生的损失及消除影响产生的费用，由乙方全部承担；甲方根据事件的轻重，将保留扣除乙方的当月合同款0.1%~5%的权利。</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5.7</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承包期间，乙方应保证承包区域内的其他有关设施、设备不受损坏，否则由此引起的责任和损失由乙方承担。</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5.8</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乙方的办公各类设施及费用、人员食宿、安全等均由乙方自行负责解决。</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5.9</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乙方须保证每位员工的必要休息时间，在每周工作时间为四十四小时的，乙方每月支付乙方员工的工资不低于温州市最低保障工资(含社保)。</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5.10甲方为乙方提供一定的办公场所及仓库。</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5.11乙方需定期登记员工信息，物业具体人员配备分布根据实际需求情况做相应调配，并将人员配置表定期交由甲方报备。</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5.12乙方在特殊保洁作业时必须由具备相应资质的人员进行实施作业，若因不具备资质而产生的一切问题及费用均由乙方自行负责。</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考核标准</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甲方对乙方按考核制度每月进行考核。</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付款方式</w:t>
      </w:r>
    </w:p>
    <w:p>
      <w:pPr>
        <w:spacing w:line="24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乙方在签定合同后7天内，向甲方缴纳合同价的5%作为履约保证金。</w:t>
      </w:r>
    </w:p>
    <w:p>
      <w:pPr>
        <w:spacing w:line="24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7.2服务承包费用：物业管理费用以投标单位的中标价为准，乙方需开具发票采用先服务后支付的办法按季度</w:t>
      </w:r>
      <w:r>
        <w:rPr>
          <w:rFonts w:hint="eastAsia" w:ascii="宋体" w:hAnsi="宋体" w:eastAsia="宋体" w:cs="宋体"/>
          <w:b/>
          <w:bCs/>
          <w:color w:val="auto"/>
          <w:sz w:val="22"/>
          <w:szCs w:val="22"/>
          <w:highlight w:val="none"/>
          <w:lang w:val="en-US" w:eastAsia="zh-CN"/>
        </w:rPr>
        <w:t>平均</w:t>
      </w:r>
      <w:r>
        <w:rPr>
          <w:rFonts w:hint="eastAsia" w:ascii="宋体" w:hAnsi="宋体" w:eastAsia="宋体" w:cs="宋体"/>
          <w:b/>
          <w:bCs/>
          <w:color w:val="auto"/>
          <w:sz w:val="22"/>
          <w:szCs w:val="22"/>
          <w:highlight w:val="none"/>
        </w:rPr>
        <w:t>支付，物业管理费由</w:t>
      </w:r>
      <w:r>
        <w:rPr>
          <w:rFonts w:hint="eastAsia" w:ascii="宋体" w:hAnsi="宋体" w:eastAsia="宋体" w:cs="宋体"/>
          <w:b/>
          <w:bCs/>
          <w:color w:val="auto"/>
          <w:sz w:val="22"/>
          <w:szCs w:val="22"/>
          <w:highlight w:val="none"/>
          <w:lang w:eastAsia="zh-CN"/>
        </w:rPr>
        <w:t>温州市新型公共产业发展有限公司</w:t>
      </w:r>
      <w:r>
        <w:rPr>
          <w:rFonts w:hint="eastAsia" w:ascii="宋体" w:hAnsi="宋体" w:eastAsia="宋体" w:cs="宋体"/>
          <w:b/>
          <w:bCs/>
          <w:color w:val="auto"/>
          <w:sz w:val="22"/>
          <w:szCs w:val="22"/>
          <w:highlight w:val="none"/>
        </w:rPr>
        <w:t>在收到乙方开具的增值税专用发票后20个工作日内支付。</w:t>
      </w:r>
    </w:p>
    <w:p>
      <w:pPr>
        <w:spacing w:line="24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7.4物业管理服务期结束，且所有合同义务都已履行完毕并经甲方确认后7天内，甲方无息退还履约保证金。</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违约中止合同及赔偿</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甲方在乙方存在如下违约情况时，有权单方面终止全部或部分合同，并保留进一步追究乙方责任的权利（包括经济赔偿）。</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（1）乙方未能履行合同规定的义务；</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（2）一年累计达2次月度考核不合格；</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（3）有严重影响甲方的正常工作及甲方形象。</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（4）与</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不符合的做法，或不履行其报价文件的承诺。</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乙方如要提前中止合同，需提前3个月，并征得甲方同意并按未履行部分合同价格的10%向甲方偿付违约金，同时履约保证金不予退还，否则按合同执行。</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（1）乙方不能履行合同义务，应按未履行部分合同价格的10%向甲方偿付违约金，同时履约保证金不予退还。</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（2）如乙方未能履行合同规定的任何一项义务，甲方均有权从履约保证金中得到补偿。</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（3）甲方发生中途终止合同（8.1条原因除外），应向乙方偿付违约金，违约金按未履行部分合同价格的2%计算。</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（4）经双方协商可终止部分或全部合同的，无须承担违约责任。</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破产终止合同</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如果乙方破产或无清偿能力时，甲方可在任何时候以书面通知乙方终止合同。该终止合同将不损害或影响甲方已经采取或将要采取的补救措施的权利。</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争议解决方式</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10.1 双方在执行合同中所发生的一切争议，应通过协商解决。如协商不成，应向甲方所在地人民法院起诉。</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10.2 在诉讼期间，除正在进行诉讼的部份外，本合同其他部份应继续执行．</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10.3 诉讼费用除人民法院另行有裁决外，由败诉方承担。</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合同生效及其他</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11.1合同经双方签字并加盖公章后生效。 </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11.2合同签定地点：合同执行地。</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11.3合同执行中，如需修改或补充合同内容，经协商，双方应签署书面修改或补充协议。该协议将作为合同不可分割的一部分。</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r>
        <w:rPr>
          <w:rFonts w:hint="eastAsia" w:ascii="宋体" w:hAnsi="宋体" w:eastAsia="宋体" w:cs="宋体"/>
          <w:b w:val="0"/>
          <w:bCs w:val="0"/>
          <w:color w:val="auto"/>
          <w:sz w:val="22"/>
          <w:szCs w:val="22"/>
          <w:highlight w:val="none"/>
        </w:rPr>
        <w:tab/>
      </w:r>
      <w:r>
        <w:rPr>
          <w:rFonts w:hint="eastAsia" w:ascii="宋体" w:hAnsi="宋体" w:eastAsia="宋体" w:cs="宋体"/>
          <w:b w:val="0"/>
          <w:bCs w:val="0"/>
          <w:color w:val="auto"/>
          <w:sz w:val="22"/>
          <w:szCs w:val="22"/>
          <w:highlight w:val="none"/>
        </w:rPr>
        <w:t>其它</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12.1</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、补充文件、报价文件及询标答疑纪要、中标通知书等作为本合同的附件，与本合同具有同等法律效力。</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12.2本合同一式捌份，甲方执陆份，乙方执贰份，双方签字盖章后生效，违约及其处罚按经济合同法及本合同有关条款执行。</w:t>
      </w:r>
    </w:p>
    <w:p>
      <w:pPr>
        <w:spacing w:line="24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12.3以上协议未尽之处，双方协商解决。</w:t>
      </w:r>
    </w:p>
    <w:p>
      <w:pPr>
        <w:spacing w:line="240" w:lineRule="auto"/>
        <w:ind w:firstLine="440" w:firstLineChars="200"/>
        <w:rPr>
          <w:rFonts w:hint="eastAsia" w:ascii="宋体" w:hAnsi="宋体" w:eastAsia="宋体" w:cs="宋体"/>
          <w:b w:val="0"/>
          <w:bCs w:val="0"/>
          <w:color w:val="auto"/>
          <w:sz w:val="22"/>
          <w:szCs w:val="22"/>
          <w:highlight w:val="none"/>
        </w:rPr>
      </w:pPr>
    </w:p>
    <w:p>
      <w:pPr>
        <w:spacing w:line="440" w:lineRule="exact"/>
        <w:jc w:val="left"/>
        <w:rPr>
          <w:rFonts w:hint="eastAsia" w:ascii="宋体" w:hAnsi="宋体" w:eastAsia="宋体" w:cs="宋体"/>
          <w:b w:val="0"/>
          <w:bCs w:val="0"/>
          <w:color w:val="auto"/>
          <w:sz w:val="22"/>
          <w:szCs w:val="22"/>
          <w:highlight w:val="none"/>
        </w:rPr>
      </w:pPr>
    </w:p>
    <w:p>
      <w:pPr>
        <w:spacing w:line="44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甲方：（印章）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 xml:space="preserve">    乙方：（印章）</w:t>
      </w:r>
    </w:p>
    <w:p>
      <w:pPr>
        <w:spacing w:line="44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法人代表:（签字或盖章）              法人代表:（签字或盖章）</w:t>
      </w:r>
    </w:p>
    <w:p>
      <w:pPr>
        <w:spacing w:line="44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联系人：                             联系人：</w:t>
      </w:r>
    </w:p>
    <w:p>
      <w:pPr>
        <w:spacing w:line="460" w:lineRule="exact"/>
        <w:ind w:left="527" w:hanging="550" w:hangingChars="250"/>
        <w:jc w:val="left"/>
        <w:rPr>
          <w:rFonts w:hint="eastAsia" w:ascii="宋体" w:hAnsi="宋体" w:eastAsia="宋体" w:cs="宋体"/>
          <w:b/>
          <w:bCs/>
          <w:color w:val="auto"/>
          <w:szCs w:val="21"/>
        </w:rPr>
      </w:pPr>
      <w:r>
        <w:rPr>
          <w:rFonts w:hint="eastAsia" w:ascii="宋体" w:hAnsi="宋体" w:eastAsia="宋体" w:cs="宋体"/>
          <w:b w:val="0"/>
          <w:bCs w:val="0"/>
          <w:color w:val="auto"/>
          <w:sz w:val="22"/>
          <w:szCs w:val="22"/>
          <w:highlight w:val="none"/>
        </w:rPr>
        <w:t xml:space="preserve">签订日期：    年   月    日  </w:t>
      </w:r>
      <w:r>
        <w:rPr>
          <w:rFonts w:ascii="宋体" w:hAnsi="宋体" w:cs="宋体"/>
          <w:color w:val="auto"/>
          <w:sz w:val="22"/>
          <w:szCs w:val="22"/>
          <w:highlight w:val="none"/>
        </w:rPr>
        <w:t xml:space="preserve">      </w:t>
      </w:r>
    </w:p>
    <w:p>
      <w:pPr>
        <w:pStyle w:val="13"/>
        <w:rPr>
          <w:rFonts w:hint="eastAsia" w:ascii="宋体" w:hAnsi="宋体" w:eastAsia="宋体" w:cs="宋体"/>
          <w:color w:val="auto"/>
          <w:highlight w:val="none"/>
        </w:rPr>
      </w:pPr>
    </w:p>
    <w:p>
      <w:r>
        <w:rPr>
          <w:rFonts w:hint="eastAsia" w:ascii="宋体" w:hAnsi="宋体" w:eastAsia="宋体" w:cs="宋体"/>
          <w:b/>
          <w:bCs/>
          <w:color w:val="auto"/>
          <w:spacing w:val="6"/>
          <w:sz w:val="22"/>
        </w:rPr>
        <w:t>说明：如甲、乙双方同意，合同格式也可以按照《物业管理委托合同》温州市示范文本形式。但合同条款的基本内容应与本《合同格式》要求的内容相一致。该合同格式作为签订合同的条款内容，对</w:t>
      </w:r>
      <w:r>
        <w:rPr>
          <w:rFonts w:hint="eastAsia" w:ascii="宋体" w:hAnsi="宋体" w:eastAsia="宋体" w:cs="宋体"/>
          <w:b/>
          <w:bCs/>
          <w:color w:val="auto"/>
          <w:spacing w:val="6"/>
          <w:sz w:val="22"/>
          <w:lang w:val="en-US" w:eastAsia="zh-CN"/>
        </w:rPr>
        <w:t>乙方</w:t>
      </w:r>
      <w:r>
        <w:rPr>
          <w:rFonts w:hint="eastAsia" w:ascii="宋体" w:hAnsi="宋体" w:eastAsia="宋体" w:cs="宋体"/>
          <w:b/>
          <w:bCs/>
          <w:color w:val="auto"/>
          <w:spacing w:val="6"/>
          <w:sz w:val="22"/>
        </w:rPr>
        <w:t>具有约束力。</w:t>
      </w:r>
    </w:p>
    <w:p>
      <w:pPr>
        <w:rPr>
          <w:rFonts w:hint="eastAsia" w:ascii="宋体" w:hAnsi="宋体" w:eastAsia="宋体" w:cs="宋体"/>
          <w:b/>
          <w:color w:val="auto"/>
          <w:sz w:val="21"/>
          <w:szCs w:val="21"/>
          <w:highlight w:val="none"/>
          <w:lang w:val="zh-CN"/>
        </w:rPr>
      </w:pP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温州金桥建设开发有限公司</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bookmarkStart w:id="189" w:name="_Toc444688528"/>
      <w:r>
        <w:rPr>
          <w:rFonts w:hint="eastAsia" w:ascii="宋体" w:hAnsi="宋体" w:eastAsia="宋体" w:cs="宋体"/>
          <w:b/>
          <w:bCs w:val="0"/>
          <w:color w:val="auto"/>
          <w:sz w:val="24"/>
          <w:szCs w:val="24"/>
          <w:highlight w:val="none"/>
          <w:lang w:val="zh-CN"/>
        </w:rPr>
        <w:t>服务区业务廉政合同</w:t>
      </w:r>
      <w:bookmarkEnd w:id="189"/>
    </w:p>
    <w:p>
      <w:pPr>
        <w:spacing w:line="240" w:lineRule="auto"/>
        <w:jc w:val="center"/>
        <w:rPr>
          <w:rFonts w:hint="eastAsia" w:ascii="宋体" w:hAnsi="宋体" w:eastAsia="宋体" w:cs="宋体"/>
          <w:b/>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文明窗口形象以及投资效益，</w:t>
      </w:r>
      <w:r>
        <w:rPr>
          <w:rFonts w:hint="eastAsia" w:ascii="宋体" w:hAnsi="宋体" w:eastAsia="宋体" w:cs="宋体"/>
          <w:color w:val="auto"/>
          <w:sz w:val="21"/>
          <w:szCs w:val="21"/>
          <w:highlight w:val="none"/>
          <w:lang w:eastAsia="zh-CN"/>
        </w:rPr>
        <w:t>温州金桥建设开发有限公司</w:t>
      </w:r>
      <w:r>
        <w:rPr>
          <w:rFonts w:hint="eastAsia" w:ascii="宋体" w:hAnsi="宋体" w:eastAsia="宋体" w:cs="宋体"/>
          <w:color w:val="auto"/>
          <w:sz w:val="21"/>
          <w:szCs w:val="21"/>
          <w:highlight w:val="none"/>
        </w:rPr>
        <w:t>(以下称甲方)与(以下称乙方)，特订立以下合同。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物业管理项目有关的工程分包、劳务等经济活动。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任何项目的处罚。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pPr>
        <w:pStyle w:val="13"/>
        <w:spacing w:line="240" w:lineRule="auto"/>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3"/>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3"/>
        <w:spacing w:line="240" w:lineRule="auto"/>
        <w:rPr>
          <w:rFonts w:hint="eastAsia" w:ascii="宋体" w:hAnsi="宋体" w:eastAsia="宋体" w:cs="宋体"/>
          <w:b/>
          <w:bCs/>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widowControl/>
        <w:spacing w:line="240" w:lineRule="auto"/>
        <w:ind w:firstLine="5145" w:firstLineChars="2450"/>
        <w:jc w:val="left"/>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pStyle w:val="13"/>
        <w:spacing w:line="240" w:lineRule="auto"/>
        <w:rPr>
          <w:rFonts w:hint="eastAsia" w:ascii="宋体" w:hAnsi="宋体" w:eastAsia="宋体" w:cs="宋体"/>
          <w:color w:val="auto"/>
          <w:kern w:val="0"/>
          <w:sz w:val="21"/>
          <w:szCs w:val="21"/>
          <w:highlight w:val="none"/>
        </w:rPr>
      </w:pP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 物业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质量标准</w:t>
      </w:r>
      <w:bookmarkEnd w:id="169"/>
      <w:bookmarkEnd w:id="170"/>
      <w:bookmarkEnd w:id="171"/>
      <w:bookmarkEnd w:id="172"/>
      <w:bookmarkEnd w:id="173"/>
      <w:bookmarkEnd w:id="174"/>
      <w:bookmarkEnd w:id="175"/>
      <w:bookmarkEnd w:id="176"/>
      <w:bookmarkEnd w:id="177"/>
      <w:bookmarkEnd w:id="178"/>
      <w:bookmarkStart w:id="190" w:name="_Toc491780525"/>
    </w:p>
    <w:p>
      <w:pPr>
        <w:pStyle w:val="12"/>
        <w:rPr>
          <w:rFonts w:hint="eastAsia"/>
          <w:lang w:val="en-US" w:eastAsia="zh-CN"/>
        </w:rPr>
      </w:pPr>
    </w:p>
    <w:p>
      <w:pPr>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乙方服务</w:t>
      </w:r>
      <w:r>
        <w:rPr>
          <w:rFonts w:hint="eastAsia" w:ascii="宋体" w:hAnsi="宋体" w:eastAsia="宋体" w:cs="宋体"/>
          <w:b/>
          <w:sz w:val="32"/>
          <w:szCs w:val="32"/>
          <w:highlight w:val="none"/>
        </w:rPr>
        <w:t>考核</w:t>
      </w:r>
      <w:r>
        <w:rPr>
          <w:rFonts w:hint="eastAsia" w:ascii="宋体" w:hAnsi="宋体" w:eastAsia="宋体" w:cs="宋体"/>
          <w:b/>
          <w:sz w:val="32"/>
          <w:szCs w:val="32"/>
          <w:highlight w:val="none"/>
          <w:lang w:val="en-US" w:eastAsia="zh-CN"/>
        </w:rPr>
        <w:t>评分</w:t>
      </w:r>
      <w:r>
        <w:rPr>
          <w:rFonts w:hint="eastAsia" w:ascii="宋体" w:hAnsi="宋体" w:eastAsia="宋体" w:cs="宋体"/>
          <w:b/>
          <w:sz w:val="32"/>
          <w:szCs w:val="32"/>
          <w:highlight w:val="none"/>
        </w:rPr>
        <w:t>表</w:t>
      </w:r>
    </w:p>
    <w:p>
      <w:pPr>
        <w:spacing w:line="360" w:lineRule="auto"/>
        <w:jc w:val="both"/>
        <w:outlineLvl w:val="1"/>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乙方名称</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              考核周期：</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天</w:t>
      </w:r>
    </w:p>
    <w:tbl>
      <w:tblPr>
        <w:tblStyle w:val="2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360"/>
        <w:gridCol w:w="2290"/>
        <w:gridCol w:w="1310"/>
        <w:gridCol w:w="765"/>
        <w:gridCol w:w="135"/>
        <w:gridCol w:w="502"/>
        <w:gridCol w:w="91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乙方</w:t>
            </w:r>
            <w:r>
              <w:rPr>
                <w:rFonts w:hint="eastAsia" w:ascii="宋体" w:hAnsi="宋体" w:eastAsia="宋体" w:cs="宋体"/>
                <w:color w:val="auto"/>
                <w:sz w:val="18"/>
                <w:szCs w:val="18"/>
              </w:rPr>
              <w:t>名称</w:t>
            </w:r>
          </w:p>
        </w:tc>
        <w:tc>
          <w:tcPr>
            <w:tcW w:w="5040" w:type="dxa"/>
            <w:gridSpan w:val="4"/>
            <w:noWrap w:val="0"/>
            <w:vAlign w:val="center"/>
          </w:tcPr>
          <w:p>
            <w:pPr>
              <w:spacing w:line="240" w:lineRule="auto"/>
              <w:jc w:val="center"/>
              <w:rPr>
                <w:rFonts w:hint="eastAsia" w:ascii="宋体" w:hAnsi="宋体" w:eastAsia="宋体" w:cs="宋体"/>
                <w:color w:val="auto"/>
                <w:sz w:val="18"/>
                <w:szCs w:val="18"/>
              </w:rPr>
            </w:pPr>
          </w:p>
        </w:tc>
        <w:tc>
          <w:tcPr>
            <w:tcW w:w="765"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联系人</w:t>
            </w:r>
          </w:p>
        </w:tc>
        <w:tc>
          <w:tcPr>
            <w:tcW w:w="2444" w:type="dxa"/>
            <w:gridSpan w:val="4"/>
            <w:noWrap w:val="0"/>
            <w:vAlign w:val="center"/>
          </w:tcPr>
          <w:p>
            <w:pPr>
              <w:spacing w:line="240" w:lineRule="auto"/>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评价阶段</w:t>
            </w:r>
          </w:p>
        </w:tc>
        <w:tc>
          <w:tcPr>
            <w:tcW w:w="5040" w:type="dxa"/>
            <w:gridSpan w:val="4"/>
            <w:noWrap w:val="0"/>
            <w:vAlign w:val="center"/>
          </w:tcPr>
          <w:p>
            <w:pPr>
              <w:spacing w:line="240" w:lineRule="auto"/>
              <w:jc w:val="center"/>
              <w:rPr>
                <w:rFonts w:hint="eastAsia" w:ascii="宋体" w:hAnsi="宋体" w:eastAsia="宋体" w:cs="宋体"/>
                <w:color w:val="auto"/>
                <w:sz w:val="18"/>
                <w:szCs w:val="18"/>
                <w:highlight w:val="cyan"/>
              </w:rPr>
            </w:pPr>
            <w:r>
              <w:rPr>
                <w:rFonts w:hint="eastAsia" w:ascii="宋体" w:hAnsi="宋体" w:eastAsia="宋体" w:cs="宋体"/>
                <w:color w:val="auto"/>
                <w:sz w:val="18"/>
                <w:szCs w:val="18"/>
                <w:highlight w:val="none"/>
              </w:rPr>
              <w:t>第X</w:t>
            </w:r>
            <w:r>
              <w:rPr>
                <w:rFonts w:hint="eastAsia" w:ascii="宋体" w:hAnsi="宋体" w:eastAsia="宋体" w:cs="宋体"/>
                <w:color w:val="auto"/>
                <w:sz w:val="18"/>
                <w:szCs w:val="18"/>
                <w:highlight w:val="none"/>
                <w:lang w:val="en-US" w:eastAsia="zh-CN"/>
              </w:rPr>
              <w:t>年</w:t>
            </w:r>
            <w:r>
              <w:rPr>
                <w:rFonts w:hint="eastAsia" w:ascii="宋体" w:hAnsi="宋体" w:eastAsia="宋体" w:cs="宋体"/>
                <w:color w:val="auto"/>
                <w:sz w:val="18"/>
                <w:szCs w:val="18"/>
                <w:highlight w:val="none"/>
              </w:rPr>
              <w:t>度（XXXX/XX/1-XXXX/XX/31）</w:t>
            </w:r>
          </w:p>
        </w:tc>
        <w:tc>
          <w:tcPr>
            <w:tcW w:w="765"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电话</w:t>
            </w:r>
          </w:p>
        </w:tc>
        <w:tc>
          <w:tcPr>
            <w:tcW w:w="2444" w:type="dxa"/>
            <w:gridSpan w:val="4"/>
            <w:noWrap w:val="0"/>
            <w:vAlign w:val="center"/>
          </w:tcPr>
          <w:p>
            <w:pPr>
              <w:spacing w:line="240" w:lineRule="auto"/>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考核项目</w:t>
            </w:r>
          </w:p>
        </w:tc>
        <w:tc>
          <w:tcPr>
            <w:tcW w:w="1080"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所占比例</w:t>
            </w:r>
          </w:p>
        </w:tc>
        <w:tc>
          <w:tcPr>
            <w:tcW w:w="2650" w:type="dxa"/>
            <w:gridSpan w:val="2"/>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考核指标</w:t>
            </w:r>
          </w:p>
        </w:tc>
        <w:tc>
          <w:tcPr>
            <w:tcW w:w="2712" w:type="dxa"/>
            <w:gridSpan w:val="4"/>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扣分情况</w:t>
            </w:r>
          </w:p>
        </w:tc>
        <w:tc>
          <w:tcPr>
            <w:tcW w:w="912"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得分</w:t>
            </w:r>
          </w:p>
        </w:tc>
        <w:tc>
          <w:tcPr>
            <w:tcW w:w="895"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restart"/>
            <w:noWrap w:val="0"/>
            <w:vAlign w:val="center"/>
          </w:tcPr>
          <w:p>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安保安防服务</w:t>
            </w:r>
          </w:p>
        </w:tc>
        <w:tc>
          <w:tcPr>
            <w:tcW w:w="1080" w:type="dxa"/>
            <w:vMerge w:val="restart"/>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30</w:t>
            </w:r>
          </w:p>
        </w:tc>
        <w:tc>
          <w:tcPr>
            <w:tcW w:w="2650" w:type="dxa"/>
            <w:gridSpan w:val="2"/>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highlight w:val="none"/>
                <w:lang w:val="en-US" w:eastAsia="zh-CN"/>
              </w:rPr>
              <w:t>安保安防</w:t>
            </w:r>
            <w:r>
              <w:rPr>
                <w:rFonts w:hint="eastAsia" w:ascii="宋体" w:hAnsi="宋体" w:eastAsia="宋体" w:cs="宋体"/>
                <w:color w:val="auto"/>
                <w:sz w:val="18"/>
                <w:szCs w:val="18"/>
                <w:lang w:val="en-US" w:eastAsia="zh-CN"/>
              </w:rPr>
              <w:t>服务质量</w:t>
            </w:r>
            <w:r>
              <w:rPr>
                <w:rFonts w:hint="eastAsia" w:ascii="宋体" w:hAnsi="宋体" w:eastAsia="宋体" w:cs="宋体"/>
                <w:color w:val="auto"/>
                <w:sz w:val="18"/>
                <w:szCs w:val="18"/>
              </w:rPr>
              <w:t>（15分）</w:t>
            </w:r>
          </w:p>
        </w:tc>
        <w:tc>
          <w:tcPr>
            <w:tcW w:w="2712" w:type="dxa"/>
            <w:gridSpan w:val="4"/>
            <w:noWrap w:val="0"/>
            <w:vAlign w:val="center"/>
          </w:tcPr>
          <w:p>
            <w:pPr>
              <w:spacing w:line="240" w:lineRule="auto"/>
              <w:jc w:val="center"/>
              <w:rPr>
                <w:rFonts w:hint="eastAsia" w:ascii="宋体" w:hAnsi="宋体" w:eastAsia="宋体" w:cs="宋体"/>
                <w:color w:val="auto"/>
                <w:sz w:val="18"/>
                <w:szCs w:val="18"/>
              </w:rPr>
            </w:pPr>
          </w:p>
        </w:tc>
        <w:tc>
          <w:tcPr>
            <w:tcW w:w="912" w:type="dxa"/>
            <w:noWrap w:val="0"/>
            <w:vAlign w:val="center"/>
          </w:tcPr>
          <w:p>
            <w:pPr>
              <w:spacing w:line="240" w:lineRule="auto"/>
              <w:jc w:val="center"/>
              <w:rPr>
                <w:rFonts w:hint="eastAsia" w:ascii="宋体" w:hAnsi="宋体" w:eastAsia="宋体" w:cs="宋体"/>
                <w:color w:val="auto"/>
                <w:sz w:val="18"/>
                <w:szCs w:val="18"/>
              </w:rPr>
            </w:pPr>
          </w:p>
        </w:tc>
        <w:tc>
          <w:tcPr>
            <w:tcW w:w="895" w:type="dxa"/>
            <w:noWrap w:val="0"/>
            <w:vAlign w:val="center"/>
          </w:tcPr>
          <w:p>
            <w:pPr>
              <w:spacing w:line="240" w:lineRule="auto"/>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188"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080" w:type="dxa"/>
            <w:vMerge w:val="continue"/>
            <w:noWrap w:val="0"/>
            <w:vAlign w:val="center"/>
          </w:tcPr>
          <w:p>
            <w:pPr>
              <w:spacing w:line="240" w:lineRule="auto"/>
              <w:jc w:val="center"/>
              <w:rPr>
                <w:rFonts w:hint="eastAsia" w:ascii="宋体" w:hAnsi="宋体" w:eastAsia="宋体" w:cs="宋体"/>
                <w:color w:val="auto"/>
                <w:sz w:val="18"/>
                <w:szCs w:val="18"/>
              </w:rPr>
            </w:pPr>
          </w:p>
        </w:tc>
        <w:tc>
          <w:tcPr>
            <w:tcW w:w="2650" w:type="dxa"/>
            <w:gridSpan w:val="2"/>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配合度、满意度</w:t>
            </w:r>
            <w:r>
              <w:rPr>
                <w:rFonts w:hint="eastAsia" w:ascii="宋体" w:hAnsi="宋体" w:eastAsia="宋体" w:cs="宋体"/>
                <w:color w:val="auto"/>
                <w:sz w:val="18"/>
                <w:szCs w:val="18"/>
              </w:rPr>
              <w:t>（15分）</w:t>
            </w:r>
          </w:p>
        </w:tc>
        <w:tc>
          <w:tcPr>
            <w:tcW w:w="2712" w:type="dxa"/>
            <w:gridSpan w:val="4"/>
            <w:noWrap w:val="0"/>
            <w:vAlign w:val="center"/>
          </w:tcPr>
          <w:p>
            <w:pPr>
              <w:spacing w:line="240" w:lineRule="auto"/>
              <w:jc w:val="center"/>
              <w:rPr>
                <w:rFonts w:hint="eastAsia" w:ascii="宋体" w:hAnsi="宋体" w:eastAsia="宋体" w:cs="宋体"/>
                <w:color w:val="auto"/>
                <w:sz w:val="18"/>
                <w:szCs w:val="18"/>
              </w:rPr>
            </w:pPr>
          </w:p>
        </w:tc>
        <w:tc>
          <w:tcPr>
            <w:tcW w:w="912" w:type="dxa"/>
            <w:noWrap w:val="0"/>
            <w:vAlign w:val="center"/>
          </w:tcPr>
          <w:p>
            <w:pPr>
              <w:spacing w:line="240" w:lineRule="auto"/>
              <w:jc w:val="center"/>
              <w:rPr>
                <w:rFonts w:hint="eastAsia" w:ascii="宋体" w:hAnsi="宋体" w:eastAsia="宋体" w:cs="宋体"/>
                <w:color w:val="auto"/>
                <w:sz w:val="18"/>
                <w:szCs w:val="18"/>
              </w:rPr>
            </w:pPr>
          </w:p>
        </w:tc>
        <w:tc>
          <w:tcPr>
            <w:tcW w:w="895" w:type="dxa"/>
            <w:noWrap w:val="0"/>
            <w:vAlign w:val="center"/>
          </w:tcPr>
          <w:p>
            <w:pPr>
              <w:spacing w:line="240" w:lineRule="auto"/>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restart"/>
            <w:noWrap w:val="0"/>
            <w:vAlign w:val="center"/>
          </w:tcPr>
          <w:p>
            <w:pPr>
              <w:spacing w:line="24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环境卫生管理</w:t>
            </w:r>
          </w:p>
        </w:tc>
        <w:tc>
          <w:tcPr>
            <w:tcW w:w="1080" w:type="dxa"/>
            <w:vMerge w:val="restar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2650"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道路保洁</w:t>
            </w:r>
            <w:r>
              <w:rPr>
                <w:rFonts w:hint="eastAsia" w:ascii="宋体" w:hAnsi="宋体" w:eastAsia="宋体" w:cs="宋体"/>
                <w:sz w:val="18"/>
                <w:szCs w:val="18"/>
                <w:lang w:eastAsia="zh-CN"/>
              </w:rPr>
              <w:t>（</w:t>
            </w: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分）</w:t>
            </w:r>
          </w:p>
        </w:tc>
        <w:tc>
          <w:tcPr>
            <w:tcW w:w="2712" w:type="dxa"/>
            <w:gridSpan w:val="4"/>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continue"/>
            <w:noWrap w:val="0"/>
            <w:vAlign w:val="center"/>
          </w:tcPr>
          <w:p>
            <w:pPr>
              <w:spacing w:line="240" w:lineRule="auto"/>
              <w:jc w:val="center"/>
              <w:rPr>
                <w:rFonts w:hint="eastAsia" w:ascii="宋体" w:hAnsi="宋体" w:eastAsia="宋体" w:cs="宋体"/>
                <w:sz w:val="18"/>
                <w:szCs w:val="18"/>
                <w:highlight w:val="none"/>
                <w:lang w:val="en-US" w:eastAsia="zh-CN"/>
              </w:rPr>
            </w:pPr>
          </w:p>
        </w:tc>
        <w:tc>
          <w:tcPr>
            <w:tcW w:w="1080" w:type="dxa"/>
            <w:vMerge w:val="continue"/>
            <w:noWrap w:val="0"/>
            <w:vAlign w:val="center"/>
          </w:tcPr>
          <w:p>
            <w:pPr>
              <w:spacing w:line="240" w:lineRule="auto"/>
              <w:jc w:val="center"/>
              <w:rPr>
                <w:rFonts w:hint="eastAsia" w:ascii="宋体" w:hAnsi="宋体" w:eastAsia="宋体" w:cs="宋体"/>
                <w:sz w:val="18"/>
                <w:szCs w:val="18"/>
              </w:rPr>
            </w:pPr>
          </w:p>
        </w:tc>
        <w:tc>
          <w:tcPr>
            <w:tcW w:w="2650" w:type="dxa"/>
            <w:gridSpan w:val="2"/>
            <w:noWrap w:val="0"/>
            <w:vAlign w:val="center"/>
          </w:tcPr>
          <w:p>
            <w:pPr>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办公楼保洁（10分）</w:t>
            </w:r>
          </w:p>
        </w:tc>
        <w:tc>
          <w:tcPr>
            <w:tcW w:w="2712" w:type="dxa"/>
            <w:gridSpan w:val="4"/>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continue"/>
            <w:noWrap w:val="0"/>
            <w:vAlign w:val="center"/>
          </w:tcPr>
          <w:p>
            <w:pPr>
              <w:spacing w:line="240" w:lineRule="auto"/>
              <w:jc w:val="center"/>
              <w:rPr>
                <w:rFonts w:hint="eastAsia" w:ascii="宋体" w:hAnsi="宋体" w:eastAsia="宋体" w:cs="宋体"/>
                <w:sz w:val="18"/>
                <w:szCs w:val="18"/>
              </w:rPr>
            </w:pPr>
          </w:p>
        </w:tc>
        <w:tc>
          <w:tcPr>
            <w:tcW w:w="1080" w:type="dxa"/>
            <w:vMerge w:val="continue"/>
            <w:noWrap w:val="0"/>
            <w:vAlign w:val="center"/>
          </w:tcPr>
          <w:p>
            <w:pPr>
              <w:spacing w:line="240" w:lineRule="auto"/>
              <w:jc w:val="center"/>
              <w:rPr>
                <w:rFonts w:hint="eastAsia" w:ascii="宋体" w:hAnsi="宋体" w:eastAsia="宋体" w:cs="宋体"/>
                <w:sz w:val="18"/>
                <w:szCs w:val="18"/>
              </w:rPr>
            </w:pPr>
          </w:p>
        </w:tc>
        <w:tc>
          <w:tcPr>
            <w:tcW w:w="2650" w:type="dxa"/>
            <w:gridSpan w:val="2"/>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配合度、满意度</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2712" w:type="dxa"/>
            <w:gridSpan w:val="4"/>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restart"/>
            <w:noWrap w:val="0"/>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食堂管理</w:t>
            </w:r>
          </w:p>
        </w:tc>
        <w:tc>
          <w:tcPr>
            <w:tcW w:w="1080" w:type="dxa"/>
            <w:vMerge w:val="restar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2650"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服务质量</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2712" w:type="dxa"/>
            <w:gridSpan w:val="4"/>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8" w:type="dxa"/>
            <w:vMerge w:val="continue"/>
            <w:noWrap w:val="0"/>
            <w:vAlign w:val="center"/>
          </w:tcPr>
          <w:p>
            <w:pPr>
              <w:spacing w:line="240" w:lineRule="auto"/>
              <w:jc w:val="center"/>
              <w:rPr>
                <w:rFonts w:hint="eastAsia" w:ascii="宋体" w:hAnsi="宋体" w:eastAsia="宋体" w:cs="宋体"/>
                <w:sz w:val="18"/>
                <w:szCs w:val="18"/>
              </w:rPr>
            </w:pPr>
          </w:p>
        </w:tc>
        <w:tc>
          <w:tcPr>
            <w:tcW w:w="1080" w:type="dxa"/>
            <w:vMerge w:val="continue"/>
            <w:noWrap w:val="0"/>
            <w:vAlign w:val="center"/>
          </w:tcPr>
          <w:p>
            <w:pPr>
              <w:spacing w:line="240" w:lineRule="auto"/>
              <w:jc w:val="center"/>
              <w:rPr>
                <w:rFonts w:hint="eastAsia" w:ascii="宋体" w:hAnsi="宋体" w:eastAsia="宋体" w:cs="宋体"/>
                <w:sz w:val="18"/>
                <w:szCs w:val="18"/>
              </w:rPr>
            </w:pPr>
          </w:p>
        </w:tc>
        <w:tc>
          <w:tcPr>
            <w:tcW w:w="2650" w:type="dxa"/>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配合度、满意</w:t>
            </w:r>
            <w:r>
              <w:rPr>
                <w:rFonts w:hint="eastAsia" w:ascii="宋体" w:hAnsi="宋体" w:eastAsia="宋体" w:cs="宋体"/>
                <w:sz w:val="18"/>
                <w:szCs w:val="18"/>
              </w:rPr>
              <w:t>度（10分）</w:t>
            </w:r>
          </w:p>
        </w:tc>
        <w:tc>
          <w:tcPr>
            <w:tcW w:w="2712" w:type="dxa"/>
            <w:gridSpan w:val="4"/>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管理情况</w:t>
            </w:r>
          </w:p>
        </w:tc>
        <w:tc>
          <w:tcPr>
            <w:tcW w:w="1080"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0</w:t>
            </w:r>
          </w:p>
        </w:tc>
        <w:tc>
          <w:tcPr>
            <w:tcW w:w="5362" w:type="dxa"/>
            <w:gridSpan w:val="6"/>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管理制度是否完善，质量手册是否完整、全面</w:t>
            </w: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总分</w:t>
            </w:r>
          </w:p>
        </w:tc>
        <w:tc>
          <w:tcPr>
            <w:tcW w:w="1080"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100</w:t>
            </w:r>
          </w:p>
        </w:tc>
        <w:tc>
          <w:tcPr>
            <w:tcW w:w="5362" w:type="dxa"/>
            <w:gridSpan w:val="6"/>
            <w:tcBorders>
              <w:tr2bl w:val="single" w:color="auto" w:sz="4" w:space="0"/>
            </w:tcBorders>
            <w:noWrap w:val="0"/>
            <w:vAlign w:val="center"/>
          </w:tcPr>
          <w:p>
            <w:pPr>
              <w:spacing w:line="240" w:lineRule="auto"/>
              <w:jc w:val="center"/>
              <w:rPr>
                <w:rFonts w:hint="eastAsia" w:ascii="宋体" w:hAnsi="宋体" w:eastAsia="宋体" w:cs="宋体"/>
                <w:sz w:val="18"/>
                <w:szCs w:val="18"/>
              </w:rPr>
            </w:pPr>
          </w:p>
        </w:tc>
        <w:tc>
          <w:tcPr>
            <w:tcW w:w="912" w:type="dxa"/>
            <w:noWrap w:val="0"/>
            <w:vAlign w:val="center"/>
          </w:tcPr>
          <w:p>
            <w:pPr>
              <w:spacing w:line="240" w:lineRule="auto"/>
              <w:jc w:val="center"/>
              <w:rPr>
                <w:rFonts w:hint="eastAsia" w:ascii="宋体" w:hAnsi="宋体" w:eastAsia="宋体" w:cs="宋体"/>
                <w:sz w:val="18"/>
                <w:szCs w:val="18"/>
              </w:rPr>
            </w:pPr>
          </w:p>
        </w:tc>
        <w:tc>
          <w:tcPr>
            <w:tcW w:w="895" w:type="dxa"/>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所属等级</w:t>
            </w:r>
          </w:p>
        </w:tc>
        <w:tc>
          <w:tcPr>
            <w:tcW w:w="8249" w:type="dxa"/>
            <w:gridSpan w:val="9"/>
            <w:noWrap w:val="0"/>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7" w:type="dxa"/>
            <w:gridSpan w:val="10"/>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8" w:type="dxa"/>
            <w:gridSpan w:val="3"/>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分数标准</w:t>
            </w:r>
          </w:p>
        </w:tc>
        <w:tc>
          <w:tcPr>
            <w:tcW w:w="6809" w:type="dxa"/>
            <w:gridSpan w:val="7"/>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8" w:type="dxa"/>
            <w:gridSpan w:val="3"/>
            <w:noWrap w:val="0"/>
            <w:vAlign w:val="center"/>
          </w:tcPr>
          <w:p>
            <w:pPr>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大于等于85分</w:t>
            </w:r>
          </w:p>
        </w:tc>
        <w:tc>
          <w:tcPr>
            <w:tcW w:w="6809" w:type="dxa"/>
            <w:gridSpan w:val="7"/>
            <w:noWrap w:val="0"/>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8" w:type="dxa"/>
            <w:gridSpan w:val="3"/>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小于</w:t>
            </w:r>
            <w:r>
              <w:rPr>
                <w:rFonts w:hint="eastAsia" w:ascii="宋体" w:hAnsi="宋体" w:eastAsia="宋体" w:cs="宋体"/>
                <w:color w:val="auto"/>
                <w:sz w:val="18"/>
                <w:szCs w:val="18"/>
              </w:rPr>
              <w:t>85分</w:t>
            </w:r>
          </w:p>
        </w:tc>
        <w:tc>
          <w:tcPr>
            <w:tcW w:w="6809" w:type="dxa"/>
            <w:gridSpan w:val="7"/>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highlight w:val="none"/>
                <w:lang w:val="en-US" w:eastAsia="zh-CN"/>
              </w:rPr>
              <w:t>为</w:t>
            </w:r>
            <w:r>
              <w:rPr>
                <w:rFonts w:hint="eastAsia" w:ascii="宋体" w:hAnsi="宋体" w:eastAsia="宋体" w:cs="宋体"/>
                <w:color w:val="auto"/>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7" w:type="dxa"/>
            <w:gridSpan w:val="10"/>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考核人名单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8"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考核人姓名</w:t>
            </w:r>
          </w:p>
        </w:tc>
        <w:tc>
          <w:tcPr>
            <w:tcW w:w="1440" w:type="dxa"/>
            <w:gridSpan w:val="2"/>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所属部门</w:t>
            </w:r>
          </w:p>
        </w:tc>
        <w:tc>
          <w:tcPr>
            <w:tcW w:w="4500" w:type="dxa"/>
            <w:gridSpan w:val="4"/>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考核意见</w:t>
            </w:r>
          </w:p>
        </w:tc>
        <w:tc>
          <w:tcPr>
            <w:tcW w:w="2309" w:type="dxa"/>
            <w:gridSpan w:val="3"/>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8" w:type="dxa"/>
            <w:noWrap w:val="0"/>
            <w:vAlign w:val="center"/>
          </w:tcPr>
          <w:p>
            <w:pPr>
              <w:spacing w:line="240" w:lineRule="auto"/>
              <w:jc w:val="center"/>
              <w:rPr>
                <w:rFonts w:hint="eastAsia" w:ascii="宋体" w:hAnsi="宋体" w:eastAsia="宋体" w:cs="宋体"/>
                <w:color w:val="auto"/>
                <w:sz w:val="18"/>
                <w:szCs w:val="18"/>
              </w:rPr>
            </w:pPr>
          </w:p>
        </w:tc>
        <w:tc>
          <w:tcPr>
            <w:tcW w:w="1440" w:type="dxa"/>
            <w:gridSpan w:val="2"/>
            <w:noWrap w:val="0"/>
            <w:vAlign w:val="center"/>
          </w:tcPr>
          <w:p>
            <w:pPr>
              <w:spacing w:line="240" w:lineRule="auto"/>
              <w:jc w:val="center"/>
              <w:rPr>
                <w:rFonts w:hint="eastAsia" w:ascii="宋体" w:hAnsi="宋体" w:eastAsia="宋体" w:cs="宋体"/>
                <w:color w:val="auto"/>
                <w:sz w:val="18"/>
                <w:szCs w:val="18"/>
              </w:rPr>
            </w:pPr>
          </w:p>
        </w:tc>
        <w:tc>
          <w:tcPr>
            <w:tcW w:w="4500" w:type="dxa"/>
            <w:gridSpan w:val="4"/>
            <w:noWrap w:val="0"/>
            <w:vAlign w:val="center"/>
          </w:tcPr>
          <w:p>
            <w:pPr>
              <w:spacing w:line="240" w:lineRule="auto"/>
              <w:jc w:val="center"/>
              <w:rPr>
                <w:rFonts w:hint="eastAsia" w:ascii="宋体" w:hAnsi="宋体" w:eastAsia="宋体" w:cs="宋体"/>
                <w:color w:val="auto"/>
                <w:sz w:val="18"/>
                <w:szCs w:val="18"/>
              </w:rPr>
            </w:pPr>
          </w:p>
        </w:tc>
        <w:tc>
          <w:tcPr>
            <w:tcW w:w="2309" w:type="dxa"/>
            <w:gridSpan w:val="3"/>
            <w:noWrap w:val="0"/>
            <w:vAlign w:val="center"/>
          </w:tcPr>
          <w:p>
            <w:pPr>
              <w:spacing w:line="240" w:lineRule="auto"/>
              <w:jc w:val="center"/>
              <w:rPr>
                <w:rFonts w:hint="eastAsia" w:ascii="宋体" w:hAnsi="宋体" w:eastAsia="宋体" w:cs="宋体"/>
                <w:color w:val="auto"/>
                <w:sz w:val="18"/>
                <w:szCs w:val="18"/>
              </w:rPr>
            </w:pPr>
          </w:p>
        </w:tc>
      </w:tr>
    </w:tbl>
    <w:p>
      <w:pPr>
        <w:widowControl/>
        <w:ind w:firstLine="360" w:firstLineChars="200"/>
        <w:jc w:val="left"/>
        <w:textAlignment w:val="top"/>
        <w:outlineLvl w:val="1"/>
        <w:rPr>
          <w:rFonts w:hint="eastAsia" w:ascii="宋体" w:hAnsi="宋体" w:eastAsia="宋体" w:cs="宋体"/>
          <w:color w:val="auto"/>
          <w:sz w:val="18"/>
          <w:szCs w:val="18"/>
        </w:rPr>
      </w:pPr>
    </w:p>
    <w:p>
      <w:pPr>
        <w:widowControl/>
        <w:ind w:firstLine="360" w:firstLineChars="200"/>
        <w:jc w:val="left"/>
        <w:textAlignment w:val="top"/>
        <w:outlineLvl w:val="1"/>
        <w:rPr>
          <w:rFonts w:hint="eastAsia" w:ascii="宋体" w:hAnsi="宋体" w:eastAsia="宋体" w:cs="宋体"/>
          <w:color w:val="auto"/>
          <w:sz w:val="18"/>
          <w:szCs w:val="18"/>
          <w:u w:val="single"/>
        </w:rPr>
      </w:pPr>
      <w:r>
        <w:rPr>
          <w:rFonts w:hint="eastAsia" w:ascii="宋体" w:hAnsi="宋体" w:eastAsia="宋体" w:cs="宋体"/>
          <w:color w:val="auto"/>
          <w:sz w:val="18"/>
          <w:szCs w:val="18"/>
        </w:rPr>
        <w:t>填表人：</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                                        审核人：</w:t>
      </w:r>
      <w:r>
        <w:rPr>
          <w:rFonts w:hint="eastAsia" w:ascii="宋体" w:hAnsi="宋体" w:eastAsia="宋体" w:cs="宋体"/>
          <w:color w:val="auto"/>
          <w:sz w:val="18"/>
          <w:szCs w:val="18"/>
          <w:u w:val="single"/>
        </w:rPr>
        <w:t xml:space="preserve">          </w:t>
      </w:r>
    </w:p>
    <w:p>
      <w:pPr>
        <w:widowControl/>
        <w:ind w:firstLine="0" w:firstLineChars="0"/>
        <w:jc w:val="left"/>
        <w:textAlignment w:val="top"/>
        <w:rPr>
          <w:rFonts w:hint="eastAsia" w:ascii="宋体" w:hAnsi="宋体" w:eastAsia="宋体" w:cs="宋体"/>
          <w:color w:val="auto"/>
          <w:sz w:val="18"/>
          <w:szCs w:val="18"/>
          <w:u w:val="single"/>
        </w:rPr>
      </w:pPr>
    </w:p>
    <w:p>
      <w:pPr>
        <w:widowControl/>
        <w:jc w:val="left"/>
        <w:textAlignment w:val="top"/>
        <w:rPr>
          <w:rFonts w:hint="eastAsia" w:ascii="宋体" w:hAnsi="宋体" w:eastAsia="宋体" w:cs="宋体"/>
          <w:b/>
          <w:bCs/>
          <w:color w:val="auto"/>
          <w:kern w:val="0"/>
          <w:sz w:val="18"/>
          <w:szCs w:val="18"/>
          <w:highlight w:val="none"/>
          <w:u w:val="none"/>
          <w:lang w:val="en-US" w:eastAsia="zh-CN" w:bidi="ar"/>
        </w:rPr>
      </w:pPr>
    </w:p>
    <w:p>
      <w:pPr>
        <w:widowControl/>
        <w:jc w:val="left"/>
        <w:textAlignment w:val="top"/>
        <w:rPr>
          <w:rFonts w:hint="eastAsia" w:ascii="宋体" w:hAnsi="宋体" w:eastAsia="宋体" w:cs="宋体"/>
          <w:b/>
          <w:bCs/>
          <w:color w:val="auto"/>
          <w:kern w:val="0"/>
          <w:sz w:val="18"/>
          <w:szCs w:val="18"/>
          <w:highlight w:val="none"/>
          <w:u w:val="none"/>
          <w:lang w:val="en-US" w:eastAsia="zh-CN" w:bidi="ar"/>
        </w:rPr>
      </w:pPr>
      <w:r>
        <w:rPr>
          <w:rFonts w:hint="eastAsia" w:ascii="宋体" w:hAnsi="宋体" w:eastAsia="宋体" w:cs="宋体"/>
          <w:b/>
          <w:bCs/>
          <w:color w:val="auto"/>
          <w:kern w:val="0"/>
          <w:sz w:val="18"/>
          <w:szCs w:val="18"/>
          <w:highlight w:val="none"/>
          <w:u w:val="none"/>
          <w:lang w:val="en-US" w:eastAsia="zh-CN" w:bidi="ar"/>
        </w:rPr>
        <w:t>注：</w:t>
      </w:r>
    </w:p>
    <w:p>
      <w:pPr>
        <w:widowControl/>
        <w:ind w:firstLine="361" w:firstLineChars="200"/>
        <w:jc w:val="left"/>
        <w:textAlignment w:val="top"/>
        <w:rPr>
          <w:rFonts w:hint="eastAsia" w:ascii="宋体" w:hAnsi="宋体" w:eastAsia="宋体" w:cs="宋体"/>
          <w:b/>
          <w:bCs/>
          <w:color w:val="auto"/>
          <w:kern w:val="0"/>
          <w:sz w:val="18"/>
          <w:szCs w:val="18"/>
          <w:highlight w:val="none"/>
          <w:u w:val="none"/>
          <w:lang w:bidi="ar"/>
        </w:rPr>
      </w:pPr>
      <w:r>
        <w:rPr>
          <w:rFonts w:hint="eastAsia" w:ascii="宋体" w:hAnsi="宋体" w:eastAsia="宋体" w:cs="宋体"/>
          <w:b/>
          <w:bCs/>
          <w:color w:val="auto"/>
          <w:kern w:val="0"/>
          <w:sz w:val="18"/>
          <w:szCs w:val="18"/>
          <w:highlight w:val="none"/>
          <w:u w:val="none"/>
          <w:lang w:val="en-US" w:eastAsia="zh-CN" w:bidi="ar"/>
        </w:rPr>
        <w:t>1、甲方可以根据实际工作需要，适当修改相关考核指标，乙方必须无条件接受</w:t>
      </w:r>
      <w:r>
        <w:rPr>
          <w:rFonts w:hint="eastAsia" w:ascii="宋体" w:hAnsi="宋体" w:eastAsia="宋体" w:cs="宋体"/>
          <w:b/>
          <w:bCs/>
          <w:color w:val="auto"/>
          <w:kern w:val="0"/>
          <w:sz w:val="18"/>
          <w:szCs w:val="18"/>
          <w:highlight w:val="none"/>
          <w:u w:val="none"/>
          <w:lang w:bidi="ar"/>
        </w:rPr>
        <w:t>。</w:t>
      </w:r>
    </w:p>
    <w:p>
      <w:pPr>
        <w:widowControl/>
        <w:ind w:firstLine="361" w:firstLineChars="200"/>
        <w:jc w:val="left"/>
        <w:textAlignment w:val="top"/>
        <w:rPr>
          <w:rFonts w:hint="default" w:ascii="宋体" w:hAnsi="宋体" w:eastAsia="宋体" w:cs="宋体"/>
          <w:b/>
          <w:bCs/>
          <w:color w:val="auto"/>
          <w:kern w:val="0"/>
          <w:sz w:val="18"/>
          <w:szCs w:val="18"/>
          <w:highlight w:val="none"/>
          <w:u w:val="none"/>
          <w:lang w:val="en-US" w:eastAsia="zh-CN" w:bidi="ar"/>
        </w:rPr>
      </w:pPr>
      <w:r>
        <w:rPr>
          <w:rFonts w:hint="eastAsia" w:ascii="宋体" w:hAnsi="宋体" w:eastAsia="宋体" w:cs="宋体"/>
          <w:b/>
          <w:bCs/>
          <w:color w:val="auto"/>
          <w:kern w:val="0"/>
          <w:sz w:val="18"/>
          <w:szCs w:val="18"/>
          <w:highlight w:val="none"/>
          <w:u w:val="none"/>
          <w:lang w:val="en-US" w:eastAsia="zh-CN" w:bidi="ar"/>
        </w:rPr>
        <w:t>2、甲方对乙方服务的考核：</w:t>
      </w:r>
    </w:p>
    <w:p>
      <w:pPr>
        <w:widowControl/>
        <w:ind w:firstLine="360" w:firstLineChars="200"/>
        <w:jc w:val="left"/>
        <w:textAlignment w:val="top"/>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2.1甲方每年对乙方前期服务情况进行考核，每半年考核一次，每年考核平均分大于等于85分的为年度考核合格。</w:t>
      </w:r>
    </w:p>
    <w:p>
      <w:pPr>
        <w:widowControl/>
        <w:ind w:firstLine="360" w:firstLineChars="200"/>
        <w:jc w:val="left"/>
        <w:textAlignment w:val="top"/>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2.2若年度考核不合格的，甲方有权提前解除乙方服务合同，取消乙方后续副资格，给甲方造成损失的，甲方有权依法索赔；</w:t>
      </w:r>
    </w:p>
    <w:p>
      <w:pPr>
        <w:pStyle w:val="14"/>
        <w:spacing w:line="240" w:lineRule="auto"/>
        <w:ind w:firstLine="360" w:firstLineChars="200"/>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color w:val="auto"/>
          <w:sz w:val="18"/>
          <w:szCs w:val="18"/>
          <w:highlight w:val="none"/>
          <w:lang w:val="en-US" w:eastAsia="zh-CN"/>
        </w:rPr>
        <w:t>2.3</w:t>
      </w:r>
      <w:r>
        <w:rPr>
          <w:rFonts w:hint="eastAsia" w:ascii="宋体" w:hAnsi="宋体" w:eastAsia="宋体" w:cs="宋体"/>
          <w:b w:val="0"/>
          <w:bCs w:val="0"/>
          <w:color w:val="auto"/>
          <w:kern w:val="0"/>
          <w:sz w:val="18"/>
          <w:szCs w:val="18"/>
          <w:highlight w:val="none"/>
          <w:u w:val="none"/>
          <w:lang w:val="en-US" w:eastAsia="zh-CN" w:bidi="ar"/>
        </w:rPr>
        <w:t>当事人一方要求变更或解除合同时，则应当在30日前通知对方；因变更或解除合同使一方遭受损失的，应由责任方负责赔偿（</w:t>
      </w:r>
      <w:r>
        <w:rPr>
          <w:rFonts w:hint="eastAsia" w:ascii="宋体" w:hAnsi="宋体" w:eastAsia="宋体" w:cs="宋体"/>
          <w:b/>
          <w:bCs/>
          <w:color w:val="auto"/>
          <w:kern w:val="0"/>
          <w:sz w:val="18"/>
          <w:szCs w:val="18"/>
          <w:highlight w:val="none"/>
          <w:u w:val="single"/>
          <w:lang w:val="en-US" w:eastAsia="zh-CN" w:bidi="ar"/>
        </w:rPr>
        <w:t>乙方考核不合格，或者甲方按合同规定解除合同除外）</w:t>
      </w:r>
      <w:r>
        <w:rPr>
          <w:rFonts w:hint="eastAsia" w:ascii="宋体" w:hAnsi="宋体" w:eastAsia="宋体" w:cs="宋体"/>
          <w:b w:val="0"/>
          <w:bCs w:val="0"/>
          <w:color w:val="auto"/>
          <w:kern w:val="0"/>
          <w:sz w:val="18"/>
          <w:szCs w:val="18"/>
          <w:highlight w:val="none"/>
          <w:u w:val="none"/>
          <w:lang w:val="en-US" w:eastAsia="zh-CN" w:bidi="ar"/>
        </w:rPr>
        <w:t>。</w:t>
      </w:r>
    </w:p>
    <w:p>
      <w:pPr>
        <w:widowControl/>
        <w:ind w:firstLine="360" w:firstLineChars="200"/>
        <w:jc w:val="left"/>
        <w:textAlignment w:val="top"/>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2.4变更或解除合同的通知或协议应当采取书面形式，新的协议未签订之前，原合同仍然有效。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ind w:firstLine="440"/>
        <w:jc w:val="center"/>
        <w:rPr>
          <w:rFonts w:hint="eastAsia" w:ascii="宋体" w:hAnsi="宋体" w:eastAsia="宋体" w:cs="宋体"/>
          <w:sz w:val="44"/>
          <w:szCs w:val="44"/>
          <w:highlight w:val="none"/>
        </w:rPr>
      </w:pPr>
    </w:p>
    <w:p>
      <w:pPr>
        <w:pStyle w:val="3"/>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highlight w:val="none"/>
        </w:rPr>
        <w:t xml:space="preserve"> 投标文件的编制格式</w:t>
      </w:r>
      <w:bookmarkEnd w:id="190"/>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480" w:lineRule="auto"/>
        <w:jc w:val="center"/>
        <w:rPr>
          <w:rFonts w:hint="eastAsia" w:ascii="宋体" w:hAnsi="宋体" w:eastAsia="宋体" w:cs="宋体"/>
          <w:sz w:val="44"/>
          <w:szCs w:val="44"/>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2020年1月1日以来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lang w:val="en-US" w:eastAsia="zh-CN"/>
              </w:rPr>
            </w:pPr>
          </w:p>
        </w:tc>
      </w:tr>
    </w:tbl>
    <w:p>
      <w:pPr>
        <w:pStyle w:val="13"/>
        <w:rPr>
          <w:rFonts w:hint="eastAsia" w:ascii="宋体" w:hAnsi="宋体" w:eastAsia="宋体" w:cs="宋体"/>
          <w:snapToGrid w:val="0"/>
          <w:sz w:val="32"/>
          <w:szCs w:val="20"/>
          <w:highlight w:val="none"/>
        </w:rPr>
      </w:pPr>
    </w:p>
    <w:p>
      <w:pPr>
        <w:pStyle w:val="13"/>
        <w:rPr>
          <w:rFonts w:hint="eastAsia" w:ascii="宋体" w:hAnsi="宋体" w:eastAsia="宋体" w:cs="宋体"/>
          <w:snapToGrid w:val="0"/>
          <w:sz w:val="32"/>
          <w:szCs w:val="20"/>
          <w:highlight w:val="none"/>
        </w:rPr>
      </w:pPr>
    </w:p>
    <w:p>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pPr>
        <w:pStyle w:val="3"/>
        <w:ind w:firstLine="210"/>
        <w:rPr>
          <w:rFonts w:hint="eastAsia" w:ascii="宋体" w:hAnsi="宋体" w:eastAsia="宋体" w:cs="宋体"/>
          <w:highlight w:val="none"/>
        </w:rPr>
      </w:pPr>
    </w:p>
    <w:p>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pPr>
        <w:pStyle w:val="55"/>
        <w:numPr>
          <w:ilvl w:val="0"/>
          <w:numId w:val="22"/>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w:t>
      </w:r>
      <w:r>
        <w:rPr>
          <w:rFonts w:hint="eastAsia" w:ascii="宋体" w:hAnsi="宋体" w:eastAsia="宋体" w:cs="宋体"/>
          <w:sz w:val="24"/>
          <w:szCs w:val="24"/>
        </w:rPr>
        <w:t>方便评委打分时可以快速查阅到与评分项有关的内容</w:t>
      </w:r>
      <w:r>
        <w:rPr>
          <w:rFonts w:hint="eastAsia" w:ascii="宋体" w:hAnsi="宋体" w:eastAsia="宋体" w:cs="宋体"/>
          <w:sz w:val="24"/>
          <w:szCs w:val="24"/>
          <w:highlight w:val="none"/>
        </w:rPr>
        <w:t>。</w:t>
      </w:r>
    </w:p>
    <w:p>
      <w:pPr>
        <w:pStyle w:val="55"/>
        <w:numPr>
          <w:ilvl w:val="0"/>
          <w:numId w:val="22"/>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pPr>
        <w:pStyle w:val="3"/>
        <w:ind w:firstLine="210"/>
        <w:rPr>
          <w:rFonts w:hint="eastAsia" w:ascii="宋体" w:hAnsi="宋体" w:eastAsia="宋体" w:cs="宋体"/>
          <w:highlight w:val="none"/>
        </w:rPr>
      </w:pP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温州金桥建设开发有限公司</w:t>
      </w:r>
      <w:r>
        <w:rPr>
          <w:rFonts w:hint="eastAsia" w:ascii="宋体" w:hAnsi="宋体" w:eastAsia="宋体" w:cs="宋体"/>
          <w:sz w:val="22"/>
          <w:highlight w:val="none"/>
        </w:rPr>
        <w:t>：</w:t>
      </w:r>
    </w:p>
    <w:p>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bl>
    <w:p>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3、▲不提供“技术规格、商务条款偏离表”的投标文件将被视为未实质性响应采购文件。</w:t>
      </w:r>
    </w:p>
    <w:p>
      <w:pPr>
        <w:pStyle w:val="13"/>
        <w:rPr>
          <w:rFonts w:hint="eastAsia"/>
        </w:rPr>
      </w:pP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sz w:val="22"/>
          <w:highlight w:val="none"/>
          <w:lang w:eastAsia="zh-CN"/>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温州金桥建设开发有限公司</w:t>
      </w:r>
      <w:r>
        <w:rPr>
          <w:rFonts w:hint="eastAsia" w:ascii="宋体" w:hAnsi="宋体" w:eastAsia="宋体" w:cs="宋体"/>
          <w:sz w:val="22"/>
          <w:highlight w:val="none"/>
        </w:rPr>
        <w:t>：</w:t>
      </w:r>
    </w:p>
    <w:p>
      <w:pPr>
        <w:spacing w:line="460" w:lineRule="exact"/>
        <w:rPr>
          <w:rFonts w:hint="eastAsia" w:ascii="宋体" w:hAnsi="宋体" w:eastAsia="宋体" w:cs="宋体"/>
          <w:sz w:val="22"/>
          <w:highlight w:val="none"/>
        </w:rPr>
      </w:pP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温州金桥建设开发有限公司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pPr>
        <w:rPr>
          <w:rFonts w:hint="eastAsia" w:ascii="宋体" w:hAnsi="宋体" w:eastAsia="宋体" w:cs="宋体"/>
          <w:b/>
          <w:bCs/>
          <w:sz w:val="24"/>
          <w:szCs w:val="24"/>
          <w:highlight w:val="none"/>
        </w:rPr>
      </w:pP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30"/>
          <w:szCs w:val="24"/>
          <w:highlight w:val="none"/>
        </w:rPr>
      </w:pP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lang w:eastAsia="zh-CN"/>
        </w:rPr>
        <w:t>温州金桥建设开发有限公司</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10.我方承诺具有履行合同所必需的所必需的场地、设备</w:t>
      </w:r>
      <w:r>
        <w:rPr>
          <w:rFonts w:hint="eastAsia" w:ascii="宋体" w:hAnsi="宋体" w:eastAsia="宋体" w:cs="宋体"/>
          <w:sz w:val="22"/>
          <w:highlight w:val="none"/>
          <w:lang w:eastAsia="zh-CN"/>
        </w:rPr>
        <w:t>、</w:t>
      </w:r>
      <w:r>
        <w:rPr>
          <w:rFonts w:hint="eastAsia" w:ascii="宋体" w:hAnsi="宋体" w:eastAsia="宋体" w:cs="宋体"/>
          <w:sz w:val="22"/>
          <w:highlight w:val="none"/>
        </w:rPr>
        <w:t>专业技术</w:t>
      </w:r>
      <w:r>
        <w:rPr>
          <w:rFonts w:hint="eastAsia" w:ascii="宋体" w:hAnsi="宋体" w:eastAsia="宋体" w:cs="宋体"/>
          <w:sz w:val="22"/>
          <w:highlight w:val="none"/>
          <w:lang w:val="en-US" w:eastAsia="zh-CN"/>
        </w:rPr>
        <w:t>和</w:t>
      </w:r>
      <w:r>
        <w:rPr>
          <w:rFonts w:hint="eastAsia" w:ascii="宋体" w:hAnsi="宋体" w:eastAsia="宋体" w:cs="宋体"/>
          <w:sz w:val="22"/>
          <w:highlight w:val="none"/>
        </w:rPr>
        <w:t>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pStyle w:val="24"/>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pPr>
        <w:pStyle w:val="3"/>
        <w:ind w:firstLine="0" w:firstLineChars="0"/>
        <w:rPr>
          <w:rFonts w:hint="eastAsia" w:ascii="宋体" w:hAnsi="宋体" w:eastAsia="宋体" w:cs="宋体"/>
          <w:b/>
          <w:bCs/>
          <w:sz w:val="28"/>
          <w:szCs w:val="28"/>
          <w:highlight w:val="none"/>
        </w:rPr>
      </w:pPr>
    </w:p>
    <w:p>
      <w:pPr>
        <w:spacing w:line="400" w:lineRule="exact"/>
        <w:jc w:val="center"/>
        <w:rPr>
          <w:rFonts w:hint="eastAsia" w:ascii="宋体" w:hAnsi="宋体" w:eastAsia="宋体" w:cs="宋体"/>
          <w:b/>
          <w:color w:val="auto"/>
          <w:sz w:val="24"/>
          <w:highlight w:val="none"/>
          <w:lang w:val="en-US" w:eastAsia="zh-CN"/>
        </w:rPr>
      </w:pPr>
      <w:bookmarkStart w:id="191" w:name="_Toc480556784"/>
      <w:r>
        <w:rPr>
          <w:rFonts w:hint="eastAsia" w:ascii="宋体" w:hAnsi="宋体" w:eastAsia="宋体" w:cs="宋体"/>
          <w:b/>
          <w:color w:val="auto"/>
          <w:sz w:val="24"/>
          <w:highlight w:val="none"/>
          <w:lang w:val="en-US" w:eastAsia="zh-CN"/>
        </w:rPr>
        <w:t>供应商简介</w:t>
      </w:r>
    </w:p>
    <w:p>
      <w:pPr>
        <w:pStyle w:val="2"/>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p>
    <w:p>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pPr>
        <w:spacing w:line="400" w:lineRule="exact"/>
        <w:rPr>
          <w:rFonts w:hint="eastAsia" w:ascii="宋体" w:hAnsi="宋体" w:eastAsia="宋体" w:cs="宋体"/>
          <w:color w:val="auto"/>
          <w:sz w:val="22"/>
          <w:highlight w:val="none"/>
        </w:rPr>
      </w:pPr>
    </w:p>
    <w:p>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pPr>
        <w:spacing w:line="400" w:lineRule="exact"/>
        <w:rPr>
          <w:rFonts w:hint="eastAsia" w:ascii="宋体" w:hAnsi="宋体" w:eastAsia="宋体" w:cs="宋体"/>
          <w:color w:val="auto"/>
          <w:sz w:val="22"/>
          <w:highlight w:val="none"/>
        </w:rPr>
      </w:pPr>
    </w:p>
    <w:bookmarkEnd w:id="191"/>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pPr>
        <w:rPr>
          <w:rFonts w:hint="eastAsia" w:ascii="宋体" w:hAnsi="宋体" w:eastAsia="宋体" w:cs="宋体"/>
          <w:sz w:val="22"/>
          <w:highlight w:val="none"/>
        </w:rPr>
      </w:pPr>
      <w:r>
        <w:rPr>
          <w:rFonts w:hint="eastAsia" w:ascii="宋体" w:hAnsi="宋体" w:eastAsia="宋体" w:cs="宋体"/>
          <w:sz w:val="22"/>
          <w:highlight w:val="none"/>
        </w:rPr>
        <w:br w:type="page"/>
      </w:r>
    </w:p>
    <w:p>
      <w:pPr>
        <w:pStyle w:val="5"/>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bl>
    <w:p>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pPr>
        <w:rPr>
          <w:rFonts w:hint="eastAsia" w:ascii="宋体" w:hAnsi="宋体" w:eastAsia="宋体" w:cs="宋体"/>
          <w:b/>
          <w:color w:val="auto"/>
          <w:sz w:val="22"/>
          <w:szCs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400" w:lineRule="exact"/>
        <w:rPr>
          <w:rFonts w:hint="eastAsia" w:ascii="宋体" w:hAnsi="宋体" w:eastAsia="宋体" w:cs="宋体"/>
          <w:color w:val="auto"/>
          <w:sz w:val="22"/>
          <w:szCs w:val="22"/>
          <w:highlight w:val="none"/>
        </w:rPr>
      </w:pPr>
    </w:p>
    <w:p>
      <w:pPr>
        <w:ind w:right="-10"/>
        <w:rPr>
          <w:rFonts w:hint="eastAsia" w:ascii="宋体" w:hAnsi="宋体" w:eastAsia="宋体" w:cs="宋体"/>
          <w:b/>
          <w:bCs/>
          <w:snapToGrid w:val="0"/>
          <w:color w:val="auto"/>
          <w:kern w:val="0"/>
          <w:sz w:val="28"/>
          <w:highlight w:val="none"/>
        </w:rPr>
      </w:pPr>
      <w:bookmarkStart w:id="192" w:name="_Toc336413112"/>
      <w:r>
        <w:rPr>
          <w:rFonts w:hint="eastAsia" w:ascii="宋体" w:hAnsi="宋体" w:eastAsia="宋体" w:cs="宋体"/>
          <w:color w:val="auto"/>
          <w:sz w:val="22"/>
          <w:szCs w:val="22"/>
          <w:highlight w:val="none"/>
        </w:rPr>
        <w:br w:type="page"/>
      </w:r>
      <w:bookmarkEnd w:id="192"/>
      <w:r>
        <w:rPr>
          <w:rFonts w:hint="eastAsia" w:ascii="宋体" w:hAnsi="宋体" w:eastAsia="宋体" w:cs="宋体"/>
          <w:b/>
          <w:snapToGrid w:val="0"/>
          <w:color w:val="auto"/>
          <w:kern w:val="0"/>
          <w:sz w:val="22"/>
          <w:szCs w:val="22"/>
          <w:highlight w:val="none"/>
        </w:rPr>
        <w:t>附件七</w:t>
      </w:r>
    </w:p>
    <w:p>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pPr>
              <w:pStyle w:val="69"/>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pPr>
              <w:pStyle w:val="69"/>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pPr>
              <w:pStyle w:val="70"/>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pPr>
        <w:pStyle w:val="10"/>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pPr>
        <w:pStyle w:val="14"/>
        <w:spacing w:line="400" w:lineRule="atLeast"/>
        <w:ind w:left="660" w:hanging="660" w:hangingChars="300"/>
        <w:rPr>
          <w:rFonts w:hint="eastAsia" w:ascii="宋体" w:hAnsi="宋体" w:eastAsia="宋体" w:cs="宋体"/>
          <w:snapToGrid w:val="0"/>
          <w:color w:val="auto"/>
          <w:sz w:val="22"/>
          <w:szCs w:val="22"/>
          <w:highlight w:val="none"/>
        </w:rPr>
      </w:pP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pPr>
        <w:spacing w:line="380" w:lineRule="exact"/>
        <w:ind w:firstLine="4400" w:firstLineChars="2000"/>
        <w:rPr>
          <w:rFonts w:hint="eastAsia" w:ascii="宋体" w:hAnsi="宋体" w:eastAsia="宋体" w:cs="宋体"/>
          <w:snapToGrid w:val="0"/>
          <w:color w:val="auto"/>
          <w:kern w:val="0"/>
          <w:sz w:val="22"/>
          <w:szCs w:val="22"/>
          <w:highlight w:val="none"/>
        </w:rPr>
      </w:pPr>
    </w:p>
    <w:p>
      <w:pPr>
        <w:spacing w:line="380" w:lineRule="exact"/>
        <w:ind w:firstLine="4400" w:firstLineChars="2000"/>
        <w:rPr>
          <w:rFonts w:hint="eastAsia" w:ascii="宋体" w:hAnsi="宋体" w:eastAsia="宋体" w:cs="宋体"/>
          <w:snapToGrid w:val="0"/>
          <w:color w:val="auto"/>
          <w:kern w:val="0"/>
          <w:sz w:val="22"/>
          <w:szCs w:val="22"/>
          <w:highlight w:val="none"/>
        </w:rPr>
      </w:pP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001"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pPr>
              <w:pStyle w:val="59"/>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2001" w:type="dxa"/>
            <w:tcBorders>
              <w:top w:val="single" w:color="auto" w:sz="12" w:space="0"/>
              <w:left w:val="single" w:color="auto" w:sz="4" w:space="0"/>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pStyle w:val="15"/>
              <w:ind w:left="5250"/>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9"/>
            <w:tcBorders>
              <w:left w:val="single" w:color="auto" w:sz="12" w:space="0"/>
              <w:bottom w:val="single" w:color="auto" w:sz="12" w:space="0"/>
              <w:right w:val="single" w:color="auto" w:sz="12" w:space="0"/>
            </w:tcBorders>
            <w:noWrap w:val="0"/>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pPr>
        <w:jc w:val="center"/>
        <w:rPr>
          <w:rFonts w:hint="eastAsia" w:ascii="宋体" w:hAnsi="宋体" w:eastAsia="宋体" w:cs="宋体"/>
          <w:b/>
          <w:color w:val="auto"/>
          <w:sz w:val="48"/>
          <w:szCs w:val="48"/>
          <w:highlight w:val="none"/>
        </w:rPr>
      </w:pPr>
    </w:p>
    <w:p>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lang w:eastAsia="zh-CN"/>
        </w:rPr>
        <w:t>年1月1日以来</w:t>
      </w:r>
      <w:r>
        <w:rPr>
          <w:rFonts w:hint="eastAsia" w:ascii="宋体" w:hAnsi="宋体" w:eastAsia="宋体" w:cs="宋体"/>
          <w:b/>
          <w:bCs/>
          <w:color w:val="auto"/>
          <w:szCs w:val="21"/>
          <w:highlight w:val="none"/>
        </w:rPr>
        <w:t>同类项目业绩一览表</w:t>
      </w:r>
    </w:p>
    <w:p>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998" w:type="dxa"/>
            <w:noWrap w:val="0"/>
            <w:vAlign w:val="center"/>
          </w:tcPr>
          <w:p>
            <w:pPr>
              <w:pStyle w:val="69"/>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bl>
    <w:p>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r>
        <w:rPr>
          <w:rFonts w:hint="eastAsia" w:ascii="宋体" w:hAnsi="宋体" w:eastAsia="宋体" w:cs="宋体"/>
          <w:color w:val="auto"/>
          <w:highlight w:val="none"/>
          <w:lang w:val="en-US" w:eastAsia="zh-CN"/>
        </w:rPr>
        <w:t>同时须按技术资信评分细则要求提供相关</w:t>
      </w:r>
      <w:r>
        <w:rPr>
          <w:rFonts w:hint="eastAsia" w:ascii="宋体" w:hAnsi="宋体" w:eastAsia="宋体" w:cs="宋体"/>
          <w:color w:val="auto"/>
          <w:highlight w:val="none"/>
        </w:rPr>
        <w:t>原件）。</w:t>
      </w:r>
    </w:p>
    <w:p>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pPr>
        <w:spacing w:line="400" w:lineRule="exact"/>
        <w:ind w:firstLine="433" w:firstLineChars="196"/>
        <w:rPr>
          <w:rFonts w:hint="eastAsia" w:ascii="宋体" w:hAnsi="宋体" w:eastAsia="宋体" w:cs="宋体"/>
          <w:b/>
          <w:color w:val="auto"/>
          <w:sz w:val="22"/>
          <w:szCs w:val="22"/>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pPr>
        <w:spacing w:before="120" w:beforeLines="50" w:after="120" w:afterLines="50"/>
        <w:ind w:right="-10"/>
        <w:rPr>
          <w:rFonts w:hint="eastAsia" w:ascii="宋体" w:hAnsi="宋体" w:eastAsia="宋体" w:cs="宋体"/>
          <w:highlight w:val="none"/>
        </w:rPr>
      </w:pPr>
      <w:r>
        <w:rPr>
          <w:rFonts w:hint="eastAsia" w:ascii="宋体" w:hAnsi="宋体" w:eastAsia="宋体" w:cs="宋体"/>
          <w:b/>
          <w:bCs/>
          <w:color w:val="auto"/>
          <w:sz w:val="24"/>
          <w:highlight w:val="none"/>
        </w:rPr>
        <w:br w:type="page"/>
      </w:r>
    </w:p>
    <w:p>
      <w:pPr>
        <w:pStyle w:val="13"/>
        <w:rPr>
          <w:rFonts w:hint="eastAsia"/>
        </w:rPr>
      </w:pPr>
    </w:p>
    <w:p>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十一</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849"/>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4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物业服务</w:t>
            </w:r>
          </w:p>
        </w:tc>
        <w:tc>
          <w:tcPr>
            <w:tcW w:w="4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2、此栏内投标总报价应与附件</w:t>
      </w:r>
      <w:r>
        <w:rPr>
          <w:rFonts w:hint="eastAsia" w:ascii="宋体" w:hAnsi="宋体" w:eastAsia="宋体" w:cs="宋体"/>
          <w:sz w:val="22"/>
          <w:szCs w:val="24"/>
          <w:highlight w:val="none"/>
          <w:lang w:val="en-US" w:eastAsia="zh-CN"/>
        </w:rPr>
        <w:t>十二</w:t>
      </w:r>
      <w:r>
        <w:rPr>
          <w:rFonts w:hint="eastAsia" w:ascii="宋体" w:hAnsi="宋体" w:eastAsia="宋体" w:cs="宋体"/>
          <w:sz w:val="22"/>
          <w:szCs w:val="24"/>
          <w:highlight w:val="none"/>
        </w:rPr>
        <w:t>“投标分项报价表”中</w:t>
      </w:r>
      <w:r>
        <w:rPr>
          <w:rFonts w:hint="eastAsia" w:ascii="宋体" w:hAnsi="宋体" w:eastAsia="宋体" w:cs="宋体"/>
          <w:sz w:val="22"/>
          <w:szCs w:val="24"/>
          <w:highlight w:val="none"/>
          <w:lang w:val="en-US" w:eastAsia="zh-CN"/>
        </w:rPr>
        <w:t>合计</w:t>
      </w:r>
      <w:r>
        <w:rPr>
          <w:rFonts w:hint="eastAsia" w:ascii="宋体" w:hAnsi="宋体" w:eastAsia="宋体" w:cs="宋体"/>
          <w:sz w:val="22"/>
          <w:szCs w:val="24"/>
          <w:highlight w:val="none"/>
        </w:rPr>
        <w:t>总价相一致。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十二</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bookmarkStart w:id="193" w:name="_Toc262105510"/>
      <w:bookmarkStart w:id="194" w:name="_Toc448846626"/>
      <w:bookmarkStart w:id="195" w:name="_Toc262049425"/>
      <w:bookmarkStart w:id="196" w:name="_Toc249758721"/>
      <w:bookmarkStart w:id="197" w:name="_Toc249758871"/>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5"/>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1143"/>
        <w:gridCol w:w="287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费 用 名 称</w:t>
            </w:r>
          </w:p>
        </w:tc>
        <w:tc>
          <w:tcPr>
            <w:tcW w:w="2870"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报价（人民币元）</w:t>
            </w:r>
          </w:p>
        </w:tc>
        <w:tc>
          <w:tcPr>
            <w:tcW w:w="1668"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69" w:type="dxa"/>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3275" w:type="dxa"/>
            <w:gridSpan w:val="2"/>
            <w:noWrap w:val="0"/>
            <w:vAlign w:val="center"/>
          </w:tcPr>
          <w:p>
            <w:pPr>
              <w:spacing w:line="420" w:lineRule="exact"/>
              <w:jc w:val="center"/>
              <w:rPr>
                <w:rFonts w:hint="eastAsia" w:ascii="宋体" w:hAnsi="宋体" w:eastAsia="宋体" w:cs="宋体"/>
                <w:color w:val="auto"/>
                <w:sz w:val="18"/>
                <w:szCs w:val="18"/>
              </w:rPr>
            </w:pPr>
          </w:p>
        </w:tc>
        <w:tc>
          <w:tcPr>
            <w:tcW w:w="2870" w:type="dxa"/>
            <w:noWrap w:val="0"/>
            <w:vAlign w:val="center"/>
          </w:tcPr>
          <w:p>
            <w:pPr>
              <w:spacing w:line="420" w:lineRule="exact"/>
              <w:jc w:val="center"/>
              <w:rPr>
                <w:rFonts w:hint="eastAsia" w:ascii="宋体" w:hAnsi="宋体" w:eastAsia="宋体" w:cs="宋体"/>
                <w:color w:val="auto"/>
                <w:sz w:val="18"/>
                <w:szCs w:val="18"/>
              </w:rPr>
            </w:pPr>
          </w:p>
        </w:tc>
        <w:tc>
          <w:tcPr>
            <w:tcW w:w="1668" w:type="dxa"/>
            <w:noWrap w:val="0"/>
            <w:vAlign w:val="center"/>
          </w:tcPr>
          <w:p>
            <w:pPr>
              <w:spacing w:line="42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3001" w:type="dxa"/>
            <w:gridSpan w:val="2"/>
            <w:noWrap w:val="0"/>
            <w:vAlign w:val="center"/>
          </w:tcPr>
          <w:p>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合计总价（人民币元）:</w:t>
            </w:r>
          </w:p>
        </w:tc>
        <w:tc>
          <w:tcPr>
            <w:tcW w:w="5681" w:type="dxa"/>
            <w:gridSpan w:val="3"/>
            <w:noWrap w:val="0"/>
            <w:vAlign w:val="center"/>
          </w:tcPr>
          <w:p>
            <w:pPr>
              <w:spacing w:line="420" w:lineRule="exact"/>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元</w:t>
            </w:r>
          </w:p>
        </w:tc>
      </w:tr>
    </w:tbl>
    <w:p>
      <w:pPr>
        <w:rPr>
          <w:rFonts w:hint="eastAsia" w:ascii="宋体" w:hAnsi="宋体" w:eastAsia="宋体" w:cs="宋体"/>
          <w:b/>
          <w:szCs w:val="21"/>
          <w:highlight w:val="none"/>
        </w:rPr>
      </w:pPr>
    </w:p>
    <w:p>
      <w:pPr>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r>
        <w:rPr>
          <w:rFonts w:hint="eastAsia" w:ascii="宋体" w:hAnsi="宋体" w:eastAsia="宋体" w:cs="宋体"/>
          <w:b/>
          <w:szCs w:val="21"/>
          <w:highlight w:val="none"/>
          <w:lang w:val="en-US" w:eastAsia="zh-CN"/>
        </w:rPr>
        <w:t xml:space="preserve"> </w:t>
      </w:r>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1、以上核算需符合相关法律、法规及采购文件规定。</w:t>
      </w:r>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w:t>
      </w:r>
      <w:r>
        <w:rPr>
          <w:rFonts w:hint="eastAsia" w:ascii="宋体" w:hAnsi="宋体" w:eastAsia="宋体" w:cs="宋体"/>
          <w:b/>
          <w:szCs w:val="21"/>
          <w:highlight w:val="none"/>
          <w:lang w:val="en-US" w:eastAsia="zh-CN"/>
        </w:rPr>
        <w:t>合计</w:t>
      </w:r>
      <w:r>
        <w:rPr>
          <w:rFonts w:hint="eastAsia" w:ascii="宋体" w:hAnsi="宋体" w:eastAsia="宋体" w:cs="宋体"/>
          <w:b/>
          <w:szCs w:val="21"/>
          <w:highlight w:val="none"/>
        </w:rPr>
        <w:t>总价应与附件</w:t>
      </w:r>
      <w:r>
        <w:rPr>
          <w:rFonts w:hint="eastAsia" w:ascii="宋体" w:hAnsi="宋体" w:eastAsia="宋体" w:cs="宋体"/>
          <w:b/>
          <w:szCs w:val="21"/>
          <w:highlight w:val="none"/>
          <w:lang w:val="en-US" w:eastAsia="zh-CN"/>
        </w:rPr>
        <w:t>十一</w:t>
      </w:r>
      <w:r>
        <w:rPr>
          <w:rFonts w:hint="eastAsia" w:ascii="宋体" w:hAnsi="宋体" w:eastAsia="宋体" w:cs="宋体"/>
          <w:b/>
          <w:szCs w:val="21"/>
          <w:highlight w:val="none"/>
        </w:rPr>
        <w:t>“开标一览表”中投标总报价相一致。</w:t>
      </w:r>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3、不提供详细分项报价将视为没有实质性响应采购文件。</w:t>
      </w:r>
    </w:p>
    <w:p>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4、本表可在不改变格式的情况下根据具体需要自行增减。</w:t>
      </w:r>
    </w:p>
    <w:p>
      <w:pPr>
        <w:pStyle w:val="13"/>
        <w:rPr>
          <w:rFonts w:hint="eastAsia" w:ascii="宋体" w:hAnsi="宋体" w:eastAsia="宋体" w:cs="宋体"/>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198" w:name="_Hlk69240860"/>
      <w:r>
        <w:rPr>
          <w:rFonts w:hint="eastAsia" w:ascii="宋体" w:hAnsi="宋体" w:eastAsia="宋体" w:cs="宋体"/>
          <w:sz w:val="36"/>
          <w:szCs w:val="36"/>
          <w:highlight w:val="none"/>
        </w:rPr>
        <w:t>第四部分   采购内容及要求</w:t>
      </w:r>
      <w:bookmarkEnd w:id="193"/>
      <w:bookmarkEnd w:id="194"/>
      <w:bookmarkEnd w:id="195"/>
      <w:bookmarkEnd w:id="196"/>
      <w:bookmarkEnd w:id="197"/>
    </w:p>
    <w:p>
      <w:pPr>
        <w:widowControl/>
        <w:outlineLvl w:val="1"/>
        <w:rPr>
          <w:rFonts w:hint="eastAsia" w:ascii="宋体" w:hAnsi="宋体" w:eastAsia="宋体" w:cs="宋体"/>
          <w:b/>
          <w:bCs/>
          <w:kern w:val="0"/>
          <w:szCs w:val="21"/>
          <w:highlight w:val="none"/>
        </w:rPr>
      </w:pPr>
      <w:bookmarkStart w:id="199" w:name="_Toc448846627"/>
      <w:bookmarkStart w:id="200" w:name="_Toc221356897"/>
      <w:bookmarkStart w:id="201" w:name="_Toc221374633"/>
      <w:bookmarkStart w:id="202" w:name="_Toc221356960"/>
    </w:p>
    <w:bookmarkEnd w:id="198"/>
    <w:bookmarkEnd w:id="199"/>
    <w:p>
      <w:pPr>
        <w:pStyle w:val="6"/>
        <w:numPr>
          <w:ilvl w:val="0"/>
          <w:numId w:val="0"/>
        </w:numPr>
        <w:spacing w:before="0" w:after="0" w:line="360" w:lineRule="auto"/>
        <w:rPr>
          <w:rFonts w:hint="eastAsia" w:ascii="宋体" w:hAnsi="宋体" w:eastAsia="宋体" w:cs="宋体"/>
          <w:color w:val="auto"/>
          <w:sz w:val="22"/>
          <w:szCs w:val="22"/>
        </w:rPr>
      </w:pPr>
      <w:bookmarkStart w:id="203" w:name="_Toc482259921"/>
      <w:bookmarkStart w:id="204" w:name="_Toc25230"/>
      <w:bookmarkStart w:id="205" w:name="OLE_LINK32"/>
      <w:bookmarkStart w:id="206" w:name="OLE_LINK31"/>
      <w:bookmarkStart w:id="207" w:name="_Toc479601381"/>
      <w:bookmarkStart w:id="208" w:name="_Toc26699"/>
      <w:bookmarkStart w:id="209" w:name="_Toc245191321"/>
      <w:bookmarkStart w:id="210" w:name="_Toc262049426"/>
      <w:bookmarkStart w:id="211" w:name="_Toc249758722"/>
      <w:bookmarkStart w:id="212" w:name="_Toc448846693"/>
      <w:bookmarkStart w:id="213" w:name="_Toc241404209"/>
      <w:bookmarkStart w:id="214" w:name="_Toc222114886"/>
      <w:bookmarkStart w:id="215" w:name="_Toc246261272"/>
      <w:bookmarkStart w:id="216" w:name="_Toc245722288"/>
      <w:bookmarkStart w:id="217" w:name="_Toc221423626"/>
      <w:bookmarkStart w:id="218" w:name="_Toc262105511"/>
      <w:bookmarkStart w:id="219" w:name="_Toc249758872"/>
      <w:bookmarkStart w:id="220" w:name="_Toc223716005"/>
      <w:bookmarkStart w:id="221" w:name="_Toc239145361"/>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rPr>
        <w:t>项目概况</w:t>
      </w:r>
      <w:bookmarkEnd w:id="203"/>
      <w:bookmarkEnd w:id="204"/>
    </w:p>
    <w:p>
      <w:pPr>
        <w:tabs>
          <w:tab w:val="left" w:pos="720"/>
        </w:tabs>
        <w:spacing w:line="360" w:lineRule="auto"/>
        <w:rPr>
          <w:rFonts w:hint="eastAsia" w:ascii="宋体" w:hAnsi="宋体" w:eastAsia="宋体" w:cs="宋体"/>
          <w:color w:val="auto"/>
          <w:sz w:val="22"/>
          <w:szCs w:val="22"/>
          <w:lang w:eastAsia="zh-CN"/>
        </w:rPr>
      </w:pPr>
      <w:r>
        <w:rPr>
          <w:rFonts w:hint="eastAsia" w:ascii="宋体" w:hAnsi="宋体" w:eastAsia="宋体" w:cs="宋体"/>
          <w:b/>
          <w:color w:val="auto"/>
          <w:sz w:val="22"/>
          <w:szCs w:val="22"/>
        </w:rPr>
        <w:t xml:space="preserve">1. </w:t>
      </w:r>
      <w:r>
        <w:rPr>
          <w:rFonts w:hint="eastAsia" w:ascii="宋体" w:hAnsi="宋体" w:eastAsia="宋体" w:cs="宋体"/>
          <w:b/>
          <w:color w:val="auto"/>
          <w:sz w:val="22"/>
          <w:szCs w:val="22"/>
          <w:lang w:val="en-US" w:eastAsia="zh-CN"/>
        </w:rPr>
        <w:t>服务地点：</w:t>
      </w:r>
      <w:r>
        <w:rPr>
          <w:rFonts w:hint="eastAsia" w:ascii="宋体" w:hAnsi="宋体" w:eastAsia="宋体" w:cs="宋体"/>
          <w:b w:val="0"/>
          <w:bCs/>
          <w:color w:val="auto"/>
          <w:sz w:val="22"/>
          <w:szCs w:val="22"/>
          <w:lang w:val="en-US" w:eastAsia="zh-CN"/>
        </w:rPr>
        <w:t>珑头湾项目的配套设施看护及其周边部分路段安保、保洁等事项和采购人公司办公区域的日常管理维护进行物业管理服务</w:t>
      </w:r>
      <w:r>
        <w:rPr>
          <w:rFonts w:hint="eastAsia" w:ascii="宋体" w:hAnsi="宋体" w:eastAsia="宋体" w:cs="宋体"/>
          <w:color w:val="auto"/>
          <w:sz w:val="22"/>
          <w:szCs w:val="22"/>
          <w:lang w:eastAsia="zh-CN"/>
        </w:rPr>
        <w:t>。</w:t>
      </w:r>
    </w:p>
    <w:p>
      <w:pPr>
        <w:tabs>
          <w:tab w:val="left" w:pos="680"/>
          <w:tab w:val="left" w:pos="840"/>
        </w:tabs>
        <w:spacing w:line="360" w:lineRule="auto"/>
        <w:rPr>
          <w:rFonts w:hint="eastAsia" w:ascii="宋体" w:hAnsi="宋体" w:eastAsia="宋体" w:cs="宋体"/>
          <w:color w:val="auto"/>
          <w:sz w:val="22"/>
          <w:szCs w:val="22"/>
          <w:lang w:eastAsia="zh-CN"/>
        </w:rPr>
      </w:pPr>
      <w:r>
        <w:rPr>
          <w:rFonts w:hint="eastAsia" w:ascii="宋体" w:hAnsi="宋体" w:eastAsia="宋体" w:cs="宋体"/>
          <w:b/>
          <w:color w:val="auto"/>
          <w:sz w:val="22"/>
          <w:szCs w:val="22"/>
        </w:rPr>
        <w:t>2. 服务范围</w:t>
      </w:r>
      <w:r>
        <w:rPr>
          <w:rFonts w:hint="eastAsia" w:ascii="宋体" w:hAnsi="宋体" w:eastAsia="宋体" w:cs="宋体"/>
          <w:b/>
          <w:color w:val="auto"/>
          <w:sz w:val="22"/>
          <w:szCs w:val="22"/>
          <w:lang w:eastAsia="zh-CN"/>
        </w:rPr>
        <w:t>：</w:t>
      </w:r>
      <w:r>
        <w:rPr>
          <w:rFonts w:hint="eastAsia" w:ascii="宋体" w:hAnsi="宋体" w:eastAsia="宋体" w:cs="宋体"/>
          <w:color w:val="auto"/>
          <w:sz w:val="22"/>
          <w:szCs w:val="22"/>
        </w:rPr>
        <w:t>本项目服务范围包括</w:t>
      </w:r>
      <w:r>
        <w:rPr>
          <w:rFonts w:hint="eastAsia" w:ascii="宋体" w:hAnsi="宋体" w:eastAsia="宋体" w:cs="宋体"/>
          <w:color w:val="auto"/>
          <w:sz w:val="22"/>
          <w:szCs w:val="22"/>
          <w:lang w:eastAsia="zh-CN"/>
        </w:rPr>
        <w:t>：</w:t>
      </w:r>
    </w:p>
    <w:p>
      <w:pPr>
        <w:tabs>
          <w:tab w:val="left" w:pos="680"/>
          <w:tab w:val="left" w:pos="840"/>
        </w:tabs>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）保安人员及保洁人员必须管好划定区域内道路畅通和保洁。根据</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要求，</w:t>
      </w:r>
      <w:r>
        <w:rPr>
          <w:rFonts w:hint="eastAsia" w:ascii="宋体" w:hAnsi="宋体" w:eastAsia="宋体" w:cs="宋体"/>
          <w:color w:val="auto"/>
          <w:sz w:val="22"/>
          <w:szCs w:val="22"/>
          <w:lang w:val="en-US" w:eastAsia="zh-CN"/>
        </w:rPr>
        <w:t>物业公司</w:t>
      </w:r>
      <w:r>
        <w:rPr>
          <w:rFonts w:hint="eastAsia" w:ascii="宋体" w:hAnsi="宋体" w:eastAsia="宋体" w:cs="宋体"/>
          <w:color w:val="auto"/>
          <w:sz w:val="22"/>
          <w:szCs w:val="22"/>
          <w:lang w:eastAsia="zh-CN"/>
        </w:rPr>
        <w:t>需对龙头湾开发项目区域内道路畅通, 无明显的堆积垃圾和杂物。</w:t>
      </w:r>
    </w:p>
    <w:p>
      <w:pPr>
        <w:tabs>
          <w:tab w:val="left" w:pos="680"/>
          <w:tab w:val="left" w:pos="840"/>
        </w:tabs>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）办公楼卫生保洁。根据</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要求，</w:t>
      </w:r>
      <w:r>
        <w:rPr>
          <w:rFonts w:hint="eastAsia" w:ascii="宋体" w:hAnsi="宋体" w:eastAsia="宋体" w:cs="宋体"/>
          <w:color w:val="auto"/>
          <w:sz w:val="22"/>
          <w:szCs w:val="22"/>
          <w:lang w:val="en-US" w:eastAsia="zh-CN"/>
        </w:rPr>
        <w:t>物业公司</w:t>
      </w:r>
      <w:r>
        <w:rPr>
          <w:rFonts w:hint="eastAsia" w:ascii="宋体" w:hAnsi="宋体" w:eastAsia="宋体" w:cs="宋体"/>
          <w:color w:val="auto"/>
          <w:sz w:val="22"/>
          <w:szCs w:val="22"/>
          <w:lang w:eastAsia="zh-CN"/>
        </w:rPr>
        <w:t>需要对整个办公楼及宿舍环境卫生每天进行保洁，确保</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办公场所和宿舍卫生清洁。</w:t>
      </w:r>
    </w:p>
    <w:p>
      <w:pPr>
        <w:tabs>
          <w:tab w:val="left" w:pos="680"/>
          <w:tab w:val="left" w:pos="840"/>
        </w:tabs>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物业公司</w:t>
      </w:r>
      <w:r>
        <w:rPr>
          <w:rFonts w:hint="eastAsia" w:ascii="宋体" w:hAnsi="宋体" w:eastAsia="宋体" w:cs="宋体"/>
          <w:color w:val="auto"/>
          <w:sz w:val="22"/>
          <w:szCs w:val="22"/>
          <w:lang w:eastAsia="zh-CN"/>
        </w:rPr>
        <w:t>需要对</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办公区域内的公共配套设施加强管理, 如发现公共配套设施损坏的情况，要及时向</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汇报，并加以防护，待</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lang w:eastAsia="zh-CN"/>
        </w:rPr>
        <w:t>修复，以免出现意外事故的发生。</w:t>
      </w:r>
    </w:p>
    <w:p>
      <w:pPr>
        <w:tabs>
          <w:tab w:val="left" w:pos="680"/>
          <w:tab w:val="left" w:pos="840"/>
        </w:tabs>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）食堂早、中餐就餐服务。</w:t>
      </w:r>
    </w:p>
    <w:p>
      <w:pPr>
        <w:tabs>
          <w:tab w:val="left" w:pos="680"/>
          <w:tab w:val="left" w:pos="840"/>
        </w:tabs>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rPr>
        <w:t>3. 承包期限</w:t>
      </w:r>
      <w:r>
        <w:rPr>
          <w:rFonts w:hint="eastAsia" w:ascii="宋体" w:hAnsi="宋体" w:eastAsia="宋体" w:cs="宋体"/>
          <w:b/>
          <w:color w:val="auto"/>
          <w:sz w:val="22"/>
          <w:szCs w:val="22"/>
          <w:lang w:eastAsia="zh-CN"/>
        </w:rPr>
        <w:t>：</w:t>
      </w:r>
      <w:r>
        <w:rPr>
          <w:rFonts w:hint="eastAsia" w:ascii="宋体" w:hAnsi="宋体" w:eastAsia="宋体" w:cs="宋体"/>
          <w:color w:val="auto"/>
          <w:spacing w:val="6"/>
          <w:sz w:val="22"/>
          <w:szCs w:val="22"/>
          <w:highlight w:val="none"/>
        </w:rPr>
        <w:t>本项目</w:t>
      </w:r>
      <w:r>
        <w:rPr>
          <w:rFonts w:hint="eastAsia" w:ascii="宋体" w:hAnsi="宋体" w:eastAsia="宋体" w:cs="宋体"/>
          <w:color w:val="auto"/>
          <w:szCs w:val="21"/>
          <w:highlight w:val="none"/>
        </w:rPr>
        <w:t>合同期限为1年，采用</w:t>
      </w:r>
      <w:r>
        <w:rPr>
          <w:rFonts w:hint="eastAsia" w:ascii="宋体" w:hAnsi="宋体" w:eastAsia="宋体" w:cs="宋体"/>
          <w:color w:val="auto"/>
          <w:spacing w:val="6"/>
          <w:sz w:val="22"/>
          <w:szCs w:val="22"/>
          <w:highlight w:val="none"/>
        </w:rPr>
        <w:t>1+1+1</w:t>
      </w:r>
      <w:r>
        <w:rPr>
          <w:rFonts w:hint="eastAsia" w:ascii="宋体" w:hAnsi="宋体" w:eastAsia="宋体" w:cs="宋体"/>
          <w:color w:val="auto"/>
          <w:szCs w:val="21"/>
          <w:highlight w:val="none"/>
          <w:lang w:val="en-US" w:eastAsia="zh-CN"/>
        </w:rPr>
        <w:t>模式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即一年合同期满，经采购人考核合格</w:t>
      </w:r>
      <w:r>
        <w:rPr>
          <w:rFonts w:hint="eastAsia" w:ascii="宋体" w:hAnsi="宋体" w:eastAsia="宋体" w:cs="宋体"/>
          <w:color w:val="auto"/>
          <w:szCs w:val="21"/>
          <w:highlight w:val="none"/>
        </w:rPr>
        <w:t>，</w:t>
      </w:r>
      <w:r>
        <w:rPr>
          <w:rStyle w:val="73"/>
          <w:rFonts w:hint="eastAsia" w:ascii="宋体" w:hAnsi="宋体" w:eastAsia="宋体" w:cs="宋体"/>
          <w:color w:val="auto"/>
          <w:sz w:val="22"/>
          <w:szCs w:val="22"/>
          <w:lang w:val="en-US" w:eastAsia="zh-CN" w:bidi="ar-SA"/>
        </w:rPr>
        <w:t>在合同金额不变的情况下，</w:t>
      </w:r>
      <w:r>
        <w:rPr>
          <w:rStyle w:val="73"/>
          <w:rFonts w:hint="eastAsia" w:ascii="宋体" w:hAnsi="宋体" w:eastAsia="宋体" w:cs="宋体"/>
          <w:color w:val="auto"/>
          <w:sz w:val="22"/>
          <w:szCs w:val="22"/>
          <w:lang w:bidi="ar-SA"/>
        </w:rPr>
        <w:t>经</w:t>
      </w:r>
      <w:r>
        <w:rPr>
          <w:rStyle w:val="73"/>
          <w:rFonts w:hint="eastAsia" w:ascii="宋体" w:hAnsi="宋体" w:eastAsia="宋体" w:cs="宋体"/>
          <w:color w:val="auto"/>
          <w:sz w:val="22"/>
          <w:szCs w:val="22"/>
          <w:lang w:val="en-US" w:eastAsia="zh-CN" w:bidi="ar-SA"/>
        </w:rPr>
        <w:t>双方</w:t>
      </w:r>
      <w:r>
        <w:rPr>
          <w:rStyle w:val="73"/>
          <w:rFonts w:hint="eastAsia" w:ascii="宋体" w:hAnsi="宋体" w:eastAsia="宋体" w:cs="宋体"/>
          <w:color w:val="auto"/>
          <w:sz w:val="22"/>
          <w:szCs w:val="22"/>
          <w:lang w:bidi="ar-SA"/>
        </w:rPr>
        <w:t>协商一致后</w:t>
      </w:r>
      <w:r>
        <w:rPr>
          <w:rStyle w:val="73"/>
          <w:rFonts w:hint="eastAsia" w:ascii="宋体" w:hAnsi="宋体" w:eastAsia="宋体" w:cs="宋体"/>
          <w:color w:val="auto"/>
          <w:sz w:val="22"/>
          <w:szCs w:val="22"/>
          <w:lang w:eastAsia="zh-CN" w:bidi="ar-SA"/>
        </w:rPr>
        <w:t>，</w:t>
      </w:r>
      <w:r>
        <w:rPr>
          <w:rStyle w:val="73"/>
          <w:rFonts w:hint="eastAsia" w:ascii="宋体" w:hAnsi="宋体" w:eastAsia="宋体" w:cs="宋体"/>
          <w:color w:val="auto"/>
          <w:sz w:val="22"/>
          <w:szCs w:val="22"/>
          <w:lang w:bidi="ar-SA"/>
        </w:rPr>
        <w:t>可续签下一年</w:t>
      </w:r>
      <w:r>
        <w:rPr>
          <w:rStyle w:val="73"/>
          <w:rFonts w:hint="eastAsia" w:ascii="宋体" w:hAnsi="宋体" w:eastAsia="宋体" w:cs="宋体"/>
          <w:color w:val="auto"/>
          <w:sz w:val="22"/>
          <w:szCs w:val="22"/>
          <w:lang w:val="en-US" w:eastAsia="zh-CN" w:bidi="ar-SA"/>
        </w:rPr>
        <w:t>度合同。采购人对本条款具有决定权</w:t>
      </w:r>
      <w:r>
        <w:rPr>
          <w:rStyle w:val="73"/>
          <w:rFonts w:hint="eastAsia" w:ascii="宋体" w:hAnsi="宋体" w:eastAsia="宋体" w:cs="宋体"/>
          <w:color w:val="auto"/>
          <w:sz w:val="22"/>
          <w:szCs w:val="22"/>
          <w:lang w:bidi="ar-SA"/>
        </w:rPr>
        <w:t>。</w:t>
      </w:r>
    </w:p>
    <w:p>
      <w:pPr>
        <w:numPr>
          <w:ilvl w:val="0"/>
          <w:numId w:val="0"/>
        </w:numPr>
        <w:tabs>
          <w:tab w:val="left" w:pos="680"/>
          <w:tab w:val="left" w:pos="840"/>
        </w:tabs>
        <w:spacing w:line="360" w:lineRule="auto"/>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highlight w:val="none"/>
          <w:lang w:val="en-US" w:eastAsia="zh-CN"/>
        </w:rPr>
        <w:t>4. 各投标供应商于投标截止时间前自行前往现场进行踏勘，以获取本次投标所需的现场资料及数据，投标投标供应商若未到现场踏勘，引起的一切后果均由其自行负责，由此造成投标价的偏差均不予调整。</w:t>
      </w:r>
    </w:p>
    <w:p>
      <w:pPr>
        <w:numPr>
          <w:ilvl w:val="0"/>
          <w:numId w:val="0"/>
        </w:numPr>
        <w:tabs>
          <w:tab w:val="left" w:pos="680"/>
          <w:tab w:val="left" w:pos="840"/>
        </w:tabs>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highlight w:val="none"/>
          <w:lang w:val="en-US" w:eastAsia="zh-CN"/>
        </w:rPr>
        <w:t xml:space="preserve">5. </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本项目采购预算为人民币</w:t>
      </w:r>
      <w:r>
        <w:rPr>
          <w:rFonts w:hint="eastAsia" w:ascii="宋体" w:hAnsi="宋体" w:eastAsia="宋体" w:cs="宋体"/>
          <w:b/>
          <w:color w:val="auto"/>
          <w:sz w:val="22"/>
          <w:szCs w:val="22"/>
          <w:highlight w:val="none"/>
          <w:u w:val="single"/>
          <w:lang w:val="en-US" w:eastAsia="zh-CN"/>
        </w:rPr>
        <w:t>陆拾万</w:t>
      </w:r>
      <w:r>
        <w:rPr>
          <w:rFonts w:hint="eastAsia" w:ascii="宋体" w:hAnsi="宋体" w:eastAsia="宋体" w:cs="宋体"/>
          <w:b/>
          <w:color w:val="auto"/>
          <w:sz w:val="22"/>
          <w:szCs w:val="22"/>
          <w:highlight w:val="none"/>
          <w:u w:val="single"/>
        </w:rPr>
        <w:t>元整（￥</w:t>
      </w:r>
      <w:r>
        <w:rPr>
          <w:rFonts w:hint="eastAsia" w:ascii="宋体" w:hAnsi="宋体" w:eastAsia="宋体" w:cs="宋体"/>
          <w:b/>
          <w:color w:val="auto"/>
          <w:sz w:val="22"/>
          <w:szCs w:val="22"/>
          <w:highlight w:val="none"/>
          <w:u w:val="single"/>
          <w:lang w:val="en-US" w:eastAsia="zh-CN"/>
        </w:rPr>
        <w:t>600000</w:t>
      </w:r>
      <w:r>
        <w:rPr>
          <w:rFonts w:hint="eastAsia" w:ascii="宋体" w:hAnsi="宋体" w:eastAsia="宋体" w:cs="宋体"/>
          <w:b/>
          <w:color w:val="auto"/>
          <w:sz w:val="22"/>
          <w:szCs w:val="22"/>
          <w:highlight w:val="none"/>
          <w:u w:val="single"/>
        </w:rPr>
        <w:t>.00），</w:t>
      </w:r>
      <w:r>
        <w:rPr>
          <w:rFonts w:hint="eastAsia" w:ascii="宋体" w:hAnsi="宋体" w:eastAsia="宋体" w:cs="宋体"/>
          <w:b/>
          <w:color w:val="auto"/>
          <w:sz w:val="22"/>
          <w:szCs w:val="22"/>
          <w:highlight w:val="none"/>
          <w:u w:val="single"/>
          <w:lang w:val="en-US" w:eastAsia="zh-CN"/>
        </w:rPr>
        <w:t>投标</w:t>
      </w:r>
      <w:r>
        <w:rPr>
          <w:rFonts w:hint="eastAsia" w:ascii="宋体" w:hAnsi="宋体" w:eastAsia="宋体" w:cs="宋体"/>
          <w:b/>
          <w:color w:val="auto"/>
          <w:sz w:val="22"/>
          <w:szCs w:val="22"/>
          <w:u w:val="single"/>
        </w:rPr>
        <w:t>供应商报价不得超过</w:t>
      </w:r>
      <w:r>
        <w:rPr>
          <w:rFonts w:hint="eastAsia" w:ascii="宋体" w:hAnsi="宋体" w:eastAsia="宋体" w:cs="宋体"/>
          <w:b/>
          <w:color w:val="auto"/>
          <w:sz w:val="22"/>
          <w:szCs w:val="22"/>
          <w:u w:val="single"/>
          <w:lang w:val="en-US" w:eastAsia="zh-CN"/>
        </w:rPr>
        <w:t>采购</w:t>
      </w:r>
      <w:r>
        <w:rPr>
          <w:rFonts w:hint="eastAsia" w:ascii="宋体" w:hAnsi="宋体" w:eastAsia="宋体" w:cs="宋体"/>
          <w:b/>
          <w:color w:val="auto"/>
          <w:sz w:val="22"/>
          <w:szCs w:val="22"/>
          <w:u w:val="single"/>
        </w:rPr>
        <w:t>预算，否则作无效标处理</w:t>
      </w:r>
      <w:r>
        <w:rPr>
          <w:rFonts w:hint="eastAsia" w:ascii="宋体" w:hAnsi="宋体" w:eastAsia="宋体" w:cs="宋体"/>
          <w:b/>
          <w:color w:val="auto"/>
          <w:sz w:val="22"/>
          <w:szCs w:val="22"/>
        </w:rPr>
        <w:t>。</w:t>
      </w:r>
    </w:p>
    <w:p>
      <w:pPr>
        <w:spacing w:line="360" w:lineRule="auto"/>
        <w:jc w:val="lef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二、人员配置要求</w:t>
      </w:r>
    </w:p>
    <w:tbl>
      <w:tblPr>
        <w:tblStyle w:val="2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09" w:type="dxa"/>
            <w:noWrap w:val="0"/>
            <w:vAlign w:val="center"/>
          </w:tcPr>
          <w:p>
            <w:pPr>
              <w:spacing w:line="36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需求人员</w:t>
            </w:r>
          </w:p>
        </w:tc>
        <w:tc>
          <w:tcPr>
            <w:tcW w:w="993" w:type="dxa"/>
            <w:noWrap w:val="0"/>
            <w:vAlign w:val="center"/>
          </w:tcPr>
          <w:p>
            <w:pPr>
              <w:spacing w:line="36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人数</w:t>
            </w:r>
          </w:p>
        </w:tc>
        <w:tc>
          <w:tcPr>
            <w:tcW w:w="6673" w:type="dxa"/>
            <w:noWrap w:val="0"/>
            <w:vAlign w:val="center"/>
          </w:tcPr>
          <w:p>
            <w:pPr>
              <w:spacing w:line="36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09" w:type="dxa"/>
            <w:noWrap w:val="0"/>
            <w:vAlign w:val="center"/>
          </w:tcPr>
          <w:p>
            <w:pPr>
              <w:spacing w:line="3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保洁服务人员</w:t>
            </w:r>
          </w:p>
        </w:tc>
        <w:tc>
          <w:tcPr>
            <w:tcW w:w="993" w:type="dxa"/>
            <w:noWrap w:val="0"/>
            <w:vAlign w:val="center"/>
          </w:tcPr>
          <w:p>
            <w:pPr>
              <w:spacing w:line="360" w:lineRule="exact"/>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6673" w:type="dxa"/>
            <w:noWrap w:val="0"/>
            <w:vAlign w:val="center"/>
          </w:tcPr>
          <w:p>
            <w:pPr>
              <w:spacing w:line="360" w:lineRule="exact"/>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年龄55周岁以下，身高1.50米及以上，身体健康，无传染病及精神病史，体貌端正，仪容仪表良好,无违纪违规和犯罪记录。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809" w:type="dxa"/>
            <w:noWrap w:val="0"/>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保安人员</w:t>
            </w:r>
          </w:p>
        </w:tc>
        <w:tc>
          <w:tcPr>
            <w:tcW w:w="993" w:type="dxa"/>
            <w:noWrap w:val="0"/>
            <w:vAlign w:val="center"/>
          </w:tcPr>
          <w:p>
            <w:pPr>
              <w:spacing w:line="360" w:lineRule="exact"/>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6673" w:type="dxa"/>
            <w:noWrap w:val="0"/>
            <w:vAlign w:val="center"/>
          </w:tcPr>
          <w:p>
            <w:pPr>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年龄55周岁以下，身高1.60米及以上，身体健康，无传染病及精神病史，体貌端正，仪容仪表良好,无违纪违规和犯罪记录，且必须经过正规的保安培训，持有中华人民共和国保安员证。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09" w:type="dxa"/>
            <w:noWrap w:val="0"/>
            <w:vAlign w:val="center"/>
          </w:tcPr>
          <w:p>
            <w:pPr>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厨房服务人员</w:t>
            </w:r>
          </w:p>
        </w:tc>
        <w:tc>
          <w:tcPr>
            <w:tcW w:w="993" w:type="dxa"/>
            <w:noWrap w:val="0"/>
            <w:vAlign w:val="center"/>
          </w:tcPr>
          <w:p>
            <w:pPr>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6673" w:type="dxa"/>
            <w:noWrap w:val="0"/>
            <w:vAlign w:val="center"/>
          </w:tcPr>
          <w:p>
            <w:pPr>
              <w:spacing w:line="360" w:lineRule="exact"/>
              <w:jc w:val="left"/>
              <w:rPr>
                <w:rFonts w:hint="eastAsia" w:ascii="宋体" w:hAnsi="宋体" w:eastAsia="宋体" w:cs="宋体"/>
                <w:color w:val="auto"/>
              </w:rPr>
            </w:pPr>
            <w:r>
              <w:rPr>
                <w:rFonts w:hint="eastAsia" w:ascii="宋体" w:hAnsi="宋体" w:eastAsia="宋体" w:cs="宋体"/>
                <w:color w:val="auto"/>
                <w:sz w:val="22"/>
                <w:szCs w:val="22"/>
                <w:lang w:val="en-US" w:eastAsia="zh-CN"/>
              </w:rPr>
              <w:t>年龄55周岁以下，</w:t>
            </w:r>
            <w:r>
              <w:rPr>
                <w:rFonts w:hint="eastAsia" w:ascii="宋体" w:hAnsi="宋体" w:eastAsia="宋体" w:cs="宋体"/>
                <w:color w:val="auto"/>
                <w:lang w:val="en-US" w:eastAsia="zh-CN"/>
              </w:rPr>
              <w:t>具有厨师证，</w:t>
            </w:r>
            <w:r>
              <w:rPr>
                <w:rFonts w:hint="eastAsia" w:ascii="宋体" w:hAnsi="宋体" w:eastAsia="宋体" w:cs="宋体"/>
                <w:color w:val="auto"/>
              </w:rPr>
              <w:t>有经验</w:t>
            </w:r>
            <w:r>
              <w:rPr>
                <w:rFonts w:hint="eastAsia" w:ascii="宋体" w:hAnsi="宋体" w:eastAsia="宋体" w:cs="宋体"/>
                <w:color w:val="auto"/>
                <w:lang w:eastAsia="zh-CN"/>
              </w:rPr>
              <w:t>，</w:t>
            </w:r>
            <w:r>
              <w:rPr>
                <w:rFonts w:hint="eastAsia" w:ascii="宋体" w:hAnsi="宋体" w:eastAsia="宋体" w:cs="宋体"/>
                <w:color w:val="auto"/>
              </w:rPr>
              <w:t>能烧大锅菜</w:t>
            </w:r>
            <w:r>
              <w:rPr>
                <w:rFonts w:hint="eastAsia" w:ascii="宋体" w:hAnsi="宋体" w:eastAsia="宋体" w:cs="宋体"/>
                <w:color w:val="auto"/>
                <w:lang w:eastAsia="zh-CN"/>
              </w:rPr>
              <w:t>，</w:t>
            </w:r>
            <w:r>
              <w:rPr>
                <w:rFonts w:hint="eastAsia" w:ascii="宋体" w:hAnsi="宋体" w:eastAsia="宋体" w:cs="宋体"/>
                <w:color w:val="auto"/>
                <w:lang w:val="en-US" w:eastAsia="zh-CN"/>
              </w:rPr>
              <w:t>会</w:t>
            </w:r>
            <w:r>
              <w:rPr>
                <w:rFonts w:hint="eastAsia" w:ascii="宋体" w:hAnsi="宋体" w:eastAsia="宋体" w:cs="宋体"/>
                <w:color w:val="auto"/>
              </w:rPr>
              <w:t>烧温州菜。</w:t>
            </w:r>
            <w:r>
              <w:rPr>
                <w:rFonts w:hint="eastAsia" w:ascii="宋体" w:hAnsi="宋体" w:eastAsia="宋体" w:cs="宋体"/>
                <w:color w:val="auto"/>
                <w:sz w:val="22"/>
                <w:szCs w:val="22"/>
                <w:lang w:val="en-US" w:eastAsia="zh-CN"/>
              </w:rPr>
              <w:t>身体健康，无传染病及精神病史，体貌端正，仪容仪表良好,无违纪违规和犯罪记录。</w:t>
            </w:r>
          </w:p>
        </w:tc>
      </w:tr>
    </w:tbl>
    <w:p>
      <w:pPr>
        <w:pageBreakBefore w:val="0"/>
        <w:kinsoku/>
        <w:wordWrap/>
        <w:overflowPunct/>
        <w:topLinePunct w:val="0"/>
        <w:bidi w:val="0"/>
        <w:snapToGrid/>
        <w:spacing w:line="360" w:lineRule="auto"/>
        <w:jc w:val="left"/>
        <w:rPr>
          <w:rFonts w:hint="eastAsia" w:ascii="宋体" w:hAnsi="宋体" w:eastAsia="宋体" w:cs="宋体"/>
          <w:b/>
          <w:bCs/>
          <w:color w:val="auto"/>
          <w:sz w:val="22"/>
          <w:szCs w:val="22"/>
          <w:lang w:val="en-US" w:eastAsia="zh-CN"/>
        </w:rPr>
      </w:pPr>
    </w:p>
    <w:p>
      <w:pPr>
        <w:pageBreakBefore w:val="0"/>
        <w:kinsoku/>
        <w:wordWrap/>
        <w:overflowPunct/>
        <w:topLinePunct w:val="0"/>
        <w:bidi w:val="0"/>
        <w:snapToGrid/>
        <w:spacing w:line="360" w:lineRule="auto"/>
        <w:jc w:val="left"/>
        <w:rPr>
          <w:rFonts w:hint="eastAsia" w:ascii="宋体" w:hAnsi="宋体" w:eastAsia="宋体" w:cs="宋体"/>
          <w:b/>
          <w:color w:val="auto"/>
          <w:sz w:val="22"/>
          <w:szCs w:val="22"/>
          <w:lang w:val="en-US" w:eastAsia="zh-CN"/>
        </w:rPr>
      </w:pPr>
      <w:r>
        <w:rPr>
          <w:rFonts w:hint="eastAsia" w:ascii="宋体" w:hAnsi="宋体" w:eastAsia="宋体" w:cs="宋体"/>
          <w:b/>
          <w:bCs/>
          <w:color w:val="auto"/>
          <w:sz w:val="22"/>
          <w:szCs w:val="22"/>
          <w:lang w:val="en-US" w:eastAsia="zh-CN"/>
        </w:rPr>
        <w:t>三、服务要求</w:t>
      </w:r>
    </w:p>
    <w:p>
      <w:pPr>
        <w:pageBreakBefore w:val="0"/>
        <w:kinsoku/>
        <w:wordWrap/>
        <w:overflowPunct/>
        <w:topLinePunct w:val="0"/>
        <w:bidi w:val="0"/>
        <w:snapToGrid/>
        <w:spacing w:line="360" w:lineRule="auto"/>
        <w:jc w:val="left"/>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一</w:t>
      </w:r>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保洁人员服务要求</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工作岗位职责：</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办公室外的楼道、走道、会议室、洽谈室、值班室、卫生间、洗浴间、职工书吧、职工活动中心等公共场所的日常卫生保洁、垃圾整理收集和清运，保持整洁干净，确保随时使用;</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（2）会议室、重要外来人员接待的茶水服务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会议室水杯、水果器具清洁消毒工作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会场布置工作、装饰工作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会后及时清理，现场检查空调、灯光、水电、门窗关闭情况，确保消防安全。</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（3）值班室物品的定期清洗更换，会议室座椅套需定期清洗;</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（4）半年清洗一次窗户玻璃;</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（5）负责卫生间的清洁用品(如洗手液、卫生球等)的更换;</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（6）做好办公区公共部位消杀，定期灭除害虫;</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（7）完成业主交办的其他工作;</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服务要求：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rPr>
        <w:t>必须严格按照宾馆服务要求。</w:t>
      </w:r>
      <w:r>
        <w:rPr>
          <w:rFonts w:hint="eastAsia" w:ascii="宋体" w:hAnsi="宋体" w:eastAsia="宋体" w:cs="宋体"/>
          <w:color w:val="auto"/>
          <w:sz w:val="22"/>
          <w:szCs w:val="22"/>
          <w:highlight w:val="none"/>
        </w:rPr>
        <w:t>公共场所每天上班前打扫，并在正常工作时间内不间断保洁;保持墙面、天花板、门窗、踢脚线等部位的清洁，每天开窗通风，保持空气清新，搞好环境卫生;</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要保持卫生间卫生洁具、墙面、地面、玻璃上的清洁、无异味、地面无积水;</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垃圾桶需清倒1次/日，保持无杂物、无污痕、无尘挂;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公共部位及物业区域内道路整洁，无堆放杂物的现象;</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不锈钢材质部位日常保洁，另视污染程度使用护理剂;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完成业主交办的其他工作</w:t>
      </w:r>
      <w:r>
        <w:rPr>
          <w:rFonts w:hint="eastAsia" w:ascii="宋体" w:hAnsi="宋体" w:eastAsia="宋体" w:cs="宋体"/>
          <w:color w:val="auto"/>
          <w:sz w:val="22"/>
          <w:szCs w:val="22"/>
          <w:highlight w:val="none"/>
          <w:lang w:eastAsia="zh-CN"/>
        </w:rPr>
        <w:t>。</w:t>
      </w:r>
    </w:p>
    <w:p>
      <w:pPr>
        <w:pageBreakBefore w:val="0"/>
        <w:kinsoku/>
        <w:wordWrap/>
        <w:overflowPunct/>
        <w:topLinePunct w:val="0"/>
        <w:bidi w:val="0"/>
        <w:snapToGrid/>
        <w:spacing w:line="360" w:lineRule="auto"/>
        <w:jc w:val="left"/>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二</w:t>
      </w:r>
      <w:r>
        <w:rPr>
          <w:rFonts w:hint="eastAsia" w:ascii="宋体" w:hAnsi="宋体" w:eastAsia="宋体" w:cs="宋体"/>
          <w:b/>
          <w:color w:val="auto"/>
          <w:sz w:val="22"/>
          <w:szCs w:val="22"/>
          <w:lang w:eastAsia="zh-CN"/>
        </w:rPr>
        <w:t>）</w:t>
      </w:r>
      <w:r>
        <w:rPr>
          <w:rFonts w:hint="eastAsia" w:ascii="宋体" w:hAnsi="宋体" w:eastAsia="宋体" w:cs="宋体"/>
          <w:b/>
          <w:color w:val="auto"/>
          <w:sz w:val="22"/>
          <w:szCs w:val="22"/>
          <w:lang w:val="en-US" w:eastAsia="zh-CN"/>
        </w:rPr>
        <w:t>安保人员服务要求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lang w:eastAsia="zh-CN"/>
        </w:rPr>
      </w:pPr>
      <w:r>
        <w:rPr>
          <w:rFonts w:hint="eastAsia" w:ascii="宋体" w:hAnsi="宋体" w:eastAsia="宋体" w:cs="宋体"/>
          <w:b w:val="0"/>
          <w:bCs w:val="0"/>
          <w:color w:val="auto"/>
          <w:sz w:val="22"/>
          <w:szCs w:val="22"/>
          <w:highlight w:val="none"/>
          <w:lang w:val="en-US" w:eastAsia="zh-CN"/>
        </w:rPr>
        <w:t>1.工作岗位职责</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办公楼（区）传达、负责各科室报刊杂志、信件、快递的收发，保安、消控并认真落实，确保办公区安全和正常工作环境；</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严格验证、登记、杜绝闲杂人员进入办公楼（区），环境秩序良好；</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做好防盗、防火工作，保证监控设备的正常运行做到24小时有人值班，定期维护保养；</w:t>
      </w:r>
    </w:p>
    <w:p>
      <w:pPr>
        <w:pageBreakBefore w:val="0"/>
        <w:kinsoku/>
        <w:wordWrap/>
        <w:overflowPunct/>
        <w:topLinePunct w:val="0"/>
        <w:bidi w:val="0"/>
        <w:snapToGrid/>
        <w:spacing w:line="360" w:lineRule="auto"/>
        <w:ind w:firstLine="440"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做好安全防范和日常巡视工作，及时发现和处理各种安全和事故隐患，迅速有效处理突发事件。</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lang w:bidi="ar-SA"/>
        </w:rPr>
      </w:pPr>
      <w:r>
        <w:rPr>
          <w:rFonts w:hint="eastAsia" w:ascii="宋体" w:hAnsi="宋体" w:eastAsia="宋体" w:cs="宋体"/>
          <w:b w:val="0"/>
          <w:bCs w:val="0"/>
          <w:color w:val="auto"/>
          <w:sz w:val="22"/>
          <w:szCs w:val="22"/>
          <w:highlight w:val="none"/>
          <w:lang w:val="en-US" w:eastAsia="zh-CN"/>
        </w:rPr>
        <w:t>2.服务要求</w:t>
      </w:r>
    </w:p>
    <w:p>
      <w:pPr>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1）门岗管理：其中门卫室须24小时值班，不允许有脱岗现象门岗对外来人员及车辆实行登记，必要时检验有效证件，严禁易燃易爆等危险物品进入大楼，对来访人员要有善于处置能力保安人员有统一制服，严格按照岗位职责，文明执勤、言行规范。</w:t>
      </w:r>
    </w:p>
    <w:p>
      <w:pPr>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（2）消防管理：对大楼内消防栓、水带、灭火器进行定期检查消防通道保持畅通，消防器材完好在“禁止烟火”和控烟区域发现有吸烟和用火现象，要及时劝阻和阻制保安人员熟练掌握消防知识和操作要领。</w:t>
      </w:r>
    </w:p>
    <w:p>
      <w:pPr>
        <w:pageBreakBefore w:val="0"/>
        <w:kinsoku/>
        <w:wordWrap/>
        <w:overflowPunct/>
        <w:topLinePunct w:val="0"/>
        <w:bidi w:val="0"/>
        <w:snapToGrid/>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完成业主交办的其他工作</w:t>
      </w:r>
      <w:r>
        <w:rPr>
          <w:rFonts w:hint="eastAsia" w:ascii="宋体" w:hAnsi="宋体" w:eastAsia="宋体" w:cs="宋体"/>
          <w:color w:val="auto"/>
          <w:sz w:val="22"/>
          <w:szCs w:val="22"/>
          <w:highlight w:val="none"/>
          <w:lang w:eastAsia="zh-CN"/>
        </w:rPr>
        <w:t>。</w:t>
      </w:r>
    </w:p>
    <w:p>
      <w:pPr>
        <w:pageBreakBefore w:val="0"/>
        <w:kinsoku/>
        <w:wordWrap/>
        <w:overflowPunct/>
        <w:topLinePunct w:val="0"/>
        <w:bidi w:val="0"/>
        <w:snapToGrid/>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食堂服务要求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工作岗位职责：</w:t>
      </w:r>
    </w:p>
    <w:p>
      <w:pPr>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负责</w:t>
      </w:r>
      <w:r>
        <w:rPr>
          <w:rFonts w:hint="eastAsia" w:ascii="宋体" w:hAnsi="宋体" w:eastAsia="宋体" w:cs="宋体"/>
          <w:color w:val="auto"/>
          <w:sz w:val="22"/>
          <w:szCs w:val="22"/>
          <w:highlight w:val="none"/>
          <w:lang w:val="en-US" w:eastAsia="zh-CN"/>
        </w:rPr>
        <w:t>采购单位</w:t>
      </w:r>
      <w:r>
        <w:rPr>
          <w:rFonts w:hint="eastAsia" w:ascii="宋体" w:hAnsi="宋体" w:eastAsia="宋体" w:cs="宋体"/>
          <w:color w:val="auto"/>
          <w:sz w:val="22"/>
          <w:szCs w:val="22"/>
          <w:highlight w:val="none"/>
        </w:rPr>
        <w:t>食堂早、中餐就餐服务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就餐时间根据采购单位工作时间合理安排；</w:t>
      </w:r>
    </w:p>
    <w:p>
      <w:pPr>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食堂每日用餐所需菜谱的配制，食品及原材料、调料的清点验收、保管、存储、制作加工、配售、管理等所有食堂后勤服务工作（食堂日常的食品及原材料、调料</w:t>
      </w:r>
      <w:r>
        <w:rPr>
          <w:rFonts w:hint="eastAsia" w:ascii="宋体" w:hAnsi="宋体" w:eastAsia="宋体" w:cs="宋体"/>
          <w:color w:val="auto"/>
          <w:sz w:val="22"/>
          <w:szCs w:val="22"/>
          <w:lang w:val="en-US" w:eastAsia="zh-CN"/>
        </w:rPr>
        <w:t>可委托菜篮子配送中心负责配送，费用</w:t>
      </w:r>
      <w:r>
        <w:rPr>
          <w:rFonts w:hint="eastAsia" w:ascii="宋体" w:hAnsi="宋体" w:eastAsia="宋体" w:cs="宋体"/>
          <w:color w:val="auto"/>
          <w:sz w:val="22"/>
          <w:szCs w:val="22"/>
        </w:rPr>
        <w:t>由采购人负责）。</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严格遵守《食品</w:t>
      </w:r>
      <w:r>
        <w:rPr>
          <w:rFonts w:hint="eastAsia" w:ascii="宋体" w:hAnsi="宋体" w:eastAsia="宋体" w:cs="宋体"/>
          <w:color w:val="auto"/>
          <w:sz w:val="22"/>
          <w:szCs w:val="22"/>
          <w:highlight w:val="none"/>
          <w:lang w:val="en-US" w:eastAsia="zh-CN"/>
        </w:rPr>
        <w:t>安全</w:t>
      </w:r>
      <w:r>
        <w:rPr>
          <w:rFonts w:hint="eastAsia" w:ascii="宋体" w:hAnsi="宋体" w:eastAsia="宋体" w:cs="宋体"/>
          <w:color w:val="auto"/>
          <w:sz w:val="22"/>
          <w:szCs w:val="22"/>
          <w:highlight w:val="none"/>
        </w:rPr>
        <w:t>法》，并把相应责任落实到人，确保食堂卫生及饮食安全，杜绝食物中毒事件发生，否则后果由中标</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承担;</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负责厨房内物品、餐具以及各种设备的保管养护及使用工作，如水、电、气、切配菜、灶具使用等工作，确保不得发生安全事故;</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并组织好开餐及收尾等相应工作，维持就餐秩序等工作;</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做好厨房内部及餐厅相关卫生工作，须及时清理锅、灶、台、桌面、台凳、餐具、地面、墙面、冰箱(柜)等相应工作并按照要求做好消毒、杀菌等相应工作，每周定时清洁门窗、风扇、灯管及下水系统;</w:t>
      </w:r>
    </w:p>
    <w:p>
      <w:pPr>
        <w:pageBreakBefore w:val="0"/>
        <w:kinsoku/>
        <w:wordWrap/>
        <w:overflowPunct/>
        <w:topLinePunct w:val="0"/>
        <w:bidi w:val="0"/>
        <w:snapToGrid/>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（7）食堂所需食材采购可委托菜篮子配送中心负责(包括调味品、大米等)，费用结算直接与采购人发生关系，中标供应商负责食材质量和数量的监督。</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服务要求：</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相关服务人员须做好个人卫生及统一着装，不得出现随地吐痰、不按规定着帽(头发须放进帽子里)、严禁吸烟等相关卫生工作;</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不得浪费水、电、气、食材等，须严格管理，不得出现随意浪费等现象，业主随机抽查，如发现，将予以处罚。</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每日前一天联系业主确定就餐人数及就餐状况，并制定就餐计划报业主审核，保证菜肴品种及数量且保证水平及质量;</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生、熟食品加工及盛放，必须做到分开，熟食必须用专用器具盛放;</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食品清理时必须做到把腐烂部分去除清理干净，但不得铺张浪费，须确保食品安全，大米淘洗须剔除砂粒清理干净等，变质食材不得加工，并向业主汇报;</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做好调料辅材及肉食、蔬菜等保管工作，并爱护公共财物，做好用具、工具等保管工作;</w:t>
      </w:r>
    </w:p>
    <w:p>
      <w:pPr>
        <w:pageBreakBefore w:val="0"/>
        <w:kinsoku/>
        <w:wordWrap/>
        <w:overflowPunct/>
        <w:topLinePunct w:val="0"/>
        <w:bidi w:val="0"/>
        <w:snapToGrid/>
        <w:spacing w:line="360" w:lineRule="auto"/>
        <w:ind w:firstLine="220" w:firstLineChars="100"/>
        <w:rPr>
          <w:rFonts w:hint="eastAsia" w:ascii="宋体" w:hAnsi="宋体" w:eastAsia="宋体" w:cs="宋体"/>
          <w:color w:val="auto"/>
          <w:sz w:val="22"/>
          <w:lang w:eastAsia="zh-CN"/>
        </w:rPr>
      </w:pP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7</w:t>
      </w:r>
      <w:r>
        <w:rPr>
          <w:rFonts w:hint="eastAsia" w:ascii="宋体" w:hAnsi="宋体" w:eastAsia="宋体" w:cs="宋体"/>
          <w:color w:val="auto"/>
          <w:sz w:val="22"/>
          <w:lang w:eastAsia="zh-CN"/>
        </w:rPr>
        <w:t>）</w:t>
      </w:r>
      <w:r>
        <w:rPr>
          <w:rFonts w:hint="eastAsia" w:ascii="宋体" w:hAnsi="宋体" w:eastAsia="宋体" w:cs="宋体"/>
          <w:color w:val="auto"/>
          <w:sz w:val="22"/>
        </w:rPr>
        <w:t>日常使用用具、设备及就餐人员使用餐具等必须做好清理消毒工作</w:t>
      </w:r>
      <w:r>
        <w:rPr>
          <w:rFonts w:hint="eastAsia" w:ascii="宋体" w:hAnsi="宋体" w:eastAsia="宋体" w:cs="宋体"/>
          <w:color w:val="auto"/>
          <w:sz w:val="22"/>
          <w:lang w:eastAsia="zh-CN"/>
        </w:rPr>
        <w:t>。</w:t>
      </w:r>
    </w:p>
    <w:p>
      <w:pPr>
        <w:pageBreakBefore w:val="0"/>
        <w:kinsoku/>
        <w:wordWrap/>
        <w:overflowPunct/>
        <w:topLinePunct w:val="0"/>
        <w:bidi w:val="0"/>
        <w:snapToGrid/>
        <w:spacing w:line="360" w:lineRule="auto"/>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 xml:space="preserve"> 四、其他要求</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1.中标供应商提供物业管理服务所需设备、工具、易耗品均由采购人提供，</w:t>
      </w:r>
      <w:r>
        <w:rPr>
          <w:rFonts w:hint="eastAsia" w:ascii="宋体" w:hAnsi="宋体" w:eastAsia="宋体" w:cs="宋体"/>
          <w:color w:val="auto"/>
          <w:sz w:val="22"/>
        </w:rPr>
        <w:t>除正常使用折旧</w:t>
      </w:r>
      <w:r>
        <w:rPr>
          <w:rFonts w:hint="eastAsia" w:ascii="宋体" w:hAnsi="宋体" w:eastAsia="宋体" w:cs="宋体"/>
          <w:color w:val="auto"/>
          <w:sz w:val="22"/>
          <w:lang w:val="en-US" w:eastAsia="zh-CN"/>
        </w:rPr>
        <w:t>及损耗</w:t>
      </w:r>
      <w:r>
        <w:rPr>
          <w:rFonts w:hint="eastAsia" w:ascii="宋体" w:hAnsi="宋体" w:eastAsia="宋体" w:cs="宋体"/>
          <w:color w:val="auto"/>
          <w:sz w:val="22"/>
        </w:rPr>
        <w:t>外，</w:t>
      </w:r>
      <w:r>
        <w:rPr>
          <w:rFonts w:hint="eastAsia" w:ascii="宋体" w:hAnsi="宋体" w:eastAsia="宋体" w:cs="宋体"/>
          <w:color w:val="auto"/>
          <w:sz w:val="22"/>
          <w:lang w:val="en-US" w:eastAsia="zh-CN"/>
        </w:rPr>
        <w:t>中标供应商</w:t>
      </w:r>
      <w:r>
        <w:rPr>
          <w:rFonts w:hint="eastAsia" w:ascii="宋体" w:hAnsi="宋体" w:eastAsia="宋体" w:cs="宋体"/>
          <w:color w:val="auto"/>
          <w:sz w:val="22"/>
        </w:rPr>
        <w:t>保证各</w:t>
      </w:r>
      <w:r>
        <w:rPr>
          <w:rFonts w:hint="eastAsia" w:ascii="宋体" w:hAnsi="宋体" w:eastAsia="宋体" w:cs="宋体"/>
          <w:color w:val="auto"/>
          <w:sz w:val="22"/>
          <w:lang w:val="en-US" w:eastAsia="zh-CN"/>
        </w:rPr>
        <w:t>设备、工具</w:t>
      </w:r>
      <w:r>
        <w:rPr>
          <w:rFonts w:hint="eastAsia" w:ascii="宋体" w:hAnsi="宋体" w:eastAsia="宋体" w:cs="宋体"/>
          <w:color w:val="auto"/>
          <w:sz w:val="22"/>
        </w:rPr>
        <w:t>的完好性。承包期间，</w:t>
      </w:r>
      <w:r>
        <w:rPr>
          <w:rFonts w:hint="eastAsia" w:ascii="宋体" w:hAnsi="宋体" w:eastAsia="宋体" w:cs="宋体"/>
          <w:color w:val="auto"/>
          <w:sz w:val="22"/>
          <w:lang w:val="en-US" w:eastAsia="zh-CN"/>
        </w:rPr>
        <w:t>如因中标供应商工作人员</w:t>
      </w:r>
      <w:r>
        <w:rPr>
          <w:rFonts w:hint="eastAsia" w:ascii="宋体" w:hAnsi="宋体" w:eastAsia="宋体" w:cs="宋体"/>
          <w:color w:val="auto"/>
          <w:sz w:val="22"/>
        </w:rPr>
        <w:t>违反操作规程，故意损坏公共财物设备、工具造成经济损失的</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均由中标供应商负责原价赔偿。</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lang w:val="en-US" w:eastAsia="zh-CN"/>
        </w:rPr>
        <w:t>2.中标供应商</w:t>
      </w:r>
      <w:r>
        <w:rPr>
          <w:rFonts w:hint="eastAsia" w:ascii="宋体" w:hAnsi="宋体" w:eastAsia="宋体" w:cs="宋体"/>
          <w:color w:val="auto"/>
          <w:sz w:val="22"/>
        </w:rPr>
        <w:t>要对指派到</w:t>
      </w:r>
      <w:r>
        <w:rPr>
          <w:rFonts w:hint="eastAsia" w:ascii="宋体" w:hAnsi="宋体" w:eastAsia="宋体" w:cs="宋体"/>
          <w:color w:val="auto"/>
          <w:sz w:val="22"/>
          <w:lang w:val="en-US" w:eastAsia="zh-CN"/>
        </w:rPr>
        <w:t>采购单位</w:t>
      </w:r>
      <w:r>
        <w:rPr>
          <w:rFonts w:hint="eastAsia" w:ascii="宋体" w:hAnsi="宋体" w:eastAsia="宋体" w:cs="宋体"/>
          <w:color w:val="auto"/>
          <w:sz w:val="22"/>
        </w:rPr>
        <w:t>工作的人员加强管理，以及相关知识的学习、培训。</w:t>
      </w:r>
      <w:r>
        <w:rPr>
          <w:rFonts w:hint="eastAsia" w:ascii="宋体" w:hAnsi="宋体" w:eastAsia="宋体" w:cs="宋体"/>
          <w:color w:val="auto"/>
          <w:sz w:val="22"/>
          <w:lang w:val="en-US" w:eastAsia="zh-CN"/>
        </w:rPr>
        <w:t>中标供应商</w:t>
      </w:r>
      <w:r>
        <w:rPr>
          <w:rFonts w:hint="eastAsia" w:ascii="宋体" w:hAnsi="宋体" w:eastAsia="宋体" w:cs="宋体"/>
          <w:color w:val="auto"/>
          <w:sz w:val="22"/>
        </w:rPr>
        <w:t>指派到</w:t>
      </w:r>
      <w:r>
        <w:rPr>
          <w:rFonts w:hint="eastAsia" w:ascii="宋体" w:hAnsi="宋体" w:eastAsia="宋体" w:cs="宋体"/>
          <w:color w:val="auto"/>
          <w:sz w:val="22"/>
          <w:lang w:val="en-US" w:eastAsia="zh-CN"/>
        </w:rPr>
        <w:t>采购单位</w:t>
      </w:r>
      <w:r>
        <w:rPr>
          <w:rFonts w:hint="eastAsia" w:ascii="宋体" w:hAnsi="宋体" w:eastAsia="宋体" w:cs="宋体"/>
          <w:color w:val="auto"/>
          <w:sz w:val="22"/>
        </w:rPr>
        <w:t>工作的人员，在工作期间，如发生意外事故，根据实际情况，认定各方（包括被指派人员）责任后，按国家法律或法规，以及</w:t>
      </w:r>
      <w:r>
        <w:rPr>
          <w:rFonts w:hint="eastAsia" w:ascii="宋体" w:hAnsi="宋体" w:eastAsia="宋体" w:cs="宋体"/>
          <w:color w:val="auto"/>
          <w:sz w:val="22"/>
          <w:lang w:val="en-US" w:eastAsia="zh-CN"/>
        </w:rPr>
        <w:t>采购单位</w:t>
      </w:r>
      <w:r>
        <w:rPr>
          <w:rFonts w:hint="eastAsia" w:ascii="宋体" w:hAnsi="宋体" w:eastAsia="宋体" w:cs="宋体"/>
          <w:color w:val="auto"/>
          <w:sz w:val="22"/>
        </w:rPr>
        <w:t>有关规定给予处理。</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lang w:val="en-US" w:eastAsia="zh-CN"/>
        </w:rPr>
        <w:t>3.</w:t>
      </w:r>
      <w:r>
        <w:rPr>
          <w:rFonts w:hint="eastAsia" w:ascii="宋体" w:hAnsi="宋体" w:eastAsia="宋体" w:cs="宋体"/>
          <w:color w:val="auto"/>
          <w:sz w:val="22"/>
        </w:rPr>
        <w:t>中标供应商</w:t>
      </w:r>
      <w:r>
        <w:rPr>
          <w:rFonts w:hint="eastAsia" w:ascii="宋体" w:hAnsi="宋体" w:eastAsia="宋体" w:cs="宋体"/>
          <w:color w:val="auto"/>
          <w:sz w:val="22"/>
          <w:lang w:val="en-US" w:eastAsia="zh-CN"/>
        </w:rPr>
        <w:t>工作</w:t>
      </w:r>
      <w:r>
        <w:rPr>
          <w:rFonts w:hint="eastAsia" w:ascii="宋体" w:hAnsi="宋体" w:eastAsia="宋体" w:cs="宋体"/>
          <w:color w:val="auto"/>
          <w:sz w:val="22"/>
        </w:rPr>
        <w:t>人员服务期间的用餐与</w:t>
      </w:r>
      <w:r>
        <w:rPr>
          <w:rFonts w:hint="eastAsia" w:ascii="宋体" w:hAnsi="宋体" w:eastAsia="宋体" w:cs="宋体"/>
          <w:color w:val="auto"/>
          <w:sz w:val="22"/>
          <w:lang w:val="en-US" w:eastAsia="zh-CN"/>
        </w:rPr>
        <w:t>采购单位</w:t>
      </w:r>
      <w:r>
        <w:rPr>
          <w:rFonts w:hint="eastAsia" w:ascii="宋体" w:hAnsi="宋体" w:eastAsia="宋体" w:cs="宋体"/>
          <w:color w:val="auto"/>
          <w:sz w:val="22"/>
        </w:rPr>
        <w:t>工作人员统一，</w:t>
      </w:r>
      <w:r>
        <w:rPr>
          <w:rFonts w:hint="eastAsia" w:ascii="宋体" w:hAnsi="宋体" w:eastAsia="宋体" w:cs="宋体"/>
          <w:color w:val="auto"/>
          <w:sz w:val="22"/>
          <w:lang w:val="en-US" w:eastAsia="zh-CN"/>
        </w:rPr>
        <w:t>相关</w:t>
      </w:r>
      <w:r>
        <w:rPr>
          <w:rFonts w:hint="eastAsia" w:ascii="宋体" w:hAnsi="宋体" w:eastAsia="宋体" w:cs="宋体"/>
          <w:color w:val="auto"/>
          <w:sz w:val="22"/>
        </w:rPr>
        <w:t>费用由</w:t>
      </w:r>
      <w:r>
        <w:rPr>
          <w:rFonts w:hint="eastAsia" w:ascii="宋体" w:hAnsi="宋体" w:eastAsia="宋体" w:cs="宋体"/>
          <w:color w:val="auto"/>
          <w:sz w:val="22"/>
          <w:lang w:val="en-US" w:eastAsia="zh-CN"/>
        </w:rPr>
        <w:t>采购单位</w:t>
      </w:r>
      <w:r>
        <w:rPr>
          <w:rFonts w:hint="eastAsia" w:ascii="宋体" w:hAnsi="宋体" w:eastAsia="宋体" w:cs="宋体"/>
          <w:color w:val="auto"/>
          <w:sz w:val="22"/>
        </w:rPr>
        <w:t>负责。</w:t>
      </w:r>
    </w:p>
    <w:p>
      <w:pPr>
        <w:pageBreakBefore w:val="0"/>
        <w:kinsoku/>
        <w:wordWrap/>
        <w:overflowPunct/>
        <w:topLinePunct w:val="0"/>
        <w:bidi w:val="0"/>
        <w:snapToGrid/>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lang w:val="en-US" w:eastAsia="zh-CN"/>
        </w:rPr>
        <w:t>4.采购单位</w:t>
      </w:r>
      <w:r>
        <w:rPr>
          <w:rFonts w:hint="eastAsia" w:ascii="宋体" w:hAnsi="宋体" w:eastAsia="宋体" w:cs="宋体"/>
          <w:color w:val="auto"/>
          <w:sz w:val="22"/>
        </w:rPr>
        <w:t>根据中标供应商的服务质量提出整改意见，中标供应商接到书面通知后，须及时完成整改任务。</w:t>
      </w:r>
    </w:p>
    <w:p>
      <w:pPr>
        <w:pageBreakBefore w:val="0"/>
        <w:numPr>
          <w:ilvl w:val="0"/>
          <w:numId w:val="0"/>
        </w:numPr>
        <w:tabs>
          <w:tab w:val="left" w:pos="0"/>
        </w:tabs>
        <w:kinsoku/>
        <w:wordWrap/>
        <w:overflowPunct/>
        <w:topLinePunct w:val="0"/>
        <w:bidi w:val="0"/>
        <w:snapToGrid/>
        <w:spacing w:line="360" w:lineRule="auto"/>
        <w:ind w:firstLine="442" w:firstLineChars="200"/>
        <w:rPr>
          <w:rFonts w:hint="eastAsia" w:ascii="宋体" w:hAnsi="宋体" w:eastAsia="宋体" w:cs="宋体"/>
          <w:b/>
          <w:bCs/>
          <w:color w:val="auto"/>
          <w:sz w:val="22"/>
          <w:szCs w:val="22"/>
          <w:highlight w:val="none"/>
          <w:u w:val="single"/>
          <w:lang w:bidi="ar-SA"/>
        </w:rPr>
      </w:pPr>
      <w:r>
        <w:rPr>
          <w:rFonts w:hint="eastAsia" w:ascii="宋体" w:hAnsi="宋体" w:eastAsia="宋体" w:cs="宋体"/>
          <w:b/>
          <w:bCs/>
          <w:color w:val="auto"/>
          <w:sz w:val="22"/>
          <w:szCs w:val="22"/>
          <w:highlight w:val="none"/>
          <w:u w:val="none"/>
          <w:lang w:val="en-US" w:eastAsia="zh-CN" w:bidi="ar-SA"/>
        </w:rPr>
        <w:t>5.</w:t>
      </w:r>
      <w:r>
        <w:rPr>
          <w:rFonts w:hint="eastAsia" w:ascii="宋体" w:hAnsi="宋体" w:eastAsia="宋体" w:cs="宋体"/>
          <w:b/>
          <w:bCs/>
          <w:color w:val="auto"/>
          <w:sz w:val="22"/>
          <w:szCs w:val="22"/>
          <w:highlight w:val="none"/>
          <w:u w:val="single"/>
          <w:lang w:bidi="ar-SA"/>
        </w:rPr>
        <w:t>▲</w:t>
      </w:r>
      <w:r>
        <w:rPr>
          <w:rFonts w:hint="eastAsia" w:ascii="宋体" w:hAnsi="宋体" w:eastAsia="宋体" w:cs="宋体"/>
          <w:b/>
          <w:bCs/>
          <w:color w:val="auto"/>
          <w:sz w:val="22"/>
          <w:szCs w:val="22"/>
          <w:highlight w:val="none"/>
          <w:u w:val="single"/>
          <w:lang w:val="en-US" w:eastAsia="zh-CN" w:bidi="ar-SA"/>
        </w:rPr>
        <w:t>本项目</w:t>
      </w:r>
      <w:r>
        <w:rPr>
          <w:rFonts w:hint="eastAsia" w:ascii="宋体" w:hAnsi="宋体" w:eastAsia="宋体" w:cs="宋体"/>
          <w:b/>
          <w:bCs/>
          <w:color w:val="auto"/>
          <w:sz w:val="22"/>
          <w:szCs w:val="22"/>
          <w:highlight w:val="none"/>
          <w:u w:val="single"/>
          <w:lang w:bidi="ar-SA"/>
        </w:rPr>
        <w:t>聘用人员的养老保险、工伤保险、失业保险、医疗保险、门诊统筹等社会保险必须</w:t>
      </w:r>
      <w:r>
        <w:rPr>
          <w:rFonts w:hint="eastAsia" w:ascii="宋体" w:hAnsi="宋体" w:eastAsia="宋体" w:cs="宋体"/>
          <w:b/>
          <w:bCs/>
          <w:color w:val="auto"/>
          <w:sz w:val="22"/>
          <w:szCs w:val="22"/>
          <w:highlight w:val="none"/>
          <w:u w:val="single"/>
          <w:lang w:val="en-US" w:eastAsia="zh-CN" w:bidi="ar-SA"/>
        </w:rPr>
        <w:t>不低于国家相关</w:t>
      </w:r>
      <w:r>
        <w:rPr>
          <w:rFonts w:hint="eastAsia" w:ascii="宋体" w:hAnsi="宋体" w:eastAsia="宋体" w:cs="宋体"/>
          <w:b/>
          <w:bCs/>
          <w:color w:val="auto"/>
          <w:sz w:val="22"/>
          <w:szCs w:val="22"/>
          <w:highlight w:val="none"/>
          <w:u w:val="single"/>
          <w:lang w:bidi="ar-SA"/>
        </w:rPr>
        <w:t>标准</w:t>
      </w:r>
      <w:r>
        <w:rPr>
          <w:rFonts w:hint="eastAsia" w:ascii="宋体" w:hAnsi="宋体" w:eastAsia="宋体" w:cs="宋体"/>
          <w:b/>
          <w:bCs/>
          <w:color w:val="auto"/>
          <w:sz w:val="22"/>
          <w:szCs w:val="22"/>
          <w:highlight w:val="none"/>
          <w:u w:val="single"/>
          <w:lang w:val="en-US" w:eastAsia="zh-CN" w:bidi="ar-SA"/>
        </w:rPr>
        <w:t>缴纳</w:t>
      </w:r>
      <w:r>
        <w:rPr>
          <w:rFonts w:hint="eastAsia" w:ascii="宋体" w:hAnsi="宋体" w:eastAsia="宋体" w:cs="宋体"/>
          <w:b/>
          <w:bCs/>
          <w:color w:val="auto"/>
          <w:sz w:val="22"/>
          <w:szCs w:val="22"/>
          <w:highlight w:val="none"/>
          <w:u w:val="single"/>
          <w:lang w:bidi="ar-SA"/>
        </w:rPr>
        <w:t>，由</w:t>
      </w:r>
      <w:r>
        <w:rPr>
          <w:rFonts w:hint="eastAsia" w:ascii="宋体" w:hAnsi="宋体" w:eastAsia="宋体" w:cs="宋体"/>
          <w:b/>
          <w:bCs/>
          <w:color w:val="auto"/>
          <w:sz w:val="22"/>
          <w:szCs w:val="22"/>
          <w:highlight w:val="none"/>
          <w:u w:val="single"/>
          <w:lang w:eastAsia="zh-CN" w:bidi="ar-SA"/>
        </w:rPr>
        <w:t>中标供应商</w:t>
      </w:r>
      <w:r>
        <w:rPr>
          <w:rFonts w:hint="eastAsia" w:ascii="宋体" w:hAnsi="宋体" w:eastAsia="宋体" w:cs="宋体"/>
          <w:b/>
          <w:bCs/>
          <w:color w:val="auto"/>
          <w:sz w:val="22"/>
          <w:szCs w:val="22"/>
          <w:highlight w:val="none"/>
          <w:u w:val="single"/>
          <w:lang w:bidi="ar-SA"/>
        </w:rPr>
        <w:t>全额承担，与采购</w:t>
      </w:r>
      <w:r>
        <w:rPr>
          <w:rFonts w:hint="eastAsia" w:ascii="宋体" w:hAnsi="宋体" w:eastAsia="宋体" w:cs="宋体"/>
          <w:b/>
          <w:bCs/>
          <w:color w:val="auto"/>
          <w:sz w:val="22"/>
          <w:szCs w:val="22"/>
          <w:highlight w:val="none"/>
          <w:u w:val="single"/>
          <w:lang w:val="en-US" w:eastAsia="zh-CN" w:bidi="ar-SA"/>
        </w:rPr>
        <w:t>人</w:t>
      </w:r>
      <w:r>
        <w:rPr>
          <w:rFonts w:hint="eastAsia" w:ascii="宋体" w:hAnsi="宋体" w:eastAsia="宋体" w:cs="宋体"/>
          <w:b/>
          <w:bCs/>
          <w:color w:val="auto"/>
          <w:sz w:val="22"/>
          <w:szCs w:val="22"/>
          <w:highlight w:val="none"/>
          <w:u w:val="single"/>
          <w:lang w:bidi="ar-SA"/>
        </w:rPr>
        <w:t>无经济</w:t>
      </w:r>
      <w:r>
        <w:rPr>
          <w:rFonts w:hint="eastAsia" w:ascii="宋体" w:hAnsi="宋体" w:eastAsia="宋体" w:cs="宋体"/>
          <w:b/>
          <w:bCs/>
          <w:color w:val="auto"/>
          <w:sz w:val="22"/>
          <w:szCs w:val="22"/>
          <w:highlight w:val="none"/>
          <w:u w:val="single"/>
          <w:lang w:val="en-US" w:eastAsia="zh-CN" w:bidi="ar-SA"/>
        </w:rPr>
        <w:t>关系</w:t>
      </w:r>
      <w:r>
        <w:rPr>
          <w:rFonts w:hint="eastAsia" w:ascii="宋体" w:hAnsi="宋体" w:eastAsia="宋体" w:cs="宋体"/>
          <w:b/>
          <w:bCs/>
          <w:color w:val="auto"/>
          <w:sz w:val="22"/>
          <w:szCs w:val="22"/>
          <w:highlight w:val="none"/>
          <w:u w:val="single"/>
          <w:lang w:bidi="ar-SA"/>
        </w:rPr>
        <w:t>。</w:t>
      </w:r>
    </w:p>
    <w:p>
      <w:pPr>
        <w:pageBreakBefore w:val="0"/>
        <w:numPr>
          <w:ilvl w:val="0"/>
          <w:numId w:val="0"/>
        </w:numPr>
        <w:tabs>
          <w:tab w:val="left" w:pos="0"/>
        </w:tabs>
        <w:kinsoku/>
        <w:wordWrap/>
        <w:overflowPunct/>
        <w:topLinePunct w:val="0"/>
        <w:bidi w:val="0"/>
        <w:snapToGrid/>
        <w:spacing w:line="360" w:lineRule="auto"/>
        <w:ind w:firstLine="442" w:firstLineChars="200"/>
        <w:rPr>
          <w:rFonts w:hint="eastAsia" w:ascii="宋体" w:hAnsi="宋体" w:eastAsia="宋体" w:cs="宋体"/>
          <w:b/>
          <w:bCs/>
          <w:highlight w:val="none"/>
        </w:rPr>
      </w:pPr>
      <w:r>
        <w:rPr>
          <w:rFonts w:hint="eastAsia" w:ascii="宋体" w:hAnsi="宋体" w:eastAsia="宋体" w:cs="宋体"/>
          <w:b/>
          <w:bCs/>
          <w:color w:val="auto"/>
          <w:sz w:val="22"/>
          <w:szCs w:val="22"/>
          <w:highlight w:val="none"/>
          <w:u w:val="none"/>
          <w:lang w:val="en-US" w:eastAsia="zh-CN" w:bidi="ar-SA"/>
        </w:rPr>
        <w:t>6.</w:t>
      </w:r>
      <w:r>
        <w:rPr>
          <w:rFonts w:hint="eastAsia" w:ascii="宋体" w:hAnsi="宋体" w:eastAsia="宋体" w:cs="宋体"/>
          <w:b/>
          <w:bCs/>
          <w:color w:val="auto"/>
          <w:sz w:val="22"/>
          <w:szCs w:val="22"/>
          <w:highlight w:val="none"/>
          <w:u w:val="single"/>
          <w:lang w:bidi="ar-SA"/>
        </w:rPr>
        <w:t>▲</w:t>
      </w:r>
      <w:r>
        <w:rPr>
          <w:rFonts w:hint="eastAsia" w:ascii="宋体" w:hAnsi="宋体" w:eastAsia="宋体" w:cs="宋体"/>
          <w:b/>
          <w:bCs/>
          <w:color w:val="auto"/>
          <w:sz w:val="22"/>
          <w:szCs w:val="22"/>
          <w:highlight w:val="none"/>
          <w:u w:val="single"/>
          <w:lang w:val="en-US" w:eastAsia="zh-CN" w:bidi="ar-SA"/>
        </w:rPr>
        <w:t>中标供应商向本项目</w:t>
      </w:r>
      <w:r>
        <w:rPr>
          <w:rFonts w:hint="eastAsia" w:ascii="宋体" w:hAnsi="宋体" w:eastAsia="宋体" w:cs="宋体"/>
          <w:b/>
          <w:bCs/>
          <w:color w:val="auto"/>
          <w:sz w:val="22"/>
          <w:szCs w:val="22"/>
          <w:highlight w:val="none"/>
          <w:u w:val="single"/>
          <w:lang w:bidi="ar-SA"/>
        </w:rPr>
        <w:t>聘用人员</w:t>
      </w:r>
      <w:r>
        <w:rPr>
          <w:rFonts w:hint="eastAsia" w:ascii="宋体" w:hAnsi="宋体" w:eastAsia="宋体" w:cs="宋体"/>
          <w:b/>
          <w:bCs/>
          <w:color w:val="auto"/>
          <w:sz w:val="22"/>
          <w:szCs w:val="22"/>
          <w:highlight w:val="none"/>
          <w:u w:val="single"/>
          <w:lang w:val="en-US" w:eastAsia="zh-CN" w:bidi="ar-SA"/>
        </w:rPr>
        <w:t>支付的</w:t>
      </w:r>
      <w:r>
        <w:rPr>
          <w:rFonts w:hint="eastAsia" w:ascii="宋体" w:hAnsi="宋体" w:eastAsia="宋体" w:cs="宋体"/>
          <w:b/>
          <w:bCs/>
          <w:color w:val="auto"/>
          <w:sz w:val="22"/>
          <w:szCs w:val="22"/>
          <w:highlight w:val="none"/>
          <w:u w:val="single"/>
          <w:lang w:bidi="ar-SA"/>
        </w:rPr>
        <w:t>基本工资最低不得低于温州市市区本年度最低工资标准</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如</w:t>
      </w:r>
      <w:r>
        <w:rPr>
          <w:rFonts w:hint="eastAsia" w:ascii="宋体" w:hAnsi="宋体" w:eastAsia="宋体" w:cs="宋体"/>
          <w:b/>
          <w:bCs/>
          <w:color w:val="auto"/>
          <w:sz w:val="22"/>
          <w:szCs w:val="22"/>
          <w:highlight w:val="none"/>
          <w:u w:val="single"/>
          <w:lang w:bidi="ar-SA"/>
        </w:rPr>
        <w:t>第二年续签</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val="en-US" w:eastAsia="zh-CN" w:bidi="ar-SA"/>
        </w:rPr>
        <w:t>则</w:t>
      </w:r>
      <w:r>
        <w:rPr>
          <w:rFonts w:hint="eastAsia" w:ascii="宋体" w:hAnsi="宋体" w:eastAsia="宋体" w:cs="宋体"/>
          <w:b/>
          <w:bCs/>
          <w:color w:val="auto"/>
          <w:sz w:val="22"/>
          <w:szCs w:val="22"/>
          <w:highlight w:val="none"/>
          <w:u w:val="single"/>
          <w:lang w:bidi="ar-SA"/>
        </w:rPr>
        <w:t>根据最新的市区最低月工资标准进行调整</w:t>
      </w:r>
      <w:r>
        <w:rPr>
          <w:rFonts w:hint="eastAsia" w:ascii="宋体" w:hAnsi="宋体" w:eastAsia="宋体" w:cs="宋体"/>
          <w:b/>
          <w:bCs/>
          <w:color w:val="auto"/>
          <w:sz w:val="22"/>
          <w:szCs w:val="22"/>
          <w:highlight w:val="none"/>
          <w:u w:val="single"/>
          <w:lang w:eastAsia="zh-CN" w:bidi="ar-SA"/>
        </w:rPr>
        <w:t>。</w:t>
      </w:r>
      <w:r>
        <w:rPr>
          <w:rFonts w:hint="eastAsia" w:ascii="宋体" w:hAnsi="宋体" w:eastAsia="宋体" w:cs="宋体"/>
          <w:b/>
          <w:bCs/>
          <w:color w:val="auto"/>
          <w:sz w:val="22"/>
          <w:szCs w:val="22"/>
          <w:highlight w:val="none"/>
          <w:u w:val="single"/>
          <w:lang w:bidi="ar-SA"/>
        </w:rPr>
        <w:t>（最低工资不包括下列四项收入：延长工作时间的工资；中班、夜班、高温、低温、有毒有害等特殊工作环境、条件下的津贴；贴补伙食、住房等支付给劳动者的非货币性收入；法律、法规和国家规定的劳动者应当享受的福利待遇等）</w:t>
      </w:r>
      <w:r>
        <w:rPr>
          <w:rFonts w:hint="eastAsia" w:ascii="宋体" w:hAnsi="宋体" w:eastAsia="宋体" w:cs="宋体"/>
          <w:b/>
          <w:bCs/>
          <w:color w:val="auto"/>
          <w:sz w:val="22"/>
          <w:szCs w:val="22"/>
          <w:highlight w:val="none"/>
          <w:u w:val="single"/>
          <w:lang w:eastAsia="zh-CN" w:bidi="ar-SA"/>
        </w:rPr>
        <w:t>。</w:t>
      </w:r>
    </w:p>
    <w:bookmarkEnd w:id="205"/>
    <w:bookmarkEnd w:id="206"/>
    <w:bookmarkEnd w:id="207"/>
    <w:bookmarkEnd w:id="208"/>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0"/>
      <w:bookmarkEnd w:id="201"/>
      <w:bookmarkEnd w:id="202"/>
      <w:bookmarkEnd w:id="209"/>
      <w:bookmarkEnd w:id="210"/>
      <w:bookmarkEnd w:id="211"/>
      <w:bookmarkEnd w:id="212"/>
      <w:bookmarkEnd w:id="213"/>
      <w:bookmarkEnd w:id="214"/>
      <w:bookmarkEnd w:id="215"/>
      <w:bookmarkEnd w:id="216"/>
      <w:bookmarkEnd w:id="217"/>
      <w:bookmarkEnd w:id="218"/>
      <w:bookmarkEnd w:id="219"/>
      <w:bookmarkEnd w:id="220"/>
      <w:bookmarkEnd w:id="221"/>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w:t>
      </w:r>
      <w:r>
        <w:rPr>
          <w:rFonts w:hint="eastAsia" w:ascii="宋体" w:hAnsi="宋体" w:eastAsia="宋体" w:cs="宋体"/>
          <w:sz w:val="22"/>
          <w:szCs w:val="24"/>
          <w:highlight w:val="none"/>
          <w:lang w:val="en-US" w:eastAsia="zh-CN"/>
        </w:rPr>
        <w:t>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20</w:t>
      </w:r>
      <w:r>
        <w:rPr>
          <w:rFonts w:hint="eastAsia" w:ascii="宋体" w:hAnsi="宋体" w:eastAsia="宋体" w:cs="宋体"/>
          <w:sz w:val="22"/>
          <w:szCs w:val="24"/>
          <w:highlight w:val="none"/>
        </w:rPr>
        <w:t>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1、技术资信评审分值（8</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9027" w:type="dxa"/>
        <w:jc w:val="center"/>
        <w:tblLayout w:type="fixed"/>
        <w:tblCellMar>
          <w:top w:w="0" w:type="dxa"/>
          <w:left w:w="108" w:type="dxa"/>
          <w:bottom w:w="0" w:type="dxa"/>
          <w:right w:w="108" w:type="dxa"/>
        </w:tblCellMar>
      </w:tblPr>
      <w:tblGrid>
        <w:gridCol w:w="462"/>
        <w:gridCol w:w="625"/>
        <w:gridCol w:w="1575"/>
        <w:gridCol w:w="713"/>
        <w:gridCol w:w="5652"/>
      </w:tblGrid>
      <w:tr>
        <w:tblPrEx>
          <w:tblCellMar>
            <w:top w:w="0" w:type="dxa"/>
            <w:left w:w="108" w:type="dxa"/>
            <w:bottom w:w="0" w:type="dxa"/>
            <w:right w:w="108" w:type="dxa"/>
          </w:tblCellMar>
        </w:tblPrEx>
        <w:trPr>
          <w:trHeight w:val="23" w:hRule="atLeast"/>
          <w:jc w:val="center"/>
        </w:trPr>
        <w:tc>
          <w:tcPr>
            <w:tcW w:w="462"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200" w:type="dxa"/>
            <w:gridSpan w:val="2"/>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713"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652" w:type="dxa"/>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投标人综合实力</w:t>
            </w: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投标人认证情况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1）通过质量管理体系认证，并获得有效证书得</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2）通过环境体系认证，并获得有效证书得</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3）通过职业健康安全体系认证，并获得有效证书得</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通过政府主管部门服务业标准化创建，并获得有效证书的得</w:t>
            </w:r>
            <w:r>
              <w:rPr>
                <w:rFonts w:hint="eastAsia" w:ascii="宋体" w:hAnsi="宋体" w:eastAsia="宋体" w:cs="宋体"/>
                <w:color w:val="auto"/>
                <w:kern w:val="0"/>
                <w:sz w:val="18"/>
                <w:szCs w:val="18"/>
                <w:highlight w:val="none"/>
                <w:lang w:val="en-US" w:eastAsia="zh-CN"/>
              </w:rPr>
              <w:t>3分。</w:t>
            </w:r>
          </w:p>
          <w:p>
            <w:pPr>
              <w:widowControl/>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须提供有效证明文件复印件加盖单位盖章，</w:t>
            </w:r>
            <w:r>
              <w:rPr>
                <w:rFonts w:hint="eastAsia" w:ascii="宋体" w:hAnsi="宋体" w:eastAsia="宋体" w:cs="宋体"/>
                <w:b/>
                <w:bCs/>
                <w:color w:val="auto"/>
                <w:kern w:val="0"/>
                <w:sz w:val="18"/>
                <w:szCs w:val="18"/>
                <w:highlight w:val="none"/>
                <w:u w:val="single"/>
                <w:lang w:val="en-US" w:eastAsia="zh-CN"/>
              </w:rPr>
              <w:t>同时提供原件核对，不提供原件的不得分</w:t>
            </w:r>
            <w:r>
              <w:rPr>
                <w:rFonts w:hint="eastAsia" w:ascii="宋体" w:hAnsi="宋体" w:eastAsia="宋体" w:cs="宋体"/>
                <w:color w:val="auto"/>
                <w:kern w:val="0"/>
                <w:sz w:val="18"/>
                <w:szCs w:val="18"/>
                <w:highlight w:val="none"/>
                <w:lang w:val="en-US" w:eastAsia="zh-CN"/>
              </w:rPr>
              <w:t>，没有的不得分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投标人获得荣誉</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snapToGrid w:val="0"/>
                <w:color w:val="auto"/>
                <w:kern w:val="0"/>
                <w:sz w:val="18"/>
                <w:szCs w:val="18"/>
                <w:highlight w:val="none"/>
              </w:rPr>
              <w:t>201</w:t>
            </w:r>
            <w:r>
              <w:rPr>
                <w:rFonts w:hint="eastAsia" w:ascii="宋体" w:hAnsi="宋体" w:eastAsia="宋体" w:cs="宋体"/>
                <w:snapToGrid w:val="0"/>
                <w:color w:val="auto"/>
                <w:kern w:val="0"/>
                <w:sz w:val="18"/>
                <w:szCs w:val="18"/>
                <w:highlight w:val="none"/>
                <w:lang w:val="en-US" w:eastAsia="zh-CN"/>
              </w:rPr>
              <w:t>6年1月1日</w:t>
            </w:r>
            <w:r>
              <w:rPr>
                <w:rFonts w:hint="eastAsia" w:ascii="宋体" w:hAnsi="宋体" w:eastAsia="宋体" w:cs="宋体"/>
                <w:snapToGrid w:val="0"/>
                <w:color w:val="auto"/>
                <w:kern w:val="0"/>
                <w:sz w:val="18"/>
                <w:szCs w:val="18"/>
                <w:highlight w:val="none"/>
              </w:rPr>
              <w:t>以来企业获得区级（含区级）以上人民政府或部门颁发的各种荣誉的</w:t>
            </w:r>
            <w:r>
              <w:rPr>
                <w:rFonts w:hint="eastAsia" w:ascii="宋体" w:hAnsi="宋体" w:eastAsia="宋体" w:cs="宋体"/>
                <w:snapToGrid w:val="0"/>
                <w:color w:val="auto"/>
                <w:kern w:val="0"/>
                <w:sz w:val="18"/>
                <w:szCs w:val="18"/>
                <w:highlight w:val="none"/>
                <w:lang w:val="en-US" w:eastAsia="zh-CN"/>
              </w:rPr>
              <w:t>1</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eastAsia="zh-CN"/>
              </w:rPr>
              <w:t>。</w:t>
            </w:r>
          </w:p>
          <w:p>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left="-3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2016年1月</w:t>
            </w:r>
            <w:r>
              <w:rPr>
                <w:rFonts w:hint="eastAsia" w:ascii="宋体" w:hAnsi="宋体" w:eastAsia="宋体" w:cs="宋体"/>
                <w:color w:val="auto"/>
                <w:kern w:val="0"/>
                <w:sz w:val="18"/>
                <w:szCs w:val="18"/>
                <w:highlight w:val="none"/>
                <w:lang w:val="en-US" w:eastAsia="zh-CN"/>
              </w:rPr>
              <w:t>1日以来</w:t>
            </w:r>
            <w:r>
              <w:rPr>
                <w:rFonts w:hint="eastAsia" w:ascii="宋体" w:hAnsi="宋体" w:eastAsia="宋体" w:cs="宋体"/>
                <w:color w:val="auto"/>
                <w:kern w:val="0"/>
                <w:sz w:val="18"/>
                <w:szCs w:val="18"/>
                <w:highlight w:val="none"/>
              </w:rPr>
              <w:t>公共场所项目获部级物业管理示范项目或复评通过的，得3分；获省示范或复评通过的，得2分，获市示范或复评通过的，得1分。</w:t>
            </w:r>
          </w:p>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numPr>
                <w:ilvl w:val="0"/>
                <w:numId w:val="0"/>
              </w:num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岗位设置及配备情况（包括岗位明细、每个岗位的工作安排</w:t>
            </w:r>
            <w:r>
              <w:rPr>
                <w:rFonts w:hint="eastAsia" w:ascii="宋体" w:hAnsi="宋体" w:eastAsia="宋体" w:cs="宋体"/>
                <w:color w:val="auto"/>
                <w:sz w:val="18"/>
                <w:szCs w:val="18"/>
                <w:highlight w:val="none"/>
                <w:lang w:val="en-US" w:eastAsia="zh-CN"/>
              </w:rPr>
              <w:t>计划等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员工服装配置</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rPr>
              <w:t>根据各类</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人员着装配置是否齐备等因素酌情打分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服务方案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根据管理服务组织机构设置（附组织机构图）、运作流程（附运作流程图）、激励机制、监督机制、自我约束机制和信息反馈渠道及处理机制等是否科学、合理、高效，</w:t>
            </w:r>
            <w:r>
              <w:rPr>
                <w:rFonts w:hint="eastAsia" w:ascii="宋体" w:hAnsi="宋体" w:eastAsia="宋体" w:cs="宋体"/>
                <w:color w:val="auto"/>
                <w:sz w:val="18"/>
                <w:szCs w:val="18"/>
                <w:highlight w:val="none"/>
                <w:lang w:val="en-US" w:eastAsia="zh-CN"/>
              </w:rPr>
              <w:t>进行综合评价，一般0-3分，良3-6分，优6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根据对本项目运行特点和难点分析的准确性及解决措施的科学性进行比较</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环境卫生管理实施方案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安防实施方案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食堂</w:t>
            </w:r>
            <w:r>
              <w:rPr>
                <w:rFonts w:hint="eastAsia" w:ascii="宋体" w:hAnsi="宋体" w:eastAsia="宋体" w:cs="宋体"/>
                <w:color w:val="auto"/>
                <w:kern w:val="0"/>
                <w:sz w:val="18"/>
                <w:szCs w:val="18"/>
                <w:highlight w:val="none"/>
              </w:rPr>
              <w:t>管理实施方案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项目质量管理保证措施方案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根据为本项目就管理程序文件、质量记录，管理过程中存在的问题解决对策，管理成果检验评估方法，质量管理改进方法等，</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437"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eastAsia="zh-CN"/>
              </w:rPr>
              <w:t>2020年1月1日</w:t>
            </w:r>
            <w:r>
              <w:rPr>
                <w:rFonts w:hint="eastAsia" w:ascii="宋体" w:hAnsi="宋体" w:eastAsia="宋体" w:cs="宋体"/>
                <w:color w:val="auto"/>
                <w:sz w:val="18"/>
                <w:szCs w:val="18"/>
                <w:highlight w:val="none"/>
              </w:rPr>
              <w:t>以来项目业绩</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Cs/>
                <w:color w:val="auto"/>
                <w:kern w:val="28"/>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0</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投标人项目业绩（有效业绩以中标通知书发出日期或合同签订日期为准）：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提供投标供应商自2020年1月1日以来的公共场所物业管理项目业绩的，每提供1项业绩得1分，最高10分。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（提供中标通知书或合同，同个项目不可重复计分，</w:t>
            </w:r>
            <w:r>
              <w:rPr>
                <w:rFonts w:hint="eastAsia" w:ascii="宋体" w:hAnsi="宋体" w:eastAsia="宋体" w:cs="宋体"/>
                <w:b/>
                <w:bCs/>
                <w:color w:val="auto"/>
                <w:kern w:val="0"/>
                <w:sz w:val="18"/>
                <w:szCs w:val="18"/>
                <w:highlight w:val="none"/>
                <w:u w:val="single"/>
                <w:lang w:val="en-US" w:eastAsia="zh-CN" w:bidi="ar"/>
              </w:rPr>
              <w:t>须同时提供原件核对，不提供的不得分</w:t>
            </w:r>
            <w:r>
              <w:rPr>
                <w:rFonts w:hint="eastAsia" w:ascii="宋体" w:hAnsi="宋体" w:eastAsia="宋体" w:cs="宋体"/>
                <w:color w:val="auto"/>
                <w:kern w:val="0"/>
                <w:sz w:val="18"/>
                <w:szCs w:val="18"/>
                <w:highlight w:val="none"/>
                <w:lang w:val="en-US" w:eastAsia="zh-CN" w:bidi="ar"/>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p>
        </w:tc>
        <w:tc>
          <w:tcPr>
            <w:tcW w:w="2200" w:type="dxa"/>
            <w:gridSpan w:val="2"/>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合计满分</w:t>
            </w:r>
          </w:p>
        </w:tc>
        <w:tc>
          <w:tcPr>
            <w:tcW w:w="713" w:type="dxa"/>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fldChar w:fldCharType="begin"/>
            </w:r>
            <w:r>
              <w:rPr>
                <w:rFonts w:hint="default" w:ascii="宋体" w:hAnsi="宋体" w:eastAsia="宋体" w:cs="宋体"/>
                <w:color w:val="auto"/>
                <w:sz w:val="18"/>
                <w:szCs w:val="18"/>
                <w:highlight w:val="none"/>
              </w:rPr>
              <w:instrText xml:space="preserve"> =SUM(ABOVE) \* MERGEFORMAT </w:instrText>
            </w:r>
            <w:r>
              <w:rPr>
                <w:rFonts w:hint="default" w:ascii="宋体" w:hAnsi="宋体" w:eastAsia="宋体" w:cs="宋体"/>
                <w:color w:val="auto"/>
                <w:sz w:val="18"/>
                <w:szCs w:val="18"/>
                <w:highlight w:val="none"/>
              </w:rPr>
              <w:fldChar w:fldCharType="separate"/>
            </w:r>
            <w:r>
              <w:rPr>
                <w:rFonts w:hint="default" w:ascii="宋体" w:hAnsi="宋体" w:eastAsia="宋体" w:cs="宋体"/>
                <w:color w:val="auto"/>
                <w:sz w:val="18"/>
                <w:szCs w:val="18"/>
                <w:highlight w:val="none"/>
              </w:rPr>
              <w:t>80</w:t>
            </w:r>
            <w:r>
              <w:rPr>
                <w:rFonts w:hint="default" w:ascii="宋体" w:hAnsi="宋体" w:eastAsia="宋体" w:cs="宋体"/>
                <w:color w:val="auto"/>
                <w:sz w:val="18"/>
                <w:szCs w:val="18"/>
                <w:highlight w:val="none"/>
              </w:rPr>
              <w:fldChar w:fldCharType="end"/>
            </w:r>
          </w:p>
        </w:tc>
        <w:tc>
          <w:tcPr>
            <w:tcW w:w="5652" w:type="dxa"/>
            <w:tcBorders>
              <w:top w:val="single" w:color="auto" w:sz="4" w:space="0"/>
              <w:left w:val="single" w:color="auto" w:sz="4" w:space="0"/>
              <w:bottom w:val="single" w:color="auto" w:sz="12"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p>
        </w:tc>
      </w:tr>
    </w:tbl>
    <w:p>
      <w:pPr>
        <w:overflowPunct w:val="0"/>
        <w:ind w:firstLine="440" w:firstLineChars="20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overflowPunct w:val="0"/>
        <w:ind w:firstLine="442" w:firstLineChars="200"/>
        <w:rPr>
          <w:rFonts w:hint="eastAsia" w:ascii="宋体" w:hAnsi="宋体" w:eastAsia="宋体" w:cs="宋体"/>
          <w:b/>
          <w:color w:val="auto"/>
          <w:sz w:val="22"/>
          <w:highlight w:val="none"/>
        </w:rPr>
      </w:pPr>
      <w:bookmarkStart w:id="222"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rPr>
        <w:t>投标供应商若提交原件资料的</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应将原件单独包封（密封形式不限），与投标文件一同在投标截至时间前递交给采购代理机构，投标截至时间后，不允许补充原件。</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w:t>
      </w:r>
    </w:p>
    <w:bookmarkEnd w:id="222"/>
    <w:p>
      <w:pPr>
        <w:ind w:firstLine="440" w:firstLineChars="200"/>
        <w:rPr>
          <w:rFonts w:hint="eastAsia" w:ascii="宋体" w:hAnsi="宋体" w:eastAsia="宋体" w:cs="宋体"/>
          <w:color w:val="auto"/>
          <w:sz w:val="22"/>
          <w:highlight w:val="none"/>
        </w:rPr>
      </w:pPr>
      <w:bookmarkStart w:id="223"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评分值为满分20分；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本项目价格权值为20%</w:t>
      </w:r>
      <w:r>
        <w:rPr>
          <w:rFonts w:hint="eastAsia" w:ascii="宋体" w:hAnsi="宋体" w:eastAsia="宋体" w:cs="宋体"/>
          <w:color w:val="auto"/>
          <w:sz w:val="22"/>
          <w:highlight w:val="none"/>
        </w:rPr>
        <w:t>。</w:t>
      </w:r>
    </w:p>
    <w:bookmarkEnd w:id="223"/>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60万元</w:t>
      </w:r>
      <w:r>
        <w:rPr>
          <w:rFonts w:hint="eastAsia" w:ascii="宋体" w:hAnsi="宋体" w:eastAsia="宋体" w:cs="宋体"/>
          <w:b/>
          <w:color w:val="auto"/>
          <w:sz w:val="22"/>
          <w:highlight w:val="none"/>
        </w:rPr>
        <w:t>,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、各有效投标供应商的综合得分为技术资信分和商务（报价）分的总和。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4" w:name="_Toc221356967"/>
      <w:bookmarkStart w:id="225" w:name="_Toc221356904"/>
    </w:p>
    <w:p>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4"/>
      <w:bookmarkEnd w:id="225"/>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61C91FB3"/>
    <w:multiLevelType w:val="multilevel"/>
    <w:tmpl w:val="61C91FB3"/>
    <w:lvl w:ilvl="0" w:tentative="0">
      <w:start w:val="1"/>
      <w:numFmt w:val="decimal"/>
      <w:pStyle w:val="56"/>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9">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20"/>
  </w:num>
  <w:num w:numId="3">
    <w:abstractNumId w:val="5"/>
  </w:num>
  <w:num w:numId="4">
    <w:abstractNumId w:val="4"/>
  </w:num>
  <w:num w:numId="5">
    <w:abstractNumId w:val="7"/>
  </w:num>
  <w:num w:numId="6">
    <w:abstractNumId w:val="15"/>
  </w:num>
  <w:num w:numId="7">
    <w:abstractNumId w:val="12"/>
  </w:num>
  <w:num w:numId="8">
    <w:abstractNumId w:val="14"/>
  </w:num>
  <w:num w:numId="9">
    <w:abstractNumId w:val="21"/>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D24484"/>
    <w:rsid w:val="0390360A"/>
    <w:rsid w:val="039C74BF"/>
    <w:rsid w:val="04824617"/>
    <w:rsid w:val="04D83AD1"/>
    <w:rsid w:val="05380AFF"/>
    <w:rsid w:val="055022DD"/>
    <w:rsid w:val="07B211EB"/>
    <w:rsid w:val="07E27C7A"/>
    <w:rsid w:val="097769B8"/>
    <w:rsid w:val="0A0C1598"/>
    <w:rsid w:val="0A0D1766"/>
    <w:rsid w:val="0A474359"/>
    <w:rsid w:val="0B681B73"/>
    <w:rsid w:val="0EF123DD"/>
    <w:rsid w:val="0FA90764"/>
    <w:rsid w:val="10DC4179"/>
    <w:rsid w:val="10F86EBF"/>
    <w:rsid w:val="127D5FE1"/>
    <w:rsid w:val="12D60804"/>
    <w:rsid w:val="131F731B"/>
    <w:rsid w:val="134C3973"/>
    <w:rsid w:val="13855179"/>
    <w:rsid w:val="14362C14"/>
    <w:rsid w:val="144607CD"/>
    <w:rsid w:val="14E775D9"/>
    <w:rsid w:val="16F0162C"/>
    <w:rsid w:val="17204078"/>
    <w:rsid w:val="175D20E7"/>
    <w:rsid w:val="17951D53"/>
    <w:rsid w:val="17F42F7B"/>
    <w:rsid w:val="189F6425"/>
    <w:rsid w:val="194873ED"/>
    <w:rsid w:val="194A795A"/>
    <w:rsid w:val="1A832753"/>
    <w:rsid w:val="1AB7139C"/>
    <w:rsid w:val="1B55070F"/>
    <w:rsid w:val="1C1A3373"/>
    <w:rsid w:val="1C74219B"/>
    <w:rsid w:val="1CA9457D"/>
    <w:rsid w:val="1CFE561E"/>
    <w:rsid w:val="1FED6319"/>
    <w:rsid w:val="201179B6"/>
    <w:rsid w:val="20512598"/>
    <w:rsid w:val="20643D84"/>
    <w:rsid w:val="20E12C42"/>
    <w:rsid w:val="211D2FFF"/>
    <w:rsid w:val="22AE0075"/>
    <w:rsid w:val="23701F89"/>
    <w:rsid w:val="23E20B30"/>
    <w:rsid w:val="25074D3A"/>
    <w:rsid w:val="25722EEF"/>
    <w:rsid w:val="267E7AA6"/>
    <w:rsid w:val="27A0246B"/>
    <w:rsid w:val="27A25135"/>
    <w:rsid w:val="27AB3D4E"/>
    <w:rsid w:val="27CB4942"/>
    <w:rsid w:val="292170A7"/>
    <w:rsid w:val="2A4F3B9E"/>
    <w:rsid w:val="2A5D30E7"/>
    <w:rsid w:val="2BAE17FF"/>
    <w:rsid w:val="2BE91F37"/>
    <w:rsid w:val="2C7A749B"/>
    <w:rsid w:val="2CF325E7"/>
    <w:rsid w:val="2D394F92"/>
    <w:rsid w:val="2D8C35AC"/>
    <w:rsid w:val="2D8D700C"/>
    <w:rsid w:val="2DE46FCA"/>
    <w:rsid w:val="2F922452"/>
    <w:rsid w:val="2FD76B14"/>
    <w:rsid w:val="30856178"/>
    <w:rsid w:val="323F36A4"/>
    <w:rsid w:val="34122848"/>
    <w:rsid w:val="341A30EC"/>
    <w:rsid w:val="342620C9"/>
    <w:rsid w:val="34402E73"/>
    <w:rsid w:val="363F6564"/>
    <w:rsid w:val="367A561E"/>
    <w:rsid w:val="370E5AB9"/>
    <w:rsid w:val="373B5261"/>
    <w:rsid w:val="37B01BE2"/>
    <w:rsid w:val="3879381B"/>
    <w:rsid w:val="38DA2725"/>
    <w:rsid w:val="38F76E7A"/>
    <w:rsid w:val="39644506"/>
    <w:rsid w:val="396E7463"/>
    <w:rsid w:val="397702BB"/>
    <w:rsid w:val="3A3B0A05"/>
    <w:rsid w:val="3B274F84"/>
    <w:rsid w:val="3B665F58"/>
    <w:rsid w:val="3BAF5709"/>
    <w:rsid w:val="3C294FC1"/>
    <w:rsid w:val="3D602EC0"/>
    <w:rsid w:val="3D6B3046"/>
    <w:rsid w:val="3DB46334"/>
    <w:rsid w:val="3F2A0CE7"/>
    <w:rsid w:val="400A66DC"/>
    <w:rsid w:val="409C52AA"/>
    <w:rsid w:val="41E16035"/>
    <w:rsid w:val="43255009"/>
    <w:rsid w:val="436822EB"/>
    <w:rsid w:val="43E2309D"/>
    <w:rsid w:val="446316C8"/>
    <w:rsid w:val="457703BB"/>
    <w:rsid w:val="461D61E6"/>
    <w:rsid w:val="465B07E0"/>
    <w:rsid w:val="465B19C6"/>
    <w:rsid w:val="46D87095"/>
    <w:rsid w:val="46F359A1"/>
    <w:rsid w:val="4766166B"/>
    <w:rsid w:val="47CF2F88"/>
    <w:rsid w:val="47FE4D25"/>
    <w:rsid w:val="486B260B"/>
    <w:rsid w:val="492153B6"/>
    <w:rsid w:val="499015D2"/>
    <w:rsid w:val="49B7682C"/>
    <w:rsid w:val="4A1B49FC"/>
    <w:rsid w:val="4A6142EA"/>
    <w:rsid w:val="4A7C50FD"/>
    <w:rsid w:val="4B9C5A94"/>
    <w:rsid w:val="4BC573A8"/>
    <w:rsid w:val="4BE13907"/>
    <w:rsid w:val="4C1C3E43"/>
    <w:rsid w:val="4CBD124A"/>
    <w:rsid w:val="4DF55A70"/>
    <w:rsid w:val="4ECB70F3"/>
    <w:rsid w:val="4F5D3335"/>
    <w:rsid w:val="4F6164F5"/>
    <w:rsid w:val="4FA97952"/>
    <w:rsid w:val="506F4E1E"/>
    <w:rsid w:val="51F35615"/>
    <w:rsid w:val="53F44CB7"/>
    <w:rsid w:val="540E20B0"/>
    <w:rsid w:val="55482FE4"/>
    <w:rsid w:val="55D40B98"/>
    <w:rsid w:val="56F02839"/>
    <w:rsid w:val="576D6D37"/>
    <w:rsid w:val="58A514A0"/>
    <w:rsid w:val="58D20B4F"/>
    <w:rsid w:val="59B33345"/>
    <w:rsid w:val="5A431DCD"/>
    <w:rsid w:val="5A4474E6"/>
    <w:rsid w:val="5D1C7AB0"/>
    <w:rsid w:val="5DFE4642"/>
    <w:rsid w:val="5F99219D"/>
    <w:rsid w:val="5FF53085"/>
    <w:rsid w:val="60AB6EDD"/>
    <w:rsid w:val="624F1147"/>
    <w:rsid w:val="63007260"/>
    <w:rsid w:val="63160A12"/>
    <w:rsid w:val="641D786A"/>
    <w:rsid w:val="64795514"/>
    <w:rsid w:val="65172004"/>
    <w:rsid w:val="65F9165C"/>
    <w:rsid w:val="66951383"/>
    <w:rsid w:val="67404828"/>
    <w:rsid w:val="68D67726"/>
    <w:rsid w:val="69F04C89"/>
    <w:rsid w:val="6A6E2984"/>
    <w:rsid w:val="6B253BC7"/>
    <w:rsid w:val="6B924AC0"/>
    <w:rsid w:val="6BE14F0E"/>
    <w:rsid w:val="6C6E57C2"/>
    <w:rsid w:val="6CEE2778"/>
    <w:rsid w:val="6DEC77D0"/>
    <w:rsid w:val="6F712728"/>
    <w:rsid w:val="6F9371EB"/>
    <w:rsid w:val="6FDB3E77"/>
    <w:rsid w:val="71B740EC"/>
    <w:rsid w:val="72223A16"/>
    <w:rsid w:val="72245523"/>
    <w:rsid w:val="72BB0AD8"/>
    <w:rsid w:val="72C1286E"/>
    <w:rsid w:val="74277D91"/>
    <w:rsid w:val="7465193A"/>
    <w:rsid w:val="759E0068"/>
    <w:rsid w:val="75F21635"/>
    <w:rsid w:val="76110A91"/>
    <w:rsid w:val="7649793B"/>
    <w:rsid w:val="77AD0A02"/>
    <w:rsid w:val="785A05EC"/>
    <w:rsid w:val="78A35E38"/>
    <w:rsid w:val="79E93803"/>
    <w:rsid w:val="79F57DFF"/>
    <w:rsid w:val="7A316A2D"/>
    <w:rsid w:val="7AEE79C2"/>
    <w:rsid w:val="7B933E36"/>
    <w:rsid w:val="7C200EF9"/>
    <w:rsid w:val="7C2C6B59"/>
    <w:rsid w:val="7D7B47E8"/>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Verdana,Arial"/>
    </w:rPr>
  </w:style>
  <w:style w:type="paragraph" w:styleId="3">
    <w:name w:val="Body Text First Indent"/>
    <w:basedOn w:val="2"/>
    <w:next w:val="4"/>
    <w:qFormat/>
    <w:uiPriority w:val="0"/>
    <w:pPr>
      <w:autoSpaceDE w:val="0"/>
      <w:autoSpaceDN w:val="0"/>
      <w:adjustRightInd w:val="0"/>
      <w:ind w:firstLine="420" w:firstLineChars="100"/>
      <w:jc w:val="left"/>
    </w:pPr>
  </w:style>
  <w:style w:type="paragraph" w:styleId="4">
    <w:name w:val="toc 6"/>
    <w:basedOn w:val="1"/>
    <w:next w:val="1"/>
    <w:semiHidden/>
    <w:qFormat/>
    <w:uiPriority w:val="0"/>
    <w:pPr>
      <w:ind w:left="1050"/>
      <w:jc w:val="left"/>
    </w:pPr>
    <w:rPr>
      <w:sz w:val="18"/>
      <w:szCs w:val="18"/>
    </w:rPr>
  </w:style>
  <w:style w:type="paragraph" w:styleId="10">
    <w:name w:val="Normal Indent"/>
    <w:basedOn w:val="1"/>
    <w:qFormat/>
    <w:uiPriority w:val="0"/>
    <w:pPr>
      <w:adjustRightInd w:val="0"/>
      <w:spacing w:line="312" w:lineRule="atLeast"/>
      <w:ind w:firstLine="420"/>
      <w:textAlignment w:val="baseline"/>
    </w:pPr>
    <w:rPr>
      <w:kern w:val="0"/>
      <w:szCs w:val="20"/>
    </w:rPr>
  </w:style>
  <w:style w:type="paragraph" w:styleId="11">
    <w:name w:val="annotation text"/>
    <w:basedOn w:val="1"/>
    <w:link w:val="37"/>
    <w:qFormat/>
    <w:uiPriority w:val="0"/>
    <w:pPr>
      <w:jc w:val="left"/>
    </w:pPr>
  </w:style>
  <w:style w:type="paragraph" w:styleId="12">
    <w:name w:val="Body Text Indent"/>
    <w:basedOn w:val="1"/>
    <w:next w:val="1"/>
    <w:qFormat/>
    <w:uiPriority w:val="0"/>
    <w:pPr>
      <w:ind w:left="480" w:hanging="480" w:hangingChars="200"/>
    </w:pPr>
    <w:rPr>
      <w:sz w:val="24"/>
    </w:r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3"/>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Normal (Web)"/>
    <w:basedOn w:val="1"/>
    <w:qFormat/>
    <w:uiPriority w:val="0"/>
    <w:pPr>
      <w:spacing w:after="210"/>
      <w:jc w:val="left"/>
    </w:pPr>
    <w:rPr>
      <w:kern w:val="0"/>
      <w:sz w:val="24"/>
    </w:rPr>
  </w:style>
  <w:style w:type="paragraph" w:styleId="23">
    <w:name w:val="annotation subject"/>
    <w:basedOn w:val="11"/>
    <w:next w:val="11"/>
    <w:link w:val="38"/>
    <w:qFormat/>
    <w:uiPriority w:val="0"/>
    <w:rPr>
      <w:b/>
      <w:bCs/>
    </w:rPr>
  </w:style>
  <w:style w:type="paragraph" w:styleId="24">
    <w:name w:val="Body Text First Indent 2"/>
    <w:basedOn w:val="12"/>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basedOn w:val="27"/>
    <w:qFormat/>
    <w:uiPriority w:val="0"/>
    <w:rPr>
      <w:color w:val="1890FF"/>
      <w:u w:val="none"/>
    </w:rPr>
  </w:style>
  <w:style w:type="character" w:styleId="30">
    <w:name w:val="HTML Definition"/>
    <w:basedOn w:val="27"/>
    <w:qFormat/>
    <w:uiPriority w:val="0"/>
    <w:rPr>
      <w:i/>
      <w:iCs/>
    </w:rPr>
  </w:style>
  <w:style w:type="character" w:styleId="31">
    <w:name w:val="Hyperlink"/>
    <w:qFormat/>
    <w:uiPriority w:val="99"/>
    <w:rPr>
      <w:color w:val="0000FF"/>
      <w:u w:val="single"/>
    </w:rPr>
  </w:style>
  <w:style w:type="character" w:styleId="32">
    <w:name w:val="HTML Code"/>
    <w:basedOn w:val="27"/>
    <w:qFormat/>
    <w:uiPriority w:val="0"/>
    <w:rPr>
      <w:rFonts w:ascii="Consolas" w:hAnsi="Consolas" w:eastAsia="Consolas" w:cs="Consolas"/>
      <w:sz w:val="21"/>
      <w:szCs w:val="21"/>
    </w:rPr>
  </w:style>
  <w:style w:type="character" w:styleId="33">
    <w:name w:val="annotation reference"/>
    <w:basedOn w:val="27"/>
    <w:qFormat/>
    <w:uiPriority w:val="0"/>
    <w:rPr>
      <w:sz w:val="21"/>
      <w:szCs w:val="21"/>
    </w:rPr>
  </w:style>
  <w:style w:type="character" w:styleId="34">
    <w:name w:val="HTML Keyboard"/>
    <w:basedOn w:val="27"/>
    <w:qFormat/>
    <w:uiPriority w:val="0"/>
    <w:rPr>
      <w:rFonts w:hint="default" w:ascii="Consolas" w:hAnsi="Consolas" w:eastAsia="Consolas" w:cs="Consolas"/>
      <w:sz w:val="21"/>
      <w:szCs w:val="21"/>
    </w:rPr>
  </w:style>
  <w:style w:type="character" w:styleId="35">
    <w:name w:val="HTML Sample"/>
    <w:basedOn w:val="27"/>
    <w:qFormat/>
    <w:uiPriority w:val="0"/>
    <w:rPr>
      <w:rFonts w:hint="default" w:ascii="Consolas" w:hAnsi="Consolas" w:eastAsia="Consolas" w:cs="Consolas"/>
      <w:sz w:val="21"/>
      <w:szCs w:val="21"/>
    </w:rPr>
  </w:style>
  <w:style w:type="paragraph" w:customStyle="1" w:styleId="36">
    <w:name w:val="正文文本首行缩进1"/>
    <w:basedOn w:val="2"/>
    <w:qFormat/>
    <w:uiPriority w:val="0"/>
    <w:pPr>
      <w:ind w:firstLine="420" w:firstLineChars="100"/>
    </w:pPr>
    <w:rPr>
      <w:szCs w:val="21"/>
    </w:rPr>
  </w:style>
  <w:style w:type="character" w:customStyle="1" w:styleId="37">
    <w:name w:val="批注文字 Char"/>
    <w:basedOn w:val="27"/>
    <w:link w:val="11"/>
    <w:qFormat/>
    <w:uiPriority w:val="0"/>
    <w:rPr>
      <w:rFonts w:ascii="等线" w:hAnsi="等线" w:eastAsia="等线"/>
      <w:kern w:val="2"/>
      <w:sz w:val="21"/>
      <w:szCs w:val="22"/>
    </w:rPr>
  </w:style>
  <w:style w:type="character" w:customStyle="1" w:styleId="38">
    <w:name w:val="批注主题 Char"/>
    <w:basedOn w:val="37"/>
    <w:link w:val="23"/>
    <w:qFormat/>
    <w:uiPriority w:val="0"/>
    <w:rPr>
      <w:rFonts w:ascii="等线" w:hAnsi="等线" w:eastAsia="等线"/>
      <w:b/>
      <w:bCs/>
      <w:kern w:val="2"/>
      <w:sz w:val="21"/>
      <w:szCs w:val="22"/>
    </w:rPr>
  </w:style>
  <w:style w:type="character" w:customStyle="1" w:styleId="39">
    <w:name w:val="user-acct"/>
    <w:basedOn w:val="27"/>
    <w:qFormat/>
    <w:uiPriority w:val="0"/>
    <w:rPr>
      <w:color w:val="7C7070"/>
    </w:rPr>
  </w:style>
  <w:style w:type="character" w:customStyle="1" w:styleId="40">
    <w:name w:val="hover12"/>
    <w:basedOn w:val="27"/>
    <w:qFormat/>
    <w:uiPriority w:val="0"/>
  </w:style>
  <w:style w:type="character" w:customStyle="1" w:styleId="41">
    <w:name w:val="current"/>
    <w:basedOn w:val="27"/>
    <w:qFormat/>
    <w:uiPriority w:val="0"/>
    <w:rPr>
      <w:color w:val="00C1DE"/>
    </w:rPr>
  </w:style>
  <w:style w:type="character" w:customStyle="1" w:styleId="42">
    <w:name w:val="current1"/>
    <w:basedOn w:val="27"/>
    <w:qFormat/>
    <w:uiPriority w:val="0"/>
    <w:rPr>
      <w:color w:val="00C1DE"/>
    </w:rPr>
  </w:style>
  <w:style w:type="character" w:customStyle="1" w:styleId="43">
    <w:name w:val="selected"/>
    <w:basedOn w:val="27"/>
    <w:qFormat/>
    <w:uiPriority w:val="0"/>
    <w:rPr>
      <w:color w:val="1C81FE"/>
    </w:rPr>
  </w:style>
  <w:style w:type="character" w:customStyle="1" w:styleId="44">
    <w:name w:val="selected1"/>
    <w:basedOn w:val="27"/>
    <w:qFormat/>
    <w:uiPriority w:val="0"/>
    <w:rPr>
      <w:color w:val="1C81FE"/>
    </w:rPr>
  </w:style>
  <w:style w:type="character" w:customStyle="1" w:styleId="45">
    <w:name w:val="desc"/>
    <w:basedOn w:val="27"/>
    <w:qFormat/>
    <w:uiPriority w:val="0"/>
    <w:rPr>
      <w:b/>
      <w:bCs/>
      <w:color w:val="404040"/>
    </w:rPr>
  </w:style>
  <w:style w:type="character" w:customStyle="1" w:styleId="46">
    <w:name w:val="desc1"/>
    <w:basedOn w:val="27"/>
    <w:qFormat/>
    <w:uiPriority w:val="0"/>
    <w:rPr>
      <w:b/>
      <w:bCs/>
      <w:color w:val="404040"/>
    </w:rPr>
  </w:style>
  <w:style w:type="character" w:customStyle="1" w:styleId="47">
    <w:name w:val="helper"/>
    <w:basedOn w:val="27"/>
    <w:qFormat/>
    <w:uiPriority w:val="0"/>
    <w:rPr>
      <w:b/>
      <w:bCs/>
      <w:color w:val="404040"/>
      <w:sz w:val="38"/>
      <w:szCs w:val="38"/>
    </w:rPr>
  </w:style>
  <w:style w:type="character" w:customStyle="1" w:styleId="48">
    <w:name w:val="icon6"/>
    <w:basedOn w:val="27"/>
    <w:qFormat/>
    <w:uiPriority w:val="0"/>
  </w:style>
  <w:style w:type="character" w:customStyle="1" w:styleId="49">
    <w:name w:val="ant-typography-ellipsis"/>
    <w:basedOn w:val="27"/>
    <w:qFormat/>
    <w:uiPriority w:val="0"/>
  </w:style>
  <w:style w:type="character" w:customStyle="1" w:styleId="50">
    <w:name w:val="ant-radio+*"/>
    <w:basedOn w:val="27"/>
    <w:qFormat/>
    <w:uiPriority w:val="0"/>
  </w:style>
  <w:style w:type="character" w:customStyle="1" w:styleId="51">
    <w:name w:val="content72"/>
    <w:basedOn w:val="27"/>
    <w:qFormat/>
    <w:uiPriority w:val="0"/>
    <w:rPr>
      <w:color w:val="7C7070"/>
      <w:sz w:val="14"/>
      <w:szCs w:val="14"/>
    </w:rPr>
  </w:style>
  <w:style w:type="character" w:customStyle="1" w:styleId="52">
    <w:name w:val="info-label"/>
    <w:basedOn w:val="27"/>
    <w:qFormat/>
    <w:uiPriority w:val="0"/>
    <w:rPr>
      <w:b/>
      <w:bCs/>
    </w:rPr>
  </w:style>
  <w:style w:type="character" w:customStyle="1" w:styleId="53">
    <w:name w:val="info-content"/>
    <w:basedOn w:val="27"/>
    <w:qFormat/>
    <w:uiPriority w:val="0"/>
    <w:rPr>
      <w:color w:val="808080"/>
    </w:rPr>
  </w:style>
  <w:style w:type="character" w:customStyle="1" w:styleId="54">
    <w:name w:val="phone-number1"/>
    <w:basedOn w:val="27"/>
    <w:qFormat/>
    <w:uiPriority w:val="0"/>
    <w:rPr>
      <w:color w:val="0876FF"/>
    </w:rPr>
  </w:style>
  <w:style w:type="paragraph" w:styleId="55">
    <w:name w:val="List Paragraph"/>
    <w:basedOn w:val="1"/>
    <w:qFormat/>
    <w:uiPriority w:val="34"/>
    <w:pPr>
      <w:ind w:firstLine="420" w:firstLineChars="200"/>
    </w:pPr>
  </w:style>
  <w:style w:type="paragraph" w:customStyle="1" w:styleId="56">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7">
    <w:name w:val="正文_0_0"/>
    <w:basedOn w:val="1"/>
    <w:qFormat/>
    <w:uiPriority w:val="0"/>
    <w:rPr>
      <w:rFonts w:ascii="Calibri" w:hAnsi="Calibri" w:cs="Calibri"/>
      <w:szCs w:val="21"/>
    </w:rPr>
  </w:style>
  <w:style w:type="paragraph" w:customStyle="1" w:styleId="58">
    <w:name w:val="[Normal]"/>
    <w:qFormat/>
    <w:uiPriority w:val="0"/>
    <w:rPr>
      <w:rFonts w:ascii="宋体" w:hAnsi="宋体" w:eastAsia="宋体" w:cs="Times New Roman"/>
      <w:sz w:val="24"/>
      <w:szCs w:val="22"/>
      <w:lang w:val="zh-CN" w:eastAsia="zh-CN" w:bidi="ar-SA"/>
    </w:rPr>
  </w:style>
  <w:style w:type="paragraph" w:customStyle="1" w:styleId="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0">
    <w:name w:val="p5"/>
    <w:basedOn w:val="27"/>
    <w:qFormat/>
    <w:uiPriority w:val="0"/>
  </w:style>
  <w:style w:type="paragraph" w:customStyle="1" w:styleId="61">
    <w:name w:val="正文首行缩进1"/>
    <w:basedOn w:val="2"/>
    <w:qFormat/>
    <w:uiPriority w:val="0"/>
    <w:pPr>
      <w:ind w:firstLine="420" w:firstLineChars="100"/>
    </w:pPr>
    <w:rPr>
      <w:rFonts w:ascii="Times New Roman" w:hAnsi="Times New Roman"/>
    </w:rPr>
  </w:style>
  <w:style w:type="paragraph" w:customStyle="1" w:styleId="62">
    <w:name w:val="列出段落1"/>
    <w:basedOn w:val="1"/>
    <w:qFormat/>
    <w:uiPriority w:val="0"/>
    <w:pPr>
      <w:ind w:firstLine="420" w:firstLineChars="200"/>
    </w:pPr>
    <w:rPr>
      <w:szCs w:val="20"/>
    </w:rPr>
  </w:style>
  <w:style w:type="character" w:customStyle="1" w:styleId="63">
    <w:name w:val="批注框文本 Char"/>
    <w:basedOn w:val="27"/>
    <w:link w:val="17"/>
    <w:qFormat/>
    <w:uiPriority w:val="0"/>
    <w:rPr>
      <w:rFonts w:ascii="等线" w:hAnsi="等线" w:eastAsia="等线"/>
      <w:kern w:val="2"/>
      <w:sz w:val="18"/>
      <w:szCs w:val="18"/>
    </w:rPr>
  </w:style>
  <w:style w:type="paragraph" w:customStyle="1" w:styleId="64">
    <w:name w:val="hb.1"/>
    <w:basedOn w:val="1"/>
    <w:qFormat/>
    <w:uiPriority w:val="0"/>
    <w:pPr>
      <w:tabs>
        <w:tab w:val="left" w:pos="992"/>
      </w:tabs>
      <w:spacing w:after="156"/>
      <w:ind w:left="992" w:hanging="567"/>
    </w:pPr>
    <w:rPr>
      <w:rFonts w:ascii="Times New Roman" w:hAnsi="Times New Roman"/>
      <w:szCs w:val="20"/>
    </w:rPr>
  </w:style>
  <w:style w:type="paragraph" w:customStyle="1" w:styleId="65">
    <w:name w:val="htbh"/>
    <w:basedOn w:val="7"/>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6">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7">
    <w:name w:val="正文表标题"/>
    <w:next w:val="68"/>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表内文字"/>
    <w:basedOn w:val="1"/>
    <w:qFormat/>
    <w:uiPriority w:val="0"/>
    <w:pPr>
      <w:spacing w:line="240" w:lineRule="atLeast"/>
      <w:jc w:val="center"/>
    </w:pPr>
    <w:rPr>
      <w:rFonts w:ascii="Arial" w:hAnsi="Arial" w:eastAsia="宋体" w:cs="Arial"/>
      <w:b/>
      <w:bCs/>
    </w:rPr>
  </w:style>
  <w:style w:type="paragraph" w:customStyle="1" w:styleId="7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1">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73">
    <w:name w:val="form-textarea-print1"/>
    <w:basedOn w:val="27"/>
    <w:qFormat/>
    <w:uiPriority w:val="0"/>
    <w:rPr>
      <w:sz w:val="12"/>
      <w:szCs w:val="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45</Pages>
  <Words>29556</Words>
  <Characters>30607</Characters>
  <Lines>373</Lines>
  <Paragraphs>105</Paragraphs>
  <TotalTime>14</TotalTime>
  <ScaleCrop>false</ScaleCrop>
  <LinksUpToDate>false</LinksUpToDate>
  <CharactersWithSpaces>33181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2023-05-30T04:02:34Z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A73C200C73F34C9998DDAE0C166A00A9</vt:lpwstr>
  </property>
</Properties>
</file>