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hint="eastAsia" w:ascii="宋体" w:hAnsi="宋体" w:eastAsia="宋体" w:cs="宋体"/>
          <w:b/>
          <w:bCs/>
          <w:spacing w:val="120"/>
          <w:sz w:val="72"/>
          <w:szCs w:val="72"/>
          <w:highlight w:val="none"/>
        </w:rPr>
      </w:pPr>
    </w:p>
    <w:p>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pPr>
        <w:spacing w:line="400" w:lineRule="atLeast"/>
        <w:jc w:val="center"/>
        <w:rPr>
          <w:rFonts w:hint="eastAsia" w:ascii="宋体" w:hAnsi="宋体" w:eastAsia="宋体" w:cs="宋体"/>
          <w:b/>
          <w:sz w:val="52"/>
          <w:szCs w:val="24"/>
          <w:highlight w:val="none"/>
        </w:rPr>
      </w:pPr>
    </w:p>
    <w:p>
      <w:pPr>
        <w:spacing w:line="400" w:lineRule="atLeast"/>
        <w:jc w:val="center"/>
        <w:rPr>
          <w:rFonts w:hint="eastAsia" w:ascii="宋体" w:hAnsi="宋体" w:eastAsia="宋体" w:cs="宋体"/>
          <w:b/>
          <w:sz w:val="52"/>
          <w:szCs w:val="24"/>
          <w:highlight w:val="none"/>
        </w:rPr>
      </w:pPr>
    </w:p>
    <w:p>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pPr>
        <w:spacing w:line="400" w:lineRule="exact"/>
        <w:jc w:val="center"/>
        <w:rPr>
          <w:rFonts w:hint="eastAsia" w:ascii="宋体" w:hAnsi="宋体" w:eastAsia="宋体" w:cs="宋体"/>
          <w:b/>
          <w:sz w:val="32"/>
          <w:szCs w:val="24"/>
          <w:highlight w:val="none"/>
        </w:rPr>
      </w:pPr>
    </w:p>
    <w:p>
      <w:pPr>
        <w:spacing w:line="400" w:lineRule="exact"/>
        <w:jc w:val="center"/>
        <w:rPr>
          <w:rFonts w:hint="eastAsia" w:ascii="宋体" w:hAnsi="宋体" w:eastAsia="宋体" w:cs="宋体"/>
          <w:b/>
          <w:sz w:val="32"/>
          <w:szCs w:val="24"/>
          <w:highlight w:val="none"/>
        </w:rPr>
      </w:pPr>
    </w:p>
    <w:tbl>
      <w:tblPr>
        <w:tblStyle w:val="24"/>
        <w:tblW w:w="0" w:type="auto"/>
        <w:jc w:val="center"/>
        <w:tblLayout w:type="fixed"/>
        <w:tblCellMar>
          <w:top w:w="0" w:type="dxa"/>
          <w:left w:w="108" w:type="dxa"/>
          <w:bottom w:w="0" w:type="dxa"/>
          <w:right w:w="108" w:type="dxa"/>
        </w:tblCellMar>
      </w:tblPr>
      <w:tblGrid>
        <w:gridCol w:w="2340"/>
        <w:gridCol w:w="360"/>
        <w:gridCol w:w="3233"/>
      </w:tblGrid>
      <w:tr>
        <w:tblPrEx>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36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WGSS-JFJT-X-2023005</w:t>
            </w:r>
          </w:p>
        </w:tc>
      </w:tr>
      <w:tr>
        <w:tblPrEx>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36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陶山服务区物业服务</w:t>
            </w:r>
          </w:p>
        </w:tc>
      </w:tr>
      <w:tr>
        <w:tblPrEx>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采购方式</w:t>
            </w:r>
          </w:p>
        </w:tc>
        <w:tc>
          <w:tcPr>
            <w:tcW w:w="360"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tbl>
      <w:tblPr>
        <w:tblStyle w:val="24"/>
        <w:tblW w:w="0" w:type="auto"/>
        <w:jc w:val="center"/>
        <w:tblLayout w:type="fixed"/>
        <w:tblCellMar>
          <w:top w:w="0" w:type="dxa"/>
          <w:left w:w="108" w:type="dxa"/>
          <w:bottom w:w="0" w:type="dxa"/>
          <w:right w:w="108" w:type="dxa"/>
        </w:tblCellMar>
      </w:tblPr>
      <w:tblGrid>
        <w:gridCol w:w="2199"/>
        <w:gridCol w:w="360"/>
        <w:gridCol w:w="4789"/>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温州市高速公路资产经营有限公司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pPr>
        <w:spacing w:before="156" w:beforeLines="50" w:line="360" w:lineRule="auto"/>
        <w:jc w:val="center"/>
        <w:rPr>
          <w:rFonts w:hint="eastAsia" w:ascii="宋体" w:hAnsi="宋体" w:eastAsia="宋体" w:cs="宋体"/>
          <w:spacing w:val="40"/>
          <w:sz w:val="30"/>
          <w:szCs w:val="30"/>
          <w:highlight w:val="none"/>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三</w:t>
      </w:r>
      <w:r>
        <w:rPr>
          <w:rFonts w:hint="eastAsia" w:ascii="宋体" w:hAnsi="宋体" w:eastAsia="宋体" w:cs="宋体"/>
          <w:spacing w:val="40"/>
          <w:sz w:val="30"/>
          <w:szCs w:val="30"/>
          <w:highlight w:val="none"/>
        </w:rPr>
        <w:t>年</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napToGrid w:val="0"/>
          <w:spacing w:val="-20"/>
          <w:kern w:val="0"/>
          <w:szCs w:val="24"/>
          <w:highlight w:val="none"/>
          <w:u w:val="single"/>
          <w:lang w:eastAsia="zh-CN"/>
        </w:rPr>
        <w:t>温州市交发集团所属温州市高速公路资产经营有限公司关于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"_Toc491780521" </w:instrText>
      </w:r>
      <w:r>
        <w:rPr>
          <w:rFonts w:hint="eastAsia" w:ascii="宋体" w:hAnsi="宋体" w:eastAsia="宋体" w:cs="宋体"/>
          <w:highlight w:val="none"/>
        </w:rPr>
        <w:fldChar w:fldCharType="separate"/>
      </w:r>
      <w:r>
        <w:rPr>
          <w:rFonts w:hint="eastAsia" w:ascii="宋体" w:hAnsi="宋体" w:eastAsia="宋体" w:cs="宋体"/>
          <w:snapToGrid w:val="0"/>
          <w:spacing w:val="-20"/>
          <w:kern w:val="0"/>
          <w:szCs w:val="24"/>
          <w:highlight w:val="none"/>
          <w:u w:val="single"/>
          <w:lang w:eastAsia="zh-CN"/>
        </w:rPr>
        <w:t>陶山服务区物业服务</w:t>
      </w:r>
      <w:r>
        <w:rPr>
          <w:rFonts w:hint="eastAsia" w:ascii="宋体" w:hAnsi="宋体" w:eastAsia="宋体" w:cs="宋体"/>
          <w:snapToGrid w:val="0"/>
          <w:spacing w:val="-20"/>
          <w:kern w:val="0"/>
          <w:szCs w:val="24"/>
          <w:highlight w:val="none"/>
          <w:u w:val="single"/>
        </w:rPr>
        <w:t>的采购公告</w:t>
      </w:r>
      <w:r>
        <w:rPr>
          <w:rFonts w:hint="eastAsia" w:ascii="宋体" w:hAnsi="宋体" w:eastAsia="宋体" w:cs="宋体"/>
          <w:snapToGrid w:val="0"/>
          <w:spacing w:val="-20"/>
          <w:kern w:val="0"/>
          <w:szCs w:val="24"/>
          <w:highlight w:val="none"/>
          <w:u w:val="single"/>
        </w:rPr>
        <w:tab/>
      </w:r>
      <w:r>
        <w:rPr>
          <w:rFonts w:hint="eastAsia" w:ascii="宋体" w:hAnsi="宋体" w:eastAsia="宋体" w:cs="宋体"/>
          <w:snapToGrid w:val="0"/>
          <w:spacing w:val="-20"/>
          <w:kern w:val="0"/>
          <w:szCs w:val="24"/>
          <w:highlight w:val="none"/>
          <w:u w:val="single"/>
        </w:rPr>
        <w:t>3</w:t>
      </w:r>
      <w:r>
        <w:rPr>
          <w:rFonts w:hint="eastAsia" w:ascii="宋体" w:hAnsi="宋体" w:eastAsia="宋体" w:cs="宋体"/>
          <w:snapToGrid w:val="0"/>
          <w:spacing w:val="-20"/>
          <w:kern w:val="0"/>
          <w:szCs w:val="24"/>
          <w:highlight w:val="none"/>
          <w:u w:val="single"/>
        </w:rPr>
        <w:fldChar w:fldCharType="end"/>
      </w:r>
    </w:p>
    <w:p>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pacing w:val="-20"/>
          <w:szCs w:val="24"/>
          <w:highlight w:val="none"/>
          <w:u w:val="single"/>
          <w:lang w:eastAsia="zh-CN"/>
        </w:rPr>
        <w:t>温州市交发集团所属温州市高速公路资产经营有限公司关于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"_Toc491780522" </w:instrText>
      </w:r>
      <w:r>
        <w:rPr>
          <w:rFonts w:hint="eastAsia" w:ascii="宋体" w:hAnsi="宋体" w:eastAsia="宋体" w:cs="宋体"/>
          <w:highlight w:val="none"/>
        </w:rPr>
        <w:fldChar w:fldCharType="separate"/>
      </w:r>
      <w:r>
        <w:rPr>
          <w:rFonts w:hint="eastAsia" w:ascii="宋体" w:hAnsi="宋体" w:eastAsia="宋体" w:cs="宋体"/>
          <w:spacing w:val="-20"/>
          <w:szCs w:val="24"/>
          <w:highlight w:val="none"/>
          <w:u w:val="single"/>
          <w:lang w:eastAsia="zh-CN"/>
        </w:rPr>
        <w:t>陶山服务区物业服务</w:t>
      </w:r>
      <w:r>
        <w:rPr>
          <w:rFonts w:hint="eastAsia" w:ascii="宋体" w:hAnsi="宋体" w:eastAsia="宋体" w:cs="宋体"/>
          <w:spacing w:val="-20"/>
          <w:szCs w:val="24"/>
          <w:highlight w:val="none"/>
          <w:u w:val="single"/>
          <w:lang w:val="en-US" w:eastAsia="zh-CN"/>
        </w:rPr>
        <w:t>项目</w:t>
      </w:r>
      <w:r>
        <w:rPr>
          <w:rFonts w:hint="eastAsia" w:ascii="宋体" w:hAnsi="宋体" w:eastAsia="宋体" w:cs="宋体"/>
          <w:spacing w:val="-20"/>
          <w:szCs w:val="24"/>
          <w:highlight w:val="none"/>
          <w:u w:val="single"/>
        </w:rPr>
        <w:t>征求意见公示</w:t>
      </w:r>
      <w:r>
        <w:rPr>
          <w:rFonts w:hint="eastAsia" w:ascii="宋体" w:hAnsi="宋体" w:eastAsia="宋体" w:cs="宋体"/>
          <w:spacing w:val="-20"/>
          <w:szCs w:val="24"/>
          <w:highlight w:val="none"/>
          <w:u w:val="single"/>
        </w:rPr>
        <w:tab/>
      </w:r>
      <w:r>
        <w:rPr>
          <w:rFonts w:hint="eastAsia" w:ascii="宋体" w:hAnsi="宋体" w:eastAsia="宋体" w:cs="宋体"/>
          <w:spacing w:val="-20"/>
          <w:szCs w:val="24"/>
          <w:highlight w:val="none"/>
          <w:u w:val="single"/>
        </w:rPr>
        <w:t>5</w:t>
      </w:r>
      <w:r>
        <w:rPr>
          <w:rFonts w:hint="eastAsia" w:ascii="宋体" w:hAnsi="宋体" w:eastAsia="宋体" w:cs="宋体"/>
          <w:spacing w:val="-20"/>
          <w:szCs w:val="24"/>
          <w:highlight w:val="none"/>
          <w:u w:val="singl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rPr>
        <w:t>6</w:t>
      </w:r>
      <w:r>
        <w:rPr>
          <w:rFonts w:hint="eastAsia" w:ascii="宋体" w:hAnsi="宋体" w:eastAsia="宋体" w:cs="宋体"/>
          <w:szCs w:val="24"/>
          <w:highlight w:val="non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17</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p>
    <w:p>
      <w:pPr>
        <w:tabs>
          <w:tab w:val="right" w:leader="dot" w:pos="9660"/>
        </w:tabs>
        <w:spacing w:line="480" w:lineRule="auto"/>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37</w:t>
      </w:r>
    </w:p>
    <w:p>
      <w:pPr>
        <w:tabs>
          <w:tab w:val="right" w:leader="dot" w:pos="9660"/>
        </w:tabs>
        <w:spacing w:line="480" w:lineRule="auto"/>
        <w:rPr>
          <w:rFonts w:hint="eastAsia"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56</w:t>
      </w:r>
    </w:p>
    <w:p>
      <w:pPr>
        <w:tabs>
          <w:tab w:val="right" w:leader="dot" w:pos="9660"/>
        </w:tabs>
        <w:spacing w:line="480" w:lineRule="auto"/>
        <w:rPr>
          <w:rFonts w:hint="eastAsia"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62</w:t>
      </w:r>
    </w:p>
    <w:p>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的条款，为采购文件的实质性要求和条件，着重提醒各投标人注意（不响应</w:t>
      </w:r>
      <w:r>
        <w:rPr>
          <w:rFonts w:hint="eastAsia" w:ascii="宋体" w:hAnsi="宋体" w:eastAsia="宋体" w:cs="宋体"/>
          <w:b/>
          <w:bCs/>
          <w:sz w:val="28"/>
          <w:szCs w:val="30"/>
          <w:highlight w:val="none"/>
          <w:lang w:val="en-US" w:eastAsia="zh-CN"/>
        </w:rPr>
        <w:t>加</w:t>
      </w:r>
      <w:r>
        <w:rPr>
          <w:rFonts w:hint="eastAsia" w:ascii="宋体" w:hAnsi="宋体" w:eastAsia="宋体" w:cs="宋体"/>
          <w:b/>
          <w:bCs/>
          <w:sz w:val="28"/>
          <w:szCs w:val="30"/>
          <w:highlight w:val="none"/>
        </w:rPr>
        <w:t>“▲”</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条款的作无效标处理），并认真查看采购文件中的每一个条款及要求，因误读采购文件而造成的后果，采购人概不负责。</w:t>
      </w:r>
    </w:p>
    <w:p>
      <w:pPr>
        <w:jc w:val="center"/>
        <w:rPr>
          <w:rFonts w:hint="eastAsia" w:ascii="宋体" w:hAnsi="宋体" w:eastAsia="宋体" w:cs="宋体"/>
          <w:sz w:val="24"/>
          <w:highlight w:val="none"/>
        </w:rPr>
      </w:pPr>
      <w:bookmarkStart w:id="1" w:name="_Hlk10719563"/>
      <w:bookmarkStart w:id="2" w:name="_Hlk10921265"/>
      <w:r>
        <w:rPr>
          <w:rFonts w:hint="eastAsia" w:ascii="宋体" w:hAnsi="宋体" w:eastAsia="宋体" w:cs="宋体"/>
          <w:sz w:val="24"/>
          <w:szCs w:val="24"/>
          <w:highlight w:val="none"/>
        </w:rPr>
        <w:br w:type="page"/>
      </w:r>
      <w:bookmarkEnd w:id="1"/>
      <w:bookmarkStart w:id="227" w:name="_GoBack"/>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温州市高速公路资产经营有限公司关于陶山服务区物业服务</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的采购公告</w:t>
      </w:r>
    </w:p>
    <w:p>
      <w:pPr>
        <w:jc w:val="center"/>
        <w:rPr>
          <w:rFonts w:hint="eastAsia" w:ascii="宋体" w:hAnsi="宋体" w:eastAsia="宋体" w:cs="宋体"/>
          <w:highlight w:val="none"/>
        </w:rPr>
      </w:pPr>
    </w:p>
    <w:p>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根据《温州市市属国有企业采购管理办法（试行）》等有关规定，</w:t>
      </w:r>
      <w:r>
        <w:rPr>
          <w:rFonts w:hint="eastAsia" w:ascii="宋体" w:hAnsi="宋体" w:eastAsia="宋体" w:cs="宋体"/>
          <w:highlight w:val="none"/>
          <w:lang w:eastAsia="zh-CN"/>
        </w:rPr>
        <w:t>浙江国际招投标有限公司</w:t>
      </w:r>
      <w:r>
        <w:rPr>
          <w:rFonts w:hint="eastAsia" w:ascii="宋体" w:hAnsi="宋体" w:eastAsia="宋体" w:cs="宋体"/>
          <w:highlight w:val="none"/>
        </w:rPr>
        <w:t>受</w:t>
      </w:r>
      <w:r>
        <w:rPr>
          <w:rFonts w:hint="eastAsia" w:ascii="宋体" w:hAnsi="宋体" w:eastAsia="宋体" w:cs="宋体"/>
          <w:highlight w:val="none"/>
          <w:lang w:eastAsia="zh-CN"/>
        </w:rPr>
        <w:t>温州市高速公路资产经营有限公司</w:t>
      </w:r>
      <w:r>
        <w:rPr>
          <w:rFonts w:hint="eastAsia" w:ascii="宋体" w:hAnsi="宋体" w:eastAsia="宋体" w:cs="宋体"/>
          <w:highlight w:val="none"/>
        </w:rPr>
        <w:t>的委托，就</w:t>
      </w:r>
      <w:r>
        <w:rPr>
          <w:rFonts w:hint="eastAsia" w:ascii="宋体" w:hAnsi="宋体" w:eastAsia="宋体" w:cs="宋体"/>
          <w:highlight w:val="none"/>
          <w:lang w:eastAsia="zh-CN"/>
        </w:rPr>
        <w:t>陶山服务区物业服务</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以公开招标方式进行国企采购，欢迎国内合格的投标供应商前来投标。</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一、公告类型：采购公告</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二、采购方式：公开招标</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三、项目编号：</w:t>
      </w:r>
      <w:r>
        <w:rPr>
          <w:rFonts w:hint="eastAsia" w:ascii="宋体" w:hAnsi="宋体" w:eastAsia="宋体" w:cs="宋体"/>
          <w:bCs/>
          <w:kern w:val="0"/>
          <w:szCs w:val="21"/>
          <w:highlight w:val="none"/>
          <w:lang w:eastAsia="zh-CN"/>
        </w:rPr>
        <w:t>WGSS-JFJT-X-2023005</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四、项目名称：</w:t>
      </w:r>
      <w:r>
        <w:rPr>
          <w:rFonts w:hint="eastAsia" w:ascii="宋体" w:hAnsi="宋体" w:eastAsia="宋体" w:cs="宋体"/>
          <w:bCs/>
          <w:kern w:val="0"/>
          <w:szCs w:val="21"/>
          <w:highlight w:val="none"/>
          <w:lang w:eastAsia="zh-CN"/>
        </w:rPr>
        <w:t>陶山服务区物业服务</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五、采购性质：国企采购（非政府采购）</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六、预算金额：人民币</w:t>
      </w:r>
      <w:r>
        <w:rPr>
          <w:rFonts w:hint="eastAsia" w:ascii="宋体" w:hAnsi="宋体" w:eastAsia="宋体" w:cs="宋体"/>
          <w:bCs/>
          <w:kern w:val="0"/>
          <w:szCs w:val="21"/>
          <w:highlight w:val="none"/>
          <w:lang w:val="en-US" w:eastAsia="zh-CN"/>
        </w:rPr>
        <w:t>362.5</w:t>
      </w:r>
      <w:r>
        <w:rPr>
          <w:rFonts w:hint="eastAsia" w:ascii="宋体" w:hAnsi="宋体" w:eastAsia="宋体" w:cs="宋体"/>
          <w:bCs/>
          <w:kern w:val="0"/>
          <w:szCs w:val="21"/>
          <w:highlight w:val="none"/>
        </w:rPr>
        <w:t>万元</w:t>
      </w:r>
    </w:p>
    <w:p>
      <w:pPr>
        <w:widowControl/>
        <w:spacing w:before="60" w:after="60"/>
        <w:ind w:right="60"/>
        <w:jc w:val="left"/>
        <w:rPr>
          <w:rFonts w:hint="eastAsia" w:ascii="宋体" w:hAnsi="宋体" w:eastAsia="宋体" w:cs="宋体"/>
          <w:highlight w:val="none"/>
        </w:rPr>
      </w:pPr>
      <w:r>
        <w:rPr>
          <w:rFonts w:hint="eastAsia" w:ascii="宋体" w:hAnsi="宋体" w:eastAsia="宋体" w:cs="宋体"/>
          <w:bCs/>
          <w:kern w:val="0"/>
          <w:szCs w:val="21"/>
          <w:highlight w:val="none"/>
        </w:rPr>
        <w:t>七、采购内容（具体采购内容及详细技术要求见采购文件相关部分）：</w:t>
      </w:r>
    </w:p>
    <w:tbl>
      <w:tblPr>
        <w:tblStyle w:val="24"/>
        <w:tblW w:w="0" w:type="auto"/>
        <w:jc w:val="center"/>
        <w:tblLayout w:type="fixed"/>
        <w:tblCellMar>
          <w:top w:w="0" w:type="dxa"/>
          <w:left w:w="108" w:type="dxa"/>
          <w:bottom w:w="0" w:type="dxa"/>
          <w:right w:w="108" w:type="dxa"/>
        </w:tblCellMar>
      </w:tblPr>
      <w:tblGrid>
        <w:gridCol w:w="763"/>
        <w:gridCol w:w="1509"/>
        <w:gridCol w:w="621"/>
        <w:gridCol w:w="653"/>
        <w:gridCol w:w="1105"/>
        <w:gridCol w:w="4305"/>
      </w:tblGrid>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序号</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标项内容</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数量</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单位</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预算金额(万元)</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简要技术要求、用途</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eastAsia="zh-CN"/>
              </w:rPr>
            </w:pPr>
            <w:r>
              <w:rPr>
                <w:rFonts w:hint="eastAsia" w:ascii="宋体" w:hAnsi="宋体" w:eastAsia="宋体" w:cs="宋体"/>
                <w:bCs/>
                <w:kern w:val="0"/>
                <w:sz w:val="18"/>
                <w:szCs w:val="18"/>
                <w:highlight w:val="none"/>
                <w:lang w:eastAsia="zh-CN"/>
              </w:rPr>
              <w:t>陶山服务区物业服务</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项</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362.5</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温州市高速公路资产经营有限公司所需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陶山服务区物业服务</w:t>
            </w:r>
            <w:r>
              <w:rPr>
                <w:rFonts w:hint="eastAsia" w:ascii="宋体" w:hAnsi="宋体" w:eastAsia="宋体" w:cs="宋体"/>
                <w:sz w:val="18"/>
                <w:szCs w:val="18"/>
                <w:highlight w:val="none"/>
              </w:rPr>
              <w:t>，具体服务内容包括秩序维护、安保管理、卫生管理、设备维护等，</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p>
        </w:tc>
      </w:tr>
    </w:tbl>
    <w:p>
      <w:pPr>
        <w:widowControl/>
        <w:spacing w:before="60" w:after="60"/>
        <w:ind w:right="60"/>
        <w:jc w:val="left"/>
        <w:rPr>
          <w:rFonts w:hint="eastAsia" w:ascii="宋体" w:hAnsi="宋体" w:eastAsia="宋体" w:cs="宋体"/>
          <w:bCs/>
          <w:kern w:val="0"/>
          <w:szCs w:val="21"/>
          <w:highlight w:val="none"/>
        </w:rPr>
      </w:pPr>
      <w:bookmarkStart w:id="3" w:name="B09_招标内容"/>
      <w:bookmarkEnd w:id="3"/>
      <w:r>
        <w:rPr>
          <w:rFonts w:hint="eastAsia" w:ascii="宋体" w:hAnsi="宋体" w:eastAsia="宋体" w:cs="宋体"/>
          <w:bCs/>
          <w:kern w:val="0"/>
          <w:szCs w:val="21"/>
          <w:highlight w:val="none"/>
        </w:rPr>
        <w:t>八、投标供应商资格要求：</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1、符合《温州市市属国有企业采购管理办法（试行）》第十五条对投标供应商参加温州市国有企业采购活动应当具备的基本资格条件；</w:t>
      </w:r>
    </w:p>
    <w:p>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color w:val="auto"/>
          <w:kern w:val="0"/>
          <w:szCs w:val="21"/>
          <w:highlight w:val="none"/>
          <w:lang w:val="en-US" w:eastAsia="zh-CN"/>
        </w:rPr>
        <w:t>至本项目投标截止前未被列入“信用中国”网站(www.creditchina.gov.cn)“记录失信被执行人或重大税收违法案件当事人名单”记录名单</w:t>
      </w:r>
      <w:r>
        <w:rPr>
          <w:rFonts w:hint="eastAsia" w:ascii="宋体" w:hAnsi="宋体" w:eastAsia="宋体" w:cs="宋体"/>
          <w:szCs w:val="21"/>
          <w:highlight w:val="none"/>
        </w:rPr>
        <w:t>；</w:t>
      </w:r>
    </w:p>
    <w:p>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、单位负责人为同一人或者存在直接控股、管理关系的不同供应商，不得同时参加本项目投标活动；</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pPr>
        <w:widowControl/>
        <w:spacing w:before="60" w:after="60"/>
        <w:ind w:right="60"/>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rPr>
        <w:t>九、发售</w:t>
      </w:r>
      <w:r>
        <w:rPr>
          <w:rFonts w:hint="eastAsia" w:ascii="宋体" w:hAnsi="宋体" w:eastAsia="宋体" w:cs="宋体"/>
          <w:kern w:val="0"/>
          <w:szCs w:val="21"/>
          <w:highlight w:val="none"/>
        </w:rPr>
        <w:t>采购文件时间及地点：</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1、报名时间及采购文件发售时间：公告发布之日起至投标截止时间止（上午08：30-11：30，下午14：30-17：00，节假日除外，未购买采购文件的潜在投标人拒绝参加投标。）；</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bCs/>
          <w:kern w:val="0"/>
          <w:szCs w:val="21"/>
          <w:highlight w:val="none"/>
        </w:rPr>
        <w:t>购领</w:t>
      </w:r>
      <w:r>
        <w:rPr>
          <w:rFonts w:hint="eastAsia" w:ascii="宋体" w:hAnsi="宋体" w:eastAsia="宋体" w:cs="宋体"/>
          <w:kern w:val="0"/>
          <w:szCs w:val="21"/>
          <w:highlight w:val="none"/>
        </w:rPr>
        <w:t>采购文件地址：鉴于目前疫情形势，本项目暂不接受现场获取采购文件；</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3、采购文件售价：人民币500元整（售后不退）；</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4、报名方式、购买标书及注意事项：</w:t>
      </w:r>
    </w:p>
    <w:p>
      <w:pPr>
        <w:keepNext w:val="0"/>
        <w:keepLines w:val="0"/>
        <w:pageBreakBefore w:val="0"/>
        <w:widowControl/>
        <w:kinsoku/>
        <w:wordWrap/>
        <w:overflowPunct/>
        <w:topLinePunct w:val="0"/>
        <w:autoSpaceDE/>
        <w:autoSpaceDN/>
        <w:bidi w:val="0"/>
        <w:adjustRightInd/>
        <w:snapToGrid/>
        <w:spacing w:before="60" w:after="60"/>
        <w:ind w:right="62"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网上报名（政采云报名）：请供应商登录浙江政府采购网（http://zfcg.czt.zj.gov.cn），进入“政采云”平台进行注册并报名（未注册的供应商请尽早注册，客服电话：95763），（操作路径：浙江政府采购网：供应商注册-项目采购-获取采购文件-申请获取采购文件）。网上报名后，请将标书购买费汇入代理公司账户（将缴纳报名费凭证、开票信息）等资料发代理机构电子邮箱1826066763@qq.com）并联系采购代理公司审核。标书款汇入账户信息：</w:t>
      </w:r>
    </w:p>
    <w:p>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  位 名 称：浙江国际招投标有限公司</w:t>
      </w:r>
    </w:p>
    <w:p>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  户 银 行：工商银行杭州市武林支行</w:t>
      </w:r>
    </w:p>
    <w:p>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        号：1202021209906782015</w:t>
      </w:r>
    </w:p>
    <w:p>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kern w:val="0"/>
          <w:szCs w:val="21"/>
          <w:highlight w:val="none"/>
        </w:rPr>
        <w:t>十、投标截止时间：</w:t>
      </w:r>
      <w:bookmarkStart w:id="4" w:name="B23_谈判响应文件提交截止日期"/>
      <w:bookmarkEnd w:id="4"/>
      <w:r>
        <w:rPr>
          <w:rFonts w:hint="eastAsia" w:ascii="宋体" w:hAnsi="宋体" w:eastAsia="宋体" w:cs="宋体"/>
          <w:bCs/>
          <w:kern w:val="0"/>
          <w:szCs w:val="21"/>
          <w:highlight w:val="none"/>
        </w:rPr>
        <w:t>投标截止时间：</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13</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下午14</w:t>
      </w:r>
      <w:r>
        <w:rPr>
          <w:rFonts w:hint="eastAsia" w:ascii="宋体" w:hAnsi="宋体" w:eastAsia="宋体" w:cs="宋体"/>
          <w:bCs/>
          <w:color w:val="0000FF"/>
          <w:kern w:val="0"/>
          <w:szCs w:val="21"/>
          <w:highlight w:val="none"/>
        </w:rPr>
        <w:t>时30分</w:t>
      </w:r>
      <w:r>
        <w:rPr>
          <w:rFonts w:hint="eastAsia" w:ascii="宋体" w:hAnsi="宋体" w:eastAsia="宋体" w:cs="宋体"/>
          <w:bCs/>
          <w:color w:val="auto"/>
          <w:kern w:val="0"/>
          <w:szCs w:val="21"/>
          <w:highlight w:val="none"/>
        </w:rPr>
        <w:t>(北京时间，下同)。</w:t>
      </w:r>
    </w:p>
    <w:p>
      <w:pPr>
        <w:widowControl/>
        <w:spacing w:before="60" w:after="60"/>
        <w:ind w:left="575" w:leftChars="29" w:right="60" w:hanging="514" w:hangingChars="245"/>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十一、投标文件提交地点：温州市政务服务管理中心收标区 (温州市鹿城区会展路1268号温州市民中心A座3楼公共资源交易专区)（详见当天大厅大屏幕）。</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十二、开标时间：</w:t>
      </w:r>
      <w:bookmarkStart w:id="5" w:name="B26_谈判时间日期"/>
      <w:bookmarkEnd w:id="5"/>
      <w:r>
        <w:rPr>
          <w:rFonts w:hint="eastAsia" w:ascii="宋体" w:hAnsi="宋体" w:eastAsia="宋体" w:cs="宋体"/>
          <w:bCs/>
          <w:kern w:val="0"/>
          <w:szCs w:val="21"/>
          <w:highlight w:val="none"/>
        </w:rPr>
        <w:t>同投标截止时间。</w:t>
      </w:r>
    </w:p>
    <w:p>
      <w:pPr>
        <w:widowControl/>
        <w:spacing w:before="60" w:after="60"/>
        <w:ind w:left="575" w:leftChars="29" w:right="60" w:hanging="514" w:hangingChars="245"/>
        <w:jc w:val="left"/>
        <w:rPr>
          <w:rFonts w:hint="eastAsia" w:ascii="宋体" w:hAnsi="宋体" w:eastAsia="宋体" w:cs="宋体"/>
          <w:szCs w:val="21"/>
          <w:highlight w:val="none"/>
          <w:shd w:val="clear" w:color="auto" w:fill="FFFFFF"/>
        </w:rPr>
      </w:pPr>
      <w:r>
        <w:rPr>
          <w:rFonts w:hint="eastAsia" w:ascii="宋体" w:hAnsi="宋体" w:eastAsia="宋体" w:cs="宋体"/>
          <w:bCs/>
          <w:kern w:val="0"/>
          <w:szCs w:val="21"/>
          <w:highlight w:val="none"/>
        </w:rPr>
        <w:t>十三、开标地点：</w:t>
      </w:r>
      <w:r>
        <w:rPr>
          <w:rFonts w:hint="eastAsia" w:ascii="宋体" w:hAnsi="宋体" w:eastAsia="宋体" w:cs="宋体"/>
          <w:kern w:val="0"/>
          <w:szCs w:val="21"/>
          <w:highlight w:val="none"/>
        </w:rPr>
        <w:t>温州市政务服务管理中心</w:t>
      </w:r>
      <w:r>
        <w:rPr>
          <w:rFonts w:hint="eastAsia" w:ascii="宋体" w:hAnsi="宋体" w:eastAsia="宋体" w:cs="宋体"/>
          <w:bCs/>
          <w:kern w:val="0"/>
          <w:szCs w:val="21"/>
          <w:highlight w:val="none"/>
        </w:rPr>
        <w:t>开标区</w:t>
      </w:r>
      <w:r>
        <w:rPr>
          <w:rFonts w:hint="eastAsia" w:ascii="宋体" w:hAnsi="宋体" w:eastAsia="宋体" w:cs="宋体"/>
          <w:szCs w:val="21"/>
          <w:highlight w:val="none"/>
          <w:shd w:val="clear" w:color="auto" w:fill="FFFFFF"/>
        </w:rPr>
        <w:t>。</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十四、投标保证金及交付方式：</w:t>
      </w:r>
    </w:p>
    <w:p>
      <w:pPr>
        <w:widowControl/>
        <w:spacing w:before="60" w:after="60" w:line="280" w:lineRule="exact"/>
        <w:ind w:right="62" w:firstLine="420" w:firstLineChars="200"/>
        <w:jc w:val="left"/>
        <w:rPr>
          <w:rFonts w:hint="eastAsia" w:ascii="宋体" w:hAnsi="宋体" w:eastAsia="宋体" w:cs="宋体"/>
          <w:b/>
          <w:bCs/>
          <w:kern w:val="0"/>
          <w:szCs w:val="21"/>
          <w:highlight w:val="none"/>
          <w:u w:val="single"/>
        </w:rPr>
      </w:pPr>
      <w:bookmarkStart w:id="6" w:name="B29_谈判保证金"/>
      <w:bookmarkEnd w:id="6"/>
      <w:bookmarkStart w:id="7" w:name="_Hlk3381632"/>
      <w:bookmarkStart w:id="8" w:name="_Hlk516555339"/>
      <w:r>
        <w:rPr>
          <w:rFonts w:hint="eastAsia" w:ascii="宋体" w:hAnsi="宋体" w:eastAsia="宋体" w:cs="宋体"/>
          <w:kern w:val="0"/>
          <w:szCs w:val="21"/>
          <w:highlight w:val="none"/>
        </w:rPr>
        <w:t>投标保证金：人民币</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0000元整，采用银行转账形式，保证金缴纳截止时间：与投标截止时间相同。</w:t>
      </w:r>
      <w:r>
        <w:rPr>
          <w:rFonts w:hint="eastAsia" w:ascii="宋体" w:hAnsi="宋体" w:eastAsia="宋体" w:cs="宋体"/>
          <w:b/>
          <w:bCs/>
          <w:kern w:val="0"/>
          <w:szCs w:val="21"/>
          <w:highlight w:val="none"/>
          <w:u w:val="single"/>
        </w:rPr>
        <w:t>投标保证金要求从投标人在政采云登记的银行账号汇出，保证金缴纳时间以到账时间为准。</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户名：政采云有限公司</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开户银行：中国农业银行杭州西湖支行</w:t>
      </w:r>
    </w:p>
    <w:p>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账号：190001010400276210000003807</w:t>
      </w:r>
    </w:p>
    <w:bookmarkEnd w:id="7"/>
    <w:bookmarkEnd w:id="8"/>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十五、其他事项：</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1、采购公告期限：5个工作日，从公告在浙江政府采购网上发布的次日起算；</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人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采购公告附件的采购文件仅供阅览使用，未按照本公告规定的方式获取采购文件的潜在投标人提起的质疑，采购人及采购代理机构将不予受理、答复。</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3、质疑投标人对采购人、采购代理机构的答复不满意或者采购人、采购代理机构未在规定的时间内作出答复的，可以在答复期满后15个工作日内向采购人（集团）的内设监管职能部门投诉。</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w:t>
      </w:r>
      <w:r>
        <w:rPr>
          <w:rFonts w:hint="eastAsia" w:ascii="宋体" w:hAnsi="宋体" w:eastAsia="宋体" w:cs="宋体"/>
          <w:bCs/>
          <w:kern w:val="0"/>
          <w:szCs w:val="21"/>
          <w:highlight w:val="none"/>
          <w:lang w:eastAsia="zh-CN"/>
        </w:rPr>
        <w:t>温州市交通发展集团有限公司</w:t>
      </w:r>
      <w:r>
        <w:rPr>
          <w:rFonts w:hint="eastAsia" w:ascii="宋体" w:hAnsi="宋体" w:eastAsia="宋体" w:cs="宋体"/>
          <w:bCs/>
          <w:kern w:val="0"/>
          <w:szCs w:val="21"/>
          <w:highlight w:val="none"/>
        </w:rPr>
        <w:t>负责对投标人反映的企业本部及所属企业在采购活动中出现的违法违规问题进行答疑回复。投标人认为</w:t>
      </w:r>
      <w:r>
        <w:rPr>
          <w:rFonts w:hint="eastAsia" w:ascii="宋体" w:hAnsi="宋体" w:eastAsia="宋体" w:cs="宋体"/>
          <w:bCs/>
          <w:kern w:val="0"/>
          <w:szCs w:val="21"/>
          <w:highlight w:val="none"/>
          <w:lang w:eastAsia="zh-CN"/>
        </w:rPr>
        <w:t>温州市交通发展集团有限公司</w:t>
      </w:r>
      <w:r>
        <w:rPr>
          <w:rFonts w:hint="eastAsia" w:ascii="宋体" w:hAnsi="宋体" w:eastAsia="宋体" w:cs="宋体"/>
          <w:bCs/>
          <w:kern w:val="0"/>
          <w:szCs w:val="21"/>
          <w:highlight w:val="none"/>
        </w:rPr>
        <w:t>答疑回复处理结果不合法的，可以采购人或采购代理机构为对象依法向人民法院提起诉讼。</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5、投标人如对采购文件有疑问应按采购文件规定的询疑截止时间前提出，逾期提出的，采购组织机构可以不予受理、答复。</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十六、联系方式</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温州市高速公路资产经营有限公司</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温州市汤家桥国大广场东首5-6楼</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蔡先生</w:t>
      </w:r>
      <w:r>
        <w:rPr>
          <w:rFonts w:hint="eastAsia" w:ascii="宋体" w:hAnsi="宋体" w:eastAsia="宋体" w:cs="宋体"/>
          <w:highlight w:val="none"/>
        </w:rPr>
        <w:t>，联系电话：</w:t>
      </w:r>
      <w:r>
        <w:rPr>
          <w:rFonts w:hint="eastAsia" w:ascii="宋体" w:hAnsi="宋体" w:eastAsia="宋体" w:cs="宋体"/>
          <w:highlight w:val="none"/>
          <w:lang w:eastAsia="zh-CN"/>
        </w:rPr>
        <w:t>13376871622</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书面质疑受理地点：温州市黎明西路342号人保财险鹿城支公司办公大楼401室</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采购监管部门：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胡先生</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联系电话：0577-85559092</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温州市高速公路资产经营有限公司</w:t>
      </w:r>
      <w:r>
        <w:rPr>
          <w:rFonts w:hint="eastAsia" w:ascii="宋体" w:hAnsi="宋体" w:eastAsia="宋体" w:cs="宋体"/>
          <w:bCs/>
          <w:kern w:val="0"/>
          <w:szCs w:val="21"/>
          <w:highlight w:val="none"/>
        </w:rPr>
        <w:t xml:space="preserve"> </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w:t>
      </w:r>
      <w:r>
        <w:rPr>
          <w:rFonts w:hint="eastAsia" w:ascii="宋体" w:hAnsi="宋体" w:eastAsia="宋体" w:cs="宋体"/>
          <w:color w:val="0000FF"/>
          <w:kern w:val="0"/>
          <w:szCs w:val="21"/>
          <w:highlight w:val="none"/>
          <w:lang w:val="en-US" w:eastAsia="zh-CN"/>
        </w:rPr>
        <w:t>3</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3</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23</w:t>
      </w:r>
      <w:r>
        <w:rPr>
          <w:rFonts w:hint="eastAsia" w:ascii="宋体" w:hAnsi="宋体" w:eastAsia="宋体" w:cs="宋体"/>
          <w:color w:val="0000FF"/>
          <w:kern w:val="0"/>
          <w:szCs w:val="21"/>
          <w:highlight w:val="none"/>
        </w:rPr>
        <w:t>日</w:t>
      </w:r>
    </w:p>
    <w:p>
      <w:pPr>
        <w:jc w:val="center"/>
        <w:rPr>
          <w:rFonts w:hint="eastAsia" w:ascii="宋体" w:hAnsi="宋体" w:eastAsia="宋体" w:cs="宋体"/>
          <w:sz w:val="24"/>
          <w:highlight w:val="none"/>
        </w:rPr>
      </w:pPr>
      <w:bookmarkStart w:id="9" w:name="_Toc491780522"/>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温州市高速公路资产经营有限公司关于陶山服务区物业服务</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的征求意见公示</w:t>
      </w:r>
      <w:bookmarkEnd w:id="9"/>
    </w:p>
    <w:p>
      <w:pPr>
        <w:rPr>
          <w:rFonts w:hint="eastAsia" w:ascii="宋体" w:hAnsi="宋体" w:eastAsia="宋体" w:cs="宋体"/>
          <w:highlight w:val="none"/>
        </w:rPr>
      </w:pP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温州市高速公路资产经营有限公司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陶山服务区物业服务</w:t>
      </w:r>
      <w:r>
        <w:rPr>
          <w:rFonts w:hint="eastAsia" w:ascii="宋体" w:hAnsi="宋体" w:eastAsia="宋体" w:cs="宋体"/>
          <w:bCs/>
          <w:kern w:val="0"/>
          <w:szCs w:val="21"/>
          <w:highlight w:val="none"/>
        </w:rPr>
        <w:t>以公开招标方式进行采购。现将本项目采购文件公布如下（详见附件），并公开征求投标供应商及专家意见。</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2、投标供应商资格条件是否具有明显倾向性和歧视性；</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pPr>
        <w:widowControl/>
        <w:spacing w:before="60" w:after="60"/>
        <w:ind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各投标供应商及专家提出修改理由和建议的，请于</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29</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上</w:t>
      </w:r>
      <w:r>
        <w:rPr>
          <w:rFonts w:hint="eastAsia" w:ascii="宋体" w:hAnsi="宋体" w:eastAsia="宋体" w:cs="宋体"/>
          <w:bCs/>
          <w:color w:val="0000FF"/>
          <w:kern w:val="0"/>
          <w:szCs w:val="21"/>
          <w:highlight w:val="none"/>
        </w:rPr>
        <w:t>午1</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温州市黎明西路342号人保财险鹿城支公司办公大楼401室</w:t>
      </w:r>
      <w:r>
        <w:rPr>
          <w:rFonts w:hint="eastAsia" w:ascii="宋体" w:hAnsi="宋体" w:eastAsia="宋体" w:cs="宋体"/>
          <w:bCs/>
          <w:kern w:val="0"/>
          <w:szCs w:val="21"/>
          <w:highlight w:val="none"/>
        </w:rPr>
        <w:t>采购代理公司，或先将扫描件及电子版发送至邮箱</w:t>
      </w:r>
      <w:r>
        <w:rPr>
          <w:rFonts w:hint="eastAsia" w:ascii="宋体" w:hAnsi="宋体" w:eastAsia="宋体" w:cs="宋体"/>
          <w:bCs/>
          <w:kern w:val="0"/>
          <w:szCs w:val="21"/>
          <w:highlight w:val="none"/>
          <w:lang w:eastAsia="zh-CN"/>
        </w:rPr>
        <w:t>1826066763</w:t>
      </w:r>
      <w:r>
        <w:rPr>
          <w:rFonts w:hint="eastAsia" w:ascii="宋体" w:hAnsi="宋体" w:eastAsia="宋体" w:cs="宋体"/>
          <w:bCs/>
          <w:kern w:val="0"/>
          <w:szCs w:val="21"/>
          <w:highlight w:val="none"/>
        </w:rPr>
        <w:t>3@qq.com，并同时将该原件书面寄至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w:t>
      </w:r>
      <w:r>
        <w:rPr>
          <w:rFonts w:hint="eastAsia" w:ascii="宋体" w:hAnsi="宋体" w:eastAsia="宋体" w:cs="宋体"/>
          <w:highlight w:val="none"/>
        </w:rPr>
        <w:t>15305718087</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温州市高速公路资产经营有限公司</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23</w:t>
      </w:r>
      <w:r>
        <w:rPr>
          <w:rFonts w:hint="eastAsia" w:ascii="宋体" w:hAnsi="宋体" w:eastAsia="宋体" w:cs="宋体"/>
          <w:bCs/>
          <w:color w:val="0000FF"/>
          <w:kern w:val="0"/>
          <w:szCs w:val="21"/>
          <w:highlight w:val="none"/>
        </w:rPr>
        <w:t>日</w:t>
      </w:r>
      <w:bookmarkEnd w:id="2"/>
    </w:p>
    <w:bookmarkEnd w:id="227"/>
    <w:p>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0" w:name="_Toc219538612"/>
      <w:bookmarkStart w:id="11" w:name="_Toc227489886"/>
      <w:bookmarkStart w:id="12" w:name="_Toc491780523"/>
      <w:bookmarkStart w:id="13" w:name="_Toc218041725"/>
      <w:bookmarkStart w:id="14" w:name="_Toc223933220"/>
      <w:bookmarkStart w:id="15" w:name="_Toc216667819"/>
      <w:bookmarkStart w:id="16" w:name="_Toc223717603"/>
      <w:bookmarkStart w:id="17" w:name="_Toc215415529"/>
      <w:bookmarkStart w:id="18" w:name="_Toc217460684"/>
      <w:bookmarkStart w:id="19" w:name="_Toc227056845"/>
      <w:bookmarkStart w:id="20" w:name="_Toc227057032"/>
      <w:r>
        <w:rPr>
          <w:rFonts w:hint="eastAsia" w:ascii="宋体" w:hAnsi="宋体" w:eastAsia="宋体" w:cs="宋体"/>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highlight w:val="none"/>
        </w:rPr>
        <w:t>及投标人须知前附表</w:t>
      </w:r>
    </w:p>
    <w:p>
      <w:pPr>
        <w:spacing w:before="156" w:beforeLines="50" w:after="156" w:afterLines="50"/>
        <w:jc w:val="center"/>
        <w:rPr>
          <w:rFonts w:hint="eastAsia" w:ascii="宋体" w:hAnsi="宋体" w:eastAsia="宋体" w:cs="宋体"/>
          <w:b/>
          <w:sz w:val="28"/>
          <w:szCs w:val="28"/>
          <w:highlight w:val="none"/>
        </w:rPr>
      </w:pPr>
      <w:bookmarkStart w:id="21" w:name="_Toc401243876"/>
      <w:bookmarkStart w:id="22" w:name="_Toc433729304"/>
      <w:bookmarkStart w:id="23" w:name="_Toc219538613"/>
      <w:bookmarkStart w:id="24" w:name="_Toc216667820"/>
      <w:bookmarkStart w:id="25" w:name="_Toc215415530"/>
      <w:bookmarkStart w:id="26" w:name="_Toc223717604"/>
      <w:bookmarkStart w:id="27" w:name="_Toc223933221"/>
      <w:bookmarkStart w:id="28" w:name="_Toc217460685"/>
      <w:bookmarkStart w:id="29" w:name="_Toc227056846"/>
      <w:bookmarkStart w:id="30" w:name="_Toc227489887"/>
      <w:bookmarkStart w:id="31" w:name="_Toc218041726"/>
      <w:bookmarkStart w:id="32" w:name="_Toc227057033"/>
      <w:r>
        <w:rPr>
          <w:rFonts w:hint="eastAsia" w:ascii="宋体" w:hAnsi="宋体" w:eastAsia="宋体" w:cs="宋体"/>
          <w:b/>
          <w:sz w:val="28"/>
          <w:szCs w:val="28"/>
          <w:highlight w:val="none"/>
        </w:rPr>
        <w:t>投标人须知前附表</w:t>
      </w:r>
      <w:bookmarkEnd w:id="21"/>
      <w:bookmarkEnd w:id="22"/>
    </w:p>
    <w:tbl>
      <w:tblPr>
        <w:tblStyle w:val="24"/>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陶山服务区物业服务</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WGSS-JFJT-X-2023005</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温州市高速公路资产经营有限公司</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温州市汤家桥国大广场东首5-6楼</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蔡先生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13376871622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代理机构地址：温州市黎明西路342号人保财险鹿城支公司办公大楼401室</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温州市高速公路资产经营有限公司所需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陶山服务区物业服务</w:t>
            </w:r>
            <w:r>
              <w:rPr>
                <w:rFonts w:hint="eastAsia" w:ascii="宋体" w:hAnsi="宋体" w:eastAsia="宋体" w:cs="宋体"/>
                <w:sz w:val="18"/>
                <w:szCs w:val="18"/>
                <w:highlight w:val="none"/>
              </w:rPr>
              <w:t>，具体服务内容包括秩序维护、安保管理、卫生管理、设备维护，</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u w:val="single"/>
              </w:rPr>
              <w:t>▲本项目采购预算为人民币</w:t>
            </w:r>
            <w:r>
              <w:rPr>
                <w:rFonts w:hint="eastAsia" w:ascii="宋体" w:hAnsi="宋体" w:eastAsia="宋体" w:cs="宋体"/>
                <w:b/>
                <w:kern w:val="0"/>
                <w:sz w:val="18"/>
                <w:szCs w:val="18"/>
                <w:highlight w:val="none"/>
                <w:u w:val="single"/>
                <w:lang w:val="en-US" w:eastAsia="zh-CN"/>
              </w:rPr>
              <w:t>362.5</w:t>
            </w:r>
            <w:r>
              <w:rPr>
                <w:rFonts w:hint="eastAsia" w:ascii="宋体" w:hAnsi="宋体" w:eastAsia="宋体" w:cs="宋体"/>
                <w:b/>
                <w:kern w:val="0"/>
                <w:sz w:val="18"/>
                <w:szCs w:val="18"/>
                <w:highlight w:val="none"/>
                <w:u w:val="single"/>
              </w:rPr>
              <w:t>万元，投标供应商的投标报价超出</w:t>
            </w:r>
            <w:r>
              <w:rPr>
                <w:rFonts w:hint="eastAsia" w:ascii="宋体" w:hAnsi="宋体" w:eastAsia="宋体" w:cs="宋体"/>
                <w:b/>
                <w:kern w:val="0"/>
                <w:sz w:val="18"/>
                <w:szCs w:val="18"/>
                <w:highlight w:val="none"/>
                <w:u w:val="single"/>
                <w:lang w:val="en-US" w:eastAsia="zh-CN"/>
              </w:rPr>
              <w:t>采购预算</w:t>
            </w:r>
            <w:r>
              <w:rPr>
                <w:rFonts w:hint="eastAsia" w:ascii="宋体" w:hAnsi="宋体" w:eastAsia="宋体" w:cs="宋体"/>
                <w:b/>
                <w:kern w:val="0"/>
                <w:sz w:val="18"/>
                <w:szCs w:val="18"/>
                <w:highlight w:val="none"/>
                <w:u w:val="single"/>
              </w:rPr>
              <w:t>（大于</w:t>
            </w:r>
            <w:r>
              <w:rPr>
                <w:rFonts w:hint="eastAsia" w:ascii="宋体" w:hAnsi="宋体" w:eastAsia="宋体" w:cs="宋体"/>
                <w:b/>
                <w:kern w:val="0"/>
                <w:sz w:val="18"/>
                <w:szCs w:val="18"/>
                <w:highlight w:val="none"/>
                <w:u w:val="single"/>
                <w:lang w:val="en-US" w:eastAsia="zh-CN"/>
              </w:rPr>
              <w:t>362.5</w:t>
            </w:r>
            <w:r>
              <w:rPr>
                <w:rFonts w:hint="eastAsia" w:ascii="宋体" w:hAnsi="宋体" w:eastAsia="宋体" w:cs="宋体"/>
                <w:b/>
                <w:kern w:val="0"/>
                <w:sz w:val="18"/>
                <w:szCs w:val="18"/>
                <w:highlight w:val="none"/>
                <w:u w:val="single"/>
              </w:rPr>
              <w:t>万元）的作无效标处理</w:t>
            </w:r>
            <w:r>
              <w:rPr>
                <w:rFonts w:hint="eastAsia" w:ascii="宋体" w:hAnsi="宋体" w:eastAsia="宋体" w:cs="宋体"/>
                <w:b/>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服务</w:t>
            </w:r>
            <w:r>
              <w:rPr>
                <w:rFonts w:hint="eastAsia" w:ascii="宋体" w:hAnsi="宋体" w:eastAsia="宋体" w:cs="宋体"/>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合同签订之日起1年，采用“1+1</w:t>
            </w:r>
            <w:r>
              <w:rPr>
                <w:rFonts w:hint="eastAsia" w:ascii="宋体" w:hAnsi="宋体" w:eastAsia="宋体" w:cs="宋体"/>
                <w:kern w:val="0"/>
                <w:sz w:val="18"/>
                <w:szCs w:val="18"/>
                <w:highlight w:val="none"/>
                <w:lang w:val="en-US" w:eastAsia="zh-CN"/>
              </w:rPr>
              <w:t>年</w:t>
            </w:r>
            <w:r>
              <w:rPr>
                <w:rFonts w:hint="eastAsia" w:ascii="宋体" w:hAnsi="宋体" w:eastAsia="宋体" w:cs="宋体"/>
                <w:kern w:val="0"/>
                <w:sz w:val="18"/>
                <w:szCs w:val="18"/>
                <w:highlight w:val="none"/>
              </w:rPr>
              <w:t>”模式，合同期满后，经经营公司各项考核合格后，合同可以顺延1年。</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b/>
                <w:bCs/>
                <w:kern w:val="0"/>
                <w:sz w:val="18"/>
                <w:szCs w:val="18"/>
                <w:highlight w:val="none"/>
              </w:rPr>
              <w:t>见采购公告中的要求</w:t>
            </w:r>
            <w:r>
              <w:rPr>
                <w:rFonts w:hint="eastAsia" w:ascii="宋体" w:hAnsi="宋体" w:eastAsia="宋体" w:cs="宋体"/>
                <w:b/>
                <w:bCs/>
                <w:kern w:val="0"/>
                <w:sz w:val="18"/>
                <w:szCs w:val="18"/>
                <w:highlight w:val="none"/>
                <w:lang w:eastAsia="zh-CN"/>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不组织</w:t>
            </w:r>
            <w:r>
              <w:rPr>
                <w:rFonts w:hint="eastAsia" w:ascii="宋体" w:hAnsi="宋体" w:eastAsia="宋体" w:cs="宋体"/>
                <w:kern w:val="0"/>
                <w:sz w:val="18"/>
                <w:szCs w:val="18"/>
                <w:highlight w:val="none"/>
                <w:lang w:eastAsia="zh-CN"/>
              </w:rPr>
              <w:t>，投标供应商若需踏勘现场，请联系</w:t>
            </w:r>
            <w:r>
              <w:rPr>
                <w:rFonts w:hint="eastAsia" w:ascii="宋体" w:hAnsi="宋体" w:eastAsia="宋体" w:cs="宋体"/>
                <w:kern w:val="0"/>
                <w:sz w:val="18"/>
                <w:szCs w:val="18"/>
                <w:highlight w:val="none"/>
                <w:lang w:val="en-US" w:eastAsia="zh-CN"/>
              </w:rPr>
              <w:t>采购</w:t>
            </w:r>
            <w:r>
              <w:rPr>
                <w:rFonts w:hint="eastAsia" w:ascii="宋体" w:hAnsi="宋体" w:eastAsia="宋体" w:cs="宋体"/>
                <w:kern w:val="0"/>
                <w:sz w:val="18"/>
                <w:szCs w:val="18"/>
                <w:highlight w:val="none"/>
                <w:lang w:eastAsia="zh-CN"/>
              </w:rPr>
              <w:t>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w:t>
            </w:r>
            <w:r>
              <w:rPr>
                <w:rFonts w:hint="eastAsia" w:ascii="宋体" w:hAnsi="宋体" w:eastAsia="宋体" w:cs="宋体"/>
                <w:kern w:val="0"/>
                <w:sz w:val="18"/>
                <w:szCs w:val="18"/>
                <w:highlight w:val="none"/>
              </w:rPr>
              <w:t>截止时间：</w:t>
            </w:r>
            <w:r>
              <w:rPr>
                <w:rFonts w:hint="eastAsia" w:ascii="宋体" w:hAnsi="宋体" w:eastAsia="宋体" w:cs="宋体"/>
                <w:color w:val="0000FF"/>
                <w:kern w:val="0"/>
                <w:sz w:val="18"/>
                <w:szCs w:val="18"/>
                <w:highlight w:val="none"/>
              </w:rPr>
              <w:t>202</w:t>
            </w:r>
            <w:r>
              <w:rPr>
                <w:rFonts w:hint="eastAsia" w:ascii="宋体" w:hAnsi="宋体" w:eastAsia="宋体" w:cs="宋体"/>
                <w:color w:val="0000FF"/>
                <w:kern w:val="0"/>
                <w:sz w:val="18"/>
                <w:szCs w:val="18"/>
                <w:highlight w:val="none"/>
                <w:lang w:val="en-US" w:eastAsia="zh-CN"/>
              </w:rPr>
              <w:t>3</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3</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29</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上</w:t>
            </w:r>
            <w:r>
              <w:rPr>
                <w:rFonts w:hint="eastAsia" w:ascii="宋体" w:hAnsi="宋体" w:eastAsia="宋体" w:cs="宋体"/>
                <w:color w:val="0000FF"/>
                <w:kern w:val="0"/>
                <w:sz w:val="18"/>
                <w:szCs w:val="18"/>
                <w:highlight w:val="none"/>
              </w:rPr>
              <w:t>午1</w:t>
            </w:r>
            <w:r>
              <w:rPr>
                <w:rFonts w:hint="eastAsia" w:ascii="宋体" w:hAnsi="宋体" w:eastAsia="宋体" w:cs="宋体"/>
                <w:color w:val="0000FF"/>
                <w:kern w:val="0"/>
                <w:sz w:val="18"/>
                <w:szCs w:val="18"/>
                <w:highlight w:val="none"/>
                <w:lang w:val="en-US" w:eastAsia="zh-CN"/>
              </w:rPr>
              <w:t>1</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澄清文件提交：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30"/>
                <w:rFonts w:hint="eastAsia" w:ascii="宋体" w:hAnsi="宋体" w:eastAsia="宋体" w:cs="宋体"/>
                <w:color w:val="auto"/>
                <w:kern w:val="0"/>
                <w:sz w:val="18"/>
                <w:szCs w:val="18"/>
                <w:highlight w:val="none"/>
              </w:rPr>
              <w:t>澄清文件加盖公章后以扫描件发送至邮箱</w:t>
            </w:r>
            <w:r>
              <w:rPr>
                <w:rStyle w:val="30"/>
                <w:rFonts w:hint="eastAsia" w:ascii="宋体" w:hAnsi="宋体" w:eastAsia="宋体" w:cs="宋体"/>
                <w:color w:val="auto"/>
                <w:kern w:val="0"/>
                <w:sz w:val="18"/>
                <w:szCs w:val="18"/>
                <w:highlight w:val="none"/>
                <w:lang w:eastAsia="zh-CN"/>
              </w:rPr>
              <w:t>1826066763</w:t>
            </w:r>
            <w:r>
              <w:rPr>
                <w:rStyle w:val="30"/>
                <w:rFonts w:hint="eastAsia" w:ascii="宋体" w:hAnsi="宋体" w:eastAsia="宋体" w:cs="宋体"/>
                <w:color w:val="auto"/>
                <w:kern w:val="0"/>
                <w:sz w:val="18"/>
                <w:szCs w:val="18"/>
                <w:highlight w:val="none"/>
              </w:rPr>
              <w:t>@qq.com</w:t>
            </w:r>
            <w:r>
              <w:rPr>
                <w:rStyle w:val="30"/>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pPr>
              <w:spacing w:line="240" w:lineRule="exact"/>
              <w:rPr>
                <w:rFonts w:hint="eastAsia" w:ascii="宋体" w:hAnsi="宋体" w:eastAsia="宋体" w:cs="宋体"/>
                <w:b/>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3</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4</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13</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下午14</w:t>
            </w:r>
            <w:r>
              <w:rPr>
                <w:rFonts w:hint="eastAsia" w:ascii="宋体" w:hAnsi="宋体" w:eastAsia="宋体" w:cs="宋体"/>
                <w:b/>
                <w:bCs/>
                <w:color w:val="0000FF"/>
                <w:kern w:val="0"/>
                <w:sz w:val="18"/>
                <w:szCs w:val="18"/>
                <w:highlight w:val="none"/>
              </w:rPr>
              <w:t>时30分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w:t>
            </w:r>
            <w:r>
              <w:rPr>
                <w:rFonts w:hint="eastAsia" w:ascii="宋体" w:hAnsi="宋体" w:eastAsia="宋体" w:cs="宋体"/>
                <w:bCs/>
                <w:kern w:val="0"/>
                <w:sz w:val="18"/>
                <w:szCs w:val="18"/>
                <w:highlight w:val="none"/>
              </w:rPr>
              <w:t>温州市政务服务管理中心收标区 (温州市鹿城区会展路1268号温州市民中心A座3楼公共资源交易专区)（详见当天大厅大屏幕）</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w:t>
            </w:r>
            <w:r>
              <w:rPr>
                <w:rFonts w:hint="eastAsia" w:ascii="宋体" w:hAnsi="宋体" w:eastAsia="宋体" w:cs="宋体"/>
                <w:bCs/>
                <w:kern w:val="0"/>
                <w:sz w:val="18"/>
                <w:szCs w:val="18"/>
                <w:highlight w:val="none"/>
              </w:rPr>
              <w:t>温州市政务服务管理中心开标区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2.公布在投标截止时间前递交投标文件的投标供应商名称，并点名确认投标供应商是否派授权代表到场；</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4.密封情况检查：由投标供应商或其推选的代表检查投标文件密封情况；</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开启技术资信部分投标文件、开启商务（报价）文件；</w:t>
            </w:r>
            <w:r>
              <w:rPr>
                <w:rFonts w:hint="eastAsia" w:ascii="宋体" w:hAnsi="宋体" w:eastAsia="宋体" w:cs="宋体"/>
                <w:bCs/>
                <w:sz w:val="18"/>
                <w:szCs w:val="18"/>
                <w:highlight w:val="none"/>
              </w:rPr>
              <w:t>宣读“开标一览表”中包括投标报价等内容。</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6.确认开标结果：投标供应商授权代表对开标记录进行当场校核及勘误，并签字确认；并同时由记录人、核对人当场签字确认。</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履约担保的形式：履约保证金（转账形式）</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履约担保的金额：合同价的</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w:t>
            </w:r>
          </w:p>
          <w:p>
            <w:pPr>
              <w:spacing w:line="240" w:lineRule="exact"/>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须按规定向采购人一次性提交履约保证金。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pPr>
              <w:spacing w:line="240" w:lineRule="exact"/>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w:t>
            </w:r>
            <w:r>
              <w:rPr>
                <w:rFonts w:hint="eastAsia" w:ascii="宋体" w:hAnsi="宋体" w:eastAsia="宋体" w:cs="宋体"/>
                <w:bCs/>
                <w:snapToGrid w:val="0"/>
                <w:sz w:val="18"/>
                <w:szCs w:val="18"/>
                <w:highlight w:val="none"/>
              </w:rPr>
              <w:t>@qq.com。</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1、采购文件、采购公告中如有前后不一致的，一律以本“投标供应商须知前附表”为准；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温州市高速公路资产经营有限公司</w:t>
            </w:r>
            <w:r>
              <w:rPr>
                <w:rFonts w:hint="eastAsia" w:ascii="宋体" w:hAnsi="宋体" w:eastAsia="宋体" w:cs="宋体"/>
                <w:kern w:val="0"/>
                <w:sz w:val="18"/>
                <w:szCs w:val="18"/>
                <w:highlight w:val="none"/>
              </w:rPr>
              <w:t>纪检监察室</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 系 人：</w:t>
            </w:r>
            <w:r>
              <w:rPr>
                <w:rFonts w:hint="eastAsia" w:ascii="宋体" w:hAnsi="宋体" w:eastAsia="宋体" w:cs="宋体"/>
                <w:kern w:val="0"/>
                <w:sz w:val="18"/>
                <w:szCs w:val="18"/>
                <w:highlight w:val="none"/>
                <w:lang w:val="en-US" w:eastAsia="zh-CN"/>
              </w:rPr>
              <w:t>胡先生</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联系电话：0577-85559092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szCs w:val="24"/>
          <w:highlight w:val="none"/>
        </w:rPr>
      </w:pPr>
    </w:p>
    <w:p>
      <w:pPr>
        <w:spacing w:before="156" w:beforeLines="50" w:after="156"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23"/>
      <w:bookmarkEnd w:id="24"/>
      <w:bookmarkEnd w:id="25"/>
      <w:bookmarkEnd w:id="26"/>
      <w:bookmarkEnd w:id="27"/>
      <w:bookmarkEnd w:id="28"/>
      <w:bookmarkEnd w:id="29"/>
      <w:bookmarkEnd w:id="30"/>
      <w:bookmarkEnd w:id="31"/>
      <w:bookmarkEnd w:id="3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本次采购工作是按照《温州市市属国有企业采购管理办法（试行）》等有关法律、法规组织和实施的。</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合格的投标人：以本项目采购公告及投标人须知前附表表述为准</w:t>
      </w:r>
      <w:r>
        <w:rPr>
          <w:rFonts w:hint="eastAsia" w:ascii="宋体" w:hAnsi="宋体" w:eastAsia="宋体" w:cs="宋体"/>
          <w:sz w:val="22"/>
          <w:highlight w:val="non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pPr>
        <w:ind w:left="538" w:leftChars="256"/>
        <w:rPr>
          <w:rFonts w:hint="eastAsia" w:ascii="宋体" w:hAnsi="宋体" w:eastAsia="宋体" w:cs="宋体"/>
          <w:sz w:val="22"/>
          <w:highlight w:val="none"/>
        </w:rPr>
      </w:pPr>
      <w:r>
        <w:rPr>
          <w:rFonts w:hint="eastAsia" w:ascii="宋体" w:hAnsi="宋体" w:eastAsia="宋体" w:cs="宋体"/>
          <w:sz w:val="22"/>
          <w:highlight w:val="none"/>
        </w:rPr>
        <w:t>指全权代表投标人参加投标活动并签署投标文件的人。如果投标人代表不是</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，须持有《</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授权书》。</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现场勘察及投标费用</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投标人须知前附表规定组织踏勘现场、召开标前会的，采购人按投标人须知前附表规定的时间、地点组织投标人踏勘项目现场、召开标前会。</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5.2  为了便于编制投标文件，投标人自行对现场和周围环境进行现场察勘，察勘现场的费用由投标人自行承担。</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5.3  在现场察勘中所发生的人员伤亡和财产损失应由投标人自行负责。</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5.4  投标人应承担所有与准备和参加投标有关费用，不论投标的结果如何，采购人和采购代理机构（以下统称“采购单位”）均无义务和责任承担这些费用。</w:t>
      </w:r>
    </w:p>
    <w:p>
      <w:pPr>
        <w:spacing w:before="156" w:beforeLines="50" w:after="156" w:afterLines="50"/>
        <w:jc w:val="center"/>
        <w:rPr>
          <w:rFonts w:hint="eastAsia" w:ascii="宋体" w:hAnsi="宋体" w:eastAsia="宋体" w:cs="宋体"/>
          <w:b/>
          <w:sz w:val="28"/>
          <w:szCs w:val="28"/>
          <w:highlight w:val="none"/>
        </w:rPr>
      </w:pPr>
      <w:bookmarkStart w:id="33" w:name="_Toc223717605"/>
      <w:bookmarkStart w:id="34" w:name="_Toc205877558"/>
      <w:bookmarkStart w:id="35" w:name="_Toc218041727"/>
      <w:bookmarkStart w:id="36" w:name="_Toc209251128"/>
      <w:bookmarkStart w:id="37" w:name="_Toc219538614"/>
      <w:bookmarkStart w:id="38" w:name="_Toc205703103"/>
      <w:bookmarkStart w:id="39" w:name="_Toc209332634"/>
      <w:bookmarkStart w:id="40" w:name="_Toc227056847"/>
      <w:bookmarkStart w:id="41" w:name="_Toc205877453"/>
      <w:bookmarkStart w:id="42" w:name="_Toc205005287"/>
      <w:bookmarkStart w:id="43" w:name="_Toc209250720"/>
      <w:bookmarkStart w:id="44" w:name="_Toc227057034"/>
      <w:bookmarkStart w:id="45" w:name="_Toc209261433"/>
      <w:bookmarkStart w:id="46" w:name="_Toc227489888"/>
      <w:bookmarkStart w:id="47" w:name="_Toc216667821"/>
      <w:bookmarkStart w:id="48" w:name="_Toc223933222"/>
      <w:bookmarkStart w:id="49" w:name="_Toc204491318"/>
      <w:bookmarkStart w:id="50" w:name="_Toc209261366"/>
      <w:bookmarkStart w:id="51" w:name="_Toc205004969"/>
      <w:bookmarkStart w:id="52" w:name="_Toc204578576"/>
      <w:bookmarkStart w:id="53" w:name="_Toc215415531"/>
      <w:bookmarkStart w:id="54" w:name="_Toc207609182"/>
      <w:bookmarkStart w:id="55" w:name="_Toc210879709"/>
      <w:bookmarkStart w:id="56" w:name="_Toc217460686"/>
      <w:bookmarkStart w:id="57" w:name="_Toc214365791"/>
      <w:r>
        <w:rPr>
          <w:rFonts w:hint="eastAsia" w:ascii="宋体" w:hAnsi="宋体" w:eastAsia="宋体" w:cs="宋体"/>
          <w:b/>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rPr>
        <w:tab/>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eastAsia="zh-CN"/>
        </w:rPr>
        <w:t>询疑</w:t>
      </w:r>
      <w:r>
        <w:rPr>
          <w:rFonts w:hint="eastAsia" w:ascii="宋体" w:hAnsi="宋体" w:eastAsia="宋体" w:cs="宋体"/>
          <w:sz w:val="22"/>
          <w:highlight w:val="none"/>
        </w:rPr>
        <w:t>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采购文件的澄清修改将以更正公告形式在原采购公告发布平台上予以公示，以通知所有获取采购文件的潜在投标人。</w:t>
      </w:r>
    </w:p>
    <w:p>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w:t>
      </w:r>
      <w:r>
        <w:rPr>
          <w:rFonts w:hint="eastAsia" w:ascii="宋体" w:hAnsi="宋体" w:eastAsia="宋体" w:cs="宋体"/>
          <w:sz w:val="22"/>
          <w:highlight w:val="none"/>
          <w:lang w:eastAsia="zh-CN"/>
        </w:rPr>
        <w:t>询疑</w:t>
      </w:r>
      <w:r>
        <w:rPr>
          <w:rFonts w:hint="eastAsia" w:ascii="宋体" w:hAnsi="宋体" w:eastAsia="宋体" w:cs="宋体"/>
          <w:sz w:val="22"/>
          <w:highlight w:val="none"/>
        </w:rPr>
        <w:t>截止时间后，经采购人及采购机构同意购买采购文件的投标人不得对采购文件及其补充文件提出澄清</w:t>
      </w:r>
      <w:r>
        <w:rPr>
          <w:rFonts w:hint="eastAsia" w:ascii="宋体" w:hAnsi="宋体" w:eastAsia="宋体" w:cs="宋体"/>
          <w:sz w:val="22"/>
          <w:highlight w:val="none"/>
          <w:lang w:eastAsia="zh-CN"/>
        </w:rPr>
        <w:t>询疑</w:t>
      </w:r>
      <w:r>
        <w:rPr>
          <w:rFonts w:hint="eastAsia" w:ascii="宋体" w:hAnsi="宋体" w:eastAsia="宋体" w:cs="宋体"/>
          <w:sz w:val="22"/>
          <w:highlight w:val="none"/>
        </w:rPr>
        <w:t>要求。</w:t>
      </w:r>
    </w:p>
    <w:p>
      <w:pPr>
        <w:spacing w:before="156" w:beforeLines="50" w:after="156" w:afterLines="50"/>
        <w:jc w:val="center"/>
        <w:rPr>
          <w:rFonts w:hint="eastAsia" w:ascii="宋体" w:hAnsi="宋体" w:eastAsia="宋体" w:cs="宋体"/>
          <w:b/>
          <w:sz w:val="28"/>
          <w:szCs w:val="28"/>
          <w:highlight w:val="none"/>
        </w:rPr>
      </w:pPr>
      <w:bookmarkStart w:id="58" w:name="_Toc227057035"/>
      <w:bookmarkStart w:id="59" w:name="_Toc227489889"/>
      <w:bookmarkStart w:id="60" w:name="_Toc214365792"/>
      <w:bookmarkStart w:id="61" w:name="_Toc209332635"/>
      <w:bookmarkStart w:id="62" w:name="_Toc219538615"/>
      <w:bookmarkStart w:id="63" w:name="_Toc204491319"/>
      <w:bookmarkStart w:id="64" w:name="_Toc209251129"/>
      <w:bookmarkStart w:id="65" w:name="_Toc205877454"/>
      <w:bookmarkStart w:id="66" w:name="_Toc217460687"/>
      <w:bookmarkStart w:id="67" w:name="_Toc216667822"/>
      <w:bookmarkStart w:id="68" w:name="_Toc205877559"/>
      <w:bookmarkStart w:id="69" w:name="_Toc218041728"/>
      <w:bookmarkStart w:id="70" w:name="_Toc209250721"/>
      <w:bookmarkStart w:id="71" w:name="_Toc205005288"/>
      <w:bookmarkStart w:id="72" w:name="_Toc209261367"/>
      <w:bookmarkStart w:id="73" w:name="_Toc223933223"/>
      <w:bookmarkStart w:id="74" w:name="_Toc205703104"/>
      <w:bookmarkStart w:id="75" w:name="_Toc223717606"/>
      <w:bookmarkStart w:id="76" w:name="_Toc209261434"/>
      <w:bookmarkStart w:id="77" w:name="_Toc227056848"/>
      <w:bookmarkStart w:id="78" w:name="_Toc205004970"/>
      <w:bookmarkStart w:id="79" w:name="_Toc204578577"/>
      <w:bookmarkStart w:id="80" w:name="_Toc207609183"/>
      <w:bookmarkStart w:id="81" w:name="_Toc215415532"/>
      <w:bookmarkStart w:id="82" w:name="_Toc210879710"/>
      <w:r>
        <w:rPr>
          <w:rFonts w:hint="eastAsia" w:ascii="宋体" w:hAnsi="宋体" w:eastAsia="宋体" w:cs="宋体"/>
          <w:b/>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2019年1月1日以来</w:t>
            </w:r>
            <w:r>
              <w:rPr>
                <w:rFonts w:hint="eastAsia" w:ascii="宋体" w:hAnsi="宋体" w:eastAsia="宋体" w:cs="宋体"/>
                <w:sz w:val="18"/>
                <w:szCs w:val="18"/>
                <w:highlight w:val="none"/>
              </w:rPr>
              <w:t>同类项目业绩一览表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项目组织实施方案</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11</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服务人员人均月工资承诺函</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p>
        </w:tc>
        <w:tc>
          <w:tcPr>
            <w:tcW w:w="1105" w:type="dxa"/>
            <w:vAlign w:val="center"/>
          </w:tcPr>
          <w:p>
            <w:pPr>
              <w:jc w:val="center"/>
              <w:rPr>
                <w:rFonts w:hint="eastAsia" w:ascii="宋体" w:hAnsi="宋体" w:eastAsia="宋体" w:cs="宋体"/>
                <w:sz w:val="18"/>
                <w:szCs w:val="18"/>
                <w:highlight w:val="none"/>
              </w:rPr>
            </w:pPr>
          </w:p>
        </w:tc>
      </w:tr>
    </w:tbl>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1）投标供应商可根据采购文件中的技术规格书以及技术资信评分表，提供投标供应商认为需要提供的文件和资料。</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2）投标文件中应承诺：投标供应商所提供的服务及货物在合同执行过程中如若发生侵权事件，其侵权责任与</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人及</w:t>
      </w:r>
      <w:r>
        <w:rPr>
          <w:rFonts w:hint="eastAsia" w:ascii="宋体" w:hAnsi="宋体" w:eastAsia="宋体" w:cs="宋体"/>
          <w:sz w:val="22"/>
          <w:highlight w:val="none"/>
          <w:lang w:eastAsia="zh-CN"/>
        </w:rPr>
        <w:t>采购</w:t>
      </w:r>
      <w:r>
        <w:rPr>
          <w:rFonts w:hint="eastAsia" w:ascii="宋体" w:hAnsi="宋体" w:eastAsia="宋体" w:cs="宋体"/>
          <w:sz w:val="22"/>
          <w:highlight w:val="none"/>
        </w:rPr>
        <w:t>代理机构无关，由投标供应商承担全部责任。侵权造成的所有相关费用，均由投标供应商支付，保证不伤害</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人的利益。</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w:t>
      </w:r>
      <w:r>
        <w:rPr>
          <w:rFonts w:hint="eastAsia" w:ascii="宋体" w:hAnsi="宋体" w:eastAsia="宋体" w:cs="宋体"/>
          <w:b/>
          <w:bCs/>
          <w:sz w:val="22"/>
          <w:highlight w:val="none"/>
          <w:u w:val="single"/>
        </w:rPr>
        <w:t>以上所需的各种证书、证件、证明、执照若系复印件，须在复印件上加盖投标供应商有效的公章</w:t>
      </w:r>
      <w:r>
        <w:rPr>
          <w:rFonts w:hint="eastAsia" w:ascii="宋体" w:hAnsi="宋体" w:eastAsia="宋体" w:cs="宋体"/>
          <w:sz w:val="22"/>
          <w:highlight w:val="none"/>
        </w:rPr>
        <w:t>。</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4）投标供应商可在采购文件中对采购服务的技术规格和要求选用替代标准，但这些替代标准必须相当于或优于采购文件中提出的相应要求，并使采购人满意。同时在技术偏离表中作出详细说明。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三</w:t>
            </w:r>
          </w:p>
        </w:tc>
      </w:tr>
    </w:tbl>
    <w:p>
      <w:pPr>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highlight w:val="none"/>
        </w:rPr>
        <w:t>。</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pPr>
        <w:rPr>
          <w:rFonts w:hint="eastAsia" w:ascii="宋体" w:hAnsi="宋体" w:eastAsia="宋体" w:cs="宋体"/>
          <w:b/>
          <w:sz w:val="22"/>
          <w:highlight w:val="none"/>
        </w:rPr>
      </w:pPr>
      <w:r>
        <w:rPr>
          <w:rFonts w:hint="eastAsia" w:ascii="宋体" w:hAnsi="宋体" w:eastAsia="宋体" w:cs="宋体"/>
          <w:b/>
          <w:sz w:val="22"/>
          <w:highlight w:val="none"/>
        </w:rPr>
        <w:t>11.3   需递交的证明文件的原件明细如下：</w:t>
      </w:r>
    </w:p>
    <w:p>
      <w:pPr>
        <w:tabs>
          <w:tab w:val="left" w:pos="360"/>
          <w:tab w:val="left" w:pos="540"/>
        </w:tabs>
        <w:ind w:firstLine="442" w:firstLineChars="200"/>
        <w:rPr>
          <w:rFonts w:hint="eastAsia" w:ascii="宋体" w:hAnsi="宋体" w:eastAsia="宋体" w:cs="宋体"/>
          <w:b/>
          <w:bCs/>
          <w:kern w:val="0"/>
          <w:sz w:val="22"/>
          <w:highlight w:val="none"/>
          <w:lang w:eastAsia="zh-CN"/>
        </w:rPr>
      </w:pPr>
      <w:r>
        <w:rPr>
          <w:rFonts w:hint="eastAsia" w:ascii="宋体" w:hAnsi="宋体" w:eastAsia="宋体" w:cs="宋体"/>
          <w:b/>
          <w:bCs/>
          <w:kern w:val="0"/>
          <w:sz w:val="22"/>
          <w:highlight w:val="none"/>
          <w:lang w:val="en-US" w:eastAsia="zh-CN"/>
        </w:rPr>
        <w:t>1）</w:t>
      </w:r>
      <w:r>
        <w:rPr>
          <w:rFonts w:hint="eastAsia" w:ascii="宋体" w:hAnsi="宋体" w:eastAsia="宋体" w:cs="宋体"/>
          <w:b/>
          <w:bCs/>
          <w:kern w:val="0"/>
          <w:sz w:val="22"/>
          <w:highlight w:val="none"/>
        </w:rPr>
        <w:t>与评分有关质量管理体系认证证书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环境体系认证证书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职业健康安全体系认证证书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政府主管部门服务业标准化创建证书</w:t>
      </w:r>
      <w:r>
        <w:rPr>
          <w:rFonts w:hint="eastAsia" w:ascii="宋体" w:hAnsi="宋体" w:eastAsia="宋体" w:cs="宋体"/>
          <w:b/>
          <w:bCs/>
          <w:kern w:val="0"/>
          <w:sz w:val="22"/>
          <w:highlight w:val="none"/>
          <w:lang w:val="en-US" w:eastAsia="zh-CN"/>
        </w:rPr>
        <w:t>原件</w:t>
      </w:r>
      <w:r>
        <w:rPr>
          <w:rFonts w:hint="eastAsia" w:ascii="宋体" w:hAnsi="宋体" w:eastAsia="宋体" w:cs="宋体"/>
          <w:b/>
          <w:bCs/>
          <w:kern w:val="0"/>
          <w:sz w:val="22"/>
          <w:highlight w:val="none"/>
          <w:lang w:eastAsia="zh-CN"/>
        </w:rPr>
        <w:t>；</w:t>
      </w:r>
    </w:p>
    <w:p>
      <w:pPr>
        <w:tabs>
          <w:tab w:val="left" w:pos="360"/>
          <w:tab w:val="left" w:pos="540"/>
        </w:tabs>
        <w:ind w:firstLine="442" w:firstLineChars="200"/>
        <w:rPr>
          <w:rFonts w:hint="eastAsia" w:ascii="宋体" w:hAnsi="宋体" w:eastAsia="宋体" w:cs="宋体"/>
          <w:b/>
          <w:bCs/>
          <w:kern w:val="0"/>
          <w:sz w:val="22"/>
          <w:highlight w:val="none"/>
          <w:lang w:val="en-US" w:eastAsia="zh-CN"/>
        </w:rPr>
      </w:pPr>
      <w:r>
        <w:rPr>
          <w:rFonts w:hint="eastAsia" w:ascii="宋体" w:hAnsi="宋体" w:eastAsia="宋体" w:cs="宋体"/>
          <w:b/>
          <w:bCs/>
          <w:kern w:val="0"/>
          <w:sz w:val="22"/>
          <w:highlight w:val="none"/>
          <w:lang w:val="en-US" w:eastAsia="zh-CN"/>
        </w:rPr>
        <w:t>2）与评分有关的</w:t>
      </w:r>
      <w:r>
        <w:rPr>
          <w:rFonts w:hint="eastAsia" w:ascii="宋体" w:hAnsi="宋体" w:eastAsia="宋体" w:cs="宋体"/>
          <w:b/>
          <w:bCs/>
          <w:kern w:val="0"/>
          <w:sz w:val="22"/>
          <w:highlight w:val="none"/>
        </w:rPr>
        <w:t>高速服务区物业管理业绩</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其他公共场所物业管理项目业绩</w:t>
      </w:r>
      <w:r>
        <w:rPr>
          <w:rFonts w:hint="eastAsia" w:ascii="宋体" w:hAnsi="宋体" w:eastAsia="宋体" w:cs="宋体"/>
          <w:b/>
          <w:bCs/>
          <w:kern w:val="0"/>
          <w:sz w:val="22"/>
          <w:highlight w:val="none"/>
          <w:lang w:val="en-US" w:eastAsia="zh-CN"/>
        </w:rPr>
        <w:t>合同原件</w:t>
      </w:r>
    </w:p>
    <w:p>
      <w:pPr>
        <w:tabs>
          <w:tab w:val="left" w:pos="360"/>
          <w:tab w:val="left" w:pos="540"/>
        </w:tabs>
        <w:ind w:firstLine="442" w:firstLineChars="200"/>
        <w:rPr>
          <w:rFonts w:hint="eastAsia" w:ascii="宋体" w:hAnsi="宋体" w:eastAsia="宋体" w:cs="宋体"/>
          <w:b/>
          <w:bCs/>
          <w:kern w:val="0"/>
          <w:sz w:val="22"/>
          <w:highlight w:val="none"/>
        </w:rPr>
      </w:pPr>
      <w:r>
        <w:rPr>
          <w:rFonts w:hint="eastAsia" w:ascii="宋体" w:hAnsi="宋体" w:eastAsia="宋体" w:cs="宋体"/>
          <w:b/>
          <w:bCs/>
          <w:kern w:val="0"/>
          <w:sz w:val="22"/>
          <w:highlight w:val="none"/>
        </w:rPr>
        <w:t>备注：</w:t>
      </w:r>
    </w:p>
    <w:p>
      <w:pPr>
        <w:tabs>
          <w:tab w:val="left" w:pos="360"/>
          <w:tab w:val="left" w:pos="540"/>
        </w:tabs>
        <w:ind w:firstLine="541" w:firstLineChars="245"/>
        <w:rPr>
          <w:rFonts w:hint="eastAsia" w:ascii="宋体" w:hAnsi="宋体" w:eastAsia="宋体" w:cs="宋体"/>
          <w:b/>
          <w:sz w:val="22"/>
          <w:highlight w:val="none"/>
        </w:rPr>
      </w:pPr>
      <w:r>
        <w:rPr>
          <w:rFonts w:hint="eastAsia" w:ascii="宋体" w:hAnsi="宋体" w:eastAsia="宋体" w:cs="宋体"/>
          <w:b/>
          <w:sz w:val="22"/>
          <w:highlight w:val="none"/>
        </w:rPr>
        <w:t>（1）要求提供的原件在投标文件技术资信标中需提供复印件，并加盖投标人公章。</w:t>
      </w:r>
    </w:p>
    <w:p>
      <w:pPr>
        <w:tabs>
          <w:tab w:val="left" w:pos="360"/>
          <w:tab w:val="left" w:pos="540"/>
        </w:tabs>
        <w:ind w:firstLine="541" w:firstLineChars="245"/>
        <w:rPr>
          <w:rFonts w:hint="eastAsia" w:ascii="宋体" w:hAnsi="宋体" w:eastAsia="宋体" w:cs="宋体"/>
          <w:b/>
          <w:sz w:val="22"/>
          <w:highlight w:val="none"/>
        </w:rPr>
      </w:pPr>
      <w:r>
        <w:rPr>
          <w:rFonts w:hint="eastAsia" w:ascii="宋体" w:hAnsi="宋体" w:eastAsia="宋体" w:cs="宋体"/>
          <w:b/>
          <w:sz w:val="22"/>
          <w:highlight w:val="none"/>
        </w:rPr>
        <w:t>（2）证明文件原件按规定递送后，不能再对其进行补充或删减。</w:t>
      </w:r>
    </w:p>
    <w:p>
      <w:pPr>
        <w:tabs>
          <w:tab w:val="left" w:pos="360"/>
          <w:tab w:val="left" w:pos="540"/>
        </w:tabs>
        <w:ind w:firstLine="541" w:firstLineChars="245"/>
        <w:rPr>
          <w:rFonts w:hint="eastAsia" w:ascii="宋体" w:hAnsi="宋体" w:eastAsia="宋体" w:cs="宋体"/>
          <w:b/>
          <w:sz w:val="22"/>
          <w:highlight w:val="none"/>
        </w:rPr>
      </w:pPr>
      <w:r>
        <w:rPr>
          <w:rFonts w:hint="eastAsia" w:ascii="宋体" w:hAnsi="宋体" w:eastAsia="宋体" w:cs="宋体"/>
          <w:b/>
          <w:sz w:val="22"/>
          <w:highlight w:val="none"/>
        </w:rPr>
        <w:t>（3）以上证明文件原件须装入密封袋中进行密封，外封面上按顺序编制目录列明材料清单、投标单位名称、采购项目名称等信息，并在投标截止时间前和投标文件一同密封递交，由评标委员会核实无误后再评分。</w:t>
      </w:r>
    </w:p>
    <w:p>
      <w:pPr>
        <w:tabs>
          <w:tab w:val="left" w:pos="525"/>
          <w:tab w:val="left" w:pos="900"/>
        </w:tabs>
        <w:ind w:firstLine="442" w:firstLineChars="200"/>
        <w:rPr>
          <w:rFonts w:hint="eastAsia" w:ascii="宋体" w:hAnsi="宋体" w:eastAsia="宋体" w:cs="宋体"/>
          <w:highlight w:val="none"/>
        </w:rPr>
      </w:pPr>
      <w:r>
        <w:rPr>
          <w:rFonts w:hint="eastAsia" w:ascii="宋体" w:hAnsi="宋体" w:eastAsia="宋体" w:cs="宋体"/>
          <w:b/>
          <w:snapToGrid w:val="0"/>
          <w:sz w:val="22"/>
          <w:highlight w:val="none"/>
          <w:em w:val="dot"/>
        </w:rPr>
        <w:t>与评分有关的</w:t>
      </w:r>
      <w:r>
        <w:rPr>
          <w:rFonts w:hint="eastAsia" w:ascii="宋体" w:hAnsi="宋体" w:eastAsia="宋体" w:cs="宋体"/>
          <w:b/>
          <w:snapToGrid w:val="0"/>
          <w:sz w:val="22"/>
          <w:highlight w:val="none"/>
          <w:em w:val="dot"/>
          <w:lang w:val="en-US" w:eastAsia="zh-CN"/>
        </w:rPr>
        <w:t>证明文件</w:t>
      </w:r>
      <w:r>
        <w:rPr>
          <w:rFonts w:hint="eastAsia" w:ascii="宋体" w:hAnsi="宋体" w:eastAsia="宋体" w:cs="宋体"/>
          <w:b/>
          <w:snapToGrid w:val="0"/>
          <w:sz w:val="22"/>
          <w:highlight w:val="none"/>
          <w:em w:val="dot"/>
        </w:rPr>
        <w:t>原件如不按要求提交的，评标时相关评分项不得分，11.3条中规定的原件在评标结束后退还。</w:t>
      </w:r>
    </w:p>
    <w:p>
      <w:pPr>
        <w:numPr>
          <w:ilvl w:val="0"/>
          <w:numId w:val="3"/>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投标报价</w:t>
      </w:r>
    </w:p>
    <w:p>
      <w:pPr>
        <w:ind w:left="526" w:hanging="526" w:hangingChars="238"/>
        <w:rPr>
          <w:rFonts w:hint="eastAsia" w:ascii="宋体" w:hAnsi="宋体" w:eastAsia="宋体" w:cs="宋体"/>
          <w:b/>
          <w:bCs/>
          <w:sz w:val="22"/>
          <w:szCs w:val="22"/>
          <w:highlight w:val="none"/>
        </w:rPr>
      </w:pPr>
      <w:r>
        <w:rPr>
          <w:rFonts w:hint="eastAsia" w:ascii="宋体" w:hAnsi="宋体" w:eastAsia="宋体" w:cs="宋体"/>
          <w:b/>
          <w:bCs/>
          <w:sz w:val="22"/>
          <w:highlight w:val="none"/>
        </w:rPr>
        <w:t>12.1</w:t>
      </w:r>
      <w:r>
        <w:rPr>
          <w:rFonts w:hint="eastAsia" w:ascii="宋体" w:hAnsi="宋体" w:eastAsia="宋体" w:cs="宋体"/>
          <w:b/>
          <w:bCs/>
          <w:sz w:val="22"/>
          <w:szCs w:val="22"/>
          <w:highlight w:val="none"/>
        </w:rPr>
        <w:t xml:space="preserve"> </w:t>
      </w:r>
      <w:r>
        <w:rPr>
          <w:rFonts w:hint="eastAsia" w:ascii="宋体" w:hAnsi="宋体" w:eastAsia="宋体" w:cs="宋体"/>
          <w:b/>
          <w:sz w:val="22"/>
          <w:szCs w:val="22"/>
          <w:highlight w:val="none"/>
          <w:u w:val="single"/>
        </w:rPr>
        <w:t>▲本项目投标报价为期限壹年的承包费用报价，并采用固定总价承包。投标报价是指</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在正确地完全履行合同义务后</w:t>
      </w:r>
      <w:r>
        <w:rPr>
          <w:rFonts w:hint="eastAsia" w:ascii="宋体" w:hAnsi="宋体" w:eastAsia="宋体" w:cs="宋体"/>
          <w:b/>
          <w:sz w:val="22"/>
          <w:szCs w:val="22"/>
          <w:highlight w:val="none"/>
          <w:u w:val="single"/>
          <w:lang w:val="en-US" w:eastAsia="zh-CN"/>
        </w:rPr>
        <w:t>采购人</w:t>
      </w:r>
      <w:r>
        <w:rPr>
          <w:rFonts w:hint="eastAsia" w:ascii="宋体" w:hAnsi="宋体" w:eastAsia="宋体" w:cs="宋体"/>
          <w:b/>
          <w:sz w:val="22"/>
          <w:szCs w:val="22"/>
          <w:highlight w:val="none"/>
          <w:u w:val="single"/>
        </w:rPr>
        <w:t>应支付给</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所有的价款，包括但不限于所有服务所需的人工费（包括工人工资、奖金、房补、劳保福利、社保、工伤费、教育培训费、暂住费及处理一切伤亡事故等费用）、消防远程监控维保费用、服装摊销、除四害费用及物业服务人员的装备费【包括人员各季节工作服和相关装备费用（含通讯设备及通讯费）】、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价</w:t>
      </w:r>
      <w:r>
        <w:rPr>
          <w:rFonts w:hint="eastAsia" w:ascii="宋体" w:hAnsi="宋体" w:eastAsia="宋体" w:cs="宋体"/>
          <w:b/>
          <w:bCs/>
          <w:sz w:val="22"/>
          <w:szCs w:val="22"/>
          <w:highlight w:val="none"/>
        </w:rPr>
        <w:t>。</w:t>
      </w:r>
    </w:p>
    <w:p>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sz w:val="22"/>
          <w:highlight w:val="none"/>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w:t>
      </w:r>
      <w:r>
        <w:rPr>
          <w:rFonts w:hint="eastAsia" w:ascii="宋体" w:hAnsi="宋体" w:eastAsia="宋体" w:cs="宋体"/>
          <w:b/>
          <w:bCs/>
          <w:sz w:val="22"/>
          <w:highlight w:val="none"/>
          <w:lang w:eastAsia="zh-CN"/>
        </w:rPr>
        <w:t>法定代表人</w:t>
      </w:r>
      <w:r>
        <w:rPr>
          <w:rFonts w:hint="eastAsia" w:ascii="宋体" w:hAnsi="宋体" w:eastAsia="宋体" w:cs="宋体"/>
          <w:b/>
          <w:bCs/>
          <w:sz w:val="22"/>
          <w:highlight w:val="none"/>
        </w:rPr>
        <w:t>或投标人代表签署。</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12.6采购单位要求分类报价是为了方便评标，但在任何情况下不限制采购人以其认为最合适的条款、条件签订合同的权利。</w:t>
      </w:r>
    </w:p>
    <w:p>
      <w:pPr>
        <w:keepNext w:val="0"/>
        <w:keepLines w:val="0"/>
        <w:pageBreakBefore w:val="0"/>
        <w:widowControl w:val="0"/>
        <w:tabs>
          <w:tab w:val="left" w:pos="-180"/>
          <w:tab w:val="left" w:pos="180"/>
          <w:tab w:val="left" w:pos="360"/>
        </w:tabs>
        <w:kinsoku/>
        <w:wordWrap w:val="0"/>
        <w:overflowPunct/>
        <w:topLinePunct w:val="0"/>
        <w:autoSpaceDE/>
        <w:autoSpaceDN/>
        <w:bidi w:val="0"/>
        <w:adjustRightInd/>
        <w:snapToGrid/>
        <w:textAlignment w:val="auto"/>
        <w:rPr>
          <w:rFonts w:hint="eastAsia" w:ascii="宋体" w:hAnsi="宋体" w:eastAsia="宋体" w:cs="宋体"/>
          <w:sz w:val="22"/>
          <w:highlight w:val="non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投标报价报出后，投标人不得以任何理由予以变更。任何包含价格调整的要求，将被认为是非实质性响应投标而予以拒绝。</w:t>
      </w:r>
    </w:p>
    <w:p>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sz w:val="22"/>
          <w:highlight w:val="none"/>
          <w:u w:val="single"/>
        </w:rPr>
      </w:pPr>
      <w:r>
        <w:rPr>
          <w:rFonts w:hint="eastAsia" w:ascii="宋体" w:hAnsi="宋体" w:eastAsia="宋体" w:cs="宋体"/>
          <w:b/>
          <w:sz w:val="22"/>
          <w:highlight w:val="none"/>
          <w:u w:val="single"/>
        </w:rPr>
        <w:t>▲投标保证金</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13.1 </w:t>
      </w:r>
      <w:r>
        <w:rPr>
          <w:rFonts w:hint="eastAsia" w:ascii="宋体" w:hAnsi="宋体" w:eastAsia="宋体" w:cs="宋体"/>
          <w:b/>
          <w:bCs/>
          <w:sz w:val="22"/>
          <w:highlight w:val="none"/>
          <w:u w:val="single"/>
        </w:rPr>
        <w:t>投标人须按投标人须知前附表规定交纳投标保证金，否则采购人将不接受其投标</w:t>
      </w:r>
      <w:r>
        <w:rPr>
          <w:rFonts w:hint="eastAsia" w:ascii="宋体" w:hAnsi="宋体" w:eastAsia="宋体" w:cs="宋体"/>
          <w:sz w:val="22"/>
          <w:highlight w:val="none"/>
        </w:rPr>
        <w:t>。</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13.2</w:t>
      </w:r>
      <w:r>
        <w:rPr>
          <w:rFonts w:hint="eastAsia" w:ascii="宋体" w:hAnsi="宋体" w:eastAsia="宋体" w:cs="宋体"/>
          <w:b/>
          <w:bCs/>
          <w:sz w:val="22"/>
          <w:highlight w:val="none"/>
          <w:u w:val="single"/>
        </w:rPr>
        <w:t>投标保证金金额及形式详见采购公告及投标须知前附表规定。</w:t>
      </w:r>
    </w:p>
    <w:p>
      <w:pPr>
        <w:tabs>
          <w:tab w:val="left" w:pos="851"/>
          <w:tab w:val="left" w:pos="1080"/>
        </w:tabs>
        <w:ind w:left="524" w:hanging="523" w:hangingChars="238"/>
        <w:rPr>
          <w:rFonts w:hint="eastAsia" w:ascii="宋体" w:hAnsi="宋体" w:eastAsia="宋体" w:cs="宋体"/>
          <w:b/>
          <w:bCs/>
          <w:sz w:val="22"/>
          <w:highlight w:val="none"/>
        </w:rPr>
      </w:pPr>
      <w:r>
        <w:rPr>
          <w:rFonts w:hint="eastAsia" w:ascii="宋体" w:hAnsi="宋体" w:eastAsia="宋体" w:cs="宋体"/>
          <w:sz w:val="22"/>
          <w:highlight w:val="none"/>
        </w:rPr>
        <w:t>13.3 投标人的投标保证金在中标人提交履约担保并与采购人签订了合同且合同经备案后无息退还，未中标投标人的投标保证金将在确定中标人后无息退还。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sz w:val="22"/>
          <w:highlight w:val="none"/>
        </w:rPr>
        <w:t>因此请投标人注意及时联系政采云询问有关投标保证金退还事宜，政采云服务热线95763 （服务时间：工作日8：00-20：00）。</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13.4 </w:t>
      </w:r>
      <w:r>
        <w:rPr>
          <w:rFonts w:hint="eastAsia" w:ascii="宋体" w:hAnsi="宋体" w:eastAsia="宋体" w:cs="宋体"/>
          <w:b/>
          <w:sz w:val="22"/>
          <w:highlight w:val="none"/>
          <w:u w:val="single"/>
        </w:rPr>
        <w:t>如发生下列情况之一，投标保证金将不予退还：</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投标人在采购文件规定的投标有效期内撤回投标；</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中标人未按中标通知书中规定的时间与采购人签订合同；</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中标人在规定期限内未能根据采购文件要求提供履约担保；</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经国企采购监督管理部门审查认定投标供应商有违反《温州市市属国有企业采购管理办法（试行）》等有关法律法规的行为。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投标有效期</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14.1 </w:t>
      </w:r>
      <w:r>
        <w:rPr>
          <w:rFonts w:hint="eastAsia" w:ascii="宋体" w:hAnsi="宋体" w:eastAsia="宋体" w:cs="宋体"/>
          <w:b/>
          <w:sz w:val="22"/>
          <w:highlight w:val="none"/>
          <w:u w:val="single"/>
        </w:rPr>
        <w:t>▲投标有效期见投标人须知前附表，投标文件有效期短于这个规定期限的将被拒绝。</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五</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四</w:t>
      </w:r>
      <w:r>
        <w:rPr>
          <w:rFonts w:hint="eastAsia" w:ascii="宋体" w:hAnsi="宋体" w:eastAsia="宋体" w:cs="宋体"/>
          <w:b/>
          <w:sz w:val="22"/>
          <w:highlight w:val="none"/>
        </w:rPr>
        <w:t>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或其授权代表签署，副本可用正本的复印件。</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或其授权代表签字。</w:t>
      </w:r>
      <w:r>
        <w:rPr>
          <w:rFonts w:hint="eastAsia" w:ascii="宋体" w:hAnsi="宋体" w:eastAsia="宋体" w:cs="宋体"/>
          <w:b/>
          <w:sz w:val="22"/>
          <w:highlight w:val="none"/>
        </w:rPr>
        <w:t>封皮上写明投标项目名称、采购编号，并注明“开标时启封”字样。</w:t>
      </w:r>
    </w:p>
    <w:p>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pPr>
        <w:spacing w:before="156" w:beforeLines="50" w:after="156" w:afterLines="50"/>
        <w:jc w:val="center"/>
        <w:rPr>
          <w:rFonts w:hint="eastAsia" w:ascii="宋体" w:hAnsi="宋体" w:eastAsia="宋体" w:cs="宋体"/>
          <w:b/>
          <w:sz w:val="28"/>
          <w:szCs w:val="28"/>
          <w:highlight w:val="none"/>
        </w:rPr>
      </w:pPr>
      <w:bookmarkStart w:id="83" w:name="_Toc205703105"/>
      <w:bookmarkStart w:id="84" w:name="_Toc219538616"/>
      <w:bookmarkStart w:id="85" w:name="_Toc227057036"/>
      <w:bookmarkStart w:id="86" w:name="_Toc217460688"/>
      <w:bookmarkStart w:id="87" w:name="_Toc209332636"/>
      <w:bookmarkStart w:id="88" w:name="_Toc205004971"/>
      <w:bookmarkStart w:id="89" w:name="_Toc204491320"/>
      <w:bookmarkStart w:id="90" w:name="_Toc209261435"/>
      <w:bookmarkStart w:id="91" w:name="_Toc223933224"/>
      <w:bookmarkStart w:id="92" w:name="_Toc223717607"/>
      <w:bookmarkStart w:id="93" w:name="_Toc205877455"/>
      <w:bookmarkStart w:id="94" w:name="_Toc218041729"/>
      <w:bookmarkStart w:id="95" w:name="_Toc210879711"/>
      <w:bookmarkStart w:id="96" w:name="_Toc204578578"/>
      <w:bookmarkStart w:id="97" w:name="_Toc215415533"/>
      <w:bookmarkStart w:id="98" w:name="_Toc216667823"/>
      <w:bookmarkStart w:id="99" w:name="_Toc205005289"/>
      <w:bookmarkStart w:id="100" w:name="_Toc227056849"/>
      <w:bookmarkStart w:id="101" w:name="_Toc207609184"/>
      <w:bookmarkStart w:id="102" w:name="_Toc209250722"/>
      <w:bookmarkStart w:id="103" w:name="_Toc209251130"/>
      <w:bookmarkStart w:id="104" w:name="_Toc205877560"/>
      <w:bookmarkStart w:id="105" w:name="_Toc227489890"/>
      <w:bookmarkStart w:id="106" w:name="_Toc209261368"/>
      <w:bookmarkStart w:id="107" w:name="_Toc214365793"/>
      <w:r>
        <w:rPr>
          <w:rFonts w:hint="eastAsia" w:ascii="宋体" w:hAnsi="宋体" w:eastAsia="宋体" w:cs="宋体"/>
          <w:b/>
          <w:sz w:val="28"/>
          <w:szCs w:val="28"/>
          <w:highlight w:val="none"/>
        </w:rPr>
        <w:t>四、 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投标保证金缴纳凭证；</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投标人代表有效身份证件（原件）；</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如企业/事业单位</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委派投标人代表的，需提交</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授权书（原件）。</w:t>
      </w:r>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未密封或未装订的投标文件及由于包装不妥在送达途中严重破损或失散的投标文件；</w:t>
      </w:r>
    </w:p>
    <w:p>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pPr>
        <w:spacing w:before="156" w:beforeLines="50" w:after="156" w:afterLines="50"/>
        <w:jc w:val="center"/>
        <w:rPr>
          <w:rFonts w:hint="eastAsia" w:ascii="宋体" w:hAnsi="宋体" w:eastAsia="宋体" w:cs="宋体"/>
          <w:b/>
          <w:sz w:val="28"/>
          <w:szCs w:val="28"/>
          <w:highlight w:val="none"/>
        </w:rPr>
      </w:pPr>
      <w:bookmarkStart w:id="108" w:name="_Toc207609185"/>
      <w:bookmarkStart w:id="109" w:name="_Toc218041730"/>
      <w:bookmarkStart w:id="110" w:name="_Toc204578579"/>
      <w:bookmarkStart w:id="111" w:name="_Toc209261436"/>
      <w:bookmarkStart w:id="112" w:name="_Toc210879712"/>
      <w:bookmarkStart w:id="113" w:name="_Toc227056850"/>
      <w:bookmarkStart w:id="114" w:name="_Toc204491321"/>
      <w:bookmarkStart w:id="115" w:name="_Toc205877456"/>
      <w:bookmarkStart w:id="116" w:name="_Toc209261369"/>
      <w:bookmarkStart w:id="117" w:name="_Toc205004972"/>
      <w:bookmarkStart w:id="118" w:name="_Toc209251131"/>
      <w:bookmarkStart w:id="119" w:name="_Toc219538617"/>
      <w:bookmarkStart w:id="120" w:name="_Toc215415534"/>
      <w:bookmarkStart w:id="121" w:name="_Toc217460689"/>
      <w:bookmarkStart w:id="122" w:name="_Toc209250723"/>
      <w:bookmarkStart w:id="123" w:name="_Toc209332637"/>
      <w:bookmarkStart w:id="124" w:name="_Toc205703106"/>
      <w:bookmarkStart w:id="125" w:name="_Toc205005290"/>
      <w:bookmarkStart w:id="126" w:name="_Toc223933225"/>
      <w:bookmarkStart w:id="127" w:name="_Toc216667824"/>
      <w:bookmarkStart w:id="128" w:name="_Toc223717608"/>
      <w:bookmarkStart w:id="129" w:name="_Toc205877561"/>
      <w:bookmarkStart w:id="130" w:name="_Toc227489891"/>
      <w:bookmarkStart w:id="131" w:name="_Toc214365794"/>
      <w:bookmarkStart w:id="132" w:name="_Toc227057037"/>
      <w:r>
        <w:rPr>
          <w:rFonts w:hint="eastAsia" w:ascii="宋体" w:hAnsi="宋体" w:eastAsia="宋体" w:cs="宋体"/>
          <w:b/>
          <w:sz w:val="28"/>
          <w:szCs w:val="28"/>
          <w:highlight w:val="none"/>
        </w:rPr>
        <w:t>五、 开标和评审</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numPr>
          <w:ilvl w:val="0"/>
          <w:numId w:val="3"/>
        </w:numPr>
        <w:tabs>
          <w:tab w:val="left" w:pos="525"/>
          <w:tab w:val="left" w:pos="900"/>
        </w:tabs>
        <w:ind w:left="525" w:hanging="525"/>
        <w:rPr>
          <w:rFonts w:hint="eastAsia" w:ascii="宋体" w:hAnsi="宋体" w:eastAsia="宋体" w:cs="宋体"/>
          <w:sz w:val="22"/>
          <w:highlight w:val="none"/>
        </w:rPr>
      </w:pPr>
      <w:bookmarkStart w:id="133" w:name="_Toc223933226"/>
      <w:bookmarkStart w:id="134" w:name="_Toc227057038"/>
      <w:bookmarkStart w:id="135" w:name="_Toc223717609"/>
      <w:bookmarkStart w:id="136" w:name="_Toc216667825"/>
      <w:bookmarkStart w:id="137" w:name="_Toc205004973"/>
      <w:bookmarkStart w:id="138" w:name="_Toc205877562"/>
      <w:bookmarkStart w:id="139" w:name="_Toc205005291"/>
      <w:bookmarkStart w:id="140" w:name="_Toc205877457"/>
      <w:bookmarkStart w:id="141" w:name="_Toc205703107"/>
      <w:bookmarkStart w:id="142" w:name="_Toc217460690"/>
      <w:bookmarkStart w:id="143" w:name="_Toc214365795"/>
      <w:bookmarkStart w:id="144" w:name="_Toc209261370"/>
      <w:bookmarkStart w:id="145" w:name="_Toc227489892"/>
      <w:bookmarkStart w:id="146" w:name="_Toc218041731"/>
      <w:bookmarkStart w:id="147" w:name="_Toc215415535"/>
      <w:bookmarkStart w:id="148" w:name="_Toc209332638"/>
      <w:bookmarkStart w:id="149" w:name="_Toc219538618"/>
      <w:bookmarkStart w:id="150" w:name="_Toc204578580"/>
      <w:bookmarkStart w:id="151" w:name="_Toc210879713"/>
      <w:bookmarkStart w:id="152" w:name="_Toc227056851"/>
      <w:bookmarkStart w:id="153" w:name="_Toc209250724"/>
      <w:bookmarkStart w:id="154" w:name="_Toc207609186"/>
      <w:bookmarkStart w:id="155" w:name="_Toc204491322"/>
      <w:bookmarkStart w:id="156" w:name="_Toc209251132"/>
      <w:bookmarkStart w:id="157" w:name="_Toc209261437"/>
      <w:r>
        <w:rPr>
          <w:rFonts w:hint="eastAsia" w:ascii="宋体" w:hAnsi="宋体" w:eastAsia="宋体" w:cs="宋体"/>
          <w:sz w:val="22"/>
          <w:highlight w:val="none"/>
        </w:rPr>
        <w:t>评标委员会</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开标程序：</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公布在投标截止时间前递交投标文件的投标供应商名称，并点名确认投标供应商是否派授权代表到场；</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密封情况检查：由投标供应商或其推选的代表检查投标文件密封情况；</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开标顺序：</w:t>
      </w:r>
      <w:r>
        <w:rPr>
          <w:rFonts w:hint="eastAsia" w:ascii="宋体" w:hAnsi="宋体" w:eastAsia="宋体" w:cs="宋体"/>
          <w:bCs/>
          <w:sz w:val="22"/>
          <w:highlight w:val="none"/>
          <w:lang w:val="en-US" w:eastAsia="zh-CN"/>
        </w:rPr>
        <w:t>同时</w:t>
      </w:r>
      <w:r>
        <w:rPr>
          <w:rFonts w:hint="eastAsia" w:ascii="宋体" w:hAnsi="宋体" w:eastAsia="宋体" w:cs="宋体"/>
          <w:bCs/>
          <w:sz w:val="22"/>
          <w:highlight w:val="none"/>
        </w:rPr>
        <w:t>开启技术资信部分投标文件、开启商务（报价）文件；</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确认开标结果：投标供应商授权代表对开标书面记录进行当场校核及勘误，并签字确认；并同时由记录人、核对人当场签字确认。</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投标供应商授权代表未参加开标会议；未到场签字确认的，不影响开标，评标过程，视同认可开标结果；事后不得对采购相关人员、开标过程和开标结果提出异议。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Cs/>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highlight w:val="none"/>
          <w:lang w:eastAsia="zh-CN"/>
        </w:rPr>
        <w:t>法定代表人</w:t>
      </w:r>
      <w:r>
        <w:rPr>
          <w:rFonts w:hint="eastAsia" w:ascii="宋体" w:hAnsi="宋体" w:eastAsia="宋体" w:cs="宋体"/>
          <w:bCs/>
          <w:sz w:val="22"/>
          <w:highlight w:val="none"/>
        </w:rPr>
        <w:t>授权书（原件）、投标代表人有效身份证件（原件）、投标保证金缴纳凭证，以及投标文件所提交证明材料是否能证明符合本项目对投标人资格的实质性要求。</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Cs/>
          <w:sz w:val="22"/>
          <w:highlight w:val="none"/>
        </w:rPr>
        <w:t>符合性检查。依据采购文件的规定，对投标文件的有效性、完整性和对采购文件的响应程度进行审查，以确定是否对采购文件的实质性要求作出响应。</w:t>
      </w:r>
    </w:p>
    <w:p>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▲通过资格性审查与符合性审查的技术资信标由评委进行综合评审，审查确认未通过的技术资信标不予评审。</w:t>
      </w:r>
    </w:p>
    <w:p>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w:t>
      </w:r>
      <w:r>
        <w:rPr>
          <w:rFonts w:hint="eastAsia" w:ascii="宋体" w:hAnsi="宋体" w:eastAsia="宋体" w:cs="宋体"/>
          <w:bCs/>
          <w:sz w:val="22"/>
          <w:highlight w:val="none"/>
          <w:u w:val="single"/>
          <w:lang w:val="en-US" w:eastAsia="zh-CN"/>
        </w:rPr>
        <w:t>主要内容</w:t>
      </w:r>
      <w:r>
        <w:rPr>
          <w:rFonts w:hint="eastAsia" w:ascii="宋体" w:hAnsi="宋体" w:eastAsia="宋体" w:cs="宋体"/>
          <w:bCs/>
          <w:sz w:val="22"/>
          <w:highlight w:val="none"/>
          <w:u w:val="single"/>
        </w:rPr>
        <w:t>未按要求加盖单位公章、无</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或其授权代表签字或盖章的；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合法、有效委托的；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投标单位递交两份以上内容不同的投标书，未声明哪一份有效的；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投标单位未能按要求提交投标保证金的；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w:t>
      </w:r>
      <w:r>
        <w:rPr>
          <w:rFonts w:hint="eastAsia" w:ascii="宋体" w:hAnsi="宋体" w:eastAsia="宋体" w:cs="宋体"/>
          <w:bCs/>
          <w:sz w:val="22"/>
          <w:highlight w:val="none"/>
          <w:u w:val="single"/>
          <w:lang w:val="en-US" w:eastAsia="zh-CN"/>
        </w:rPr>
        <w:t>的</w:t>
      </w:r>
      <w:r>
        <w:rPr>
          <w:rFonts w:hint="eastAsia" w:ascii="宋体" w:hAnsi="宋体" w:eastAsia="宋体" w:cs="宋体"/>
          <w:bCs/>
          <w:sz w:val="22"/>
          <w:highlight w:val="none"/>
          <w:u w:val="single"/>
        </w:rPr>
        <w:t>条款；</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投标报价超过</w:t>
      </w:r>
      <w:r>
        <w:rPr>
          <w:rFonts w:hint="eastAsia" w:ascii="宋体" w:hAnsi="宋体" w:eastAsia="宋体" w:cs="宋体"/>
          <w:bCs/>
          <w:sz w:val="22"/>
          <w:highlight w:val="none"/>
          <w:u w:val="single"/>
          <w:lang w:eastAsia="zh-CN"/>
        </w:rPr>
        <w:t>采购预算</w:t>
      </w:r>
      <w:r>
        <w:rPr>
          <w:rFonts w:hint="eastAsia" w:ascii="宋体" w:hAnsi="宋体" w:eastAsia="宋体" w:cs="宋体"/>
          <w:bCs/>
          <w:sz w:val="22"/>
          <w:highlight w:val="none"/>
          <w:u w:val="single"/>
        </w:rPr>
        <w:t>（大于</w:t>
      </w:r>
      <w:r>
        <w:rPr>
          <w:rFonts w:hint="eastAsia" w:ascii="宋体" w:hAnsi="宋体" w:eastAsia="宋体" w:cs="宋体"/>
          <w:bCs/>
          <w:sz w:val="22"/>
          <w:highlight w:val="none"/>
          <w:u w:val="single"/>
          <w:lang w:val="en-US" w:eastAsia="zh-CN"/>
        </w:rPr>
        <w:t>362.5</w:t>
      </w:r>
      <w:r>
        <w:rPr>
          <w:rFonts w:hint="eastAsia" w:ascii="宋体" w:hAnsi="宋体" w:eastAsia="宋体" w:cs="宋体"/>
          <w:bCs/>
          <w:sz w:val="22"/>
          <w:highlight w:val="none"/>
          <w:u w:val="single"/>
        </w:rPr>
        <w:t>万元）的；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pPr>
        <w:tabs>
          <w:tab w:val="left" w:pos="525"/>
        </w:tabs>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2）除22.4条款以外，出现其它明显不符合服务内容要求、技术服务标准要求或不满足采购文件“</w:t>
      </w:r>
      <w:r>
        <w:rPr>
          <w:rFonts w:hint="eastAsia" w:ascii="宋体" w:hAnsi="宋体" w:eastAsia="宋体" w:cs="宋体"/>
          <w:kern w:val="0"/>
          <w:sz w:val="22"/>
          <w:highlight w:val="none"/>
          <w:u w:val="single"/>
          <w:lang w:eastAsia="zh-CN"/>
        </w:rPr>
        <w:t>陶山服务区物业服务</w:t>
      </w:r>
      <w:r>
        <w:rPr>
          <w:rFonts w:hint="eastAsia" w:ascii="宋体" w:hAnsi="宋体" w:eastAsia="宋体" w:cs="宋体"/>
          <w:kern w:val="0"/>
          <w:sz w:val="22"/>
          <w:highlight w:val="none"/>
          <w:u w:val="single"/>
        </w:rPr>
        <w:t>内容及要求”中的主要技术指标</w:t>
      </w:r>
      <w:r>
        <w:rPr>
          <w:rFonts w:hint="eastAsia" w:ascii="宋体" w:hAnsi="宋体" w:eastAsia="宋体" w:cs="宋体"/>
          <w:bCs/>
          <w:sz w:val="22"/>
          <w:highlight w:val="none"/>
          <w:u w:val="single"/>
        </w:rPr>
        <w:t>，对服务质量产生重大影响</w:t>
      </w:r>
      <w:r>
        <w:rPr>
          <w:rFonts w:hint="eastAsia" w:ascii="宋体" w:hAnsi="宋体" w:eastAsia="宋体" w:cs="宋体"/>
          <w:kern w:val="0"/>
          <w:sz w:val="22"/>
          <w:highlight w:val="none"/>
          <w:u w:val="single"/>
        </w:rPr>
        <w:t>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3）除22.4条款以外，出现投标项目服务工作量与采购文件对比出现较大偏差；商务报价明细表计算错误，出现较大差错；</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有下列情形之一的，视为投标供应商串通投标，其投标无效</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1)不同投标供应商的投标文件由同一单位或者个人编制；</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2)不同投标供应商委托同一单位或者个人办理投标事宜；</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3)不同投标供应商的投标文件载明的项目管理成员或者联系人员为同一人；</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4）不同投标供应商的投标文件异常一致或者投标报价呈规律性差异；</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5）不同投标供应商的投标文件相互混装；</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6）不同投标供应商的投标保证金从同一单位或者个人的账户转出。</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同时出现两种以上不一致的，按照前款规定的顺序修正（前款优先顺序为1）→2）→3）→4））。</w:t>
      </w:r>
    </w:p>
    <w:p>
      <w:pPr>
        <w:tabs>
          <w:tab w:val="left" w:pos="735"/>
        </w:tabs>
        <w:ind w:left="420"/>
        <w:rPr>
          <w:rFonts w:hint="eastAsia" w:ascii="宋体" w:hAnsi="宋体" w:eastAsia="宋体" w:cs="宋体"/>
          <w:sz w:val="22"/>
          <w:highlight w:val="none"/>
          <w:u w:val="single"/>
        </w:rPr>
      </w:pPr>
      <w:r>
        <w:rPr>
          <w:rFonts w:hint="eastAsia" w:ascii="宋体" w:hAnsi="宋体" w:eastAsia="宋体" w:cs="宋体"/>
          <w:kern w:val="0"/>
          <w:sz w:val="22"/>
          <w:highlight w:val="none"/>
          <w:u w:val="single"/>
        </w:rPr>
        <w:t>▲</w:t>
      </w: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szCs w:val="24"/>
          <w:highlight w:val="none"/>
        </w:rPr>
      </w:pPr>
      <w:r>
        <w:rPr>
          <w:rFonts w:hint="eastAsia" w:ascii="宋体" w:hAnsi="宋体" w:eastAsia="宋体" w:cs="宋体"/>
          <w:kern w:val="0"/>
          <w:sz w:val="22"/>
          <w:highlight w:val="none"/>
        </w:rPr>
        <w:t>▲</w:t>
      </w:r>
      <w:r>
        <w:rPr>
          <w:rFonts w:hint="eastAsia" w:ascii="宋体" w:hAnsi="宋体" w:eastAsia="宋体" w:cs="宋体"/>
          <w:b/>
          <w:bCs/>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highlight w:val="none"/>
        </w:rPr>
        <w:t>。</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sz w:val="22"/>
          <w:highlight w:val="none"/>
          <w:u w:val="single"/>
        </w:rPr>
        <w:t>▲如果供应商的报价超出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，则该供应商的报价作无效标处理。本次采购如果所有供应商的报价均超出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，则本采购项目做废标处理。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pPr>
        <w:numPr>
          <w:ilvl w:val="1"/>
          <w:numId w:val="17"/>
        </w:numPr>
        <w:tabs>
          <w:tab w:val="left" w:pos="420"/>
          <w:tab w:val="left" w:pos="450"/>
        </w:tabs>
        <w:ind w:left="525" w:hanging="525"/>
        <w:rPr>
          <w:rFonts w:hint="eastAsia" w:ascii="宋体" w:hAnsi="宋体" w:eastAsia="宋体" w:cs="宋体"/>
          <w:sz w:val="22"/>
          <w:highlight w:val="none"/>
          <w:u w:val="singl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r>
        <w:rPr>
          <w:rFonts w:hint="eastAsia" w:ascii="宋体" w:hAnsi="宋体" w:eastAsia="宋体" w:cs="宋体"/>
          <w:sz w:val="22"/>
          <w:highlight w:val="none"/>
          <w:u w:val="none"/>
        </w:rPr>
        <w:t>。</w:t>
      </w:r>
      <w:r>
        <w:rPr>
          <w:rFonts w:hint="eastAsia" w:ascii="宋体" w:hAnsi="宋体" w:eastAsia="宋体" w:cs="宋体"/>
          <w:b/>
          <w:bCs/>
          <w:sz w:val="22"/>
          <w:highlight w:val="none"/>
          <w:u w:val="single"/>
        </w:rPr>
        <w:t>▲拒不按要求对其投标文件进行澄清，说明或补正的投标人，评标委员会将其作无效标处理</w:t>
      </w:r>
      <w:r>
        <w:rPr>
          <w:rFonts w:hint="eastAsia" w:ascii="宋体" w:hAnsi="宋体" w:eastAsia="宋体" w:cs="宋体"/>
          <w:sz w:val="22"/>
          <w:highlight w:val="none"/>
          <w:u w:val="single"/>
        </w:rPr>
        <w:t>。</w:t>
      </w:r>
    </w:p>
    <w:p>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▲经澄清后，若偏差仍存在，且不可接受，</w:t>
      </w:r>
      <w:r>
        <w:rPr>
          <w:rFonts w:hint="eastAsia" w:ascii="宋体" w:hAnsi="宋体" w:eastAsia="宋体" w:cs="宋体"/>
          <w:b/>
          <w:bCs/>
          <w:sz w:val="22"/>
          <w:highlight w:val="none"/>
          <w:u w:val="single"/>
          <w:lang w:val="en-US" w:eastAsia="zh-CN"/>
        </w:rPr>
        <w:t>投标人则被认为是</w:t>
      </w:r>
      <w:r>
        <w:rPr>
          <w:rFonts w:hint="eastAsia" w:ascii="宋体" w:hAnsi="宋体" w:eastAsia="宋体" w:cs="宋体"/>
          <w:b/>
          <w:bCs/>
          <w:sz w:val="22"/>
          <w:highlight w:val="none"/>
          <w:u w:val="single"/>
        </w:rPr>
        <w:t>“没有实质性响应采购文件要求”，其投标</w:t>
      </w:r>
      <w:r>
        <w:rPr>
          <w:rFonts w:hint="eastAsia" w:ascii="宋体" w:hAnsi="宋体" w:eastAsia="宋体" w:cs="宋体"/>
          <w:b/>
          <w:bCs/>
          <w:sz w:val="22"/>
          <w:highlight w:val="none"/>
          <w:u w:val="single"/>
          <w:lang w:val="en-US" w:eastAsia="zh-CN"/>
        </w:rPr>
        <w:t>将作无效标处理</w:t>
      </w:r>
      <w:r>
        <w:rPr>
          <w:rFonts w:hint="eastAsia" w:ascii="宋体" w:hAnsi="宋体" w:eastAsia="宋体" w:cs="宋体"/>
          <w:sz w:val="22"/>
          <w:highlight w:val="none"/>
          <w:u w:val="singl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如本项目第一次采购因有效投标人数量不足3家作废标处理，根据《温州市市属国有企业采购管理办法（试行）的通知》相关条款规定，采购人将重新组织采购。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rPr>
        <w:t>供应商确定之日起2个工作日内，在</w:t>
      </w:r>
      <w:r>
        <w:rPr>
          <w:rFonts w:hint="eastAsia" w:ascii="宋体" w:hAnsi="宋体" w:eastAsia="宋体" w:cs="宋体"/>
          <w:sz w:val="22"/>
          <w:highlight w:val="none"/>
        </w:rPr>
        <w:t>发布项目采购公告的网站上</w:t>
      </w:r>
      <w:r>
        <w:rPr>
          <w:rFonts w:hint="eastAsia" w:ascii="宋体" w:hAnsi="宋体" w:eastAsia="宋体" w:cs="宋体"/>
          <w:bCs/>
          <w:sz w:val="22"/>
          <w:highlight w:val="none"/>
        </w:rPr>
        <w:t>公告中标结果，中标公告期限为1个工作日。</w:t>
      </w:r>
    </w:p>
    <w:p>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温州市交通发展集团有限公司纪检监察室投诉。</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采购文件、中标投标供应商的投标文件及投标修改文件、评标过程中有关澄清文件及经双方签字的询标纪要（承诺）和中标通知书均作为合同附件。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中标投标供应商在规定时间内（30日历天）借故否认已经承诺的条件、拒签合同，以投标违约处理，其投标保证金不予退回，并赔偿采购人由此造成的直接经济损失；采购人重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highlight w:val="none"/>
        </w:rPr>
        <w:t>新组织采购的，所需费用由原中标投标供应商承担。</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val="0"/>
          <w:bCs/>
          <w:sz w:val="22"/>
          <w:szCs w:val="22"/>
          <w:highlight w:val="none"/>
          <w:shd w:val="clear" w:color="auto" w:fill="FFFF00"/>
        </w:rPr>
      </w:pPr>
      <w:r>
        <w:rPr>
          <w:rFonts w:hint="eastAsia" w:ascii="宋体" w:hAnsi="宋体" w:eastAsia="宋体" w:cs="宋体"/>
          <w:b w:val="0"/>
          <w:bCs/>
          <w:sz w:val="22"/>
          <w:szCs w:val="22"/>
          <w:highlight w:val="none"/>
        </w:rPr>
        <w:t>采购代理服务费</w:t>
      </w:r>
    </w:p>
    <w:p>
      <w:pPr>
        <w:tabs>
          <w:tab w:val="left" w:pos="2800"/>
        </w:tabs>
        <w:autoSpaceDE w:val="0"/>
        <w:autoSpaceDN w:val="0"/>
        <w:ind w:firstLine="440" w:firstLineChars="200"/>
        <w:jc w:val="left"/>
        <w:rPr>
          <w:rFonts w:hint="eastAsia" w:ascii="宋体" w:hAnsi="宋体" w:eastAsia="宋体" w:cs="宋体"/>
          <w:b w:val="0"/>
          <w:bCs/>
          <w:sz w:val="22"/>
          <w:szCs w:val="22"/>
          <w:highlight w:val="none"/>
        </w:rPr>
      </w:pPr>
      <w:bookmarkStart w:id="158" w:name="_Toc215415536"/>
      <w:bookmarkStart w:id="159" w:name="_Toc216667826"/>
      <w:bookmarkStart w:id="160" w:name="_Toc218041732"/>
      <w:bookmarkStart w:id="161" w:name="_Toc227489893"/>
      <w:bookmarkStart w:id="162" w:name="_Toc217460691"/>
      <w:bookmarkStart w:id="163" w:name="_Toc227056852"/>
      <w:bookmarkStart w:id="164" w:name="_Toc223933227"/>
      <w:bookmarkStart w:id="165" w:name="_Toc223717610"/>
      <w:bookmarkStart w:id="166" w:name="_Toc227057039"/>
      <w:bookmarkStart w:id="167" w:name="_Toc219538619"/>
      <w:r>
        <w:rPr>
          <w:rFonts w:hint="eastAsia" w:ascii="宋体" w:hAnsi="宋体" w:eastAsia="宋体" w:cs="宋体"/>
          <w:b w:val="0"/>
          <w:bCs/>
          <w:sz w:val="22"/>
          <w:szCs w:val="22"/>
          <w:highlight w:val="none"/>
        </w:rPr>
        <w:t>本次</w:t>
      </w:r>
      <w:r>
        <w:rPr>
          <w:rFonts w:hint="eastAsia" w:ascii="宋体" w:hAnsi="宋体" w:eastAsia="宋体" w:cs="宋体"/>
          <w:b w:val="0"/>
          <w:bCs/>
          <w:sz w:val="22"/>
          <w:szCs w:val="22"/>
          <w:highlight w:val="none"/>
          <w:lang w:val="en-US" w:eastAsia="zh-CN"/>
        </w:rPr>
        <w:t>采购</w:t>
      </w:r>
      <w:r>
        <w:rPr>
          <w:rFonts w:hint="eastAsia" w:ascii="宋体" w:hAnsi="宋体" w:eastAsia="宋体" w:cs="宋体"/>
          <w:b w:val="0"/>
          <w:bCs/>
          <w:sz w:val="22"/>
          <w:szCs w:val="22"/>
          <w:highlight w:val="none"/>
        </w:rPr>
        <w:t>代理服务费按固定金额</w:t>
      </w:r>
      <w:r>
        <w:rPr>
          <w:rFonts w:hint="eastAsia" w:ascii="宋体" w:hAnsi="宋体" w:eastAsia="宋体" w:cs="宋体"/>
          <w:b w:val="0"/>
          <w:bCs/>
          <w:sz w:val="22"/>
          <w:szCs w:val="22"/>
          <w:highlight w:val="none"/>
          <w:lang w:val="en-US" w:eastAsia="zh-CN"/>
        </w:rPr>
        <w:t>贰万叁仟元整（</w:t>
      </w:r>
      <w:r>
        <w:rPr>
          <w:rFonts w:hint="default" w:ascii="Arial" w:hAnsi="Arial" w:eastAsia="宋体" w:cs="Arial"/>
          <w:b w:val="0"/>
          <w:bCs/>
          <w:sz w:val="22"/>
          <w:szCs w:val="22"/>
          <w:highlight w:val="none"/>
          <w:lang w:val="en-US" w:eastAsia="zh-CN"/>
        </w:rPr>
        <w:t>¥</w:t>
      </w:r>
      <w:r>
        <w:rPr>
          <w:rFonts w:hint="eastAsia" w:ascii="宋体" w:hAnsi="宋体" w:eastAsia="宋体" w:cs="宋体"/>
          <w:b w:val="0"/>
          <w:bCs/>
          <w:sz w:val="22"/>
          <w:szCs w:val="22"/>
          <w:highlight w:val="none"/>
        </w:rPr>
        <w:t>2</w:t>
      </w: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000.00元</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优惠计取，在领取中标通知书前支付给采购代理机构，采购代理服务费包含在投标总价中（报价不需要单列）</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代理服务费汇入以下账号：</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开户银行：工商银行杭州市武林支行</w:t>
      </w:r>
    </w:p>
    <w:p>
      <w:pPr>
        <w:ind w:left="538" w:leftChars="256" w:firstLine="440" w:firstLineChars="200"/>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开户名称：</w:t>
      </w:r>
      <w:r>
        <w:rPr>
          <w:rFonts w:hint="eastAsia" w:ascii="宋体" w:hAnsi="宋体" w:eastAsia="宋体" w:cs="宋体"/>
          <w:b w:val="0"/>
          <w:bCs/>
          <w:sz w:val="22"/>
          <w:szCs w:val="22"/>
          <w:highlight w:val="none"/>
          <w:lang w:eastAsia="zh-CN"/>
        </w:rPr>
        <w:t>浙江国际招投标有限公司</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开户账号：1202021209906782015</w:t>
      </w:r>
    </w:p>
    <w:p>
      <w:pPr>
        <w:ind w:left="538" w:leftChars="256"/>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采购代理服务费可以是现金、支票或汇票。</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解释权</w:t>
      </w:r>
    </w:p>
    <w:p>
      <w:pPr>
        <w:autoSpaceDE w:val="0"/>
        <w:autoSpaceDN w:val="0"/>
        <w:adjustRightInd w:val="0"/>
        <w:spacing w:after="120"/>
        <w:ind w:firstLine="220" w:firstLineChars="1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采购文件的解释权均属于采购人和浙江国际招投标有限公司。</w:t>
      </w:r>
    </w:p>
    <w:p>
      <w:pPr>
        <w:keepNext/>
        <w:spacing w:before="312"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22"/>
          <w:szCs w:val="22"/>
          <w:highlight w:val="none"/>
        </w:rPr>
        <w:br w:type="page"/>
      </w:r>
      <w:bookmarkStart w:id="168" w:name="_Toc491780524"/>
      <w:r>
        <w:rPr>
          <w:rFonts w:hint="eastAsia" w:ascii="宋体" w:hAnsi="宋体" w:eastAsia="宋体" w:cs="宋体"/>
          <w:b/>
          <w:bCs/>
          <w:sz w:val="36"/>
          <w:szCs w:val="36"/>
          <w:highlight w:val="none"/>
        </w:rPr>
        <w:t>第二部分 合同条款</w:t>
      </w:r>
      <w:bookmarkEnd w:id="168"/>
    </w:p>
    <w:bookmarkEnd w:id="158"/>
    <w:bookmarkEnd w:id="159"/>
    <w:bookmarkEnd w:id="160"/>
    <w:bookmarkEnd w:id="161"/>
    <w:bookmarkEnd w:id="162"/>
    <w:bookmarkEnd w:id="163"/>
    <w:bookmarkEnd w:id="164"/>
    <w:bookmarkEnd w:id="165"/>
    <w:bookmarkEnd w:id="166"/>
    <w:bookmarkEnd w:id="167"/>
    <w:p>
      <w:pPr>
        <w:rPr>
          <w:rFonts w:hint="eastAsia" w:ascii="宋体" w:hAnsi="宋体" w:eastAsia="宋体" w:cs="宋体"/>
          <w:szCs w:val="21"/>
          <w:highlight w:val="none"/>
        </w:rPr>
      </w:pPr>
      <w:bookmarkStart w:id="169" w:name="_Toc223933228"/>
      <w:bookmarkStart w:id="170" w:name="_Toc216667827"/>
      <w:bookmarkStart w:id="171" w:name="_Toc215415537"/>
      <w:bookmarkStart w:id="172" w:name="_Toc227057040"/>
      <w:bookmarkStart w:id="173" w:name="_Toc219538620"/>
      <w:bookmarkStart w:id="174" w:name="_Toc217460692"/>
      <w:bookmarkStart w:id="175" w:name="_Toc227489894"/>
      <w:bookmarkStart w:id="176" w:name="_Toc223717611"/>
      <w:bookmarkStart w:id="177" w:name="_Toc218041733"/>
      <w:bookmarkStart w:id="178" w:name="_Toc227056853"/>
      <w:bookmarkStart w:id="179" w:name="_Toc218041734"/>
      <w:bookmarkStart w:id="180" w:name="_Toc219538621"/>
      <w:bookmarkStart w:id="181" w:name="_Toc217460693"/>
      <w:bookmarkStart w:id="182" w:name="_Toc223717612"/>
      <w:bookmarkStart w:id="183" w:name="_Toc227057041"/>
      <w:bookmarkStart w:id="184" w:name="_Toc227056854"/>
      <w:bookmarkStart w:id="185" w:name="_Toc227489895"/>
      <w:bookmarkStart w:id="186" w:name="_Toc216667828"/>
      <w:bookmarkStart w:id="187" w:name="_Toc223933229"/>
      <w:bookmarkStart w:id="188" w:name="_Toc215415538"/>
    </w:p>
    <w:p>
      <w:pPr>
        <w:jc w:val="center"/>
        <w:rPr>
          <w:rFonts w:hint="eastAsia" w:ascii="宋体" w:hAnsi="宋体" w:eastAsia="宋体" w:cs="宋体"/>
          <w:szCs w:val="21"/>
          <w:highlight w:val="none"/>
        </w:rPr>
      </w:pPr>
      <w:r>
        <w:rPr>
          <w:rFonts w:hint="eastAsia" w:ascii="宋体" w:hAnsi="宋体" w:eastAsia="宋体" w:cs="宋体"/>
          <w:szCs w:val="21"/>
          <w:highlight w:val="none"/>
        </w:rPr>
        <w:t>（1）合同主要条款</w:t>
      </w:r>
    </w:p>
    <w:p>
      <w:pPr>
        <w:pStyle w:val="13"/>
        <w:snapToGrid w:val="0"/>
        <w:jc w:val="both"/>
        <w:rPr>
          <w:rFonts w:hint="eastAsia" w:ascii="宋体" w:hAnsi="宋体" w:eastAsia="宋体" w:cs="宋体"/>
          <w:kern w:val="2"/>
          <w:highlight w:val="none"/>
        </w:rPr>
      </w:pP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号：</w:t>
      </w:r>
    </w:p>
    <w:p>
      <w:pPr>
        <w:spacing w:line="240" w:lineRule="auto"/>
        <w:ind w:firstLine="420" w:firstLineChars="200"/>
        <w:rPr>
          <w:rFonts w:hint="eastAsia" w:ascii="宋体" w:hAnsi="宋体" w:eastAsia="宋体" w:cs="宋体"/>
          <w:color w:val="auto"/>
          <w:sz w:val="21"/>
          <w:szCs w:val="21"/>
          <w:highlight w:val="none"/>
          <w:lang w:val="zh-CN"/>
        </w:rPr>
      </w:pP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委托方：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（以下简称甲方）</w:t>
      </w:r>
    </w:p>
    <w:p>
      <w:pPr>
        <w:tabs>
          <w:tab w:val="left" w:pos="4800"/>
        </w:tabs>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受托方：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（以下简称乙方）</w:t>
      </w:r>
    </w:p>
    <w:p>
      <w:pPr>
        <w:spacing w:line="240" w:lineRule="auto"/>
        <w:ind w:firstLine="420" w:firstLineChars="200"/>
        <w:rPr>
          <w:rFonts w:hint="eastAsia" w:ascii="宋体" w:hAnsi="宋体" w:eastAsia="宋体" w:cs="宋体"/>
          <w:color w:val="auto"/>
          <w:sz w:val="21"/>
          <w:szCs w:val="21"/>
          <w:highlight w:val="none"/>
        </w:rPr>
      </w:pP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》等法律法规，本着平等互利的原则，经甲、乙双方友好协商，就乙方为甲方提供物业管理服务事宜达成如下协议：</w:t>
      </w:r>
    </w:p>
    <w:p>
      <w:pPr>
        <w:spacing w:line="240" w:lineRule="auto"/>
        <w:ind w:firstLine="422" w:firstLineChars="200"/>
        <w:jc w:val="center"/>
        <w:rPr>
          <w:rFonts w:hint="eastAsia" w:ascii="宋体" w:hAnsi="宋体" w:eastAsia="宋体" w:cs="宋体"/>
          <w:b/>
          <w:bCs/>
          <w:color w:val="auto"/>
          <w:sz w:val="21"/>
          <w:szCs w:val="21"/>
          <w:highlight w:val="none"/>
        </w:rPr>
      </w:pPr>
    </w:p>
    <w:p>
      <w:pPr>
        <w:spacing w:line="24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第一章  总则</w:t>
      </w:r>
    </w:p>
    <w:p>
      <w:pPr>
        <w:autoSpaceDE w:val="0"/>
        <w:autoSpaceDN w:val="0"/>
        <w:adjustRightInd w:val="0"/>
        <w:spacing w:line="24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zh-CN"/>
        </w:rPr>
        <w:t>第一条</w:t>
      </w:r>
      <w:r>
        <w:rPr>
          <w:rFonts w:hint="eastAsia" w:ascii="宋体" w:hAnsi="宋体" w:eastAsia="宋体" w:cs="宋体"/>
          <w:bCs/>
          <w:color w:val="auto"/>
          <w:sz w:val="21"/>
          <w:szCs w:val="21"/>
          <w:highlight w:val="none"/>
          <w:lang w:val="zh-CN"/>
        </w:rPr>
        <w:t>项目基本情况</w:t>
      </w:r>
    </w:p>
    <w:p>
      <w:pPr>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物业类型</w:t>
      </w:r>
      <w:r>
        <w:rPr>
          <w:rFonts w:hint="eastAsia" w:ascii="宋体" w:hAnsi="宋体" w:eastAsia="宋体" w:cs="宋体"/>
          <w:color w:val="auto"/>
          <w:sz w:val="21"/>
          <w:szCs w:val="21"/>
          <w:highlight w:val="none"/>
          <w:u w:val="single"/>
        </w:rPr>
        <w:t xml:space="preserve">：综合型（办公、商铺、餐厅、停车场、卫生间、设施设备等物业服务）           </w:t>
      </w:r>
    </w:p>
    <w:p>
      <w:pPr>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座落位置：</w:t>
      </w:r>
      <w:r>
        <w:rPr>
          <w:rFonts w:hint="eastAsia" w:ascii="宋体" w:hAnsi="宋体" w:eastAsia="宋体" w:cs="宋体"/>
          <w:color w:val="auto"/>
          <w:sz w:val="21"/>
          <w:szCs w:val="21"/>
          <w:highlight w:val="none"/>
          <w:u w:val="single"/>
        </w:rPr>
        <w:t xml:space="preserve">                                                                         </w:t>
      </w:r>
    </w:p>
    <w:p>
      <w:pPr>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占地面积</w:t>
      </w:r>
      <w:r>
        <w:rPr>
          <w:rFonts w:hint="eastAsia" w:ascii="宋体" w:hAnsi="宋体" w:eastAsia="宋体" w:cs="宋体"/>
          <w:color w:val="auto"/>
          <w:sz w:val="21"/>
          <w:szCs w:val="21"/>
          <w:highlight w:val="none"/>
          <w:u w:val="single"/>
        </w:rPr>
        <w:t xml:space="preserve">：                                                                         </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第二条  </w:t>
      </w:r>
      <w:r>
        <w:rPr>
          <w:rFonts w:hint="eastAsia" w:ascii="宋体" w:hAnsi="宋体" w:eastAsia="宋体" w:cs="宋体"/>
          <w:color w:val="auto"/>
          <w:sz w:val="21"/>
          <w:szCs w:val="21"/>
          <w:highlight w:val="none"/>
        </w:rPr>
        <w:t>乙方提供服务的受益人为本物业的甲方和物业使用人，甲、乙双方均应对履行本协议承担相应的责任。</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物业管理服务期限</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合同期限为1年，从    年   月  日起至    年   月   日止。采用“1+1”模式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一年合同期满后由甲方对乙方服务质量进行考核，考核合格后，经双方同意合同承包期限可顺延1年。</w:t>
      </w:r>
    </w:p>
    <w:p>
      <w:pPr>
        <w:pStyle w:val="35"/>
        <w:rPr>
          <w:rFonts w:hint="eastAsia" w:ascii="宋体" w:hAnsi="宋体" w:eastAsia="宋体" w:cs="宋体"/>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kern w:val="2"/>
          <w:sz w:val="22"/>
          <w:szCs w:val="22"/>
          <w:highlight w:val="none"/>
          <w:lang w:val="en-US" w:eastAsia="zh-CN" w:bidi="ar-SA"/>
        </w:rPr>
        <w:t>管理服务期满后乙方不再继续管理服务或乙方因任何原因提前解除合同的，考虑到服务区的连续性和影响力，甲方有权要求乙方依据本合同约定继续管理服务一段时间（最长6个月），直至新的单位进场。</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第二章物业管理服务事项</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第四条  </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公共卫生间、停车场和大厅（包括办公室、会议室、屋面下水沟、广场下水沟、绿化带内各种垃圾等）的清洁、清扫、除尘、公共（室内外全部）消防设施、设备的日常管理、清洁等并做好相应记录，确保正常工作。</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第五条  </w:t>
      </w:r>
      <w:r>
        <w:rPr>
          <w:rFonts w:hint="eastAsia" w:ascii="宋体" w:hAnsi="宋体" w:eastAsia="宋体" w:cs="宋体"/>
          <w:color w:val="auto"/>
          <w:sz w:val="21"/>
          <w:szCs w:val="21"/>
          <w:highlight w:val="none"/>
        </w:rPr>
        <w:t>维持公共秩序，停车广场的交通与车辆停放秩序，疏导车辆、维护秩序。维持公共卫生，重大节假日或特殊任务期间加派人员。</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color w:val="auto"/>
          <w:sz w:val="21"/>
          <w:szCs w:val="21"/>
          <w:highlight w:val="none"/>
        </w:rPr>
        <w:t>全天候值守（双向</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停车场内场、外场均有现场保安管理），夜间巡逻并巡更、门岗、内部通道执勤、广场车辆引导、危化品车辆登记和统计、车流量统计、各类突发事件的应急处置，及时发现停车广场公共设施和路产的人为损坏情况并上报。</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第七条  </w:t>
      </w:r>
      <w:r>
        <w:rPr>
          <w:rFonts w:hint="eastAsia" w:ascii="宋体" w:hAnsi="宋体" w:eastAsia="宋体" w:cs="宋体"/>
          <w:color w:val="auto"/>
          <w:sz w:val="21"/>
          <w:szCs w:val="21"/>
          <w:highlight w:val="none"/>
        </w:rPr>
        <w:t>对司乘人员违反物业管理制度的行为，根据情节轻重，采取批评、规劝、警告、制止、向甲方反映、向公安、巡警报警等措施。乙方保安管理人员必须在现场处理或配合相关部门进行处理，直到各类隐患消除为止。</w:t>
      </w:r>
    </w:p>
    <w:p>
      <w:pPr>
        <w:spacing w:line="24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 xml:space="preserve">第八条  </w:t>
      </w:r>
      <w:r>
        <w:rPr>
          <w:rFonts w:hint="eastAsia" w:ascii="宋体" w:hAnsi="宋体" w:eastAsia="宋体" w:cs="宋体"/>
          <w:b/>
          <w:color w:val="auto"/>
          <w:sz w:val="21"/>
          <w:szCs w:val="21"/>
          <w:highlight w:val="none"/>
        </w:rPr>
        <w:t>乙方派遣的物业人员符合甲方要求，具体</w:t>
      </w:r>
      <w:r>
        <w:rPr>
          <w:rFonts w:hint="eastAsia" w:ascii="宋体" w:hAnsi="宋体" w:eastAsia="宋体" w:cs="宋体"/>
          <w:b/>
          <w:color w:val="auto"/>
          <w:sz w:val="21"/>
          <w:szCs w:val="21"/>
          <w:highlight w:val="none"/>
          <w:lang w:val="en-US" w:eastAsia="zh-CN"/>
        </w:rPr>
        <w:t>岗位详见合同</w:t>
      </w:r>
      <w:r>
        <w:rPr>
          <w:rFonts w:hint="eastAsia" w:ascii="宋体" w:hAnsi="宋体" w:eastAsia="宋体" w:cs="宋体"/>
          <w:b/>
          <w:color w:val="auto"/>
          <w:sz w:val="21"/>
          <w:szCs w:val="21"/>
          <w:highlight w:val="none"/>
        </w:rPr>
        <w:t>附三管理要求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乙方派遣</w:t>
      </w:r>
      <w:r>
        <w:rPr>
          <w:rFonts w:hint="eastAsia" w:ascii="宋体" w:hAnsi="宋体" w:eastAsia="宋体" w:cs="宋体"/>
          <w:color w:val="auto"/>
          <w:sz w:val="21"/>
          <w:szCs w:val="21"/>
          <w:highlight w:val="none"/>
          <w:lang w:val="en-US" w:eastAsia="zh-CN"/>
        </w:rPr>
        <w:t>物业人员</w:t>
      </w:r>
      <w:r>
        <w:rPr>
          <w:rFonts w:hint="eastAsia" w:ascii="宋体" w:hAnsi="宋体" w:eastAsia="宋体" w:cs="宋体"/>
          <w:color w:val="auto"/>
          <w:sz w:val="21"/>
          <w:szCs w:val="21"/>
          <w:highlight w:val="none"/>
        </w:rPr>
        <w:t>人数</w:t>
      </w:r>
      <w:r>
        <w:rPr>
          <w:rFonts w:hint="eastAsia" w:ascii="宋体" w:hAnsi="宋体" w:eastAsia="宋体" w:cs="宋体"/>
          <w:color w:val="auto"/>
          <w:sz w:val="21"/>
          <w:szCs w:val="21"/>
          <w:highlight w:val="none"/>
          <w:lang w:val="en-US" w:eastAsia="zh-CN"/>
        </w:rPr>
        <w:t>共计</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kern w:val="2"/>
          <w:sz w:val="21"/>
          <w:szCs w:val="21"/>
          <w:highlight w:val="none"/>
          <w:lang w:val="en-US" w:eastAsia="zh-CN" w:bidi="ar"/>
        </w:rPr>
        <w:t>岗位排班须满足现场要求</w:t>
      </w:r>
      <w:r>
        <w:rPr>
          <w:rFonts w:hint="eastAsia" w:ascii="宋体" w:hAnsi="宋体" w:eastAsia="宋体" w:cs="宋体"/>
          <w:color w:val="auto"/>
          <w:sz w:val="21"/>
          <w:szCs w:val="21"/>
          <w:highlight w:val="none"/>
        </w:rPr>
        <w:t>。</w:t>
      </w:r>
    </w:p>
    <w:p>
      <w:pPr>
        <w:spacing w:line="24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消控人员、水电工必须持证上岗（国家职业资格证书），严格按作业证许可范围分别从事各自岗位工作。</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 xml:space="preserve">条  </w:t>
      </w:r>
      <w:r>
        <w:rPr>
          <w:rFonts w:hint="eastAsia" w:ascii="宋体" w:hAnsi="宋体" w:eastAsia="宋体" w:cs="宋体"/>
          <w:color w:val="auto"/>
          <w:sz w:val="21"/>
          <w:szCs w:val="21"/>
          <w:highlight w:val="none"/>
        </w:rPr>
        <w:t>乙方派驻人员采用24小时不间断对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进行各项服务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每班工作时间八小时</w:t>
      </w:r>
      <w:r>
        <w:rPr>
          <w:rFonts w:hint="eastAsia" w:ascii="宋体" w:hAnsi="宋体" w:eastAsia="宋体" w:cs="宋体"/>
          <w:color w:val="auto"/>
          <w:sz w:val="21"/>
          <w:szCs w:val="21"/>
          <w:highlight w:val="none"/>
        </w:rPr>
        <w:t>。就餐时间及就餐地点由甲方指定。</w:t>
      </w:r>
    </w:p>
    <w:p>
      <w:pPr>
        <w:spacing w:line="240" w:lineRule="auto"/>
        <w:ind w:left="210" w:leftChars="100" w:firstLine="211" w:firstLineChars="1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物业管理服务</w:t>
      </w:r>
      <w:r>
        <w:rPr>
          <w:rFonts w:hint="eastAsia" w:ascii="宋体" w:hAnsi="宋体" w:eastAsia="宋体" w:cs="宋体"/>
          <w:b/>
          <w:bCs w:val="0"/>
          <w:color w:val="auto"/>
          <w:sz w:val="21"/>
          <w:szCs w:val="21"/>
          <w:highlight w:val="none"/>
          <w:lang w:val="en-US" w:eastAsia="zh-CN"/>
        </w:rPr>
        <w:t>补充条款，</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（一）其他增值服务内容条款：</w:t>
      </w:r>
    </w:p>
    <w:p>
      <w:pPr>
        <w:pStyle w:val="2"/>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注：投标中已承诺的增值服务，如在服务期内乙方未按相关承诺实施的，甲方有权将相关服务另行委托第三方实施，相关费用按实际支付情况在结算季度款项时予以扣除。</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（二）其他增值服务设备条款：</w:t>
      </w:r>
    </w:p>
    <w:p>
      <w:pPr>
        <w:pStyle w:val="2"/>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注：投标中已承诺的提供的增值设备，如在服务期内乙方未按相关承诺提供的或合同签订后1个月内不能到位的，甲方有权另行购置或租赁，相关费用由乙方承担，并在季度款项时予以扣除。</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第三章双方权利义务</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第十条  </w:t>
      </w:r>
      <w:r>
        <w:rPr>
          <w:rFonts w:hint="eastAsia" w:ascii="宋体" w:hAnsi="宋体" w:eastAsia="宋体" w:cs="宋体"/>
          <w:color w:val="auto"/>
          <w:sz w:val="21"/>
          <w:szCs w:val="21"/>
          <w:highlight w:val="none"/>
        </w:rPr>
        <w:t>甲方权利义务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1.代表和维护产权人、使用人的合法权益；</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2.审定乙方拟定的物业管理制度，及乙方所聘用的人员；</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3.检查监督乙方管理工作的实施及制度的执行情况；</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4.审定乙方提出的物业管理服务年度计划；</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6.协助乙方作好物业管理工作和宣传教育、文化活动；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7.向乙方无偿、及时提供必要的办公用房、保安、保洁工作所用的设备器材、清洁用品、用具等，同时甲方负责承担物业管理办公所实施的水电费用；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8.向乙方无偿提供必要的物料储藏室、员工作息间，其所有权归甲方所有；</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9.及时足额向乙方支付相关服务费用。</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第十一条  </w:t>
      </w:r>
      <w:r>
        <w:rPr>
          <w:rFonts w:hint="eastAsia" w:ascii="宋体" w:hAnsi="宋体" w:eastAsia="宋体" w:cs="宋体"/>
          <w:color w:val="auto"/>
          <w:sz w:val="21"/>
          <w:szCs w:val="21"/>
          <w:highlight w:val="none"/>
        </w:rPr>
        <w:t>乙方权利义务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1.根据有关法律法规、本协议及协议附件的约定，制订物业管理制度；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2.对司乘人员违反法规、规章的行为进行规劝和制止，并报甲方备案；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3.未经甲方书面同意，乙方不得将本物业的管理责任转让给第三方，未经甲方同意不允许乙方分包或转包甲方服务管理事宜；</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4.在物业日常管理过程中对超越职权无法解决的事项或物业设施需要维修、保养以及为保证正常、安全运行所需要更换的设备，要及时向甲方反映，费用由甲方承担（包括消防设施、设备）；</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5.负责编制物业管理年度管理计划；</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6.对本物业的公用设施不得擅自占用和改变使用功能；</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7.按每月向甲方提出设备器材（清单另列附件）、清洁用品、用具等需求（领用）计划；</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甲方需委托其他管理服务事项时，乙方应积极配合；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9.合同终止时，乙方必须向甲方移交物业管理的全部档案资料；</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10.及时足额向甲方收取相关服务费用；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11.乙方的物业管理人员要有符合国家规定的上岗证、健康证、保安员需持有保安员证，要严格政审，没有刑事犯罪记录，并报甲方备案。对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须配置物业项目工作对接人，项目工作对接人聘用要经甲方审定，国家法定假日须在现场值守。对物业聘用人员，必须向甲方提供身份证、暂住证复印件，并每月向甲方提供人员花名册；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12.因乙方及工作人员因管理不当造成人员和</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财产伤害或损失的，由乙方承担责任，造成甲方损失的，由乙方负责赔偿；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13.乙方的物业管理人员要听从甲方调动指挥；</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14．甲方对乙方员工的工作行为进行监督，如发现乙方员工有违反规定和制度行为，甲方将要求其整改，乙方员工态度恶劣拒不改正的，乙方必须予以辞退；</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负责员工招聘、录用、管理工作，保持员工稳定和到位人数，乙方做好员工岗前培训且做好台帐，并按国家规定办法办好劳动保险、人身意外险手续，确保乙方员工工资和福利及时发放到位。如因乙方用工原因生产劳务纠纷，乙方自行及时妥善处理，甲方不承担任何法律责任和经济责任，不能影响</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正常运行。</w:t>
      </w:r>
    </w:p>
    <w:p>
      <w:pPr>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16.乙方提供的物业人员服务质量不得低于附件三规定的量化标准。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17．乙方派驻</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员工就餐由甲方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统一安排，乙方员工就餐费用按甲方员工统一标准支付甲方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乙方需派驻专职水电工，要求人员电气证件齐全，专业操作能力满足日常和突发工作需要，可满足24小时服务要求。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.乙方负责甲方服务区消控室远程监控管理安装，远程消防监控符合相关消防和安全规范要求，相关费用由乙方承担。</w:t>
      </w:r>
    </w:p>
    <w:p>
      <w:pPr>
        <w:pStyle w:val="35"/>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20.乙方负责甲方服务区环境卫生消杀工作，聘请专业第三方消杀公司定期做好消杀工作，第三方消杀工作选聘由甲方认可，产生的相关费用由乙方承担。</w:t>
      </w:r>
    </w:p>
    <w:p>
      <w:pPr>
        <w:pStyle w:val="35"/>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21.负责服务区内日常产生的垃圾清运工作，并将垃圾运送至垃圾中转站内处理，产生的相关费用由乙方承担。</w:t>
      </w:r>
    </w:p>
    <w:p>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22.因乙方自身管理不善出现双保人员集体罢工，造成现场物业服务工作失控，服务区形象在社会上造成严重恶劣影响的，当月考核视为零分。情节严重的甲方有权单方面接解除合同。</w:t>
      </w:r>
    </w:p>
    <w:p>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23.乙方进场前需先提交服务区双保人员和其他工种人员的日常考核管理办法细则，每月对优秀的人员进行定量的现金奖励，对工作表现差，并多次违规的人员进行现金扣罚。并报与服务区确认备案。</w:t>
      </w:r>
    </w:p>
    <w:p>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24.乙方至少每季度组织各技术职能部门对服务区整个物业项目的所有人员，进行业务指导，对现场设备设施进行安全检查和检测，并做出纸质整改意见报服务区留档备案。</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第四章物业管理费用</w:t>
      </w:r>
    </w:p>
    <w:p>
      <w:pPr>
        <w:autoSpaceDE w:val="0"/>
        <w:autoSpaceDN w:val="0"/>
        <w:adjustRightInd w:val="0"/>
        <w:spacing w:line="24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zh-CN"/>
        </w:rPr>
        <w:t>条物业管理费用及支付方式</w:t>
      </w:r>
    </w:p>
    <w:p>
      <w:pPr>
        <w:spacing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1．物业管理壹年期费用总额为</w:t>
      </w:r>
      <w:r>
        <w:rPr>
          <w:rFonts w:hint="eastAsia" w:ascii="宋体" w:hAnsi="宋体" w:eastAsia="宋体" w:cs="宋体"/>
          <w:b/>
          <w:color w:val="auto"/>
          <w:sz w:val="21"/>
          <w:szCs w:val="21"/>
          <w:highlight w:val="none"/>
        </w:rPr>
        <w:t>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万元整</w:t>
      </w:r>
      <w:r>
        <w:rPr>
          <w:rFonts w:hint="eastAsia" w:ascii="宋体" w:hAnsi="宋体" w:eastAsia="宋体" w:cs="宋体"/>
          <w:color w:val="auto"/>
          <w:kern w:val="0"/>
          <w:sz w:val="21"/>
          <w:szCs w:val="21"/>
          <w:highlight w:val="none"/>
        </w:rPr>
        <w:t>，含税。</w:t>
      </w:r>
      <w:r>
        <w:rPr>
          <w:rFonts w:hint="eastAsia" w:ascii="宋体" w:hAnsi="宋体" w:eastAsia="宋体" w:cs="宋体"/>
          <w:color w:val="auto"/>
          <w:sz w:val="21"/>
          <w:szCs w:val="21"/>
          <w:highlight w:val="none"/>
          <w:u w:val="single"/>
        </w:rPr>
        <w:t>（临时增加人员费用</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维修单价金额在50元以下维修费用</w:t>
      </w:r>
      <w:r>
        <w:rPr>
          <w:rFonts w:hint="eastAsia" w:ascii="宋体" w:hAnsi="宋体" w:eastAsia="宋体" w:cs="宋体"/>
          <w:color w:val="auto"/>
          <w:sz w:val="21"/>
          <w:szCs w:val="21"/>
          <w:highlight w:val="none"/>
          <w:u w:val="single"/>
        </w:rPr>
        <w:t>每季按实结</w:t>
      </w:r>
      <w:r>
        <w:rPr>
          <w:rFonts w:hint="eastAsia" w:ascii="宋体" w:hAnsi="宋体" w:eastAsia="宋体" w:cs="宋体"/>
          <w:color w:val="auto"/>
          <w:sz w:val="21"/>
          <w:szCs w:val="21"/>
          <w:highlight w:val="none"/>
          <w:u w:val="single"/>
          <w:lang w:val="en-US" w:eastAsia="zh-CN"/>
        </w:rPr>
        <w:t>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员工奖励金由甲方人根据考核情况并结合员工表现每季按实结算，相关费用需由乙方先行垫付，足额发放至对应员工，不得扣减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t>）。</w:t>
      </w:r>
    </w:p>
    <w:p>
      <w:pPr>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该价格已包括在</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域内提供</w:t>
      </w:r>
      <w:r>
        <w:rPr>
          <w:rFonts w:hint="eastAsia" w:ascii="宋体" w:hAnsi="宋体" w:eastAsia="宋体" w:cs="宋体"/>
          <w:color w:val="auto"/>
          <w:sz w:val="21"/>
          <w:szCs w:val="21"/>
          <w:highlight w:val="none"/>
          <w:lang w:val="en-US" w:eastAsia="zh-CN"/>
        </w:rPr>
        <w:t>秩序维护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安保管理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卫生管理，</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rPr>
        <w:t>及其他所有服务所需的人员工资（基本工资、辅助工资、工资性补贴、</w:t>
      </w:r>
      <w:r>
        <w:rPr>
          <w:rFonts w:hint="eastAsia" w:ascii="宋体" w:hAnsi="宋体" w:eastAsia="宋体" w:cs="宋体"/>
          <w:color w:val="auto"/>
          <w:sz w:val="21"/>
          <w:szCs w:val="21"/>
          <w:highlight w:val="none"/>
          <w:lang w:eastAsia="zh-CN"/>
        </w:rPr>
        <w:t>单休加班费、</w:t>
      </w:r>
      <w:r>
        <w:rPr>
          <w:rFonts w:hint="eastAsia" w:ascii="宋体" w:hAnsi="宋体" w:eastAsia="宋体" w:cs="宋体"/>
          <w:color w:val="auto"/>
          <w:sz w:val="21"/>
          <w:szCs w:val="21"/>
          <w:highlight w:val="none"/>
        </w:rPr>
        <w:t>奖金、节日加班费等），社会保障费（养老保险、基本医疗保险、工伤保险、失业保险、生育保险、住房公积金等），企业管理费（管理人员工资、办公费、差旅交通费、固定资产使用费、劳动保</w:t>
      </w:r>
      <w:r>
        <w:rPr>
          <w:rFonts w:hint="eastAsia" w:ascii="宋体" w:hAnsi="宋体" w:eastAsia="宋体" w:cs="宋体"/>
          <w:color w:val="auto"/>
          <w:sz w:val="21"/>
          <w:szCs w:val="21"/>
          <w:highlight w:val="none"/>
          <w:lang w:eastAsia="zh-CN"/>
        </w:rPr>
        <w:t>护</w:t>
      </w:r>
      <w:r>
        <w:rPr>
          <w:rFonts w:hint="eastAsia" w:ascii="宋体" w:hAnsi="宋体" w:eastAsia="宋体" w:cs="宋体"/>
          <w:color w:val="auto"/>
          <w:sz w:val="21"/>
          <w:szCs w:val="21"/>
          <w:highlight w:val="none"/>
        </w:rPr>
        <w:t>费、工会经费、职工教育经费、财产保险费等），工作相关的服装费，企业应缴纳的各种税费等全部费用。</w:t>
      </w:r>
    </w:p>
    <w:p>
      <w:pPr>
        <w:spacing w:line="240" w:lineRule="auto"/>
        <w:ind w:firstLine="420" w:firstLineChars="200"/>
        <w:rPr>
          <w:rFonts w:hint="eastAsia"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乙方</w:t>
      </w:r>
      <w:r>
        <w:rPr>
          <w:rFonts w:hint="eastAsia" w:ascii="宋体" w:hAnsi="宋体" w:eastAsia="宋体" w:cs="宋体"/>
          <w:color w:val="auto"/>
          <w:kern w:val="0"/>
          <w:sz w:val="21"/>
          <w:szCs w:val="21"/>
          <w:highlight w:val="none"/>
          <w:u w:val="single"/>
        </w:rPr>
        <w:t>在接到中标通知书后签订合同前，向</w:t>
      </w:r>
      <w:r>
        <w:rPr>
          <w:rFonts w:hint="eastAsia" w:ascii="宋体" w:hAnsi="宋体" w:eastAsia="宋体" w:cs="宋体"/>
          <w:color w:val="auto"/>
          <w:kern w:val="0"/>
          <w:sz w:val="21"/>
          <w:szCs w:val="21"/>
          <w:highlight w:val="none"/>
          <w:u w:val="single"/>
          <w:lang w:eastAsia="zh-CN"/>
        </w:rPr>
        <w:t>甲方</w:t>
      </w:r>
      <w:r>
        <w:rPr>
          <w:rFonts w:hint="eastAsia" w:ascii="宋体" w:hAnsi="宋体" w:eastAsia="宋体" w:cs="宋体"/>
          <w:color w:val="auto"/>
          <w:kern w:val="0"/>
          <w:sz w:val="21"/>
          <w:szCs w:val="21"/>
          <w:highlight w:val="none"/>
          <w:u w:val="single"/>
        </w:rPr>
        <w:t>缴纳合同价5%的履约保证金</w:t>
      </w:r>
      <w:r>
        <w:rPr>
          <w:rFonts w:hint="eastAsia" w:ascii="宋体" w:hAnsi="宋体" w:eastAsia="宋体" w:cs="宋体"/>
          <w:b/>
          <w:color w:val="auto"/>
          <w:kern w:val="0"/>
          <w:sz w:val="21"/>
          <w:szCs w:val="21"/>
          <w:highlight w:val="none"/>
          <w:u w:val="single"/>
        </w:rPr>
        <w:t>（须汇入</w:t>
      </w:r>
      <w:r>
        <w:rPr>
          <w:rFonts w:hint="eastAsia" w:ascii="宋体" w:hAnsi="宋体" w:eastAsia="宋体" w:cs="宋体"/>
          <w:b/>
          <w:color w:val="auto"/>
          <w:kern w:val="0"/>
          <w:sz w:val="21"/>
          <w:szCs w:val="21"/>
          <w:highlight w:val="none"/>
          <w:u w:val="single"/>
          <w:lang w:eastAsia="zh-CN"/>
        </w:rPr>
        <w:t>甲方</w:t>
      </w:r>
      <w:r>
        <w:rPr>
          <w:rFonts w:hint="eastAsia" w:ascii="宋体" w:hAnsi="宋体" w:eastAsia="宋体" w:cs="宋体"/>
          <w:b/>
          <w:color w:val="auto"/>
          <w:kern w:val="0"/>
          <w:sz w:val="21"/>
          <w:szCs w:val="21"/>
          <w:highlight w:val="none"/>
          <w:u w:val="single"/>
        </w:rPr>
        <w:t>指定银行账户）。</w:t>
      </w:r>
    </w:p>
    <w:p>
      <w:pPr>
        <w:spacing w:line="24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u w:val="single"/>
        </w:rPr>
        <w:t>▲</w:t>
      </w:r>
      <w:r>
        <w:rPr>
          <w:rFonts w:hint="eastAsia" w:ascii="宋体" w:hAnsi="宋体" w:eastAsia="宋体" w:cs="宋体"/>
          <w:bCs/>
          <w:color w:val="auto"/>
          <w:sz w:val="21"/>
          <w:szCs w:val="21"/>
          <w:highlight w:val="none"/>
          <w:u w:val="single"/>
        </w:rPr>
        <w:t>如遇突发事件或甲方管理需要物业人员临时加班，加班费标准</w:t>
      </w:r>
      <w:r>
        <w:rPr>
          <w:rFonts w:hint="eastAsia" w:ascii="宋体" w:hAnsi="宋体" w:eastAsia="宋体" w:cs="宋体"/>
          <w:bCs/>
          <w:color w:val="auto"/>
          <w:sz w:val="21"/>
          <w:szCs w:val="21"/>
          <w:highlight w:val="none"/>
          <w:u w:val="single"/>
          <w:lang w:val="en-US" w:eastAsia="zh-CN"/>
        </w:rPr>
        <w:t>没人按</w:t>
      </w:r>
      <w:r>
        <w:rPr>
          <w:rFonts w:hint="eastAsia" w:ascii="宋体" w:hAnsi="宋体" w:eastAsia="宋体" w:cs="宋体"/>
          <w:bCs/>
          <w:color w:val="auto"/>
          <w:sz w:val="21"/>
          <w:szCs w:val="21"/>
          <w:highlight w:val="none"/>
          <w:u w:val="single"/>
        </w:rPr>
        <w:t>1</w:t>
      </w:r>
      <w:r>
        <w:rPr>
          <w:rFonts w:hint="eastAsia" w:ascii="宋体" w:hAnsi="宋体" w:eastAsia="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0元/班</w:t>
      </w:r>
      <w:r>
        <w:rPr>
          <w:rFonts w:hint="eastAsia" w:ascii="宋体" w:hAnsi="宋体" w:eastAsia="宋体" w:cs="宋体"/>
          <w:bCs/>
          <w:color w:val="auto"/>
          <w:sz w:val="21"/>
          <w:szCs w:val="21"/>
          <w:highlight w:val="none"/>
          <w:u w:val="single"/>
          <w:lang w:val="en-US" w:eastAsia="zh-CN"/>
        </w:rPr>
        <w:t>计付</w:t>
      </w:r>
      <w:r>
        <w:rPr>
          <w:rFonts w:hint="eastAsia" w:ascii="宋体" w:hAnsi="宋体" w:eastAsia="宋体" w:cs="宋体"/>
          <w:bCs/>
          <w:color w:val="auto"/>
          <w:sz w:val="21"/>
          <w:szCs w:val="21"/>
          <w:highlight w:val="none"/>
          <w:u w:val="single"/>
        </w:rPr>
        <w:t>，临时加班费总额</w:t>
      </w:r>
      <w:r>
        <w:rPr>
          <w:rFonts w:hint="eastAsia" w:ascii="宋体" w:hAnsi="宋体" w:eastAsia="宋体" w:cs="宋体"/>
          <w:bCs/>
          <w:color w:val="auto"/>
          <w:sz w:val="21"/>
          <w:szCs w:val="21"/>
          <w:highlight w:val="none"/>
          <w:u w:val="single"/>
          <w:lang w:val="en-US" w:eastAsia="zh-CN"/>
        </w:rPr>
        <w:t>控制在8</w:t>
      </w:r>
      <w:r>
        <w:rPr>
          <w:rFonts w:hint="eastAsia" w:ascii="宋体" w:hAnsi="宋体" w:eastAsia="宋体" w:cs="宋体"/>
          <w:bCs/>
          <w:color w:val="auto"/>
          <w:sz w:val="21"/>
          <w:szCs w:val="21"/>
          <w:highlight w:val="none"/>
          <w:u w:val="single"/>
        </w:rPr>
        <w:t>万元/年</w:t>
      </w:r>
      <w:r>
        <w:rPr>
          <w:rFonts w:hint="eastAsia" w:ascii="宋体" w:hAnsi="宋体" w:eastAsia="宋体" w:cs="宋体"/>
          <w:bCs/>
          <w:color w:val="auto"/>
          <w:sz w:val="21"/>
          <w:szCs w:val="21"/>
          <w:highlight w:val="none"/>
          <w:u w:val="single"/>
          <w:lang w:val="en-US" w:eastAsia="zh-CN"/>
        </w:rPr>
        <w:t>内</w:t>
      </w:r>
      <w:r>
        <w:rPr>
          <w:rFonts w:hint="eastAsia" w:ascii="宋体" w:hAnsi="宋体" w:eastAsia="宋体" w:cs="宋体"/>
          <w:bCs/>
          <w:color w:val="auto"/>
          <w:sz w:val="21"/>
          <w:szCs w:val="21"/>
          <w:highlight w:val="none"/>
          <w:u w:val="single"/>
        </w:rPr>
        <w:t>，在承包总价中列支。</w:t>
      </w:r>
      <w:r>
        <w:rPr>
          <w:rFonts w:hint="eastAsia" w:ascii="宋体" w:hAnsi="宋体" w:eastAsia="宋体" w:cs="宋体"/>
          <w:bCs/>
          <w:color w:val="auto"/>
          <w:sz w:val="21"/>
          <w:szCs w:val="21"/>
          <w:highlight w:val="none"/>
          <w:u w:val="single"/>
          <w:lang w:val="en-US" w:eastAsia="zh-CN"/>
        </w:rPr>
        <w:t>加班申请单需在事发当月由乙方提出申请，甲方负责人确认，超出时间期限的申请，一律不予确认计量。</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4．</w:t>
      </w:r>
      <w:r>
        <w:rPr>
          <w:rFonts w:hint="eastAsia" w:ascii="宋体" w:hAnsi="宋体" w:eastAsia="宋体" w:cs="宋体"/>
          <w:bCs w:val="0"/>
          <w:color w:val="auto"/>
          <w:sz w:val="21"/>
          <w:szCs w:val="21"/>
          <w:highlight w:val="none"/>
          <w:lang w:val="en-US" w:eastAsia="zh-CN"/>
        </w:rPr>
        <w:t>员工奖励金6万元整，</w:t>
      </w:r>
      <w:r>
        <w:rPr>
          <w:rFonts w:hint="eastAsia" w:ascii="宋体" w:hAnsi="宋体" w:eastAsia="宋体" w:cs="宋体"/>
          <w:color w:val="auto"/>
          <w:sz w:val="21"/>
          <w:szCs w:val="21"/>
          <w:highlight w:val="none"/>
          <w:lang w:val="en-US" w:eastAsia="zh-CN"/>
        </w:rPr>
        <w:t>用于服务区内员工的奖励，奖励金额及奖励方式由甲方根据相关员工的日常表现确定，但乙方不得因本奖励金的发放而扣减原本乙方自身应发放给员工的相关奖励。</w:t>
      </w:r>
    </w:p>
    <w:p>
      <w:pPr>
        <w:spacing w:line="240" w:lineRule="auto"/>
        <w:ind w:firstLine="420" w:firstLineChars="200"/>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lang w:val="en-US" w:eastAsia="zh-CN"/>
        </w:rPr>
        <w:t>5.维修单价金额在50元以下维修费用按4万元/年总额包干，</w:t>
      </w:r>
      <w:r>
        <w:rPr>
          <w:rFonts w:hint="eastAsia" w:ascii="宋体" w:hAnsi="宋体" w:eastAsia="宋体" w:cs="宋体"/>
          <w:bCs/>
          <w:color w:val="auto"/>
          <w:sz w:val="21"/>
          <w:szCs w:val="21"/>
          <w:highlight w:val="none"/>
          <w:u w:val="none"/>
        </w:rPr>
        <w:t>在承包总价中列支。</w:t>
      </w:r>
      <w:r>
        <w:rPr>
          <w:rFonts w:hint="eastAsia" w:ascii="宋体" w:hAnsi="宋体" w:eastAsia="宋体" w:cs="宋体"/>
          <w:bCs/>
          <w:color w:val="auto"/>
          <w:sz w:val="21"/>
          <w:szCs w:val="21"/>
          <w:highlight w:val="none"/>
          <w:u w:val="none"/>
          <w:lang w:val="en-US" w:eastAsia="zh-CN"/>
        </w:rPr>
        <w:t>维修申请单需在事发时或当月由乙方提出申请，甲方负责人确认，超出时间期限的申请，一律不予确认计量。</w:t>
      </w:r>
    </w:p>
    <w:p>
      <w:pPr>
        <w:spacing w:line="24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除</w:t>
      </w:r>
      <w:r>
        <w:rPr>
          <w:rFonts w:hint="eastAsia" w:ascii="宋体" w:hAnsi="宋体" w:eastAsia="宋体" w:cs="宋体"/>
          <w:color w:val="auto"/>
          <w:sz w:val="21"/>
          <w:szCs w:val="21"/>
          <w:highlight w:val="none"/>
          <w:u w:val="single"/>
          <w:lang w:val="en-US" w:eastAsia="zh-CN"/>
        </w:rPr>
        <w:t>临时加班费、维修单价金额在50元以下维修费用、员工奖励金外，其他</w:t>
      </w:r>
      <w:r>
        <w:rPr>
          <w:rFonts w:hint="eastAsia" w:ascii="宋体" w:hAnsi="宋体" w:eastAsia="宋体" w:cs="宋体"/>
          <w:color w:val="auto"/>
          <w:kern w:val="0"/>
          <w:sz w:val="21"/>
          <w:szCs w:val="21"/>
          <w:highlight w:val="none"/>
          <w:u w:val="single"/>
        </w:rPr>
        <w:t>服务费</w:t>
      </w:r>
      <w:r>
        <w:rPr>
          <w:rFonts w:hint="eastAsia" w:ascii="宋体" w:hAnsi="宋体" w:eastAsia="宋体" w:cs="宋体"/>
          <w:color w:val="auto"/>
          <w:kern w:val="0"/>
          <w:sz w:val="21"/>
          <w:szCs w:val="21"/>
          <w:highlight w:val="none"/>
          <w:u w:val="single"/>
          <w:lang w:val="en-US" w:eastAsia="zh-CN"/>
        </w:rPr>
        <w:t>实行承包制</w:t>
      </w:r>
      <w:r>
        <w:rPr>
          <w:rFonts w:hint="eastAsia" w:ascii="宋体" w:hAnsi="宋体" w:eastAsia="宋体" w:cs="宋体"/>
          <w:color w:val="auto"/>
          <w:kern w:val="0"/>
          <w:sz w:val="21"/>
          <w:szCs w:val="21"/>
          <w:highlight w:val="none"/>
          <w:u w:val="single"/>
        </w:rPr>
        <w:t>按季结算支付。每次直接支付</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u w:val="single"/>
        </w:rPr>
        <w:t>0%，</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0%根据考核情况予以支付。承包人需提供增值税专用发票，先服务后结算。</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临时加班费、维修单价金额在50元以下维修费用每季按实结算；员工奖励金由甲方根据考核情况并结合员工表现每季按实结算，相关费用需由乙方先行垫付，足额发放至对应员工，不得扣减</w:t>
      </w:r>
      <w:r>
        <w:rPr>
          <w:rFonts w:hint="eastAsia" w:ascii="宋体" w:hAnsi="宋体" w:eastAsia="宋体" w:cs="宋体"/>
          <w:color w:val="auto"/>
          <w:sz w:val="21"/>
          <w:szCs w:val="21"/>
          <w:highlight w:val="none"/>
          <w:lang w:val="en-US" w:eastAsia="zh-CN"/>
        </w:rPr>
        <w:t>。</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▲服务期结束，且所有合同义务都已履行完毕后7天内，无息退还履约保证金。</w:t>
      </w:r>
    </w:p>
    <w:p>
      <w:pPr>
        <w:pStyle w:val="65"/>
        <w:spacing w:before="120" w:after="120"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第五章履约保证金</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rPr>
        <w:t>乙方在合同签订后向甲方支付合同价5%的履约保证金</w:t>
      </w:r>
      <w:r>
        <w:rPr>
          <w:rFonts w:hint="eastAsia" w:ascii="宋体" w:hAnsi="宋体" w:eastAsia="宋体" w:cs="宋体"/>
          <w:b/>
          <w:color w:val="auto"/>
          <w:kern w:val="0"/>
          <w:sz w:val="21"/>
          <w:szCs w:val="21"/>
          <w:highlight w:val="none"/>
          <w:u w:val="single"/>
        </w:rPr>
        <w:t>（须汇入</w:t>
      </w:r>
      <w:r>
        <w:rPr>
          <w:rFonts w:hint="eastAsia" w:ascii="宋体" w:hAnsi="宋体" w:eastAsia="宋体" w:cs="宋体"/>
          <w:b/>
          <w:color w:val="auto"/>
          <w:kern w:val="0"/>
          <w:sz w:val="21"/>
          <w:szCs w:val="21"/>
          <w:highlight w:val="none"/>
          <w:u w:val="single"/>
          <w:lang w:eastAsia="zh-CN"/>
        </w:rPr>
        <w:t>甲方</w:t>
      </w:r>
      <w:r>
        <w:rPr>
          <w:rFonts w:hint="eastAsia" w:ascii="宋体" w:hAnsi="宋体" w:eastAsia="宋体" w:cs="宋体"/>
          <w:b/>
          <w:color w:val="auto"/>
          <w:kern w:val="0"/>
          <w:sz w:val="21"/>
          <w:szCs w:val="21"/>
          <w:highlight w:val="none"/>
          <w:u w:val="single"/>
        </w:rPr>
        <w:t>指定银行账户）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对本合同履行过程中的事项，包括但不限于：服务质量、设施损坏、人身损害、违约赔偿金等进行担保。</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第十四条  </w:t>
      </w:r>
      <w:r>
        <w:rPr>
          <w:rFonts w:hint="eastAsia" w:ascii="宋体" w:hAnsi="宋体" w:eastAsia="宋体" w:cs="宋体"/>
          <w:color w:val="auto"/>
          <w:sz w:val="21"/>
          <w:szCs w:val="21"/>
          <w:highlight w:val="none"/>
        </w:rPr>
        <w:t>乙方的违约金额或其他应由乙方承担的金额，甲方有权直接在履约保证金中扣除。乙方应在甲方发出书面扣除通知之日起15日内，补足扣除额，以维持管理服务期间履约保证金的完整性。</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第十五条  </w:t>
      </w:r>
      <w:r>
        <w:rPr>
          <w:rFonts w:hint="eastAsia" w:ascii="宋体" w:hAnsi="宋体" w:eastAsia="宋体" w:cs="宋体"/>
          <w:color w:val="auto"/>
          <w:sz w:val="21"/>
          <w:szCs w:val="21"/>
          <w:highlight w:val="none"/>
        </w:rPr>
        <w:t>因乙方原因导致合同提前解除的，乙方履约保证金不予退还，乙方还应承担由此造成的甲方经济损失，双方另有约定的除外。</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第十六条  </w:t>
      </w:r>
      <w:r>
        <w:rPr>
          <w:rFonts w:hint="eastAsia" w:ascii="宋体" w:hAnsi="宋体" w:eastAsia="宋体" w:cs="宋体"/>
          <w:color w:val="auto"/>
          <w:sz w:val="21"/>
          <w:szCs w:val="21"/>
          <w:highlight w:val="none"/>
        </w:rPr>
        <w:t>保证金不计利息。服务期限届满或终止之日起六个月后，甲方将剩余履约保证金无息返还给乙方。</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第六章合同解除</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七</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出现下列情况之一的，甲方有权单方解除合同，并没收履约保证金，乙方应在甲方解除合同之日起三日内腾退场地，并办理移交手续，物业管理费用照实结算，甲方应于结算后3日内支付；因此给甲方造成损失的，乙方还应赔偿甲方损失：</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1.乙方未按甲方通知的时间及金额补足履约保证金，拖欠时间超过30天的。</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2.乙方违反本协议约定，经甲方书面通知后仍未改正的。</w:t>
      </w:r>
    </w:p>
    <w:p>
      <w:pPr>
        <w:autoSpaceDE w:val="0"/>
        <w:autoSpaceDN w:val="0"/>
        <w:adjustRightInd w:val="0"/>
        <w:spacing w:line="240" w:lineRule="auto"/>
        <w:ind w:left="420" w:left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3.乙方存在以下情形的：</w:t>
      </w:r>
      <w:r>
        <w:rPr>
          <w:rFonts w:hint="eastAsia" w:ascii="宋体" w:hAnsi="宋体" w:eastAsia="宋体" w:cs="宋体"/>
          <w:color w:val="auto"/>
          <w:sz w:val="21"/>
          <w:szCs w:val="21"/>
          <w:highlight w:val="none"/>
          <w:lang w:val="zh-CN"/>
        </w:rPr>
        <w:br w:type="textWrapping"/>
      </w:r>
      <w:r>
        <w:rPr>
          <w:rFonts w:hint="eastAsia" w:ascii="宋体" w:hAnsi="宋体" w:eastAsia="宋体" w:cs="宋体"/>
          <w:color w:val="auto"/>
          <w:sz w:val="21"/>
          <w:szCs w:val="21"/>
          <w:highlight w:val="none"/>
          <w:lang w:val="zh-CN"/>
        </w:rPr>
        <w:t>（1）因乙方原因被行业主管部门、集团公司、新闻媒体等通报批评或曝光，对甲方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荣誉</w:t>
      </w:r>
      <w:r>
        <w:rPr>
          <w:rFonts w:hint="eastAsia" w:ascii="宋体" w:hAnsi="宋体" w:eastAsia="宋体" w:cs="宋体"/>
          <w:color w:val="auto"/>
          <w:sz w:val="21"/>
          <w:szCs w:val="21"/>
          <w:highlight w:val="none"/>
          <w:lang w:val="zh-CN"/>
        </w:rPr>
        <w:t>带来严重影响的；</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（2）不符合现行行业标准；</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（3）文明服务、管理服务规范配合明显不到位的；</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（4）乙方累计三次遭到行政机关行政处罚的。</w:t>
      </w:r>
    </w:p>
    <w:p>
      <w:pPr>
        <w:autoSpaceDE w:val="0"/>
        <w:autoSpaceDN w:val="0"/>
        <w:adjustRightInd w:val="0"/>
        <w:spacing w:line="24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八</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因甲方或上级单位发展战略调整等原因需提前与乙方解除合同的，甲方应提前三个月书面告知乙方，乙方应给予支持。</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第七章违约责任</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九</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甲方违反合同约定，乙方有权要求甲方在一定期限内解决，逾期未解决并造成乙方经济损失的，甲方应给予乙方经济赔偿，并承担相应的法律责任。</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二十</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乙方违反合同的约定，未达到约定的管理目标，甲方有权要求乙方限期整改，逾期未整改的，甲方有权终止合同；造成甲方经济损失的，乙方应给予甲方经济赔偿，并承担相应的法律责任。</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二十一</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乙方无正当理由提前终止合同的，应向甲方支付违约金数额为合同物业管理费总额的10%，同时甲方有权没收乙方的履约保证金；违约金不足以弥补甲方损失的，乙方还应给予足额赔偿。</w:t>
      </w:r>
    </w:p>
    <w:p>
      <w:pPr>
        <w:spacing w:line="24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本合同有效期内，乙方遭受行政机关行政处罚的，应每次向甲方支付违约金人民币1万元。</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第八章合同终止</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管理服务期满后乙方不再继续管理服务或乙方因任何原因提前解除合同的，考虑到</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lang w:val="zh-CN"/>
        </w:rPr>
        <w:t>服务的连续性和影响力，甲方有权要求乙方依据本合同约定继续管理服务一段时间，直至新的单位进场。</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管理服务期满后乙方不再继续或合同提前解除的，在合同解除或终止之日起三日内，乙方应将场地建筑物、构筑物及设施（备）按合同规定要求移交甲方，乙方不能以任何理由拒绝办理移交。</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乙方移交时应达到如下标准：</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1.房屋及装修清洁无损坏，如有损坏，按损坏程度赔偿。</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2.设施（备）运行正常完好，如有损坏，按原价正常折旧后赔偿。</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3.设施（备）功能和外表完好。</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4.为新的单位提供工作便利和配合做好进场工作。</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乙方移交未达到以上标准的，甲方可自行或委托第三方办理，费用由乙方承担或从乙方交纳的履约保证金中扣除。</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乙方移交时，属于乙方的物品由乙方负责搬走，乙方逾期十日未搬走的，甲方有权自行处理，费用由乙方承担。</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第九章通知条款</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第二十六条  </w:t>
      </w:r>
      <w:r>
        <w:rPr>
          <w:rFonts w:hint="eastAsia" w:ascii="宋体" w:hAnsi="宋体" w:eastAsia="宋体" w:cs="宋体"/>
          <w:color w:val="auto"/>
          <w:sz w:val="21"/>
          <w:szCs w:val="21"/>
          <w:highlight w:val="none"/>
        </w:rPr>
        <w:t>涉及本合同权利义务变化的或其他必要通知，应以书面形式传递，收到方应签收。如无法向他方直接送达或收到方不予签收，可邮寄送达，邮件寄至本合同记载之地址时，即视为送达。</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第二十七条  </w:t>
      </w:r>
      <w:r>
        <w:rPr>
          <w:rFonts w:hint="eastAsia" w:ascii="宋体" w:hAnsi="宋体" w:eastAsia="宋体" w:cs="宋体"/>
          <w:color w:val="auto"/>
          <w:sz w:val="21"/>
          <w:szCs w:val="21"/>
          <w:highlight w:val="none"/>
        </w:rPr>
        <w:t>本合同下述的地址、电话、传真为双方通知送达的地址、电话、传真，如果任何一方变更，应在变更后3日内书面通知相对方，否则任何一方通知送达前述地址，即视为被送达方收到，由此引发的法律后果由被送达人承担。</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甲方地址：                                   乙方地址:                                     </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指定联系人:                                  指定联系人：</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             传真:                     电话:             传真:</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                                   电子邮箱：</w:t>
      </w:r>
    </w:p>
    <w:p>
      <w:pPr>
        <w:autoSpaceDE w:val="0"/>
        <w:autoSpaceDN w:val="0"/>
        <w:adjustRightInd w:val="0"/>
        <w:spacing w:line="240" w:lineRule="auto"/>
        <w:jc w:val="center"/>
        <w:rPr>
          <w:rFonts w:hint="eastAsia" w:ascii="宋体" w:hAnsi="宋体" w:eastAsia="宋体" w:cs="宋体"/>
          <w:b/>
          <w:bCs/>
          <w:color w:val="auto"/>
          <w:sz w:val="21"/>
          <w:szCs w:val="21"/>
          <w:highlight w:val="none"/>
        </w:rPr>
      </w:pPr>
    </w:p>
    <w:p>
      <w:pPr>
        <w:autoSpaceDE w:val="0"/>
        <w:autoSpaceDN w:val="0"/>
        <w:adjustRightIn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第十章适用法律和争议的解决</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 xml:space="preserve">第二十八条  </w:t>
      </w:r>
      <w:r>
        <w:rPr>
          <w:rFonts w:hint="eastAsia" w:ascii="宋体" w:hAnsi="宋体" w:eastAsia="宋体" w:cs="宋体"/>
          <w:color w:val="auto"/>
          <w:sz w:val="21"/>
          <w:szCs w:val="21"/>
          <w:highlight w:val="none"/>
          <w:lang w:val="zh-CN"/>
        </w:rPr>
        <w:t>本合同适用中华人民共和国法律。</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 xml:space="preserve">第二十九条  </w:t>
      </w:r>
      <w:r>
        <w:rPr>
          <w:rFonts w:hint="eastAsia" w:ascii="宋体" w:hAnsi="宋体" w:eastAsia="宋体" w:cs="宋体"/>
          <w:color w:val="auto"/>
          <w:sz w:val="21"/>
          <w:szCs w:val="21"/>
          <w:highlight w:val="none"/>
          <w:lang w:val="zh-CN"/>
        </w:rPr>
        <w:t>因本合同履行引起的任何争议，在不停止</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lang w:val="zh-CN"/>
        </w:rPr>
        <w:t>物业管理服务的前提下，双方应友好协商解决；协商不成，由甲方所在地人民法院裁决。</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第十一章附则</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三十</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合同自双方签字盖章之日起生效。</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本合同一式</w:t>
      </w:r>
      <w:r>
        <w:rPr>
          <w:rFonts w:hint="eastAsia" w:ascii="宋体" w:hAnsi="宋体" w:eastAsia="宋体" w:cs="宋体"/>
          <w:color w:val="auto"/>
          <w:sz w:val="21"/>
          <w:szCs w:val="21"/>
          <w:highlight w:val="none"/>
        </w:rPr>
        <w:t>伍</w:t>
      </w:r>
      <w:r>
        <w:rPr>
          <w:rFonts w:hint="eastAsia" w:ascii="宋体" w:hAnsi="宋体" w:eastAsia="宋体" w:cs="宋体"/>
          <w:color w:val="auto"/>
          <w:sz w:val="21"/>
          <w:szCs w:val="21"/>
          <w:highlight w:val="none"/>
          <w:lang w:val="zh-CN"/>
        </w:rPr>
        <w:t>份，甲、乙双方各执</w:t>
      </w:r>
      <w:r>
        <w:rPr>
          <w:rFonts w:hint="eastAsia" w:ascii="宋体" w:hAnsi="宋体" w:eastAsia="宋体" w:cs="宋体"/>
          <w:color w:val="auto"/>
          <w:sz w:val="21"/>
          <w:szCs w:val="21"/>
          <w:highlight w:val="none"/>
        </w:rPr>
        <w:t>贰</w:t>
      </w:r>
      <w:r>
        <w:rPr>
          <w:rFonts w:hint="eastAsia" w:ascii="宋体" w:hAnsi="宋体" w:eastAsia="宋体" w:cs="宋体"/>
          <w:color w:val="auto"/>
          <w:sz w:val="21"/>
          <w:szCs w:val="21"/>
          <w:highlight w:val="none"/>
          <w:lang w:val="zh-CN"/>
        </w:rPr>
        <w:t>份，</w:t>
      </w:r>
      <w:r>
        <w:rPr>
          <w:rFonts w:hint="eastAsia" w:ascii="宋体" w:hAnsi="宋体" w:eastAsia="宋体" w:cs="宋体"/>
          <w:color w:val="auto"/>
          <w:sz w:val="21"/>
          <w:szCs w:val="21"/>
          <w:highlight w:val="none"/>
        </w:rPr>
        <w:t>另一份交采购代理机构备案，</w:t>
      </w:r>
      <w:r>
        <w:rPr>
          <w:rFonts w:hint="eastAsia" w:ascii="宋体" w:hAnsi="宋体" w:eastAsia="宋体" w:cs="宋体"/>
          <w:color w:val="auto"/>
          <w:sz w:val="21"/>
          <w:szCs w:val="21"/>
          <w:highlight w:val="none"/>
          <w:lang w:val="zh-CN"/>
        </w:rPr>
        <w:t>每份具有同等法律效力。</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本合同未尽事宜，双方协商后另行签订补充合同。补充合同与本合同具有同等法律效力。</w:t>
      </w:r>
    </w:p>
    <w:p>
      <w:pPr>
        <w:autoSpaceDE w:val="0"/>
        <w:autoSpaceDN w:val="0"/>
        <w:adjustRightInd w:val="0"/>
        <w:spacing w:line="24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三十一</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本合同之附件为合同的有效组成部分，与本合同具有同等法律效力。该附件必须经甲、乙双方签字认可，附件之间如有冲突，双方协商解决。</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（以下无正文）</w:t>
      </w:r>
    </w:p>
    <w:p>
      <w:pPr>
        <w:autoSpaceDE w:val="0"/>
        <w:autoSpaceDN w:val="0"/>
        <w:adjustRightInd w:val="0"/>
        <w:spacing w:line="240" w:lineRule="auto"/>
        <w:rPr>
          <w:rFonts w:hint="eastAsia" w:ascii="宋体" w:hAnsi="宋体" w:eastAsia="宋体" w:cs="宋体"/>
          <w:b/>
          <w:color w:val="auto"/>
          <w:sz w:val="21"/>
          <w:szCs w:val="21"/>
          <w:highlight w:val="none"/>
          <w:lang w:val="zh-CN"/>
        </w:rPr>
      </w:pPr>
    </w:p>
    <w:p>
      <w:pP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br w:type="page"/>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合同附件：</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业务廉政合同》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业务安全生产暨社会治安综合治理合同》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物业工作质量量化标准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附件四、</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物业管理考核办法（以甲方下发的最新版本为准）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附件五、</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物业项目月度考核评分表</w:t>
      </w:r>
    </w:p>
    <w:p>
      <w:pPr>
        <w:bidi w:val="0"/>
        <w:rPr>
          <w:rFonts w:hint="eastAsia" w:ascii="宋体" w:hAnsi="宋体" w:eastAsia="宋体" w:cs="宋体"/>
          <w:highlight w:val="none"/>
        </w:rPr>
      </w:pPr>
    </w:p>
    <w:p>
      <w:pPr>
        <w:pStyle w:val="2"/>
        <w:rPr>
          <w:rFonts w:hint="eastAsia" w:ascii="宋体" w:hAnsi="宋体" w:eastAsia="宋体" w:cs="宋体"/>
          <w:highlight w:val="none"/>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公章</w:t>
      </w:r>
      <w:r>
        <w:rPr>
          <w:rFonts w:hint="eastAsia" w:ascii="宋体" w:hAnsi="宋体" w:eastAsia="宋体" w:cs="宋体"/>
          <w:b w:val="0"/>
          <w:bCs w:val="0"/>
          <w:color w:val="auto"/>
          <w:sz w:val="21"/>
          <w:szCs w:val="21"/>
          <w:highlight w:val="none"/>
        </w:rPr>
        <w:t xml:space="preserve">）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bidi w:val="0"/>
        <w:rPr>
          <w:rFonts w:hint="eastAsia" w:ascii="宋体" w:hAnsi="宋体" w:eastAsia="宋体" w:cs="宋体"/>
          <w:highlight w:val="none"/>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（盖章）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widowControl/>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widowControl/>
        <w:spacing w:line="240" w:lineRule="auto"/>
        <w:jc w:val="left"/>
        <w:rPr>
          <w:rFonts w:hint="eastAsia" w:ascii="宋体" w:hAnsi="宋体" w:eastAsia="宋体" w:cs="宋体"/>
          <w:b w:val="0"/>
          <w:bCs w:val="0"/>
          <w:color w:val="auto"/>
          <w:sz w:val="21"/>
          <w:szCs w:val="21"/>
          <w:highlight w:val="none"/>
        </w:rPr>
      </w:pPr>
    </w:p>
    <w:p>
      <w:pPr>
        <w:widowControl/>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签订日期：      年    月   日</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温州市高速公路资产经营有限公司</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bookmarkStart w:id="189" w:name="_Toc444688528"/>
      <w:r>
        <w:rPr>
          <w:rFonts w:hint="eastAsia" w:ascii="宋体" w:hAnsi="宋体" w:eastAsia="宋体" w:cs="宋体"/>
          <w:b/>
          <w:bCs w:val="0"/>
          <w:color w:val="auto"/>
          <w:sz w:val="24"/>
          <w:szCs w:val="24"/>
          <w:highlight w:val="none"/>
          <w:lang w:val="zh-CN"/>
        </w:rPr>
        <w:t>服务区业务廉政合同</w:t>
      </w:r>
      <w:bookmarkEnd w:id="189"/>
    </w:p>
    <w:p>
      <w:pPr>
        <w:spacing w:line="240" w:lineRule="auto"/>
        <w:jc w:val="center"/>
        <w:rPr>
          <w:rFonts w:hint="eastAsia" w:ascii="宋体" w:hAnsi="宋体" w:eastAsia="宋体" w:cs="宋体"/>
          <w:b/>
          <w:color w:val="auto"/>
          <w:sz w:val="21"/>
          <w:szCs w:val="21"/>
          <w:highlight w:val="none"/>
        </w:rPr>
      </w:pP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根据有关廉政建设的规定，为做好管理服务活动中的党风廉政建设，保证</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严格管理、规范服务，自觉维护</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文明窗口形象以及投资效益，温州市高速公路资产经营有限公司(以下称甲方)与(以下称乙方)，特订立以下合同。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严格执行物业管理服务项目合同，自觉按合同办事。</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建立健全廉政制度，开展廉政教育，建立廉政告示牌，公布举报电话，监督并认真查处违法违纪行为。</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物业管理项目有关的工程分包、劳务等经济活动。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 甲方工作人员要秉公办事，不准营私舞弊，不准利用职权从事各种个人有偿中介活动和安排个人施工队伍。</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(2)乙方及其工作人员违反本合同第1、3条，按管理权限，依据有关规定，建议给予党纪、政纪或组织处理；给甲方单位造成经济损失的应予以赔偿；情节严重的，甲方建议行业主管部门给予乙方三年内不得进入</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任何项目的处罚。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7、本合同作为物业管理服务项目合同的附件，与该合同具有同等的法律效力，经合同双方签署立即生效。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8．本合同正本一式肆份，双方各执两份，每份具有同等法律效力。</w:t>
      </w:r>
    </w:p>
    <w:p>
      <w:pPr>
        <w:pStyle w:val="2"/>
        <w:spacing w:line="240" w:lineRule="auto"/>
        <w:rPr>
          <w:rFonts w:hint="eastAsia" w:ascii="宋体" w:hAnsi="宋体" w:eastAsia="宋体" w:cs="宋体"/>
          <w:b w:val="0"/>
          <w:bCs w:val="0"/>
          <w:color w:val="auto"/>
          <w:sz w:val="21"/>
          <w:szCs w:val="21"/>
          <w:highlight w:val="none"/>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公章</w:t>
      </w:r>
      <w:r>
        <w:rPr>
          <w:rFonts w:hint="eastAsia" w:ascii="宋体" w:hAnsi="宋体" w:eastAsia="宋体" w:cs="宋体"/>
          <w:b w:val="0"/>
          <w:bCs w:val="0"/>
          <w:color w:val="auto"/>
          <w:sz w:val="21"/>
          <w:szCs w:val="21"/>
          <w:highlight w:val="none"/>
        </w:rPr>
        <w:t xml:space="preserve">）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pStyle w:val="2"/>
        <w:spacing w:line="240" w:lineRule="auto"/>
        <w:rPr>
          <w:rFonts w:hint="eastAsia" w:ascii="宋体" w:hAnsi="宋体" w:eastAsia="宋体" w:cs="宋体"/>
          <w:b w:val="0"/>
          <w:bCs w:val="0"/>
          <w:color w:val="auto"/>
          <w:sz w:val="21"/>
          <w:szCs w:val="21"/>
          <w:highlight w:val="none"/>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（盖章）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widowControl/>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pStyle w:val="2"/>
        <w:spacing w:line="240" w:lineRule="auto"/>
        <w:rPr>
          <w:rFonts w:hint="eastAsia" w:ascii="宋体" w:hAnsi="宋体" w:eastAsia="宋体" w:cs="宋体"/>
          <w:b/>
          <w:bCs/>
          <w:color w:val="auto"/>
          <w:sz w:val="21"/>
          <w:szCs w:val="21"/>
          <w:highlight w:val="none"/>
        </w:rPr>
      </w:pPr>
    </w:p>
    <w:p>
      <w:pPr>
        <w:widowControl/>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签订日期：      年    月   日</w:t>
      </w:r>
    </w:p>
    <w:p>
      <w:pPr>
        <w:widowControl/>
        <w:spacing w:line="240" w:lineRule="auto"/>
        <w:ind w:firstLine="5145" w:firstLineChars="2450"/>
        <w:jc w:val="left"/>
        <w:rPr>
          <w:rFonts w:hint="eastAsia" w:ascii="宋体" w:hAnsi="宋体" w:eastAsia="宋体" w:cs="宋体"/>
          <w:color w:val="auto"/>
          <w:kern w:val="0"/>
          <w:sz w:val="21"/>
          <w:szCs w:val="21"/>
          <w:highlight w:val="none"/>
        </w:rPr>
      </w:pPr>
    </w:p>
    <w:p>
      <w:pPr>
        <w:pStyle w:val="2"/>
        <w:spacing w:line="240" w:lineRule="auto"/>
        <w:rPr>
          <w:rFonts w:hint="eastAsia" w:ascii="宋体" w:hAnsi="宋体" w:eastAsia="宋体" w:cs="宋体"/>
          <w:color w:val="auto"/>
          <w:kern w:val="0"/>
          <w:sz w:val="21"/>
          <w:szCs w:val="21"/>
          <w:highlight w:val="none"/>
        </w:rPr>
      </w:pPr>
    </w:p>
    <w:p>
      <w:pPr>
        <w:pStyle w:val="2"/>
        <w:spacing w:line="240" w:lineRule="auto"/>
        <w:rPr>
          <w:rFonts w:hint="eastAsia" w:ascii="宋体" w:hAnsi="宋体" w:eastAsia="宋体" w:cs="宋体"/>
          <w:color w:val="auto"/>
          <w:kern w:val="0"/>
          <w:sz w:val="21"/>
          <w:szCs w:val="21"/>
          <w:highlight w:val="none"/>
        </w:rPr>
      </w:pPr>
    </w:p>
    <w:p>
      <w:pPr>
        <w:pStyle w:val="2"/>
        <w:spacing w:line="240" w:lineRule="auto"/>
        <w:rPr>
          <w:rFonts w:hint="eastAsia" w:ascii="宋体" w:hAnsi="宋体" w:eastAsia="宋体" w:cs="宋体"/>
          <w:color w:val="auto"/>
          <w:kern w:val="0"/>
          <w:sz w:val="21"/>
          <w:szCs w:val="21"/>
          <w:highlight w:val="none"/>
        </w:rPr>
      </w:pPr>
    </w:p>
    <w:p>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附件二</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温州市高速公路资产经营有限公司服务区业务</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安全生产暨社会治安综合治理合同</w:t>
      </w:r>
    </w:p>
    <w:p>
      <w:pPr>
        <w:spacing w:line="240" w:lineRule="auto"/>
        <w:jc w:val="center"/>
        <w:rPr>
          <w:rFonts w:hint="eastAsia" w:ascii="宋体" w:hAnsi="宋体" w:eastAsia="宋体" w:cs="宋体"/>
          <w:color w:val="auto"/>
          <w:sz w:val="21"/>
          <w:szCs w:val="21"/>
          <w:highlight w:val="none"/>
        </w:rPr>
      </w:pPr>
    </w:p>
    <w:p>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甲方：温州市高速公路资产经营有限公司</w:t>
      </w:r>
    </w:p>
    <w:p>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住所地：</w:t>
      </w:r>
      <w:r>
        <w:rPr>
          <w:rFonts w:hint="eastAsia" w:ascii="宋体" w:hAnsi="宋体" w:eastAsia="宋体" w:cs="宋体"/>
          <w:color w:val="auto"/>
          <w:sz w:val="21"/>
          <w:szCs w:val="21"/>
          <w:highlight w:val="none"/>
          <w:shd w:val="clear" w:color="auto" w:fill="FFFFFF"/>
        </w:rPr>
        <w:t>温州市汤家桥国大广场东首5-6楼</w:t>
      </w:r>
    </w:p>
    <w:p>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住所地： </w:t>
      </w:r>
    </w:p>
    <w:p>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为贯彻“安全第一、预防为主、综合治理”的安全生产方针， 进一步加强</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的安全生产管理，根据《中华人民共和国安全生产法》、《中华人民共和国消防法》和《浙江省安全生产条例》等法律法规，结合</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内物业管理服务单位的具体情况，甲、乙双方经协商后签订本安全生产管理协议，约定各自的安全生产管理职责并严格执行：</w:t>
      </w:r>
    </w:p>
    <w:p>
      <w:pPr>
        <w:numPr>
          <w:ilvl w:val="0"/>
          <w:numId w:val="22"/>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甲方将物业管理服务项目由乙方负责管理服务。</w:t>
      </w:r>
    </w:p>
    <w:p>
      <w:pPr>
        <w:spacing w:line="24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二、甲方的安全管理职责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1.严格遵守国家有关安全生产和社会综合治理法律法规、认真执行国家和行业标准，严格遵守合同中有关安全生产和社会综合治理的要求，履行合同约定的安全职责。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2.按照合同约定的安全工作内容监督检查乙方安全生产的实施，对乙方的日常安全生产、现场管理、消防安全等进行监督检查，发现安全隐患时，及时督促乙方整改。</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3.统一协调、管理</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内协助单位的安全生产和社会综合治理工作，履行统一管理的职责。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5.甲方提供的建筑物、设备设施符合国家有关法律法规的规定，满足管理合同中规定管理范围的消防安全及安全生产条件。</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6.督促乙方依法设立安全生产和社会综治管理机构，配备相应安全管理人员。</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1.发现乙方不具备安全生产资质，甲方有权解除合同，由此造成的一切损失由乙方承担。</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2.有权及时纠正制止乙方在生产作业中违章指挥、违规操作及违反劳动保护的行为。</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二、乙方的安全管理职责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1.乙方是管理场所辖范围内安全生产和社会综合治理的责任主体，必须依法加强安全生产和社会综治管理，建立、健全安全生产和社会综治责任制，完善安全生产条件，确保安全生产。</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2.严格遵守国家有关安全生产、社会综治、消防、职业卫生、环境保护等法律法规和国家、行业标准，具备相应的安全生产资质和条件，认真执行合同中有关安全生产的要求，按合同约定履行安全职责。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3.服从甲方对安全生产和社会综治工作的统一协调、检查和监督。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负责本单位从业人员的安全教育和培训，教育员工严格遵守安全管理制度和安全操作规程，做到国家规定应持证的工种持证上岗，并按规定进行年检和复审。新员工未经安全教育和培训，不得上岗。职工身体状况均必须满足国家、行业健康标准要求，严禁有职业禁忌症者及传染病者上岗。</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6.积极参加甲方召开的安全生产会议和安全活动，接受甲方的安全生产监督检查，按照甲方的要求做好安全生产工作。</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有关规定设置消防设施、配备消防设备，建立消防器材台账，定期检查、适时更新，保持完好率100%。做好所属区域内的火源控制措施，所有工作人员都应熟悉消防设备的性能和使用方法，熟练掌握相关预案的应急处置。</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8.做好安全用电、用气、防汛防台、防中毒、防盗窃等工作，严禁在</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区域出现“三合一”场所，严禁私自改造建筑物结构和用电气线路，保持用电设施的完好，若发生旅客人身损害、财产损失事故的，均由乙方承担全部法律责任。</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9.按要求配备安全管理人员，全面负责管辖区域内的安全生产和社会综治管理，承担物业管理服务过程中的安全责任；加强日常管理，定期组织安全检查和开展隐患排查，及时发现、整改事故隐患或不安全因素。</w:t>
      </w:r>
      <w:r>
        <w:rPr>
          <w:rFonts w:hint="eastAsia" w:ascii="宋体" w:hAnsi="宋体" w:eastAsia="宋体" w:cs="宋体"/>
          <w:color w:val="auto"/>
          <w:sz w:val="21"/>
          <w:szCs w:val="21"/>
          <w:highlight w:val="none"/>
          <w:lang w:val="zh-CN"/>
        </w:rPr>
        <w:t>根据实际情况制订各类应急救援预案并组织演练。建立完善安全管理台账。</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10.保证安全生产所需的必要投入，按规定配备劳动保护用品。依法为从业人员办理工伤保险。</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11.对场所的装修和设备安装，须符合有关技术标准、消防安全规定和实际安全施工要求，不得改变建筑结构。使用场所的装修方案应事先征得甲方的同意，凡涉及国家规定需审查验收的，按规定办理。</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12.建立和完善内部安全管理制度，</w:t>
      </w:r>
      <w:r>
        <w:rPr>
          <w:rFonts w:hint="eastAsia" w:ascii="宋体" w:hAnsi="宋体" w:eastAsia="宋体" w:cs="宋体"/>
          <w:color w:val="auto"/>
          <w:sz w:val="21"/>
          <w:szCs w:val="21"/>
          <w:highlight w:val="none"/>
          <w:lang w:val="zh-CN"/>
        </w:rPr>
        <w:t>建立各岗位安全操作规程，</w:t>
      </w:r>
      <w:r>
        <w:rPr>
          <w:rFonts w:hint="eastAsia" w:ascii="宋体" w:hAnsi="宋体" w:eastAsia="宋体" w:cs="宋体"/>
          <w:color w:val="auto"/>
          <w:sz w:val="21"/>
          <w:szCs w:val="21"/>
          <w:highlight w:val="none"/>
        </w:rPr>
        <w:t>落实各岗位安全生产责任制。负责内部防火、用电、用气等安全检查。</w:t>
      </w:r>
    </w:p>
    <w:p>
      <w:pPr>
        <w:autoSpaceDE w:val="0"/>
        <w:autoSpaceDN w:val="0"/>
        <w:adjustRightInd w:val="0"/>
        <w:spacing w:line="24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13.发生安全事故或突发事件的，应立即向甲方及政府相关部门报告，并保护好现场，及时组织抢救，防止事态扩大。并积极配合相关部门做好事故的调查和处理。</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14.未经甲方书面同意，不得擅自转借场所。</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1.对甲方违章指挥、强令冒险作业的指令，有权拒绝执行。</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2.有权向甲方提出安全生产和社会综治合理化建议和改进意见</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3.在生产活动中发生危及乙方人员生命安全的紧急情况时，作业人员有权立即停止作业或者在采取必要的应急措施后撤离危险区域。</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三、其他条款</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（一）履约保证金条款</w:t>
      </w:r>
    </w:p>
    <w:p>
      <w:pPr>
        <w:spacing w:line="240" w:lineRule="auto"/>
        <w:ind w:firstLine="525" w:firstLineChars="2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1.履约保证金还用于合同期内的安全管理。对乙方安全管理不到位、不服从甲方安全管理的，甲方有权从履约保证金内扣除，用做本场所的安全生产管理工作。</w:t>
      </w:r>
    </w:p>
    <w:p>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2.乙方出现违反安全协议约定情形的，甲方有权按每次人民币1000—10000 元，从履约保证金中扣除。</w:t>
      </w:r>
    </w:p>
    <w:p>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3.乙方在合同期内发生责任死亡事故的，甲方有权对乙方处以人民币5～10万元/人的处罚。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（二）安全生产责任风险的承担</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1.因乙方原因造成生产安全事故、消防事故、治安案件或因违法管理等造成不良影响的，一切法律责任、经济责任和管理责任均由乙方负责。</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2.在合同期间，在乙方场所发生的安全事故或造成人身财产损害的，由乙方承担经济与法律责任，与甲方无涉，给甲方造成不良社会影响的，甲方有权要求乙方进行赔偿。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3.在合同期间，乙方及其工作人员发生伤亡事故，乙方承担经济及相关法律责任，与甲方无涉。</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四、本合同的签订作为甲、乙双方于年月日签订的</w:t>
      </w:r>
      <w:r>
        <w:rPr>
          <w:rFonts w:hint="eastAsia" w:ascii="宋体" w:hAnsi="宋体" w:eastAsia="宋体" w:cs="宋体"/>
          <w:color w:val="auto"/>
          <w:sz w:val="21"/>
          <w:szCs w:val="21"/>
          <w:highlight w:val="none"/>
          <w:u w:val="single"/>
        </w:rPr>
        <w:t>《物业管理服务合同》</w:t>
      </w:r>
      <w:r>
        <w:rPr>
          <w:rFonts w:hint="eastAsia" w:ascii="宋体" w:hAnsi="宋体" w:eastAsia="宋体" w:cs="宋体"/>
          <w:color w:val="auto"/>
          <w:sz w:val="21"/>
          <w:szCs w:val="21"/>
          <w:highlight w:val="none"/>
        </w:rPr>
        <w:t>的附件，与主合同具有同等法律效力。</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五、本合同经甲、乙双方签字盖章后生效。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六、本合同一式肆份，合同双方各执两份，每份具有同等法律效力。</w:t>
      </w:r>
    </w:p>
    <w:p>
      <w:pPr>
        <w:snapToGrid w:val="0"/>
        <w:spacing w:line="240" w:lineRule="auto"/>
        <w:ind w:firstLine="315" w:firstLineChars="15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（以下无正文）</w:t>
      </w:r>
    </w:p>
    <w:p>
      <w:pPr>
        <w:snapToGrid w:val="0"/>
        <w:spacing w:line="240" w:lineRule="auto"/>
        <w:rPr>
          <w:rFonts w:hint="eastAsia" w:ascii="宋体" w:hAnsi="宋体" w:eastAsia="宋体" w:cs="宋体"/>
          <w:color w:val="auto"/>
          <w:sz w:val="21"/>
          <w:szCs w:val="21"/>
          <w:highlight w:val="none"/>
          <w:lang w:val="en-GB"/>
        </w:rPr>
      </w:pPr>
    </w:p>
    <w:p>
      <w:pPr>
        <w:snapToGrid w:val="0"/>
        <w:spacing w:line="240" w:lineRule="auto"/>
        <w:rPr>
          <w:rFonts w:hint="eastAsia" w:ascii="宋体" w:hAnsi="宋体" w:eastAsia="宋体" w:cs="宋体"/>
          <w:color w:val="auto"/>
          <w:sz w:val="21"/>
          <w:szCs w:val="21"/>
          <w:highlight w:val="none"/>
          <w:lang w:val="en-GB"/>
        </w:rPr>
      </w:pPr>
    </w:p>
    <w:p>
      <w:pPr>
        <w:snapToGrid w:val="0"/>
        <w:spacing w:line="24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甲方（盖章）：</w:t>
      </w:r>
      <w:r>
        <w:rPr>
          <w:rFonts w:hint="eastAsia" w:ascii="宋体" w:hAnsi="宋体" w:eastAsia="宋体" w:cs="宋体"/>
          <w:color w:val="auto"/>
          <w:sz w:val="21"/>
          <w:szCs w:val="21"/>
          <w:highlight w:val="none"/>
        </w:rPr>
        <w:t>温州市高速公路资产经营</w:t>
      </w:r>
      <w:r>
        <w:rPr>
          <w:rFonts w:hint="eastAsia" w:ascii="宋体" w:hAnsi="宋体" w:eastAsia="宋体" w:cs="宋体"/>
          <w:color w:val="auto"/>
          <w:sz w:val="21"/>
          <w:szCs w:val="21"/>
          <w:highlight w:val="none"/>
          <w:lang w:val="en-GB"/>
        </w:rPr>
        <w:t xml:space="preserve">有限公司       乙方（盖章）： </w:t>
      </w:r>
    </w:p>
    <w:p>
      <w:pPr>
        <w:snapToGrid w:val="0"/>
        <w:spacing w:line="240" w:lineRule="auto"/>
        <w:rPr>
          <w:rFonts w:hint="eastAsia" w:ascii="宋体" w:hAnsi="宋体" w:eastAsia="宋体" w:cs="宋体"/>
          <w:color w:val="auto"/>
          <w:sz w:val="21"/>
          <w:szCs w:val="21"/>
          <w:highlight w:val="none"/>
          <w:lang w:val="en-GB"/>
        </w:rPr>
      </w:pPr>
    </w:p>
    <w:p>
      <w:pPr>
        <w:snapToGrid w:val="0"/>
        <w:spacing w:line="24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负责人（或授权代表）：                             负责人（或授权代表）：</w:t>
      </w:r>
    </w:p>
    <w:p>
      <w:pPr>
        <w:spacing w:line="240" w:lineRule="auto"/>
        <w:rPr>
          <w:rFonts w:hint="eastAsia" w:ascii="宋体" w:hAnsi="宋体" w:eastAsia="宋体" w:cs="宋体"/>
          <w:color w:val="auto"/>
          <w:sz w:val="21"/>
          <w:szCs w:val="21"/>
          <w:highlight w:val="none"/>
        </w:rPr>
      </w:pP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签订日期：     年    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附件三 </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物业管理质量标准</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服务区物业人员派驻要求</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11" w:firstLine="0" w:firstLineChars="0"/>
        <w:textAlignment w:val="auto"/>
        <w:rPr>
          <w:rFonts w:hint="eastAsia" w:ascii="宋体" w:hAnsi="宋体" w:eastAsia="宋体" w:cs="宋体"/>
          <w:highlight w:val="none"/>
          <w:lang w:val="zh-CN"/>
        </w:rPr>
      </w:pPr>
    </w:p>
    <w:p>
      <w:pPr>
        <w:spacing w:line="240" w:lineRule="auto"/>
        <w:ind w:firstLine="527" w:firstLineChars="2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一、派驻</w:t>
      </w:r>
      <w:r>
        <w:rPr>
          <w:rFonts w:hint="eastAsia" w:ascii="宋体" w:hAnsi="宋体" w:eastAsia="宋体" w:cs="宋体"/>
          <w:b/>
          <w:bCs/>
          <w:color w:val="auto"/>
          <w:sz w:val="21"/>
          <w:szCs w:val="21"/>
          <w:highlight w:val="none"/>
          <w:lang w:eastAsia="zh-CN"/>
        </w:rPr>
        <w:t>服务区</w:t>
      </w:r>
      <w:r>
        <w:rPr>
          <w:rFonts w:hint="eastAsia" w:ascii="宋体" w:hAnsi="宋体" w:eastAsia="宋体" w:cs="宋体"/>
          <w:b/>
          <w:bCs/>
          <w:color w:val="auto"/>
          <w:sz w:val="21"/>
          <w:szCs w:val="21"/>
          <w:highlight w:val="none"/>
        </w:rPr>
        <w:t>相关物业人员应具备以下条件</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（一）具备良好的道德品德，无违法违纪行为的不良记录；</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（二）热爱高速公路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行业，具有吃苦耐劳精神；</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（三）身体健康，无传染性疾病，能适应工作岗位要求；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（四）具备岗位要求的相关业务技能，取得相应技能证书。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（五）与乙方依法签订了劳动合同。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（六）具体岗位要求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物业经理</w:t>
      </w:r>
      <w:r>
        <w:rPr>
          <w:rFonts w:hint="eastAsia" w:ascii="宋体" w:hAnsi="宋体" w:eastAsia="宋体" w:cs="宋体"/>
          <w:color w:val="auto"/>
          <w:sz w:val="21"/>
          <w:szCs w:val="21"/>
          <w:highlight w:val="none"/>
        </w:rPr>
        <w:t>岗位：高中以上文化程度，年龄在30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、水电工岗位：</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中以上文化程度，男性，22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55岁，持有相关专业上岗证件（国家职业资格证书），</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年以上相关工作经验，具备业务实施能力和良好的服务意识、注重服务细节。</w:t>
      </w:r>
    </w:p>
    <w:p>
      <w:pPr>
        <w:pStyle w:val="10"/>
        <w:keepNext w:val="0"/>
        <w:keepLines w:val="0"/>
        <w:pageBreakBefore w:val="0"/>
        <w:widowControl w:val="0"/>
        <w:kinsoku/>
        <w:wordWrap/>
        <w:overflowPunct/>
        <w:topLinePunct w:val="0"/>
        <w:bidi w:val="0"/>
        <w:snapToGrid/>
        <w:spacing w:after="0" w:line="240" w:lineRule="auto"/>
        <w:ind w:firstLine="420" w:firstLineChars="20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3、咨询台人员岗位：高中以上文化程度，22-40岁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，形象良好，具备良好的沟通能力、基础电脑操作能力和良好的服务意识、注重服务细节。</w:t>
      </w:r>
    </w:p>
    <w:p>
      <w:pPr>
        <w:pStyle w:val="10"/>
        <w:keepNext w:val="0"/>
        <w:keepLines w:val="0"/>
        <w:pageBreakBefore w:val="0"/>
        <w:widowControl w:val="0"/>
        <w:kinsoku/>
        <w:wordWrap/>
        <w:overflowPunct/>
        <w:topLinePunct w:val="0"/>
        <w:bidi w:val="0"/>
        <w:snapToGrid/>
        <w:spacing w:after="0" w:line="240" w:lineRule="auto"/>
        <w:ind w:firstLine="42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4、物业内勤岗位：</w:t>
      </w:r>
      <w:r>
        <w:rPr>
          <w:rFonts w:hint="eastAsia" w:ascii="宋体" w:hAnsi="宋体" w:eastAsia="宋体" w:cs="宋体"/>
          <w:color w:val="auto"/>
          <w:sz w:val="21"/>
          <w:szCs w:val="21"/>
          <w:highlight w:val="none"/>
          <w:lang w:val="en-US" w:eastAsia="zh-CN"/>
        </w:rPr>
        <w:t>高中以上文化程度，22-40岁，形象良好，具备良好的沟通能力、基础电脑操作能力和良好的服务意识、注重服务细节。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bidi="ar"/>
        </w:rPr>
        <w:t>保安</w:t>
      </w:r>
      <w:r>
        <w:rPr>
          <w:rFonts w:hint="eastAsia" w:ascii="宋体" w:hAnsi="宋体" w:eastAsia="宋体" w:cs="宋体"/>
          <w:color w:val="auto"/>
          <w:sz w:val="21"/>
          <w:szCs w:val="21"/>
          <w:highlight w:val="none"/>
          <w:lang w:val="en-US" w:eastAsia="zh-CN" w:bidi="ar"/>
        </w:rPr>
        <w:t>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w:t>
      </w:r>
      <w:r>
        <w:rPr>
          <w:rFonts w:hint="eastAsia" w:ascii="宋体" w:hAnsi="宋体" w:eastAsia="宋体" w:cs="宋体"/>
          <w:color w:val="auto"/>
          <w:kern w:val="2"/>
          <w:sz w:val="21"/>
          <w:szCs w:val="21"/>
          <w:highlight w:val="none"/>
          <w:lang w:val="en-US" w:eastAsia="zh-CN" w:bidi="ar"/>
        </w:rPr>
        <w:t>保安队长</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初中以上文化程度，男性，20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，身高1.6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米以上，无近视，具有较强的安保和消防知识，</w:t>
      </w:r>
      <w:r>
        <w:rPr>
          <w:rFonts w:hint="eastAsia" w:ascii="宋体" w:hAnsi="宋体" w:eastAsia="宋体" w:cs="宋体"/>
          <w:color w:val="auto"/>
          <w:sz w:val="21"/>
          <w:szCs w:val="21"/>
          <w:highlight w:val="none"/>
          <w:lang w:val="en-US" w:eastAsia="zh-CN"/>
        </w:rPr>
        <w:t>退伍军人优先考虑，具有保安员资格证，</w:t>
      </w:r>
      <w:r>
        <w:rPr>
          <w:rFonts w:hint="eastAsia" w:ascii="宋体" w:hAnsi="宋体" w:eastAsia="宋体" w:cs="宋体"/>
          <w:color w:val="auto"/>
          <w:sz w:val="21"/>
          <w:szCs w:val="21"/>
          <w:highlight w:val="none"/>
        </w:rPr>
        <w:t>一年以上安保工作经验，应变能力强、能吃苦耐劳。</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6、监控（消控）员岗位：高中以上文化程度，20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55岁以下，无近视，具有较强的消防和安保知识，责任心强，应变能力强，能吃苦耐劳，消控员须持证上岗。</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保洁员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w:t>
      </w:r>
      <w:r>
        <w:rPr>
          <w:rFonts w:hint="eastAsia" w:ascii="宋体" w:hAnsi="宋体" w:eastAsia="宋体" w:cs="宋体"/>
          <w:color w:val="auto"/>
          <w:kern w:val="2"/>
          <w:sz w:val="21"/>
          <w:szCs w:val="21"/>
          <w:highlight w:val="none"/>
          <w:lang w:val="en-US" w:eastAsia="zh-CN" w:bidi="ar"/>
        </w:rPr>
        <w:t>保洁主管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男性20～</w:t>
      </w:r>
      <w:r>
        <w:rPr>
          <w:rFonts w:hint="eastAsia" w:ascii="宋体" w:hAnsi="宋体" w:eastAsia="宋体" w:cs="宋体"/>
          <w:color w:val="auto"/>
          <w:sz w:val="21"/>
          <w:szCs w:val="21"/>
          <w:highlight w:val="none"/>
        </w:rPr>
        <w:t>55岁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女性20</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rPr>
        <w:t>50岁，特别优秀的经甲方同意可适当放宽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具备一定文化程度，会讲普通话，具有1年以上相关工作经验，五官端正，工作勤奋，具有服务意识、注重服务细节，具备吃苦耐劳的精神。</w:t>
      </w:r>
    </w:p>
    <w:p>
      <w:pPr>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其中公厕保洁员必须施行“一人一厕”，按性别配置，服务区共公共卫生间数量：2个男厕所、2个女厕所。</w:t>
      </w:r>
    </w:p>
    <w:p>
      <w:pPr>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服务区保安工作量化标准</w:t>
      </w:r>
    </w:p>
    <w:tbl>
      <w:tblPr>
        <w:tblStyle w:val="2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14"/>
        <w:gridCol w:w="681"/>
        <w:gridCol w:w="681"/>
        <w:gridCol w:w="681"/>
        <w:gridCol w:w="681"/>
        <w:gridCol w:w="684"/>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vMerge w:val="restart"/>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3408" w:type="dxa"/>
            <w:gridSpan w:val="5"/>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频次</w:t>
            </w:r>
          </w:p>
        </w:tc>
        <w:tc>
          <w:tcPr>
            <w:tcW w:w="4306" w:type="dxa"/>
            <w:vMerge w:val="restart"/>
            <w:noWrap w:val="0"/>
            <w:vAlign w:val="center"/>
          </w:tcPr>
          <w:p>
            <w:pPr>
              <w:pStyle w:val="14"/>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日</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周</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月</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季</w:t>
            </w:r>
          </w:p>
        </w:tc>
        <w:tc>
          <w:tcPr>
            <w:tcW w:w="68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年</w:t>
            </w:r>
          </w:p>
        </w:tc>
        <w:tc>
          <w:tcPr>
            <w:tcW w:w="4306" w:type="dxa"/>
            <w:vMerge w:val="continue"/>
            <w:noWrap w:val="0"/>
            <w:vAlign w:val="center"/>
          </w:tcPr>
          <w:p>
            <w:pPr>
              <w:pStyle w:val="14"/>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restart"/>
            <w:noWrap w:val="0"/>
            <w:vAlign w:val="center"/>
          </w:tcPr>
          <w:p>
            <w:pPr>
              <w:pStyle w:val="14"/>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公共秩序</w:t>
            </w:r>
          </w:p>
        </w:tc>
        <w:tc>
          <w:tcPr>
            <w:tcW w:w="1014" w:type="dxa"/>
            <w:noWrap w:val="0"/>
            <w:vAlign w:val="center"/>
          </w:tcPr>
          <w:p>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人员出入管理</w:t>
            </w:r>
          </w:p>
        </w:tc>
        <w:tc>
          <w:tcPr>
            <w:tcW w:w="681" w:type="dxa"/>
            <w:noWrap w:val="0"/>
            <w:vAlign w:val="center"/>
          </w:tcPr>
          <w:p>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1.登记有效证件不超过60秒/人·次；</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2.掌握本岗位职责和工作规程；外来人员进入</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需确认后并登记放行，可疑或重要人员特别监控，完毕后出入凭证由有接待部门的签字后方可离开；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安全巡逻</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1.每月重新制定一次巡逻路线。</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2.巡逻人员（不包括车场巡逻人员）按规定路线每1小时巡逻1次并签到。</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3.对可疑人员进行监控。</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4.对重大事件的及时处理。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其它突发事件或异常情况处理</w:t>
            </w:r>
          </w:p>
        </w:tc>
        <w:tc>
          <w:tcPr>
            <w:tcW w:w="681" w:type="dxa"/>
            <w:noWrap w:val="0"/>
            <w:vAlign w:val="center"/>
          </w:tcPr>
          <w:p>
            <w:pPr>
              <w:pStyle w:val="14"/>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1.发现盗窃、斗殴、匪警情况的处理；</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2.对精神病人、醉汉的处理；触电事故的应急处理；突发性水浸事故处理；</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3.台风袭击前、吹强烈大风的预防措施；台风来临后的措施；</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4.爆炸的处理；失物处理；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restart"/>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安全防范</w:t>
            </w: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系统报警处理</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接到报警信号后巡逻岗保安在1至3分钟内赶到现场。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pStyle w:val="21"/>
              <w:keepNext w:val="0"/>
              <w:keepLines w:val="0"/>
              <w:pageBreakBefore w:val="0"/>
              <w:kinsoku/>
              <w:wordWrap/>
              <w:topLinePunct w:val="0"/>
              <w:bidi w:val="0"/>
              <w:snapToGrid/>
              <w:spacing w:beforeAutospacing="0" w:afterAutospacing="0"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室内报警处理</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商户或办公室内报警，巡逻岗保安在3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5分钟内到达现场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pStyle w:val="21"/>
              <w:keepNext w:val="0"/>
              <w:keepLines w:val="0"/>
              <w:pageBreakBefore w:val="0"/>
              <w:kinsoku/>
              <w:wordWrap/>
              <w:topLinePunct w:val="0"/>
              <w:bidi w:val="0"/>
              <w:snapToGrid/>
              <w:spacing w:beforeAutospacing="0" w:afterAutospacing="0"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标识系统</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ind w:left="210" w:hanging="180" w:hanging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设置必备的安全标识。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restart"/>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消防安全</w:t>
            </w: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公共部位</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无占用消防通道，无堆放杂物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消防栓</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1.熟练掌握使用方法。</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2.无破损、无霉潮，带柜完好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消防门保持关闭。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灭火器具</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做好检查记录，无缺失、无过期，表面保洁，100%完好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温感、烟感、喷淋</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无缺失，外观完好。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不少于1次</w:t>
            </w: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1.制定演习方案.</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2.按演习方案组织实施.</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3.对演习进行效果评估.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车辆管理</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pStyle w:val="13"/>
              <w:keepNext w:val="0"/>
              <w:keepLines w:val="0"/>
              <w:pageBreakBefore w:val="0"/>
              <w:widowControl/>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1.对车辆实施分流，维护停放秩序。</w:t>
            </w:r>
          </w:p>
          <w:p>
            <w:pPr>
              <w:pStyle w:val="13"/>
              <w:keepNext w:val="0"/>
              <w:keepLines w:val="0"/>
              <w:pageBreakBefore w:val="0"/>
              <w:widowControl/>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2.对危险品车辆落实专人进行全程管理，并做好记录，发现问题及时汇报。</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3.巡逻人员按规定路线定时巡逻和签到。</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4.发现异常情况，保安在30秒至于1分钟内赶到现场。</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5.对可疑车辆进行重点监控。</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6.对长时间逗留的车辆劝其离开。</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7.通道内严禁停车，对违停车辆在5分钟内予以处理，对停车场的修理车进行制止。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工作环境</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1.岗位责任人姓名、照片、许可证等有关证件，悬挂在出入口明显位置。</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2.门卫岗亭，内外地面拖洗干净，玻璃窗台及其他台面，室内外墙面每月清洁。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资料管理</w:t>
            </w:r>
          </w:p>
        </w:tc>
        <w:tc>
          <w:tcPr>
            <w:tcW w:w="681"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1.日常记录</w:t>
            </w:r>
          </w:p>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《保安值班记录表》、《巡逻签到表》（或电子巡逻记录）、《来人来访登记表》、《车辆出入登记表》、《培训记录表》、《危险品车辆记录》</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通道车辆登记表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巡查登记表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等</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2.月度记录</w:t>
            </w:r>
          </w:p>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《培训计划表》、《消防器材检查记录》</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3.年度记录</w:t>
            </w:r>
          </w:p>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《消防演习方案》、《紧急集合检查记录表》、灭火的相关记录（会议记录、应急行动记录）</w:t>
            </w:r>
          </w:p>
        </w:tc>
      </w:tr>
    </w:tbl>
    <w:p>
      <w:pPr>
        <w:spacing w:line="240" w:lineRule="auto"/>
        <w:jc w:val="center"/>
        <w:rPr>
          <w:rFonts w:hint="eastAsia" w:ascii="宋体" w:hAnsi="宋体" w:eastAsia="宋体" w:cs="宋体"/>
          <w:color w:val="auto"/>
          <w:sz w:val="21"/>
          <w:szCs w:val="21"/>
          <w:highlight w:val="none"/>
        </w:rPr>
      </w:pPr>
    </w:p>
    <w:p>
      <w:pP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br w:type="page"/>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服务区保洁工作量化标准</w:t>
      </w:r>
    </w:p>
    <w:p>
      <w:pPr>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一、公共卫生间</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早晚对公共卫生间大清洗两次。通风换气，清洗烟灰缸，清扫地面垃圾，倾倒垃圾桶内垃圾，换新的垃圾袋，垃圾桶大清洁；卫生间瓷砖地面去污、干拖地面，去除污渍，清洗大小便器，清洗洗手盆，用毛巾抹墙面台面开关、门牌，隔断，擦干净玻璃镜面，拖净地面，放置香球或除臭块。发现墙面、隔断有字及时清洁。卫生间内绿化清洁，卫生间内宣传告示牌的清洁，防滑地毯的清洗。补充洗手液等卫生用品。做好台账记录。</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2、工作频率：</w:t>
      </w:r>
    </w:p>
    <w:tbl>
      <w:tblPr>
        <w:tblStyle w:val="24"/>
        <w:tblW w:w="9039" w:type="dxa"/>
        <w:jc w:val="center"/>
        <w:tblLayout w:type="fixed"/>
        <w:tblCellMar>
          <w:top w:w="0" w:type="dxa"/>
          <w:left w:w="108" w:type="dxa"/>
          <w:bottom w:w="0" w:type="dxa"/>
          <w:right w:w="108" w:type="dxa"/>
        </w:tblCellMar>
      </w:tblPr>
      <w:tblGrid>
        <w:gridCol w:w="2759"/>
        <w:gridCol w:w="738"/>
        <w:gridCol w:w="738"/>
        <w:gridCol w:w="738"/>
        <w:gridCol w:w="738"/>
        <w:gridCol w:w="738"/>
        <w:gridCol w:w="740"/>
        <w:gridCol w:w="1850"/>
      </w:tblGrid>
      <w:tr>
        <w:tblPrEx>
          <w:tblCellMar>
            <w:top w:w="0" w:type="dxa"/>
            <w:left w:w="108" w:type="dxa"/>
            <w:bottom w:w="0" w:type="dxa"/>
            <w:right w:w="108" w:type="dxa"/>
          </w:tblCellMar>
        </w:tblPrEx>
        <w:trPr>
          <w:trHeight w:val="23" w:hRule="atLeast"/>
          <w:jc w:val="center"/>
        </w:trPr>
        <w:tc>
          <w:tcPr>
            <w:tcW w:w="275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卫生间保洁</w:t>
            </w:r>
          </w:p>
        </w:tc>
        <w:tc>
          <w:tcPr>
            <w:tcW w:w="4430" w:type="dxa"/>
            <w:gridSpan w:val="6"/>
            <w:tcBorders>
              <w:top w:val="single" w:color="auto" w:sz="4" w:space="0"/>
              <w:left w:val="nil"/>
              <w:bottom w:val="single" w:color="auto" w:sz="4" w:space="0"/>
              <w:right w:val="single" w:color="000000"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85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275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c>
          <w:tcPr>
            <w:tcW w:w="738" w:type="dxa"/>
            <w:tcBorders>
              <w:top w:val="nil"/>
              <w:left w:val="nil"/>
              <w:bottom w:val="nil"/>
              <w:right w:val="nil"/>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738" w:type="dxa"/>
            <w:tcBorders>
              <w:top w:val="nil"/>
              <w:left w:val="single" w:color="auto" w:sz="4" w:space="0"/>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38"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738"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738"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40"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便器、洗水盆、不锈钢面</w:t>
            </w:r>
          </w:p>
        </w:tc>
        <w:tc>
          <w:tcPr>
            <w:tcW w:w="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玻璃、镜面</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瓷砖地面</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墙面2米以下、隔断板、地面墙角、门背后</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顶棚、灯具、换气扇</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nil"/>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卫生间台盆、面盆下</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防滑垫、提示牌</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每半月清洗1次</w:t>
            </w: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添加卫生纸，烟灰缸、纸篓按保洁标准更换垃圾袋</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洗手液、擦手纸</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nil"/>
              <w:right w:val="nil"/>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single" w:color="auto" w:sz="4" w:space="0"/>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室内花木</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清扫地面垃圾</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每天拖洗、去污1次</w:t>
            </w:r>
          </w:p>
        </w:tc>
      </w:tr>
    </w:tbl>
    <w:p>
      <w:pPr>
        <w:spacing w:line="240" w:lineRule="auto"/>
        <w:ind w:firstLine="411" w:firstLineChars="19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二、停车场保洁</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pPr>
        <w:spacing w:line="240" w:lineRule="auto"/>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每天随时清扫停车场的细小垃圾，每天随时清扫绿化带，每天随时拣绿化带内的烟头杂物等，秋冬季或落叶较多季节增加清洁次数。窨井、边沟内垃圾清理。擦拭广场告示牌、宣传广告栏。收集垃圾，换垃圾袋，清洁垃圾桶，冲洗垃圾房。</w:t>
      </w:r>
      <w:r>
        <w:rPr>
          <w:rFonts w:hint="eastAsia" w:ascii="宋体" w:hAnsi="宋体" w:eastAsia="宋体" w:cs="宋体"/>
          <w:color w:val="auto"/>
          <w:sz w:val="21"/>
          <w:szCs w:val="21"/>
          <w:highlight w:val="none"/>
          <w:lang w:val="en-US" w:eastAsia="zh-CN"/>
        </w:rPr>
        <w:t>消杀工作，做好台账记录。</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2、具体频率：</w:t>
      </w:r>
    </w:p>
    <w:tbl>
      <w:tblPr>
        <w:tblStyle w:val="24"/>
        <w:tblW w:w="8742" w:type="dxa"/>
        <w:jc w:val="center"/>
        <w:tblLayout w:type="fixed"/>
        <w:tblCellMar>
          <w:top w:w="0" w:type="dxa"/>
          <w:left w:w="108" w:type="dxa"/>
          <w:bottom w:w="0" w:type="dxa"/>
          <w:right w:w="108" w:type="dxa"/>
        </w:tblCellMar>
      </w:tblPr>
      <w:tblGrid>
        <w:gridCol w:w="2776"/>
        <w:gridCol w:w="742"/>
        <w:gridCol w:w="742"/>
        <w:gridCol w:w="742"/>
        <w:gridCol w:w="742"/>
        <w:gridCol w:w="742"/>
        <w:gridCol w:w="743"/>
        <w:gridCol w:w="1513"/>
      </w:tblGrid>
      <w:tr>
        <w:tblPrEx>
          <w:tblCellMar>
            <w:top w:w="0" w:type="dxa"/>
            <w:left w:w="108" w:type="dxa"/>
            <w:bottom w:w="0" w:type="dxa"/>
            <w:right w:w="108" w:type="dxa"/>
          </w:tblCellMar>
        </w:tblPrEx>
        <w:trPr>
          <w:trHeight w:val="23" w:hRule="atLeast"/>
          <w:jc w:val="center"/>
        </w:trPr>
        <w:tc>
          <w:tcPr>
            <w:tcW w:w="277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广场保洁</w:t>
            </w:r>
          </w:p>
        </w:tc>
        <w:tc>
          <w:tcPr>
            <w:tcW w:w="4453" w:type="dxa"/>
            <w:gridSpan w:val="6"/>
            <w:tcBorders>
              <w:top w:val="single" w:color="auto" w:sz="4" w:space="0"/>
              <w:left w:val="nil"/>
              <w:bottom w:val="single" w:color="auto"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513"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27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c>
          <w:tcPr>
            <w:tcW w:w="742" w:type="dxa"/>
            <w:tcBorders>
              <w:top w:val="nil"/>
              <w:left w:val="nil"/>
              <w:bottom w:val="nil"/>
              <w:right w:val="nil"/>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742" w:type="dxa"/>
            <w:tcBorders>
              <w:top w:val="nil"/>
              <w:left w:val="single" w:color="auto" w:sz="4" w:space="0"/>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边沟</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绿化带</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进出口匝道</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清理廊檐边杂草</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垃圾的收集</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垃圾桶的清洗</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垃圾房（中转站）的冲洗</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外场地面（含台阶、花台等）</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路沿石</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告示牌</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水马警示桩</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消防设施</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地面小垃圾的排扫</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台账记录</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标示宣传牌、雕塑</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7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步行广场</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使用洗地机清洗</w:t>
            </w:r>
          </w:p>
        </w:tc>
      </w:tr>
    </w:tbl>
    <w:p>
      <w:pPr>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三、大厅保洁：包括办公室、会议室等</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厅（商场）地面清扫、除尘、去污渍、湿拖，收集垃圾去指定地点并更换垃圾袋，清洁垃圾桶内外；大理石立柱（2米以下）、墙面、玻璃门清洁、去尘，玻璃幕墙内外（2米以下），门厅设施，沙发、桌椅、防滑地毯清洁吸尘，清洁除尘消防箱及灭火器，去除蜘蛛网，做好台账记录。办公区域：清扫拖地，收集垃圾，更换垃圾袋，湿擦房门及清洁玻璃，家具及固定设备除尘，湿擦，去除蜘蛛网。会议室：门、窗台、窗框，扶手。墙面、地脚线、护墙板。桌椅擦拭。室内绿化、告示牌、指示牌保洁。</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2、工作频率：</w:t>
      </w:r>
    </w:p>
    <w:tbl>
      <w:tblPr>
        <w:tblStyle w:val="24"/>
        <w:tblW w:w="8981" w:type="dxa"/>
        <w:jc w:val="center"/>
        <w:tblLayout w:type="fixed"/>
        <w:tblCellMar>
          <w:top w:w="0" w:type="dxa"/>
          <w:left w:w="108" w:type="dxa"/>
          <w:bottom w:w="0" w:type="dxa"/>
          <w:right w:w="108" w:type="dxa"/>
        </w:tblCellMar>
      </w:tblPr>
      <w:tblGrid>
        <w:gridCol w:w="2180"/>
        <w:gridCol w:w="818"/>
        <w:gridCol w:w="818"/>
        <w:gridCol w:w="818"/>
        <w:gridCol w:w="818"/>
        <w:gridCol w:w="818"/>
        <w:gridCol w:w="822"/>
        <w:gridCol w:w="1889"/>
      </w:tblGrid>
      <w:tr>
        <w:tblPrEx>
          <w:tblCellMar>
            <w:top w:w="0" w:type="dxa"/>
            <w:left w:w="108" w:type="dxa"/>
            <w:bottom w:w="0" w:type="dxa"/>
            <w:right w:w="108" w:type="dxa"/>
          </w:tblCellMar>
        </w:tblPrEx>
        <w:trPr>
          <w:trHeight w:val="23" w:hRule="atLeast"/>
          <w:jc w:val="center"/>
        </w:trPr>
        <w:tc>
          <w:tcPr>
            <w:tcW w:w="21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4912" w:type="dxa"/>
            <w:gridSpan w:val="6"/>
            <w:tcBorders>
              <w:top w:val="single" w:color="auto" w:sz="4" w:space="0"/>
              <w:left w:val="nil"/>
              <w:bottom w:val="single" w:color="auto" w:sz="4" w:space="0"/>
              <w:right w:val="single" w:color="000000"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88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21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c>
          <w:tcPr>
            <w:tcW w:w="818" w:type="dxa"/>
            <w:tcBorders>
              <w:top w:val="nil"/>
              <w:left w:val="nil"/>
              <w:bottom w:val="nil"/>
              <w:right w:val="nil"/>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循环</w:t>
            </w:r>
          </w:p>
        </w:tc>
        <w:tc>
          <w:tcPr>
            <w:tcW w:w="818"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8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大厅（商场）、办公室、会议室</w:t>
            </w:r>
          </w:p>
        </w:tc>
        <w:tc>
          <w:tcPr>
            <w:tcW w:w="81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电话机</w:t>
            </w:r>
          </w:p>
        </w:tc>
        <w:tc>
          <w:tcPr>
            <w:tcW w:w="81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开水房</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空调外机</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大理石花岗石墙面柱面（2米以下）</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玻璃墙面金属框架</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nil"/>
              <w:right w:val="nil"/>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single" w:color="auto" w:sz="4" w:space="0"/>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不锈钢面</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地面清洗抛光</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地毯</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通风口灯具饰物</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绿化、指示牌等</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垃圾收集、清扫地面</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立柱、墙面、踢脚线、护墙板</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服务区设施设备维护量化标准</w:t>
      </w:r>
    </w:p>
    <w:p>
      <w:pPr>
        <w:bidi w:val="0"/>
        <w:jc w:val="center"/>
        <w:rPr>
          <w:rFonts w:hint="eastAsia" w:ascii="宋体" w:hAnsi="宋体" w:eastAsia="宋体" w:cs="宋体"/>
          <w:b/>
          <w:bCs/>
          <w:color w:val="auto"/>
          <w:szCs w:val="21"/>
          <w:highlight w:val="none"/>
        </w:rPr>
      </w:pPr>
      <w:r>
        <w:rPr>
          <w:rFonts w:hint="eastAsia" w:ascii="宋体" w:hAnsi="宋体" w:eastAsia="宋体" w:cs="宋体"/>
          <w:b/>
          <w:bCs/>
          <w:highlight w:val="none"/>
        </w:rPr>
        <w:t>照明设施定期维护要</w:t>
      </w:r>
      <w:r>
        <w:rPr>
          <w:rFonts w:hint="eastAsia" w:ascii="宋体" w:hAnsi="宋体" w:eastAsia="宋体" w:cs="宋体"/>
          <w:b/>
          <w:bCs/>
          <w:color w:val="auto"/>
          <w:szCs w:val="21"/>
          <w:highlight w:val="none"/>
        </w:rPr>
        <w:t>求</w:t>
      </w:r>
    </w:p>
    <w:tbl>
      <w:tblPr>
        <w:tblStyle w:val="24"/>
        <w:tblW w:w="85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939"/>
        <w:gridCol w:w="1939"/>
        <w:gridCol w:w="1152"/>
        <w:gridCol w:w="2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878" w:type="dxa"/>
            <w:gridSpan w:val="2"/>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1152"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2900"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具体操作内容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tcBorders>
              <w:top w:val="single" w:color="auto" w:sz="8" w:space="0"/>
            </w:tcBorders>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939" w:type="dxa"/>
            <w:vMerge w:val="restart"/>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灯具与光源</w:t>
            </w:r>
          </w:p>
          <w:p>
            <w:pPr>
              <w:pStyle w:val="67"/>
              <w:spacing w:line="240" w:lineRule="auto"/>
              <w:ind w:firstLine="0" w:firstLine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应急照明设施</w:t>
            </w:r>
          </w:p>
        </w:tc>
        <w:tc>
          <w:tcPr>
            <w:tcW w:w="1939"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900"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观察、发现损坏立即更换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939" w:type="dxa"/>
            <w:vMerge w:val="restart"/>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高杆灯</w:t>
            </w: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灯架防腐</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3月</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损坏时更换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1年</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升降器检修</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检查与维修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598" w:type="dxa"/>
            <w:vMerge w:val="restart"/>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939" w:type="dxa"/>
            <w:vMerge w:val="restart"/>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照明配电箱</w:t>
            </w: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每月</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tcBorders>
              <w:bottom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tcBorders>
              <w:bottom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tcBorders>
              <w:bottom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更换、紧固、涂漆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tcBorders>
              <w:bottom w:val="single" w:color="auto" w:sz="8" w:space="0"/>
            </w:tcBorders>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tcBorders>
              <w:bottom w:val="single" w:color="auto" w:sz="8" w:space="0"/>
            </w:tcBorders>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tcBorders>
              <w:top w:val="single" w:color="auto" w:sz="4"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检测光控和时控</w:t>
            </w:r>
          </w:p>
        </w:tc>
        <w:tc>
          <w:tcPr>
            <w:tcW w:w="1152" w:type="dxa"/>
            <w:tcBorders>
              <w:top w:val="single" w:color="auto" w:sz="4"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tcBorders>
              <w:top w:val="single" w:color="auto" w:sz="4"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损坏后及时更换</w:t>
            </w: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66"/>
        <w:tabs>
          <w:tab w:val="clear" w:pos="360"/>
        </w:tabs>
        <w:spacing w:before="120" w:after="120" w:line="240" w:lineRule="auto"/>
        <w:ind w:left="0"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高、低压配电柜定期维护要求</w:t>
      </w:r>
    </w:p>
    <w:tbl>
      <w:tblPr>
        <w:tblStyle w:val="24"/>
        <w:tblW w:w="8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186"/>
        <w:gridCol w:w="958"/>
        <w:gridCol w:w="4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186"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958"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710"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具体保养内容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1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w:t>
            </w:r>
          </w:p>
        </w:tc>
        <w:tc>
          <w:tcPr>
            <w:tcW w:w="958"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电器仪表</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外表清洁，显示正常、固定可靠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继电器、交流接触器、断路器、闸刀开关</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外表清洁，触点完好，无过热现象，无噪音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控制回路</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压接良好、标号清晰，绝缘无变色老化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指示灯、按钮转换开关</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外表清洁，标志清晰，牢固可靠，转动灵活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电容无功补偿</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电容接触器良好，电容补偿三相平衡，电容器无发热膨胀，也不冰冷，接头不发热变色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1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母线排</w:t>
            </w:r>
          </w:p>
        </w:tc>
        <w:tc>
          <w:tcPr>
            <w:tcW w:w="9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7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压接良好，色标清晰，绝缘良好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186"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配电屏对地测试</w:t>
            </w:r>
          </w:p>
        </w:tc>
        <w:tc>
          <w:tcPr>
            <w:tcW w:w="958"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710"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接地良好</w:t>
            </w:r>
          </w:p>
        </w:tc>
      </w:tr>
    </w:tbl>
    <w:p>
      <w:pPr>
        <w:pStyle w:val="66"/>
        <w:tabs>
          <w:tab w:val="clear" w:pos="360"/>
        </w:tabs>
        <w:spacing w:before="120" w:after="120" w:line="240" w:lineRule="auto"/>
        <w:ind w:left="0"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发电机组定期维护要求</w:t>
      </w:r>
    </w:p>
    <w:tbl>
      <w:tblPr>
        <w:tblStyle w:val="24"/>
        <w:tblW w:w="87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9"/>
        <w:gridCol w:w="1140"/>
        <w:gridCol w:w="4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089"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40"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604"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89"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常规保养</w:t>
            </w:r>
          </w:p>
        </w:tc>
        <w:tc>
          <w:tcPr>
            <w:tcW w:w="1140"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w:t>
            </w:r>
          </w:p>
        </w:tc>
        <w:tc>
          <w:tcPr>
            <w:tcW w:w="4604"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日常检查，每月开机二次，每次1小时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日常维护</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按设备需要进行发动实验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一级技术保养</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一个月检测一次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二级技术保养</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半年检测一次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三级技术保养</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一年检测一次</w:t>
            </w:r>
          </w:p>
        </w:tc>
      </w:tr>
    </w:tbl>
    <w:p>
      <w:pPr>
        <w:pStyle w:val="66"/>
        <w:tabs>
          <w:tab w:val="clear" w:pos="360"/>
        </w:tabs>
        <w:spacing w:before="120" w:after="120" w:line="240" w:lineRule="auto"/>
        <w:ind w:left="0"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消防设施定期维护要求</w:t>
      </w:r>
    </w:p>
    <w:tbl>
      <w:tblPr>
        <w:tblStyle w:val="24"/>
        <w:tblW w:w="86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081"/>
        <w:gridCol w:w="1137"/>
        <w:gridCol w:w="45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081"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37"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527"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具体保养内容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81"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水泵</w:t>
            </w:r>
          </w:p>
        </w:tc>
        <w:tc>
          <w:tcPr>
            <w:tcW w:w="1137"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动力正常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81"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压力</w:t>
            </w:r>
            <w:r>
              <w:rPr>
                <w:rFonts w:hint="eastAsia" w:ascii="宋体" w:hAnsi="宋体" w:eastAsia="宋体" w:cs="宋体"/>
                <w:color w:val="auto"/>
                <w:sz w:val="18"/>
                <w:szCs w:val="18"/>
                <w:highlight w:val="none"/>
              </w:rPr>
              <w:t>仪表</w:t>
            </w:r>
          </w:p>
        </w:tc>
        <w:tc>
          <w:tcPr>
            <w:tcW w:w="113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显示正常，压力在正常范围内。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081"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控制回路</w:t>
            </w:r>
          </w:p>
        </w:tc>
        <w:tc>
          <w:tcPr>
            <w:tcW w:w="113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压接良好、标号清晰，绝缘无变色老化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081"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指示灯</w:t>
            </w:r>
          </w:p>
        </w:tc>
        <w:tc>
          <w:tcPr>
            <w:tcW w:w="113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无红色故障灯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081"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水箱</w:t>
            </w:r>
          </w:p>
        </w:tc>
        <w:tc>
          <w:tcPr>
            <w:tcW w:w="1137"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水位正常</w:t>
            </w:r>
          </w:p>
        </w:tc>
      </w:tr>
      <w:bookmarkEnd w:id="169"/>
      <w:bookmarkEnd w:id="170"/>
      <w:bookmarkEnd w:id="171"/>
      <w:bookmarkEnd w:id="172"/>
      <w:bookmarkEnd w:id="173"/>
      <w:bookmarkEnd w:id="174"/>
      <w:bookmarkEnd w:id="175"/>
      <w:bookmarkEnd w:id="176"/>
      <w:bookmarkEnd w:id="177"/>
      <w:bookmarkEnd w:id="178"/>
    </w:tbl>
    <w:p>
      <w:pPr>
        <w:pStyle w:val="10"/>
        <w:ind w:firstLine="440"/>
        <w:jc w:val="center"/>
        <w:rPr>
          <w:rFonts w:hint="eastAsia" w:ascii="宋体" w:hAnsi="宋体" w:eastAsia="宋体" w:cs="宋体"/>
          <w:sz w:val="44"/>
          <w:szCs w:val="44"/>
          <w:highlight w:val="none"/>
        </w:rPr>
      </w:pPr>
      <w:bookmarkStart w:id="190" w:name="_Toc491780525"/>
    </w:p>
    <w:p>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附件四</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考核管理办法</w:t>
      </w:r>
    </w:p>
    <w:p>
      <w:pPr>
        <w:rPr>
          <w:rFonts w:hint="eastAsia" w:ascii="宋体" w:hAnsi="宋体" w:eastAsia="宋体" w:cs="宋体"/>
          <w:highlight w:val="none"/>
          <w:lang w:val="en-US" w:eastAsia="zh-CN"/>
        </w:rPr>
      </w:pPr>
    </w:p>
    <w:p>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一、以《高速公路</w:t>
      </w:r>
      <w:r>
        <w:rPr>
          <w:rFonts w:hint="eastAsia" w:ascii="宋体" w:hAnsi="宋体" w:eastAsia="宋体" w:cs="宋体"/>
          <w:color w:val="auto"/>
          <w:kern w:val="0"/>
          <w:sz w:val="21"/>
          <w:szCs w:val="21"/>
          <w:highlight w:val="none"/>
          <w:lang w:eastAsia="zh-CN"/>
        </w:rPr>
        <w:t>停车区</w:t>
      </w:r>
      <w:r>
        <w:rPr>
          <w:rFonts w:hint="eastAsia" w:ascii="宋体" w:hAnsi="宋体" w:eastAsia="宋体" w:cs="宋体"/>
          <w:color w:val="auto"/>
          <w:kern w:val="0"/>
          <w:sz w:val="21"/>
          <w:szCs w:val="21"/>
          <w:highlight w:val="none"/>
        </w:rPr>
        <w:t>物业考核细则保安考核细则》和《浙江省高速公路</w:t>
      </w:r>
      <w:r>
        <w:rPr>
          <w:rFonts w:hint="eastAsia" w:ascii="宋体" w:hAnsi="宋体" w:eastAsia="宋体" w:cs="宋体"/>
          <w:color w:val="auto"/>
          <w:kern w:val="0"/>
          <w:sz w:val="21"/>
          <w:szCs w:val="21"/>
          <w:highlight w:val="none"/>
          <w:lang w:eastAsia="zh-CN"/>
        </w:rPr>
        <w:t>停车区</w:t>
      </w:r>
      <w:r>
        <w:rPr>
          <w:rFonts w:hint="eastAsia" w:ascii="宋体" w:hAnsi="宋体" w:eastAsia="宋体" w:cs="宋体"/>
          <w:color w:val="auto"/>
          <w:kern w:val="0"/>
          <w:sz w:val="21"/>
          <w:szCs w:val="21"/>
          <w:highlight w:val="none"/>
        </w:rPr>
        <w:t>质量评定考核细则》进行考核，评分采取150分满分制，由甲方</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组织对物业项进行月度考核。</w:t>
      </w:r>
    </w:p>
    <w:p>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二、考核方式：通过</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日常考核和</w:t>
      </w:r>
      <w:r>
        <w:rPr>
          <w:rFonts w:hint="eastAsia" w:ascii="宋体" w:hAnsi="宋体" w:eastAsia="宋体" w:cs="宋体"/>
          <w:color w:val="auto"/>
          <w:kern w:val="0"/>
          <w:sz w:val="21"/>
          <w:szCs w:val="21"/>
          <w:highlight w:val="none"/>
          <w:lang w:val="en-US" w:eastAsia="zh-CN"/>
        </w:rPr>
        <w:t>季</w:t>
      </w:r>
      <w:r>
        <w:rPr>
          <w:rFonts w:hint="eastAsia" w:ascii="宋体" w:hAnsi="宋体" w:eastAsia="宋体" w:cs="宋体"/>
          <w:color w:val="auto"/>
          <w:kern w:val="0"/>
          <w:sz w:val="21"/>
          <w:szCs w:val="21"/>
          <w:highlight w:val="none"/>
        </w:rPr>
        <w:t>度考核相结合，通过日常检查，对物业管理存在问题以《稽查处罚单》告知物业项目部，</w:t>
      </w:r>
      <w:r>
        <w:rPr>
          <w:rFonts w:hint="eastAsia" w:ascii="宋体" w:hAnsi="宋体" w:eastAsia="宋体" w:cs="宋体"/>
          <w:color w:val="auto"/>
          <w:kern w:val="0"/>
          <w:sz w:val="21"/>
          <w:szCs w:val="21"/>
          <w:highlight w:val="none"/>
          <w:lang w:val="en-US" w:eastAsia="zh-CN"/>
        </w:rPr>
        <w:t>每季度</w:t>
      </w:r>
      <w:r>
        <w:rPr>
          <w:rFonts w:hint="eastAsia" w:ascii="宋体" w:hAnsi="宋体" w:eastAsia="宋体" w:cs="宋体"/>
          <w:color w:val="auto"/>
          <w:kern w:val="0"/>
          <w:sz w:val="21"/>
          <w:szCs w:val="21"/>
          <w:highlight w:val="none"/>
        </w:rPr>
        <w:t>底累积扣分数总计（单项考核可以累积扣分，扣完为止），得出该月度考核分数。</w:t>
      </w:r>
    </w:p>
    <w:p>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三、考核周期：以本</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自然天数为周期限。</w:t>
      </w:r>
    </w:p>
    <w:p>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四、考核小组：组长：</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主任；副组长：分管物业</w:t>
      </w:r>
      <w:r>
        <w:rPr>
          <w:rFonts w:hint="eastAsia" w:ascii="宋体" w:hAnsi="宋体" w:eastAsia="宋体" w:cs="宋体"/>
          <w:color w:val="auto"/>
          <w:kern w:val="0"/>
          <w:sz w:val="21"/>
          <w:szCs w:val="21"/>
          <w:highlight w:val="none"/>
          <w:lang w:val="en-US" w:eastAsia="zh-CN"/>
        </w:rPr>
        <w:t>管理人员</w:t>
      </w:r>
      <w:r>
        <w:rPr>
          <w:rFonts w:hint="eastAsia" w:ascii="宋体" w:hAnsi="宋体" w:eastAsia="宋体" w:cs="宋体"/>
          <w:color w:val="auto"/>
          <w:kern w:val="0"/>
          <w:sz w:val="21"/>
          <w:szCs w:val="21"/>
          <w:highlight w:val="none"/>
        </w:rPr>
        <w:t>；成员：</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管理人员；</w:t>
      </w:r>
    </w:p>
    <w:p>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五、物业服务公司对评分有异议的，可向</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主管部门申请复核，经复核改变评分结果的，应予变更或消除。</w:t>
      </w:r>
    </w:p>
    <w:p>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六、评分考核表作为服务合同信用档案的组成部分，检查考核小组有责任向物业服务部门阐明不符合要求项的原因并提出整改建议和意见。 </w:t>
      </w:r>
    </w:p>
    <w:p>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七、奖罚措施</w:t>
      </w:r>
    </w:p>
    <w:p>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物业项目</w:t>
      </w:r>
      <w:r>
        <w:rPr>
          <w:rFonts w:hint="eastAsia" w:ascii="宋体" w:hAnsi="宋体" w:eastAsia="宋体" w:cs="宋体"/>
          <w:color w:val="auto"/>
          <w:kern w:val="0"/>
          <w:sz w:val="21"/>
          <w:szCs w:val="21"/>
          <w:highlight w:val="none"/>
          <w:lang w:val="en-US" w:eastAsia="zh-CN"/>
        </w:rPr>
        <w:t>季</w:t>
      </w:r>
      <w:r>
        <w:rPr>
          <w:rFonts w:hint="eastAsia" w:ascii="宋体" w:hAnsi="宋体" w:eastAsia="宋体" w:cs="宋体"/>
          <w:color w:val="auto"/>
          <w:kern w:val="0"/>
          <w:sz w:val="21"/>
          <w:szCs w:val="21"/>
          <w:highlight w:val="none"/>
        </w:rPr>
        <w:t>度考核作为物业合同约定考核的重要依据，现场管理人员统计汇总</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考核情况当</w:t>
      </w:r>
      <w:r>
        <w:rPr>
          <w:rFonts w:hint="eastAsia" w:ascii="宋体" w:hAnsi="宋体" w:eastAsia="宋体" w:cs="宋体"/>
          <w:color w:val="auto"/>
          <w:kern w:val="0"/>
          <w:sz w:val="21"/>
          <w:szCs w:val="21"/>
          <w:highlight w:val="none"/>
          <w:lang w:val="en-US" w:eastAsia="zh-CN"/>
        </w:rPr>
        <w:t>季</w:t>
      </w:r>
      <w:r>
        <w:rPr>
          <w:rFonts w:hint="eastAsia" w:ascii="宋体" w:hAnsi="宋体" w:eastAsia="宋体" w:cs="宋体"/>
          <w:color w:val="auto"/>
          <w:kern w:val="0"/>
          <w:sz w:val="21"/>
          <w:szCs w:val="21"/>
          <w:highlight w:val="none"/>
        </w:rPr>
        <w:t>物业考核总分。</w:t>
      </w:r>
    </w:p>
    <w:p>
      <w:pPr>
        <w:numPr>
          <w:ilvl w:val="0"/>
          <w:numId w:val="23"/>
        </w:numPr>
        <w:autoSpaceDE w:val="0"/>
        <w:autoSpaceDN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定义</w:t>
      </w:r>
    </w:p>
    <w:p>
      <w:pPr>
        <w:numPr>
          <w:ilvl w:val="0"/>
          <w:numId w:val="24"/>
        </w:numPr>
        <w:autoSpaceDE w:val="0"/>
        <w:autoSpaceDN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当年合同费用折算为</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费用的90%作为基本物业费。</w:t>
      </w:r>
    </w:p>
    <w:p>
      <w:pPr>
        <w:numPr>
          <w:ilvl w:val="0"/>
          <w:numId w:val="24"/>
        </w:numPr>
        <w:autoSpaceDE w:val="0"/>
        <w:autoSpaceDN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当年合同费用折算为</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费用的10%作为考核奖。</w:t>
      </w:r>
    </w:p>
    <w:p>
      <w:pPr>
        <w:numPr>
          <w:ilvl w:val="0"/>
          <w:numId w:val="24"/>
        </w:numPr>
        <w:autoSpaceDE w:val="0"/>
        <w:autoSpaceDN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单项考核分数可累计扣分，以单项总分数扣完为止。</w:t>
      </w:r>
    </w:p>
    <w:p>
      <w:pPr>
        <w:autoSpaceDE w:val="0"/>
        <w:autoSpaceDN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2、考核标准</w:t>
      </w:r>
    </w:p>
    <w:p>
      <w:pPr>
        <w:autoSpaceDE w:val="0"/>
        <w:autoSpaceDN w:val="0"/>
        <w:adjustRightInd w:val="0"/>
        <w:snapToGrid w:val="0"/>
        <w:spacing w:line="24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按</w:t>
      </w:r>
      <w:r>
        <w:rPr>
          <w:rFonts w:hint="eastAsia" w:ascii="宋体" w:hAnsi="宋体" w:eastAsia="宋体" w:cs="宋体"/>
          <w:color w:val="auto"/>
          <w:kern w:val="0"/>
          <w:sz w:val="21"/>
          <w:szCs w:val="21"/>
          <w:highlight w:val="none"/>
        </w:rPr>
        <w:t>若考核分发放物业考核奖</w:t>
      </w:r>
    </w:p>
    <w:p>
      <w:pPr>
        <w:autoSpaceDE w:val="0"/>
        <w:autoSpaceDN w:val="0"/>
        <w:adjustRightInd w:val="0"/>
        <w:snapToGrid w:val="0"/>
        <w:spacing w:line="24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2）连续</w:t>
      </w:r>
      <w:r>
        <w:rPr>
          <w:rFonts w:hint="eastAsia" w:ascii="宋体" w:hAnsi="宋体" w:eastAsia="宋体" w:cs="宋体"/>
          <w:color w:val="auto"/>
          <w:kern w:val="0"/>
          <w:sz w:val="21"/>
          <w:szCs w:val="21"/>
          <w:highlight w:val="none"/>
          <w:lang w:val="en-US" w:eastAsia="zh-CN"/>
        </w:rPr>
        <w:t>两个季度</w:t>
      </w:r>
      <w:r>
        <w:rPr>
          <w:rFonts w:hint="eastAsia" w:ascii="宋体" w:hAnsi="宋体" w:eastAsia="宋体" w:cs="宋体"/>
          <w:color w:val="auto"/>
          <w:kern w:val="0"/>
          <w:sz w:val="21"/>
          <w:szCs w:val="21"/>
          <w:highlight w:val="none"/>
        </w:rPr>
        <w:t>份若考核分105分以下（不含105分），</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有权单方面解除合同。</w:t>
      </w:r>
    </w:p>
    <w:p>
      <w:pPr>
        <w:autoSpaceDE w:val="0"/>
        <w:autoSpaceDN w:val="0"/>
        <w:adjustRightInd w:val="0"/>
        <w:snapToGrid w:val="0"/>
        <w:spacing w:line="24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3、考核奖标准</w:t>
      </w:r>
    </w:p>
    <w:p>
      <w:pPr>
        <w:spacing w:line="240" w:lineRule="auto"/>
        <w:ind w:left="28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考核奖标准表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考核分数</w:t>
            </w:r>
          </w:p>
        </w:tc>
        <w:tc>
          <w:tcPr>
            <w:tcW w:w="4296"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150-135分</w:t>
            </w:r>
          </w:p>
        </w:tc>
        <w:tc>
          <w:tcPr>
            <w:tcW w:w="4296"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135-120分（包括120分）</w:t>
            </w:r>
          </w:p>
        </w:tc>
        <w:tc>
          <w:tcPr>
            <w:tcW w:w="4296"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考核奖全额*（90%）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284"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120-105分（包括105分）</w:t>
            </w:r>
          </w:p>
        </w:tc>
        <w:tc>
          <w:tcPr>
            <w:tcW w:w="4296"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考核奖全额*（70%）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105-90分（包括90分）</w:t>
            </w:r>
          </w:p>
        </w:tc>
        <w:tc>
          <w:tcPr>
            <w:tcW w:w="4296"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考核奖全额*（50%）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90-75分（包括75分</w:t>
            </w:r>
          </w:p>
        </w:tc>
        <w:tc>
          <w:tcPr>
            <w:tcW w:w="4296"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考核奖全额*（30%）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75分以下</w:t>
            </w:r>
          </w:p>
        </w:tc>
        <w:tc>
          <w:tcPr>
            <w:tcW w:w="4296" w:type="dxa"/>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r>
    </w:tbl>
    <w:p>
      <w:pPr>
        <w:pStyle w:val="2"/>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附：物业项目部季度考核评分表</w:t>
      </w:r>
    </w:p>
    <w:p>
      <w:pPr>
        <w:rPr>
          <w:rFonts w:hint="eastAsia" w:ascii="宋体" w:hAnsi="宋体" w:eastAsia="宋体" w:cs="宋体"/>
          <w:b/>
          <w:bCs/>
          <w:color w:val="auto"/>
          <w:sz w:val="36"/>
          <w:szCs w:val="36"/>
          <w:highlight w:val="none"/>
        </w:rPr>
      </w:pPr>
    </w:p>
    <w:p>
      <w:pPr>
        <w:rPr>
          <w:rFonts w:hint="eastAsia" w:ascii="宋体" w:hAnsi="宋体" w:eastAsia="宋体" w:cs="宋体"/>
          <w:highlight w:val="none"/>
        </w:rPr>
        <w:sectPr>
          <w:footerReference r:id="rId3" w:type="default"/>
          <w:pgSz w:w="11906" w:h="16838"/>
          <w:pgMar w:top="1417" w:right="1417" w:bottom="1361" w:left="1417" w:header="851" w:footer="992" w:gutter="0"/>
          <w:pgNumType w:fmt="decimal" w:start="1"/>
          <w:cols w:space="720" w:num="1"/>
          <w:docGrid w:type="lines" w:linePitch="312" w:charSpace="0"/>
        </w:sectPr>
      </w:pPr>
    </w:p>
    <w:p>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color w:val="auto"/>
          <w:sz w:val="21"/>
          <w:szCs w:val="21"/>
          <w:highlight w:val="none"/>
          <w:lang w:val="en-US" w:eastAsia="zh-CN"/>
        </w:rPr>
        <w:t>附件五</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物业季度考核评分表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76"/>
        <w:gridCol w:w="5103"/>
        <w:gridCol w:w="3685"/>
        <w:gridCol w:w="247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bookmarkStart w:id="191" w:name="_Hlk14013497"/>
            <w:r>
              <w:rPr>
                <w:rFonts w:hint="eastAsia" w:ascii="宋体" w:hAnsi="宋体" w:eastAsia="宋体" w:cs="宋体"/>
                <w:b/>
                <w:color w:val="auto"/>
                <w:sz w:val="18"/>
                <w:szCs w:val="18"/>
                <w:highlight w:val="none"/>
              </w:rPr>
              <w:t>项目</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考核标准</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考核办法</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扣分事项</w:t>
            </w:r>
          </w:p>
        </w:tc>
        <w:tc>
          <w:tcPr>
            <w:tcW w:w="94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restart"/>
            <w:tcBorders>
              <w:top w:val="single" w:color="auto" w:sz="4" w:space="0"/>
              <w:left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总</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体</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要</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求</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（50分）</w:t>
            </w: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管</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理</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体</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系</w:t>
            </w:r>
          </w:p>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1、建立健全物业项目部管理体系；</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未建立扣2分；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2、物业项目部人员岗位职责明确，责任到位；</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未形成岗位责任扣2分，责任落实不到位扣2-5分；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3、物业公司对项目部每</w:t>
            </w:r>
            <w:r>
              <w:rPr>
                <w:rFonts w:hint="eastAsia" w:ascii="宋体" w:hAnsi="宋体" w:eastAsia="宋体" w:cs="宋体"/>
                <w:color w:val="auto"/>
                <w:sz w:val="18"/>
                <w:szCs w:val="18"/>
                <w:highlight w:val="none"/>
                <w:lang w:eastAsia="zh-CN"/>
              </w:rPr>
              <w:t>季</w:t>
            </w:r>
            <w:r>
              <w:rPr>
                <w:rFonts w:hint="eastAsia" w:ascii="宋体" w:hAnsi="宋体" w:eastAsia="宋体" w:cs="宋体"/>
                <w:color w:val="auto"/>
                <w:sz w:val="18"/>
                <w:szCs w:val="18"/>
                <w:highlight w:val="none"/>
              </w:rPr>
              <w:t>检查不少于</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次；</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检查少一次扣2分；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4、项目管理层以身作则，对队员的工作开展经常性认真检查和指导，有效组织物业人员遵守</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的有关规定；</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未能落实</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管理需求，扣5分；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管理体系</w:t>
            </w:r>
            <w:r>
              <w:rPr>
                <w:rFonts w:hint="eastAsia" w:ascii="宋体" w:hAnsi="宋体" w:eastAsia="宋体" w:cs="宋体"/>
                <w:color w:val="auto"/>
                <w:sz w:val="18"/>
                <w:szCs w:val="18"/>
                <w:highlight w:val="none"/>
              </w:rPr>
              <w:t>考核扣分扣完为止。</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规</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章</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制</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度</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1、健全内部各项规章制度及应急预案</w:t>
            </w:r>
            <w:r>
              <w:rPr>
                <w:rFonts w:hint="eastAsia" w:ascii="宋体" w:hAnsi="宋体" w:eastAsia="宋体" w:cs="宋体"/>
                <w:bCs/>
                <w:color w:val="auto"/>
                <w:sz w:val="18"/>
                <w:szCs w:val="18"/>
                <w:highlight w:val="none"/>
              </w:rPr>
              <w:t>；</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未建立扣5分，不健全扣2扣</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2、熟悉业主单位各项管理制度及应急预案，并有效组织实施；</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不熟悉扣1分，不能有效组织实施扣2分；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3、建立内部岗位绩效考核办法，报业主单位备案；</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未建立绩效考核办法扣2分，未落实考核奖罚办法执行扣5分；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规章制度</w:t>
            </w:r>
            <w:r>
              <w:rPr>
                <w:rFonts w:hint="eastAsia" w:ascii="宋体" w:hAnsi="宋体" w:eastAsia="宋体" w:cs="宋体"/>
                <w:color w:val="auto"/>
                <w:sz w:val="18"/>
                <w:szCs w:val="18"/>
                <w:highlight w:val="none"/>
              </w:rPr>
              <w:t>考核扣分扣完为止。</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人</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员</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配</w:t>
            </w:r>
          </w:p>
          <w:p>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备</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1、人员编制符合要求；</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达不到要求，缺少1人扣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连续两个月未整改，该季度考核分扣10分，连续3个月未整改，该季度考核做0分处理。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2、人员招聘符合业主要求；</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不符合要求的每人扣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3、人员上岗证配备达到100%，队伍保持稳定；</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未</w:t>
            </w:r>
            <w:r>
              <w:rPr>
                <w:rFonts w:hint="eastAsia" w:ascii="宋体" w:hAnsi="宋体" w:eastAsia="宋体" w:cs="宋体"/>
                <w:color w:val="auto"/>
                <w:sz w:val="18"/>
                <w:szCs w:val="18"/>
                <w:highlight w:val="none"/>
                <w:lang w:val="en-US" w:eastAsia="zh-CN"/>
              </w:rPr>
              <w:t>持</w:t>
            </w:r>
            <w:r>
              <w:rPr>
                <w:rFonts w:hint="eastAsia" w:ascii="宋体" w:hAnsi="宋体" w:eastAsia="宋体" w:cs="宋体"/>
                <w:color w:val="auto"/>
                <w:sz w:val="18"/>
                <w:szCs w:val="18"/>
                <w:highlight w:val="none"/>
              </w:rPr>
              <w:t>证上岗证的发现一次扣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分/每人；影响</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工作正常运转扣5分</w:t>
            </w:r>
            <w:r>
              <w:rPr>
                <w:rFonts w:hint="eastAsia" w:ascii="宋体" w:hAnsi="宋体" w:eastAsia="宋体" w:cs="宋体"/>
                <w:color w:val="auto"/>
                <w:sz w:val="18"/>
                <w:szCs w:val="18"/>
                <w:highlight w:val="none"/>
                <w:lang w:eastAsia="zh-CN"/>
              </w:rPr>
              <w:t>；</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4、人员无犯罪证明、上岗证等信息要到甲方备案，人员花名册每月更新上报甲方备案</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未建立人员信息管理台帐和未</w:t>
            </w:r>
            <w:r>
              <w:rPr>
                <w:rFonts w:hint="eastAsia" w:ascii="宋体" w:hAnsi="宋体" w:eastAsia="宋体" w:cs="宋体"/>
                <w:color w:val="auto"/>
                <w:sz w:val="18"/>
                <w:szCs w:val="18"/>
                <w:highlight w:val="none"/>
                <w:lang w:val="en-US" w:eastAsia="zh-CN"/>
              </w:rPr>
              <w:t>向</w:t>
            </w:r>
            <w:r>
              <w:rPr>
                <w:rFonts w:hint="eastAsia" w:ascii="宋体" w:hAnsi="宋体" w:eastAsia="宋体" w:cs="宋体"/>
                <w:color w:val="auto"/>
                <w:sz w:val="18"/>
                <w:szCs w:val="18"/>
                <w:highlight w:val="none"/>
              </w:rPr>
              <w:t>甲方备案的扣2分；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人员配备</w:t>
            </w:r>
            <w:r>
              <w:rPr>
                <w:rFonts w:hint="eastAsia" w:ascii="宋体" w:hAnsi="宋体" w:eastAsia="宋体" w:cs="宋体"/>
                <w:color w:val="auto"/>
                <w:sz w:val="18"/>
                <w:szCs w:val="18"/>
                <w:highlight w:val="none"/>
              </w:rPr>
              <w:t>考核扣分扣完为止。</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育</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培</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训</w:t>
            </w:r>
          </w:p>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1、制订内部教育培训计划，并按规定执行。</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无培训计划扣2分，未按计划组织培训1次扣1分；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2、组织员工开展安全培训，形成岗前安全教育培训台帐；</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未能做到扣2分；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3、积极组织员工参加</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组织各项教育培训活动；</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未能有效组织参加扣2分；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4、物业项目部每年组织开展员工技能培训活动不少于4次，并形成台帐记录；</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未能有效组织实施一次扣2分；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教育培训</w:t>
            </w:r>
            <w:r>
              <w:rPr>
                <w:rFonts w:hint="eastAsia" w:ascii="宋体" w:hAnsi="宋体" w:eastAsia="宋体" w:cs="宋体"/>
                <w:color w:val="auto"/>
                <w:sz w:val="18"/>
                <w:szCs w:val="18"/>
                <w:highlight w:val="none"/>
              </w:rPr>
              <w:t>考核扣分扣完为止。</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restart"/>
            <w:tcBorders>
              <w:top w:val="single" w:color="auto" w:sz="4" w:space="0"/>
              <w:left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生</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w:t>
            </w:r>
          </w:p>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1、制定保安巡逻制度，按规定组织开展日常巡视和安全检查。</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未制定巡逻制度扣2分，日常巡查或检查不到位扣</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分/次。</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2、定期开展安全检查工作，发现安全隐患，进行记录登记和上报，及落实整改及防范措施；</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未及时发现安全隐患扣</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分/次，安全隐患整改落实不到位扣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分/次。</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3、现场安全措施落实到位，无“三违”现象。</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违反一次扣5分/次。</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4、物业公司组织技术力量每季对</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设施设备定期开展检查与指导，并形成书面报告</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未能做到一次扣5分。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5、应急突发事件处置及时，响应迅速有效，措施到位。</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处置不及时或处置方法不当，发现一次扣5分。</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6、不得出现责任性安全生产事故，因物业管理不当造成安全生产事故。</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当月考核0分处理，并按合同约定，承担相应经济责任。</w:t>
            </w: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安全生产</w:t>
            </w:r>
            <w:r>
              <w:rPr>
                <w:rFonts w:hint="eastAsia" w:ascii="宋体" w:hAnsi="宋体" w:eastAsia="宋体" w:cs="宋体"/>
                <w:color w:val="auto"/>
                <w:sz w:val="18"/>
                <w:szCs w:val="18"/>
                <w:highlight w:val="none"/>
              </w:rPr>
              <w:t>考核扣分扣完为止。</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p>
        </w:tc>
        <w:tc>
          <w:tcPr>
            <w:tcW w:w="2471"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bookmarkEnd w:id="191"/>
    </w:tbl>
    <w:p>
      <w:pPr>
        <w:tabs>
          <w:tab w:val="left" w:pos="540"/>
          <w:tab w:val="left" w:pos="720"/>
        </w:tabs>
        <w:adjustRightInd w:val="0"/>
        <w:snapToGrid w:val="0"/>
        <w:spacing w:line="240" w:lineRule="auto"/>
        <w:ind w:left="410" w:hanging="307" w:hangingChars="170"/>
        <w:jc w:val="both"/>
        <w:rPr>
          <w:rFonts w:hint="default" w:ascii="宋体" w:hAnsi="宋体" w:eastAsia="宋体" w:cs="宋体"/>
          <w:b/>
          <w:color w:val="auto"/>
          <w:sz w:val="18"/>
          <w:szCs w:val="18"/>
          <w:highlight w:val="none"/>
          <w:lang w:val="en-US" w:eastAsia="zh-CN"/>
        </w:rPr>
      </w:pPr>
    </w:p>
    <w:tbl>
      <w:tblPr>
        <w:tblStyle w:val="24"/>
        <w:tblpPr w:leftFromText="180" w:rightFromText="180" w:vertAnchor="text" w:horzAnchor="page" w:tblpXSpec="center" w:tblpY="1"/>
        <w:tblOverlap w:val="never"/>
        <w:tblW w:w="13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88"/>
        <w:gridCol w:w="5340"/>
        <w:gridCol w:w="3420"/>
        <w:gridCol w:w="247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项目</w:t>
            </w:r>
          </w:p>
        </w:tc>
        <w:tc>
          <w:tcPr>
            <w:tcW w:w="534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考核标准</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考核办法</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扣分事项</w:t>
            </w:r>
          </w:p>
        </w:tc>
        <w:tc>
          <w:tcPr>
            <w:tcW w:w="94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p>
          <w:p>
            <w:pPr>
              <w:spacing w:line="240" w:lineRule="auto"/>
              <w:jc w:val="center"/>
              <w:rPr>
                <w:rFonts w:hint="eastAsia" w:ascii="宋体" w:hAnsi="宋体" w:eastAsia="宋体" w:cs="宋体"/>
                <w:color w:val="auto"/>
                <w:sz w:val="18"/>
                <w:szCs w:val="18"/>
                <w:highlight w:val="none"/>
              </w:rPr>
            </w:pPr>
          </w:p>
          <w:p>
            <w:pPr>
              <w:spacing w:line="240" w:lineRule="auto"/>
              <w:jc w:val="center"/>
              <w:rPr>
                <w:rFonts w:hint="eastAsia" w:ascii="宋体" w:hAnsi="宋体" w:eastAsia="宋体" w:cs="宋体"/>
                <w:color w:val="auto"/>
                <w:sz w:val="18"/>
                <w:szCs w:val="18"/>
                <w:highlight w:val="none"/>
              </w:rPr>
            </w:pPr>
          </w:p>
          <w:p>
            <w:pPr>
              <w:spacing w:line="240" w:lineRule="auto"/>
              <w:jc w:val="center"/>
              <w:rPr>
                <w:rFonts w:hint="eastAsia" w:ascii="宋体" w:hAnsi="宋体" w:eastAsia="宋体" w:cs="宋体"/>
                <w:color w:val="auto"/>
                <w:sz w:val="18"/>
                <w:szCs w:val="18"/>
                <w:highlight w:val="none"/>
              </w:rPr>
            </w:pPr>
          </w:p>
          <w:p>
            <w:pPr>
              <w:spacing w:line="240" w:lineRule="auto"/>
              <w:jc w:val="center"/>
              <w:rPr>
                <w:rFonts w:hint="eastAsia" w:ascii="宋体" w:hAnsi="宋体" w:eastAsia="宋体" w:cs="宋体"/>
                <w:color w:val="auto"/>
                <w:sz w:val="18"/>
                <w:szCs w:val="18"/>
                <w:highlight w:val="none"/>
              </w:rPr>
            </w:pP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量</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5分）</w:t>
            </w: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禁</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令</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1、严禁员工将</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物品占为自有。</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违者辞退处理，项目部月度考核扣10分，罚款500元/次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r>
              <w:rPr>
                <w:rFonts w:hint="eastAsia" w:ascii="宋体" w:hAnsi="宋体" w:eastAsia="宋体" w:cs="宋体"/>
                <w:color w:val="auto"/>
                <w:sz w:val="18"/>
                <w:szCs w:val="18"/>
                <w:highlight w:val="none"/>
              </w:rPr>
              <w:t>。</w:t>
            </w: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2、严禁员工利用公共区域私卖物品，谋取私利。</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3、严禁员工向</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商家“吃、拿、卡、要”。</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4、严禁员工与司乘人员吵闹、殴打。</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5、严禁聚众赌博、班中饮酒、员工之间打架等</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6、严禁利用工作之便偷盗、侵吞公共财物或串通外来人员进行违法行为。</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劳</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动</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纪</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律</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1、准时上下岗，保证内外现场不断人，交接班必须在现场地交接。</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val="en-US" w:eastAsia="zh-CN"/>
              </w:rPr>
              <w:t>扣完为止。</w:t>
            </w: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2、上岗期间不能发生脱岗、睡岗、聚众闲聊、玩游戏等行为。</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3、按上报的排班表上岗，不发生岗位缺岗。因特殊原因不能按编上岗，应向</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说明，并征得同意。</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4、上岗期间需配合</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稽查人员稽查。</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5、上岗期间不串岗，当班保安就餐前须落实好替岗人员，轮换就餐，交接班必须在现场交接。</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行</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为</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范</w:t>
            </w:r>
          </w:p>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w:t>
            </w: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1、正确的使用礼貌用语。</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2、发生司乘人员求助时，应热情服务、积极帮助，不能借故推脱。</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3、掌握</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所在周边环境、道路交通、服务场所、旅游景点情况，能为司乘人员提供咨询服务。</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4、仪表、仪容端正、大方；男员工不留长发，不蓄胡须；女员工不浓妆艳抹。</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5、佩证（工号牌）上岗，证（工号牌）不被遮挡。</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6、上岗时应按规定着工装；夜间、外场必须加着安全标志服。</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7、熟悉工作岗位职责，保质保量完成交办的各项工作</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帐</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w:t>
            </w:r>
          </w:p>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（5分）</w:t>
            </w: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1、及时按要求填写规定台帐；</w:t>
            </w:r>
          </w:p>
        </w:tc>
        <w:tc>
          <w:tcPr>
            <w:tcW w:w="3420"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违反一条每次扣1分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2、台帐内容须填写规范；</w:t>
            </w:r>
          </w:p>
        </w:tc>
        <w:tc>
          <w:tcPr>
            <w:tcW w:w="3420"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88" w:type="dxa"/>
            <w:vMerge w:val="continue"/>
            <w:tcBorders>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3、按</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要求及时上报台帐。</w:t>
            </w:r>
          </w:p>
        </w:tc>
        <w:tc>
          <w:tcPr>
            <w:tcW w:w="3420" w:type="dxa"/>
            <w:vMerge w:val="continue"/>
            <w:tcBorders>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bl>
    <w:p>
      <w:pPr>
        <w:spacing w:line="240" w:lineRule="auto"/>
        <w:jc w:val="left"/>
        <w:rPr>
          <w:rFonts w:hint="eastAsia" w:ascii="宋体" w:hAnsi="宋体" w:eastAsia="宋体" w:cs="宋体"/>
          <w:color w:val="auto"/>
          <w:sz w:val="18"/>
          <w:szCs w:val="1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5"/>
        <w:gridCol w:w="2"/>
        <w:gridCol w:w="5023"/>
        <w:gridCol w:w="3727"/>
        <w:gridCol w:w="5"/>
        <w:gridCol w:w="2349"/>
        <w:gridCol w:w="3"/>
        <w:gridCol w:w="98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项目</w:t>
            </w: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考核标准</w:t>
            </w:r>
          </w:p>
        </w:tc>
        <w:tc>
          <w:tcPr>
            <w:tcW w:w="373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考核办法</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扣分事项</w:t>
            </w: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岗位细则</w:t>
            </w:r>
          </w:p>
          <w:p>
            <w:pPr>
              <w:spacing w:line="240" w:lineRule="auto"/>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5分</w:t>
            </w:r>
            <w:r>
              <w:rPr>
                <w:rFonts w:hint="eastAsia" w:ascii="宋体" w:hAnsi="宋体" w:eastAsia="宋体" w:cs="宋体"/>
                <w:color w:val="auto"/>
                <w:sz w:val="18"/>
                <w:szCs w:val="18"/>
                <w:highlight w:val="none"/>
                <w:lang w:eastAsia="zh-CN"/>
              </w:rPr>
              <w:t>）</w:t>
            </w:r>
          </w:p>
        </w:tc>
        <w:tc>
          <w:tcPr>
            <w:tcW w:w="917" w:type="dxa"/>
            <w:gridSpan w:val="2"/>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保安（消控）考核细则</w:t>
            </w:r>
          </w:p>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25</w:t>
            </w:r>
            <w:r>
              <w:rPr>
                <w:rFonts w:hint="eastAsia" w:ascii="宋体" w:hAnsi="宋体" w:eastAsia="宋体" w:cs="宋体"/>
                <w:color w:val="auto"/>
                <w:sz w:val="18"/>
                <w:szCs w:val="18"/>
                <w:highlight w:val="none"/>
              </w:rPr>
              <w:t>分）</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1、发现有法规明文禁止的行为，及时给予劝阻并督促改正，对现场突发事件必须及时报</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w:t>
            </w:r>
          </w:p>
        </w:tc>
        <w:tc>
          <w:tcPr>
            <w:tcW w:w="3732" w:type="dxa"/>
            <w:gridSpan w:val="2"/>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r>
              <w:rPr>
                <w:rFonts w:hint="eastAsia" w:ascii="宋体" w:hAnsi="宋体" w:eastAsia="宋体" w:cs="宋体"/>
                <w:color w:val="auto"/>
                <w:sz w:val="18"/>
                <w:szCs w:val="18"/>
                <w:highlight w:val="none"/>
              </w:rPr>
              <w:t>。</w:t>
            </w: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7" w:type="dxa"/>
            <w:gridSpan w:val="2"/>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2、严格遵守各项操作规程或</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规章制度，积极配合</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工作。</w:t>
            </w:r>
          </w:p>
        </w:tc>
        <w:tc>
          <w:tcPr>
            <w:tcW w:w="3732" w:type="dxa"/>
            <w:gridSpan w:val="2"/>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7" w:type="dxa"/>
            <w:gridSpan w:val="2"/>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3、按照门卫制度规定对车辆、人员、物品进出进行登记,严把进口关。</w:t>
            </w:r>
          </w:p>
        </w:tc>
        <w:tc>
          <w:tcPr>
            <w:tcW w:w="3732" w:type="dxa"/>
            <w:gridSpan w:val="2"/>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7" w:type="dxa"/>
            <w:gridSpan w:val="2"/>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4、保证绿色通道及停车场畅通，对各类有危及人身安全及行车安全的位置及时放置明显标识和具体的防范措施。</w:t>
            </w:r>
          </w:p>
        </w:tc>
        <w:tc>
          <w:tcPr>
            <w:tcW w:w="3732" w:type="dxa"/>
            <w:gridSpan w:val="2"/>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highlight w:val="none"/>
                <w:lang w:val="en-US" w:eastAsia="zh-CN"/>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5、保安交接班时必须列队交接。</w:t>
            </w:r>
          </w:p>
        </w:tc>
        <w:tc>
          <w:tcPr>
            <w:tcW w:w="3732" w:type="dxa"/>
            <w:gridSpan w:val="2"/>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6、主动配合交警、公安人员做好警卫、封道及事故、案件现场保护工作。</w:t>
            </w:r>
          </w:p>
        </w:tc>
        <w:tc>
          <w:tcPr>
            <w:tcW w:w="3732" w:type="dxa"/>
            <w:gridSpan w:val="2"/>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7、及时配合处理治安、消防事件。</w:t>
            </w:r>
          </w:p>
        </w:tc>
        <w:tc>
          <w:tcPr>
            <w:tcW w:w="3732" w:type="dxa"/>
            <w:gridSpan w:val="2"/>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8、主动引导车辆按区停放；危化品车辆引导到专用停车位停放，做好登记。</w:t>
            </w:r>
          </w:p>
        </w:tc>
        <w:tc>
          <w:tcPr>
            <w:tcW w:w="3732" w:type="dxa"/>
            <w:gridSpan w:val="2"/>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9、每天定时定位对各营业场所、停车场、消防重点部位、安全设施进行流动巡逻，夜间巡查每2小时不少于1次；</w:t>
            </w:r>
          </w:p>
        </w:tc>
        <w:tc>
          <w:tcPr>
            <w:tcW w:w="3732" w:type="dxa"/>
            <w:gridSpan w:val="2"/>
            <w:vMerge w:val="continue"/>
            <w:tcBorders>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10、保护</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财产，当日发现</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财产损失先立即报</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值班人员再进行相应赔偿。</w:t>
            </w:r>
          </w:p>
        </w:tc>
        <w:tc>
          <w:tcPr>
            <w:tcW w:w="373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财产损失未及时发现，</w:t>
            </w:r>
            <w:r>
              <w:rPr>
                <w:rFonts w:hint="eastAsia" w:ascii="宋体" w:hAnsi="宋体" w:eastAsia="宋体" w:cs="宋体"/>
                <w:strike/>
                <w:dstrike w:val="0"/>
                <w:color w:val="auto"/>
                <w:sz w:val="18"/>
                <w:szCs w:val="18"/>
                <w:highlight w:val="none"/>
              </w:rPr>
              <w:t>按实赔偿</w:t>
            </w:r>
            <w:r>
              <w:rPr>
                <w:rFonts w:hint="eastAsia" w:ascii="宋体" w:hAnsi="宋体" w:eastAsia="宋体" w:cs="宋体"/>
                <w:strike/>
                <w:dstrike w:val="0"/>
                <w:color w:val="auto"/>
                <w:sz w:val="18"/>
                <w:szCs w:val="18"/>
                <w:highlight w:val="none"/>
                <w:lang w:eastAsia="zh-CN"/>
              </w:rPr>
              <w:t>，</w:t>
            </w:r>
            <w:r>
              <w:rPr>
                <w:rFonts w:hint="eastAsia" w:ascii="宋体" w:hAnsi="宋体" w:eastAsia="宋体" w:cs="宋体"/>
                <w:color w:val="auto"/>
                <w:sz w:val="18"/>
                <w:szCs w:val="18"/>
                <w:highlight w:val="none"/>
                <w:lang w:val="en-US" w:eastAsia="zh-CN"/>
              </w:rPr>
              <w:t>视情况扣2--5分</w:t>
            </w:r>
            <w:r>
              <w:rPr>
                <w:rFonts w:hint="eastAsia" w:ascii="宋体" w:hAnsi="宋体" w:eastAsia="宋体" w:cs="宋体"/>
                <w:color w:val="auto"/>
                <w:sz w:val="18"/>
                <w:szCs w:val="18"/>
                <w:highlight w:val="none"/>
              </w:rPr>
              <w:t>。</w:t>
            </w:r>
          </w:p>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及时发现并获得赔偿的，奖励2-5分</w:t>
            </w: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11、工作中因违章操作造成设备损坏。</w:t>
            </w:r>
          </w:p>
        </w:tc>
        <w:tc>
          <w:tcPr>
            <w:tcW w:w="373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按实赔偿</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并视情况扣2--5分</w:t>
            </w:r>
            <w:r>
              <w:rPr>
                <w:rFonts w:hint="eastAsia" w:ascii="宋体" w:hAnsi="宋体" w:eastAsia="宋体" w:cs="宋体"/>
                <w:color w:val="auto"/>
                <w:sz w:val="18"/>
                <w:szCs w:val="18"/>
                <w:highlight w:val="none"/>
              </w:rPr>
              <w:t>。</w:t>
            </w: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12、发现安全隐患及时采取有效措施进行处理，处理不了立即上报值班领导。</w:t>
            </w:r>
          </w:p>
        </w:tc>
        <w:tc>
          <w:tcPr>
            <w:tcW w:w="37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r>
              <w:rPr>
                <w:rFonts w:hint="eastAsia" w:ascii="宋体" w:hAnsi="宋体" w:eastAsia="宋体" w:cs="宋体"/>
                <w:color w:val="auto"/>
                <w:sz w:val="18"/>
                <w:szCs w:val="18"/>
                <w:highlight w:val="none"/>
              </w:rPr>
              <w:t>。</w:t>
            </w: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13、按消防安全部门的规定管理、使用消防设施、器材，完好率达到100% 。</w:t>
            </w:r>
          </w:p>
        </w:tc>
        <w:tc>
          <w:tcPr>
            <w:tcW w:w="37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14、因工作失职发生车辆或车内物品被盗等治安案件。</w:t>
            </w:r>
          </w:p>
        </w:tc>
        <w:tc>
          <w:tcPr>
            <w:tcW w:w="37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p>
        </w:tc>
        <w:tc>
          <w:tcPr>
            <w:tcW w:w="915"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细则</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25</w:t>
            </w:r>
            <w:r>
              <w:rPr>
                <w:rFonts w:hint="eastAsia" w:ascii="宋体" w:hAnsi="宋体" w:eastAsia="宋体" w:cs="宋体"/>
                <w:color w:val="auto"/>
                <w:sz w:val="18"/>
                <w:szCs w:val="18"/>
                <w:highlight w:val="none"/>
              </w:rPr>
              <w:t>分）</w:t>
            </w: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1、发现有法规明文禁止的行为，</w:t>
            </w:r>
            <w:r>
              <w:rPr>
                <w:rFonts w:hint="eastAsia" w:ascii="宋体" w:hAnsi="宋体" w:eastAsia="宋体" w:cs="宋体"/>
                <w:color w:val="auto"/>
                <w:sz w:val="18"/>
                <w:szCs w:val="18"/>
                <w:highlight w:val="none"/>
                <w:lang w:val="en-US" w:eastAsia="zh-CN"/>
              </w:rPr>
              <w:t>应</w:t>
            </w:r>
            <w:r>
              <w:rPr>
                <w:rFonts w:hint="eastAsia" w:ascii="宋体" w:hAnsi="宋体" w:eastAsia="宋体" w:cs="宋体"/>
                <w:color w:val="auto"/>
                <w:sz w:val="18"/>
                <w:szCs w:val="18"/>
                <w:highlight w:val="none"/>
              </w:rPr>
              <w:t>及时给予劝阻并督促改正，报有关</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主管部门。</w:t>
            </w:r>
          </w:p>
        </w:tc>
        <w:tc>
          <w:tcPr>
            <w:tcW w:w="3727" w:type="dxa"/>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2、严格遵守各项操作规程或</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规章制度，积极配合</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开展工作。</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3、每日对公厕按时段进行多次清洗自检，并作好记录；公厕夜班每隔二小时冲洗一次，办公楼卫生清理每日不少于二次，公共场所的走廊、过道、楼梯随脏随清扫。</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4、垃圾桶（果皮箱）表面清洁无污渍，垃圾及时清运。纸篓（桶内）垃圾不得超过篓深（桶深）2/3。</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5、边沟、下水道、垃圾房、垃圾桶的消毒杀菌、防虫处理每周不少于一次，并记录完整。</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6、草坪、绿化带内无杂物、包装袋、饮料瓶等影响环境卫生和</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形象的废弃物。</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7、保洁工具及时清洗干净摆放到指定位置。</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8、低值易耗品无明显浪费现象。</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9、公厕和卫生间地面无积水、无污物；便池、小便斗、小便槽保持干净无污迹、无臭味。</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10、公厕和卫生间保持空气流通，无蜘蛛网，墙面、顶棚、玻璃无灰尘、水垢，镜面保持无污迹。</w:t>
            </w:r>
          </w:p>
        </w:tc>
        <w:tc>
          <w:tcPr>
            <w:tcW w:w="3727" w:type="dxa"/>
            <w:vMerge w:val="continue"/>
            <w:tcBorders>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水电工</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细则</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（5分)</w:t>
            </w: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、保持电工间、配电房、发电机房、水泵房、污水处理设备的卫生清洁。</w:t>
            </w:r>
          </w:p>
        </w:tc>
        <w:tc>
          <w:tcPr>
            <w:tcW w:w="3727"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r>
              <w:rPr>
                <w:rFonts w:hint="eastAsia" w:ascii="宋体" w:hAnsi="宋体" w:eastAsia="宋体" w:cs="宋体"/>
                <w:color w:val="auto"/>
                <w:sz w:val="18"/>
                <w:szCs w:val="18"/>
                <w:highlight w:val="none"/>
              </w:rPr>
              <w:t>。</w:t>
            </w: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、根据季节变化适时调整广场高杆灯的开、关时间。</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、每日进行水电总表的抄报和做好水电工日志。</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、熟悉各设施设备性能，保证运行正常。</w:t>
            </w:r>
            <w:r>
              <w:rPr>
                <w:rFonts w:hint="eastAsia" w:ascii="宋体" w:hAnsi="宋体" w:eastAsia="宋体" w:cs="宋体"/>
                <w:color w:val="auto"/>
                <w:sz w:val="18"/>
                <w:szCs w:val="18"/>
                <w:highlight w:val="none"/>
                <w:lang w:val="en-US" w:eastAsia="zh-CN"/>
              </w:rPr>
              <w:t>如有设施设备故障、损坏等情况，乙方应及时发现并维修。</w:t>
            </w:r>
          </w:p>
        </w:tc>
        <w:tc>
          <w:tcPr>
            <w:tcW w:w="372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、及时按要求填写规定台帐，有填写人和审核人，内容须填写规范。</w:t>
            </w:r>
          </w:p>
        </w:tc>
        <w:tc>
          <w:tcPr>
            <w:tcW w:w="3727" w:type="dxa"/>
            <w:vMerge w:val="continue"/>
            <w:tcBorders>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bl>
    <w:tbl>
      <w:tblPr>
        <w:tblStyle w:val="24"/>
        <w:tblpPr w:leftFromText="180" w:rightFromText="180" w:vertAnchor="text" w:horzAnchor="page" w:tblpXSpec="center" w:tblpY="23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16"/>
        <w:gridCol w:w="5112"/>
        <w:gridCol w:w="3748"/>
        <w:gridCol w:w="237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他</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核</w:t>
            </w:r>
          </w:p>
        </w:tc>
        <w:tc>
          <w:tcPr>
            <w:tcW w:w="816"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他</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处</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罚</w:t>
            </w:r>
          </w:p>
        </w:tc>
        <w:tc>
          <w:tcPr>
            <w:tcW w:w="51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由于工作不当被新闻媒体曝光。</w:t>
            </w:r>
          </w:p>
        </w:tc>
        <w:tc>
          <w:tcPr>
            <w:tcW w:w="37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视情况给予当月考核0分处理或酌情给予2000-10000罚款</w:t>
            </w:r>
          </w:p>
        </w:tc>
        <w:tc>
          <w:tcPr>
            <w:tcW w:w="237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发生有责投诉事件</w:t>
            </w:r>
          </w:p>
        </w:tc>
        <w:tc>
          <w:tcPr>
            <w:tcW w:w="37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因管理不当被行业主管理部门或集团公司通报批评。</w:t>
            </w:r>
          </w:p>
        </w:tc>
        <w:tc>
          <w:tcPr>
            <w:tcW w:w="37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交办的其他临时性工作完成较差。</w:t>
            </w:r>
          </w:p>
        </w:tc>
        <w:tc>
          <w:tcPr>
            <w:tcW w:w="37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tc>
        <w:tc>
          <w:tcPr>
            <w:tcW w:w="816"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18"/>
                <w:szCs w:val="18"/>
                <w:highlight w:val="none"/>
              </w:rPr>
            </w:pP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w:t>
            </w:r>
          </w:p>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w:t>
            </w:r>
          </w:p>
        </w:tc>
        <w:tc>
          <w:tcPr>
            <w:tcW w:w="51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见义勇为、拾金不昧、好人好事被司乘人员或上级部门表扬和新闻媒体报道的。</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视情况给予2-20分加分</w:t>
            </w:r>
          </w:p>
        </w:tc>
        <w:tc>
          <w:tcPr>
            <w:tcW w:w="237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因管理优秀被上级部门表彰</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加2-15分</w:t>
            </w:r>
          </w:p>
        </w:tc>
        <w:tc>
          <w:tcPr>
            <w:tcW w:w="237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物业项目被评为市级以上优秀称号</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加20分</w:t>
            </w:r>
          </w:p>
        </w:tc>
        <w:tc>
          <w:tcPr>
            <w:tcW w:w="237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auto"/>
                <w:sz w:val="18"/>
                <w:szCs w:val="18"/>
                <w:highlight w:val="none"/>
              </w:rPr>
            </w:pPr>
          </w:p>
        </w:tc>
      </w:tr>
    </w:tbl>
    <w:p>
      <w:pPr>
        <w:pStyle w:val="2"/>
        <w:rPr>
          <w:rFonts w:hint="eastAsia" w:ascii="宋体" w:hAnsi="宋体" w:eastAsia="宋体" w:cs="宋体"/>
          <w:highlight w:val="none"/>
        </w:rPr>
      </w:pPr>
    </w:p>
    <w:p>
      <w:pPr>
        <w:rPr>
          <w:rFonts w:hint="eastAsia" w:ascii="宋体" w:hAnsi="宋体" w:eastAsia="宋体" w:cs="宋体"/>
          <w:highlight w:val="none"/>
        </w:rPr>
        <w:sectPr>
          <w:headerReference r:id="rId4" w:type="default"/>
          <w:footerReference r:id="rId5" w:type="default"/>
          <w:pgSz w:w="16838" w:h="11906" w:orient="landscape"/>
          <w:pgMar w:top="1474" w:right="1474" w:bottom="1474" w:left="1417" w:header="737" w:footer="737" w:gutter="0"/>
          <w:cols w:space="720" w:num="1"/>
          <w:docGrid w:linePitch="312" w:charSpace="0"/>
        </w:sectPr>
      </w:pPr>
      <w:r>
        <w:rPr>
          <w:rFonts w:hint="eastAsia" w:ascii="宋体" w:hAnsi="宋体" w:eastAsia="宋体" w:cs="宋体"/>
          <w:highlight w:val="none"/>
        </w:rPr>
        <w:br w:type="page"/>
      </w:r>
    </w:p>
    <w:p>
      <w:pPr>
        <w:pStyle w:val="2"/>
        <w:rPr>
          <w:rFonts w:hint="eastAsia" w:ascii="宋体" w:hAnsi="宋体" w:eastAsia="宋体" w:cs="宋体"/>
          <w:highlight w:val="none"/>
        </w:rPr>
      </w:pPr>
    </w:p>
    <w:p>
      <w:pPr>
        <w:pStyle w:val="10"/>
        <w:ind w:firstLine="440"/>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sz w:val="44"/>
          <w:szCs w:val="44"/>
          <w:highlight w:val="none"/>
        </w:rPr>
        <w:t xml:space="preserve"> 投标文件的编制格式</w:t>
      </w:r>
      <w:bookmarkEnd w:id="190"/>
    </w:p>
    <w:p>
      <w:pPr>
        <w:spacing w:before="120" w:beforeLines="50" w:after="120" w:afterLines="50"/>
        <w:rPr>
          <w:rFonts w:hint="eastAsia" w:ascii="宋体" w:hAnsi="宋体" w:eastAsia="宋体" w:cs="宋体"/>
          <w:sz w:val="22"/>
          <w:highlight w:val="none"/>
        </w:rPr>
      </w:pPr>
    </w:p>
    <w:p>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jc w:val="right"/>
        <w:rPr>
          <w:rFonts w:hint="eastAsia" w:ascii="宋体" w:hAnsi="宋体" w:eastAsia="宋体" w:cs="宋体"/>
          <w:szCs w:val="24"/>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rPr>
          <w:rFonts w:hint="eastAsia" w:ascii="宋体" w:hAnsi="宋体" w:eastAsia="宋体" w:cs="宋体"/>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pPr>
        <w:spacing w:line="480" w:lineRule="auto"/>
        <w:jc w:val="center"/>
        <w:rPr>
          <w:rFonts w:hint="eastAsia" w:ascii="宋体" w:hAnsi="宋体" w:eastAsia="宋体" w:cs="宋体"/>
          <w:sz w:val="44"/>
          <w:szCs w:val="44"/>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autoSpaceDE w:val="0"/>
        <w:autoSpaceDN w:val="0"/>
        <w:adjustRightInd w:val="0"/>
        <w:spacing w:after="120"/>
        <w:ind w:firstLine="210" w:firstLineChars="100"/>
        <w:jc w:val="left"/>
        <w:rPr>
          <w:rFonts w:hint="eastAsia" w:ascii="宋体" w:hAnsi="宋体" w:eastAsia="宋体" w:cs="宋体"/>
          <w:szCs w:val="24"/>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p>
    <w:p>
      <w:pPr>
        <w:jc w:val="cente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t>目录</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2019年1月1日以来</w:t>
            </w:r>
            <w:r>
              <w:rPr>
                <w:rFonts w:hint="eastAsia" w:ascii="宋体" w:hAnsi="宋体" w:eastAsia="宋体" w:cs="宋体"/>
                <w:sz w:val="18"/>
                <w:szCs w:val="18"/>
                <w:highlight w:val="none"/>
              </w:rPr>
              <w:t>同类项目业绩一览表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项目组织实施方案</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11</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服务人员人均月工资承诺函</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p>
        </w:tc>
        <w:tc>
          <w:tcPr>
            <w:tcW w:w="1105" w:type="dxa"/>
            <w:vAlign w:val="center"/>
          </w:tcPr>
          <w:p>
            <w:pPr>
              <w:jc w:val="center"/>
              <w:rPr>
                <w:rFonts w:hint="eastAsia" w:ascii="宋体" w:hAnsi="宋体" w:eastAsia="宋体" w:cs="宋体"/>
                <w:sz w:val="18"/>
                <w:szCs w:val="18"/>
                <w:highlight w:val="none"/>
              </w:rPr>
            </w:pPr>
          </w:p>
        </w:tc>
      </w:tr>
    </w:tbl>
    <w:p>
      <w:pPr>
        <w:pStyle w:val="2"/>
        <w:rPr>
          <w:rFonts w:hint="eastAsia" w:ascii="宋体" w:hAnsi="宋体" w:eastAsia="宋体" w:cs="宋体"/>
          <w:snapToGrid w:val="0"/>
          <w:sz w:val="32"/>
          <w:szCs w:val="20"/>
          <w:highlight w:val="none"/>
        </w:rPr>
      </w:pPr>
    </w:p>
    <w:p>
      <w:pPr>
        <w:pStyle w:val="2"/>
        <w:rPr>
          <w:rFonts w:hint="eastAsia" w:ascii="宋体" w:hAnsi="宋体" w:eastAsia="宋体" w:cs="宋体"/>
          <w:snapToGrid w:val="0"/>
          <w:sz w:val="32"/>
          <w:szCs w:val="20"/>
          <w:highlight w:val="none"/>
        </w:rPr>
      </w:pPr>
    </w:p>
    <w:p>
      <w:pPr>
        <w:jc w:val="left"/>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br w:type="page"/>
      </w:r>
    </w:p>
    <w:p>
      <w:pPr>
        <w:pStyle w:val="10"/>
        <w:ind w:firstLine="210"/>
        <w:rPr>
          <w:rFonts w:hint="eastAsia" w:ascii="宋体" w:hAnsi="宋体" w:eastAsia="宋体" w:cs="宋体"/>
          <w:highlight w:val="none"/>
        </w:rPr>
      </w:pPr>
    </w:p>
    <w:p>
      <w:pPr>
        <w:spacing w:line="46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评分索引表</w:t>
      </w:r>
    </w:p>
    <w:p>
      <w:pPr>
        <w:spacing w:line="460" w:lineRule="exact"/>
        <w:jc w:val="center"/>
        <w:rPr>
          <w:rFonts w:hint="eastAsia" w:ascii="宋体" w:hAnsi="宋体" w:eastAsia="宋体" w:cs="宋体"/>
          <w:b/>
          <w:bCs/>
          <w:sz w:val="30"/>
          <w:szCs w:val="30"/>
          <w:highlight w:val="none"/>
        </w:rPr>
      </w:pPr>
      <w:r>
        <w:rPr>
          <w:rFonts w:hint="eastAsia" w:ascii="宋体" w:hAnsi="宋体" w:eastAsia="宋体" w:cs="宋体"/>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5144"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bl>
    <w:p>
      <w:pPr>
        <w:spacing w:line="42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说明：</w:t>
      </w:r>
    </w:p>
    <w:p>
      <w:pPr>
        <w:pStyle w:val="54"/>
        <w:numPr>
          <w:ilvl w:val="0"/>
          <w:numId w:val="25"/>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建议此表放在技术资信标封面后第一页，方便评委打分。</w:t>
      </w:r>
    </w:p>
    <w:p>
      <w:pPr>
        <w:pStyle w:val="54"/>
        <w:numPr>
          <w:ilvl w:val="0"/>
          <w:numId w:val="25"/>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格式可自拟。</w:t>
      </w:r>
    </w:p>
    <w:p>
      <w:pPr>
        <w:pStyle w:val="10"/>
        <w:ind w:firstLine="210"/>
        <w:rPr>
          <w:rFonts w:hint="eastAsia" w:ascii="宋体" w:hAnsi="宋体" w:eastAsia="宋体" w:cs="宋体"/>
          <w:highlight w:val="none"/>
        </w:rPr>
      </w:pPr>
    </w:p>
    <w:p>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pPr>
        <w:overflowPunct w:val="0"/>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pPr>
        <w:overflowPunct w:val="0"/>
        <w:spacing w:line="4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项目（采购编号：</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（投标供应商名称）作为投标供应商正式授权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pPr>
        <w:overflowPunct w:val="0"/>
        <w:adjustRightInd w:val="0"/>
        <w:spacing w:line="420" w:lineRule="exact"/>
        <w:ind w:firstLine="440"/>
        <w:textAlignment w:val="baseline"/>
        <w:rPr>
          <w:rFonts w:hint="eastAsia" w:ascii="宋体" w:hAnsi="宋体" w:eastAsia="宋体" w:cs="宋体"/>
          <w:kern w:val="0"/>
          <w:sz w:val="22"/>
          <w:szCs w:val="20"/>
          <w:highlight w:val="none"/>
        </w:rPr>
      </w:pP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（—）按“投标供应商须知”要求编制的投标文件技术标【正本一份，副本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（二）按“投标供应商须知”要求编制的投标文件商务（报价）标【正本一份，副本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（三）我方明白并愿意在规定的开标时间之后，</w:t>
      </w:r>
      <w:r>
        <w:rPr>
          <w:rFonts w:hint="eastAsia" w:ascii="宋体" w:hAnsi="宋体" w:eastAsia="宋体" w:cs="宋体"/>
          <w:sz w:val="22"/>
          <w:szCs w:val="24"/>
          <w:highlight w:val="none"/>
          <w:lang w:val="en-US" w:eastAsia="zh-CN"/>
        </w:rPr>
        <w:t>如我方出现投标人须知第三条第13.4款规定的情况之一的，我方</w:t>
      </w:r>
      <w:r>
        <w:rPr>
          <w:rFonts w:hint="eastAsia" w:ascii="宋体" w:hAnsi="宋体" w:eastAsia="宋体" w:cs="宋体"/>
          <w:sz w:val="22"/>
          <w:szCs w:val="24"/>
          <w:highlight w:val="none"/>
        </w:rPr>
        <w:t>投标保证金将被贵方没收；</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）我方同意提供按照贵方可能要求的与投标有关的一切数据或资料；</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五</w:t>
      </w:r>
      <w:r>
        <w:rPr>
          <w:rFonts w:hint="eastAsia" w:ascii="宋体" w:hAnsi="宋体" w:eastAsia="宋体" w:cs="宋体"/>
          <w:sz w:val="22"/>
          <w:szCs w:val="24"/>
          <w:highlight w:val="none"/>
        </w:rPr>
        <w:t>）我方理解贵方不一定接受最低报价。</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）我方如果中标，将保证履行采购文件以及采购文件修改书（如有）中的全部责任和义务，按质、按量、按期完成《合同书》中的全部任务。</w:t>
      </w:r>
    </w:p>
    <w:p>
      <w:pPr>
        <w:overflowPunct w:val="0"/>
        <w:spacing w:line="4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七</w:t>
      </w:r>
      <w:r>
        <w:rPr>
          <w:rFonts w:hint="eastAsia" w:ascii="宋体" w:hAnsi="宋体" w:eastAsia="宋体" w:cs="宋体"/>
          <w:sz w:val="22"/>
          <w:szCs w:val="24"/>
          <w:highlight w:val="none"/>
        </w:rPr>
        <w:t>）所有与本投标有关的函件请发往下列地址：</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pPr>
        <w:spacing w:line="360" w:lineRule="auto"/>
        <w:rPr>
          <w:rFonts w:hint="eastAsia" w:ascii="宋体" w:hAnsi="宋体" w:eastAsia="宋体" w:cs="宋体"/>
          <w:bCs/>
          <w:sz w:val="22"/>
          <w:highlight w:val="none"/>
        </w:rPr>
      </w:pPr>
    </w:p>
    <w:p>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pPr>
        <w:spacing w:line="360" w:lineRule="auto"/>
        <w:rPr>
          <w:rFonts w:hint="eastAsia" w:ascii="宋体" w:hAnsi="宋体" w:eastAsia="宋体" w:cs="宋体"/>
          <w:bCs/>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技  术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96"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37"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47" w:type="dxa"/>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商  务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bl>
    <w:p>
      <w:pPr>
        <w:rPr>
          <w:rFonts w:hint="eastAsia" w:ascii="宋体" w:hAnsi="宋体" w:eastAsia="宋体" w:cs="宋体"/>
          <w:szCs w:val="21"/>
          <w:highlight w:val="none"/>
        </w:rPr>
      </w:pPr>
      <w:r>
        <w:rPr>
          <w:rFonts w:hint="eastAsia" w:ascii="宋体" w:hAnsi="宋体" w:eastAsia="宋体" w:cs="宋体"/>
          <w:szCs w:val="21"/>
          <w:highlight w:val="none"/>
        </w:rPr>
        <w:t>注：1、此表可扩展使用。</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2、不填写此表视为完全响应采购文件内容。</w:t>
      </w:r>
    </w:p>
    <w:p>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3、▲不提供“技术规格、商务条款偏离表”的投标文件将被视为未实质性响应采购文件。</w:t>
      </w:r>
    </w:p>
    <w:p>
      <w:pPr>
        <w:spacing w:line="380" w:lineRule="exact"/>
        <w:ind w:firstLine="4417" w:firstLineChars="2000"/>
        <w:rPr>
          <w:rFonts w:hint="eastAsia" w:ascii="宋体" w:hAnsi="宋体" w:eastAsia="宋体" w:cs="宋体"/>
          <w:b/>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附件三</w:t>
      </w:r>
    </w:p>
    <w:p>
      <w:pPr>
        <w:spacing w:line="460" w:lineRule="exact"/>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rPr>
        <w:t>资格证明文件</w:t>
      </w:r>
    </w:p>
    <w:p>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授权书</w:t>
      </w:r>
    </w:p>
    <w:p>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pPr>
        <w:spacing w:line="420" w:lineRule="exact"/>
        <w:rPr>
          <w:rFonts w:hint="eastAsia" w:ascii="宋体" w:hAnsi="宋体" w:eastAsia="宋体" w:cs="宋体"/>
          <w:sz w:val="22"/>
          <w:highlight w:val="none"/>
          <w:lang w:eastAsia="zh-CN"/>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pPr>
        <w:spacing w:line="460" w:lineRule="exact"/>
        <w:rPr>
          <w:rFonts w:hint="eastAsia" w:ascii="宋体" w:hAnsi="宋体" w:eastAsia="宋体" w:cs="宋体"/>
          <w:sz w:val="22"/>
          <w:highlight w:val="none"/>
        </w:rPr>
      </w:pPr>
    </w:p>
    <w:p>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 xml:space="preserve"> (签字或盖章)：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pPr>
        <w:spacing w:line="460" w:lineRule="exact"/>
        <w:rPr>
          <w:rFonts w:hint="eastAsia" w:ascii="宋体" w:hAnsi="宋体" w:eastAsia="宋体" w:cs="宋体"/>
          <w:bCs/>
          <w:sz w:val="22"/>
          <w:highlight w:val="none"/>
        </w:rPr>
      </w:pPr>
    </w:p>
    <w:tbl>
      <w:tblPr>
        <w:tblStyle w:val="24"/>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pPr>
              <w:spacing w:line="380" w:lineRule="exact"/>
              <w:jc w:val="center"/>
              <w:rPr>
                <w:rFonts w:hint="eastAsia" w:ascii="宋体" w:hAnsi="宋体" w:eastAsia="宋体" w:cs="宋体"/>
                <w:bCs/>
                <w:sz w:val="28"/>
                <w:szCs w:val="24"/>
                <w:highlight w:val="none"/>
              </w:rPr>
            </w:pPr>
          </w:p>
        </w:tc>
      </w:tr>
    </w:tbl>
    <w:p>
      <w:pPr>
        <w:spacing w:line="400" w:lineRule="exact"/>
        <w:ind w:firstLine="140" w:firstLineChars="64"/>
        <w:rPr>
          <w:rFonts w:hint="eastAsia" w:ascii="宋体" w:hAnsi="宋体" w:eastAsia="宋体" w:cs="宋体"/>
          <w:sz w:val="22"/>
          <w:szCs w:val="24"/>
          <w:highlight w:val="none"/>
        </w:rPr>
      </w:pPr>
    </w:p>
    <w:p>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lang w:eastAsia="zh-CN"/>
        </w:rPr>
        <w:t>法定代表人</w:t>
      </w:r>
      <w:r>
        <w:rPr>
          <w:rFonts w:hint="eastAsia" w:ascii="宋体" w:hAnsi="宋体" w:eastAsia="宋体" w:cs="宋体"/>
          <w:bCs/>
          <w:kern w:val="0"/>
          <w:sz w:val="32"/>
          <w:szCs w:val="32"/>
          <w:highlight w:val="none"/>
        </w:rPr>
        <w:t>资格证明书</w:t>
      </w:r>
    </w:p>
    <w:p>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w:t>
      </w:r>
      <w:r>
        <w:rPr>
          <w:rFonts w:hint="eastAsia" w:ascii="宋体" w:hAnsi="宋体" w:eastAsia="宋体" w:cs="宋体"/>
          <w:bCs/>
          <w:kern w:val="0"/>
          <w:sz w:val="28"/>
          <w:szCs w:val="28"/>
          <w:highlight w:val="none"/>
          <w:lang w:eastAsia="zh-CN"/>
        </w:rPr>
        <w:t>法定代表人</w:t>
      </w:r>
      <w:r>
        <w:rPr>
          <w:rFonts w:hint="eastAsia" w:ascii="宋体" w:hAnsi="宋体" w:eastAsia="宋体" w:cs="宋体"/>
          <w:bCs/>
          <w:kern w:val="0"/>
          <w:sz w:val="28"/>
          <w:szCs w:val="28"/>
          <w:highlight w:val="none"/>
        </w:rPr>
        <w:t>参加投标时提供）</w:t>
      </w:r>
    </w:p>
    <w:p>
      <w:pPr>
        <w:widowControl/>
        <w:spacing w:line="360" w:lineRule="auto"/>
        <w:rPr>
          <w:rFonts w:hint="eastAsia" w:ascii="宋体" w:hAnsi="宋体" w:eastAsia="宋体" w:cs="宋体"/>
          <w:sz w:val="24"/>
          <w:szCs w:val="24"/>
          <w:highlight w:val="none"/>
          <w:u w:val="single"/>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pPr>
        <w:widowControl/>
        <w:spacing w:line="360" w:lineRule="auto"/>
        <w:ind w:left="420" w:firstLine="473"/>
        <w:jc w:val="left"/>
        <w:rPr>
          <w:rFonts w:hint="eastAsia" w:ascii="宋体" w:hAnsi="宋体" w:eastAsia="宋体" w:cs="宋体"/>
          <w:kern w:val="0"/>
          <w:sz w:val="24"/>
          <w:szCs w:val="24"/>
          <w:highlight w:val="none"/>
        </w:rPr>
      </w:pP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。为你单位组织的采购编号为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身份证复印件※）</w:t>
      </w:r>
    </w:p>
    <w:p>
      <w:pPr>
        <w:widowControl/>
        <w:spacing w:line="480" w:lineRule="auto"/>
        <w:ind w:left="420" w:firstLine="473"/>
        <w:jc w:val="left"/>
        <w:rPr>
          <w:rFonts w:hint="eastAsia" w:ascii="宋体" w:hAnsi="宋体" w:eastAsia="宋体" w:cs="宋体"/>
          <w:kern w:val="0"/>
          <w:sz w:val="24"/>
          <w:szCs w:val="24"/>
          <w:highlight w:val="none"/>
        </w:rPr>
      </w:pP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pPr>
        <w:widowControl/>
        <w:rPr>
          <w:rFonts w:hint="eastAsia" w:ascii="宋体" w:hAnsi="宋体" w:eastAsia="宋体" w:cs="宋体"/>
          <w:kern w:val="0"/>
          <w:szCs w:val="21"/>
          <w:highlight w:val="none"/>
        </w:rPr>
      </w:pPr>
    </w:p>
    <w:p>
      <w:pPr>
        <w:widowControl/>
        <w:rPr>
          <w:rFonts w:hint="eastAsia" w:ascii="宋体" w:hAnsi="宋体" w:eastAsia="宋体" w:cs="宋体"/>
          <w:kern w:val="0"/>
          <w:szCs w:val="21"/>
          <w:highlight w:val="none"/>
        </w:rPr>
      </w:pPr>
    </w:p>
    <w:p>
      <w:pPr>
        <w:widowControl/>
        <w:spacing w:line="480" w:lineRule="atLeas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参加本采购项目投标的，仅须提供此证明书。</w:t>
      </w:r>
    </w:p>
    <w:p>
      <w:pPr>
        <w:spacing w:line="460" w:lineRule="exac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p>
    <w:p>
      <w:pPr>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4"/>
          <w:szCs w:val="24"/>
          <w:highlight w:val="none"/>
        </w:rPr>
        <w:t>（2）投标供应商企业法人有效营业执照（或法人登记证书）复印件加盖单位公章</w:t>
      </w:r>
    </w:p>
    <w:p>
      <w:pPr>
        <w:rPr>
          <w:rFonts w:hint="eastAsia" w:ascii="宋体" w:hAnsi="宋体" w:eastAsia="宋体" w:cs="宋体"/>
          <w:b/>
          <w:bCs/>
          <w:sz w:val="24"/>
          <w:szCs w:val="24"/>
          <w:highlight w:val="none"/>
        </w:rPr>
      </w:pPr>
    </w:p>
    <w:p>
      <w:pPr>
        <w:snapToGrid w:val="0"/>
        <w:spacing w:before="50" w:after="120" w:afterLines="50"/>
        <w:jc w:val="left"/>
        <w:rPr>
          <w:rFonts w:hint="eastAsia" w:ascii="宋体" w:hAnsi="宋体" w:eastAsia="宋体" w:cs="宋体"/>
          <w:b/>
          <w:sz w:val="24"/>
          <w:szCs w:val="24"/>
          <w:highlight w:val="none"/>
        </w:rPr>
      </w:pPr>
    </w:p>
    <w:p>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以上证书若为复印件，须加盖投标人单位公章</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pPr>
        <w:snapToGrid w:val="0"/>
        <w:spacing w:before="120" w:beforeLines="50" w:after="50"/>
        <w:jc w:val="center"/>
        <w:rPr>
          <w:rFonts w:hint="eastAsia" w:ascii="宋体" w:hAnsi="宋体" w:eastAsia="宋体" w:cs="宋体"/>
          <w:b/>
          <w:sz w:val="30"/>
          <w:szCs w:val="24"/>
          <w:highlight w:val="none"/>
        </w:rPr>
      </w:pPr>
    </w:p>
    <w:p>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3</w:t>
      </w:r>
      <w:r>
        <w:rPr>
          <w:rFonts w:hint="eastAsia" w:ascii="宋体" w:hAnsi="宋体" w:eastAsia="宋体" w:cs="宋体"/>
          <w:b/>
          <w:sz w:val="30"/>
          <w:szCs w:val="24"/>
          <w:highlight w:val="none"/>
        </w:rPr>
        <w:t>）投标声明书</w:t>
      </w:r>
    </w:p>
    <w:p>
      <w:pPr>
        <w:snapToGrid w:val="0"/>
        <w:spacing w:before="120" w:beforeLines="50" w:after="50"/>
        <w:rPr>
          <w:rFonts w:hint="eastAsia" w:ascii="宋体" w:hAnsi="宋体" w:eastAsia="宋体" w:cs="宋体"/>
          <w:sz w:val="22"/>
          <w:highlight w:val="none"/>
        </w:rPr>
      </w:pPr>
    </w:p>
    <w:p>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致：温州市高速公路资产经营有限公司：</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，我方愿意参加贵方组织的</w:t>
      </w:r>
      <w:r>
        <w:rPr>
          <w:rFonts w:hint="eastAsia" w:ascii="宋体" w:hAnsi="宋体" w:eastAsia="宋体" w:cs="宋体"/>
          <w:sz w:val="22"/>
          <w:highlight w:val="none"/>
          <w:u w:val="single"/>
        </w:rPr>
        <w:t xml:space="preserve">   （项目名称名称、项目编号）     </w:t>
      </w:r>
      <w:r>
        <w:rPr>
          <w:rFonts w:hint="eastAsia" w:ascii="宋体" w:hAnsi="宋体" w:eastAsia="宋体" w:cs="宋体"/>
          <w:sz w:val="22"/>
          <w:highlight w:val="none"/>
        </w:rPr>
        <w:t>项目的投标，为便于贵方公正、择优地确定中标人及其投标服务，我方就参加本次投标有关事项郑重声明如下：</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pPr>
        <w:snapToGrid w:val="0"/>
        <w:spacing w:before="120" w:line="320" w:lineRule="exact"/>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3.我方不是采购人的附属机构</w:t>
      </w:r>
      <w:r>
        <w:rPr>
          <w:rFonts w:hint="eastAsia" w:ascii="宋体" w:hAnsi="宋体" w:eastAsia="宋体" w:cs="宋体"/>
          <w:sz w:val="22"/>
          <w:highlight w:val="none"/>
          <w:lang w:eastAsia="zh-CN"/>
        </w:rPr>
        <w:t>。</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w:t>
      </w:r>
      <w:r>
        <w:rPr>
          <w:rFonts w:hint="eastAsia" w:ascii="宋体" w:hAnsi="宋体" w:eastAsia="宋体" w:cs="宋体"/>
          <w:sz w:val="22"/>
          <w:highlight w:val="none"/>
          <w:lang w:val="en-US" w:eastAsia="zh-CN"/>
        </w:rPr>
        <w:t>过</w:t>
      </w:r>
      <w:r>
        <w:rPr>
          <w:rFonts w:hint="eastAsia" w:ascii="宋体" w:hAnsi="宋体" w:eastAsia="宋体" w:cs="宋体"/>
          <w:sz w:val="22"/>
          <w:highlight w:val="none"/>
        </w:rPr>
        <w:t>本采购项目的整体设计、规范编制或者项目管理、监理、检测等服务</w:t>
      </w:r>
      <w:r>
        <w:rPr>
          <w:rFonts w:hint="eastAsia" w:ascii="宋体" w:hAnsi="宋体" w:eastAsia="宋体" w:cs="宋体"/>
          <w:sz w:val="22"/>
          <w:highlight w:val="none"/>
          <w:lang w:val="en-US" w:eastAsia="zh-CN"/>
        </w:rPr>
        <w:t>工作。</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至本项目投标截止前，我方被列入“信用中国”网站(www.creditchina.gov.cn)“记录失信被执行人或重大税收违法案件当事人名单”记录名单情况：</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10.我方承诺具有履行合同所必需的所必需的场地、设备</w:t>
      </w:r>
      <w:r>
        <w:rPr>
          <w:rFonts w:hint="eastAsia" w:ascii="宋体" w:hAnsi="宋体" w:eastAsia="宋体" w:cs="宋体"/>
          <w:sz w:val="22"/>
          <w:highlight w:val="none"/>
          <w:lang w:eastAsia="zh-CN"/>
        </w:rPr>
        <w:t>、</w:t>
      </w:r>
      <w:r>
        <w:rPr>
          <w:rFonts w:hint="eastAsia" w:ascii="宋体" w:hAnsi="宋体" w:eastAsia="宋体" w:cs="宋体"/>
          <w:sz w:val="22"/>
          <w:highlight w:val="none"/>
        </w:rPr>
        <w:t>专业技术</w:t>
      </w:r>
      <w:r>
        <w:rPr>
          <w:rFonts w:hint="eastAsia" w:ascii="宋体" w:hAnsi="宋体" w:eastAsia="宋体" w:cs="宋体"/>
          <w:sz w:val="22"/>
          <w:highlight w:val="none"/>
          <w:lang w:val="en-US" w:eastAsia="zh-CN"/>
        </w:rPr>
        <w:t>和</w:t>
      </w:r>
      <w:r>
        <w:rPr>
          <w:rFonts w:hint="eastAsia" w:ascii="宋体" w:hAnsi="宋体" w:eastAsia="宋体" w:cs="宋体"/>
          <w:sz w:val="22"/>
          <w:highlight w:val="none"/>
        </w:rPr>
        <w:t>售后保障等能力。如有虚假，采购人可取消我方任何资格（投标/中标/签订合同），我方对此无任何异议。</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pPr>
        <w:snapToGrid w:val="0"/>
        <w:spacing w:before="120" w:beforeLines="50"/>
        <w:ind w:firstLine="200"/>
        <w:rPr>
          <w:rFonts w:hint="eastAsia" w:ascii="宋体" w:hAnsi="宋体" w:eastAsia="宋体" w:cs="宋体"/>
          <w:sz w:val="18"/>
          <w:szCs w:val="18"/>
          <w:highlight w:val="none"/>
        </w:rPr>
      </w:pPr>
    </w:p>
    <w:p>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pStyle w:val="23"/>
        <w:ind w:left="0" w:firstLine="0" w:firstLineChars="0"/>
        <w:rPr>
          <w:rFonts w:hint="eastAsia" w:ascii="宋体" w:hAnsi="宋体" w:eastAsia="宋体" w:cs="宋体"/>
          <w:sz w:val="22"/>
          <w:highlight w:val="none"/>
        </w:rPr>
      </w:pPr>
      <w:r>
        <w:rPr>
          <w:rFonts w:hint="eastAsia" w:ascii="宋体" w:hAnsi="宋体" w:eastAsia="宋体" w:cs="宋体"/>
          <w:sz w:val="22"/>
          <w:highlight w:val="none"/>
        </w:rPr>
        <w:t>附件五</w:t>
      </w:r>
    </w:p>
    <w:p>
      <w:pPr>
        <w:pStyle w:val="10"/>
        <w:ind w:firstLine="0" w:firstLineChars="0"/>
        <w:rPr>
          <w:rFonts w:hint="eastAsia" w:ascii="宋体" w:hAnsi="宋体" w:eastAsia="宋体" w:cs="宋体"/>
          <w:b/>
          <w:bCs/>
          <w:sz w:val="28"/>
          <w:szCs w:val="28"/>
          <w:highlight w:val="none"/>
        </w:rPr>
      </w:pPr>
    </w:p>
    <w:p>
      <w:pPr>
        <w:spacing w:line="400" w:lineRule="exact"/>
        <w:jc w:val="center"/>
        <w:rPr>
          <w:rFonts w:hint="eastAsia" w:ascii="宋体" w:hAnsi="宋体" w:eastAsia="宋体" w:cs="宋体"/>
          <w:b/>
          <w:color w:val="auto"/>
          <w:sz w:val="24"/>
          <w:highlight w:val="none"/>
          <w:lang w:val="en-US" w:eastAsia="zh-CN"/>
        </w:rPr>
      </w:pPr>
      <w:bookmarkStart w:id="192" w:name="_Toc480556784"/>
      <w:r>
        <w:rPr>
          <w:rFonts w:hint="eastAsia" w:ascii="宋体" w:hAnsi="宋体" w:eastAsia="宋体" w:cs="宋体"/>
          <w:b/>
          <w:color w:val="auto"/>
          <w:sz w:val="24"/>
          <w:highlight w:val="none"/>
          <w:lang w:val="en-US" w:eastAsia="zh-CN"/>
        </w:rPr>
        <w:t>供应商简介</w:t>
      </w:r>
    </w:p>
    <w:p>
      <w:pPr>
        <w:pStyle w:val="9"/>
        <w:adjustRightInd w:val="0"/>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名称及概况：</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（1）投标人名称：</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（2）地址：</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传真/电话号码：</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（3）成立和/或注册日期：</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（4）实收资本：</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（5）近期资产负债表（截止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a）固定资产：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b）流动资产：</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c）长期负债：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d）流动负债：</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e）净值：</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（6）主要负责人姓名：</w:t>
      </w:r>
      <w:r>
        <w:rPr>
          <w:rFonts w:hint="eastAsia" w:ascii="宋体" w:hAnsi="宋体" w:eastAsia="宋体" w:cs="宋体"/>
          <w:color w:val="auto"/>
          <w:sz w:val="22"/>
          <w:szCs w:val="22"/>
          <w:highlight w:val="none"/>
          <w:u w:val="single"/>
        </w:rPr>
        <w:t xml:space="preserve">                         </w:t>
      </w:r>
    </w:p>
    <w:p>
      <w:pPr>
        <w:spacing w:line="360" w:lineRule="exact"/>
        <w:ind w:left="663" w:hanging="663" w:hangingChars="3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设施及其它情况：</w:t>
      </w:r>
    </w:p>
    <w:p>
      <w:pPr>
        <w:spacing w:line="400" w:lineRule="exact"/>
        <w:rPr>
          <w:rFonts w:hint="eastAsia" w:ascii="宋体" w:hAnsi="宋体" w:eastAsia="宋体" w:cs="宋体"/>
          <w:color w:val="auto"/>
          <w:sz w:val="22"/>
          <w:highlight w:val="none"/>
        </w:rPr>
      </w:pP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拥有的服务设备</w:t>
      </w:r>
      <w:r>
        <w:rPr>
          <w:rFonts w:hint="eastAsia" w:ascii="宋体" w:hAnsi="宋体" w:eastAsia="宋体" w:cs="宋体"/>
          <w:color w:val="auto"/>
          <w:sz w:val="22"/>
          <w:highlight w:val="none"/>
        </w:rPr>
        <w:t xml:space="preserve">设施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u w:val="single"/>
        </w:rPr>
        <w:t xml:space="preserve">   </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职工（在职）人数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人，其中持证上岗的人数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专业人员构成</w:t>
      </w:r>
      <w:r>
        <w:rPr>
          <w:rFonts w:hint="eastAsia" w:ascii="宋体" w:hAnsi="宋体" w:eastAsia="宋体" w:cs="宋体"/>
          <w:color w:val="auto"/>
          <w:sz w:val="22"/>
          <w:highlight w:val="none"/>
          <w:u w:val="single"/>
        </w:rPr>
        <w:t xml:space="preserve">                                            </w:t>
      </w:r>
    </w:p>
    <w:p>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通过有关认证</w:t>
      </w:r>
      <w:r>
        <w:rPr>
          <w:rFonts w:hint="eastAsia" w:ascii="宋体" w:hAnsi="宋体" w:eastAsia="宋体" w:cs="宋体"/>
          <w:color w:val="auto"/>
          <w:sz w:val="22"/>
          <w:highlight w:val="none"/>
          <w:u w:val="single"/>
        </w:rPr>
        <w:t xml:space="preserve">                                                </w:t>
      </w:r>
    </w:p>
    <w:p>
      <w:pPr>
        <w:spacing w:line="360" w:lineRule="exact"/>
        <w:ind w:left="663" w:hanging="663" w:hangingChars="300"/>
        <w:jc w:val="left"/>
        <w:rPr>
          <w:rFonts w:hint="eastAsia" w:ascii="宋体" w:hAnsi="宋体" w:eastAsia="宋体" w:cs="宋体"/>
          <w:b/>
          <w:color w:val="auto"/>
          <w:sz w:val="22"/>
          <w:highlight w:val="none"/>
        </w:rPr>
      </w:pPr>
    </w:p>
    <w:p>
      <w:pPr>
        <w:spacing w:line="360" w:lineRule="exact"/>
        <w:ind w:left="663" w:hanging="663" w:hangingChars="3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3. 近三年的年营业总额</w:t>
      </w:r>
      <w:r>
        <w:rPr>
          <w:rFonts w:hint="eastAsia" w:ascii="宋体" w:hAnsi="宋体" w:eastAsia="宋体" w:cs="宋体"/>
          <w:b/>
          <w:color w:val="auto"/>
          <w:sz w:val="22"/>
          <w:highlight w:val="none"/>
          <w:u w:val="single"/>
        </w:rPr>
        <w:t xml:space="preserve">                       </w:t>
      </w:r>
    </w:p>
    <w:p>
      <w:pPr>
        <w:spacing w:line="400" w:lineRule="exact"/>
        <w:rPr>
          <w:rFonts w:hint="eastAsia" w:ascii="宋体" w:hAnsi="宋体" w:eastAsia="宋体" w:cs="宋体"/>
          <w:color w:val="auto"/>
          <w:sz w:val="22"/>
          <w:highlight w:val="none"/>
        </w:rPr>
      </w:pPr>
    </w:p>
    <w:p>
      <w:pPr>
        <w:spacing w:line="40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兹证明上述声明是真实、正确的、并提供了全部能提供的资料和数据，我们同意遵照贵方要求出示有关证明文件。</w:t>
      </w:r>
    </w:p>
    <w:p>
      <w:pPr>
        <w:spacing w:line="400" w:lineRule="exact"/>
        <w:rPr>
          <w:rFonts w:hint="eastAsia" w:ascii="宋体" w:hAnsi="宋体" w:eastAsia="宋体" w:cs="宋体"/>
          <w:color w:val="auto"/>
          <w:sz w:val="22"/>
          <w:highlight w:val="none"/>
        </w:rPr>
      </w:pPr>
    </w:p>
    <w:bookmarkEnd w:id="192"/>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360" w:lineRule="auto"/>
        <w:rPr>
          <w:rFonts w:hint="eastAsia" w:ascii="宋体" w:hAnsi="宋体" w:eastAsia="宋体" w:cs="宋体"/>
          <w:sz w:val="22"/>
          <w:highlight w:val="none"/>
          <w:lang w:val="en-US" w:eastAsia="zh-CN"/>
        </w:rPr>
      </w:pPr>
      <w:r>
        <w:rPr>
          <w:rFonts w:hint="eastAsia" w:ascii="宋体" w:hAnsi="宋体" w:eastAsia="宋体" w:cs="宋体"/>
          <w:sz w:val="22"/>
          <w:highlight w:val="none"/>
        </w:rPr>
        <w:t>日  期：</w:t>
      </w:r>
      <w:r>
        <w:rPr>
          <w:rFonts w:hint="eastAsia" w:ascii="宋体" w:hAnsi="宋体" w:eastAsia="宋体" w:cs="宋体"/>
          <w:sz w:val="22"/>
          <w:highlight w:val="none"/>
          <w:lang w:val="en-US" w:eastAsia="zh-CN"/>
        </w:rPr>
        <w:t xml:space="preserve"> </w:t>
      </w:r>
    </w:p>
    <w:p>
      <w:pPr>
        <w:rPr>
          <w:rFonts w:hint="eastAsia" w:ascii="宋体" w:hAnsi="宋体" w:eastAsia="宋体" w:cs="宋体"/>
          <w:sz w:val="22"/>
          <w:highlight w:val="none"/>
        </w:rPr>
      </w:pPr>
      <w:r>
        <w:rPr>
          <w:rFonts w:hint="eastAsia" w:ascii="宋体" w:hAnsi="宋体" w:eastAsia="宋体" w:cs="宋体"/>
          <w:sz w:val="22"/>
          <w:highlight w:val="none"/>
        </w:rPr>
        <w:br w:type="page"/>
      </w:r>
    </w:p>
    <w:p>
      <w:pPr>
        <w:pStyle w:val="3"/>
        <w:adjustRightInd/>
        <w:snapToGrid/>
        <w:spacing w:before="120" w:after="12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附件六  </w:t>
      </w:r>
    </w:p>
    <w:p>
      <w:pPr>
        <w:spacing w:before="120" w:beforeLines="50" w:after="120" w:afterLines="50"/>
        <w:ind w:right="-10"/>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拟投入设备、工具、耗材一览表</w:t>
      </w:r>
    </w:p>
    <w:p>
      <w:pPr>
        <w:spacing w:after="120" w:afterLines="50"/>
        <w:rPr>
          <w:rFonts w:hint="eastAsia" w:ascii="宋体" w:hAnsi="宋体" w:eastAsia="宋体" w:cs="宋体"/>
          <w:color w:val="auto"/>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88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231"/>
        <w:gridCol w:w="1214"/>
        <w:gridCol w:w="1500"/>
        <w:gridCol w:w="1170"/>
        <w:gridCol w:w="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809"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装备、工具、名称</w:t>
            </w:r>
          </w:p>
        </w:tc>
        <w:tc>
          <w:tcPr>
            <w:tcW w:w="113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规格型号</w:t>
            </w:r>
          </w:p>
        </w:tc>
        <w:tc>
          <w:tcPr>
            <w:tcW w:w="1231"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数量</w:t>
            </w:r>
          </w:p>
        </w:tc>
        <w:tc>
          <w:tcPr>
            <w:tcW w:w="121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产地</w:t>
            </w:r>
          </w:p>
        </w:tc>
        <w:tc>
          <w:tcPr>
            <w:tcW w:w="1500"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价格</w:t>
            </w:r>
            <w:r>
              <w:rPr>
                <w:rFonts w:hint="eastAsia" w:ascii="宋体" w:hAnsi="宋体" w:eastAsia="宋体" w:cs="宋体"/>
                <w:b/>
                <w:color w:val="auto"/>
                <w:sz w:val="18"/>
                <w:szCs w:val="18"/>
                <w:highlight w:val="none"/>
              </w:rPr>
              <w:t>（元）</w:t>
            </w:r>
          </w:p>
        </w:tc>
        <w:tc>
          <w:tcPr>
            <w:tcW w:w="1170"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包装形式</w:t>
            </w:r>
          </w:p>
        </w:tc>
        <w:tc>
          <w:tcPr>
            <w:tcW w:w="755"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bl>
    <w:p>
      <w:pPr>
        <w:spacing w:before="120" w:beforeLines="50"/>
        <w:ind w:left="840" w:right="-11" w:hanging="840" w:hangingChars="4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1. 本表所列为项目所需的装备及工具，请按每种装备、工具分别填写。</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本表中所列装备价格不计入投标总价，但装备的损耗及耗材等需包含在投标总价中。</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此表仅提供了表格形式，投标人应根据需要准备足够数量的表格来填写。</w:t>
      </w:r>
    </w:p>
    <w:p>
      <w:pPr>
        <w:rPr>
          <w:rFonts w:hint="eastAsia" w:ascii="宋体" w:hAnsi="宋体" w:eastAsia="宋体" w:cs="宋体"/>
          <w:b/>
          <w:color w:val="auto"/>
          <w:sz w:val="22"/>
          <w:szCs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400" w:lineRule="exact"/>
        <w:rPr>
          <w:rFonts w:hint="eastAsia" w:ascii="宋体" w:hAnsi="宋体" w:eastAsia="宋体" w:cs="宋体"/>
          <w:color w:val="auto"/>
          <w:sz w:val="22"/>
          <w:szCs w:val="22"/>
          <w:highlight w:val="none"/>
        </w:rPr>
      </w:pPr>
    </w:p>
    <w:p>
      <w:pPr>
        <w:ind w:right="-10"/>
        <w:rPr>
          <w:rFonts w:hint="eastAsia" w:ascii="宋体" w:hAnsi="宋体" w:eastAsia="宋体" w:cs="宋体"/>
          <w:b/>
          <w:bCs/>
          <w:snapToGrid w:val="0"/>
          <w:color w:val="auto"/>
          <w:kern w:val="0"/>
          <w:sz w:val="28"/>
          <w:highlight w:val="none"/>
        </w:rPr>
      </w:pPr>
      <w:bookmarkStart w:id="193" w:name="_Toc336413112"/>
      <w:r>
        <w:rPr>
          <w:rFonts w:hint="eastAsia" w:ascii="宋体" w:hAnsi="宋体" w:eastAsia="宋体" w:cs="宋体"/>
          <w:color w:val="auto"/>
          <w:sz w:val="22"/>
          <w:szCs w:val="22"/>
          <w:highlight w:val="none"/>
        </w:rPr>
        <w:br w:type="page"/>
      </w:r>
      <w:bookmarkEnd w:id="193"/>
      <w:r>
        <w:rPr>
          <w:rFonts w:hint="eastAsia" w:ascii="宋体" w:hAnsi="宋体" w:eastAsia="宋体" w:cs="宋体"/>
          <w:b/>
          <w:snapToGrid w:val="0"/>
          <w:color w:val="auto"/>
          <w:kern w:val="0"/>
          <w:sz w:val="22"/>
          <w:szCs w:val="22"/>
          <w:highlight w:val="none"/>
        </w:rPr>
        <w:t>附件七</w:t>
      </w:r>
    </w:p>
    <w:p>
      <w:pPr>
        <w:ind w:right="-10"/>
        <w:jc w:val="center"/>
        <w:rPr>
          <w:rFonts w:hint="eastAsia" w:ascii="宋体" w:hAnsi="宋体" w:eastAsia="宋体" w:cs="宋体"/>
          <w:b/>
          <w:bCs/>
          <w:snapToGrid w:val="0"/>
          <w:color w:val="auto"/>
          <w:kern w:val="0"/>
          <w:sz w:val="28"/>
          <w:highlight w:val="none"/>
        </w:rPr>
      </w:pPr>
      <w:r>
        <w:rPr>
          <w:rFonts w:hint="eastAsia" w:ascii="宋体" w:hAnsi="宋体" w:eastAsia="宋体" w:cs="宋体"/>
          <w:b/>
          <w:bCs/>
          <w:snapToGrid w:val="0"/>
          <w:color w:val="auto"/>
          <w:kern w:val="0"/>
          <w:sz w:val="28"/>
          <w:highlight w:val="none"/>
        </w:rPr>
        <w:t>拟派项目负责人情况表</w:t>
      </w: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       </w:t>
      </w:r>
    </w:p>
    <w:p>
      <w:pPr>
        <w:ind w:firstLine="1185" w:firstLineChars="539"/>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451"/>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12" w:space="0"/>
              <w:left w:val="single" w:color="auto" w:sz="12" w:space="0"/>
              <w:bottom w:val="single" w:color="auto" w:sz="4" w:space="0"/>
              <w:right w:val="single" w:color="auto" w:sz="4" w:space="0"/>
            </w:tcBorders>
            <w:noWrap w:val="0"/>
            <w:vAlign w:val="center"/>
          </w:tcPr>
          <w:p>
            <w:pPr>
              <w:pStyle w:val="68"/>
              <w:autoSpaceDE w:val="0"/>
              <w:autoSpaceDN w:val="0"/>
              <w:adjustRightInd w:val="0"/>
              <w:spacing w:line="24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tcBorders>
              <w:top w:val="single" w:color="auto" w:sz="12" w:space="0"/>
              <w:left w:val="single" w:color="auto" w:sz="4" w:space="0"/>
              <w:bottom w:val="single" w:color="auto" w:sz="4" w:space="0"/>
              <w:right w:val="single" w:color="auto" w:sz="12" w:space="0"/>
            </w:tcBorders>
            <w:noWrap w:val="0"/>
            <w:vAlign w:val="center"/>
          </w:tcPr>
          <w:p>
            <w:pPr>
              <w:pStyle w:val="68"/>
              <w:autoSpaceDE w:val="0"/>
              <w:autoSpaceDN w:val="0"/>
              <w:adjustRightInd w:val="0"/>
              <w:spacing w:line="36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restart"/>
            <w:tcBorders>
              <w:top w:val="single" w:color="auto" w:sz="4" w:space="0"/>
              <w:left w:val="single" w:color="auto" w:sz="4" w:space="0"/>
              <w:bottom w:val="single" w:color="auto" w:sz="4" w:space="0"/>
              <w:right w:val="single" w:color="auto" w:sz="12" w:space="0"/>
            </w:tcBorders>
            <w:noWrap w:val="0"/>
            <w:vAlign w:val="center"/>
          </w:tcPr>
          <w:p>
            <w:pPr>
              <w:pStyle w:val="69"/>
              <w:widowControl w:val="0"/>
              <w:autoSpaceDE w:val="0"/>
              <w:autoSpaceDN w:val="0"/>
              <w:adjustRightInd w:val="0"/>
              <w:spacing w:before="0" w:beforeAutospacing="0" w:after="0" w:afterAutospacing="0" w:line="360" w:lineRule="auto"/>
              <w:ind w:left="447" w:hanging="447"/>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注：业绩证明应提供旁证材料</w:t>
            </w:r>
          </w:p>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r>
              <w:rPr>
                <w:rFonts w:hint="eastAsia" w:ascii="宋体" w:hAnsi="宋体" w:eastAsia="宋体" w:cs="宋体"/>
                <w:snapToGrid w:val="0"/>
                <w:color w:val="auto"/>
                <w:kern w:val="0"/>
                <w:sz w:val="18"/>
                <w:szCs w:val="18"/>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拟在本项目中担任主要工作</w:t>
            </w:r>
          </w:p>
        </w:tc>
        <w:tc>
          <w:tcPr>
            <w:tcW w:w="7324"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bl>
    <w:p>
      <w:pPr>
        <w:pStyle w:val="7"/>
        <w:spacing w:line="400" w:lineRule="exact"/>
        <w:ind w:firstLine="442" w:firstLineChars="200"/>
        <w:jc w:val="left"/>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注：本表后应附人员身份证、在本单位社保证明等复印件</w:t>
      </w:r>
      <w:r>
        <w:rPr>
          <w:rFonts w:hint="eastAsia" w:ascii="宋体" w:hAnsi="宋体" w:eastAsia="宋体" w:cs="宋体"/>
          <w:snapToGrid w:val="0"/>
          <w:color w:val="auto"/>
          <w:sz w:val="22"/>
          <w:szCs w:val="22"/>
          <w:highlight w:val="none"/>
        </w:rPr>
        <w:t>。</w:t>
      </w:r>
    </w:p>
    <w:p>
      <w:pPr>
        <w:pStyle w:val="13"/>
        <w:spacing w:line="400" w:lineRule="atLeast"/>
        <w:ind w:left="660" w:hanging="660" w:hangingChars="300"/>
        <w:rPr>
          <w:rFonts w:hint="eastAsia" w:ascii="宋体" w:hAnsi="宋体" w:eastAsia="宋体" w:cs="宋体"/>
          <w:snapToGrid w:val="0"/>
          <w:color w:val="auto"/>
          <w:sz w:val="22"/>
          <w:szCs w:val="22"/>
          <w:highlight w:val="none"/>
        </w:rPr>
      </w:pP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z w:val="21"/>
          <w:szCs w:val="21"/>
          <w:highlight w:val="none"/>
        </w:rPr>
        <w:t>日  期：</w:t>
      </w:r>
    </w:p>
    <w:p>
      <w:pPr>
        <w:spacing w:line="380" w:lineRule="exact"/>
        <w:ind w:firstLine="4400" w:firstLineChars="2000"/>
        <w:rPr>
          <w:rFonts w:hint="eastAsia" w:ascii="宋体" w:hAnsi="宋体" w:eastAsia="宋体" w:cs="宋体"/>
          <w:snapToGrid w:val="0"/>
          <w:color w:val="auto"/>
          <w:kern w:val="0"/>
          <w:sz w:val="22"/>
          <w:szCs w:val="22"/>
          <w:highlight w:val="none"/>
        </w:rPr>
      </w:pPr>
    </w:p>
    <w:p>
      <w:pPr>
        <w:spacing w:line="380" w:lineRule="exact"/>
        <w:ind w:firstLine="4400" w:firstLineChars="2000"/>
        <w:rPr>
          <w:rFonts w:hint="eastAsia" w:ascii="宋体" w:hAnsi="宋体" w:eastAsia="宋体" w:cs="宋体"/>
          <w:snapToGrid w:val="0"/>
          <w:color w:val="auto"/>
          <w:kern w:val="0"/>
          <w:sz w:val="22"/>
          <w:szCs w:val="22"/>
          <w:highlight w:val="none"/>
        </w:rPr>
      </w:pP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br w:type="page"/>
      </w:r>
    </w:p>
    <w:p>
      <w:pPr>
        <w:spacing w:before="240" w:beforeLines="100" w:after="120" w:afterLines="50" w:line="400" w:lineRule="exact"/>
        <w:jc w:val="lef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附件八</w:t>
      </w:r>
    </w:p>
    <w:p>
      <w:pPr>
        <w:spacing w:before="240" w:beforeLines="100" w:after="120" w:afterLines="50" w:line="400" w:lineRule="exact"/>
        <w:jc w:val="center"/>
        <w:rPr>
          <w:rFonts w:hint="eastAsia" w:ascii="宋体" w:hAnsi="宋体" w:eastAsia="宋体" w:cs="宋体"/>
          <w:bCs/>
          <w:color w:val="auto"/>
          <w:kern w:val="0"/>
          <w:sz w:val="32"/>
          <w:highlight w:val="none"/>
        </w:rPr>
      </w:pPr>
      <w:r>
        <w:rPr>
          <w:rFonts w:hint="eastAsia" w:ascii="宋体" w:hAnsi="宋体" w:eastAsia="宋体" w:cs="宋体"/>
          <w:b/>
          <w:bCs/>
          <w:color w:val="auto"/>
          <w:kern w:val="0"/>
          <w:sz w:val="30"/>
          <w:highlight w:val="none"/>
        </w:rPr>
        <w:t>项目服务人员汇总表</w:t>
      </w:r>
    </w:p>
    <w:p>
      <w:pPr>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48"/>
        <w:gridCol w:w="720"/>
        <w:gridCol w:w="720"/>
        <w:gridCol w:w="780"/>
        <w:gridCol w:w="900"/>
        <w:gridCol w:w="821"/>
        <w:gridCol w:w="118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28" w:type="dxa"/>
            <w:tcBorders>
              <w:top w:val="single" w:color="auto" w:sz="12" w:space="0"/>
              <w:left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948"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主要工作</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年龄</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性别</w:t>
            </w:r>
          </w:p>
        </w:tc>
        <w:tc>
          <w:tcPr>
            <w:tcW w:w="780" w:type="dxa"/>
            <w:tcBorders>
              <w:top w:val="single" w:color="auto" w:sz="12" w:space="0"/>
              <w:bottom w:val="single" w:color="auto" w:sz="12" w:space="0"/>
              <w:right w:val="single" w:color="auto" w:sz="4"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职称/职务</w:t>
            </w:r>
          </w:p>
        </w:tc>
        <w:tc>
          <w:tcPr>
            <w:tcW w:w="900" w:type="dxa"/>
            <w:tcBorders>
              <w:top w:val="single" w:color="auto" w:sz="12" w:space="0"/>
              <w:left w:val="single" w:color="auto" w:sz="4"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专业/</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年限</w:t>
            </w:r>
          </w:p>
        </w:tc>
        <w:tc>
          <w:tcPr>
            <w:tcW w:w="821"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承诺</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到位率</w:t>
            </w:r>
          </w:p>
        </w:tc>
        <w:tc>
          <w:tcPr>
            <w:tcW w:w="1186"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到现场服务起止时间</w:t>
            </w:r>
          </w:p>
        </w:tc>
        <w:tc>
          <w:tcPr>
            <w:tcW w:w="2001" w:type="dxa"/>
            <w:tcBorders>
              <w:top w:val="single" w:color="auto" w:sz="12" w:space="0"/>
              <w:bottom w:val="single" w:color="auto" w:sz="12" w:space="0"/>
              <w:right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top w:val="single" w:color="auto" w:sz="12" w:space="0"/>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tcBorders>
              <w:top w:val="single" w:color="auto" w:sz="12" w:space="0"/>
            </w:tcBorders>
            <w:noWrap w:val="0"/>
            <w:vAlign w:val="center"/>
          </w:tcPr>
          <w:p>
            <w:pPr>
              <w:pStyle w:val="58"/>
              <w:widowControl w:val="0"/>
              <w:pBdr>
                <w:left w:val="none" w:color="auto" w:sz="0" w:space="0"/>
                <w:bottom w:val="none" w:color="auto" w:sz="0" w:space="0"/>
                <w:right w:val="none" w:color="auto" w:sz="0" w:space="0"/>
              </w:pBdr>
              <w:spacing w:before="0" w:beforeAutospacing="0" w:after="0" w:afterAutospacing="0"/>
              <w:textAlignment w:val="auto"/>
              <w:rPr>
                <w:rFonts w:hint="eastAsia" w:ascii="宋体" w:hAnsi="宋体" w:eastAsia="宋体" w:cs="宋体"/>
                <w:color w:val="auto"/>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80"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top w:val="single" w:color="auto" w:sz="12" w:space="0"/>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1186" w:type="dxa"/>
            <w:tcBorders>
              <w:top w:val="single" w:color="auto" w:sz="12" w:space="0"/>
              <w:left w:val="single" w:color="auto" w:sz="4"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2001" w:type="dxa"/>
            <w:tcBorders>
              <w:top w:val="single" w:color="auto" w:sz="12" w:space="0"/>
              <w:left w:val="single" w:color="auto" w:sz="4" w:space="0"/>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pStyle w:val="14"/>
              <w:ind w:left="5250"/>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104" w:type="dxa"/>
            <w:gridSpan w:val="9"/>
            <w:tcBorders>
              <w:left w:val="single" w:color="auto" w:sz="12" w:space="0"/>
              <w:bottom w:val="single" w:color="auto" w:sz="12" w:space="0"/>
              <w:right w:val="single" w:color="auto" w:sz="12" w:space="0"/>
            </w:tcBorders>
            <w:noWrap w:val="0"/>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一旦我单位中标，将实行</w:t>
            </w:r>
            <w:r>
              <w:rPr>
                <w:rFonts w:hint="eastAsia" w:ascii="宋体" w:hAnsi="宋体" w:eastAsia="宋体" w:cs="宋体"/>
                <w:color w:val="auto"/>
                <w:kern w:val="0"/>
                <w:sz w:val="18"/>
                <w:szCs w:val="18"/>
                <w:highlight w:val="none"/>
                <w:lang w:eastAsia="zh-CN"/>
              </w:rPr>
              <w:t>物业经理</w:t>
            </w:r>
            <w:r>
              <w:rPr>
                <w:rFonts w:hint="eastAsia" w:ascii="宋体" w:hAnsi="宋体" w:eastAsia="宋体" w:cs="宋体"/>
                <w:color w:val="auto"/>
                <w:kern w:val="0"/>
                <w:sz w:val="18"/>
                <w:szCs w:val="18"/>
                <w:highlight w:val="none"/>
              </w:rPr>
              <w:t>（负责人）负责制，我方保证并配备上述项目管理机构。上述填报内容真实，若不真实，愿按有关规定接受处理。</w:t>
            </w:r>
          </w:p>
        </w:tc>
      </w:tr>
    </w:tbl>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val="en-US" w:eastAsia="zh-CN"/>
        </w:rPr>
        <w:t>本表格可暂时只填写项目管理人员的，驻守保安人员如已明确的也可填入本表，未明确的驻守人员可在表述中明确招聘标准及到岗时间</w:t>
      </w:r>
      <w:r>
        <w:rPr>
          <w:rFonts w:hint="eastAsia" w:ascii="宋体" w:hAnsi="宋体" w:eastAsia="宋体" w:cs="宋体"/>
          <w:color w:val="auto"/>
          <w:highlight w:val="none"/>
        </w:rPr>
        <w:t>；</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2、本表人员有资格证书的应随表提交职称、资格证书复印件（加盖公章）。</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3、列入本表人员如要更换，需经</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单位同意；擅自更换或不到位属违约行为。</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60" w:lineRule="auto"/>
        <w:jc w:val="both"/>
        <w:rPr>
          <w:rFonts w:hint="eastAsia" w:ascii="宋体" w:hAnsi="宋体" w:eastAsia="宋体" w:cs="宋体"/>
          <w:b/>
          <w:color w:val="auto"/>
          <w:sz w:val="48"/>
          <w:szCs w:val="48"/>
          <w:highlight w:val="none"/>
        </w:rPr>
      </w:pPr>
      <w:r>
        <w:rPr>
          <w:rFonts w:hint="eastAsia" w:ascii="宋体" w:hAnsi="宋体" w:eastAsia="宋体" w:cs="宋体"/>
          <w:sz w:val="21"/>
          <w:szCs w:val="21"/>
          <w:highlight w:val="none"/>
        </w:rPr>
        <w:t>日  期：</w:t>
      </w:r>
    </w:p>
    <w:p>
      <w:pPr>
        <w:jc w:val="center"/>
        <w:rPr>
          <w:rFonts w:hint="eastAsia" w:ascii="宋体" w:hAnsi="宋体" w:eastAsia="宋体" w:cs="宋体"/>
          <w:b/>
          <w:color w:val="auto"/>
          <w:sz w:val="48"/>
          <w:szCs w:val="48"/>
          <w:highlight w:val="none"/>
        </w:rPr>
      </w:pPr>
    </w:p>
    <w:p>
      <w:pPr>
        <w:spacing w:before="120" w:after="120"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附件九</w:t>
      </w:r>
    </w:p>
    <w:p>
      <w:pPr>
        <w:spacing w:before="120" w:after="120"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eastAsia="zh-CN"/>
        </w:rPr>
        <w:t>2019年1月1日以来</w:t>
      </w:r>
      <w:r>
        <w:rPr>
          <w:rFonts w:hint="eastAsia" w:ascii="宋体" w:hAnsi="宋体" w:eastAsia="宋体" w:cs="宋体"/>
          <w:b/>
          <w:bCs/>
          <w:color w:val="auto"/>
          <w:szCs w:val="21"/>
          <w:highlight w:val="none"/>
        </w:rPr>
        <w:t>同类项目业绩一览表</w:t>
      </w:r>
    </w:p>
    <w:p>
      <w:pPr>
        <w:rPr>
          <w:rFonts w:hint="eastAsia" w:ascii="宋体" w:hAnsi="宋体" w:eastAsia="宋体" w:cs="宋体"/>
          <w:color w:val="auto"/>
          <w:highlight w:val="none"/>
          <w:lang w:val="zh-CN"/>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91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3024"/>
        <w:gridCol w:w="1188"/>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6"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tc>
        <w:tc>
          <w:tcPr>
            <w:tcW w:w="1876"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使用单位</w:t>
            </w:r>
          </w:p>
        </w:tc>
        <w:tc>
          <w:tcPr>
            <w:tcW w:w="302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地址/联系电话</w:t>
            </w:r>
          </w:p>
        </w:tc>
        <w:tc>
          <w:tcPr>
            <w:tcW w:w="1188"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合同金额</w:t>
            </w:r>
            <w:r>
              <w:rPr>
                <w:rFonts w:hint="eastAsia" w:ascii="宋体" w:hAnsi="宋体" w:eastAsia="宋体" w:cs="宋体"/>
                <w:color w:val="auto"/>
                <w:sz w:val="18"/>
                <w:szCs w:val="18"/>
                <w:highlight w:val="none"/>
              </w:rPr>
              <w:t>（万元）</w:t>
            </w:r>
          </w:p>
        </w:tc>
        <w:tc>
          <w:tcPr>
            <w:tcW w:w="998" w:type="dxa"/>
            <w:noWrap w:val="0"/>
            <w:vAlign w:val="center"/>
          </w:tcPr>
          <w:p>
            <w:pPr>
              <w:pStyle w:val="68"/>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998" w:type="dxa"/>
            <w:noWrap w:val="0"/>
            <w:vAlign w:val="top"/>
          </w:tcPr>
          <w:p>
            <w:pPr>
              <w:rPr>
                <w:rFonts w:hint="eastAsia" w:ascii="宋体" w:hAnsi="宋体" w:eastAsia="宋体" w:cs="宋体"/>
                <w:color w:val="auto"/>
                <w:sz w:val="18"/>
                <w:szCs w:val="18"/>
                <w:highlight w:val="none"/>
              </w:rPr>
            </w:pPr>
          </w:p>
        </w:tc>
      </w:tr>
    </w:tbl>
    <w:p>
      <w:pPr>
        <w:spacing w:before="120" w:beforeLines="50" w:line="360" w:lineRule="exact"/>
        <w:ind w:right="-21" w:rightChars="-10"/>
        <w:rPr>
          <w:rFonts w:hint="eastAsia" w:ascii="宋体" w:hAnsi="宋体" w:eastAsia="宋体" w:cs="宋体"/>
          <w:color w:val="auto"/>
          <w:highlight w:val="none"/>
        </w:rPr>
      </w:pPr>
      <w:r>
        <w:rPr>
          <w:rFonts w:hint="eastAsia" w:ascii="宋体" w:hAnsi="宋体" w:eastAsia="宋体" w:cs="宋体"/>
          <w:color w:val="auto"/>
          <w:highlight w:val="none"/>
        </w:rPr>
        <w:t>注：1.提供投标人在国内的同类项目服务业绩，每项业绩须附证明文件，以提供的合同或中标通知书为准（合同</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中标通知书复印件加盖公章，</w:t>
      </w:r>
      <w:r>
        <w:rPr>
          <w:rFonts w:hint="eastAsia" w:ascii="宋体" w:hAnsi="宋体" w:eastAsia="宋体" w:cs="宋体"/>
          <w:color w:val="auto"/>
          <w:highlight w:val="none"/>
          <w:lang w:val="en-US" w:eastAsia="zh-CN"/>
        </w:rPr>
        <w:t>同时须按技术资信评分细则要求提供相关</w:t>
      </w:r>
      <w:r>
        <w:rPr>
          <w:rFonts w:hint="eastAsia" w:ascii="宋体" w:hAnsi="宋体" w:eastAsia="宋体" w:cs="宋体"/>
          <w:color w:val="auto"/>
          <w:highlight w:val="none"/>
        </w:rPr>
        <w:t>原件）。</w:t>
      </w:r>
    </w:p>
    <w:p>
      <w:pPr>
        <w:spacing w:before="120" w:beforeLines="50" w:line="360" w:lineRule="exact"/>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2.投标人不按此要求填写此项内容及提供相应的证明材料将视为无业绩，在技术资信评审中将不予认可。</w:t>
      </w:r>
    </w:p>
    <w:p>
      <w:pPr>
        <w:spacing w:line="400" w:lineRule="exact"/>
        <w:ind w:firstLine="433" w:firstLineChars="196"/>
        <w:rPr>
          <w:rFonts w:hint="eastAsia" w:ascii="宋体" w:hAnsi="宋体" w:eastAsia="宋体" w:cs="宋体"/>
          <w:b/>
          <w:color w:val="auto"/>
          <w:sz w:val="22"/>
          <w:szCs w:val="22"/>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60" w:lineRule="auto"/>
        <w:jc w:val="both"/>
        <w:rPr>
          <w:rFonts w:hint="eastAsia" w:ascii="宋体" w:hAnsi="宋体" w:eastAsia="宋体" w:cs="宋体"/>
          <w:b/>
          <w:bCs/>
          <w:color w:val="auto"/>
          <w:sz w:val="20"/>
          <w:szCs w:val="20"/>
          <w:highlight w:val="none"/>
        </w:rPr>
      </w:pPr>
      <w:r>
        <w:rPr>
          <w:rFonts w:hint="eastAsia" w:ascii="宋体" w:hAnsi="宋体" w:eastAsia="宋体" w:cs="宋体"/>
          <w:sz w:val="21"/>
          <w:szCs w:val="21"/>
          <w:highlight w:val="none"/>
        </w:rPr>
        <w:t>日  期：</w:t>
      </w:r>
    </w:p>
    <w:p>
      <w:pPr>
        <w:spacing w:before="240" w:beforeLines="100" w:after="120" w:afterLines="50" w:line="400" w:lineRule="exact"/>
        <w:jc w:val="left"/>
        <w:rPr>
          <w:rFonts w:hint="eastAsia" w:ascii="宋体" w:hAnsi="宋体" w:eastAsia="宋体" w:cs="宋体"/>
          <w:b/>
          <w:color w:val="auto"/>
          <w:kern w:val="0"/>
          <w:szCs w:val="21"/>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Cs w:val="21"/>
          <w:highlight w:val="none"/>
        </w:rPr>
        <w:t>附件十</w:t>
      </w:r>
    </w:p>
    <w:p>
      <w:pPr>
        <w:spacing w:before="240" w:beforeLines="100" w:after="120" w:afterLines="50" w:line="400" w:lineRule="exact"/>
        <w:jc w:val="center"/>
        <w:rPr>
          <w:rFonts w:hint="eastAsia" w:ascii="宋体" w:hAnsi="宋体" w:eastAsia="宋体" w:cs="宋体"/>
          <w:bCs/>
          <w:color w:val="auto"/>
          <w:kern w:val="0"/>
          <w:sz w:val="30"/>
          <w:highlight w:val="none"/>
        </w:rPr>
      </w:pPr>
      <w:r>
        <w:rPr>
          <w:rFonts w:hint="eastAsia" w:ascii="宋体" w:hAnsi="宋体" w:eastAsia="宋体" w:cs="宋体"/>
          <w:b/>
          <w:bCs/>
          <w:color w:val="auto"/>
          <w:kern w:val="0"/>
          <w:sz w:val="28"/>
          <w:highlight w:val="none"/>
        </w:rPr>
        <w:t>项目组织实施计划</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项目组织机构描述</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项目管理人员配备（包括项目负责人、部门负责人、各专业人员配备等）</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项目服务人员投入分析及配备、岗位功能描述</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服务方案的详细叙述（包括服务内容、工作流程、工作标准、员工排班计划等）</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各岗位人员的职责及要求</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内部管理、考核制度</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员工培训计划及内容</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质量管理保证措施</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稳定员工队伍的措施</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优惠承诺</w:t>
      </w:r>
      <w:r>
        <w:rPr>
          <w:rFonts w:hint="eastAsia" w:ascii="宋体" w:hAnsi="宋体" w:eastAsia="宋体" w:cs="宋体"/>
          <w:color w:val="auto"/>
          <w:kern w:val="0"/>
          <w:highlight w:val="none"/>
          <w:lang w:eastAsia="zh-CN"/>
        </w:rPr>
        <w:t>：服务期内提供无偿增值服务、提供的增值服务设备等</w:t>
      </w:r>
    </w:p>
    <w:p>
      <w:pPr>
        <w:numPr>
          <w:ilvl w:val="2"/>
          <w:numId w:val="26"/>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对供应商的考核及其他供应商认为有必要提供的资料</w:t>
      </w:r>
    </w:p>
    <w:p>
      <w:pPr>
        <w:spacing w:before="120" w:beforeLines="50"/>
        <w:ind w:left="840" w:right="-11" w:hanging="840" w:hangingChars="400"/>
        <w:rPr>
          <w:rFonts w:hint="eastAsia" w:ascii="宋体" w:hAnsi="宋体" w:eastAsia="宋体" w:cs="宋体"/>
          <w:color w:val="auto"/>
          <w:kern w:val="0"/>
          <w:highlight w:val="none"/>
        </w:rPr>
      </w:pPr>
    </w:p>
    <w:p>
      <w:pPr>
        <w:spacing w:before="120" w:beforeLines="50"/>
        <w:ind w:left="840" w:right="-11" w:hanging="840" w:hangingChars="400"/>
        <w:rPr>
          <w:rFonts w:hint="eastAsia" w:ascii="宋体" w:hAnsi="宋体" w:eastAsia="宋体" w:cs="宋体"/>
          <w:color w:val="auto"/>
          <w:kern w:val="0"/>
          <w:highlight w:val="none"/>
        </w:rPr>
      </w:pPr>
    </w:p>
    <w:p>
      <w:pPr>
        <w:spacing w:before="120" w:beforeLines="50" w:after="120" w:afterLines="50"/>
        <w:ind w:right="-1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投标人全称（盖公章）：</w:t>
      </w:r>
    </w:p>
    <w:p>
      <w:pPr>
        <w:spacing w:before="120" w:beforeLines="50" w:after="120" w:afterLines="50"/>
        <w:ind w:right="-10"/>
        <w:rPr>
          <w:rFonts w:hint="eastAsia" w:ascii="宋体" w:hAnsi="宋体" w:eastAsia="宋体" w:cs="宋体"/>
          <w:color w:val="auto"/>
          <w:kern w:val="0"/>
          <w:highlight w:val="none"/>
        </w:rPr>
      </w:pPr>
      <w:r>
        <w:rPr>
          <w:rFonts w:hint="eastAsia" w:ascii="宋体" w:hAnsi="宋体" w:eastAsia="宋体" w:cs="宋体"/>
          <w:color w:val="auto"/>
          <w:kern w:val="0"/>
          <w:highlight w:val="none"/>
        </w:rPr>
        <w:t>法定代表人或授权代表（签字或盖章）：</w:t>
      </w:r>
    </w:p>
    <w:p>
      <w:pPr>
        <w:spacing w:before="120" w:beforeLines="50" w:after="120" w:afterLines="50"/>
        <w:ind w:right="-10"/>
        <w:rPr>
          <w:rFonts w:hint="eastAsia" w:ascii="宋体" w:hAnsi="宋体" w:eastAsia="宋体" w:cs="宋体"/>
          <w:color w:val="auto"/>
          <w:kern w:val="0"/>
          <w:highlight w:val="none"/>
        </w:rPr>
      </w:pPr>
      <w:r>
        <w:rPr>
          <w:rFonts w:hint="eastAsia" w:ascii="宋体" w:hAnsi="宋体" w:eastAsia="宋体" w:cs="宋体"/>
          <w:color w:val="auto"/>
          <w:kern w:val="0"/>
          <w:highlight w:val="none"/>
        </w:rPr>
        <w:t>日  期：</w:t>
      </w:r>
    </w:p>
    <w:p>
      <w:pPr>
        <w:spacing w:before="50" w:line="360" w:lineRule="auto"/>
        <w:rPr>
          <w:rFonts w:hint="eastAsia" w:ascii="宋体" w:hAnsi="宋体" w:eastAsia="宋体" w:cs="宋体"/>
          <w:color w:val="auto"/>
          <w:highlight w:val="none"/>
        </w:rPr>
      </w:pPr>
    </w:p>
    <w:p>
      <w:pPr>
        <w:spacing w:before="50" w:line="360" w:lineRule="auto"/>
        <w:rPr>
          <w:rFonts w:hint="eastAsia" w:ascii="宋体" w:hAnsi="宋体" w:eastAsia="宋体" w:cs="宋体"/>
          <w:color w:val="auto"/>
          <w:highlight w:val="none"/>
        </w:rPr>
      </w:pPr>
    </w:p>
    <w:p>
      <w:pPr>
        <w:spacing w:before="240" w:beforeLines="100" w:after="120" w:afterLines="50"/>
        <w:rPr>
          <w:rFonts w:hint="eastAsia" w:ascii="宋体" w:hAnsi="宋体" w:eastAsia="宋体" w:cs="宋体"/>
          <w:b/>
          <w:color w:val="auto"/>
          <w:highlight w:val="none"/>
          <w:lang w:eastAsia="zh-CN"/>
        </w:rPr>
      </w:pPr>
      <w:r>
        <w:rPr>
          <w:rFonts w:hint="eastAsia" w:ascii="宋体" w:hAnsi="宋体" w:eastAsia="宋体" w:cs="宋体"/>
          <w:b/>
          <w:bCs/>
          <w:color w:val="auto"/>
          <w:sz w:val="22"/>
          <w:szCs w:val="22"/>
          <w:highlight w:val="none"/>
        </w:rPr>
        <w:br w:type="page"/>
      </w: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一</w:t>
      </w:r>
    </w:p>
    <w:p>
      <w:pPr>
        <w:spacing w:line="380" w:lineRule="exact"/>
        <w:jc w:val="center"/>
        <w:rPr>
          <w:rFonts w:hint="eastAsia" w:ascii="宋体" w:hAnsi="宋体" w:eastAsia="宋体" w:cs="宋体"/>
          <w:b/>
          <w:color w:val="auto"/>
          <w:spacing w:val="-2"/>
          <w:sz w:val="32"/>
          <w:szCs w:val="32"/>
          <w:highlight w:val="none"/>
        </w:rPr>
      </w:pPr>
      <w:r>
        <w:rPr>
          <w:rFonts w:hint="eastAsia" w:ascii="宋体" w:hAnsi="宋体" w:eastAsia="宋体" w:cs="宋体"/>
          <w:b/>
          <w:color w:val="auto"/>
          <w:spacing w:val="-2"/>
          <w:sz w:val="32"/>
          <w:szCs w:val="32"/>
          <w:highlight w:val="none"/>
          <w:lang w:val="en-US" w:eastAsia="zh-CN"/>
        </w:rPr>
        <w:t>服务人员最低</w:t>
      </w:r>
      <w:r>
        <w:rPr>
          <w:rFonts w:hint="eastAsia" w:ascii="宋体" w:hAnsi="宋体" w:eastAsia="宋体" w:cs="宋体"/>
          <w:b/>
          <w:color w:val="auto"/>
          <w:spacing w:val="-2"/>
          <w:sz w:val="32"/>
          <w:szCs w:val="32"/>
          <w:highlight w:val="none"/>
        </w:rPr>
        <w:t>月工资承诺函</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温州市高速公路资产经营有限公司：</w:t>
      </w:r>
    </w:p>
    <w:p>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p>
    <w:p>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我单位参与的贵单位组织的</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u w:val="single"/>
          <w:lang w:eastAsia="zh-CN"/>
        </w:rPr>
        <w:t>陶山服务区物业服务</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rPr>
        <w:t>项目（项目编号：</w:t>
      </w:r>
      <w:r>
        <w:rPr>
          <w:rFonts w:hint="eastAsia" w:ascii="宋体" w:hAnsi="宋体" w:eastAsia="宋体" w:cs="宋体"/>
          <w:color w:val="auto"/>
          <w:spacing w:val="-2"/>
          <w:sz w:val="22"/>
          <w:szCs w:val="22"/>
          <w:highlight w:val="none"/>
          <w:u w:val="single"/>
          <w:lang w:eastAsia="zh-CN"/>
        </w:rPr>
        <w:t>WGSS-JFJT-X-2023005</w:t>
      </w:r>
      <w:r>
        <w:rPr>
          <w:rFonts w:hint="eastAsia" w:ascii="宋体" w:hAnsi="宋体" w:eastAsia="宋体" w:cs="宋体"/>
          <w:color w:val="auto"/>
          <w:spacing w:val="-2"/>
          <w:sz w:val="22"/>
          <w:szCs w:val="22"/>
          <w:highlight w:val="none"/>
        </w:rPr>
        <w:t>）的投标。我单位对</w:t>
      </w:r>
      <w:r>
        <w:rPr>
          <w:rFonts w:hint="eastAsia" w:ascii="宋体" w:hAnsi="宋体" w:eastAsia="宋体" w:cs="宋体"/>
          <w:color w:val="auto"/>
          <w:spacing w:val="-2"/>
          <w:sz w:val="22"/>
          <w:szCs w:val="22"/>
          <w:highlight w:val="none"/>
          <w:lang w:val="en-US" w:eastAsia="zh-CN"/>
        </w:rPr>
        <w:t>拟派的服务人员</w:t>
      </w:r>
      <w:r>
        <w:rPr>
          <w:rFonts w:hint="eastAsia" w:ascii="宋体" w:hAnsi="宋体" w:eastAsia="宋体" w:cs="宋体"/>
          <w:color w:val="auto"/>
          <w:spacing w:val="-2"/>
          <w:sz w:val="22"/>
          <w:szCs w:val="22"/>
          <w:highlight w:val="none"/>
          <w:u w:val="single"/>
          <w:lang w:val="en-US" w:eastAsia="zh-CN"/>
        </w:rPr>
        <w:t xml:space="preserve"> 最低月工资 </w:t>
      </w:r>
      <w:r>
        <w:rPr>
          <w:rFonts w:hint="eastAsia" w:ascii="宋体" w:hAnsi="宋体" w:eastAsia="宋体" w:cs="宋体"/>
          <w:color w:val="auto"/>
          <w:spacing w:val="-2"/>
          <w:sz w:val="22"/>
          <w:szCs w:val="22"/>
          <w:highlight w:val="none"/>
        </w:rPr>
        <w:t>做</w:t>
      </w:r>
      <w:r>
        <w:rPr>
          <w:rFonts w:hint="eastAsia" w:ascii="宋体" w:hAnsi="宋体" w:eastAsia="宋体" w:cs="宋体"/>
          <w:color w:val="auto"/>
          <w:sz w:val="22"/>
          <w:szCs w:val="22"/>
          <w:highlight w:val="none"/>
        </w:rPr>
        <w:t>出以下</w:t>
      </w:r>
      <w:r>
        <w:rPr>
          <w:rFonts w:hint="eastAsia" w:ascii="宋体" w:hAnsi="宋体" w:eastAsia="宋体" w:cs="宋体"/>
          <w:color w:val="auto"/>
          <w:spacing w:val="-2"/>
          <w:sz w:val="22"/>
          <w:szCs w:val="22"/>
          <w:highlight w:val="none"/>
        </w:rPr>
        <w:t>承诺：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453"/>
        <w:gridCol w:w="295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vAlign w:val="center"/>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序号</w:t>
            </w:r>
          </w:p>
        </w:tc>
        <w:tc>
          <w:tcPr>
            <w:tcW w:w="2453" w:type="dxa"/>
            <w:vAlign w:val="center"/>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岗位</w:t>
            </w:r>
          </w:p>
        </w:tc>
        <w:tc>
          <w:tcPr>
            <w:tcW w:w="2955" w:type="dxa"/>
            <w:vAlign w:val="center"/>
          </w:tcPr>
          <w:p>
            <w:pPr>
              <w:spacing w:line="240" w:lineRule="auto"/>
              <w:jc w:val="center"/>
              <w:rPr>
                <w:rFonts w:hint="eastAsia" w:ascii="宋体" w:hAnsi="宋体" w:eastAsia="宋体" w:cs="宋体"/>
                <w:color w:val="auto"/>
                <w:spacing w:val="-2"/>
                <w:sz w:val="22"/>
                <w:szCs w:val="22"/>
                <w:highlight w:val="none"/>
                <w:vertAlign w:val="baseline"/>
                <w:lang w:eastAsia="zh-CN"/>
              </w:rPr>
            </w:pPr>
            <w:r>
              <w:rPr>
                <w:rFonts w:hint="eastAsia" w:ascii="宋体" w:hAnsi="宋体" w:eastAsia="宋体" w:cs="宋体"/>
                <w:color w:val="auto"/>
                <w:spacing w:val="-2"/>
                <w:sz w:val="22"/>
                <w:szCs w:val="22"/>
                <w:highlight w:val="none"/>
                <w:vertAlign w:val="baseline"/>
              </w:rPr>
              <w:t>最低月工资</w:t>
            </w:r>
            <w:r>
              <w:rPr>
                <w:rFonts w:hint="eastAsia" w:ascii="宋体" w:hAnsi="宋体" w:eastAsia="宋体" w:cs="宋体"/>
                <w:color w:val="auto"/>
                <w:spacing w:val="-2"/>
                <w:sz w:val="22"/>
                <w:szCs w:val="22"/>
                <w:highlight w:val="none"/>
                <w:vertAlign w:val="baseline"/>
                <w:lang w:eastAsia="zh-CN"/>
              </w:rPr>
              <w:t>（元/月·人）</w:t>
            </w:r>
          </w:p>
        </w:tc>
        <w:tc>
          <w:tcPr>
            <w:tcW w:w="1770" w:type="dxa"/>
            <w:vAlign w:val="center"/>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1</w:t>
            </w:r>
          </w:p>
        </w:tc>
        <w:tc>
          <w:tcPr>
            <w:tcW w:w="2453" w:type="dxa"/>
            <w:vAlign w:val="center"/>
          </w:tcPr>
          <w:p>
            <w:pPr>
              <w:adjustRightInd w:val="0"/>
              <w:snapToGrid w:val="0"/>
              <w:spacing w:line="240" w:lineRule="auto"/>
              <w:ind w:left="359" w:leftChars="0" w:hanging="359" w:hangingChars="171"/>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物业经理</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2</w:t>
            </w:r>
          </w:p>
        </w:tc>
        <w:tc>
          <w:tcPr>
            <w:tcW w:w="2453" w:type="dxa"/>
            <w:vAlign w:val="center"/>
          </w:tcPr>
          <w:p>
            <w:pPr>
              <w:adjustRightInd w:val="0"/>
              <w:snapToGrid w:val="0"/>
              <w:spacing w:line="240" w:lineRule="auto"/>
              <w:ind w:left="359" w:leftChars="0" w:hanging="359" w:hangingChars="171"/>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保洁主管</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3</w:t>
            </w:r>
          </w:p>
        </w:tc>
        <w:tc>
          <w:tcPr>
            <w:tcW w:w="2453" w:type="dxa"/>
            <w:vAlign w:val="center"/>
          </w:tcPr>
          <w:p>
            <w:pPr>
              <w:adjustRightInd w:val="0"/>
              <w:snapToGrid w:val="0"/>
              <w:spacing w:line="240" w:lineRule="auto"/>
              <w:ind w:left="359" w:leftChars="0" w:hanging="359" w:hangingChars="171"/>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物业内勤</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4</w:t>
            </w:r>
          </w:p>
        </w:tc>
        <w:tc>
          <w:tcPr>
            <w:tcW w:w="2453" w:type="dxa"/>
            <w:vAlign w:val="center"/>
          </w:tcPr>
          <w:p>
            <w:pPr>
              <w:adjustRightInd w:val="0"/>
              <w:snapToGrid w:val="0"/>
              <w:spacing w:line="240" w:lineRule="auto"/>
              <w:ind w:left="359" w:leftChars="0" w:hanging="359" w:hangingChars="171"/>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水电工</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5</w:t>
            </w:r>
          </w:p>
        </w:tc>
        <w:tc>
          <w:tcPr>
            <w:tcW w:w="2453" w:type="dxa"/>
            <w:vAlign w:val="center"/>
          </w:tcPr>
          <w:p>
            <w:pPr>
              <w:adjustRightInd w:val="0"/>
              <w:snapToGrid w:val="0"/>
              <w:spacing w:line="240" w:lineRule="auto"/>
              <w:ind w:left="359" w:leftChars="0" w:hanging="359" w:hangingChars="171"/>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咨询台人员</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6</w:t>
            </w:r>
          </w:p>
        </w:tc>
        <w:tc>
          <w:tcPr>
            <w:tcW w:w="2453" w:type="dxa"/>
            <w:vAlign w:val="center"/>
          </w:tcPr>
          <w:p>
            <w:pPr>
              <w:adjustRightInd w:val="0"/>
              <w:snapToGrid w:val="0"/>
              <w:spacing w:line="240" w:lineRule="auto"/>
              <w:ind w:left="359" w:leftChars="0" w:hanging="359" w:hangingChars="171"/>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保安队长</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7</w:t>
            </w:r>
          </w:p>
        </w:tc>
        <w:tc>
          <w:tcPr>
            <w:tcW w:w="2453" w:type="dxa"/>
            <w:vAlign w:val="center"/>
          </w:tcPr>
          <w:p>
            <w:pPr>
              <w:adjustRightInd w:val="0"/>
              <w:snapToGrid w:val="0"/>
              <w:spacing w:line="240" w:lineRule="auto"/>
              <w:ind w:left="359" w:leftChars="0" w:hanging="359" w:hangingChars="171"/>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保安员</w:t>
            </w:r>
          </w:p>
        </w:tc>
        <w:tc>
          <w:tcPr>
            <w:tcW w:w="2955" w:type="dxa"/>
          </w:tcPr>
          <w:p>
            <w:pPr>
              <w:spacing w:line="240" w:lineRule="auto"/>
              <w:rPr>
                <w:rFonts w:hint="eastAsia" w:ascii="宋体" w:hAnsi="宋体" w:eastAsia="宋体" w:cs="宋体"/>
                <w:color w:val="auto"/>
                <w:spacing w:val="-2"/>
                <w:sz w:val="22"/>
                <w:szCs w:val="22"/>
                <w:highlight w:val="none"/>
                <w:vertAlign w:val="baseline"/>
              </w:rPr>
            </w:pPr>
          </w:p>
        </w:tc>
        <w:tc>
          <w:tcPr>
            <w:tcW w:w="1770" w:type="dxa"/>
          </w:tcPr>
          <w:p>
            <w:pPr>
              <w:spacing w:line="240" w:lineRule="auto"/>
              <w:rPr>
                <w:rFonts w:hint="eastAsia" w:ascii="宋体" w:hAnsi="宋体" w:eastAsia="宋体" w:cs="宋体"/>
                <w:color w:val="auto"/>
                <w:spacing w:val="-2"/>
                <w:sz w:val="22"/>
                <w:szCs w:val="22"/>
                <w:highlight w:val="none"/>
                <w:vertAlign w:val="baseline"/>
              </w:rPr>
            </w:pPr>
          </w:p>
        </w:tc>
      </w:tr>
    </w:tbl>
    <w:p>
      <w:pPr>
        <w:spacing w:line="360" w:lineRule="auto"/>
        <w:ind w:firstLine="432" w:firstLineChars="200"/>
        <w:rPr>
          <w:rFonts w:hint="eastAsia" w:ascii="宋体" w:hAnsi="宋体" w:eastAsia="宋体" w:cs="宋体"/>
          <w:color w:val="auto"/>
          <w:spacing w:val="-2"/>
          <w:sz w:val="22"/>
          <w:szCs w:val="22"/>
          <w:highlight w:val="none"/>
        </w:rPr>
      </w:pPr>
    </w:p>
    <w:p>
      <w:pPr>
        <w:spacing w:line="360" w:lineRule="auto"/>
        <w:ind w:firstLine="432" w:firstLineChars="200"/>
        <w:rPr>
          <w:rFonts w:hint="eastAsia" w:ascii="宋体" w:hAnsi="宋体" w:eastAsia="宋体" w:cs="宋体"/>
          <w:color w:val="auto"/>
          <w:highlight w:val="none"/>
        </w:rPr>
      </w:pPr>
      <w:r>
        <w:rPr>
          <w:rFonts w:hint="eastAsia" w:ascii="宋体" w:hAnsi="宋体" w:eastAsia="宋体" w:cs="宋体"/>
          <w:color w:val="auto"/>
          <w:spacing w:val="-2"/>
          <w:sz w:val="22"/>
          <w:szCs w:val="22"/>
          <w:highlight w:val="none"/>
        </w:rPr>
        <w:t>如果我单位获得本项目中标，则我单位承诺</w:t>
      </w:r>
      <w:r>
        <w:rPr>
          <w:rFonts w:hint="eastAsia" w:ascii="宋体" w:hAnsi="宋体" w:eastAsia="宋体" w:cs="宋体"/>
          <w:color w:val="auto"/>
          <w:spacing w:val="-2"/>
          <w:sz w:val="22"/>
          <w:szCs w:val="22"/>
          <w:highlight w:val="none"/>
          <w:lang w:val="en-US" w:eastAsia="zh-CN"/>
        </w:rPr>
        <w:t>拟派的</w:t>
      </w:r>
      <w:r>
        <w:rPr>
          <w:rFonts w:hint="eastAsia" w:ascii="宋体" w:hAnsi="宋体" w:eastAsia="宋体" w:cs="宋体"/>
          <w:color w:val="auto"/>
          <w:spacing w:val="-2"/>
          <w:sz w:val="22"/>
          <w:szCs w:val="22"/>
          <w:highlight w:val="none"/>
        </w:rPr>
        <w:t>服务人员最低月工资</w:t>
      </w:r>
      <w:r>
        <w:rPr>
          <w:rFonts w:hint="eastAsia" w:ascii="宋体" w:hAnsi="宋体" w:eastAsia="宋体" w:cs="宋体"/>
          <w:color w:val="auto"/>
          <w:spacing w:val="-2"/>
          <w:sz w:val="22"/>
          <w:szCs w:val="22"/>
          <w:highlight w:val="none"/>
          <w:lang w:val="en-US" w:eastAsia="zh-CN"/>
        </w:rPr>
        <w:t>严格按照本承诺函</w:t>
      </w:r>
      <w:r>
        <w:rPr>
          <w:rFonts w:hint="eastAsia" w:ascii="宋体" w:hAnsi="宋体" w:eastAsia="宋体" w:cs="宋体"/>
          <w:color w:val="auto"/>
          <w:spacing w:val="-2"/>
          <w:sz w:val="22"/>
          <w:szCs w:val="22"/>
          <w:highlight w:val="none"/>
        </w:rPr>
        <w:t>规定执行</w:t>
      </w: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highlight w:val="none"/>
        </w:rPr>
        <w:t>我方按照</w:t>
      </w:r>
      <w:r>
        <w:rPr>
          <w:rFonts w:hint="eastAsia" w:ascii="宋体" w:hAnsi="宋体" w:eastAsia="宋体" w:cs="宋体"/>
          <w:color w:val="auto"/>
          <w:highlight w:val="none"/>
          <w:lang w:val="en-US" w:eastAsia="zh-CN"/>
        </w:rPr>
        <w:t>本</w:t>
      </w:r>
      <w:r>
        <w:rPr>
          <w:rFonts w:hint="eastAsia" w:ascii="宋体" w:hAnsi="宋体" w:eastAsia="宋体" w:cs="宋体"/>
          <w:color w:val="auto"/>
          <w:highlight w:val="none"/>
          <w:lang w:eastAsia="zh-CN"/>
        </w:rPr>
        <w:t>承诺函</w:t>
      </w:r>
      <w:r>
        <w:rPr>
          <w:rFonts w:hint="eastAsia" w:ascii="宋体" w:hAnsi="宋体" w:eastAsia="宋体" w:cs="宋体"/>
          <w:color w:val="auto"/>
          <w:highlight w:val="none"/>
          <w:lang w:val="en-US" w:eastAsia="zh-CN"/>
        </w:rPr>
        <w:t>的规定</w:t>
      </w:r>
      <w:r>
        <w:rPr>
          <w:rFonts w:hint="eastAsia" w:ascii="宋体" w:hAnsi="宋体" w:eastAsia="宋体" w:cs="宋体"/>
          <w:color w:val="auto"/>
          <w:highlight w:val="none"/>
        </w:rPr>
        <w:t>执行后，我方没有任何附加条件，且所提交的投标文件依然有效。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我方理解，如不作此承诺，评标委员会将对我方投标作无效标处理。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承诺人单位全称（盖公章）：</w:t>
      </w:r>
    </w:p>
    <w:p>
      <w:pPr>
        <w:spacing w:line="360" w:lineRule="auto"/>
        <w:rPr>
          <w:rFonts w:hint="eastAsia" w:ascii="宋体" w:hAnsi="宋体" w:eastAsia="宋体" w:cs="宋体"/>
          <w:color w:val="auto"/>
          <w:spacing w:val="-2"/>
          <w:sz w:val="22"/>
          <w:szCs w:val="22"/>
          <w:highlight w:val="none"/>
        </w:rPr>
      </w:pPr>
    </w:p>
    <w:p>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kern w:val="0"/>
          <w:highlight w:val="none"/>
        </w:rPr>
        <w:t>法定代表人或授权代表</w:t>
      </w:r>
      <w:r>
        <w:rPr>
          <w:rFonts w:hint="eastAsia" w:ascii="宋体" w:hAnsi="宋体" w:eastAsia="宋体" w:cs="宋体"/>
          <w:color w:val="auto"/>
          <w:spacing w:val="-2"/>
          <w:sz w:val="22"/>
          <w:szCs w:val="22"/>
          <w:highlight w:val="none"/>
        </w:rPr>
        <w:t>（签字或盖章）：</w:t>
      </w:r>
    </w:p>
    <w:p>
      <w:pPr>
        <w:spacing w:line="360" w:lineRule="auto"/>
        <w:rPr>
          <w:rFonts w:hint="eastAsia" w:ascii="宋体" w:hAnsi="宋体" w:eastAsia="宋体" w:cs="宋体"/>
          <w:color w:val="auto"/>
          <w:spacing w:val="-2"/>
          <w:sz w:val="22"/>
          <w:szCs w:val="22"/>
          <w:highlight w:val="none"/>
        </w:rPr>
      </w:pPr>
    </w:p>
    <w:p>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日期：  年   月  日</w:t>
      </w:r>
    </w:p>
    <w:p>
      <w:pPr>
        <w:pStyle w:val="12"/>
        <w:ind w:left="432" w:hanging="432"/>
        <w:rPr>
          <w:rFonts w:hint="eastAsia" w:ascii="宋体" w:hAnsi="宋体" w:eastAsia="宋体" w:cs="宋体"/>
          <w:color w:val="auto"/>
          <w:spacing w:val="-2"/>
          <w:sz w:val="22"/>
          <w:szCs w:val="22"/>
          <w:highlight w:val="none"/>
        </w:rPr>
      </w:pPr>
    </w:p>
    <w:p>
      <w:pPr>
        <w:numPr>
          <w:ilvl w:val="0"/>
          <w:numId w:val="27"/>
        </w:numP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▲本“服务人员最低月工资承诺函”中的内容为实质性内容，投标人没有实质性响应该要求的, 作无效标处理。</w:t>
      </w:r>
    </w:p>
    <w:p>
      <w:pPr>
        <w:rPr>
          <w:rFonts w:hint="eastAsia" w:ascii="宋体" w:hAnsi="宋体" w:eastAsia="宋体" w:cs="宋体"/>
          <w:b/>
          <w:color w:val="auto"/>
          <w:kern w:val="0"/>
          <w:sz w:val="36"/>
          <w:szCs w:val="36"/>
          <w:highlight w:val="none"/>
        </w:rPr>
      </w:pPr>
      <w:r>
        <w:rPr>
          <w:rFonts w:hint="eastAsia" w:ascii="宋体" w:hAnsi="宋体" w:eastAsia="宋体" w:cs="宋体"/>
          <w:b/>
          <w:color w:val="auto"/>
          <w:szCs w:val="21"/>
          <w:highlight w:val="none"/>
          <w:u w:val="single"/>
          <w:lang w:val="en-US" w:eastAsia="zh-CN"/>
        </w:rPr>
        <w:t>2、</w:t>
      </w:r>
      <w:r>
        <w:rPr>
          <w:rFonts w:hint="eastAsia" w:ascii="宋体" w:hAnsi="宋体" w:eastAsia="宋体" w:cs="宋体"/>
          <w:b/>
          <w:color w:val="auto"/>
          <w:szCs w:val="21"/>
          <w:highlight w:val="none"/>
          <w:u w:val="single"/>
        </w:rPr>
        <w:t>▲不提供此表格将被视为没有实质性响应采购文件要求, 作无效标处理。</w:t>
      </w:r>
    </w:p>
    <w:p>
      <w:pPr>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（商务（报价）标封面，供参考）</w:t>
      </w: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ind w:left="562" w:hanging="562" w:hangingChars="200"/>
        <w:jc w:val="right"/>
        <w:rPr>
          <w:rFonts w:hint="eastAsia" w:ascii="宋体" w:hAnsi="宋体" w:eastAsia="宋体" w:cs="宋体"/>
          <w:b/>
          <w:bCs/>
          <w:sz w:val="28"/>
          <w:szCs w:val="28"/>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pPr>
        <w:spacing w:line="480" w:lineRule="auto"/>
        <w:jc w:val="center"/>
        <w:rPr>
          <w:rFonts w:hint="eastAsia" w:ascii="宋体" w:hAnsi="宋体" w:eastAsia="宋体" w:cs="宋体"/>
          <w:szCs w:val="21"/>
          <w:highlight w:val="none"/>
        </w:rPr>
      </w:pPr>
      <w:r>
        <w:rPr>
          <w:rFonts w:hint="eastAsia" w:ascii="宋体" w:hAnsi="宋体" w:eastAsia="宋体" w:cs="宋体"/>
          <w:sz w:val="44"/>
          <w:szCs w:val="44"/>
          <w:highlight w:val="none"/>
        </w:rPr>
        <w:t>（开标时启封）</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十二</w:t>
      </w:r>
      <w:r>
        <w:rPr>
          <w:rFonts w:hint="eastAsia" w:ascii="宋体" w:hAnsi="宋体" w:eastAsia="宋体" w:cs="宋体"/>
          <w:b/>
          <w:bCs/>
          <w:sz w:val="22"/>
          <w:highlight w:val="none"/>
        </w:rPr>
        <w:t xml:space="preserve"> </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pPr>
        <w:spacing w:line="380" w:lineRule="exact"/>
        <w:jc w:val="center"/>
        <w:rPr>
          <w:rFonts w:hint="eastAsia" w:ascii="宋体" w:hAnsi="宋体" w:eastAsia="宋体" w:cs="宋体"/>
          <w:bCs/>
          <w:sz w:val="28"/>
          <w:szCs w:val="24"/>
          <w:highlight w:val="none"/>
        </w:rPr>
      </w:pPr>
    </w:p>
    <w:p>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849"/>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项目名称</w:t>
            </w:r>
          </w:p>
        </w:tc>
        <w:tc>
          <w:tcPr>
            <w:tcW w:w="4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投标总报价（元）</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服务期限</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陶山服务区物业服务</w:t>
            </w:r>
          </w:p>
        </w:tc>
        <w:tc>
          <w:tcPr>
            <w:tcW w:w="4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大写：</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小写：</w:t>
            </w:r>
          </w:p>
        </w:tc>
        <w:tc>
          <w:tcPr>
            <w:tcW w:w="132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32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rPr>
            </w:pPr>
          </w:p>
        </w:tc>
      </w:tr>
    </w:tbl>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1、投标报价包含的内容详见投标人须知第12条规定。</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2、此栏内投标总报价应与附件</w:t>
      </w:r>
      <w:r>
        <w:rPr>
          <w:rFonts w:hint="eastAsia" w:ascii="宋体" w:hAnsi="宋体" w:eastAsia="宋体" w:cs="宋体"/>
          <w:sz w:val="22"/>
          <w:szCs w:val="24"/>
          <w:highlight w:val="none"/>
          <w:lang w:val="en-US" w:eastAsia="zh-CN"/>
        </w:rPr>
        <w:t>十三</w:t>
      </w:r>
      <w:r>
        <w:rPr>
          <w:rFonts w:hint="eastAsia" w:ascii="宋体" w:hAnsi="宋体" w:eastAsia="宋体" w:cs="宋体"/>
          <w:sz w:val="22"/>
          <w:szCs w:val="24"/>
          <w:highlight w:val="none"/>
        </w:rPr>
        <w:t>“投标分项报价表”中总计价相一致。</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rPr>
        <w:t>3、▲不提供此表格将被视为没有满足采购文件的实质性要求</w:t>
      </w:r>
      <w:r>
        <w:rPr>
          <w:rFonts w:hint="eastAsia" w:ascii="宋体" w:hAnsi="宋体" w:eastAsia="宋体" w:cs="宋体"/>
          <w:sz w:val="22"/>
          <w:szCs w:val="24"/>
          <w:highlight w:val="none"/>
        </w:rPr>
        <w:t>。</w:t>
      </w:r>
    </w:p>
    <w:p>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rPr>
        <w:t>4、▲以上报价不得出现在技术标中</w:t>
      </w:r>
      <w:r>
        <w:rPr>
          <w:rFonts w:hint="eastAsia" w:ascii="宋体" w:hAnsi="宋体" w:eastAsia="宋体" w:cs="宋体"/>
          <w:sz w:val="22"/>
          <w:szCs w:val="24"/>
          <w:highlight w:val="none"/>
        </w:rPr>
        <w:t>。</w:t>
      </w:r>
    </w:p>
    <w:p>
      <w:pPr>
        <w:spacing w:line="380" w:lineRule="exact"/>
        <w:rPr>
          <w:rFonts w:hint="eastAsia" w:ascii="宋体" w:hAnsi="宋体" w:eastAsia="宋体" w:cs="宋体"/>
          <w:b/>
          <w:bCs/>
          <w:sz w:val="22"/>
          <w:highlight w:val="none"/>
          <w:u w:val="single"/>
        </w:rPr>
      </w:pPr>
    </w:p>
    <w:p>
      <w:pPr>
        <w:spacing w:line="380" w:lineRule="exact"/>
        <w:rPr>
          <w:rFonts w:hint="eastAsia" w:ascii="宋体" w:hAnsi="宋体" w:eastAsia="宋体" w:cs="宋体"/>
          <w:sz w:val="22"/>
          <w:szCs w:val="24"/>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lang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十三</w:t>
      </w:r>
    </w:p>
    <w:p>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投标分项报价表</w:t>
      </w:r>
    </w:p>
    <w:p>
      <w:pPr>
        <w:spacing w:line="380" w:lineRule="exact"/>
        <w:ind w:firstLine="331" w:firstLineChars="150"/>
        <w:rPr>
          <w:rFonts w:hint="eastAsia" w:ascii="宋体" w:hAnsi="宋体" w:eastAsia="宋体" w:cs="宋体"/>
          <w:b/>
          <w:bCs/>
          <w:sz w:val="22"/>
          <w:highlight w:val="none"/>
        </w:rPr>
      </w:pPr>
      <w:bookmarkStart w:id="194" w:name="_Toc262049425"/>
      <w:bookmarkStart w:id="195" w:name="_Toc249758871"/>
      <w:bookmarkStart w:id="196" w:name="_Toc448846626"/>
      <w:bookmarkStart w:id="197" w:name="_Toc249758721"/>
      <w:bookmarkStart w:id="198" w:name="_Toc262105510"/>
      <w:r>
        <w:rPr>
          <w:rFonts w:hint="eastAsia" w:ascii="宋体" w:hAnsi="宋体" w:eastAsia="宋体" w:cs="宋体"/>
          <w:b/>
          <w:bCs/>
          <w:sz w:val="22"/>
          <w:highlight w:val="none"/>
        </w:rPr>
        <w:t xml:space="preserve">项目名称：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项目编号：</w:t>
      </w:r>
    </w:p>
    <w:p>
      <w:pPr>
        <w:rPr>
          <w:rFonts w:hint="eastAsia" w:ascii="宋体" w:hAnsi="宋体" w:eastAsia="宋体" w:cs="宋体"/>
          <w:b/>
          <w:szCs w:val="21"/>
          <w:highlight w:val="none"/>
        </w:rPr>
      </w:pPr>
    </w:p>
    <w:tbl>
      <w:tblPr>
        <w:tblStyle w:val="24"/>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00"/>
        <w:gridCol w:w="615"/>
        <w:gridCol w:w="1323"/>
        <w:gridCol w:w="1250"/>
        <w:gridCol w:w="1558"/>
        <w:gridCol w:w="133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600" w:type="dxa"/>
            <w:noWrap w:val="0"/>
            <w:vAlign w:val="center"/>
          </w:tcPr>
          <w:p>
            <w:pPr>
              <w:tabs>
                <w:tab w:val="left" w:pos="1620"/>
              </w:tabs>
              <w:spacing w:line="240" w:lineRule="auto"/>
              <w:jc w:val="center"/>
              <w:rPr>
                <w:rFonts w:hint="eastAsia" w:ascii="宋体" w:hAnsi="宋体" w:eastAsia="宋体" w:cs="宋体"/>
                <w:b/>
                <w:color w:val="auto"/>
                <w:sz w:val="18"/>
                <w:szCs w:val="18"/>
                <w:highlight w:val="none"/>
              </w:rPr>
            </w:pPr>
          </w:p>
        </w:tc>
        <w:tc>
          <w:tcPr>
            <w:tcW w:w="1938" w:type="dxa"/>
            <w:gridSpan w:val="2"/>
            <w:noWrap w:val="0"/>
            <w:vAlign w:val="center"/>
          </w:tcPr>
          <w:p>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1250" w:type="dxa"/>
            <w:noWrap w:val="0"/>
            <w:vAlign w:val="center"/>
          </w:tcPr>
          <w:p>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数量/单位</w:t>
            </w:r>
          </w:p>
        </w:tc>
        <w:tc>
          <w:tcPr>
            <w:tcW w:w="1558" w:type="dxa"/>
            <w:noWrap w:val="0"/>
            <w:vAlign w:val="center"/>
          </w:tcPr>
          <w:p>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单价（元/人/年）</w:t>
            </w:r>
          </w:p>
        </w:tc>
        <w:tc>
          <w:tcPr>
            <w:tcW w:w="1331" w:type="dxa"/>
            <w:noWrap w:val="0"/>
            <w:vAlign w:val="center"/>
          </w:tcPr>
          <w:p>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合价（元/年）</w:t>
            </w:r>
          </w:p>
        </w:tc>
        <w:tc>
          <w:tcPr>
            <w:tcW w:w="1597" w:type="dxa"/>
            <w:noWrap w:val="0"/>
            <w:vAlign w:val="center"/>
          </w:tcPr>
          <w:p>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restart"/>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00" w:type="dxa"/>
            <w:vMerge w:val="restart"/>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人员费用</w:t>
            </w:r>
          </w:p>
        </w:tc>
        <w:tc>
          <w:tcPr>
            <w:tcW w:w="615" w:type="dxa"/>
            <w:vMerge w:val="restart"/>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日常人员工资</w:t>
            </w:r>
          </w:p>
        </w:tc>
        <w:tc>
          <w:tcPr>
            <w:tcW w:w="1323" w:type="dxa"/>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物业</w:t>
            </w:r>
            <w:r>
              <w:rPr>
                <w:rFonts w:hint="eastAsia" w:ascii="宋体" w:hAnsi="宋体" w:eastAsia="宋体" w:cs="宋体"/>
                <w:color w:val="auto"/>
                <w:sz w:val="18"/>
                <w:szCs w:val="18"/>
                <w:highlight w:val="none"/>
              </w:rPr>
              <w:t>经理</w:t>
            </w:r>
          </w:p>
        </w:tc>
        <w:tc>
          <w:tcPr>
            <w:tcW w:w="1250" w:type="dxa"/>
            <w:noWrap w:val="0"/>
            <w:vAlign w:val="center"/>
          </w:tcPr>
          <w:p>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vMerge w:val="restart"/>
            <w:noWrap w:val="0"/>
            <w:vAlign w:val="center"/>
          </w:tcPr>
          <w:p>
            <w:pPr>
              <w:tabs>
                <w:tab w:val="left" w:pos="1620"/>
              </w:tabs>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根据不同岗位分别列出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水电工</w:t>
            </w:r>
          </w:p>
        </w:tc>
        <w:tc>
          <w:tcPr>
            <w:tcW w:w="1250" w:type="dxa"/>
            <w:noWrap w:val="0"/>
            <w:vAlign w:val="center"/>
          </w:tcPr>
          <w:p>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vMerge w:val="continue"/>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咨询台人员</w:t>
            </w:r>
          </w:p>
        </w:tc>
        <w:tc>
          <w:tcPr>
            <w:tcW w:w="1250" w:type="dxa"/>
            <w:noWrap w:val="0"/>
            <w:vAlign w:val="center"/>
          </w:tcPr>
          <w:p>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vMerge w:val="continue"/>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物业内勤</w:t>
            </w:r>
          </w:p>
        </w:tc>
        <w:tc>
          <w:tcPr>
            <w:tcW w:w="1250" w:type="dxa"/>
            <w:noWrap w:val="0"/>
            <w:vAlign w:val="center"/>
          </w:tcPr>
          <w:p>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vMerge w:val="continue"/>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pPr>
              <w:tabs>
                <w:tab w:val="left" w:pos="1620"/>
              </w:tabs>
              <w:spacing w:line="240" w:lineRule="auto"/>
              <w:ind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保安队长</w:t>
            </w:r>
          </w:p>
        </w:tc>
        <w:tc>
          <w:tcPr>
            <w:tcW w:w="1250" w:type="dxa"/>
            <w:noWrap w:val="0"/>
            <w:vAlign w:val="center"/>
          </w:tcPr>
          <w:p>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vMerge w:val="continue"/>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保安员</w:t>
            </w:r>
          </w:p>
        </w:tc>
        <w:tc>
          <w:tcPr>
            <w:tcW w:w="1250" w:type="dxa"/>
            <w:noWrap w:val="0"/>
            <w:vAlign w:val="center"/>
          </w:tcPr>
          <w:p>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17</w:t>
            </w: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vMerge w:val="continue"/>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监控消控员</w:t>
            </w:r>
          </w:p>
        </w:tc>
        <w:tc>
          <w:tcPr>
            <w:tcW w:w="1250" w:type="dxa"/>
            <w:noWrap w:val="0"/>
            <w:vAlign w:val="center"/>
          </w:tcPr>
          <w:p>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vMerge w:val="continue"/>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保洁主管</w:t>
            </w:r>
          </w:p>
        </w:tc>
        <w:tc>
          <w:tcPr>
            <w:tcW w:w="1250" w:type="dxa"/>
            <w:noWrap w:val="0"/>
            <w:vAlign w:val="center"/>
          </w:tcPr>
          <w:p>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vMerge w:val="continue"/>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保洁员</w:t>
            </w:r>
          </w:p>
        </w:tc>
        <w:tc>
          <w:tcPr>
            <w:tcW w:w="1250" w:type="dxa"/>
            <w:noWrap w:val="0"/>
            <w:vAlign w:val="center"/>
          </w:tcPr>
          <w:p>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w:t>
            </w: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vMerge w:val="continue"/>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1938" w:type="dxa"/>
            <w:gridSpan w:val="2"/>
            <w:noWrap w:val="0"/>
            <w:vAlign w:val="center"/>
          </w:tcPr>
          <w:p>
            <w:pPr>
              <w:tabs>
                <w:tab w:val="left" w:pos="1620"/>
              </w:tabs>
              <w:spacing w:line="240" w:lineRule="auto"/>
              <w:ind w:left="-107" w:leftChars="-51" w:right="-107" w:rightChars="-51"/>
              <w:jc w:val="center"/>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员工社会保险</w:t>
            </w:r>
          </w:p>
        </w:tc>
        <w:tc>
          <w:tcPr>
            <w:tcW w:w="1250"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1938" w:type="dxa"/>
            <w:gridSpan w:val="2"/>
            <w:noWrap w:val="0"/>
            <w:vAlign w:val="center"/>
          </w:tcPr>
          <w:p>
            <w:pPr>
              <w:tabs>
                <w:tab w:val="left" w:pos="1620"/>
              </w:tabs>
              <w:spacing w:line="240" w:lineRule="auto"/>
              <w:ind w:left="-107" w:leftChars="-51" w:right="-107" w:rightChars="-51"/>
              <w:jc w:val="center"/>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节假日补贴</w:t>
            </w:r>
          </w:p>
        </w:tc>
        <w:tc>
          <w:tcPr>
            <w:tcW w:w="1250"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noWrap w:val="0"/>
            <w:vAlign w:val="center"/>
          </w:tcPr>
          <w:p>
            <w:pPr>
              <w:tabs>
                <w:tab w:val="left" w:pos="1620"/>
              </w:tabs>
              <w:spacing w:line="240" w:lineRule="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1938" w:type="dxa"/>
            <w:gridSpan w:val="2"/>
            <w:noWrap w:val="0"/>
            <w:vAlign w:val="center"/>
          </w:tcPr>
          <w:p>
            <w:pPr>
              <w:tabs>
                <w:tab w:val="left" w:pos="1620"/>
              </w:tabs>
              <w:spacing w:line="240" w:lineRule="auto"/>
              <w:ind w:left="-107" w:leftChars="-51" w:right="-107" w:rightChars="-51"/>
              <w:jc w:val="center"/>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餐费</w:t>
            </w:r>
          </w:p>
        </w:tc>
        <w:tc>
          <w:tcPr>
            <w:tcW w:w="1250"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noWrap w:val="0"/>
            <w:vAlign w:val="center"/>
          </w:tcPr>
          <w:p>
            <w:pPr>
              <w:tabs>
                <w:tab w:val="left" w:pos="1620"/>
              </w:tabs>
              <w:spacing w:line="240" w:lineRule="auto"/>
              <w:rPr>
                <w:rFonts w:hint="eastAsia" w:ascii="宋体" w:hAnsi="宋体" w:eastAsia="宋体" w:cs="宋体"/>
                <w:b/>
                <w:color w:val="auto"/>
                <w:spacing w:val="-20"/>
                <w:sz w:val="18"/>
                <w:szCs w:val="18"/>
                <w:highlight w:val="none"/>
                <w:u w:val="single"/>
              </w:rPr>
            </w:pPr>
            <w:r>
              <w:rPr>
                <w:rFonts w:hint="eastAsia" w:ascii="宋体" w:hAnsi="宋体" w:eastAsia="宋体" w:cs="宋体"/>
                <w:b/>
                <w:color w:val="auto"/>
                <w:spacing w:val="-20"/>
                <w:sz w:val="18"/>
                <w:szCs w:val="18"/>
                <w:highlight w:val="none"/>
                <w:u w:val="single"/>
              </w:rPr>
              <w:t>▲每人每月500元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1938" w:type="dxa"/>
            <w:gridSpan w:val="2"/>
            <w:noWrap w:val="0"/>
            <w:vAlign w:val="center"/>
          </w:tcPr>
          <w:p>
            <w:pPr>
              <w:tabs>
                <w:tab w:val="left" w:pos="1620"/>
              </w:tabs>
              <w:spacing w:line="240" w:lineRule="auto"/>
              <w:ind w:left="-107" w:leftChars="-51" w:right="-107" w:rightChars="-51"/>
              <w:jc w:val="center"/>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高温补贴</w:t>
            </w:r>
          </w:p>
        </w:tc>
        <w:tc>
          <w:tcPr>
            <w:tcW w:w="1250"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noWrap w:val="0"/>
            <w:vAlign w:val="center"/>
          </w:tcPr>
          <w:p>
            <w:pPr>
              <w:tabs>
                <w:tab w:val="left" w:pos="1620"/>
              </w:tabs>
              <w:spacing w:line="240" w:lineRule="auto"/>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pPr>
              <w:tabs>
                <w:tab w:val="left" w:pos="1620"/>
              </w:tabs>
              <w:spacing w:line="240" w:lineRule="auto"/>
              <w:ind w:right="-107" w:rightChars="-51"/>
              <w:jc w:val="center"/>
              <w:rPr>
                <w:rFonts w:hint="eastAsia" w:ascii="宋体" w:hAnsi="宋体" w:eastAsia="宋体" w:cs="宋体"/>
                <w:color w:val="auto"/>
                <w:sz w:val="18"/>
                <w:szCs w:val="18"/>
                <w:highlight w:val="none"/>
              </w:rPr>
            </w:pPr>
          </w:p>
        </w:tc>
        <w:tc>
          <w:tcPr>
            <w:tcW w:w="1938" w:type="dxa"/>
            <w:gridSpan w:val="2"/>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其他津贴（包括加班费、制服、等）</w:t>
            </w:r>
          </w:p>
        </w:tc>
        <w:tc>
          <w:tcPr>
            <w:tcW w:w="1250"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58"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33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c>
          <w:tcPr>
            <w:tcW w:w="1597"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538" w:type="dxa"/>
            <w:gridSpan w:val="3"/>
            <w:noWrap w:val="0"/>
            <w:vAlign w:val="center"/>
          </w:tcPr>
          <w:p>
            <w:pPr>
              <w:tabs>
                <w:tab w:val="left" w:pos="1620"/>
              </w:tabs>
              <w:spacing w:line="240" w:lineRule="auto"/>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pacing w:val="-20"/>
                <w:sz w:val="18"/>
                <w:szCs w:val="18"/>
                <w:highlight w:val="none"/>
              </w:rPr>
              <w:t>临时增加人员费用</w:t>
            </w:r>
          </w:p>
        </w:tc>
        <w:tc>
          <w:tcPr>
            <w:tcW w:w="4139" w:type="dxa"/>
            <w:gridSpan w:val="3"/>
            <w:noWrap w:val="0"/>
            <w:vAlign w:val="center"/>
          </w:tcPr>
          <w:p>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color w:val="auto"/>
                <w:spacing w:val="-20"/>
                <w:sz w:val="18"/>
                <w:szCs w:val="18"/>
                <w:highlight w:val="none"/>
                <w:u w:val="single"/>
              </w:rPr>
              <w:t>▲</w:t>
            </w:r>
            <w:r>
              <w:rPr>
                <w:rFonts w:hint="eastAsia" w:ascii="宋体" w:hAnsi="宋体" w:eastAsia="宋体" w:cs="宋体"/>
                <w:b/>
                <w:color w:val="auto"/>
                <w:spacing w:val="-20"/>
                <w:sz w:val="18"/>
                <w:szCs w:val="18"/>
                <w:highlight w:val="none"/>
                <w:u w:val="single"/>
                <w:lang w:val="en-US" w:eastAsia="zh-CN"/>
              </w:rPr>
              <w:t>80000</w:t>
            </w:r>
            <w:r>
              <w:rPr>
                <w:rFonts w:hint="eastAsia" w:ascii="宋体" w:hAnsi="宋体" w:eastAsia="宋体" w:cs="宋体"/>
                <w:b/>
                <w:color w:val="auto"/>
                <w:spacing w:val="-20"/>
                <w:sz w:val="18"/>
                <w:szCs w:val="18"/>
                <w:highlight w:val="none"/>
                <w:u w:val="single"/>
              </w:rPr>
              <w:t>元</w:t>
            </w:r>
            <w:r>
              <w:rPr>
                <w:rFonts w:hint="eastAsia" w:ascii="宋体" w:hAnsi="宋体" w:eastAsia="宋体" w:cs="宋体"/>
                <w:b/>
                <w:color w:val="auto"/>
                <w:spacing w:val="-20"/>
                <w:sz w:val="18"/>
                <w:szCs w:val="18"/>
                <w:highlight w:val="none"/>
                <w:u w:val="single"/>
                <w:lang w:val="en-US" w:eastAsia="zh-CN"/>
              </w:rPr>
              <w:t>/年</w:t>
            </w:r>
          </w:p>
        </w:tc>
        <w:tc>
          <w:tcPr>
            <w:tcW w:w="1597"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不可竞争费用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538" w:type="dxa"/>
            <w:gridSpan w:val="3"/>
            <w:noWrap w:val="0"/>
            <w:vAlign w:val="center"/>
          </w:tcPr>
          <w:p>
            <w:pPr>
              <w:tabs>
                <w:tab w:val="left" w:pos="1620"/>
              </w:tabs>
              <w:spacing w:line="240" w:lineRule="auto"/>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消防远程监控费</w:t>
            </w:r>
          </w:p>
        </w:tc>
        <w:tc>
          <w:tcPr>
            <w:tcW w:w="4139" w:type="dxa"/>
            <w:gridSpan w:val="3"/>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元/年</w:t>
            </w:r>
          </w:p>
        </w:tc>
        <w:tc>
          <w:tcPr>
            <w:tcW w:w="1597"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需提供协议业主备案后支付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2538" w:type="dxa"/>
            <w:gridSpan w:val="3"/>
            <w:noWrap w:val="0"/>
            <w:vAlign w:val="center"/>
          </w:tcPr>
          <w:p>
            <w:pPr>
              <w:tabs>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员工激励金</w:t>
            </w:r>
          </w:p>
        </w:tc>
        <w:tc>
          <w:tcPr>
            <w:tcW w:w="4139" w:type="dxa"/>
            <w:gridSpan w:val="3"/>
            <w:noWrap w:val="0"/>
            <w:vAlign w:val="center"/>
          </w:tcPr>
          <w:p>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color w:val="auto"/>
                <w:spacing w:val="-20"/>
                <w:sz w:val="18"/>
                <w:szCs w:val="18"/>
                <w:highlight w:val="none"/>
                <w:u w:val="single"/>
              </w:rPr>
              <w:t>▲</w:t>
            </w:r>
            <w:r>
              <w:rPr>
                <w:rFonts w:hint="eastAsia" w:ascii="宋体" w:hAnsi="宋体" w:eastAsia="宋体" w:cs="宋体"/>
                <w:b/>
                <w:color w:val="auto"/>
                <w:spacing w:val="-20"/>
                <w:sz w:val="18"/>
                <w:szCs w:val="18"/>
                <w:highlight w:val="none"/>
                <w:u w:val="single"/>
                <w:lang w:val="en-US" w:eastAsia="zh-CN"/>
              </w:rPr>
              <w:t>60000</w:t>
            </w:r>
            <w:r>
              <w:rPr>
                <w:rFonts w:hint="eastAsia" w:ascii="宋体" w:hAnsi="宋体" w:eastAsia="宋体" w:cs="宋体"/>
                <w:b/>
                <w:color w:val="auto"/>
                <w:spacing w:val="-20"/>
                <w:sz w:val="18"/>
                <w:szCs w:val="18"/>
                <w:highlight w:val="none"/>
                <w:u w:val="single"/>
              </w:rPr>
              <w:t>元</w:t>
            </w:r>
            <w:r>
              <w:rPr>
                <w:rFonts w:hint="eastAsia" w:ascii="宋体" w:hAnsi="宋体" w:eastAsia="宋体" w:cs="宋体"/>
                <w:b/>
                <w:color w:val="auto"/>
                <w:spacing w:val="-20"/>
                <w:sz w:val="18"/>
                <w:szCs w:val="18"/>
                <w:highlight w:val="none"/>
                <w:u w:val="single"/>
                <w:lang w:val="en-US" w:eastAsia="zh-CN"/>
              </w:rPr>
              <w:t>/年</w:t>
            </w:r>
          </w:p>
        </w:tc>
        <w:tc>
          <w:tcPr>
            <w:tcW w:w="1597"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不可竞争费用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538" w:type="dxa"/>
            <w:gridSpan w:val="3"/>
            <w:noWrap w:val="0"/>
            <w:vAlign w:val="center"/>
          </w:tcPr>
          <w:p>
            <w:pPr>
              <w:tabs>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维修单价金额在50元以下维修费用</w:t>
            </w:r>
          </w:p>
        </w:tc>
        <w:tc>
          <w:tcPr>
            <w:tcW w:w="4139" w:type="dxa"/>
            <w:gridSpan w:val="3"/>
            <w:noWrap w:val="0"/>
            <w:vAlign w:val="center"/>
          </w:tcPr>
          <w:p>
            <w:pPr>
              <w:tabs>
                <w:tab w:val="left" w:pos="1620"/>
              </w:tabs>
              <w:spacing w:line="240" w:lineRule="auto"/>
              <w:jc w:val="center"/>
              <w:rPr>
                <w:rFonts w:hint="eastAsia" w:ascii="宋体" w:hAnsi="宋体" w:eastAsia="宋体" w:cs="宋体"/>
                <w:b/>
                <w:color w:val="auto"/>
                <w:spacing w:val="-20"/>
                <w:sz w:val="18"/>
                <w:szCs w:val="18"/>
                <w:highlight w:val="none"/>
                <w:u w:val="single"/>
              </w:rPr>
            </w:pPr>
            <w:r>
              <w:rPr>
                <w:rFonts w:hint="eastAsia" w:ascii="宋体" w:hAnsi="宋体" w:eastAsia="宋体" w:cs="宋体"/>
                <w:b/>
                <w:color w:val="auto"/>
                <w:spacing w:val="-20"/>
                <w:sz w:val="18"/>
                <w:szCs w:val="18"/>
                <w:highlight w:val="none"/>
                <w:u w:val="single"/>
              </w:rPr>
              <w:t>▲</w:t>
            </w:r>
            <w:r>
              <w:rPr>
                <w:rFonts w:hint="eastAsia" w:ascii="宋体" w:hAnsi="宋体" w:eastAsia="宋体" w:cs="宋体"/>
                <w:b/>
                <w:color w:val="auto"/>
                <w:spacing w:val="-20"/>
                <w:sz w:val="18"/>
                <w:szCs w:val="18"/>
                <w:highlight w:val="none"/>
                <w:u w:val="single"/>
                <w:lang w:val="en-US" w:eastAsia="zh-CN"/>
              </w:rPr>
              <w:t>40000</w:t>
            </w:r>
            <w:r>
              <w:rPr>
                <w:rFonts w:hint="eastAsia" w:ascii="宋体" w:hAnsi="宋体" w:eastAsia="宋体" w:cs="宋体"/>
                <w:b/>
                <w:color w:val="auto"/>
                <w:spacing w:val="-20"/>
                <w:sz w:val="18"/>
                <w:szCs w:val="18"/>
                <w:highlight w:val="none"/>
                <w:u w:val="single"/>
              </w:rPr>
              <w:t>元</w:t>
            </w:r>
            <w:r>
              <w:rPr>
                <w:rFonts w:hint="eastAsia" w:ascii="宋体" w:hAnsi="宋体" w:eastAsia="宋体" w:cs="宋体"/>
                <w:b/>
                <w:color w:val="auto"/>
                <w:spacing w:val="-20"/>
                <w:sz w:val="18"/>
                <w:szCs w:val="18"/>
                <w:highlight w:val="none"/>
                <w:u w:val="single"/>
                <w:lang w:val="en-US" w:eastAsia="zh-CN"/>
              </w:rPr>
              <w:t>/年</w:t>
            </w:r>
          </w:p>
        </w:tc>
        <w:tc>
          <w:tcPr>
            <w:tcW w:w="1597" w:type="dxa"/>
            <w:noWrap w:val="0"/>
            <w:vAlign w:val="center"/>
          </w:tcPr>
          <w:p>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不可竞争费用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538" w:type="dxa"/>
            <w:gridSpan w:val="3"/>
            <w:noWrap w:val="0"/>
            <w:vAlign w:val="center"/>
          </w:tcPr>
          <w:p>
            <w:pPr>
              <w:tabs>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其他</w:t>
            </w:r>
          </w:p>
        </w:tc>
        <w:tc>
          <w:tcPr>
            <w:tcW w:w="4139" w:type="dxa"/>
            <w:gridSpan w:val="3"/>
            <w:noWrap w:val="0"/>
            <w:vAlign w:val="center"/>
          </w:tcPr>
          <w:p>
            <w:pPr>
              <w:tabs>
                <w:tab w:val="left" w:pos="1620"/>
              </w:tabs>
              <w:spacing w:line="240" w:lineRule="auto"/>
              <w:jc w:val="center"/>
              <w:rPr>
                <w:rFonts w:hint="eastAsia" w:ascii="宋体" w:hAnsi="宋体" w:eastAsia="宋体" w:cs="宋体"/>
                <w:b/>
                <w:color w:val="auto"/>
                <w:spacing w:val="-20"/>
                <w:sz w:val="18"/>
                <w:szCs w:val="18"/>
                <w:highlight w:val="none"/>
                <w:u w:val="single"/>
              </w:rPr>
            </w:pPr>
          </w:p>
        </w:tc>
        <w:tc>
          <w:tcPr>
            <w:tcW w:w="1597" w:type="dxa"/>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2538" w:type="dxa"/>
            <w:gridSpan w:val="3"/>
            <w:noWrap w:val="0"/>
            <w:vAlign w:val="center"/>
          </w:tcPr>
          <w:p>
            <w:pPr>
              <w:tabs>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税金</w:t>
            </w:r>
          </w:p>
        </w:tc>
        <w:tc>
          <w:tcPr>
            <w:tcW w:w="4139" w:type="dxa"/>
            <w:gridSpan w:val="3"/>
            <w:noWrap w:val="0"/>
            <w:vAlign w:val="center"/>
          </w:tcPr>
          <w:p>
            <w:pPr>
              <w:tabs>
                <w:tab w:val="left" w:pos="1620"/>
              </w:tabs>
              <w:spacing w:line="240" w:lineRule="auto"/>
              <w:jc w:val="center"/>
              <w:rPr>
                <w:rFonts w:hint="eastAsia" w:ascii="宋体" w:hAnsi="宋体" w:eastAsia="宋体" w:cs="宋体"/>
                <w:b/>
                <w:color w:val="auto"/>
                <w:spacing w:val="-20"/>
                <w:sz w:val="18"/>
                <w:szCs w:val="18"/>
                <w:highlight w:val="none"/>
                <w:u w:val="single"/>
                <w:lang w:val="en-US" w:eastAsia="zh-CN"/>
              </w:rPr>
            </w:pPr>
          </w:p>
        </w:tc>
        <w:tc>
          <w:tcPr>
            <w:tcW w:w="1597" w:type="dxa"/>
            <w:noWrap w:val="0"/>
            <w:vAlign w:val="center"/>
          </w:tcPr>
          <w:p>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9" w:type="dxa"/>
            <w:gridSpan w:val="4"/>
            <w:noWrap w:val="0"/>
            <w:vAlign w:val="center"/>
          </w:tcPr>
          <w:p>
            <w:pPr>
              <w:tabs>
                <w:tab w:val="left" w:pos="1620"/>
              </w:tabs>
              <w:spacing w:line="240" w:lineRule="auto"/>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总计价（1+2+3+4+5</w:t>
            </w:r>
            <w:r>
              <w:rPr>
                <w:rFonts w:hint="eastAsia" w:ascii="宋体" w:hAnsi="宋体" w:eastAsia="宋体" w:cs="宋体"/>
                <w:b/>
                <w:color w:val="auto"/>
                <w:sz w:val="18"/>
                <w:szCs w:val="18"/>
                <w:highlight w:val="none"/>
                <w:lang w:val="en-US" w:eastAsia="zh-CN"/>
              </w:rPr>
              <w:t>+6+7+...</w:t>
            </w:r>
            <w:r>
              <w:rPr>
                <w:rFonts w:hint="eastAsia" w:ascii="宋体" w:hAnsi="宋体" w:eastAsia="宋体" w:cs="宋体"/>
                <w:b/>
                <w:color w:val="auto"/>
                <w:sz w:val="18"/>
                <w:szCs w:val="18"/>
                <w:highlight w:val="none"/>
              </w:rPr>
              <w:t>）</w:t>
            </w:r>
          </w:p>
        </w:tc>
        <w:tc>
          <w:tcPr>
            <w:tcW w:w="5736" w:type="dxa"/>
            <w:gridSpan w:val="4"/>
            <w:noWrap w:val="0"/>
            <w:vAlign w:val="center"/>
          </w:tcPr>
          <w:p>
            <w:pPr>
              <w:tabs>
                <w:tab w:val="left" w:pos="1620"/>
              </w:tabs>
              <w:spacing w:line="240" w:lineRule="auto"/>
              <w:jc w:val="center"/>
              <w:rPr>
                <w:rFonts w:hint="eastAsia" w:ascii="宋体" w:hAnsi="宋体" w:eastAsia="宋体" w:cs="宋体"/>
                <w:color w:val="auto"/>
                <w:sz w:val="18"/>
                <w:szCs w:val="18"/>
                <w:highlight w:val="none"/>
              </w:rPr>
            </w:pPr>
          </w:p>
        </w:tc>
      </w:tr>
    </w:tbl>
    <w:p>
      <w:pPr>
        <w:rPr>
          <w:rFonts w:hint="eastAsia" w:ascii="宋体" w:hAnsi="宋体" w:eastAsia="宋体" w:cs="宋体"/>
          <w:b/>
          <w:szCs w:val="21"/>
          <w:highlight w:val="none"/>
        </w:rPr>
      </w:pPr>
    </w:p>
    <w:p>
      <w:pPr>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说明：</w:t>
      </w:r>
      <w:r>
        <w:rPr>
          <w:rFonts w:hint="eastAsia" w:ascii="宋体" w:hAnsi="宋体" w:eastAsia="宋体" w:cs="宋体"/>
          <w:b/>
          <w:szCs w:val="21"/>
          <w:highlight w:val="none"/>
          <w:lang w:val="en-US" w:eastAsia="zh-CN"/>
        </w:rPr>
        <w:t xml:space="preserve"> </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注：1、以上核算需符合相关法律、法规及采购文件规定。</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2、总计价应与附件二“开标一览表”中投标</w:t>
      </w:r>
      <w:r>
        <w:rPr>
          <w:rFonts w:hint="eastAsia" w:ascii="宋体" w:hAnsi="宋体" w:eastAsia="宋体" w:cs="宋体"/>
          <w:b/>
          <w:szCs w:val="21"/>
          <w:highlight w:val="none"/>
          <w:lang w:val="en-US" w:eastAsia="zh-CN"/>
        </w:rPr>
        <w:t>总报</w:t>
      </w:r>
      <w:r>
        <w:rPr>
          <w:rFonts w:hint="eastAsia" w:ascii="宋体" w:hAnsi="宋体" w:eastAsia="宋体" w:cs="宋体"/>
          <w:b/>
          <w:szCs w:val="21"/>
          <w:highlight w:val="none"/>
        </w:rPr>
        <w:t>价相一致。</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3、▲本表所列人员日常最低实付工资不得低于2800元/月。员工服装费、企业管理费及其他未列费用均为综合考虑。</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4、不提供详细分项报价将视为没有实质性响应采购文件。</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5、▲报价低于本表规定的，做无效投标处理。</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6、本表可在不改变格式的情况下根据具体需要自行增减。 </w:t>
      </w: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7、本表各岗位人员“日常岗位工资”报价低于附件十一“服务人员最低月工资承诺函”中所承诺金额的，商务报价评分将按0分处理，低于2800元/月·人的作无效标处理。</w:t>
      </w:r>
    </w:p>
    <w:p>
      <w:pPr>
        <w:pStyle w:val="2"/>
        <w:rPr>
          <w:rFonts w:hint="eastAsia" w:ascii="宋体" w:hAnsi="宋体" w:eastAsia="宋体" w:cs="宋体"/>
          <w:highlight w:val="none"/>
        </w:rPr>
      </w:pP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440" w:lineRule="exact"/>
        <w:rPr>
          <w:rFonts w:hint="eastAsia" w:ascii="宋体" w:hAnsi="宋体" w:eastAsia="宋体" w:cs="宋体"/>
          <w:sz w:val="36"/>
          <w:szCs w:val="36"/>
          <w:highlight w:val="none"/>
        </w:rPr>
      </w:pPr>
      <w:r>
        <w:rPr>
          <w:rFonts w:hint="eastAsia" w:ascii="宋体" w:hAnsi="宋体" w:eastAsia="宋体" w:cs="宋体"/>
          <w:sz w:val="22"/>
          <w:highlight w:val="none"/>
        </w:rPr>
        <w:t>日 期：</w:t>
      </w:r>
    </w:p>
    <w:p>
      <w:pPr>
        <w:keepLines/>
        <w:spacing w:before="260" w:after="260"/>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199" w:name="_Hlk69240860"/>
      <w:r>
        <w:rPr>
          <w:rFonts w:hint="eastAsia" w:ascii="宋体" w:hAnsi="宋体" w:eastAsia="宋体" w:cs="宋体"/>
          <w:sz w:val="36"/>
          <w:szCs w:val="36"/>
          <w:highlight w:val="none"/>
        </w:rPr>
        <w:t>第四部分   采购内容及要求</w:t>
      </w:r>
      <w:bookmarkEnd w:id="194"/>
      <w:bookmarkEnd w:id="195"/>
      <w:bookmarkEnd w:id="196"/>
      <w:bookmarkEnd w:id="197"/>
      <w:bookmarkEnd w:id="198"/>
    </w:p>
    <w:p>
      <w:pPr>
        <w:widowControl/>
        <w:outlineLvl w:val="1"/>
        <w:rPr>
          <w:rFonts w:hint="eastAsia" w:ascii="宋体" w:hAnsi="宋体" w:eastAsia="宋体" w:cs="宋体"/>
          <w:b/>
          <w:bCs/>
          <w:kern w:val="0"/>
          <w:szCs w:val="21"/>
          <w:highlight w:val="none"/>
        </w:rPr>
      </w:pPr>
      <w:bookmarkStart w:id="200" w:name="_Toc448846627"/>
      <w:bookmarkStart w:id="201" w:name="_Toc221374633"/>
      <w:bookmarkStart w:id="202" w:name="_Toc221356897"/>
      <w:bookmarkStart w:id="203" w:name="_Toc221356960"/>
    </w:p>
    <w:bookmarkEnd w:id="199"/>
    <w:bookmarkEnd w:id="200"/>
    <w:p>
      <w:pPr>
        <w:spacing w:before="120" w:beforeLines="50" w:after="50" w:line="240" w:lineRule="auto"/>
        <w:jc w:val="center"/>
        <w:rPr>
          <w:rFonts w:hint="eastAsia" w:ascii="宋体" w:hAnsi="宋体" w:eastAsia="宋体" w:cs="宋体"/>
          <w:b/>
          <w:bCs/>
          <w:color w:val="auto"/>
          <w:sz w:val="21"/>
          <w:szCs w:val="21"/>
          <w:highlight w:val="none"/>
        </w:rPr>
      </w:pPr>
      <w:bookmarkStart w:id="204" w:name="_Toc26699"/>
      <w:bookmarkStart w:id="205" w:name="_Toc479601381"/>
      <w:bookmarkStart w:id="206" w:name="_Toc249758722"/>
      <w:bookmarkStart w:id="207" w:name="_Toc222114886"/>
      <w:bookmarkStart w:id="208" w:name="_Toc245191321"/>
      <w:bookmarkStart w:id="209" w:name="_Toc223716005"/>
      <w:bookmarkStart w:id="210" w:name="_Toc241404209"/>
      <w:bookmarkStart w:id="211" w:name="_Toc262105511"/>
      <w:bookmarkStart w:id="212" w:name="_Toc249758872"/>
      <w:bookmarkStart w:id="213" w:name="_Toc246261272"/>
      <w:bookmarkStart w:id="214" w:name="_Toc221423626"/>
      <w:bookmarkStart w:id="215" w:name="_Toc239145361"/>
      <w:bookmarkStart w:id="216" w:name="_Toc448846693"/>
      <w:bookmarkStart w:id="217" w:name="_Toc245722288"/>
      <w:bookmarkStart w:id="218" w:name="_Toc262049426"/>
      <w:r>
        <w:rPr>
          <w:rFonts w:hint="eastAsia" w:ascii="宋体" w:hAnsi="宋体" w:eastAsia="宋体" w:cs="宋体"/>
          <w:b/>
          <w:bCs/>
          <w:color w:val="auto"/>
          <w:sz w:val="21"/>
          <w:szCs w:val="21"/>
          <w:highlight w:val="none"/>
        </w:rPr>
        <w:t>一、概述</w:t>
      </w:r>
    </w:p>
    <w:p>
      <w:pPr>
        <w:numPr>
          <w:ilvl w:val="0"/>
          <w:numId w:val="28"/>
        </w:numPr>
        <w:tabs>
          <w:tab w:val="left" w:pos="360"/>
          <w:tab w:val="clear" w:pos="680"/>
        </w:tabs>
        <w:spacing w:line="240" w:lineRule="auto"/>
        <w:ind w:left="36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本次项目为</w:t>
      </w:r>
      <w:r>
        <w:rPr>
          <w:rFonts w:hint="eastAsia" w:ascii="宋体" w:hAnsi="宋体" w:eastAsia="宋体" w:cs="宋体"/>
          <w:color w:val="auto"/>
          <w:sz w:val="21"/>
          <w:szCs w:val="21"/>
          <w:highlight w:val="none"/>
          <w:lang w:val="en-US" w:eastAsia="zh-CN"/>
        </w:rPr>
        <w:t>陶山服务区物业服务</w:t>
      </w:r>
      <w:r>
        <w:rPr>
          <w:rFonts w:hint="eastAsia" w:ascii="宋体" w:hAnsi="宋体" w:eastAsia="宋体" w:cs="宋体"/>
          <w:color w:val="auto"/>
          <w:sz w:val="21"/>
          <w:szCs w:val="21"/>
          <w:highlight w:val="none"/>
        </w:rPr>
        <w:t>，投标人应根据</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提供服务方案，在对</w:t>
      </w:r>
      <w:r>
        <w:rPr>
          <w:rFonts w:hint="eastAsia" w:ascii="宋体" w:hAnsi="宋体" w:eastAsia="宋体" w:cs="宋体"/>
          <w:color w:val="auto"/>
          <w:sz w:val="21"/>
          <w:szCs w:val="21"/>
          <w:highlight w:val="none"/>
          <w:lang w:val="en-US" w:eastAsia="zh-CN"/>
        </w:rPr>
        <w:t>值守</w:t>
      </w:r>
      <w:r>
        <w:rPr>
          <w:rFonts w:hint="eastAsia" w:ascii="宋体" w:hAnsi="宋体" w:eastAsia="宋体" w:cs="宋体"/>
          <w:color w:val="auto"/>
          <w:sz w:val="21"/>
          <w:szCs w:val="21"/>
          <w:highlight w:val="none"/>
        </w:rPr>
        <w:t>区域分布现场、周边环境全面了解的情况下编制科学合理、切实可行的组织实施计划以及具体的保障措施、工作等程序。</w:t>
      </w:r>
    </w:p>
    <w:p>
      <w:pPr>
        <w:numPr>
          <w:ilvl w:val="0"/>
          <w:numId w:val="28"/>
        </w:numPr>
        <w:tabs>
          <w:tab w:val="left" w:pos="360"/>
          <w:tab w:val="clear" w:pos="680"/>
        </w:tabs>
        <w:spacing w:line="240" w:lineRule="auto"/>
        <w:ind w:left="36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投标人须依照现代企业制度，以合理的服务流程和服务人数、优良的服务质量、科学的管理、稳定的服务队伍、优惠的价格来制订详细的服务方案，充分体现自身的实力，发挥自身优势，为使</w:t>
      </w:r>
      <w:r>
        <w:rPr>
          <w:rFonts w:hint="eastAsia" w:ascii="宋体" w:hAnsi="宋体" w:eastAsia="宋体" w:cs="宋体"/>
          <w:color w:val="auto"/>
          <w:sz w:val="21"/>
          <w:szCs w:val="21"/>
          <w:highlight w:val="none"/>
          <w:lang w:val="en-US" w:eastAsia="zh-CN"/>
        </w:rPr>
        <w:t>物业管理</w:t>
      </w:r>
      <w:r>
        <w:rPr>
          <w:rFonts w:hint="eastAsia" w:ascii="宋体" w:hAnsi="宋体" w:eastAsia="宋体" w:cs="宋体"/>
          <w:color w:val="auto"/>
          <w:sz w:val="21"/>
          <w:szCs w:val="21"/>
          <w:highlight w:val="none"/>
        </w:rPr>
        <w:t>服务工作顺利完成，并保证</w:t>
      </w:r>
      <w:r>
        <w:rPr>
          <w:rFonts w:hint="eastAsia" w:ascii="宋体" w:hAnsi="宋体" w:eastAsia="宋体" w:cs="宋体"/>
          <w:color w:val="auto"/>
          <w:sz w:val="21"/>
          <w:szCs w:val="21"/>
          <w:highlight w:val="none"/>
          <w:lang w:val="en-US" w:eastAsia="zh-CN"/>
        </w:rPr>
        <w:t>高速</w:t>
      </w:r>
      <w:r>
        <w:rPr>
          <w:rFonts w:hint="eastAsia" w:ascii="宋体" w:hAnsi="宋体" w:eastAsia="宋体" w:cs="宋体"/>
          <w:color w:val="auto"/>
          <w:sz w:val="21"/>
          <w:szCs w:val="21"/>
          <w:highlight w:val="none"/>
        </w:rPr>
        <w:t>服务质量和形象上升一个新台阶。</w:t>
      </w:r>
    </w:p>
    <w:p>
      <w:pPr>
        <w:numPr>
          <w:ilvl w:val="0"/>
          <w:numId w:val="29"/>
        </w:numPr>
        <w:spacing w:before="120" w:beforeLines="50" w:after="50" w:line="240" w:lineRule="auto"/>
        <w:jc w:val="center"/>
        <w:rPr>
          <w:rFonts w:hint="eastAsia" w:ascii="宋体" w:hAnsi="宋体" w:eastAsia="宋体" w:cs="宋体"/>
          <w:b/>
          <w:bCs/>
          <w:color w:val="auto"/>
          <w:sz w:val="21"/>
          <w:szCs w:val="21"/>
          <w:highlight w:val="none"/>
        </w:rPr>
      </w:pPr>
      <w:bookmarkStart w:id="219" w:name="_Toc187051758"/>
      <w:bookmarkStart w:id="220" w:name="_Toc184281683"/>
      <w:r>
        <w:rPr>
          <w:rFonts w:hint="eastAsia" w:ascii="宋体" w:hAnsi="宋体" w:eastAsia="宋体" w:cs="宋体"/>
          <w:b/>
          <w:bCs/>
          <w:color w:val="auto"/>
          <w:sz w:val="21"/>
          <w:szCs w:val="21"/>
          <w:highlight w:val="none"/>
        </w:rPr>
        <w:t>服务要求及规范</w:t>
      </w:r>
      <w:bookmarkEnd w:id="219"/>
      <w:bookmarkEnd w:id="220"/>
    </w:p>
    <w:p>
      <w:pPr>
        <w:widowControl w:val="0"/>
        <w:numPr>
          <w:ilvl w:val="0"/>
          <w:numId w:val="0"/>
        </w:numPr>
        <w:tabs>
          <w:tab w:val="left" w:pos="360"/>
          <w:tab w:val="left" w:pos="1080"/>
        </w:tabs>
        <w:spacing w:line="240" w:lineRule="auto"/>
        <w:jc w:val="both"/>
        <w:rPr>
          <w:rFonts w:hint="eastAsia" w:ascii="宋体" w:hAnsi="宋体" w:eastAsia="宋体" w:cs="宋体"/>
          <w:b/>
          <w:color w:val="auto"/>
          <w:sz w:val="21"/>
          <w:szCs w:val="21"/>
          <w:highlight w:val="none"/>
        </w:rPr>
      </w:pPr>
    </w:p>
    <w:p>
      <w:pPr>
        <w:numPr>
          <w:ilvl w:val="0"/>
          <w:numId w:val="30"/>
        </w:numPr>
        <w:tabs>
          <w:tab w:val="left" w:pos="640"/>
          <w:tab w:val="clear" w:pos="680"/>
        </w:tabs>
        <w:spacing w:line="240" w:lineRule="auto"/>
        <w:ind w:left="640" w:hanging="64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物业管理总说明</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为保障服务区环境卫生、停车秩序和服务质量等工作。</w:t>
      </w:r>
      <w:r>
        <w:rPr>
          <w:rFonts w:hint="eastAsia" w:ascii="宋体" w:hAnsi="宋体" w:eastAsia="宋体" w:cs="宋体"/>
          <w:color w:val="auto"/>
          <w:sz w:val="21"/>
          <w:szCs w:val="21"/>
          <w:highlight w:val="none"/>
        </w:rPr>
        <w:t>根据关于印发《</w:t>
      </w:r>
      <w:r>
        <w:rPr>
          <w:rFonts w:hint="eastAsia" w:ascii="宋体" w:hAnsi="宋体" w:eastAsia="宋体" w:cs="宋体"/>
          <w:color w:val="auto"/>
          <w:sz w:val="21"/>
          <w:szCs w:val="21"/>
          <w:highlight w:val="none"/>
          <w:lang w:val="en-US" w:eastAsia="zh-CN"/>
        </w:rPr>
        <w:t>关于进一步加强高速公路服务区保安、保洁工作的通知</w:t>
      </w:r>
      <w:r>
        <w:rPr>
          <w:rFonts w:hint="eastAsia" w:ascii="宋体" w:hAnsi="宋体" w:eastAsia="宋体" w:cs="宋体"/>
          <w:color w:val="auto"/>
          <w:sz w:val="21"/>
          <w:szCs w:val="21"/>
          <w:highlight w:val="none"/>
        </w:rPr>
        <w:t>》（浙</w:t>
      </w:r>
      <w:r>
        <w:rPr>
          <w:rFonts w:hint="eastAsia" w:ascii="宋体" w:hAnsi="宋体" w:eastAsia="宋体" w:cs="宋体"/>
          <w:color w:val="auto"/>
          <w:sz w:val="21"/>
          <w:szCs w:val="21"/>
          <w:highlight w:val="none"/>
          <w:lang w:val="en-US" w:eastAsia="zh-CN"/>
        </w:rPr>
        <w:t>公运</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号文件）</w:t>
      </w:r>
      <w:r>
        <w:rPr>
          <w:rFonts w:hint="eastAsia" w:ascii="宋体" w:hAnsi="宋体" w:eastAsia="宋体" w:cs="宋体"/>
          <w:color w:val="auto"/>
          <w:sz w:val="21"/>
          <w:szCs w:val="21"/>
          <w:highlight w:val="none"/>
          <w:lang w:val="en-US" w:eastAsia="zh-CN"/>
        </w:rPr>
        <w:t>文件精神</w:t>
      </w:r>
      <w:r>
        <w:rPr>
          <w:rFonts w:hint="eastAsia" w:ascii="宋体" w:hAnsi="宋体" w:eastAsia="宋体" w:cs="宋体"/>
          <w:color w:val="auto"/>
          <w:sz w:val="21"/>
          <w:szCs w:val="21"/>
          <w:highlight w:val="none"/>
        </w:rPr>
        <w:t>，优化功能布局，完善服务设施，强化服务功能，创新管理机制，全面提升本</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服务能力，为人民群众美好出行需求提供更高品质服务。</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安全管理为主要服务管理内容，制定安全管理服务细则。卫生保洁的服务标准质量要求按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后勤社会化提供全方位、一体化的专业服务保障。确保各</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域处于正常、有序、高效的状态， 运转正常，各项活动顺利完成。</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建立并完善各种管理制度和工作流程，明确分工职责和工作质量标准，强化工作的计划性、可操作性和实效性，确保安全有序，确保设备维运的及时性和准确性，确保设备安全和维保质量， 确保环境舒适、有序，让服务对象舒心，为各</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域提供优良的后勤保障。做好卫生保洁及生活服务的工作质量。</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人员结构合理，分工明确。一般员工有相关专业所需的上岗证。所有人员要求政治上可靠，身体素质好，懂礼貌，善服务，无不良行为记录，重要岗位人员必须经采购人考核、政治审查通过方可录用。</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组织人员做好管理区域内的日常管养、门卫、保安、公共安全、治安纠纷、路产及设施赔偿、停车秩序工作；</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制订管理区域内管理服务的详细计划和方案，保障</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行车的方便、安全，保持外场设施完好、环境优美、公共秩序良好；</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负责做好本班组员工文明值勤、现场动态管理、公共安全管理、日常巡查和检查；</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制定管理区域内部管理制度，规范所属人员的行为，做好所属人员的上岗、技能培训和考核工作，及时处理下属人员的违规行为；</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定期听取</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的意见和建议，改进和完善管理服务；</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对管理区域内的违法行为或违反</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相关规定的行为，应立即依法劝阻、制止，并向</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有关部门报告；</w:t>
      </w:r>
    </w:p>
    <w:p>
      <w:pPr>
        <w:widowControl/>
        <w:numPr>
          <w:ilvl w:val="1"/>
          <w:numId w:val="30"/>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做好各项迎检工作，完成</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领导交办的其他工作。建立各类应急预案（如临时性紧急会议、上级重要领导来考察调研、抗台等）， 并培训相关人员达到相关要求。</w:t>
      </w:r>
    </w:p>
    <w:p>
      <w:pPr>
        <w:numPr>
          <w:ilvl w:val="0"/>
          <w:numId w:val="30"/>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物业概况</w:t>
      </w:r>
    </w:p>
    <w:p>
      <w:pPr>
        <w:keepNext w:val="0"/>
        <w:keepLines w:val="0"/>
        <w:widowControl/>
        <w:numPr>
          <w:ilvl w:val="1"/>
          <w:numId w:val="30"/>
        </w:numPr>
        <w:suppressLineNumbers w:val="0"/>
        <w:tabs>
          <w:tab w:val="left" w:pos="640"/>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 xml:space="preserve">陶山服务区位于温州绕城高速公路瑞安市陶山镇境内，占地面积102亩，其中建筑面积约10000平方米，绿化面积约16600平方米，大小停车位257个；并配置商业商铺、加油站、公共卫生间、第三卫生间、开水间、母婴室、司乘休息室等公共服务设施，为司乘人员提供24小时公共服务。 </w:t>
      </w:r>
    </w:p>
    <w:p>
      <w:pPr>
        <w:keepNext w:val="0"/>
        <w:keepLines w:val="0"/>
        <w:widowControl/>
        <w:numPr>
          <w:ilvl w:val="1"/>
          <w:numId w:val="30"/>
        </w:numPr>
        <w:suppressLineNumbers w:val="0"/>
        <w:tabs>
          <w:tab w:val="left" w:pos="640"/>
          <w:tab w:val="clear" w:pos="680"/>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lang w:val="en-US" w:eastAsia="zh-CN" w:bidi="ar"/>
        </w:rPr>
        <w:t xml:space="preserve">服务内容：秩序维护、安保管理、卫生管理、设备维护等； </w:t>
      </w:r>
    </w:p>
    <w:p>
      <w:pPr>
        <w:pStyle w:val="2"/>
        <w:ind w:left="210" w:leftChars="100" w:firstLine="420" w:firstLineChars="20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公共区域环境卫生、设施设施日常管理与维护、交通与车辆停放秩序管理、前台咨询服务、安全消防管理、会务接待等。</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
        </w:rPr>
        <w:t>岗位配置：需配置</w:t>
      </w:r>
      <w:r>
        <w:rPr>
          <w:rFonts w:hint="eastAsia" w:ascii="宋体" w:hAnsi="宋体" w:eastAsia="宋体" w:cs="宋体"/>
          <w:color w:val="auto"/>
          <w:kern w:val="2"/>
          <w:sz w:val="21"/>
          <w:szCs w:val="21"/>
          <w:highlight w:val="none"/>
          <w:u w:val="single"/>
          <w:lang w:val="en-US" w:eastAsia="zh-CN" w:bidi="ar"/>
        </w:rPr>
        <w:t>50</w:t>
      </w:r>
      <w:r>
        <w:rPr>
          <w:rFonts w:hint="eastAsia" w:ascii="宋体" w:hAnsi="宋体" w:eastAsia="宋体" w:cs="宋体"/>
          <w:color w:val="auto"/>
          <w:kern w:val="2"/>
          <w:sz w:val="21"/>
          <w:szCs w:val="21"/>
          <w:highlight w:val="none"/>
          <w:lang w:val="en-US" w:eastAsia="zh-CN" w:bidi="ar"/>
        </w:rPr>
        <w:t>人，</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kern w:val="2"/>
          <w:sz w:val="21"/>
          <w:szCs w:val="21"/>
          <w:highlight w:val="none"/>
          <w:lang w:val="en-US" w:eastAsia="zh-CN" w:bidi="ar"/>
        </w:rPr>
        <w:t>岗位排班满足现场要求</w:t>
      </w:r>
      <w:r>
        <w:rPr>
          <w:rFonts w:hint="eastAsia" w:ascii="宋体" w:hAnsi="宋体" w:eastAsia="宋体" w:cs="宋体"/>
          <w:color w:val="auto"/>
          <w:sz w:val="21"/>
          <w:szCs w:val="21"/>
          <w:highlight w:val="none"/>
        </w:rPr>
        <w:t>。</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
        </w:rPr>
        <w:t>各岗位如下表所示：</w:t>
      </w:r>
    </w:p>
    <w:tbl>
      <w:tblPr>
        <w:tblStyle w:val="24"/>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66"/>
        <w:gridCol w:w="1623"/>
        <w:gridCol w:w="2037"/>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序号</w:t>
            </w:r>
          </w:p>
        </w:tc>
        <w:tc>
          <w:tcPr>
            <w:tcW w:w="2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2"/>
                <w:sz w:val="22"/>
                <w:szCs w:val="22"/>
                <w:highlight w:val="none"/>
                <w:vertAlign w:val="baseline"/>
                <w:lang w:val="en-US" w:eastAsia="zh-CN" w:bidi="ar-SA"/>
              </w:rPr>
              <w:t>工种</w:t>
            </w:r>
          </w:p>
        </w:tc>
        <w:tc>
          <w:tcPr>
            <w:tcW w:w="16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配置人数</w:t>
            </w:r>
          </w:p>
        </w:tc>
        <w:tc>
          <w:tcPr>
            <w:tcW w:w="394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具体人员分配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p>
        </w:tc>
        <w:tc>
          <w:tcPr>
            <w:tcW w:w="2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p>
        </w:tc>
        <w:tc>
          <w:tcPr>
            <w:tcW w:w="1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2"/>
                <w:sz w:val="22"/>
                <w:szCs w:val="22"/>
                <w:highlight w:val="none"/>
                <w:vertAlign w:val="baseline"/>
                <w:lang w:val="en-US" w:eastAsia="zh-CN" w:bidi="ar-SA"/>
              </w:rPr>
              <w:t>岗位</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物业经理</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水电工</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3</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咨询台人员</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4</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物业内勤</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p>
        </w:tc>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5</w:t>
            </w:r>
          </w:p>
        </w:tc>
        <w:tc>
          <w:tcPr>
            <w:tcW w:w="2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保  安</w:t>
            </w:r>
          </w:p>
        </w:tc>
        <w:tc>
          <w:tcPr>
            <w:tcW w:w="16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保安队长</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bidi="ar-SA"/>
              </w:rPr>
            </w:pPr>
          </w:p>
        </w:tc>
        <w:tc>
          <w:tcPr>
            <w:tcW w:w="2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p>
        </w:tc>
        <w:tc>
          <w:tcPr>
            <w:tcW w:w="1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p>
        </w:tc>
        <w:tc>
          <w:tcPr>
            <w:tcW w:w="2037" w:type="dxa"/>
            <w:tcBorders>
              <w:top w:val="single" w:color="auto" w:sz="4" w:space="0"/>
              <w:left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保安人员</w:t>
            </w:r>
          </w:p>
        </w:tc>
        <w:tc>
          <w:tcPr>
            <w:tcW w:w="1911" w:type="dxa"/>
            <w:tcBorders>
              <w:top w:val="single" w:color="auto" w:sz="4" w:space="0"/>
              <w:left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6</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监控/消控</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3</w:t>
            </w:r>
          </w:p>
        </w:tc>
        <w:tc>
          <w:tcPr>
            <w:tcW w:w="2037" w:type="dxa"/>
            <w:tcBorders>
              <w:top w:val="single" w:color="auto" w:sz="4" w:space="0"/>
              <w:left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监控/消控</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7</w:t>
            </w:r>
          </w:p>
        </w:tc>
        <w:tc>
          <w:tcPr>
            <w:tcW w:w="2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保洁</w:t>
            </w:r>
          </w:p>
        </w:tc>
        <w:tc>
          <w:tcPr>
            <w:tcW w:w="16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保洁组长</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p>
        </w:tc>
        <w:tc>
          <w:tcPr>
            <w:tcW w:w="2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p>
        </w:tc>
        <w:tc>
          <w:tcPr>
            <w:tcW w:w="1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p>
        </w:tc>
        <w:tc>
          <w:tcPr>
            <w:tcW w:w="2037" w:type="dxa"/>
            <w:tcBorders>
              <w:top w:val="single" w:color="auto" w:sz="4" w:space="0"/>
              <w:left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2"/>
                <w:sz w:val="22"/>
                <w:szCs w:val="22"/>
                <w:highlight w:val="none"/>
                <w:vertAlign w:val="baseline"/>
                <w:lang w:val="en-US" w:eastAsia="zh-CN" w:bidi="ar-SA"/>
              </w:rPr>
              <w:t>保洁员</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合计</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50</w:t>
            </w:r>
          </w:p>
        </w:tc>
        <w:tc>
          <w:tcPr>
            <w:tcW w:w="394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51"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sz w:val="22"/>
                <w:highlight w:val="none"/>
                <w:lang w:val="en-US" w:eastAsia="zh-CN"/>
              </w:rPr>
              <w:t>备注：所有人员均需经体检合格后方可上岗</w:t>
            </w:r>
          </w:p>
        </w:tc>
      </w:tr>
    </w:tbl>
    <w:p>
      <w:pPr>
        <w:snapToGrid w:val="0"/>
        <w:spacing w:line="240" w:lineRule="auto"/>
        <w:ind w:left="378" w:hanging="361" w:hangingChars="17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以上</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为本项目投标要求的</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w:t>
      </w:r>
      <w:r>
        <w:rPr>
          <w:rFonts w:hint="eastAsia" w:ascii="宋体" w:hAnsi="宋体" w:eastAsia="宋体" w:cs="宋体"/>
          <w:b/>
          <w:color w:val="auto"/>
          <w:sz w:val="21"/>
          <w:szCs w:val="21"/>
          <w:highlight w:val="none"/>
          <w:u w:val="single"/>
          <w:lang w:val="en-US" w:eastAsia="zh-CN"/>
        </w:rPr>
        <w:t>投标时须严格按照该数量进行报价。</w:t>
      </w:r>
      <w:r>
        <w:rPr>
          <w:rFonts w:hint="eastAsia" w:ascii="宋体" w:hAnsi="宋体" w:eastAsia="宋体" w:cs="宋体"/>
          <w:b/>
          <w:color w:val="auto"/>
          <w:sz w:val="21"/>
          <w:szCs w:val="21"/>
          <w:highlight w:val="none"/>
          <w:u w:val="single"/>
        </w:rPr>
        <w:t>在项目实施过程中，采购人有权根据实际情况对</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数量和岗位配置进行调整（</w:t>
      </w:r>
      <w:r>
        <w:rPr>
          <w:rFonts w:hint="eastAsia" w:ascii="宋体" w:hAnsi="宋体" w:eastAsia="宋体" w:cs="宋体"/>
          <w:b/>
          <w:color w:val="auto"/>
          <w:sz w:val="21"/>
          <w:szCs w:val="21"/>
          <w:highlight w:val="none"/>
          <w:u w:val="single"/>
          <w:lang w:val="en-US" w:eastAsia="zh-CN"/>
        </w:rPr>
        <w:t>如调整，则</w:t>
      </w:r>
      <w:r>
        <w:rPr>
          <w:rFonts w:hint="eastAsia" w:ascii="宋体" w:hAnsi="宋体" w:eastAsia="宋体" w:cs="宋体"/>
          <w:b/>
          <w:color w:val="auto"/>
          <w:sz w:val="21"/>
          <w:szCs w:val="21"/>
          <w:highlight w:val="none"/>
          <w:u w:val="single"/>
        </w:rPr>
        <w:t>实际结算根据实际</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数量及</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rPr>
        <w:t>最终成交分项报价表中各岗位月工资按实结算物业费，临时增加人员费用每季按实结算支付），各供应商须充分</w:t>
      </w:r>
      <w:r>
        <w:rPr>
          <w:rFonts w:hint="eastAsia" w:ascii="宋体" w:hAnsi="宋体" w:eastAsia="宋体" w:cs="宋体"/>
          <w:b/>
          <w:color w:val="auto"/>
          <w:sz w:val="21"/>
          <w:szCs w:val="21"/>
          <w:highlight w:val="none"/>
          <w:u w:val="single"/>
          <w:lang w:val="en-US" w:eastAsia="zh-CN"/>
        </w:rPr>
        <w:t>考虑项目实施工程中的人员轮岗调休等事项，自行</w:t>
      </w:r>
      <w:r>
        <w:rPr>
          <w:rFonts w:hint="eastAsia" w:ascii="宋体" w:hAnsi="宋体" w:eastAsia="宋体" w:cs="宋体"/>
          <w:b/>
          <w:color w:val="auto"/>
          <w:sz w:val="21"/>
          <w:szCs w:val="21"/>
          <w:highlight w:val="none"/>
          <w:u w:val="single"/>
        </w:rPr>
        <w:t>考虑报价风险。</w:t>
      </w:r>
    </w:p>
    <w:p>
      <w:pPr>
        <w:pStyle w:val="2"/>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2）物业经理需按规定参加服务区的日常排班值守，相关费用在报价过程中自行考虑，综合报价。</w:t>
      </w:r>
    </w:p>
    <w:p>
      <w:pPr>
        <w:pStyle w:val="2"/>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3）物业经理、水电工除规定日常工作时间外，需24小时保持联络畅通，随时待命。在接到通知后需能及时赶赴现场处理相关事宜，保障服务区的正常运转。</w:t>
      </w:r>
    </w:p>
    <w:p>
      <w:pPr>
        <w:pStyle w:val="2"/>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4）所有人员均需经体检合格后方可上岗。</w:t>
      </w:r>
    </w:p>
    <w:p>
      <w:pPr>
        <w:pStyle w:val="2"/>
        <w:numPr>
          <w:ilvl w:val="0"/>
          <w:numId w:val="0"/>
        </w:numPr>
        <w:spacing w:line="24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消控人员、水电工必须持证上岗（国家职业资格证书），严格按作业证许可范围分别从事各自岗位工作。</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物业经理岗位：高中以上文化程度，年龄在30～</w:t>
      </w:r>
      <w:r>
        <w:rPr>
          <w:rFonts w:hint="eastAsia" w:ascii="宋体" w:hAnsi="宋体" w:eastAsia="宋体" w:cs="宋体"/>
          <w:color w:val="auto"/>
          <w:sz w:val="21"/>
          <w:szCs w:val="21"/>
          <w:highlight w:val="none"/>
          <w:lang w:val="en-US" w:eastAsia="zh-CN" w:bidi="ar"/>
        </w:rPr>
        <w:t>55</w:t>
      </w:r>
      <w:r>
        <w:rPr>
          <w:rFonts w:hint="eastAsia" w:ascii="宋体" w:hAnsi="宋体" w:eastAsia="宋体" w:cs="宋体"/>
          <w:color w:val="auto"/>
          <w:sz w:val="21"/>
          <w:szCs w:val="21"/>
          <w:highlight w:val="none"/>
          <w:lang w:eastAsia="zh-CN" w:bidi="ar"/>
        </w:rPr>
        <w:t>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物业内勤岗位：高中以上文化程度，22-40岁，形象良好，具备良好的沟通能力、基础电脑操作能力和良好的服务意识、注重服务细节。</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咨询台人员岗位：高中以上文化程度，22-40岁</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特别优秀的经甲方同意可适当放宽</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，形象良好，具备良好的沟通能力、基础电脑操作能力和良好的服务意识、注重服务细节。</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监控（消控）员岗位：高中以上文化程度，20</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55岁以下，无近视，具有较强的消防和安保知识，责任心强，应变能力强，能吃苦耐劳，消控员须持证上岗。</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水电工岗位：</w:t>
      </w:r>
      <w:r>
        <w:rPr>
          <w:rFonts w:hint="eastAsia" w:ascii="宋体" w:hAnsi="宋体" w:eastAsia="宋体" w:cs="宋体"/>
          <w:color w:val="auto"/>
          <w:sz w:val="21"/>
          <w:szCs w:val="21"/>
          <w:highlight w:val="none"/>
          <w:lang w:val="en-US" w:eastAsia="zh-CN" w:bidi="ar"/>
        </w:rPr>
        <w:t>高</w:t>
      </w:r>
      <w:r>
        <w:rPr>
          <w:rFonts w:hint="eastAsia" w:ascii="宋体" w:hAnsi="宋体" w:eastAsia="宋体" w:cs="宋体"/>
          <w:color w:val="auto"/>
          <w:sz w:val="21"/>
          <w:szCs w:val="21"/>
          <w:highlight w:val="none"/>
          <w:lang w:eastAsia="zh-CN" w:bidi="ar"/>
        </w:rPr>
        <w:t>中以上文化程度，男性，22～55岁，持有相关专业上岗证件（国家职业资格证书），</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年以上相关工作经验，具备业务实施能力和良好的服务意识、注重服务细节。</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保安</w:t>
      </w:r>
      <w:r>
        <w:rPr>
          <w:rFonts w:hint="eastAsia" w:ascii="宋体" w:hAnsi="宋体" w:eastAsia="宋体" w:cs="宋体"/>
          <w:color w:val="auto"/>
          <w:sz w:val="21"/>
          <w:szCs w:val="21"/>
          <w:highlight w:val="none"/>
          <w:lang w:val="en-US" w:eastAsia="zh-CN" w:bidi="ar"/>
        </w:rPr>
        <w:t>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含保安队长</w:t>
      </w:r>
      <w:r>
        <w:rPr>
          <w:rFonts w:hint="eastAsia" w:ascii="宋体" w:hAnsi="宋体" w:eastAsia="宋体" w:cs="宋体"/>
          <w:color w:val="auto"/>
          <w:sz w:val="21"/>
          <w:szCs w:val="21"/>
          <w:highlight w:val="none"/>
          <w:lang w:eastAsia="zh-CN" w:bidi="ar"/>
        </w:rPr>
        <w:t>）：初中以上文化程度，男性，20～</w:t>
      </w:r>
      <w:r>
        <w:rPr>
          <w:rFonts w:hint="eastAsia" w:ascii="宋体" w:hAnsi="宋体" w:eastAsia="宋体" w:cs="宋体"/>
          <w:color w:val="auto"/>
          <w:sz w:val="21"/>
          <w:szCs w:val="21"/>
          <w:highlight w:val="none"/>
          <w:lang w:val="en-US" w:eastAsia="zh-CN" w:bidi="ar"/>
        </w:rPr>
        <w:t>55</w:t>
      </w:r>
      <w:r>
        <w:rPr>
          <w:rFonts w:hint="eastAsia" w:ascii="宋体" w:hAnsi="宋体" w:eastAsia="宋体" w:cs="宋体"/>
          <w:color w:val="auto"/>
          <w:sz w:val="21"/>
          <w:szCs w:val="21"/>
          <w:highlight w:val="none"/>
          <w:lang w:eastAsia="zh-CN" w:bidi="ar"/>
        </w:rPr>
        <w:t>岁（</w:t>
      </w:r>
      <w:r>
        <w:rPr>
          <w:rFonts w:hint="eastAsia" w:ascii="宋体" w:hAnsi="宋体" w:eastAsia="宋体" w:cs="宋体"/>
          <w:color w:val="auto"/>
          <w:sz w:val="21"/>
          <w:szCs w:val="21"/>
          <w:highlight w:val="none"/>
          <w:lang w:val="en-US" w:eastAsia="zh-CN" w:bidi="ar"/>
        </w:rPr>
        <w:t>特别优秀的经甲方同意可适当放宽</w:t>
      </w:r>
      <w:r>
        <w:rPr>
          <w:rFonts w:hint="eastAsia" w:ascii="宋体" w:hAnsi="宋体" w:eastAsia="宋体" w:cs="宋体"/>
          <w:color w:val="auto"/>
          <w:sz w:val="21"/>
          <w:szCs w:val="21"/>
          <w:highlight w:val="none"/>
          <w:lang w:eastAsia="zh-CN" w:bidi="ar"/>
        </w:rPr>
        <w:t>），身高1.6</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米以上，无近视，具有较强的安保和消防知识，</w:t>
      </w:r>
      <w:r>
        <w:rPr>
          <w:rFonts w:hint="eastAsia" w:ascii="宋体" w:hAnsi="宋体" w:eastAsia="宋体" w:cs="宋体"/>
          <w:color w:val="auto"/>
          <w:sz w:val="21"/>
          <w:szCs w:val="21"/>
          <w:highlight w:val="none"/>
          <w:lang w:val="en-US" w:eastAsia="zh-CN" w:bidi="ar"/>
        </w:rPr>
        <w:t>退伍军人优先考虑，具有保安员资格证，</w:t>
      </w:r>
      <w:r>
        <w:rPr>
          <w:rFonts w:hint="eastAsia" w:ascii="宋体" w:hAnsi="宋体" w:eastAsia="宋体" w:cs="宋体"/>
          <w:color w:val="auto"/>
          <w:sz w:val="21"/>
          <w:szCs w:val="21"/>
          <w:highlight w:val="none"/>
          <w:lang w:eastAsia="zh-CN" w:bidi="ar"/>
        </w:rPr>
        <w:t>一年以上安保工作经验，应变能力强、能吃苦耐劳。</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bidi="ar"/>
        </w:rPr>
        <w:t>保洁员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w:t>
      </w:r>
      <w:r>
        <w:rPr>
          <w:rFonts w:hint="eastAsia" w:ascii="宋体" w:hAnsi="宋体" w:eastAsia="宋体" w:cs="宋体"/>
          <w:color w:val="auto"/>
          <w:kern w:val="2"/>
          <w:sz w:val="21"/>
          <w:szCs w:val="21"/>
          <w:highlight w:val="none"/>
          <w:lang w:val="en-US" w:eastAsia="zh-CN" w:bidi="ar"/>
        </w:rPr>
        <w:t>保洁主管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男性20～</w:t>
      </w:r>
      <w:r>
        <w:rPr>
          <w:rFonts w:hint="eastAsia" w:ascii="宋体" w:hAnsi="宋体" w:eastAsia="宋体" w:cs="宋体"/>
          <w:color w:val="auto"/>
          <w:sz w:val="21"/>
          <w:szCs w:val="21"/>
          <w:highlight w:val="none"/>
        </w:rPr>
        <w:t>55岁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女性20</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rPr>
        <w:t>50岁，特别优秀的经甲方同意可适当放宽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具备一定文化程度，会讲普通话，具有1年以上相关工作经验，五官端正，工作勤奋，具有服务意识、注重服务细节，具备吃苦耐劳的精神。</w:t>
      </w:r>
    </w:p>
    <w:p>
      <w:pPr>
        <w:numPr>
          <w:ilvl w:val="0"/>
          <w:numId w:val="30"/>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服务标准及要求</w:t>
      </w:r>
    </w:p>
    <w:p>
      <w:pPr>
        <w:numPr>
          <w:ilvl w:val="1"/>
          <w:numId w:val="30"/>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保洁服务要求</w:t>
      </w:r>
    </w:p>
    <w:p>
      <w:pPr>
        <w:widowControl/>
        <w:numPr>
          <w:ilvl w:val="2"/>
          <w:numId w:val="30"/>
        </w:numPr>
        <w:tabs>
          <w:tab w:val="left" w:pos="640"/>
          <w:tab w:val="clear" w:pos="1156"/>
        </w:tabs>
        <w:adjustRightInd/>
        <w:snapToGrid/>
        <w:spacing w:line="240" w:lineRule="auto"/>
        <w:ind w:left="1060" w:hanging="106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公共区域（</w:t>
      </w:r>
      <w:r>
        <w:rPr>
          <w:rFonts w:hint="eastAsia" w:ascii="宋体" w:hAnsi="宋体" w:eastAsia="宋体" w:cs="宋体"/>
          <w:b w:val="0"/>
          <w:color w:val="auto"/>
          <w:sz w:val="21"/>
          <w:szCs w:val="21"/>
          <w:highlight w:val="none"/>
          <w:lang w:bidi="ar"/>
        </w:rPr>
        <w:t>包括办公室、会议室等</w:t>
      </w:r>
      <w:r>
        <w:rPr>
          <w:rFonts w:hint="eastAsia" w:ascii="宋体" w:hAnsi="宋体" w:eastAsia="宋体" w:cs="宋体"/>
          <w:bCs w:val="0"/>
          <w:color w:val="auto"/>
          <w:sz w:val="21"/>
          <w:szCs w:val="21"/>
          <w:highlight w:val="none"/>
          <w:lang w:bidi="ar"/>
        </w:rPr>
        <w:t>）</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规范着装，正确穿戴防护用品，做好地面防滑工作，外场作业人员务必穿反光背心。</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广场的环境卫生工作，确保地面无明显垃圾、杂物、油污，无明显积水；垃圾全部装袋，一律投入垃圾箱，垃圾箱无寄生虫害，无蚊蝇繁衍；警示牌、指示牌、广告牌、草坪灯箱等无积灰、污垢，不锈钢栏、垃圾箱等清洁明亮，无水锈、无污渍、无损坏；垃圾桶量达到三分之二及时倾倒垃圾。</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负责做好公共区域公厕及草坪等绿化地带的清洁</w:t>
      </w:r>
      <w:r>
        <w:rPr>
          <w:rFonts w:hint="eastAsia" w:ascii="宋体" w:hAnsi="宋体" w:eastAsia="宋体" w:cs="宋体"/>
          <w:bCs w:val="0"/>
          <w:color w:val="auto"/>
          <w:sz w:val="21"/>
          <w:szCs w:val="21"/>
          <w:highlight w:val="none"/>
          <w:lang w:eastAsia="zh-CN" w:bidi="ar"/>
        </w:rPr>
        <w:t>、</w:t>
      </w:r>
      <w:r>
        <w:rPr>
          <w:rFonts w:hint="eastAsia" w:ascii="宋体" w:hAnsi="宋体" w:eastAsia="宋体" w:cs="宋体"/>
          <w:color w:val="auto"/>
          <w:sz w:val="21"/>
          <w:szCs w:val="21"/>
          <w:highlight w:val="none"/>
          <w:lang w:bidi="ar"/>
        </w:rPr>
        <w:t>苗木浇水</w:t>
      </w:r>
      <w:r>
        <w:rPr>
          <w:rFonts w:hint="eastAsia" w:ascii="宋体" w:hAnsi="宋体" w:eastAsia="宋体" w:cs="宋体"/>
          <w:bCs w:val="0"/>
          <w:color w:val="auto"/>
          <w:sz w:val="21"/>
          <w:szCs w:val="21"/>
          <w:highlight w:val="none"/>
          <w:lang w:bidi="ar"/>
        </w:rPr>
        <w:t>；负责定期对墙面、顶棚、门、窗、镜面进行清洁，做到无污渍、无蛛网，发现堵塞、设施损坏或其他突发事故必须要及时上报处理。</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定期做好灭蚊、灭蝇工作，撒放消毒药水，保障垃圾房及垃圾箱无寄生虫害，无蚊蝇繁衍。</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遵守</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各项规章制度，不违反劳动纪律，不违章作业，对本岗位的安全生产负直接责任。</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熟悉区域内消防器材的放置位置，保持安全通道畅通，不得随意挪动、使用消防器材；学会正确使用灭火器，懂得报火警和简单的火灾扑救知识。</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积极参加各种活动、岗位技术练兵和应急预案演练。</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每日班后检查本部门区域的水、设备设施等安全事项落实情况。</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发现安全隐患及时上报并整改，发生安全事故应及时上报并保护现场。</w:t>
      </w:r>
    </w:p>
    <w:p>
      <w:pPr>
        <w:widowControl/>
        <w:numPr>
          <w:ilvl w:val="2"/>
          <w:numId w:val="30"/>
        </w:numPr>
        <w:tabs>
          <w:tab w:val="left" w:pos="640"/>
          <w:tab w:val="clear" w:pos="1156"/>
        </w:tabs>
        <w:adjustRightInd/>
        <w:snapToGrid/>
        <w:spacing w:line="240" w:lineRule="auto"/>
        <w:ind w:left="1060" w:hanging="1060" w:firstLineChars="0"/>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lang w:bidi="ar"/>
        </w:rPr>
        <w:t>公共卫生间</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遵守</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各项安全生产规章制度，不违反劳动纪律，不违章作业，对本岗位的安全生产负直接责任。</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熟悉区域内的消防器材的放置位置，不得随意挪动、使用消防器材；学会正确使用灭火器，懂得报火警和简单的火灾扑救知识。</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洗手间的环境卫生工作，及时清除大、小便器的污垢、水锈，疏通堵塞；做到地面无杂物、灰尘、污迹，墙面、顶棚、门、窗、镜面无污渍、蛛网；定期做好灭蚊、灭蝇工作，撒放消毒药水；及时倾倒垃圾，做到垃圾不超过容器深度的三分之二。</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每日班后检查本部门区域的水、电、设备设施等安全事项落实情况。</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规范着装，正确穿戴防护用品，做好地面防滑工作，做到文明服务。</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 xml:space="preserve">积极参加各种安全活动、岗位技术练兵和事故预知训练。 </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及时放置、添加卫生纸、洗手液等。</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发现安全隐患及时上报并整改，发生安全事故应及时上报并保护现场。</w:t>
      </w:r>
    </w:p>
    <w:p>
      <w:pPr>
        <w:widowControl/>
        <w:numPr>
          <w:ilvl w:val="3"/>
          <w:numId w:val="30"/>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完成上级领导临时交办的其他安全工作任务。</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保安服务要求</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开展</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各项安保工作。</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负责责任区内治安管理，疏导出入口车辆和人员，确保出入口畅通有序。</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对岗位上发生突发性事件，妥善处理紧急事件，及时报告，并定期开展训练、应急演练等培训活动。</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负责做好边门进出人员、车辆的物资查验，确保</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财产安全及现场秩序有序，对</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边门进出情况做好详细记录。</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加强现场巡逻，负责做好各种车辆在</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广场停放的现场指挥，做好危险品车辆的登记和指定停放工作，要求做到文明引导。</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认真做好</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消防管理工作，在巡逻过程，关注广场设备设施，如消防栓等是否存在漏水等问题，如有发现，及时上报。负责做好消防器材和其它公共设施日常检查工作，发现损坏及时上报。</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负责保安亭内的卫生清理工作。</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严格交接班手续，认真填写《保安值班记录》。</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提醒保洁员做好停车场等场所的卫生，及时制止司乘人员</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内的不文明行为。</w:t>
      </w:r>
    </w:p>
    <w:p>
      <w:pPr>
        <w:widowControl/>
        <w:numPr>
          <w:ilvl w:val="2"/>
          <w:numId w:val="30"/>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服从领导调配，认真完成上级交办的其他工作任务。</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监控值守及消控值守</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消控人员分班次24小时值守，具体班次及时间安排需报请采购人同意后予以实施。</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消防监控员岗位职责及岗位要求</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当班人员向主管经理负责，执行其工作指令。</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接班前检查中心的各项设备，包括上一班的工作记录。</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密切注意监控屏幕，如有异常立即通知当班领班，赶赴现场处理，并继续保持监控。</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熟悉单位地形环境、消防设备的分布、灭火器的摆放位置，报警系统的位置，闭路电视监控头的位置。配合各岗位工作，认真做好值班记录。</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认真学习各种灭火器材，熟练掌握控制中心、监控系统的操作程序，</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接到报警后迅速呼叫领班前往报警地点查明原因，同时对现场作定位录像并做好记录。</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爱护岗位上的各种设备器材，保证设施完好、灵敏有效。</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沉着、冷静、迅速、果断地处理当值时发生的问题，遇到难以处理的问题及时上报。工作认真负责、严格执行消防法，遵守消防中心的各项规章制度。</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专职人员每日要对单位的消防设施进行检查，发现有损坏应及时上报处理。并组织相关保安人员及工程部员工进行每月的消防测试及检修。</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做好对相关人员的定期消防培训，组织部门每周的消防培训，确保各项消防管理制度的落实，消除一切消防隐患，</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严格遵守保密制度，未经批准，不得向无关人员泄漏、传播保安电视监控中获知的任何信息。</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认真做好值勤记录，记录要准确详细。</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职位说明</w:t>
      </w:r>
    </w:p>
    <w:p>
      <w:pPr>
        <w:pStyle w:val="70"/>
        <w:numPr>
          <w:ilvl w:val="0"/>
          <w:numId w:val="31"/>
        </w:numPr>
        <w:tabs>
          <w:tab w:val="left" w:pos="1080"/>
          <w:tab w:val="clear" w:pos="510"/>
        </w:tabs>
        <w:spacing w:before="0" w:beforeAutospacing="0" w:after="0" w:afterAutospacing="0" w:line="240" w:lineRule="auto"/>
        <w:ind w:left="1080" w:hanging="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教育背景：</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 xml:space="preserve">中及以上毕业，受过公安消防专业培训，具有上岗证。  </w:t>
      </w:r>
    </w:p>
    <w:p>
      <w:pPr>
        <w:pStyle w:val="70"/>
        <w:numPr>
          <w:ilvl w:val="0"/>
          <w:numId w:val="31"/>
        </w:numPr>
        <w:tabs>
          <w:tab w:val="left" w:pos="1080"/>
          <w:tab w:val="clear" w:pos="510"/>
        </w:tabs>
        <w:spacing w:before="0" w:beforeAutospacing="0" w:after="0" w:afterAutospacing="0" w:line="240" w:lineRule="auto"/>
        <w:ind w:left="1080" w:hanging="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技能：消防设备控制使用，计算机操作、电视监控、事故分析处理能力和突发事件处理能力。</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水电维修</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设备维修过程中所需相关配件由中标人提出采购清单及要求，经采购人审核后由采购人提供。</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设施设备维运、保养：依据现代企业管理要求，采用国家规定的设备设施运行维护管理标准，提供</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供配电(含高配)及照明系统、暖通系统、直饮水系统、给排水系统、消防系统、建筑智能化系统（灯光音响系统、电源系统、网络接入、安防系统、办公系统、电话系统）、建筑幕墙和建筑装饰以及室外配套工程等的正常运行，并配合外包单位的维运、日常维修和保养。提供对其他外来维保单位或改造更新服务单位、人员进行监督、管理、配合的服务。</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电工应持证上岗，并符合地方行政管理部门的规范要求。</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房屋建筑的日常维护、维修和管理，包括：</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域范围内的建筑物的内外墙面、楼梯间、办公区、会议室、休息区域、卫生间等。</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市政公用设施、附属建筑物、构筑物的维护、维修、保养和管理，包括：道路、广场、门警岗亭、</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域内的水系景观管理与服务。</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房屋日常养护维修是为保持房屋原有完好程度和正常使用，而进行的日常养护和及时修复小损小坏等房屋维护管理工作。现有的建筑结构不变的基础上，均由中标人维修完成，</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人负责采购材料(政府立项项目除外)，具体标准如下：</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按有关法规政策规定和</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人约定对房屋及配套设施进行管理服务；</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房屋外观（包括屋面、天台）完好、整洁，外墙、公区楼梯间的面砖、玻璃等地面无污迹、无破损，外墙及公共空间无乱张贴、乱涂、乱画、乱悬挂现象，室外招牌、霓虹灯按规定设置，整齐有序；</w:t>
      </w:r>
    </w:p>
    <w:p>
      <w:pPr>
        <w:widowControl/>
        <w:numPr>
          <w:ilvl w:val="3"/>
          <w:numId w:val="30"/>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及时完成</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人交办的各项零星维修任务，零修合格率100%，随叫随到。</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维修过程中的相关维修工具及材料</w:t>
      </w:r>
      <w:r>
        <w:rPr>
          <w:rFonts w:hint="eastAsia" w:ascii="宋体" w:hAnsi="宋体" w:eastAsia="宋体" w:cs="宋体"/>
          <w:color w:val="auto"/>
          <w:sz w:val="21"/>
          <w:szCs w:val="21"/>
          <w:highlight w:val="none"/>
          <w:lang w:bidi="ar"/>
        </w:rPr>
        <w:t>由采购人提供，中标人按需领用，不得随意挪作他用。</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人委派的其他相关工作。</w:t>
      </w:r>
    </w:p>
    <w:p>
      <w:pPr>
        <w:widowControl/>
        <w:numPr>
          <w:ilvl w:val="1"/>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其他岗位人员</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根据岗位要求完成相关工作。</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服务过程中需热情服务，不得无故迟到、早退、旷工，不得向服务对象及其他人员索要好处及回扣等。</w:t>
      </w:r>
    </w:p>
    <w:p>
      <w:pPr>
        <w:widowControl/>
        <w:numPr>
          <w:ilvl w:val="2"/>
          <w:numId w:val="30"/>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服务过程中发现问题及时向主管人员及采购人汇报。</w:t>
      </w:r>
    </w:p>
    <w:p>
      <w:pPr>
        <w:widowControl/>
        <w:numPr>
          <w:ilvl w:val="2"/>
          <w:numId w:val="30"/>
        </w:numPr>
        <w:tabs>
          <w:tab w:val="left" w:pos="640"/>
          <w:tab w:val="clear" w:pos="1156"/>
        </w:tabs>
        <w:snapToGrid/>
        <w:spacing w:line="240" w:lineRule="auto"/>
        <w:ind w:left="640" w:hanging="640"/>
        <w:jc w:val="left"/>
        <w:rPr>
          <w:rFonts w:hint="eastAsia" w:ascii="宋体" w:hAnsi="宋体" w:eastAsia="宋体" w:cs="宋体"/>
          <w:b w:val="0"/>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采购人委派的其他相关工作。</w:t>
      </w:r>
    </w:p>
    <w:p>
      <w:pPr>
        <w:widowControl/>
        <w:numPr>
          <w:ilvl w:val="1"/>
          <w:numId w:val="30"/>
        </w:numPr>
        <w:tabs>
          <w:tab w:val="left" w:pos="640"/>
          <w:tab w:val="clear" w:pos="680"/>
        </w:tabs>
        <w:snapToGrid/>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各岗位其他相关要求详见合同条款各岗位考核标准。</w:t>
      </w:r>
    </w:p>
    <w:p>
      <w:pPr>
        <w:widowControl/>
        <w:numPr>
          <w:ilvl w:val="0"/>
          <w:numId w:val="30"/>
        </w:numPr>
        <w:tabs>
          <w:tab w:val="left" w:pos="640"/>
          <w:tab w:val="clear" w:pos="680"/>
        </w:tabs>
        <w:snapToGrid/>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rPr>
        <w:t>报价及其它要求</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本项目投标报价为期限壹年的承包费用报价，并采用固定总价承包。投标报价是指供应商在正确地完全履行合同义务后采购人应支付给供应商所有的价款，包括但不限于所有服务所需的人工费（包括工人工资、奖金、房补、劳保福利、社保、工伤费、教育培训费、暂住费及处理一切伤亡事故等费用）、消防远程监控维保费用、服装摊销、除四害费用及物业服务人员的装备费【包括人员各季节工作服和相关装备费用（含通讯设备及通讯费）】、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价。</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物业服务人员实行8小时工作制</w:t>
      </w:r>
      <w:r>
        <w:rPr>
          <w:rFonts w:hint="eastAsia" w:ascii="宋体" w:hAnsi="宋体" w:eastAsia="宋体" w:cs="宋体"/>
          <w:color w:val="auto"/>
          <w:sz w:val="21"/>
          <w:szCs w:val="21"/>
          <w:highlight w:val="none"/>
        </w:rPr>
        <w:t>，相关加班产生的费用由投标供应商在报价中自行考虑，综合报价。</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物业经理需按规定参加服务区的日常排班值守，相关费用在报价过程中自行考虑，综合报价。</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▲服务区临时增加人员加班费，</w:t>
      </w:r>
      <w:r>
        <w:rPr>
          <w:rFonts w:hint="eastAsia" w:ascii="宋体" w:hAnsi="宋体" w:eastAsia="宋体" w:cs="宋体"/>
          <w:bCs/>
          <w:color w:val="auto"/>
          <w:sz w:val="21"/>
          <w:szCs w:val="21"/>
          <w:highlight w:val="none"/>
          <w:u w:val="single"/>
        </w:rPr>
        <w:t>加班费标准</w:t>
      </w:r>
      <w:r>
        <w:rPr>
          <w:rFonts w:hint="eastAsia" w:ascii="宋体" w:hAnsi="宋体" w:eastAsia="宋体" w:cs="宋体"/>
          <w:bCs/>
          <w:color w:val="auto"/>
          <w:sz w:val="21"/>
          <w:szCs w:val="21"/>
          <w:highlight w:val="none"/>
          <w:u w:val="single"/>
          <w:lang w:val="en-US" w:eastAsia="zh-CN"/>
        </w:rPr>
        <w:t>每人按</w:t>
      </w:r>
      <w:r>
        <w:rPr>
          <w:rFonts w:hint="eastAsia" w:ascii="宋体" w:hAnsi="宋体" w:eastAsia="宋体" w:cs="宋体"/>
          <w:bCs/>
          <w:color w:val="auto"/>
          <w:sz w:val="21"/>
          <w:szCs w:val="21"/>
          <w:highlight w:val="none"/>
          <w:u w:val="single"/>
        </w:rPr>
        <w:t>1</w:t>
      </w:r>
      <w:r>
        <w:rPr>
          <w:rFonts w:hint="eastAsia" w:ascii="宋体" w:hAnsi="宋体" w:eastAsia="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0元/班</w:t>
      </w:r>
      <w:r>
        <w:rPr>
          <w:rFonts w:hint="eastAsia" w:ascii="宋体" w:hAnsi="宋体" w:eastAsia="宋体" w:cs="宋体"/>
          <w:bCs/>
          <w:color w:val="auto"/>
          <w:sz w:val="21"/>
          <w:szCs w:val="21"/>
          <w:highlight w:val="none"/>
          <w:u w:val="single"/>
          <w:lang w:val="en-US" w:eastAsia="zh-CN"/>
        </w:rPr>
        <w:t>计付</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服务区临时增加人员加班费</w:t>
      </w:r>
      <w:r>
        <w:rPr>
          <w:rFonts w:hint="eastAsia" w:ascii="宋体" w:hAnsi="宋体" w:eastAsia="宋体" w:cs="宋体"/>
          <w:color w:val="auto"/>
          <w:sz w:val="21"/>
          <w:szCs w:val="21"/>
          <w:highlight w:val="none"/>
          <w:u w:val="single"/>
          <w:lang w:val="en-US" w:eastAsia="zh-CN"/>
        </w:rPr>
        <w:t>总额限额为8</w:t>
      </w:r>
      <w:r>
        <w:rPr>
          <w:rFonts w:hint="eastAsia" w:ascii="宋体" w:hAnsi="宋体" w:eastAsia="宋体" w:cs="宋体"/>
          <w:color w:val="auto"/>
          <w:sz w:val="21"/>
          <w:szCs w:val="21"/>
          <w:highlight w:val="none"/>
          <w:u w:val="single"/>
        </w:rPr>
        <w:t>万元整，包含在报价总价中，本费用最终按实际增加人员按实结算。</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维修单价金额</w:t>
      </w:r>
      <w:r>
        <w:rPr>
          <w:rFonts w:hint="eastAsia" w:ascii="宋体" w:hAnsi="宋体" w:eastAsia="宋体" w:cs="宋体"/>
          <w:color w:val="auto"/>
          <w:sz w:val="21"/>
          <w:szCs w:val="21"/>
          <w:highlight w:val="none"/>
          <w:u w:val="single"/>
        </w:rPr>
        <w:t>在50元以下维修费用</w:t>
      </w:r>
      <w:r>
        <w:rPr>
          <w:rFonts w:hint="eastAsia" w:ascii="宋体" w:hAnsi="宋体" w:eastAsia="宋体" w:cs="宋体"/>
          <w:color w:val="auto"/>
          <w:sz w:val="21"/>
          <w:szCs w:val="21"/>
          <w:highlight w:val="none"/>
          <w:u w:val="single"/>
          <w:lang w:val="en-US" w:eastAsia="zh-CN"/>
        </w:rPr>
        <w:t>按</w:t>
      </w:r>
      <w:r>
        <w:rPr>
          <w:rFonts w:hint="eastAsia" w:ascii="宋体" w:hAnsi="宋体" w:eastAsia="宋体" w:cs="宋体"/>
          <w:color w:val="auto"/>
          <w:sz w:val="21"/>
          <w:szCs w:val="21"/>
          <w:highlight w:val="none"/>
          <w:u w:val="single"/>
        </w:rPr>
        <w:t>4万元/年</w:t>
      </w:r>
      <w:r>
        <w:rPr>
          <w:rFonts w:hint="eastAsia" w:ascii="宋体" w:hAnsi="宋体" w:eastAsia="宋体" w:cs="宋体"/>
          <w:color w:val="auto"/>
          <w:sz w:val="21"/>
          <w:szCs w:val="21"/>
          <w:highlight w:val="none"/>
          <w:u w:val="single"/>
          <w:lang w:val="en-US" w:eastAsia="zh-CN"/>
        </w:rPr>
        <w:t>总额包干</w:t>
      </w:r>
      <w:r>
        <w:rPr>
          <w:rFonts w:hint="eastAsia" w:ascii="宋体" w:hAnsi="宋体" w:eastAsia="宋体" w:cs="宋体"/>
          <w:color w:val="auto"/>
          <w:sz w:val="21"/>
          <w:szCs w:val="21"/>
          <w:highlight w:val="none"/>
          <w:u w:val="single"/>
        </w:rPr>
        <w:t>，在承包总价中列支。维修申请单需在事发时或当月由乙方提出申请，甲方负责人确认，超出时间期限的申请，一律不予确认计量。</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▲员工奖励金暂定每年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万元整，包含在投标总价中，该费用用于服务区内优秀员工的奖励，奖励金额及奖励方式由采购人根据相关员工的日常表现确定，但供应商不得因此奖励金的发放而扣减原本供应商自身应发放给员工的相关奖励。该费用供应商需按月先行垫付，足额发放至对应员工，每季度根据实际发放情况与采购人按实结算。</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▲中标人在服务期间的在岗员工人数不得少于采购文件规定的人数，并依法参加社保，社保缴纳基数按温州市区标准执行。</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结合本项目具体情况，为保证项目人员服务水平，要求本次投标供应商员工基本工资最低不得低于2800元/月，每月（最低工资不包括下列四项收入：延长工作时间的工资；中班、夜班、高温、低温、有毒有害等特殊工作环境、条件下的津贴；贴补伙食、住房等支付给劳动者的非货币性收入；法律、法规和国家规定的劳动者福利待遇等）。</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高温补贴：中标人需按国家规定发放相关岗位高温补贴。</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节假日补贴：本项目为高速公路服务区，为全年无休状态，中标单位需按规定发放节假日补贴。</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▲工作期间，相关服务人员需在指定餐厅搭伙就餐，伙食费按每人每月500元（只提供工作餐），包含在报价总价中。</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众责任险：中标人须投保公众责任险，承包期内相关人员在工作期间出现各种人身意外或财产损失的均由承包方负责解决处理及赔偿，采购人不再另行承担相关责任风险及赔偿责任。服务区公众责任险费用，由投标人根据各服务区面积及保险公司综合报价，自行投保，投保额度由投标人自行综合考虑，该笔费用包含在项目采购预算内，各投标供应商报价，投标总价内必须包含该笔费用。如出现因投保额度不足造成的理赔赔偿金不足的情况，由中标人自行承担。</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采购人提供的各种设备、设施、工具，中标人应安全、规范使用。除正常使用折旧外，中标人应保证各设备、设施、工具的完好性，如有非正常损坏或遗失，中标人应照价赔偿。</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人员的服装费用由供应商自行负责配备，分类统一着装，但服装样式需经采购人核准。中标人配置在服务区内的工作人员需统一着装，着装按春秋两季（含上衣、裤子、帽子、鞋子）、夏季（含上衣、裤子、帽子、鞋子）、冬季（含上衣、裤子、帽子、鞋子、冬大衣），外务人员另配一件反光背心（样式需经采购人同意），分别按实际采购人所需人员数量，统一配齐。如发生衣物破损、丢失、中标单位应及时补齐。</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中标人根据本项目投入全职工作人员的实际情况，依法参加社保。因中标人未按相关法律、法规缴纳社保而引起的纠纷投诉，由中标人自行承担相关后果，采购人概不负责。</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中标人拟派参与本项目的人数多于采购文件要求的人数时，须按拟派人员数量进行报价。</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投标人的报价应包括为完成本项目服务可能发生的全部费用及供应商的利润和应交纳的税金等,并对合同内容的费用、质量、安全、文明服务等实行全面承包。</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本次采购，在服务期内如因政策性因素调整导致相关人员的工资、社保、节假日、高温补贴出现变化的，该部分费用由中标人自行承担，采购人不予以调整该部分费用，各投标人在报价时须综合考虑风险。</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single"/>
          <w:lang w:val="en-US" w:eastAsia="zh-CN"/>
        </w:rPr>
        <w:t>陶山服务区原服务合同已于2022年12月31日到期，因疫情防控等原因造成本项目采购招标进度滞后。经协商，本项目新中标人进场服务前，陶山服务区物业仍需原承包单位继续运营服务，原承包单位继续服务时间预计为2023年1月1日--2023年4月30日。此期间的服务费金额以原承包人与采购人签订的合同金额为准，并由新中标人支付给原承包单位。因此请各投标人投标报价时，投标总价中必须充分考虑该费用，并在中标后按照规定支付该笔费用</w:t>
      </w:r>
      <w:r>
        <w:rPr>
          <w:rFonts w:hint="eastAsia" w:ascii="宋体" w:hAnsi="宋体" w:eastAsia="宋体" w:cs="宋体"/>
          <w:b w:val="0"/>
          <w:bCs w:val="0"/>
          <w:color w:val="auto"/>
          <w:sz w:val="21"/>
          <w:szCs w:val="21"/>
          <w:highlight w:val="none"/>
          <w:lang w:val="en-US" w:eastAsia="zh-CN"/>
        </w:rPr>
        <w:t>。</w:t>
      </w:r>
    </w:p>
    <w:p>
      <w:pPr>
        <w:widowControl/>
        <w:numPr>
          <w:ilvl w:val="0"/>
          <w:numId w:val="0"/>
        </w:numPr>
        <w:tabs>
          <w:tab w:val="left" w:pos="640"/>
        </w:tabs>
        <w:spacing w:line="240" w:lineRule="auto"/>
        <w:ind w:leftChars="0" w:firstLine="630" w:firstLineChars="300"/>
        <w:jc w:val="left"/>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第一年度的服务期自2023年1月1日份开始计算。</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lang w:val="en-US" w:eastAsia="zh-CN"/>
        </w:rPr>
        <w:t>因承包方管理不善造成采购人损失的，由承包方承担相关损失（包括直接损失、间接损失、律师费、差旅费及其他一切合理支出等），并负责赔偿。</w:t>
      </w:r>
    </w:p>
    <w:p>
      <w:pPr>
        <w:widowControl/>
        <w:numPr>
          <w:ilvl w:val="1"/>
          <w:numId w:val="30"/>
        </w:numPr>
        <w:tabs>
          <w:tab w:val="left" w:pos="640"/>
          <w:tab w:val="clear" w:pos="680"/>
        </w:tabs>
        <w:spacing w:line="240" w:lineRule="auto"/>
        <w:ind w:left="640" w:hanging="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特殊情况如需代班顶岗的，须经采购人确认后方可实施，否则不予以认可，顶岗人员费用只计取日常岗位工资和餐补，其他费用不予支付。</w:t>
      </w:r>
    </w:p>
    <w:p>
      <w:pPr>
        <w:widowControl/>
        <w:numPr>
          <w:ilvl w:val="0"/>
          <w:numId w:val="30"/>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本项目服务期限： </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合同签订后1年，具体服务时间在合同签订时双方协商确定</w:t>
      </w:r>
      <w:r>
        <w:rPr>
          <w:rFonts w:hint="eastAsia" w:ascii="宋体" w:hAnsi="宋体" w:eastAsia="宋体" w:cs="宋体"/>
          <w:b/>
          <w:bCs/>
          <w:color w:val="auto"/>
          <w:sz w:val="21"/>
          <w:szCs w:val="21"/>
          <w:highlight w:val="none"/>
        </w:rPr>
        <w:t>。</w:t>
      </w:r>
    </w:p>
    <w:p>
      <w:pPr>
        <w:widowControl/>
        <w:numPr>
          <w:ilvl w:val="1"/>
          <w:numId w:val="30"/>
        </w:numPr>
        <w:tabs>
          <w:tab w:val="left" w:pos="640"/>
          <w:tab w:val="clear" w:pos="680"/>
        </w:tabs>
        <w:spacing w:line="240" w:lineRule="auto"/>
        <w:ind w:left="640" w:hanging="64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采用1+1模式，合同一年一签，每月进行考核，连续2月考核不通过或半年内有2次考核不合格将终止合同；年终进行综合考核，考核不合格将终止合同。</w:t>
      </w:r>
    </w:p>
    <w:p>
      <w:pPr>
        <w:widowControl/>
        <w:numPr>
          <w:ilvl w:val="1"/>
          <w:numId w:val="30"/>
        </w:numPr>
        <w:tabs>
          <w:tab w:val="left" w:pos="640"/>
          <w:tab w:val="clear" w:pos="680"/>
        </w:tabs>
        <w:snapToGrid/>
        <w:spacing w:line="240" w:lineRule="auto"/>
        <w:ind w:left="640" w:hanging="640" w:firstLineChars="0"/>
        <w:jc w:val="left"/>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合同执行约束见文件附件：</w:t>
      </w:r>
      <w:r>
        <w:rPr>
          <w:rFonts w:hint="eastAsia" w:ascii="宋体" w:hAnsi="宋体" w:eastAsia="宋体" w:cs="宋体"/>
          <w:b/>
          <w:bCs/>
          <w:color w:val="auto"/>
          <w:sz w:val="21"/>
          <w:szCs w:val="21"/>
          <w:highlight w:val="none"/>
          <w:u w:val="none"/>
          <w:lang w:eastAsia="zh-CN"/>
        </w:rPr>
        <w:t>服务区</w:t>
      </w:r>
      <w:r>
        <w:rPr>
          <w:rFonts w:hint="eastAsia" w:ascii="宋体" w:hAnsi="宋体" w:eastAsia="宋体" w:cs="宋体"/>
          <w:b/>
          <w:bCs/>
          <w:color w:val="auto"/>
          <w:sz w:val="21"/>
          <w:szCs w:val="21"/>
          <w:highlight w:val="none"/>
          <w:u w:val="none"/>
        </w:rPr>
        <w:t>物业管理考核办法，见考核评分细则，评分细则采购人有权根据实际服务内容、情况进行调整。</w:t>
      </w:r>
    </w:p>
    <w:p>
      <w:pPr>
        <w:widowControl/>
        <w:numPr>
          <w:ilvl w:val="0"/>
          <w:numId w:val="30"/>
        </w:numPr>
        <w:tabs>
          <w:tab w:val="left" w:pos="640"/>
          <w:tab w:val="clear" w:pos="680"/>
        </w:tabs>
        <w:spacing w:line="240" w:lineRule="auto"/>
        <w:ind w:left="640" w:hanging="640"/>
        <w:jc w:val="left"/>
        <w:rPr>
          <w:rFonts w:hint="eastAsia" w:ascii="宋体" w:hAnsi="宋体" w:eastAsia="宋体" w:cs="宋体"/>
          <w:b/>
          <w:bCs/>
          <w:snapToGrid/>
          <w:color w:val="auto"/>
          <w:kern w:val="2"/>
          <w:sz w:val="21"/>
          <w:szCs w:val="21"/>
          <w:highlight w:val="none"/>
          <w:u w:val="none"/>
        </w:rPr>
      </w:pPr>
      <w:r>
        <w:rPr>
          <w:rFonts w:hint="eastAsia" w:ascii="宋体" w:hAnsi="宋体" w:eastAsia="宋体" w:cs="宋体"/>
          <w:b/>
          <w:bCs/>
          <w:color w:val="auto"/>
          <w:sz w:val="21"/>
          <w:szCs w:val="21"/>
          <w:highlight w:val="none"/>
          <w:u w:val="none"/>
        </w:rPr>
        <w:t>支付方式</w:t>
      </w:r>
    </w:p>
    <w:p>
      <w:pPr>
        <w:widowControl/>
        <w:numPr>
          <w:ilvl w:val="1"/>
          <w:numId w:val="30"/>
        </w:numPr>
        <w:tabs>
          <w:tab w:val="left" w:pos="640"/>
          <w:tab w:val="clear" w:pos="680"/>
        </w:tabs>
        <w:snapToGrid/>
        <w:spacing w:line="240" w:lineRule="auto"/>
        <w:ind w:left="640" w:hanging="640" w:firstLineChars="0"/>
        <w:jc w:val="left"/>
        <w:rPr>
          <w:rFonts w:hint="eastAsia" w:ascii="宋体" w:hAnsi="宋体" w:eastAsia="宋体" w:cs="宋体"/>
          <w:b/>
          <w:bCs/>
          <w:color w:val="auto"/>
          <w:sz w:val="21"/>
          <w:szCs w:val="21"/>
          <w:highlight w:val="none"/>
          <w:u w:val="single"/>
        </w:rPr>
      </w:pPr>
      <w:bookmarkStart w:id="221" w:name="OLE_LINK32"/>
      <w:bookmarkStart w:id="222" w:name="OLE_LINK31"/>
      <w:r>
        <w:rPr>
          <w:rFonts w:hint="eastAsia" w:ascii="宋体" w:hAnsi="宋体" w:eastAsia="宋体" w:cs="宋体"/>
          <w:b/>
          <w:bCs/>
          <w:color w:val="auto"/>
          <w:sz w:val="21"/>
          <w:szCs w:val="21"/>
          <w:highlight w:val="none"/>
          <w:u w:val="single"/>
        </w:rPr>
        <w:t>▲中标人在收到中标通知书后，签订合同前须向采购人提交</w:t>
      </w:r>
      <w:r>
        <w:rPr>
          <w:rFonts w:hint="eastAsia" w:ascii="宋体" w:hAnsi="宋体" w:eastAsia="宋体" w:cs="宋体"/>
          <w:b/>
          <w:bCs/>
          <w:color w:val="auto"/>
          <w:kern w:val="0"/>
          <w:sz w:val="21"/>
          <w:szCs w:val="21"/>
          <w:highlight w:val="none"/>
          <w:u w:val="single"/>
        </w:rPr>
        <w:t>合同价的5%作为</w:t>
      </w:r>
      <w:r>
        <w:rPr>
          <w:rFonts w:hint="eastAsia" w:ascii="宋体" w:hAnsi="宋体" w:eastAsia="宋体" w:cs="宋体"/>
          <w:b/>
          <w:bCs/>
          <w:color w:val="auto"/>
          <w:sz w:val="21"/>
          <w:szCs w:val="21"/>
          <w:highlight w:val="none"/>
          <w:u w:val="single"/>
        </w:rPr>
        <w:t>履约保证金（须汇入采购人指定银行账户。户名：温州市高速公路资产经营有限公司；开户行：中国建设银行温州大自然支行；账号：33050162876800000039）。</w:t>
      </w:r>
    </w:p>
    <w:p>
      <w:pPr>
        <w:widowControl/>
        <w:numPr>
          <w:ilvl w:val="1"/>
          <w:numId w:val="30"/>
        </w:numPr>
        <w:tabs>
          <w:tab w:val="left" w:pos="640"/>
          <w:tab w:val="clear" w:pos="680"/>
        </w:tabs>
        <w:snapToGrid/>
        <w:spacing w:line="240" w:lineRule="auto"/>
        <w:ind w:left="640" w:hanging="640" w:firstLineChars="0"/>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▲服务期结束，且所有合同义务都已履行完毕后7天内，无息退还履约保证金。</w:t>
      </w:r>
    </w:p>
    <w:p>
      <w:pPr>
        <w:widowControl/>
        <w:numPr>
          <w:ilvl w:val="0"/>
          <w:numId w:val="30"/>
        </w:numPr>
        <w:tabs>
          <w:tab w:val="left" w:pos="640"/>
          <w:tab w:val="clear" w:pos="680"/>
        </w:tabs>
        <w:spacing w:line="240" w:lineRule="auto"/>
        <w:ind w:left="640" w:hanging="640"/>
        <w:jc w:val="left"/>
        <w:rPr>
          <w:rFonts w:hint="eastAsia" w:ascii="宋体" w:hAnsi="宋体" w:eastAsia="宋体" w:cs="宋体"/>
          <w:b/>
          <w:bCs/>
          <w:highlight w:val="none"/>
        </w:rPr>
      </w:pPr>
      <w:r>
        <w:rPr>
          <w:rFonts w:hint="eastAsia" w:ascii="宋体" w:hAnsi="宋体" w:eastAsia="宋体" w:cs="宋体"/>
          <w:b/>
          <w:bCs/>
          <w:highlight w:val="none"/>
          <w:lang w:val="en-US" w:eastAsia="zh-CN"/>
        </w:rPr>
        <w:t>其他：详见合同条款</w:t>
      </w:r>
    </w:p>
    <w:bookmarkEnd w:id="204"/>
    <w:bookmarkEnd w:id="205"/>
    <w:bookmarkEnd w:id="221"/>
    <w:bookmarkEnd w:id="222"/>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01"/>
      <w:bookmarkEnd w:id="202"/>
      <w:bookmarkEnd w:id="203"/>
      <w:bookmarkEnd w:id="206"/>
      <w:bookmarkEnd w:id="207"/>
      <w:bookmarkEnd w:id="208"/>
      <w:bookmarkEnd w:id="209"/>
      <w:bookmarkEnd w:id="210"/>
      <w:bookmarkEnd w:id="211"/>
      <w:bookmarkEnd w:id="212"/>
      <w:bookmarkEnd w:id="213"/>
      <w:bookmarkEnd w:id="214"/>
      <w:bookmarkEnd w:id="215"/>
      <w:bookmarkEnd w:id="216"/>
      <w:bookmarkEnd w:id="217"/>
      <w:bookmarkEnd w:id="218"/>
    </w:p>
    <w:p>
      <w:pPr>
        <w:jc w:val="center"/>
        <w:rPr>
          <w:rFonts w:hint="eastAsia" w:ascii="宋体" w:hAnsi="宋体" w:eastAsia="宋体" w:cs="宋体"/>
          <w:color w:val="auto"/>
          <w:sz w:val="22"/>
          <w:highlight w:val="none"/>
        </w:rPr>
      </w:pP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color w:val="auto"/>
          <w:kern w:val="0"/>
          <w:sz w:val="22"/>
          <w:highlight w:val="none"/>
        </w:rPr>
        <w:t>2、先熟悉采购文件和评</w:t>
      </w:r>
      <w:r>
        <w:rPr>
          <w:rFonts w:hint="eastAsia" w:ascii="宋体" w:hAnsi="宋体" w:eastAsia="宋体" w:cs="宋体"/>
          <w:snapToGrid w:val="0"/>
          <w:kern w:val="0"/>
          <w:sz w:val="22"/>
          <w:highlight w:val="none"/>
        </w:rPr>
        <w:t>标办法。</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hint="eastAsia" w:ascii="宋体" w:hAnsi="宋体" w:eastAsia="宋体" w:cs="宋体"/>
          <w:szCs w:val="24"/>
          <w:highlight w:val="none"/>
        </w:rPr>
      </w:pPr>
      <w:r>
        <w:rPr>
          <w:rFonts w:hint="eastAsia" w:ascii="宋体" w:hAnsi="宋体" w:eastAsia="宋体" w:cs="宋体"/>
          <w:snapToGrid w:val="0"/>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8</w:t>
      </w:r>
      <w:r>
        <w:rPr>
          <w:rFonts w:hint="eastAsia" w:ascii="宋体" w:hAnsi="宋体" w:eastAsia="宋体" w:cs="宋体"/>
          <w:sz w:val="22"/>
          <w:szCs w:val="24"/>
          <w:highlight w:val="none"/>
          <w:lang w:val="en-US" w:eastAsia="zh-CN"/>
        </w:rPr>
        <w:t>0</w:t>
      </w:r>
      <w:r>
        <w:rPr>
          <w:rFonts w:hint="eastAsia" w:ascii="宋体" w:hAnsi="宋体" w:eastAsia="宋体" w:cs="宋体"/>
          <w:sz w:val="22"/>
          <w:szCs w:val="24"/>
          <w:highlight w:val="none"/>
        </w:rPr>
        <w:t>分，商务（报价）分</w:t>
      </w:r>
      <w:r>
        <w:rPr>
          <w:rFonts w:hint="eastAsia" w:ascii="宋体" w:hAnsi="宋体" w:eastAsia="宋体" w:cs="宋体"/>
          <w:sz w:val="22"/>
          <w:szCs w:val="24"/>
          <w:highlight w:val="none"/>
          <w:lang w:val="en-US" w:eastAsia="zh-CN"/>
        </w:rPr>
        <w:t>20</w:t>
      </w:r>
      <w:r>
        <w:rPr>
          <w:rFonts w:hint="eastAsia" w:ascii="宋体" w:hAnsi="宋体" w:eastAsia="宋体" w:cs="宋体"/>
          <w:sz w:val="22"/>
          <w:szCs w:val="24"/>
          <w:highlight w:val="none"/>
        </w:rPr>
        <w:t>分。</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pPr>
        <w:adjustRightInd w:val="0"/>
        <w:snapToGrid w:val="0"/>
        <w:rPr>
          <w:rFonts w:hint="eastAsia" w:ascii="宋体" w:hAnsi="宋体" w:eastAsia="宋体" w:cs="宋体"/>
          <w:b/>
          <w:bCs/>
          <w:color w:val="auto"/>
          <w:sz w:val="22"/>
          <w:highlight w:val="none"/>
        </w:rPr>
      </w:pPr>
      <w:r>
        <w:rPr>
          <w:rFonts w:hint="eastAsia" w:ascii="宋体" w:hAnsi="宋体" w:eastAsia="宋体" w:cs="宋体"/>
          <w:b/>
          <w:bCs/>
          <w:sz w:val="22"/>
          <w:highlight w:val="none"/>
        </w:rPr>
        <w:t>1、技术资信评审分值（8</w:t>
      </w:r>
      <w:r>
        <w:rPr>
          <w:rFonts w:hint="eastAsia" w:ascii="宋体" w:hAnsi="宋体" w:eastAsia="宋体" w:cs="宋体"/>
          <w:b/>
          <w:bCs/>
          <w:color w:val="auto"/>
          <w:sz w:val="22"/>
          <w:highlight w:val="none"/>
          <w:lang w:val="en-US" w:eastAsia="zh-CN"/>
        </w:rPr>
        <w:t>0</w:t>
      </w:r>
      <w:r>
        <w:rPr>
          <w:rFonts w:hint="eastAsia" w:ascii="宋体" w:hAnsi="宋体" w:eastAsia="宋体" w:cs="宋体"/>
          <w:b/>
          <w:bCs/>
          <w:color w:val="auto"/>
          <w:sz w:val="22"/>
          <w:highlight w:val="none"/>
        </w:rPr>
        <w:t>分）</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4"/>
        <w:tblW w:w="9027" w:type="dxa"/>
        <w:jc w:val="center"/>
        <w:tblLayout w:type="fixed"/>
        <w:tblCellMar>
          <w:top w:w="0" w:type="dxa"/>
          <w:left w:w="108" w:type="dxa"/>
          <w:bottom w:w="0" w:type="dxa"/>
          <w:right w:w="108" w:type="dxa"/>
        </w:tblCellMar>
      </w:tblPr>
      <w:tblGrid>
        <w:gridCol w:w="462"/>
        <w:gridCol w:w="625"/>
        <w:gridCol w:w="1575"/>
        <w:gridCol w:w="713"/>
        <w:gridCol w:w="5652"/>
      </w:tblGrid>
      <w:tr>
        <w:tblPrEx>
          <w:tblCellMar>
            <w:top w:w="0" w:type="dxa"/>
            <w:left w:w="108" w:type="dxa"/>
            <w:bottom w:w="0" w:type="dxa"/>
            <w:right w:w="108" w:type="dxa"/>
          </w:tblCellMar>
        </w:tblPrEx>
        <w:trPr>
          <w:trHeight w:val="23" w:hRule="atLeast"/>
          <w:jc w:val="center"/>
        </w:trPr>
        <w:tc>
          <w:tcPr>
            <w:tcW w:w="462" w:type="dxa"/>
            <w:tcBorders>
              <w:top w:val="single" w:color="auto" w:sz="12"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200" w:type="dxa"/>
            <w:gridSpan w:val="2"/>
            <w:tcBorders>
              <w:top w:val="single" w:color="auto" w:sz="12"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713" w:type="dxa"/>
            <w:tcBorders>
              <w:top w:val="single" w:color="auto" w:sz="12"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满</w:t>
            </w:r>
            <w:r>
              <w:rPr>
                <w:rFonts w:hint="eastAsia" w:ascii="宋体" w:hAnsi="宋体" w:eastAsia="宋体" w:cs="宋体"/>
                <w:color w:val="auto"/>
                <w:sz w:val="18"/>
                <w:szCs w:val="18"/>
                <w:highlight w:val="none"/>
              </w:rPr>
              <w:t>分值</w:t>
            </w:r>
          </w:p>
        </w:tc>
        <w:tc>
          <w:tcPr>
            <w:tcW w:w="5652" w:type="dxa"/>
            <w:tcBorders>
              <w:top w:val="single" w:color="auto" w:sz="12" w:space="0"/>
              <w:left w:val="single" w:color="auto" w:sz="4" w:space="0"/>
              <w:bottom w:val="single" w:color="auto" w:sz="4" w:space="0"/>
              <w:right w:val="single" w:color="auto" w:sz="12"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CellMar>
            <w:top w:w="0" w:type="dxa"/>
            <w:left w:w="108" w:type="dxa"/>
            <w:bottom w:w="0" w:type="dxa"/>
            <w:right w:w="108" w:type="dxa"/>
          </w:tblCellMar>
        </w:tblPrEx>
        <w:trPr>
          <w:trHeight w:val="23" w:hRule="atLeast"/>
          <w:jc w:val="center"/>
        </w:trPr>
        <w:tc>
          <w:tcPr>
            <w:tcW w:w="462" w:type="dxa"/>
            <w:vMerge w:val="restart"/>
            <w:tcBorders>
              <w:top w:val="single" w:color="auto" w:sz="4" w:space="0"/>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25"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投标人综合实力</w:t>
            </w:r>
          </w:p>
        </w:tc>
        <w:tc>
          <w:tcPr>
            <w:tcW w:w="1575" w:type="dxa"/>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投标人认证情况</w:t>
            </w:r>
          </w:p>
        </w:tc>
        <w:tc>
          <w:tcPr>
            <w:tcW w:w="713"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1）通过ISO9001质量管理体系认证，并获得有效证书得1分；</w:t>
            </w:r>
          </w:p>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2）通过ISO14001环境体系认证，并获得有效证书得1分；</w:t>
            </w:r>
          </w:p>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3）通过ISO18001职业健康安全体系认证，并获得有效证书得1分</w:t>
            </w:r>
            <w:r>
              <w:rPr>
                <w:rFonts w:hint="eastAsia" w:ascii="宋体" w:hAnsi="宋体" w:eastAsia="宋体" w:cs="宋体"/>
                <w:color w:val="auto"/>
                <w:kern w:val="0"/>
                <w:sz w:val="18"/>
                <w:szCs w:val="18"/>
                <w:highlight w:val="none"/>
                <w:lang w:eastAsia="zh-CN"/>
              </w:rPr>
              <w:t>；</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通过政府主管部门服务业标准化创建，并获得有效证书的得</w:t>
            </w:r>
            <w:r>
              <w:rPr>
                <w:rFonts w:hint="eastAsia" w:ascii="宋体" w:hAnsi="宋体" w:eastAsia="宋体" w:cs="宋体"/>
                <w:color w:val="auto"/>
                <w:kern w:val="0"/>
                <w:sz w:val="18"/>
                <w:szCs w:val="18"/>
                <w:highlight w:val="none"/>
                <w:lang w:val="en-US" w:eastAsia="zh-CN"/>
              </w:rPr>
              <w:t>3分。</w:t>
            </w:r>
          </w:p>
          <w:p>
            <w:pPr>
              <w:widowControl/>
              <w:adjustRightInd w:val="0"/>
              <w:snapToGrid w:val="0"/>
              <w:spacing w:line="240" w:lineRule="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须提供有效证明文件复印件加盖单位盖章，</w:t>
            </w:r>
            <w:r>
              <w:rPr>
                <w:rFonts w:hint="eastAsia" w:ascii="宋体" w:hAnsi="宋体" w:eastAsia="宋体" w:cs="宋体"/>
                <w:b/>
                <w:bCs/>
                <w:color w:val="auto"/>
                <w:kern w:val="0"/>
                <w:sz w:val="18"/>
                <w:szCs w:val="18"/>
                <w:highlight w:val="none"/>
                <w:u w:val="single"/>
                <w:lang w:val="en-US" w:eastAsia="zh-CN"/>
              </w:rPr>
              <w:t>同时提供原件核对，不提供原件的不得分</w:t>
            </w:r>
            <w:r>
              <w:rPr>
                <w:rFonts w:hint="eastAsia" w:ascii="宋体" w:hAnsi="宋体" w:eastAsia="宋体" w:cs="宋体"/>
                <w:color w:val="auto"/>
                <w:kern w:val="0"/>
                <w:sz w:val="18"/>
                <w:szCs w:val="18"/>
                <w:highlight w:val="none"/>
                <w:lang w:val="en-US" w:eastAsia="zh-CN"/>
              </w:rPr>
              <w:t>，没有的不得分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投标人获得荣誉</w:t>
            </w:r>
          </w:p>
        </w:tc>
        <w:tc>
          <w:tcPr>
            <w:tcW w:w="713"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5652" w:type="dxa"/>
            <w:tcBorders>
              <w:top w:val="single" w:color="auto" w:sz="4" w:space="0"/>
              <w:left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snapToGrid w:val="0"/>
                <w:color w:val="auto"/>
                <w:kern w:val="0"/>
                <w:sz w:val="18"/>
                <w:szCs w:val="18"/>
                <w:highlight w:val="none"/>
                <w:lang w:eastAsia="zh-CN"/>
              </w:rPr>
            </w:pPr>
            <w:r>
              <w:rPr>
                <w:rFonts w:hint="eastAsia" w:ascii="宋体" w:hAnsi="宋体" w:eastAsia="宋体" w:cs="宋体"/>
                <w:snapToGrid w:val="0"/>
                <w:color w:val="auto"/>
                <w:kern w:val="0"/>
                <w:sz w:val="18"/>
                <w:szCs w:val="18"/>
                <w:highlight w:val="none"/>
              </w:rPr>
              <w:t>201</w:t>
            </w:r>
            <w:r>
              <w:rPr>
                <w:rFonts w:hint="eastAsia" w:ascii="宋体" w:hAnsi="宋体" w:eastAsia="宋体" w:cs="宋体"/>
                <w:snapToGrid w:val="0"/>
                <w:color w:val="auto"/>
                <w:kern w:val="0"/>
                <w:sz w:val="18"/>
                <w:szCs w:val="18"/>
                <w:highlight w:val="none"/>
                <w:lang w:val="en-US" w:eastAsia="zh-CN"/>
              </w:rPr>
              <w:t>6年1月1日</w:t>
            </w:r>
            <w:r>
              <w:rPr>
                <w:rFonts w:hint="eastAsia" w:ascii="宋体" w:hAnsi="宋体" w:eastAsia="宋体" w:cs="宋体"/>
                <w:snapToGrid w:val="0"/>
                <w:color w:val="auto"/>
                <w:kern w:val="0"/>
                <w:sz w:val="18"/>
                <w:szCs w:val="18"/>
                <w:highlight w:val="none"/>
              </w:rPr>
              <w:t>以来企业获得区级（含区级）以上人民政府或部门颁发的各种荣誉的</w:t>
            </w:r>
            <w:r>
              <w:rPr>
                <w:rFonts w:hint="eastAsia" w:ascii="宋体" w:hAnsi="宋体" w:eastAsia="宋体" w:cs="宋体"/>
                <w:snapToGrid w:val="0"/>
                <w:color w:val="auto"/>
                <w:kern w:val="0"/>
                <w:sz w:val="18"/>
                <w:szCs w:val="18"/>
                <w:highlight w:val="none"/>
                <w:lang w:eastAsia="zh-CN"/>
              </w:rPr>
              <w:t>1</w:t>
            </w:r>
            <w:r>
              <w:rPr>
                <w:rFonts w:hint="eastAsia" w:ascii="宋体" w:hAnsi="宋体" w:eastAsia="宋体" w:cs="宋体"/>
                <w:snapToGrid w:val="0"/>
                <w:color w:val="auto"/>
                <w:kern w:val="0"/>
                <w:sz w:val="18"/>
                <w:szCs w:val="18"/>
                <w:highlight w:val="none"/>
              </w:rPr>
              <w:t>分/个，最高</w:t>
            </w:r>
            <w:r>
              <w:rPr>
                <w:rFonts w:hint="eastAsia" w:ascii="宋体" w:hAnsi="宋体" w:eastAsia="宋体" w:cs="宋体"/>
                <w:snapToGrid w:val="0"/>
                <w:color w:val="auto"/>
                <w:kern w:val="0"/>
                <w:sz w:val="18"/>
                <w:szCs w:val="18"/>
                <w:highlight w:val="none"/>
                <w:lang w:val="en-US" w:eastAsia="zh-CN"/>
              </w:rPr>
              <w:t>3</w:t>
            </w:r>
            <w:r>
              <w:rPr>
                <w:rFonts w:hint="eastAsia" w:ascii="宋体" w:hAnsi="宋体" w:eastAsia="宋体" w:cs="宋体"/>
                <w:snapToGrid w:val="0"/>
                <w:color w:val="auto"/>
                <w:kern w:val="0"/>
                <w:sz w:val="18"/>
                <w:szCs w:val="18"/>
                <w:highlight w:val="none"/>
              </w:rPr>
              <w:t>分（管理项目荣誉不计，同类荣誉不累计计分）</w:t>
            </w:r>
            <w:r>
              <w:rPr>
                <w:rFonts w:hint="eastAsia" w:ascii="宋体" w:hAnsi="宋体" w:eastAsia="宋体" w:cs="宋体"/>
                <w:snapToGrid w:val="0"/>
                <w:color w:val="auto"/>
                <w:kern w:val="0"/>
                <w:sz w:val="18"/>
                <w:szCs w:val="18"/>
                <w:highlight w:val="none"/>
                <w:lang w:eastAsia="zh-CN"/>
              </w:rPr>
              <w:t>。</w:t>
            </w:r>
          </w:p>
          <w:p>
            <w:pPr>
              <w:adjustRightInd w:val="0"/>
              <w:snapToGrid w:val="0"/>
              <w:spacing w:line="240" w:lineRule="auto"/>
              <w:rPr>
                <w:rFonts w:hint="eastAsia" w:ascii="宋体" w:hAnsi="宋体" w:eastAsia="宋体" w:cs="宋体"/>
                <w:snapToGrid w:val="0"/>
                <w:color w:val="auto"/>
                <w:kern w:val="0"/>
                <w:sz w:val="18"/>
                <w:szCs w:val="18"/>
                <w:highlight w:val="none"/>
              </w:rPr>
            </w:pP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left="-3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w:t>
            </w:r>
            <w:r>
              <w:rPr>
                <w:rFonts w:hint="eastAsia" w:ascii="宋体" w:hAnsi="宋体" w:eastAsia="宋体" w:cs="宋体"/>
                <w:color w:val="auto"/>
                <w:kern w:val="0"/>
                <w:sz w:val="18"/>
                <w:szCs w:val="18"/>
                <w:highlight w:val="none"/>
              </w:rPr>
              <w:t>项目获奖情况</w:t>
            </w:r>
          </w:p>
        </w:tc>
        <w:tc>
          <w:tcPr>
            <w:tcW w:w="713"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5652" w:type="dxa"/>
            <w:tcBorders>
              <w:top w:val="single" w:color="auto" w:sz="4" w:space="0"/>
              <w:left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2016年1月</w:t>
            </w:r>
            <w:r>
              <w:rPr>
                <w:rFonts w:hint="eastAsia" w:ascii="宋体" w:hAnsi="宋体" w:eastAsia="宋体" w:cs="宋体"/>
                <w:color w:val="auto"/>
                <w:kern w:val="0"/>
                <w:sz w:val="18"/>
                <w:szCs w:val="18"/>
                <w:highlight w:val="none"/>
                <w:lang w:val="en-US" w:eastAsia="zh-CN"/>
              </w:rPr>
              <w:t>1日以来</w:t>
            </w:r>
            <w:r>
              <w:rPr>
                <w:rFonts w:hint="eastAsia" w:ascii="宋体" w:hAnsi="宋体" w:eastAsia="宋体" w:cs="宋体"/>
                <w:color w:val="auto"/>
                <w:kern w:val="0"/>
                <w:sz w:val="18"/>
                <w:szCs w:val="18"/>
                <w:highlight w:val="none"/>
              </w:rPr>
              <w:t>公共场所项目获部级物业管理示范项目或复评通过的，得3分；获省示范或复评通过的，得2分，获市示范或复评通过的，得1分。</w:t>
            </w:r>
          </w:p>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注：</w:t>
            </w:r>
            <w:r>
              <w:rPr>
                <w:rFonts w:hint="eastAsia" w:ascii="宋体" w:hAnsi="宋体" w:eastAsia="宋体" w:cs="宋体"/>
                <w:color w:val="auto"/>
                <w:kern w:val="0"/>
                <w:sz w:val="18"/>
                <w:szCs w:val="18"/>
                <w:highlight w:val="none"/>
              </w:rPr>
              <w:t>各项目获奖情况不累计计分，仅取最高奖项，即不同项目获得不同荣誉称号，仅取最高荣誉计分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人员投入、服务员工配备情况</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numPr>
                <w:ilvl w:val="0"/>
                <w:numId w:val="0"/>
              </w:num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岗位设置及配备情况（包括岗位明细、每个岗位的工作安排</w:t>
            </w:r>
            <w:r>
              <w:rPr>
                <w:rFonts w:hint="eastAsia" w:ascii="宋体" w:hAnsi="宋体" w:eastAsia="宋体" w:cs="宋体"/>
                <w:color w:val="auto"/>
                <w:sz w:val="18"/>
                <w:szCs w:val="18"/>
                <w:highlight w:val="none"/>
                <w:lang w:val="en-US" w:eastAsia="zh-CN"/>
              </w:rPr>
              <w:t>计划等</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员工服装配置</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rPr>
              <w:t>根据各类</w:t>
            </w:r>
            <w:r>
              <w:rPr>
                <w:rFonts w:hint="eastAsia" w:ascii="宋体" w:hAnsi="宋体" w:eastAsia="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rPr>
              <w:t>人员着装配置是否齐备等因素酌情打分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restart"/>
            <w:tcBorders>
              <w:top w:val="single" w:color="auto" w:sz="4" w:space="0"/>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625"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服务方案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管理服务组织机构设置、运作流程、服务管理机制</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根据管理服务组织机构设置（附组织机构图）、运作流程（附运作流程图）、激励机制、监督机制、自我约束机制和信息反馈渠道及处理机制等是否科学、合理、高效，</w:t>
            </w:r>
            <w:r>
              <w:rPr>
                <w:rFonts w:hint="eastAsia" w:ascii="宋体" w:hAnsi="宋体" w:eastAsia="宋体" w:cs="宋体"/>
                <w:color w:val="auto"/>
                <w:sz w:val="18"/>
                <w:szCs w:val="18"/>
                <w:highlight w:val="none"/>
                <w:lang w:val="en-US" w:eastAsia="zh-CN"/>
              </w:rPr>
              <w:t>进行综合评价，一般0-2分，良2-4分，优4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各项管理规章制度及考核方法</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各项公众制度、内部岗位责任制度、管理人员考核制度及标准等，要求符合规范，体现高标准、高档次、科学合理、详细完备；人员、设施、设备管理服务、业主方反馈资料、文件资料等档案的建立与管理。</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针对本项目的特点和难点分析及解决措施</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根据对本项目运行特点和难点分析的准确性及解决措施的科学性进行比较</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进行</w:t>
            </w:r>
            <w:r>
              <w:rPr>
                <w:rFonts w:hint="eastAsia" w:ascii="宋体" w:hAnsi="宋体" w:eastAsia="宋体" w:cs="宋体"/>
                <w:color w:val="auto"/>
                <w:sz w:val="18"/>
                <w:szCs w:val="18"/>
                <w:highlight w:val="none"/>
                <w:lang w:val="en-US" w:eastAsia="zh-CN"/>
              </w:rPr>
              <w:t>综合评价，一般0-3分，良3-6分，优6</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环境卫生管理实施方案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综合打分，</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安防实施方案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综合打分，</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462" w:type="dxa"/>
            <w:vMerge w:val="continue"/>
            <w:tcBorders>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p>
        </w:tc>
        <w:tc>
          <w:tcPr>
            <w:tcW w:w="62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项目质量管理保证措施方案</w:t>
            </w:r>
          </w:p>
        </w:tc>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根据为本项目就管理程序文件、质量记录，管理过程中存在的问题解决对策，管理成果检验评估方法，质量管理改进方法等，</w:t>
            </w:r>
            <w:r>
              <w:rPr>
                <w:rFonts w:hint="eastAsia" w:ascii="宋体" w:hAnsi="宋体" w:eastAsia="宋体" w:cs="宋体"/>
                <w:color w:val="auto"/>
                <w:kern w:val="0"/>
                <w:sz w:val="18"/>
                <w:szCs w:val="18"/>
                <w:highlight w:val="none"/>
                <w:lang w:val="en-US" w:eastAsia="zh-CN"/>
              </w:rPr>
              <w:t>进行</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437"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left="-50"/>
              <w:jc w:val="both"/>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lang w:val="en-US" w:eastAsia="zh-CN"/>
              </w:rPr>
              <w:t>人均月工资</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3"/>
              <w:jc w:val="center"/>
              <w:rPr>
                <w:rFonts w:hint="eastAsia" w:ascii="宋体" w:hAnsi="宋体" w:eastAsia="宋体" w:cs="宋体"/>
                <w:color w:val="auto"/>
                <w:kern w:val="0"/>
                <w:sz w:val="18"/>
                <w:szCs w:val="18"/>
                <w:highlight w:val="none"/>
              </w:rPr>
            </w:pPr>
            <w:r>
              <w:rPr>
                <w:rFonts w:hint="eastAsia" w:ascii="宋体" w:hAnsi="宋体" w:eastAsia="宋体" w:cs="宋体"/>
                <w:bCs/>
                <w:color w:val="auto"/>
                <w:kern w:val="28"/>
                <w:sz w:val="18"/>
                <w:szCs w:val="18"/>
                <w:highlight w:val="none"/>
                <w:lang w:val="en-US" w:eastAsia="zh-CN"/>
              </w:rPr>
              <w:t>4</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right="-11" w:firstLine="0" w:firstLineChars="0"/>
              <w:jc w:val="left"/>
              <w:textAlignment w:val="auto"/>
              <w:rPr>
                <w:rFonts w:hint="eastAsia" w:ascii="宋体" w:hAnsi="宋体" w:eastAsia="宋体" w:cs="宋体"/>
                <w:color w:val="auto"/>
                <w:sz w:val="18"/>
                <w:szCs w:val="18"/>
                <w:highlight w:val="none"/>
                <w:lang w:val="en-US" w:eastAsia="zh-CN" w:bidi="ar"/>
              </w:rPr>
            </w:pPr>
            <w:r>
              <w:rPr>
                <w:rFonts w:hint="eastAsia" w:ascii="宋体" w:hAnsi="宋体" w:eastAsia="宋体" w:cs="宋体"/>
                <w:b w:val="0"/>
                <w:color w:val="auto"/>
                <w:spacing w:val="0"/>
                <w:kern w:val="2"/>
                <w:sz w:val="18"/>
                <w:szCs w:val="18"/>
                <w:highlight w:val="none"/>
                <w:lang w:val="en-US" w:eastAsia="zh-CN" w:bidi="ar"/>
              </w:rPr>
              <w:t>保安人员与保洁人员承诺</w:t>
            </w:r>
            <w:r>
              <w:rPr>
                <w:rFonts w:hint="eastAsia" w:ascii="宋体" w:hAnsi="宋体" w:eastAsia="宋体" w:cs="宋体"/>
                <w:color w:val="auto"/>
                <w:sz w:val="18"/>
                <w:szCs w:val="18"/>
                <w:highlight w:val="none"/>
                <w:lang w:bidi="ar"/>
              </w:rPr>
              <w:t>日常人员工资</w:t>
            </w:r>
            <w:r>
              <w:rPr>
                <w:rFonts w:hint="eastAsia" w:ascii="宋体" w:hAnsi="宋体" w:eastAsia="宋体" w:cs="宋体"/>
                <w:color w:val="auto"/>
                <w:sz w:val="18"/>
                <w:szCs w:val="18"/>
                <w:highlight w:val="none"/>
                <w:lang w:val="en-US" w:eastAsia="zh-CN" w:bidi="ar"/>
              </w:rPr>
              <w:t>不低于2800.00元的，每增加50元加0.5分，满分2分。</w:t>
            </w:r>
          </w:p>
          <w:p>
            <w:pPr>
              <w:pStyle w:val="2"/>
              <w:keepNext w:val="0"/>
              <w:keepLines w:val="0"/>
              <w:pageBreakBefore w:val="0"/>
              <w:widowControl w:val="0"/>
              <w:kinsoku/>
              <w:wordWrap/>
              <w:overflowPunct/>
              <w:topLinePunct w:val="0"/>
              <w:autoSpaceDE/>
              <w:autoSpaceDN/>
              <w:bidi w:val="0"/>
              <w:adjustRightInd/>
              <w:snapToGrid/>
              <w:spacing w:line="240" w:lineRule="exact"/>
              <w:ind w:left="0" w:right="-11" w:firstLine="0" w:firstLineChars="0"/>
              <w:jc w:val="left"/>
              <w:textAlignment w:val="auto"/>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sz w:val="18"/>
                <w:szCs w:val="18"/>
                <w:highlight w:val="none"/>
                <w:lang w:val="en-US" w:eastAsia="zh-CN" w:bidi="ar"/>
              </w:rPr>
              <w:t>保安队长、保洁组长、前台、</w:t>
            </w:r>
            <w:r>
              <w:rPr>
                <w:rFonts w:hint="eastAsia" w:ascii="宋体" w:hAnsi="宋体" w:eastAsia="宋体" w:cs="宋体"/>
                <w:color w:val="auto"/>
                <w:kern w:val="2"/>
                <w:sz w:val="18"/>
                <w:szCs w:val="18"/>
                <w:highlight w:val="none"/>
                <w:lang w:val="en-US" w:eastAsia="zh-CN" w:bidi="ar"/>
              </w:rPr>
              <w:t>监控消控员承诺日常工资不低于3500.00元的得0.5分，每增加100元加0.1分，满分1分。</w:t>
            </w:r>
          </w:p>
          <w:p>
            <w:pPr>
              <w:pStyle w:val="2"/>
              <w:keepNext w:val="0"/>
              <w:keepLines w:val="0"/>
              <w:pageBreakBefore w:val="0"/>
              <w:widowControl w:val="0"/>
              <w:kinsoku/>
              <w:wordWrap/>
              <w:overflowPunct/>
              <w:topLinePunct w:val="0"/>
              <w:autoSpaceDE/>
              <w:autoSpaceDN/>
              <w:bidi w:val="0"/>
              <w:adjustRightInd/>
              <w:snapToGrid/>
              <w:spacing w:line="240" w:lineRule="exact"/>
              <w:ind w:left="0" w:right="-11" w:firstLine="0" w:firstLineChars="0"/>
              <w:jc w:val="left"/>
              <w:textAlignment w:val="auto"/>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物业经理、电工承诺日常工资不低于5800.00元的得0.5分，每增加100元加0.1分，满分1分。</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left="-5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
              </w:rPr>
              <w:t>投标人为本项目拟投入的设备情况</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3"/>
              <w:jc w:val="center"/>
              <w:rPr>
                <w:rFonts w:hint="eastAsia" w:ascii="宋体" w:hAnsi="宋体" w:eastAsia="宋体" w:cs="宋体"/>
                <w:bCs/>
                <w:color w:val="auto"/>
                <w:kern w:val="28"/>
                <w:sz w:val="18"/>
                <w:szCs w:val="18"/>
                <w:highlight w:val="none"/>
                <w:lang w:val="en-US" w:eastAsia="zh-CN"/>
              </w:rPr>
            </w:pPr>
            <w:r>
              <w:rPr>
                <w:rFonts w:hint="eastAsia" w:ascii="宋体" w:hAnsi="宋体" w:eastAsia="宋体" w:cs="宋体"/>
                <w:bCs/>
                <w:color w:val="auto"/>
                <w:kern w:val="28"/>
                <w:sz w:val="18"/>
                <w:szCs w:val="18"/>
                <w:highlight w:val="none"/>
                <w:lang w:val="en-US" w:eastAsia="zh-CN"/>
              </w:rPr>
              <w:t>4</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widowControl/>
              <w:numPr>
                <w:ilvl w:val="0"/>
                <w:numId w:val="0"/>
              </w:numPr>
              <w:tabs>
                <w:tab w:val="left" w:pos="420"/>
              </w:tabs>
              <w:adjustRightInd w:val="0"/>
              <w:snapToGrid w:val="0"/>
              <w:spacing w:line="240" w:lineRule="auto"/>
              <w:ind w:left="0" w:firstLine="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投标人为本项目拟投入的设备其中提供：</w:t>
            </w:r>
          </w:p>
          <w:p>
            <w:pPr>
              <w:widowControl/>
              <w:numPr>
                <w:ilvl w:val="0"/>
                <w:numId w:val="32"/>
              </w:numPr>
              <w:tabs>
                <w:tab w:val="left" w:pos="420"/>
              </w:tabs>
              <w:adjustRightInd w:val="0"/>
              <w:snapToGrid w:val="0"/>
              <w:spacing w:line="240" w:lineRule="auto"/>
              <w:ind w:left="425" w:leftChars="0" w:hanging="425" w:firstLine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四轮双排巡逻车（基本参数中电机功率≥4000W且载客人数达到4-5 人的，得2分，不满足参数要求的不得分）。</w:t>
            </w:r>
          </w:p>
          <w:p>
            <w:pPr>
              <w:widowControl/>
              <w:numPr>
                <w:ilvl w:val="0"/>
                <w:numId w:val="32"/>
              </w:numPr>
              <w:tabs>
                <w:tab w:val="left" w:pos="420"/>
              </w:tabs>
              <w:adjustRightInd w:val="0"/>
              <w:snapToGrid w:val="0"/>
              <w:spacing w:line="240" w:lineRule="auto"/>
              <w:ind w:left="425" w:leftChars="0" w:hanging="425" w:firstLineChars="0"/>
              <w:jc w:val="both"/>
              <w:rPr>
                <w:rFonts w:hint="eastAsia" w:ascii="宋体" w:hAnsi="宋体" w:eastAsia="宋体" w:cs="宋体"/>
                <w:b w:val="0"/>
                <w:color w:val="auto"/>
                <w:spacing w:val="0"/>
                <w:kern w:val="0"/>
                <w:sz w:val="18"/>
                <w:szCs w:val="18"/>
                <w:highlight w:val="none"/>
                <w:lang w:val="en-US" w:eastAsia="zh-CN" w:bidi="ar-SA"/>
              </w:rPr>
            </w:pPr>
            <w:r>
              <w:rPr>
                <w:rFonts w:hint="eastAsia" w:ascii="宋体" w:hAnsi="宋体" w:eastAsia="宋体" w:cs="宋体"/>
                <w:b w:val="0"/>
                <w:color w:val="auto"/>
                <w:spacing w:val="0"/>
                <w:kern w:val="0"/>
                <w:sz w:val="18"/>
                <w:szCs w:val="18"/>
                <w:highlight w:val="none"/>
                <w:lang w:val="en-US" w:eastAsia="zh-CN" w:bidi="ar-SA"/>
              </w:rPr>
              <w:t>根据投标供应商提供专业地面清洗设备的情况，由评标委员会综合打分，得0-2分。</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投标人20</w:t>
            </w: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1月1日</w:t>
            </w:r>
            <w:r>
              <w:rPr>
                <w:rFonts w:hint="eastAsia" w:ascii="宋体" w:hAnsi="宋体" w:eastAsia="宋体" w:cs="宋体"/>
                <w:color w:val="auto"/>
                <w:sz w:val="18"/>
                <w:szCs w:val="18"/>
                <w:highlight w:val="none"/>
              </w:rPr>
              <w:t>以来项目业绩</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bCs/>
                <w:color w:val="auto"/>
                <w:kern w:val="28"/>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0</w:t>
            </w:r>
          </w:p>
        </w:tc>
        <w:tc>
          <w:tcPr>
            <w:tcW w:w="5652"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投标人项目业绩（有效业绩以中标通知书发出日期或合同签订日期为准）：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1、提供投标供应商2019年1月1日以来的有高速服务区（停车区）物业管理业绩的，每提供1项业绩得1分，最高4分。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2、提供投标供应商自2019年1月1日以来的公共场所物业管理项目业绩的，每提供1项业绩得0.5分，最高6分。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（提供中标通知书或合同，同个项目不可重复计分，</w:t>
            </w:r>
            <w:r>
              <w:rPr>
                <w:rFonts w:hint="eastAsia" w:ascii="宋体" w:hAnsi="宋体" w:eastAsia="宋体" w:cs="宋体"/>
                <w:b/>
                <w:bCs/>
                <w:color w:val="auto"/>
                <w:kern w:val="0"/>
                <w:sz w:val="18"/>
                <w:szCs w:val="18"/>
                <w:highlight w:val="none"/>
                <w:u w:val="single"/>
                <w:lang w:val="en-US" w:eastAsia="zh-CN" w:bidi="ar"/>
              </w:rPr>
              <w:t>须同时提供原件核对，不提供的不得分</w:t>
            </w:r>
            <w:r>
              <w:rPr>
                <w:rFonts w:hint="eastAsia" w:ascii="宋体" w:hAnsi="宋体" w:eastAsia="宋体" w:cs="宋体"/>
                <w:color w:val="auto"/>
                <w:kern w:val="0"/>
                <w:sz w:val="18"/>
                <w:szCs w:val="18"/>
                <w:highlight w:val="none"/>
                <w:lang w:val="en-US" w:eastAsia="zh-CN" w:bidi="ar"/>
              </w:rPr>
              <w:t>）。</w:t>
            </w:r>
          </w:p>
        </w:tc>
      </w:tr>
      <w:tr>
        <w:tblPrEx>
          <w:tblCellMar>
            <w:top w:w="0" w:type="dxa"/>
            <w:left w:w="108" w:type="dxa"/>
            <w:bottom w:w="0" w:type="dxa"/>
            <w:right w:w="108" w:type="dxa"/>
          </w:tblCellMar>
        </w:tblPrEx>
        <w:trPr>
          <w:trHeight w:val="23" w:hRule="atLeast"/>
          <w:jc w:val="center"/>
        </w:trPr>
        <w:tc>
          <w:tcPr>
            <w:tcW w:w="462" w:type="dxa"/>
            <w:tcBorders>
              <w:top w:val="single" w:color="auto" w:sz="4" w:space="0"/>
              <w:left w:val="single" w:color="auto" w:sz="12" w:space="0"/>
              <w:bottom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p>
        </w:tc>
        <w:tc>
          <w:tcPr>
            <w:tcW w:w="2200" w:type="dxa"/>
            <w:gridSpan w:val="2"/>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合计满分</w:t>
            </w:r>
          </w:p>
        </w:tc>
        <w:tc>
          <w:tcPr>
            <w:tcW w:w="713" w:type="dxa"/>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=SUM(ABOVE) \* MERGEFORMAT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80</w:t>
            </w:r>
            <w:r>
              <w:rPr>
                <w:rFonts w:hint="eastAsia" w:ascii="宋体" w:hAnsi="宋体" w:eastAsia="宋体" w:cs="宋体"/>
                <w:color w:val="auto"/>
                <w:sz w:val="18"/>
                <w:szCs w:val="18"/>
                <w:highlight w:val="none"/>
              </w:rPr>
              <w:fldChar w:fldCharType="end"/>
            </w:r>
          </w:p>
        </w:tc>
        <w:tc>
          <w:tcPr>
            <w:tcW w:w="5652" w:type="dxa"/>
            <w:tcBorders>
              <w:top w:val="single" w:color="auto" w:sz="4" w:space="0"/>
              <w:left w:val="single" w:color="auto" w:sz="4" w:space="0"/>
              <w:bottom w:val="single" w:color="auto" w:sz="12"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p>
        </w:tc>
      </w:tr>
    </w:tbl>
    <w:p>
      <w:pPr>
        <w:overflowPunct w:val="0"/>
        <w:ind w:firstLine="440" w:firstLineChars="200"/>
        <w:rPr>
          <w:rFonts w:hint="eastAsia" w:ascii="宋体" w:hAnsi="宋体" w:eastAsia="宋体" w:cs="宋体"/>
          <w:color w:val="auto"/>
          <w:sz w:val="22"/>
          <w:highlight w:val="none"/>
        </w:rPr>
      </w:pPr>
    </w:p>
    <w:p>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overflowPunct w:val="0"/>
        <w:ind w:firstLine="442" w:firstLineChars="200"/>
        <w:rPr>
          <w:rFonts w:hint="eastAsia" w:ascii="宋体" w:hAnsi="宋体" w:eastAsia="宋体" w:cs="宋体"/>
          <w:b/>
          <w:color w:val="auto"/>
          <w:sz w:val="22"/>
          <w:highlight w:val="none"/>
        </w:rPr>
      </w:pPr>
      <w:bookmarkStart w:id="223" w:name="_Hlk11188594"/>
      <w:r>
        <w:rPr>
          <w:rFonts w:hint="eastAsia" w:ascii="宋体" w:hAnsi="宋体" w:eastAsia="宋体" w:cs="宋体"/>
          <w:b/>
          <w:color w:val="auto"/>
          <w:sz w:val="22"/>
          <w:highlight w:val="none"/>
        </w:rPr>
        <w:t>2）</w:t>
      </w:r>
      <w:r>
        <w:rPr>
          <w:rFonts w:hint="eastAsia" w:ascii="宋体" w:hAnsi="宋体" w:eastAsia="宋体" w:cs="宋体"/>
          <w:color w:val="auto"/>
          <w:sz w:val="22"/>
          <w:highlight w:val="none"/>
          <w:u w:val="single"/>
        </w:rPr>
        <w:t>投标供应商若提交原件资料的</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应将原件单独包封（密封形式不限），与投标文件一同在投标截至时间前递交给采购代理机构，投标截至时间后，不允许补充原件。</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20</w:t>
      </w:r>
      <w:r>
        <w:rPr>
          <w:rFonts w:hint="eastAsia" w:ascii="宋体" w:hAnsi="宋体" w:eastAsia="宋体" w:cs="宋体"/>
          <w:b/>
          <w:color w:val="auto"/>
          <w:sz w:val="22"/>
          <w:highlight w:val="none"/>
        </w:rPr>
        <w:t>分）：</w:t>
      </w:r>
    </w:p>
    <w:bookmarkEnd w:id="223"/>
    <w:p>
      <w:pPr>
        <w:ind w:firstLine="440" w:firstLineChars="200"/>
        <w:rPr>
          <w:rFonts w:hint="eastAsia" w:ascii="宋体" w:hAnsi="宋体" w:eastAsia="宋体" w:cs="宋体"/>
          <w:color w:val="auto"/>
          <w:sz w:val="22"/>
          <w:highlight w:val="none"/>
        </w:rPr>
      </w:pPr>
      <w:bookmarkStart w:id="224"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文件要求且投标价格最低的投标报价为评标基准价</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评分值为满分20分；</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本项目价格权值为20%</w:t>
      </w:r>
      <w:r>
        <w:rPr>
          <w:rFonts w:hint="eastAsia" w:ascii="宋体" w:hAnsi="宋体" w:eastAsia="宋体" w:cs="宋体"/>
          <w:color w:val="auto"/>
          <w:sz w:val="22"/>
          <w:highlight w:val="none"/>
        </w:rPr>
        <w:t>。</w:t>
      </w:r>
    </w:p>
    <w:bookmarkEnd w:id="224"/>
    <w:p>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3、本次采购</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为人民币</w:t>
      </w:r>
      <w:r>
        <w:rPr>
          <w:rFonts w:hint="eastAsia" w:ascii="宋体" w:hAnsi="宋体" w:eastAsia="宋体" w:cs="宋体"/>
          <w:b/>
          <w:color w:val="auto"/>
          <w:sz w:val="22"/>
          <w:highlight w:val="none"/>
          <w:lang w:val="en-US" w:eastAsia="zh-CN"/>
        </w:rPr>
        <w:t>362.5</w:t>
      </w:r>
      <w:r>
        <w:rPr>
          <w:rFonts w:hint="eastAsia" w:ascii="宋体" w:hAnsi="宋体" w:eastAsia="宋体" w:cs="宋体"/>
          <w:b/>
          <w:color w:val="auto"/>
          <w:sz w:val="22"/>
          <w:highlight w:val="none"/>
        </w:rPr>
        <w:t>万元, 如投标供应商报价超过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按无效标处理。</w:t>
      </w:r>
    </w:p>
    <w:p>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4、如所有投标供应商报价均超过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，此项目废标，应重新组织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pPr>
        <w:ind w:firstLine="442" w:firstLineChars="200"/>
        <w:rPr>
          <w:rFonts w:hint="eastAsia" w:ascii="宋体" w:hAnsi="宋体" w:eastAsia="宋体" w:cs="宋体"/>
          <w:color w:val="auto"/>
          <w:sz w:val="22"/>
          <w:highlight w:val="none"/>
          <w:lang w:val="en-US" w:eastAsia="zh-CN"/>
        </w:rPr>
      </w:pPr>
      <w:r>
        <w:rPr>
          <w:rFonts w:hint="eastAsia" w:ascii="宋体" w:hAnsi="宋体" w:eastAsia="宋体" w:cs="宋体"/>
          <w:b/>
          <w:bCs/>
          <w:color w:val="auto"/>
          <w:sz w:val="22"/>
          <w:szCs w:val="22"/>
          <w:highlight w:val="none"/>
          <w:lang w:val="en-US" w:eastAsia="zh-CN"/>
        </w:rPr>
        <w:t>5、投标分项报价表中</w:t>
      </w:r>
      <w:r>
        <w:rPr>
          <w:rFonts w:hint="eastAsia" w:ascii="宋体" w:hAnsi="宋体" w:eastAsia="宋体" w:cs="宋体"/>
          <w:b/>
          <w:bCs/>
          <w:color w:val="auto"/>
          <w:sz w:val="21"/>
          <w:szCs w:val="21"/>
          <w:highlight w:val="none"/>
          <w:lang w:val="en-US" w:eastAsia="zh-CN"/>
        </w:rPr>
        <w:t>各岗位人员“</w:t>
      </w:r>
      <w:r>
        <w:rPr>
          <w:rFonts w:hint="eastAsia" w:ascii="宋体" w:hAnsi="宋体" w:eastAsia="宋体" w:cs="宋体"/>
          <w:b/>
          <w:bCs/>
          <w:color w:val="auto"/>
          <w:sz w:val="21"/>
          <w:szCs w:val="21"/>
          <w:highlight w:val="none"/>
        </w:rPr>
        <w:t>日常</w:t>
      </w:r>
      <w:r>
        <w:rPr>
          <w:rFonts w:hint="eastAsia" w:ascii="宋体" w:hAnsi="宋体" w:eastAsia="宋体" w:cs="宋体"/>
          <w:b/>
          <w:bCs/>
          <w:color w:val="auto"/>
          <w:sz w:val="21"/>
          <w:szCs w:val="21"/>
          <w:highlight w:val="none"/>
          <w:lang w:val="en-US" w:eastAsia="zh-CN"/>
        </w:rPr>
        <w:t>岗位</w:t>
      </w:r>
      <w:r>
        <w:rPr>
          <w:rFonts w:hint="eastAsia" w:ascii="宋体" w:hAnsi="宋体" w:eastAsia="宋体" w:cs="宋体"/>
          <w:b/>
          <w:bCs/>
          <w:color w:val="auto"/>
          <w:sz w:val="21"/>
          <w:szCs w:val="21"/>
          <w:highlight w:val="none"/>
        </w:rPr>
        <w:t>工资</w:t>
      </w:r>
      <w:r>
        <w:rPr>
          <w:rFonts w:hint="eastAsia" w:ascii="宋体" w:hAnsi="宋体" w:eastAsia="宋体" w:cs="宋体"/>
          <w:b/>
          <w:bCs/>
          <w:color w:val="auto"/>
          <w:sz w:val="21"/>
          <w:szCs w:val="21"/>
          <w:highlight w:val="none"/>
          <w:lang w:val="en-US" w:eastAsia="zh-CN"/>
        </w:rPr>
        <w:t>”报价低于附件十一“服务人员最低月工资承诺函”中所承诺金额的，商务报价评分将按0分处理，低于2800元/月·人的作无效标处理。</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、各有效投标供应商的综合得分为技术资信分和商务（报价）分的总和。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、评标委员会按各有效投标供应商综合得分高低顺序排列，综合得分第一名的投标人作为中标候选供应商，并提交评标报告。</w:t>
      </w:r>
    </w:p>
    <w:p>
      <w:pPr>
        <w:ind w:firstLine="440" w:firstLineChars="200"/>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采购人对决标结果不做任何解释，也不保证最低价中标。</w:t>
      </w:r>
    </w:p>
    <w:p>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5" w:name="_Toc221356967"/>
      <w:bookmarkStart w:id="226" w:name="_Toc221356904"/>
    </w:p>
    <w:p>
      <w:pPr>
        <w:ind w:left="424" w:leftChars="1" w:hanging="422" w:hangingChars="191"/>
        <w:rPr>
          <w:rFonts w:hint="eastAsia" w:ascii="宋体" w:hAnsi="宋体" w:eastAsia="宋体" w:cs="宋体"/>
          <w:color w:val="auto"/>
          <w:highlight w:val="none"/>
        </w:rPr>
      </w:pPr>
      <w:r>
        <w:rPr>
          <w:rFonts w:hint="eastAsia" w:ascii="宋体" w:hAnsi="宋体" w:eastAsia="宋体" w:cs="宋体"/>
          <w:b/>
          <w:color w:val="auto"/>
          <w:sz w:val="22"/>
          <w:szCs w:val="24"/>
          <w:highlight w:val="none"/>
        </w:rPr>
        <w:t xml:space="preserve">1、 </w:t>
      </w:r>
      <w:r>
        <w:rPr>
          <w:rFonts w:hint="eastAsia" w:ascii="宋体" w:hAnsi="宋体" w:eastAsia="宋体" w:cs="宋体"/>
          <w:color w:val="auto"/>
          <w:sz w:val="22"/>
          <w:highlight w:val="none"/>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25"/>
      <w:bookmarkEnd w:id="226"/>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pPr>
        <w:ind w:firstLine="440" w:firstLineChars="200"/>
        <w:rPr>
          <w:rFonts w:hint="eastAsia" w:ascii="宋体" w:hAnsi="宋体" w:eastAsia="宋体" w:cs="宋体"/>
          <w:szCs w:val="24"/>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宋体,Verdana,Arial">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1"/>
    <w:multiLevelType w:val="singleLevel"/>
    <w:tmpl w:val="00000001"/>
    <w:lvl w:ilvl="0" w:tentative="0">
      <w:start w:val="1"/>
      <w:numFmt w:val="decimal"/>
      <w:lvlText w:val="%1."/>
      <w:lvlJc w:val="left"/>
      <w:pPr>
        <w:ind w:left="425" w:hanging="425"/>
      </w:pPr>
      <w:rPr>
        <w:rFonts w:hint="default"/>
      </w:rPr>
    </w:lvl>
  </w:abstractNum>
  <w:abstractNum w:abstractNumId="5">
    <w:nsid w:val="00000002"/>
    <w:multiLevelType w:val="multilevel"/>
    <w:tmpl w:val="00000002"/>
    <w:lvl w:ilvl="0" w:tentative="0">
      <w:start w:val="1"/>
      <w:numFmt w:val="chineseCounting"/>
      <w:suff w:val="nothing"/>
      <w:lvlText w:val="%1、"/>
      <w:lvlJc w:val="left"/>
      <w:pPr>
        <w:ind w:left="0" w:firstLine="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3"/>
    <w:multiLevelType w:val="multilevel"/>
    <w:tmpl w:val="00000003"/>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0000005"/>
    <w:multiLevelType w:val="multilevel"/>
    <w:tmpl w:val="00000005"/>
    <w:lvl w:ilvl="0" w:tentative="0">
      <w:start w:val="1"/>
      <w:numFmt w:val="bullet"/>
      <w:lvlText w:val=""/>
      <w:lvlJc w:val="left"/>
      <w:pPr>
        <w:tabs>
          <w:tab w:val="left" w:pos="510"/>
        </w:tabs>
        <w:ind w:left="510" w:hanging="51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3DC032F5"/>
    <w:multiLevelType w:val="multilevel"/>
    <w:tmpl w:val="3DC032F5"/>
    <w:lvl w:ilvl="0" w:tentative="0">
      <w:start w:val="1"/>
      <w:numFmt w:val="decimal"/>
      <w:lvlText w:val="%1、"/>
      <w:lvlJc w:val="left"/>
      <w:pPr>
        <w:tabs>
          <w:tab w:val="left" w:pos="1407"/>
        </w:tabs>
        <w:ind w:left="1407" w:hanging="567"/>
      </w:pPr>
      <w:rPr>
        <w:rFonts w:hint="default" w:ascii="Arial" w:hAnsi="Arial" w:eastAsia="宋体"/>
        <w:b/>
        <w:i w:val="0"/>
        <w:sz w:val="24"/>
        <w:szCs w:val="24"/>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Arial" w:hAnsi="Arial"/>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21020B9"/>
    <w:multiLevelType w:val="multilevel"/>
    <w:tmpl w:val="421020B9"/>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3">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4">
    <w:nsid w:val="5D327579"/>
    <w:multiLevelType w:val="singleLevel"/>
    <w:tmpl w:val="5D327579"/>
    <w:lvl w:ilvl="0" w:tentative="0">
      <w:start w:val="1"/>
      <w:numFmt w:val="decimal"/>
      <w:suff w:val="nothing"/>
      <w:lvlText w:val="%1、"/>
      <w:lvlJc w:val="left"/>
    </w:lvl>
  </w:abstractNum>
  <w:abstractNum w:abstractNumId="25">
    <w:nsid w:val="61C91FB3"/>
    <w:multiLevelType w:val="multilevel"/>
    <w:tmpl w:val="61C91FB3"/>
    <w:lvl w:ilvl="0" w:tentative="0">
      <w:start w:val="1"/>
      <w:numFmt w:val="decimal"/>
      <w:pStyle w:val="55"/>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6">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7">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AE01F9E"/>
    <w:multiLevelType w:val="singleLevel"/>
    <w:tmpl w:val="7AE01F9E"/>
    <w:lvl w:ilvl="0" w:tentative="0">
      <w:start w:val="2"/>
      <w:numFmt w:val="chineseCounting"/>
      <w:suff w:val="nothing"/>
      <w:lvlText w:val="%1、"/>
      <w:lvlJc w:val="left"/>
      <w:rPr>
        <w:rFonts w:hint="eastAsia"/>
      </w:rPr>
    </w:lvl>
  </w:abstractNum>
  <w:abstractNum w:abstractNumId="30">
    <w:nsid w:val="7F3C0690"/>
    <w:multiLevelType w:val="multilevel"/>
    <w:tmpl w:val="7F3C0690"/>
    <w:lvl w:ilvl="0" w:tentative="0">
      <w:start w:val="1"/>
      <w:numFmt w:val="decimal"/>
      <w:lvlText w:val="%1."/>
      <w:lvlJc w:val="left"/>
      <w:pPr>
        <w:tabs>
          <w:tab w:val="left" w:pos="680"/>
        </w:tabs>
        <w:ind w:left="680" w:hanging="680"/>
      </w:pPr>
      <w:rPr>
        <w:rFonts w:hint="default" w:ascii="Arial" w:hAnsi="Arial" w:eastAsia="宋体"/>
        <w:b/>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1156"/>
        </w:tabs>
        <w:ind w:left="856" w:hanging="420"/>
      </w:pPr>
      <w:rPr>
        <w:rFonts w:hint="default" w:ascii="Arial" w:hAnsi="Arial" w:cs="Arial"/>
        <w:b w:val="0"/>
        <w:sz w:val="21"/>
        <w:szCs w:val="21"/>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25"/>
  </w:num>
  <w:num w:numId="2">
    <w:abstractNumId w:val="27"/>
  </w:num>
  <w:num w:numId="3">
    <w:abstractNumId w:val="9"/>
  </w:num>
  <w:num w:numId="4">
    <w:abstractNumId w:val="8"/>
  </w:num>
  <w:num w:numId="5">
    <w:abstractNumId w:val="11"/>
  </w:num>
  <w:num w:numId="6">
    <w:abstractNumId w:val="19"/>
  </w:num>
  <w:num w:numId="7">
    <w:abstractNumId w:val="16"/>
  </w:num>
  <w:num w:numId="8">
    <w:abstractNumId w:val="18"/>
  </w:num>
  <w:num w:numId="9">
    <w:abstractNumId w:val="28"/>
  </w:num>
  <w:num w:numId="10">
    <w:abstractNumId w:val="14"/>
  </w:num>
  <w:num w:numId="11">
    <w:abstractNumId w:val="15"/>
  </w:num>
  <w:num w:numId="12">
    <w:abstractNumId w:val="10"/>
  </w:num>
  <w:num w:numId="13">
    <w:abstractNumId w:val="1"/>
  </w:num>
  <w:num w:numId="14">
    <w:abstractNumId w:val="17"/>
  </w:num>
  <w:num w:numId="15">
    <w:abstractNumId w:val="12"/>
  </w:num>
  <w:num w:numId="16">
    <w:abstractNumId w:val="13"/>
  </w:num>
  <w:num w:numId="17">
    <w:abstractNumId w:val="20"/>
  </w:num>
  <w:num w:numId="18">
    <w:abstractNumId w:val="3"/>
  </w:num>
  <w:num w:numId="19">
    <w:abstractNumId w:val="0"/>
  </w:num>
  <w:num w:numId="20">
    <w:abstractNumId w:val="26"/>
  </w:num>
  <w:num w:numId="21">
    <w:abstractNumId w:val="2"/>
  </w:num>
  <w:num w:numId="22">
    <w:abstractNumId w:val="5"/>
    <w:lvlOverride w:ilvl="0">
      <w:startOverride w:val="1"/>
    </w:lvlOverride>
  </w:num>
  <w:num w:numId="23">
    <w:abstractNumId w:val="5"/>
  </w:num>
  <w:num w:numId="24">
    <w:abstractNumId w:val="6"/>
  </w:num>
  <w:num w:numId="25">
    <w:abstractNumId w:val="23"/>
  </w:num>
  <w:num w:numId="26">
    <w:abstractNumId w:val="21"/>
  </w:num>
  <w:num w:numId="27">
    <w:abstractNumId w:val="24"/>
  </w:num>
  <w:num w:numId="28">
    <w:abstractNumId w:val="22"/>
  </w:num>
  <w:num w:numId="29">
    <w:abstractNumId w:val="29"/>
  </w:num>
  <w:num w:numId="30">
    <w:abstractNumId w:val="30"/>
  </w:num>
  <w:num w:numId="31">
    <w:abstractNumId w:val="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56231"/>
    <w:rsid w:val="00FC1656"/>
    <w:rsid w:val="011D0AED"/>
    <w:rsid w:val="01274FF8"/>
    <w:rsid w:val="01E43A9D"/>
    <w:rsid w:val="02197961"/>
    <w:rsid w:val="02D24484"/>
    <w:rsid w:val="0390360A"/>
    <w:rsid w:val="039C74BF"/>
    <w:rsid w:val="04824617"/>
    <w:rsid w:val="04D83AD1"/>
    <w:rsid w:val="05380AFF"/>
    <w:rsid w:val="055022DD"/>
    <w:rsid w:val="07B211EB"/>
    <w:rsid w:val="07E27C7A"/>
    <w:rsid w:val="097769B8"/>
    <w:rsid w:val="0A0C1598"/>
    <w:rsid w:val="0A0D1766"/>
    <w:rsid w:val="0A474359"/>
    <w:rsid w:val="0B681B73"/>
    <w:rsid w:val="0EF123DD"/>
    <w:rsid w:val="0FA90764"/>
    <w:rsid w:val="10DC4179"/>
    <w:rsid w:val="127D5FE1"/>
    <w:rsid w:val="12D60804"/>
    <w:rsid w:val="131F731B"/>
    <w:rsid w:val="134C3973"/>
    <w:rsid w:val="13855179"/>
    <w:rsid w:val="14362C14"/>
    <w:rsid w:val="144607CD"/>
    <w:rsid w:val="14E775D9"/>
    <w:rsid w:val="16F0162C"/>
    <w:rsid w:val="17204078"/>
    <w:rsid w:val="175D20E7"/>
    <w:rsid w:val="17951D53"/>
    <w:rsid w:val="17F42F7B"/>
    <w:rsid w:val="189F6425"/>
    <w:rsid w:val="194873ED"/>
    <w:rsid w:val="194A795A"/>
    <w:rsid w:val="1A832753"/>
    <w:rsid w:val="1AB7139C"/>
    <w:rsid w:val="1B55070F"/>
    <w:rsid w:val="1C1A3373"/>
    <w:rsid w:val="1C74219B"/>
    <w:rsid w:val="1CA9457D"/>
    <w:rsid w:val="1CFE561E"/>
    <w:rsid w:val="1FED6319"/>
    <w:rsid w:val="201179B6"/>
    <w:rsid w:val="20512598"/>
    <w:rsid w:val="20643D84"/>
    <w:rsid w:val="20E12C42"/>
    <w:rsid w:val="211D2FFF"/>
    <w:rsid w:val="22AE0075"/>
    <w:rsid w:val="23701F89"/>
    <w:rsid w:val="23E20B30"/>
    <w:rsid w:val="25074D3A"/>
    <w:rsid w:val="25722EEF"/>
    <w:rsid w:val="267E7AA6"/>
    <w:rsid w:val="27A0246B"/>
    <w:rsid w:val="27A25135"/>
    <w:rsid w:val="27AB3D4E"/>
    <w:rsid w:val="27CB4942"/>
    <w:rsid w:val="292170A7"/>
    <w:rsid w:val="2A4F3B9E"/>
    <w:rsid w:val="2A5D30E7"/>
    <w:rsid w:val="2BAE17FF"/>
    <w:rsid w:val="2BE91F37"/>
    <w:rsid w:val="2C7A749B"/>
    <w:rsid w:val="2CF325E7"/>
    <w:rsid w:val="2D394F92"/>
    <w:rsid w:val="2D8C35AC"/>
    <w:rsid w:val="2D8D700C"/>
    <w:rsid w:val="2DE46FCA"/>
    <w:rsid w:val="2F922452"/>
    <w:rsid w:val="2FD76B14"/>
    <w:rsid w:val="30856178"/>
    <w:rsid w:val="323F36A4"/>
    <w:rsid w:val="34122848"/>
    <w:rsid w:val="341A30EC"/>
    <w:rsid w:val="34402E73"/>
    <w:rsid w:val="363F6564"/>
    <w:rsid w:val="367A561E"/>
    <w:rsid w:val="370E5AB9"/>
    <w:rsid w:val="373B5261"/>
    <w:rsid w:val="3879381B"/>
    <w:rsid w:val="38DA2725"/>
    <w:rsid w:val="38F76E7A"/>
    <w:rsid w:val="39644506"/>
    <w:rsid w:val="396E7463"/>
    <w:rsid w:val="397702BB"/>
    <w:rsid w:val="3A3B0A05"/>
    <w:rsid w:val="3B274F84"/>
    <w:rsid w:val="3B665F58"/>
    <w:rsid w:val="3BAF5709"/>
    <w:rsid w:val="3C294FC1"/>
    <w:rsid w:val="3D602EC0"/>
    <w:rsid w:val="3D6B3046"/>
    <w:rsid w:val="3F2A0CE7"/>
    <w:rsid w:val="400A66DC"/>
    <w:rsid w:val="41E16035"/>
    <w:rsid w:val="43255009"/>
    <w:rsid w:val="436822EB"/>
    <w:rsid w:val="43E2309D"/>
    <w:rsid w:val="446316C8"/>
    <w:rsid w:val="457703BB"/>
    <w:rsid w:val="461D61E6"/>
    <w:rsid w:val="465B07E0"/>
    <w:rsid w:val="465B19C6"/>
    <w:rsid w:val="46D87095"/>
    <w:rsid w:val="46F359A1"/>
    <w:rsid w:val="4766166B"/>
    <w:rsid w:val="47CF2F88"/>
    <w:rsid w:val="47FE4D25"/>
    <w:rsid w:val="486B260B"/>
    <w:rsid w:val="499015D2"/>
    <w:rsid w:val="49B7682C"/>
    <w:rsid w:val="4A6142EA"/>
    <w:rsid w:val="4A7C50FD"/>
    <w:rsid w:val="4B9C5A94"/>
    <w:rsid w:val="4BC573A8"/>
    <w:rsid w:val="4BE13907"/>
    <w:rsid w:val="4C1C3E43"/>
    <w:rsid w:val="4CBD124A"/>
    <w:rsid w:val="4DF55A70"/>
    <w:rsid w:val="4ECB70F3"/>
    <w:rsid w:val="4F5D3335"/>
    <w:rsid w:val="4F6164F5"/>
    <w:rsid w:val="4FA97952"/>
    <w:rsid w:val="506F4E1E"/>
    <w:rsid w:val="51F35615"/>
    <w:rsid w:val="53F44CB7"/>
    <w:rsid w:val="540E20B0"/>
    <w:rsid w:val="55482FE4"/>
    <w:rsid w:val="55D40B98"/>
    <w:rsid w:val="56F02839"/>
    <w:rsid w:val="576D6D37"/>
    <w:rsid w:val="58A514A0"/>
    <w:rsid w:val="58D20B4F"/>
    <w:rsid w:val="59B33345"/>
    <w:rsid w:val="5A431DCD"/>
    <w:rsid w:val="5A4474E6"/>
    <w:rsid w:val="5D1C7AB0"/>
    <w:rsid w:val="5DFE4642"/>
    <w:rsid w:val="5F99219D"/>
    <w:rsid w:val="60AB6EDD"/>
    <w:rsid w:val="63007260"/>
    <w:rsid w:val="63160A12"/>
    <w:rsid w:val="641D786A"/>
    <w:rsid w:val="64795514"/>
    <w:rsid w:val="65172004"/>
    <w:rsid w:val="65F9165C"/>
    <w:rsid w:val="66951383"/>
    <w:rsid w:val="67404828"/>
    <w:rsid w:val="68D67726"/>
    <w:rsid w:val="69F04C89"/>
    <w:rsid w:val="6A6E2984"/>
    <w:rsid w:val="6B253BC7"/>
    <w:rsid w:val="6B924AC0"/>
    <w:rsid w:val="6BE14F0E"/>
    <w:rsid w:val="6C6E57C2"/>
    <w:rsid w:val="6CEE2778"/>
    <w:rsid w:val="6DEC77D0"/>
    <w:rsid w:val="6F9371EB"/>
    <w:rsid w:val="6FDB3E77"/>
    <w:rsid w:val="71B740EC"/>
    <w:rsid w:val="72223A16"/>
    <w:rsid w:val="72245523"/>
    <w:rsid w:val="72BB0AD8"/>
    <w:rsid w:val="72C1286E"/>
    <w:rsid w:val="74277D91"/>
    <w:rsid w:val="7465193A"/>
    <w:rsid w:val="759E0068"/>
    <w:rsid w:val="76110A91"/>
    <w:rsid w:val="7649793B"/>
    <w:rsid w:val="77AD0A02"/>
    <w:rsid w:val="785A05EC"/>
    <w:rsid w:val="78A35E38"/>
    <w:rsid w:val="79E93803"/>
    <w:rsid w:val="79F57DFF"/>
    <w:rsid w:val="7A316A2D"/>
    <w:rsid w:val="7AEE79C2"/>
    <w:rsid w:val="7B933E36"/>
    <w:rsid w:val="7C200EF9"/>
    <w:rsid w:val="7C2C6B59"/>
    <w:rsid w:val="7D7B47E8"/>
    <w:rsid w:val="7E6F0C8B"/>
    <w:rsid w:val="7EA44C35"/>
    <w:rsid w:val="7F0A5FAD"/>
    <w:rsid w:val="7F9D77A7"/>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jc w:val="center"/>
      <w:outlineLvl w:val="0"/>
    </w:pPr>
    <w:rPr>
      <w:rFonts w:ascii="Tahoma" w:eastAsia="Tahoma"/>
      <w:b/>
      <w:bCs/>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before="156" w:beforeLines="50" w:after="156" w:afterLines="50"/>
      <w:ind w:left="426" w:right="-11" w:hanging="426" w:hangingChars="203"/>
    </w:pPr>
    <w:rPr>
      <w:rFonts w:eastAsia="楷体_GB2312"/>
    </w:r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annotation text"/>
    <w:basedOn w:val="1"/>
    <w:link w:val="36"/>
    <w:qFormat/>
    <w:uiPriority w:val="0"/>
    <w:pPr>
      <w:jc w:val="left"/>
    </w:pPr>
  </w:style>
  <w:style w:type="paragraph" w:styleId="9">
    <w:name w:val="Body Text"/>
    <w:basedOn w:val="1"/>
    <w:next w:val="10"/>
    <w:qFormat/>
    <w:uiPriority w:val="0"/>
    <w:pPr>
      <w:spacing w:after="120"/>
    </w:pPr>
    <w:rPr>
      <w:rFonts w:eastAsia="宋体,Verdana,Arial"/>
    </w:rPr>
  </w:style>
  <w:style w:type="paragraph" w:styleId="10">
    <w:name w:val="Body Text First Indent"/>
    <w:basedOn w:val="9"/>
    <w:next w:val="11"/>
    <w:qFormat/>
    <w:uiPriority w:val="0"/>
    <w:pPr>
      <w:autoSpaceDE w:val="0"/>
      <w:autoSpaceDN w:val="0"/>
      <w:adjustRightInd w:val="0"/>
      <w:ind w:firstLine="420" w:firstLineChars="100"/>
      <w:jc w:val="left"/>
    </w:pPr>
  </w:style>
  <w:style w:type="paragraph" w:styleId="11">
    <w:name w:val="toc 6"/>
    <w:basedOn w:val="1"/>
    <w:next w:val="1"/>
    <w:semiHidden/>
    <w:qFormat/>
    <w:uiPriority w:val="0"/>
    <w:pPr>
      <w:ind w:left="1050"/>
      <w:jc w:val="left"/>
    </w:pPr>
    <w:rPr>
      <w:sz w:val="18"/>
      <w:szCs w:val="18"/>
    </w:rPr>
  </w:style>
  <w:style w:type="paragraph" w:styleId="12">
    <w:name w:val="Body Text Indent"/>
    <w:basedOn w:val="1"/>
    <w:next w:val="1"/>
    <w:qFormat/>
    <w:uiPriority w:val="0"/>
    <w:pPr>
      <w:ind w:left="480" w:hanging="480" w:hangingChars="200"/>
    </w:pPr>
    <w:rPr>
      <w:sz w:val="24"/>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Date"/>
    <w:basedOn w:val="1"/>
    <w:next w:val="1"/>
    <w:qFormat/>
    <w:uiPriority w:val="0"/>
    <w:pPr>
      <w:ind w:left="100" w:leftChars="2500"/>
    </w:pPr>
    <w:rPr>
      <w:rFonts w:ascii="Times New Roman" w:hAnsi="Times New Roman"/>
    </w:rPr>
  </w:style>
  <w:style w:type="paragraph" w:styleId="15">
    <w:name w:val="Body Text Indent 2"/>
    <w:basedOn w:val="1"/>
    <w:qFormat/>
    <w:uiPriority w:val="0"/>
    <w:pPr>
      <w:ind w:firstLine="568" w:firstLineChars="203"/>
    </w:pPr>
    <w:rPr>
      <w:rFonts w:ascii="宋体" w:hAnsi="宋体"/>
      <w:sz w:val="28"/>
    </w:rPr>
  </w:style>
  <w:style w:type="paragraph" w:styleId="16">
    <w:name w:val="Balloon Text"/>
    <w:basedOn w:val="1"/>
    <w:link w:val="62"/>
    <w:qFormat/>
    <w:uiPriority w:val="0"/>
    <w:rPr>
      <w:sz w:val="18"/>
      <w:szCs w:val="18"/>
    </w:rPr>
  </w:style>
  <w:style w:type="paragraph" w:styleId="17">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9">
    <w:name w:val="toc 1"/>
    <w:basedOn w:val="1"/>
    <w:next w:val="1"/>
    <w:qFormat/>
    <w:uiPriority w:val="39"/>
    <w:pPr>
      <w:tabs>
        <w:tab w:val="right" w:leader="dot" w:pos="9660"/>
      </w:tabs>
      <w:spacing w:line="480" w:lineRule="auto"/>
    </w:pPr>
  </w:style>
  <w:style w:type="paragraph" w:styleId="20">
    <w:name w:val="toc 4"/>
    <w:basedOn w:val="1"/>
    <w:next w:val="1"/>
    <w:qFormat/>
    <w:uiPriority w:val="0"/>
    <w:pPr>
      <w:wordWrap w:val="0"/>
      <w:ind w:left="850"/>
    </w:pPr>
  </w:style>
  <w:style w:type="paragraph" w:styleId="21">
    <w:name w:val="Normal (Web)"/>
    <w:basedOn w:val="1"/>
    <w:qFormat/>
    <w:uiPriority w:val="0"/>
    <w:pPr>
      <w:spacing w:after="210"/>
      <w:jc w:val="left"/>
    </w:pPr>
    <w:rPr>
      <w:kern w:val="0"/>
      <w:sz w:val="24"/>
    </w:rPr>
  </w:style>
  <w:style w:type="paragraph" w:styleId="22">
    <w:name w:val="annotation subject"/>
    <w:basedOn w:val="8"/>
    <w:next w:val="8"/>
    <w:link w:val="37"/>
    <w:qFormat/>
    <w:uiPriority w:val="0"/>
    <w:rPr>
      <w:b/>
      <w:bCs/>
    </w:rPr>
  </w:style>
  <w:style w:type="paragraph" w:styleId="23">
    <w:name w:val="Body Text First Indent 2"/>
    <w:basedOn w:val="12"/>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1890FF"/>
      <w:u w:val="none"/>
    </w:rPr>
  </w:style>
  <w:style w:type="character" w:styleId="29">
    <w:name w:val="HTML Definition"/>
    <w:basedOn w:val="26"/>
    <w:qFormat/>
    <w:uiPriority w:val="0"/>
    <w:rPr>
      <w:i/>
      <w:iCs/>
    </w:rPr>
  </w:style>
  <w:style w:type="character" w:styleId="30">
    <w:name w:val="Hyperlink"/>
    <w:qFormat/>
    <w:uiPriority w:val="99"/>
    <w:rPr>
      <w:color w:val="0000FF"/>
      <w:u w:val="single"/>
    </w:rPr>
  </w:style>
  <w:style w:type="character" w:styleId="31">
    <w:name w:val="HTML Code"/>
    <w:basedOn w:val="26"/>
    <w:qFormat/>
    <w:uiPriority w:val="0"/>
    <w:rPr>
      <w:rFonts w:ascii="Consolas" w:hAnsi="Consolas" w:eastAsia="Consolas" w:cs="Consolas"/>
      <w:sz w:val="21"/>
      <w:szCs w:val="21"/>
    </w:rPr>
  </w:style>
  <w:style w:type="character" w:styleId="32">
    <w:name w:val="annotation reference"/>
    <w:basedOn w:val="26"/>
    <w:qFormat/>
    <w:uiPriority w:val="0"/>
    <w:rPr>
      <w:sz w:val="21"/>
      <w:szCs w:val="21"/>
    </w:rPr>
  </w:style>
  <w:style w:type="character" w:styleId="33">
    <w:name w:val="HTML Keyboard"/>
    <w:basedOn w:val="26"/>
    <w:qFormat/>
    <w:uiPriority w:val="0"/>
    <w:rPr>
      <w:rFonts w:hint="default" w:ascii="Consolas" w:hAnsi="Consolas" w:eastAsia="Consolas" w:cs="Consolas"/>
      <w:sz w:val="21"/>
      <w:szCs w:val="21"/>
    </w:rPr>
  </w:style>
  <w:style w:type="character" w:styleId="34">
    <w:name w:val="HTML Sample"/>
    <w:basedOn w:val="26"/>
    <w:qFormat/>
    <w:uiPriority w:val="0"/>
    <w:rPr>
      <w:rFonts w:hint="default" w:ascii="Consolas" w:hAnsi="Consolas" w:eastAsia="Consolas" w:cs="Consolas"/>
      <w:sz w:val="21"/>
      <w:szCs w:val="21"/>
    </w:rPr>
  </w:style>
  <w:style w:type="paragraph" w:customStyle="1" w:styleId="35">
    <w:name w:val="正文文本首行缩进1"/>
    <w:basedOn w:val="9"/>
    <w:qFormat/>
    <w:uiPriority w:val="0"/>
    <w:pPr>
      <w:ind w:firstLine="420" w:firstLineChars="100"/>
    </w:pPr>
    <w:rPr>
      <w:szCs w:val="21"/>
    </w:rPr>
  </w:style>
  <w:style w:type="character" w:customStyle="1" w:styleId="36">
    <w:name w:val="批注文字 Char"/>
    <w:basedOn w:val="26"/>
    <w:link w:val="8"/>
    <w:qFormat/>
    <w:uiPriority w:val="0"/>
    <w:rPr>
      <w:rFonts w:ascii="等线" w:hAnsi="等线" w:eastAsia="等线"/>
      <w:kern w:val="2"/>
      <w:sz w:val="21"/>
      <w:szCs w:val="22"/>
    </w:rPr>
  </w:style>
  <w:style w:type="character" w:customStyle="1" w:styleId="37">
    <w:name w:val="批注主题 Char"/>
    <w:basedOn w:val="36"/>
    <w:link w:val="22"/>
    <w:qFormat/>
    <w:uiPriority w:val="0"/>
    <w:rPr>
      <w:rFonts w:ascii="等线" w:hAnsi="等线" w:eastAsia="等线"/>
      <w:b/>
      <w:bCs/>
      <w:kern w:val="2"/>
      <w:sz w:val="21"/>
      <w:szCs w:val="22"/>
    </w:rPr>
  </w:style>
  <w:style w:type="character" w:customStyle="1" w:styleId="38">
    <w:name w:val="user-acct"/>
    <w:basedOn w:val="26"/>
    <w:qFormat/>
    <w:uiPriority w:val="0"/>
    <w:rPr>
      <w:color w:val="7C7070"/>
    </w:rPr>
  </w:style>
  <w:style w:type="character" w:customStyle="1" w:styleId="39">
    <w:name w:val="hover12"/>
    <w:basedOn w:val="26"/>
    <w:qFormat/>
    <w:uiPriority w:val="0"/>
  </w:style>
  <w:style w:type="character" w:customStyle="1" w:styleId="40">
    <w:name w:val="current"/>
    <w:basedOn w:val="26"/>
    <w:qFormat/>
    <w:uiPriority w:val="0"/>
    <w:rPr>
      <w:color w:val="00C1DE"/>
    </w:rPr>
  </w:style>
  <w:style w:type="character" w:customStyle="1" w:styleId="41">
    <w:name w:val="current1"/>
    <w:basedOn w:val="26"/>
    <w:qFormat/>
    <w:uiPriority w:val="0"/>
    <w:rPr>
      <w:color w:val="00C1DE"/>
    </w:rPr>
  </w:style>
  <w:style w:type="character" w:customStyle="1" w:styleId="42">
    <w:name w:val="selected"/>
    <w:basedOn w:val="26"/>
    <w:qFormat/>
    <w:uiPriority w:val="0"/>
    <w:rPr>
      <w:color w:val="1C81FE"/>
    </w:rPr>
  </w:style>
  <w:style w:type="character" w:customStyle="1" w:styleId="43">
    <w:name w:val="selected1"/>
    <w:basedOn w:val="26"/>
    <w:qFormat/>
    <w:uiPriority w:val="0"/>
    <w:rPr>
      <w:color w:val="1C81FE"/>
    </w:rPr>
  </w:style>
  <w:style w:type="character" w:customStyle="1" w:styleId="44">
    <w:name w:val="desc"/>
    <w:basedOn w:val="26"/>
    <w:qFormat/>
    <w:uiPriority w:val="0"/>
    <w:rPr>
      <w:b/>
      <w:bCs/>
      <w:color w:val="404040"/>
    </w:rPr>
  </w:style>
  <w:style w:type="character" w:customStyle="1" w:styleId="45">
    <w:name w:val="desc1"/>
    <w:basedOn w:val="26"/>
    <w:qFormat/>
    <w:uiPriority w:val="0"/>
    <w:rPr>
      <w:b/>
      <w:bCs/>
      <w:color w:val="404040"/>
    </w:rPr>
  </w:style>
  <w:style w:type="character" w:customStyle="1" w:styleId="46">
    <w:name w:val="helper"/>
    <w:basedOn w:val="26"/>
    <w:qFormat/>
    <w:uiPriority w:val="0"/>
    <w:rPr>
      <w:b/>
      <w:bCs/>
      <w:color w:val="404040"/>
      <w:sz w:val="38"/>
      <w:szCs w:val="38"/>
    </w:rPr>
  </w:style>
  <w:style w:type="character" w:customStyle="1" w:styleId="47">
    <w:name w:val="icon6"/>
    <w:basedOn w:val="26"/>
    <w:qFormat/>
    <w:uiPriority w:val="0"/>
  </w:style>
  <w:style w:type="character" w:customStyle="1" w:styleId="48">
    <w:name w:val="ant-typography-ellipsis"/>
    <w:basedOn w:val="26"/>
    <w:qFormat/>
    <w:uiPriority w:val="0"/>
  </w:style>
  <w:style w:type="character" w:customStyle="1" w:styleId="49">
    <w:name w:val="ant-radio+*"/>
    <w:basedOn w:val="26"/>
    <w:qFormat/>
    <w:uiPriority w:val="0"/>
  </w:style>
  <w:style w:type="character" w:customStyle="1" w:styleId="50">
    <w:name w:val="content72"/>
    <w:basedOn w:val="26"/>
    <w:qFormat/>
    <w:uiPriority w:val="0"/>
    <w:rPr>
      <w:color w:val="7C7070"/>
      <w:sz w:val="14"/>
      <w:szCs w:val="14"/>
    </w:rPr>
  </w:style>
  <w:style w:type="character" w:customStyle="1" w:styleId="51">
    <w:name w:val="info-label"/>
    <w:basedOn w:val="26"/>
    <w:qFormat/>
    <w:uiPriority w:val="0"/>
    <w:rPr>
      <w:b/>
      <w:bCs/>
    </w:rPr>
  </w:style>
  <w:style w:type="character" w:customStyle="1" w:styleId="52">
    <w:name w:val="info-content"/>
    <w:basedOn w:val="26"/>
    <w:qFormat/>
    <w:uiPriority w:val="0"/>
    <w:rPr>
      <w:color w:val="808080"/>
    </w:rPr>
  </w:style>
  <w:style w:type="character" w:customStyle="1" w:styleId="53">
    <w:name w:val="phone-number1"/>
    <w:basedOn w:val="26"/>
    <w:qFormat/>
    <w:uiPriority w:val="0"/>
    <w:rPr>
      <w:color w:val="0876FF"/>
    </w:rPr>
  </w:style>
  <w:style w:type="paragraph" w:styleId="54">
    <w:name w:val="List Paragraph"/>
    <w:basedOn w:val="1"/>
    <w:qFormat/>
    <w:uiPriority w:val="34"/>
    <w:pPr>
      <w:ind w:firstLine="420" w:firstLineChars="200"/>
    </w:pPr>
  </w:style>
  <w:style w:type="paragraph" w:customStyle="1" w:styleId="55">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6">
    <w:name w:val="正文_0_0"/>
    <w:basedOn w:val="1"/>
    <w:qFormat/>
    <w:uiPriority w:val="0"/>
    <w:rPr>
      <w:rFonts w:ascii="Calibri" w:hAnsi="Calibri" w:cs="Calibri"/>
      <w:szCs w:val="21"/>
    </w:rPr>
  </w:style>
  <w:style w:type="paragraph" w:customStyle="1" w:styleId="57">
    <w:name w:val="[Normal]"/>
    <w:qFormat/>
    <w:uiPriority w:val="0"/>
    <w:rPr>
      <w:rFonts w:ascii="宋体" w:hAnsi="宋体" w:eastAsia="宋体" w:cs="Times New Roman"/>
      <w:sz w:val="24"/>
      <w:szCs w:val="22"/>
      <w:lang w:val="zh-CN" w:eastAsia="zh-CN" w:bidi="ar-SA"/>
    </w:rPr>
  </w:style>
  <w:style w:type="paragraph" w:customStyle="1" w:styleId="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59">
    <w:name w:val="p5"/>
    <w:basedOn w:val="26"/>
    <w:qFormat/>
    <w:uiPriority w:val="0"/>
  </w:style>
  <w:style w:type="paragraph" w:customStyle="1" w:styleId="60">
    <w:name w:val="正文首行缩进1"/>
    <w:basedOn w:val="9"/>
    <w:qFormat/>
    <w:uiPriority w:val="0"/>
    <w:pPr>
      <w:ind w:firstLine="420" w:firstLineChars="100"/>
    </w:pPr>
    <w:rPr>
      <w:rFonts w:ascii="Times New Roman" w:hAnsi="Times New Roman"/>
    </w:rPr>
  </w:style>
  <w:style w:type="paragraph" w:customStyle="1" w:styleId="61">
    <w:name w:val="列出段落1"/>
    <w:basedOn w:val="1"/>
    <w:qFormat/>
    <w:uiPriority w:val="0"/>
    <w:pPr>
      <w:ind w:firstLine="420" w:firstLineChars="200"/>
    </w:pPr>
    <w:rPr>
      <w:szCs w:val="20"/>
    </w:rPr>
  </w:style>
  <w:style w:type="character" w:customStyle="1" w:styleId="62">
    <w:name w:val="批注框文本 Char"/>
    <w:basedOn w:val="26"/>
    <w:link w:val="16"/>
    <w:qFormat/>
    <w:uiPriority w:val="0"/>
    <w:rPr>
      <w:rFonts w:ascii="等线" w:hAnsi="等线" w:eastAsia="等线"/>
      <w:kern w:val="2"/>
      <w:sz w:val="18"/>
      <w:szCs w:val="18"/>
    </w:rPr>
  </w:style>
  <w:style w:type="paragraph" w:customStyle="1" w:styleId="63">
    <w:name w:val="hb.1"/>
    <w:basedOn w:val="1"/>
    <w:qFormat/>
    <w:uiPriority w:val="0"/>
    <w:pPr>
      <w:tabs>
        <w:tab w:val="left" w:pos="992"/>
      </w:tabs>
      <w:spacing w:after="156"/>
      <w:ind w:left="992" w:hanging="567"/>
    </w:pPr>
    <w:rPr>
      <w:rFonts w:ascii="Times New Roman" w:hAnsi="Times New Roman"/>
      <w:szCs w:val="20"/>
    </w:rPr>
  </w:style>
  <w:style w:type="paragraph" w:customStyle="1" w:styleId="64">
    <w:name w:val="htbh"/>
    <w:basedOn w:val="4"/>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5">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6">
    <w:name w:val="正文表标题"/>
    <w:next w:val="67"/>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表内文字"/>
    <w:basedOn w:val="1"/>
    <w:qFormat/>
    <w:uiPriority w:val="0"/>
    <w:pPr>
      <w:spacing w:line="240" w:lineRule="atLeast"/>
      <w:jc w:val="center"/>
    </w:pPr>
    <w:rPr>
      <w:rFonts w:ascii="Arial" w:hAnsi="Arial" w:eastAsia="宋体" w:cs="Arial"/>
      <w:b/>
      <w:bCs/>
    </w:rPr>
  </w:style>
  <w:style w:type="paragraph" w:customStyle="1" w:styleId="69">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0">
    <w:name w:val="reader-word-layer reader-word-s1-2"/>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65</Pages>
  <Words>46784</Words>
  <Characters>48088</Characters>
  <Lines>373</Lines>
  <Paragraphs>105</Paragraphs>
  <TotalTime>23</TotalTime>
  <ScaleCrop>false</ScaleCrop>
  <LinksUpToDate>false</LinksUpToDate>
  <CharactersWithSpaces>50983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易</cp:lastModifiedBy>
  <dcterms:modified xsi:type="dcterms:W3CDTF">2023-03-23T02:48:28Z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A73C200C73F34C9998DDAE0C166A00A9</vt:lpwstr>
  </property>
</Properties>
</file>