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ascii="宋体" w:hAnsi="宋体" w:cs="宋体"/>
          <w:b/>
          <w:bCs/>
          <w:color w:val="auto"/>
          <w:spacing w:val="120"/>
          <w:sz w:val="72"/>
          <w:szCs w:val="72"/>
          <w:highlight w:val="none"/>
        </w:rPr>
      </w:pPr>
    </w:p>
    <w:p>
      <w:pPr>
        <w:autoSpaceDE w:val="0"/>
        <w:autoSpaceDN w:val="0"/>
        <w:spacing w:line="500" w:lineRule="atLeast"/>
        <w:jc w:val="center"/>
        <w:textAlignment w:val="bottom"/>
        <w:rPr>
          <w:rFonts w:ascii="宋体" w:hAnsi="宋体" w:cs="宋体"/>
          <w:bCs/>
          <w:color w:val="auto"/>
          <w:sz w:val="84"/>
          <w:szCs w:val="84"/>
          <w:highlight w:val="none"/>
        </w:rPr>
      </w:pPr>
      <w:r>
        <w:rPr>
          <w:rFonts w:hint="eastAsia" w:ascii="宋体" w:hAnsi="宋体" w:cs="宋体"/>
          <w:b/>
          <w:bCs/>
          <w:color w:val="auto"/>
          <w:spacing w:val="120"/>
          <w:sz w:val="84"/>
          <w:szCs w:val="84"/>
          <w:highlight w:val="none"/>
        </w:rPr>
        <w:t>温州市国有企业</w:t>
      </w:r>
    </w:p>
    <w:p>
      <w:pPr>
        <w:spacing w:line="400" w:lineRule="atLeast"/>
        <w:jc w:val="center"/>
        <w:rPr>
          <w:rFonts w:ascii="宋体" w:hAnsi="宋体" w:cs="宋体"/>
          <w:b/>
          <w:color w:val="auto"/>
          <w:sz w:val="52"/>
          <w:highlight w:val="none"/>
        </w:rPr>
      </w:pPr>
    </w:p>
    <w:p>
      <w:pPr>
        <w:spacing w:line="400" w:lineRule="atLeast"/>
        <w:jc w:val="center"/>
        <w:rPr>
          <w:rFonts w:ascii="宋体" w:hAnsi="宋体" w:cs="宋体"/>
          <w:b/>
          <w:color w:val="auto"/>
          <w:sz w:val="52"/>
          <w:highlight w:val="none"/>
        </w:rPr>
      </w:pPr>
      <w:bookmarkStart w:id="265" w:name="_GoBack"/>
      <w:bookmarkEnd w:id="265"/>
    </w:p>
    <w:p>
      <w:pPr>
        <w:autoSpaceDE w:val="0"/>
        <w:autoSpaceDN w:val="0"/>
        <w:spacing w:line="500" w:lineRule="atLeast"/>
        <w:jc w:val="center"/>
        <w:textAlignment w:val="bottom"/>
        <w:rPr>
          <w:rFonts w:ascii="宋体" w:hAnsi="宋体" w:cs="宋体"/>
          <w:b/>
          <w:color w:val="auto"/>
          <w:sz w:val="72"/>
          <w:szCs w:val="72"/>
          <w:highlight w:val="none"/>
        </w:rPr>
      </w:pPr>
      <w:r>
        <w:rPr>
          <w:rFonts w:hint="eastAsia" w:ascii="宋体" w:hAnsi="宋体" w:cs="宋体"/>
          <w:b/>
          <w:bCs/>
          <w:color w:val="auto"/>
          <w:sz w:val="72"/>
          <w:szCs w:val="72"/>
          <w:highlight w:val="none"/>
        </w:rPr>
        <w:t>采 购 文 件</w:t>
      </w:r>
    </w:p>
    <w:p>
      <w:pPr>
        <w:spacing w:line="400" w:lineRule="atLeast"/>
        <w:jc w:val="center"/>
        <w:rPr>
          <w:rFonts w:ascii="宋体" w:hAnsi="宋体" w:cs="宋体"/>
          <w:b/>
          <w:color w:val="auto"/>
          <w:sz w:val="32"/>
          <w:highlight w:val="none"/>
        </w:rPr>
      </w:pP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p>
    <w:p>
      <w:pPr>
        <w:tabs>
          <w:tab w:val="left" w:pos="1276"/>
          <w:tab w:val="left" w:pos="2977"/>
        </w:tabs>
        <w:spacing w:line="600" w:lineRule="exact"/>
        <w:ind w:right="-1" w:firstLine="2108" w:firstLineChars="700"/>
        <w:rPr>
          <w:rFonts w:ascii="宋体" w:hAnsi="宋体" w:cs="宋体"/>
          <w:b/>
          <w:color w:val="auto"/>
          <w:sz w:val="30"/>
          <w:szCs w:val="30"/>
          <w:highlight w:val="none"/>
          <w:u w:val="single"/>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：ZJWS-WZJT-2022-003</w:t>
      </w:r>
    </w:p>
    <w:p>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采购项目：成孔质量检测仪采购</w:t>
      </w:r>
    </w:p>
    <w:p>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采购方式：公开招标</w:t>
      </w:r>
    </w:p>
    <w:p>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p>
    <w:p>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p>
    <w:p>
      <w:pPr>
        <w:pStyle w:val="28"/>
        <w:rPr>
          <w:color w:val="auto"/>
          <w:highlight w:val="none"/>
        </w:rPr>
      </w:pPr>
    </w:p>
    <w:p>
      <w:pPr>
        <w:tabs>
          <w:tab w:val="left" w:pos="1276"/>
          <w:tab w:val="left" w:pos="2977"/>
        </w:tabs>
        <w:spacing w:line="600" w:lineRule="exact"/>
        <w:ind w:right="-1" w:firstLine="2108" w:firstLineChars="700"/>
        <w:jc w:val="left"/>
        <w:rPr>
          <w:rFonts w:ascii="宋体" w:hAnsi="宋体" w:cs="宋体"/>
          <w:b/>
          <w:color w:val="auto"/>
          <w:sz w:val="30"/>
          <w:szCs w:val="30"/>
          <w:highlight w:val="none"/>
        </w:rPr>
      </w:pPr>
    </w:p>
    <w:p>
      <w:pPr>
        <w:tabs>
          <w:tab w:val="left" w:pos="1276"/>
          <w:tab w:val="left" w:pos="2977"/>
        </w:tabs>
        <w:spacing w:line="600" w:lineRule="exact"/>
        <w:ind w:firstLine="1301" w:firstLineChars="400"/>
        <w:jc w:val="left"/>
        <w:rPr>
          <w:rFonts w:ascii="宋体" w:hAnsi="宋体" w:cs="宋体"/>
          <w:b/>
          <w:color w:val="auto"/>
          <w:spacing w:val="12"/>
          <w:sz w:val="30"/>
          <w:szCs w:val="30"/>
          <w:highlight w:val="none"/>
        </w:rPr>
      </w:pPr>
      <w:r>
        <w:rPr>
          <w:rFonts w:hint="eastAsia" w:ascii="宋体" w:hAnsi="宋体" w:cs="宋体"/>
          <w:b/>
          <w:color w:val="auto"/>
          <w:spacing w:val="12"/>
          <w:sz w:val="30"/>
          <w:szCs w:val="30"/>
          <w:highlight w:val="none"/>
        </w:rPr>
        <w:t>采   购  人：温州信达交通工程试验检测有限公司</w:t>
      </w:r>
    </w:p>
    <w:p>
      <w:pPr>
        <w:tabs>
          <w:tab w:val="left" w:pos="1276"/>
          <w:tab w:val="left" w:pos="2977"/>
        </w:tabs>
        <w:spacing w:line="600" w:lineRule="exact"/>
        <w:ind w:firstLine="1301" w:firstLineChars="400"/>
        <w:jc w:val="left"/>
        <w:rPr>
          <w:rFonts w:ascii="宋体" w:hAnsi="宋体" w:cs="宋体"/>
          <w:b/>
          <w:color w:val="auto"/>
          <w:spacing w:val="12"/>
          <w:sz w:val="30"/>
          <w:szCs w:val="30"/>
          <w:highlight w:val="none"/>
        </w:rPr>
      </w:pPr>
      <w:r>
        <w:rPr>
          <w:rFonts w:hint="eastAsia" w:ascii="宋体" w:hAnsi="宋体" w:cs="宋体"/>
          <w:b/>
          <w:color w:val="auto"/>
          <w:spacing w:val="12"/>
          <w:sz w:val="30"/>
          <w:szCs w:val="30"/>
          <w:highlight w:val="none"/>
        </w:rPr>
        <w:t>采购代理机构：浙江五石中正工程咨询有限公司</w:t>
      </w:r>
    </w:p>
    <w:p>
      <w:pPr>
        <w:spacing w:line="600" w:lineRule="exact"/>
        <w:jc w:val="center"/>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二〇二二年八月</w:t>
      </w:r>
    </w:p>
    <w:p>
      <w:pPr>
        <w:spacing w:line="600" w:lineRule="exact"/>
        <w:jc w:val="center"/>
        <w:rPr>
          <w:rFonts w:ascii="宋体" w:hAnsi="宋体" w:cs="宋体"/>
          <w:b/>
          <w:bCs/>
          <w:color w:val="auto"/>
          <w:sz w:val="32"/>
          <w:szCs w:val="32"/>
          <w:highlight w:val="none"/>
        </w:rPr>
      </w:pPr>
      <w:r>
        <w:rPr>
          <w:rFonts w:hint="eastAsia" w:ascii="宋体" w:hAnsi="宋体" w:cs="宋体"/>
          <w:color w:val="auto"/>
          <w:spacing w:val="40"/>
          <w:sz w:val="30"/>
          <w:szCs w:val="30"/>
          <w:highlight w:val="none"/>
        </w:rPr>
        <w:br w:type="page"/>
      </w:r>
      <w:r>
        <w:rPr>
          <w:rFonts w:hint="eastAsia" w:ascii="宋体" w:hAnsi="宋体" w:cs="宋体"/>
          <w:b/>
          <w:bCs/>
          <w:color w:val="auto"/>
          <w:sz w:val="32"/>
          <w:szCs w:val="32"/>
          <w:highlight w:val="none"/>
        </w:rPr>
        <w:t>目    录</w:t>
      </w:r>
    </w:p>
    <w:p>
      <w:pPr>
        <w:spacing w:line="600" w:lineRule="exact"/>
        <w:jc w:val="center"/>
        <w:rPr>
          <w:rFonts w:ascii="宋体" w:hAnsi="宋体" w:cs="宋体"/>
          <w:b/>
          <w:bCs/>
          <w:color w:val="auto"/>
          <w:sz w:val="24"/>
          <w:highlight w:val="none"/>
        </w:rPr>
      </w:pPr>
    </w:p>
    <w:p>
      <w:pPr>
        <w:pStyle w:val="23"/>
        <w:tabs>
          <w:tab w:val="right" w:leader="dot" w:pos="9638"/>
          <w:tab w:val="clear" w:pos="9628"/>
        </w:tabs>
        <w:rPr>
          <w:color w:val="auto"/>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"_Toc20026" </w:instrText>
      </w:r>
      <w:r>
        <w:rPr>
          <w:color w:val="auto"/>
          <w:highlight w:val="none"/>
        </w:rPr>
        <w:fldChar w:fldCharType="separate"/>
      </w:r>
      <w:r>
        <w:rPr>
          <w:rFonts w:hint="eastAsia" w:ascii="宋体" w:hAnsi="宋体" w:eastAsia="宋体" w:cs="宋体"/>
          <w:color w:val="auto"/>
          <w:szCs w:val="36"/>
          <w:highlight w:val="none"/>
        </w:rPr>
        <w:t>温州信达交通工程试验检测有限公司关于成孔质量检测仪采购（自主）的采购公告</w:t>
      </w:r>
      <w:r>
        <w:rPr>
          <w:color w:val="auto"/>
          <w:highlight w:val="none"/>
        </w:rPr>
        <w:tab/>
      </w:r>
      <w:r>
        <w:rPr>
          <w:color w:val="auto"/>
          <w:highlight w:val="none"/>
        </w:rPr>
        <w:fldChar w:fldCharType="begin"/>
      </w:r>
      <w:r>
        <w:rPr>
          <w:color w:val="auto"/>
          <w:highlight w:val="none"/>
        </w:rPr>
        <w:instrText xml:space="preserve"> PAGEREF _Toc20026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"_Toc7858" </w:instrText>
      </w:r>
      <w:r>
        <w:rPr>
          <w:color w:val="auto"/>
          <w:highlight w:val="none"/>
        </w:rPr>
        <w:fldChar w:fldCharType="separate"/>
      </w:r>
      <w:r>
        <w:rPr>
          <w:rFonts w:hint="eastAsia" w:ascii="宋体" w:hAnsi="宋体" w:eastAsia="宋体" w:cs="宋体"/>
          <w:color w:val="auto"/>
          <w:szCs w:val="36"/>
          <w:highlight w:val="none"/>
        </w:rPr>
        <w:t>温州信达交通工程试验检测有限公司关于成孔质量检测仪采购（自主）征求意见公示</w:t>
      </w:r>
      <w:r>
        <w:rPr>
          <w:color w:val="auto"/>
          <w:highlight w:val="none"/>
        </w:rPr>
        <w:tab/>
      </w:r>
      <w:r>
        <w:rPr>
          <w:color w:val="auto"/>
          <w:highlight w:val="none"/>
        </w:rPr>
        <w:fldChar w:fldCharType="begin"/>
      </w:r>
      <w:r>
        <w:rPr>
          <w:color w:val="auto"/>
          <w:highlight w:val="none"/>
        </w:rPr>
        <w:instrText xml:space="preserve"> PAGEREF _Toc7858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"_Toc22788" </w:instrText>
      </w:r>
      <w:r>
        <w:rPr>
          <w:color w:val="auto"/>
          <w:highlight w:val="none"/>
        </w:rPr>
        <w:fldChar w:fldCharType="separate"/>
      </w:r>
      <w:r>
        <w:rPr>
          <w:rFonts w:hint="eastAsia" w:ascii="宋体" w:hAnsi="宋体" w:eastAsia="宋体" w:cs="宋体"/>
          <w:color w:val="auto"/>
          <w:szCs w:val="36"/>
          <w:highlight w:val="none"/>
        </w:rPr>
        <w:t>投标供应商须知前附表</w:t>
      </w:r>
      <w:r>
        <w:rPr>
          <w:color w:val="auto"/>
          <w:highlight w:val="none"/>
        </w:rPr>
        <w:tab/>
      </w:r>
      <w:r>
        <w:rPr>
          <w:color w:val="auto"/>
          <w:highlight w:val="none"/>
        </w:rPr>
        <w:fldChar w:fldCharType="begin"/>
      </w:r>
      <w:r>
        <w:rPr>
          <w:color w:val="auto"/>
          <w:highlight w:val="none"/>
        </w:rPr>
        <w:instrText xml:space="preserve"> PAGEREF _Toc22788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"_Toc16374" </w:instrText>
      </w:r>
      <w:r>
        <w:rPr>
          <w:color w:val="auto"/>
          <w:highlight w:val="none"/>
        </w:rPr>
        <w:fldChar w:fldCharType="separate"/>
      </w:r>
      <w:r>
        <w:rPr>
          <w:rFonts w:hint="eastAsia" w:ascii="宋体" w:hAnsi="宋体" w:eastAsia="宋体" w:cs="宋体"/>
          <w:color w:val="auto"/>
          <w:szCs w:val="36"/>
          <w:highlight w:val="none"/>
        </w:rPr>
        <w:t>第一部分   投标供应商须知</w:t>
      </w:r>
      <w:r>
        <w:rPr>
          <w:color w:val="auto"/>
          <w:highlight w:val="none"/>
        </w:rPr>
        <w:tab/>
      </w:r>
      <w:r>
        <w:rPr>
          <w:color w:val="auto"/>
          <w:highlight w:val="none"/>
        </w:rPr>
        <w:fldChar w:fldCharType="begin"/>
      </w:r>
      <w:r>
        <w:rPr>
          <w:color w:val="auto"/>
          <w:highlight w:val="none"/>
        </w:rPr>
        <w:instrText xml:space="preserve"> PAGEREF _Toc16374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"_Toc15118" </w:instrText>
      </w:r>
      <w:r>
        <w:rPr>
          <w:color w:val="auto"/>
          <w:highlight w:val="none"/>
        </w:rPr>
        <w:fldChar w:fldCharType="separate"/>
      </w:r>
      <w:r>
        <w:rPr>
          <w:rFonts w:hint="eastAsia" w:ascii="宋体" w:hAnsi="宋体" w:eastAsia="宋体" w:cs="宋体"/>
          <w:color w:val="auto"/>
          <w:szCs w:val="36"/>
          <w:highlight w:val="none"/>
        </w:rPr>
        <w:t>第二部分   合同主要条款</w:t>
      </w:r>
      <w:r>
        <w:rPr>
          <w:color w:val="auto"/>
          <w:highlight w:val="none"/>
        </w:rPr>
        <w:tab/>
      </w:r>
      <w:r>
        <w:rPr>
          <w:color w:val="auto"/>
          <w:highlight w:val="none"/>
        </w:rPr>
        <w:fldChar w:fldCharType="begin"/>
      </w:r>
      <w:r>
        <w:rPr>
          <w:color w:val="auto"/>
          <w:highlight w:val="none"/>
        </w:rPr>
        <w:instrText xml:space="preserve"> PAGEREF _Toc15118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"_Toc6345" </w:instrText>
      </w:r>
      <w:r>
        <w:rPr>
          <w:color w:val="auto"/>
          <w:highlight w:val="none"/>
        </w:rPr>
        <w:fldChar w:fldCharType="separate"/>
      </w:r>
      <w:r>
        <w:rPr>
          <w:rFonts w:hint="eastAsia" w:ascii="宋体" w:hAnsi="宋体" w:eastAsia="宋体" w:cs="宋体"/>
          <w:color w:val="auto"/>
          <w:szCs w:val="36"/>
          <w:highlight w:val="none"/>
        </w:rPr>
        <w:t>第三部分   附件</w:t>
      </w:r>
      <w:r>
        <w:rPr>
          <w:color w:val="auto"/>
          <w:highlight w:val="none"/>
        </w:rPr>
        <w:tab/>
      </w:r>
      <w:r>
        <w:rPr>
          <w:color w:val="auto"/>
          <w:highlight w:val="none"/>
        </w:rPr>
        <w:fldChar w:fldCharType="begin"/>
      </w:r>
      <w:r>
        <w:rPr>
          <w:color w:val="auto"/>
          <w:highlight w:val="none"/>
        </w:rPr>
        <w:instrText xml:space="preserve"> PAGEREF _Toc6345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"_Toc9996" </w:instrText>
      </w:r>
      <w:r>
        <w:rPr>
          <w:color w:val="auto"/>
          <w:highlight w:val="none"/>
        </w:rPr>
        <w:fldChar w:fldCharType="separate"/>
      </w:r>
      <w:r>
        <w:rPr>
          <w:rFonts w:hint="eastAsia" w:ascii="宋体" w:hAnsi="宋体" w:eastAsia="宋体" w:cs="宋体"/>
          <w:color w:val="auto"/>
          <w:szCs w:val="36"/>
          <w:highlight w:val="none"/>
        </w:rPr>
        <w:t>第四部分   采购内容及要求</w:t>
      </w:r>
      <w:r>
        <w:rPr>
          <w:color w:val="auto"/>
          <w:highlight w:val="none"/>
        </w:rPr>
        <w:tab/>
      </w:r>
      <w:r>
        <w:rPr>
          <w:color w:val="auto"/>
          <w:highlight w:val="none"/>
        </w:rPr>
        <w:fldChar w:fldCharType="begin"/>
      </w:r>
      <w:r>
        <w:rPr>
          <w:color w:val="auto"/>
          <w:highlight w:val="none"/>
        </w:rPr>
        <w:instrText xml:space="preserve"> PAGEREF _Toc9996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3"/>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"_Toc15398" </w:instrText>
      </w:r>
      <w:r>
        <w:rPr>
          <w:color w:val="auto"/>
          <w:highlight w:val="none"/>
        </w:rPr>
        <w:fldChar w:fldCharType="separate"/>
      </w:r>
      <w:r>
        <w:rPr>
          <w:rFonts w:hint="eastAsia" w:ascii="宋体" w:hAnsi="宋体" w:eastAsia="宋体" w:cs="宋体"/>
          <w:color w:val="auto"/>
          <w:szCs w:val="36"/>
          <w:highlight w:val="none"/>
        </w:rPr>
        <w:t>第五部分   评标原则及方法</w:t>
      </w:r>
      <w:r>
        <w:rPr>
          <w:color w:val="auto"/>
          <w:highlight w:val="none"/>
        </w:rPr>
        <w:tab/>
      </w:r>
      <w:r>
        <w:rPr>
          <w:color w:val="auto"/>
          <w:highlight w:val="none"/>
        </w:rPr>
        <w:fldChar w:fldCharType="begin"/>
      </w:r>
      <w:r>
        <w:rPr>
          <w:color w:val="auto"/>
          <w:highlight w:val="none"/>
        </w:rPr>
        <w:instrText xml:space="preserve"> PAGEREF _Toc15398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fldChar w:fldCharType="end"/>
      </w:r>
    </w:p>
    <w:p>
      <w:pPr>
        <w:spacing w:line="560" w:lineRule="exact"/>
        <w:rPr>
          <w:rFonts w:ascii="宋体" w:hAnsi="宋体" w:cs="宋体"/>
          <w:b/>
          <w:bCs/>
          <w:color w:val="auto"/>
          <w:szCs w:val="21"/>
          <w:highlight w:val="none"/>
        </w:rPr>
      </w:pPr>
      <w:r>
        <w:rPr>
          <w:rFonts w:hint="eastAsia" w:ascii="宋体" w:hAnsi="宋体" w:cs="宋体"/>
          <w:b/>
          <w:bCs/>
          <w:color w:val="auto"/>
          <w:szCs w:val="21"/>
          <w:highlight w:val="none"/>
        </w:rPr>
        <w:t>注：采购文件中部分加“▲”及加下划线的条款，为采购的实质性要求和条件，着重提醒各投标供应商注意，并认真查看采购文件中的每一个条款及要求，因误读采购文件而造成的后果，采购人概不负责。</w:t>
      </w:r>
    </w:p>
    <w:p>
      <w:pPr>
        <w:spacing w:line="560" w:lineRule="exact"/>
        <w:rPr>
          <w:rFonts w:ascii="宋体" w:hAnsi="宋体" w:cs="宋体"/>
          <w:b/>
          <w:bCs/>
          <w:color w:val="auto"/>
          <w:sz w:val="22"/>
          <w:szCs w:val="22"/>
          <w:highlight w:val="none"/>
        </w:rPr>
      </w:pPr>
    </w:p>
    <w:p>
      <w:pPr>
        <w:spacing w:line="380" w:lineRule="exact"/>
        <w:ind w:right="720"/>
        <w:rPr>
          <w:rFonts w:ascii="宋体" w:hAnsi="宋体" w:cs="宋体"/>
          <w:color w:val="auto"/>
          <w:sz w:val="22"/>
          <w:szCs w:val="22"/>
          <w:highlight w:val="none"/>
        </w:rPr>
      </w:pPr>
    </w:p>
    <w:p>
      <w:pPr>
        <w:spacing w:line="380" w:lineRule="exact"/>
        <w:ind w:right="720"/>
        <w:rPr>
          <w:rFonts w:ascii="宋体" w:hAnsi="宋体" w:cs="宋体"/>
          <w:color w:val="auto"/>
          <w:sz w:val="22"/>
          <w:szCs w:val="22"/>
          <w:highlight w:val="none"/>
        </w:rPr>
      </w:pPr>
    </w:p>
    <w:p>
      <w:pPr>
        <w:spacing w:line="360" w:lineRule="auto"/>
        <w:rPr>
          <w:rFonts w:ascii="宋体" w:hAnsi="宋体" w:cs="宋体"/>
          <w:b/>
          <w:bCs/>
          <w:color w:val="auto"/>
          <w:szCs w:val="21"/>
          <w:highlight w:val="none"/>
        </w:rPr>
      </w:pPr>
      <w:r>
        <w:rPr>
          <w:rFonts w:hint="eastAsia" w:ascii="宋体" w:hAnsi="宋体" w:cs="宋体"/>
          <w:color w:val="auto"/>
          <w:spacing w:val="40"/>
          <w:sz w:val="30"/>
          <w:szCs w:val="30"/>
          <w:highlight w:val="none"/>
        </w:rPr>
        <w:br w:type="page"/>
      </w:r>
    </w:p>
    <w:p>
      <w:pPr>
        <w:pStyle w:val="3"/>
        <w:keepNext w:val="0"/>
        <w:widowControl/>
        <w:spacing w:line="450" w:lineRule="atLeast"/>
        <w:rPr>
          <w:rFonts w:ascii="宋体" w:hAnsi="宋体" w:eastAsia="宋体" w:cs="宋体"/>
          <w:color w:val="auto"/>
          <w:sz w:val="36"/>
          <w:szCs w:val="36"/>
          <w:highlight w:val="none"/>
        </w:rPr>
      </w:pPr>
      <w:bookmarkStart w:id="0" w:name="_Toc20026"/>
      <w:r>
        <w:rPr>
          <w:rFonts w:hint="eastAsia" w:ascii="宋体" w:hAnsi="宋体" w:eastAsia="宋体" w:cs="宋体"/>
          <w:color w:val="auto"/>
          <w:sz w:val="36"/>
          <w:szCs w:val="36"/>
          <w:highlight w:val="none"/>
        </w:rPr>
        <w:t>温州信达交通工程试验检测有限公司关于成孔质量检测仪采购（自主）的采购公告</w:t>
      </w:r>
      <w:bookmarkEnd w:id="0"/>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根据《温州市市属国有企业采购管理办法（试行）》等有关规定，浙江五石中正工程咨询有限公司受温州信达交通工程试验检测有限公司委托，就成孔质量检测仪采购以公开招标方式进行国企采购，欢迎国内合格的供应商前来投标。</w:t>
      </w:r>
    </w:p>
    <w:p>
      <w:pPr>
        <w:pStyle w:val="26"/>
        <w:spacing w:before="0" w:beforeAutospacing="0" w:after="0" w:afterAutospacing="0" w:line="360" w:lineRule="exact"/>
        <w:outlineLvl w:val="0"/>
        <w:rPr>
          <w:color w:val="auto"/>
          <w:sz w:val="21"/>
          <w:szCs w:val="21"/>
          <w:highlight w:val="none"/>
        </w:rPr>
      </w:pPr>
      <w:bookmarkStart w:id="1" w:name="_Toc8502"/>
      <w:r>
        <w:rPr>
          <w:rStyle w:val="32"/>
          <w:rFonts w:hint="eastAsia" w:ascii="宋体" w:hAnsi="宋体" w:cs="宋体"/>
          <w:color w:val="auto"/>
          <w:sz w:val="21"/>
          <w:szCs w:val="21"/>
          <w:highlight w:val="none"/>
        </w:rPr>
        <w:t>一、采购编号：</w:t>
      </w:r>
      <w:bookmarkEnd w:id="1"/>
      <w:r>
        <w:rPr>
          <w:rFonts w:hint="eastAsia"/>
          <w:color w:val="auto"/>
          <w:sz w:val="21"/>
          <w:szCs w:val="21"/>
          <w:highlight w:val="none"/>
        </w:rPr>
        <w:t>ZJWS-WZJT-2022-003</w:t>
      </w:r>
    </w:p>
    <w:p>
      <w:pPr>
        <w:pStyle w:val="26"/>
        <w:spacing w:before="0" w:beforeAutospacing="0" w:after="0" w:afterAutospacing="0" w:line="360" w:lineRule="exact"/>
        <w:outlineLvl w:val="0"/>
        <w:rPr>
          <w:color w:val="auto"/>
          <w:sz w:val="21"/>
          <w:szCs w:val="21"/>
          <w:highlight w:val="none"/>
        </w:rPr>
      </w:pPr>
      <w:bookmarkStart w:id="2" w:name="_Toc14775"/>
      <w:r>
        <w:rPr>
          <w:rStyle w:val="32"/>
          <w:rFonts w:hint="eastAsia" w:ascii="宋体" w:hAnsi="宋体" w:cs="宋体"/>
          <w:color w:val="auto"/>
          <w:sz w:val="21"/>
          <w:szCs w:val="21"/>
          <w:highlight w:val="none"/>
        </w:rPr>
        <w:t>二、采购类型：</w:t>
      </w:r>
      <w:r>
        <w:rPr>
          <w:rFonts w:hint="eastAsia"/>
          <w:color w:val="auto"/>
          <w:sz w:val="21"/>
          <w:szCs w:val="21"/>
          <w:highlight w:val="none"/>
        </w:rPr>
        <w:t>国企采购（非政府采购项目）</w:t>
      </w:r>
      <w:bookmarkEnd w:id="2"/>
    </w:p>
    <w:p>
      <w:pPr>
        <w:pStyle w:val="26"/>
        <w:spacing w:before="0" w:beforeAutospacing="0" w:after="0" w:afterAutospacing="0" w:line="360" w:lineRule="exact"/>
        <w:outlineLvl w:val="0"/>
        <w:rPr>
          <w:color w:val="auto"/>
          <w:sz w:val="21"/>
          <w:szCs w:val="21"/>
          <w:highlight w:val="none"/>
        </w:rPr>
      </w:pPr>
      <w:bookmarkStart w:id="3" w:name="_Toc7691"/>
      <w:r>
        <w:rPr>
          <w:rStyle w:val="32"/>
          <w:rFonts w:hint="eastAsia" w:ascii="宋体" w:hAnsi="宋体" w:cs="宋体"/>
          <w:color w:val="auto"/>
          <w:sz w:val="21"/>
          <w:szCs w:val="21"/>
          <w:highlight w:val="none"/>
        </w:rPr>
        <w:t>三、采购内容（具体采购内容及详细技术要求见采购文件相关部分）：</w:t>
      </w:r>
      <w:bookmarkEnd w:id="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99"/>
        <w:gridCol w:w="746"/>
        <w:gridCol w:w="795"/>
        <w:gridCol w:w="1299"/>
        <w:gridCol w:w="3731"/>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bookmarkStart w:id="4" w:name="_Toc185012667"/>
            <w:bookmarkStart w:id="5" w:name="_Toc251221432"/>
            <w:bookmarkStart w:id="6" w:name="_Toc251189087"/>
            <w:bookmarkStart w:id="7" w:name="_Toc251566641"/>
            <w:bookmarkStart w:id="8" w:name="_Toc247"/>
            <w:r>
              <w:rPr>
                <w:rFonts w:ascii="宋体" w:hAnsi="宋体" w:cs="Arial"/>
                <w:color w:val="auto"/>
                <w:kern w:val="0"/>
                <w:szCs w:val="21"/>
                <w:highlight w:val="none"/>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标项内容</w:t>
            </w: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单位</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预算金额（万元）</w:t>
            </w:r>
          </w:p>
        </w:tc>
        <w:tc>
          <w:tcPr>
            <w:tcW w:w="3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简要技术要求、用途</w:t>
            </w:r>
          </w:p>
        </w:tc>
        <w:tc>
          <w:tcPr>
            <w:tcW w:w="7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Arial"/>
                <w:color w:val="auto"/>
                <w:szCs w:val="21"/>
                <w:highlight w:val="none"/>
              </w:rPr>
            </w:pPr>
            <w:r>
              <w:rPr>
                <w:rFonts w:ascii="宋体" w:hAnsi="宋体" w:cs="Arial"/>
                <w:color w:val="auto"/>
                <w:szCs w:val="21"/>
                <w:highlight w:val="none"/>
              </w:rPr>
              <w:t>1</w:t>
            </w:r>
          </w:p>
        </w:tc>
        <w:tc>
          <w:tcPr>
            <w:tcW w:w="20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hint="eastAsia" w:ascii="宋体" w:hAnsi="宋体"/>
                <w:snapToGrid w:val="0"/>
                <w:color w:val="auto"/>
                <w:kern w:val="0"/>
                <w:szCs w:val="21"/>
                <w:highlight w:val="none"/>
              </w:rPr>
              <w:t>成孔质量检测仪</w:t>
            </w:r>
          </w:p>
        </w:tc>
        <w:tc>
          <w:tcPr>
            <w:tcW w:w="7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7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ascii="宋体" w:hAnsi="宋体" w:cs="Arial"/>
                <w:color w:val="auto"/>
                <w:kern w:val="0"/>
                <w:szCs w:val="21"/>
                <w:highlight w:val="none"/>
              </w:rPr>
              <w:t>台</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r>
              <w:rPr>
                <w:rFonts w:hint="eastAsia" w:ascii="宋体" w:hAnsi="宋体" w:cs="Arial"/>
                <w:color w:val="auto"/>
                <w:kern w:val="0"/>
                <w:szCs w:val="21"/>
                <w:highlight w:val="none"/>
              </w:rPr>
              <w:t>25.00</w:t>
            </w:r>
          </w:p>
        </w:tc>
        <w:tc>
          <w:tcPr>
            <w:tcW w:w="3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Arial"/>
                <w:color w:val="auto"/>
                <w:kern w:val="0"/>
                <w:szCs w:val="21"/>
                <w:highlight w:val="none"/>
              </w:rPr>
            </w:pPr>
            <w:bookmarkStart w:id="9" w:name="B16_简要技术要求、用途"/>
            <w:bookmarkEnd w:id="9"/>
            <w:r>
              <w:rPr>
                <w:rFonts w:hint="eastAsia" w:ascii="宋体" w:hAnsi="宋体" w:cs="Arial"/>
                <w:color w:val="auto"/>
                <w:kern w:val="0"/>
                <w:szCs w:val="21"/>
                <w:highlight w:val="none"/>
              </w:rPr>
              <w:t>详见“采购内容及需求”</w:t>
            </w:r>
          </w:p>
        </w:tc>
        <w:tc>
          <w:tcPr>
            <w:tcW w:w="727" w:type="dxa"/>
            <w:vAlign w:val="center"/>
          </w:tcPr>
          <w:p>
            <w:pPr>
              <w:widowControl/>
              <w:adjustRightInd w:val="0"/>
              <w:snapToGrid w:val="0"/>
              <w:jc w:val="center"/>
              <w:rPr>
                <w:rFonts w:ascii="宋体" w:hAnsi="宋体" w:cs="Arial"/>
                <w:color w:val="auto"/>
                <w:kern w:val="0"/>
                <w:szCs w:val="21"/>
                <w:highlight w:val="none"/>
              </w:rPr>
            </w:pPr>
          </w:p>
        </w:tc>
      </w:tr>
      <w:bookmarkEnd w:id="4"/>
      <w:bookmarkEnd w:id="5"/>
      <w:bookmarkEnd w:id="6"/>
      <w:bookmarkEnd w:id="7"/>
    </w:tbl>
    <w:p>
      <w:pPr>
        <w:pStyle w:val="26"/>
        <w:spacing w:before="0" w:beforeAutospacing="0" w:after="0" w:afterAutospacing="0" w:line="360" w:lineRule="exact"/>
        <w:outlineLvl w:val="0"/>
        <w:rPr>
          <w:color w:val="auto"/>
          <w:sz w:val="21"/>
          <w:szCs w:val="21"/>
          <w:highlight w:val="none"/>
        </w:rPr>
      </w:pPr>
      <w:r>
        <w:rPr>
          <w:rStyle w:val="32"/>
          <w:rFonts w:hint="eastAsia" w:ascii="宋体" w:hAnsi="宋体" w:cs="宋体"/>
          <w:color w:val="auto"/>
          <w:sz w:val="21"/>
          <w:szCs w:val="21"/>
          <w:highlight w:val="none"/>
        </w:rPr>
        <w:t>四、投标供应商资格要求：</w:t>
      </w:r>
      <w:bookmarkEnd w:id="8"/>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1、符合《温州市市属国有企业采购管理办法（试行）》第十五条对投标供应商参加温州市国有企业采购活动应当具备的条件的要求；</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2、具备独立法人资格。</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3、投标供应商未被“信用中国”（www.creditchina.gov.cn）、中国政府采购网（www.ccgp.gov.cn）列入失信被执行人、重大税收违法案件当事人名单、采购严重违法失信行为记录名单；</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4、单位负责人为同一人或者存在直接控股、管理关系的不同投标供应商，不得参加同一合同项下的采购活动；</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5、本项目不接受联合体投标。</w:t>
      </w:r>
    </w:p>
    <w:p>
      <w:pPr>
        <w:pStyle w:val="26"/>
        <w:spacing w:before="0" w:beforeAutospacing="0" w:after="0" w:afterAutospacing="0" w:line="360" w:lineRule="exact"/>
        <w:outlineLvl w:val="0"/>
        <w:rPr>
          <w:color w:val="auto"/>
          <w:sz w:val="21"/>
          <w:szCs w:val="21"/>
          <w:highlight w:val="none"/>
        </w:rPr>
      </w:pPr>
      <w:bookmarkStart w:id="10" w:name="_Toc7210"/>
      <w:r>
        <w:rPr>
          <w:rStyle w:val="32"/>
          <w:rFonts w:hint="eastAsia" w:ascii="宋体" w:hAnsi="宋体" w:cs="宋体"/>
          <w:color w:val="auto"/>
          <w:sz w:val="21"/>
          <w:szCs w:val="21"/>
          <w:highlight w:val="none"/>
        </w:rPr>
        <w:t>五、报名时间及地址：</w:t>
      </w:r>
      <w:bookmarkEnd w:id="10"/>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1、报名时间：自本公告公布日起至截标之前，报名单位准备好资料均可报名（上午：8:30-11:30 下午：14:30-16:30 双休日及法定节假日除外）。</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2、</w:t>
      </w:r>
      <w:r>
        <w:rPr>
          <w:rStyle w:val="32"/>
          <w:rFonts w:hint="eastAsia" w:ascii="宋体" w:hAnsi="宋体" w:cs="宋体"/>
          <w:color w:val="auto"/>
          <w:sz w:val="21"/>
          <w:szCs w:val="21"/>
          <w:highlight w:val="none"/>
        </w:rPr>
        <w:t>报名方式：</w:t>
      </w:r>
      <w:r>
        <w:rPr>
          <w:rStyle w:val="32"/>
          <w:rFonts w:hint="eastAsia" w:cs="宋体"/>
          <w:color w:val="auto"/>
          <w:sz w:val="21"/>
          <w:szCs w:val="21"/>
          <w:highlight w:val="none"/>
          <w:lang w:val="en-US" w:eastAsia="zh-CN"/>
        </w:rPr>
        <w:t>现场发售或邮箱报名</w:t>
      </w:r>
      <w:r>
        <w:rPr>
          <w:rStyle w:val="32"/>
          <w:rFonts w:hint="eastAsia" w:ascii="宋体" w:hAnsi="宋体" w:cs="宋体"/>
          <w:color w:val="auto"/>
          <w:sz w:val="21"/>
          <w:szCs w:val="21"/>
          <w:highlight w:val="none"/>
        </w:rPr>
        <w:t>。</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3、报名及采购文件发售地点：温州市鹿城区汤家桥路大自然家园2A1601室。</w:t>
      </w:r>
    </w:p>
    <w:p>
      <w:pPr>
        <w:pStyle w:val="26"/>
        <w:spacing w:before="0" w:beforeAutospacing="0" w:after="0" w:afterAutospacing="0" w:line="360" w:lineRule="exact"/>
        <w:ind w:firstLine="435"/>
        <w:rPr>
          <w:color w:val="auto"/>
          <w:sz w:val="21"/>
          <w:szCs w:val="21"/>
          <w:highlight w:val="none"/>
        </w:rPr>
      </w:pPr>
      <w:r>
        <w:rPr>
          <w:rFonts w:hint="eastAsia"/>
          <w:color w:val="auto"/>
          <w:sz w:val="21"/>
          <w:szCs w:val="21"/>
          <w:highlight w:val="none"/>
        </w:rPr>
        <w:t>4、采购文件售价：人民币500元整，采购文件售后不退。</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5、购买采购文件时须提交的文件资料：</w:t>
      </w:r>
    </w:p>
    <w:p>
      <w:pPr>
        <w:pStyle w:val="26"/>
        <w:spacing w:before="0" w:beforeAutospacing="0" w:after="0" w:afterAutospacing="0" w:line="360" w:lineRule="exact"/>
        <w:ind w:firstLine="420"/>
        <w:rPr>
          <w:color w:val="auto"/>
          <w:sz w:val="21"/>
          <w:szCs w:val="21"/>
          <w:highlight w:val="none"/>
        </w:rPr>
      </w:pPr>
      <w:r>
        <w:rPr>
          <w:rFonts w:hint="eastAsia"/>
          <w:color w:val="auto"/>
          <w:sz w:val="21"/>
          <w:szCs w:val="21"/>
          <w:highlight w:val="none"/>
        </w:rPr>
        <w:t>1) 温州市国有企业采购投标报名申请表（附件自行下载填写）</w:t>
      </w:r>
    </w:p>
    <w:p>
      <w:pPr>
        <w:pStyle w:val="26"/>
        <w:spacing w:before="0" w:beforeAutospacing="0" w:after="0" w:afterAutospacing="0" w:line="360" w:lineRule="exact"/>
        <w:ind w:firstLine="420"/>
        <w:rPr>
          <w:color w:val="auto"/>
          <w:sz w:val="21"/>
          <w:szCs w:val="21"/>
          <w:highlight w:val="none"/>
        </w:rPr>
      </w:pPr>
      <w:r>
        <w:rPr>
          <w:rFonts w:hint="eastAsia"/>
          <w:color w:val="auto"/>
          <w:sz w:val="21"/>
          <w:szCs w:val="21"/>
          <w:highlight w:val="none"/>
        </w:rPr>
        <w:t>2) 法定代表授权书或投标单位介绍信；</w:t>
      </w:r>
    </w:p>
    <w:p>
      <w:pPr>
        <w:pStyle w:val="26"/>
        <w:spacing w:before="0" w:beforeAutospacing="0" w:after="0" w:afterAutospacing="0" w:line="360" w:lineRule="exact"/>
        <w:ind w:firstLine="420"/>
        <w:rPr>
          <w:color w:val="auto"/>
          <w:sz w:val="21"/>
          <w:szCs w:val="21"/>
          <w:highlight w:val="none"/>
        </w:rPr>
      </w:pPr>
      <w:r>
        <w:rPr>
          <w:rFonts w:hint="eastAsia"/>
          <w:color w:val="auto"/>
          <w:sz w:val="21"/>
          <w:szCs w:val="21"/>
          <w:highlight w:val="none"/>
        </w:rPr>
        <w:t>3) 企业法人营业执照副本、税务登记证书（如有）；</w:t>
      </w:r>
    </w:p>
    <w:p>
      <w:pPr>
        <w:pStyle w:val="26"/>
        <w:spacing w:before="0" w:beforeAutospacing="0" w:after="0" w:afterAutospacing="0" w:line="360" w:lineRule="exact"/>
        <w:ind w:firstLine="420"/>
        <w:rPr>
          <w:color w:val="auto"/>
          <w:sz w:val="21"/>
          <w:szCs w:val="21"/>
          <w:highlight w:val="none"/>
        </w:rPr>
      </w:pPr>
      <w:r>
        <w:rPr>
          <w:rFonts w:hint="eastAsia"/>
          <w:color w:val="auto"/>
          <w:sz w:val="21"/>
          <w:szCs w:val="21"/>
          <w:highlight w:val="none"/>
        </w:rPr>
        <w:t>4) 报名人有效身份证复印件；</w:t>
      </w:r>
    </w:p>
    <w:p>
      <w:pPr>
        <w:pStyle w:val="26"/>
        <w:spacing w:before="0" w:beforeAutospacing="0" w:after="0" w:afterAutospacing="0" w:line="360" w:lineRule="exact"/>
        <w:ind w:firstLine="420"/>
        <w:rPr>
          <w:color w:val="auto"/>
          <w:sz w:val="21"/>
          <w:szCs w:val="21"/>
          <w:highlight w:val="none"/>
        </w:rPr>
      </w:pPr>
      <w:r>
        <w:rPr>
          <w:rFonts w:hint="eastAsia"/>
          <w:color w:val="auto"/>
          <w:sz w:val="21"/>
          <w:szCs w:val="21"/>
          <w:highlight w:val="none"/>
        </w:rPr>
        <w:t>5）投标供应商认为需要提供的其他资料；</w:t>
      </w:r>
    </w:p>
    <w:p>
      <w:pPr>
        <w:pStyle w:val="26"/>
        <w:spacing w:before="0" w:beforeAutospacing="0" w:after="0" w:afterAutospacing="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以上资料若为复印件，须加盖投标供应商公章。</w:t>
      </w:r>
    </w:p>
    <w:p>
      <w:pPr>
        <w:pStyle w:val="26"/>
        <w:spacing w:before="0" w:beforeAutospacing="0" w:after="0" w:afterAutospacing="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报名资料可发送至报名邮箱：</w:t>
      </w:r>
      <w:r>
        <w:rPr>
          <w:rFonts w:hint="eastAsia" w:ascii="宋体" w:hAnsi="宋体" w:cs="宋体"/>
          <w:color w:val="auto"/>
          <w:sz w:val="22"/>
          <w:szCs w:val="22"/>
          <w:highlight w:val="none"/>
          <w:lang w:val="en-US" w:eastAsia="zh-CN"/>
        </w:rPr>
        <w:t>908551533@qq.com</w:t>
      </w:r>
    </w:p>
    <w:p>
      <w:pPr>
        <w:pStyle w:val="26"/>
        <w:spacing w:before="0" w:beforeAutospacing="0" w:after="0" w:afterAutospacing="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采购机构将根据报名的投标人提交的文件资料进行核查，合格的投标人才可领取招标文件。</w:t>
      </w:r>
    </w:p>
    <w:p>
      <w:pPr>
        <w:pStyle w:val="26"/>
        <w:spacing w:before="0" w:beforeAutospacing="0" w:after="0" w:afterAutospacing="0" w:line="360" w:lineRule="exact"/>
        <w:outlineLvl w:val="0"/>
        <w:rPr>
          <w:color w:val="auto"/>
          <w:sz w:val="21"/>
          <w:szCs w:val="21"/>
          <w:highlight w:val="none"/>
        </w:rPr>
      </w:pPr>
      <w:bookmarkStart w:id="11" w:name="_Toc25507"/>
      <w:r>
        <w:rPr>
          <w:rStyle w:val="32"/>
          <w:rFonts w:hint="eastAsia" w:ascii="宋体" w:hAnsi="宋体" w:cs="宋体"/>
          <w:color w:val="auto"/>
          <w:sz w:val="21"/>
          <w:szCs w:val="21"/>
          <w:highlight w:val="none"/>
        </w:rPr>
        <w:t>六、投标及开标信息</w:t>
      </w:r>
      <w:bookmarkEnd w:id="11"/>
    </w:p>
    <w:p>
      <w:pPr>
        <w:pStyle w:val="26"/>
        <w:spacing w:before="0" w:beforeAutospacing="0" w:after="0" w:afterAutospacing="0" w:line="360" w:lineRule="exact"/>
        <w:ind w:firstLine="422" w:firstLineChars="200"/>
        <w:rPr>
          <w:color w:val="auto"/>
          <w:sz w:val="21"/>
          <w:szCs w:val="21"/>
          <w:highlight w:val="none"/>
        </w:rPr>
      </w:pPr>
      <w:r>
        <w:rPr>
          <w:rStyle w:val="32"/>
          <w:rFonts w:hint="eastAsia" w:ascii="宋体" w:hAnsi="宋体" w:cs="宋体"/>
          <w:color w:val="auto"/>
          <w:sz w:val="21"/>
          <w:szCs w:val="21"/>
          <w:highlight w:val="none"/>
        </w:rPr>
        <w:t>投标截止时间：</w:t>
      </w:r>
      <w:r>
        <w:rPr>
          <w:rStyle w:val="32"/>
          <w:rFonts w:hint="eastAsia" w:cs="宋体"/>
          <w:color w:val="auto"/>
          <w:sz w:val="21"/>
          <w:szCs w:val="21"/>
          <w:highlight w:val="none"/>
          <w:u w:val="single"/>
        </w:rPr>
        <w:t>2022</w:t>
      </w:r>
      <w:r>
        <w:rPr>
          <w:rStyle w:val="32"/>
          <w:rFonts w:hint="eastAsia" w:ascii="宋体" w:hAnsi="宋体" w:cs="宋体"/>
          <w:color w:val="auto"/>
          <w:sz w:val="21"/>
          <w:szCs w:val="21"/>
          <w:highlight w:val="none"/>
        </w:rPr>
        <w:t>年</w:t>
      </w:r>
      <w:r>
        <w:rPr>
          <w:rStyle w:val="32"/>
          <w:rFonts w:hint="eastAsia" w:cs="宋体"/>
          <w:color w:val="auto"/>
          <w:sz w:val="21"/>
          <w:szCs w:val="21"/>
          <w:highlight w:val="none"/>
          <w:u w:val="single"/>
        </w:rPr>
        <w:t xml:space="preserve"> 08 </w:t>
      </w:r>
      <w:r>
        <w:rPr>
          <w:rStyle w:val="32"/>
          <w:rFonts w:hint="eastAsia" w:ascii="宋体" w:hAnsi="宋体" w:cs="宋体"/>
          <w:color w:val="auto"/>
          <w:sz w:val="21"/>
          <w:szCs w:val="21"/>
          <w:highlight w:val="none"/>
        </w:rPr>
        <w:t>月</w:t>
      </w:r>
      <w:r>
        <w:rPr>
          <w:rStyle w:val="32"/>
          <w:rFonts w:hint="eastAsia" w:cs="宋体"/>
          <w:color w:val="auto"/>
          <w:sz w:val="21"/>
          <w:szCs w:val="21"/>
          <w:highlight w:val="none"/>
          <w:u w:val="single"/>
        </w:rPr>
        <w:t xml:space="preserve"> </w:t>
      </w:r>
      <w:r>
        <w:rPr>
          <w:rStyle w:val="32"/>
          <w:rFonts w:hint="eastAsia" w:cs="宋体"/>
          <w:color w:val="auto"/>
          <w:sz w:val="21"/>
          <w:szCs w:val="21"/>
          <w:highlight w:val="none"/>
          <w:u w:val="single"/>
          <w:lang w:val="en-US" w:eastAsia="zh-CN"/>
        </w:rPr>
        <w:t>24</w:t>
      </w:r>
      <w:r>
        <w:rPr>
          <w:rStyle w:val="32"/>
          <w:rFonts w:hint="eastAsia" w:cs="宋体"/>
          <w:color w:val="auto"/>
          <w:sz w:val="21"/>
          <w:szCs w:val="21"/>
          <w:highlight w:val="none"/>
          <w:u w:val="single"/>
        </w:rPr>
        <w:t xml:space="preserve"> </w:t>
      </w:r>
      <w:r>
        <w:rPr>
          <w:rStyle w:val="32"/>
          <w:rFonts w:hint="eastAsia" w:ascii="宋体" w:hAnsi="宋体" w:cs="宋体"/>
          <w:color w:val="auto"/>
          <w:sz w:val="21"/>
          <w:szCs w:val="21"/>
          <w:highlight w:val="none"/>
        </w:rPr>
        <w:t>日14时30分整。</w:t>
      </w:r>
    </w:p>
    <w:p>
      <w:pPr>
        <w:pStyle w:val="26"/>
        <w:spacing w:before="0" w:beforeAutospacing="0" w:after="0" w:afterAutospacing="0" w:line="360" w:lineRule="exact"/>
        <w:ind w:firstLine="422" w:firstLineChars="200"/>
        <w:rPr>
          <w:color w:val="auto"/>
          <w:sz w:val="21"/>
          <w:szCs w:val="21"/>
          <w:highlight w:val="none"/>
        </w:rPr>
      </w:pPr>
      <w:r>
        <w:rPr>
          <w:rStyle w:val="32"/>
          <w:rFonts w:hint="eastAsia" w:ascii="宋体" w:hAnsi="宋体" w:cs="宋体"/>
          <w:color w:val="auto"/>
          <w:sz w:val="21"/>
          <w:szCs w:val="21"/>
          <w:highlight w:val="none"/>
        </w:rPr>
        <w:t>投标文件递交地点：</w:t>
      </w:r>
      <w:r>
        <w:rPr>
          <w:rStyle w:val="32"/>
          <w:rFonts w:hint="eastAsia" w:cs="宋体"/>
          <w:color w:val="auto"/>
          <w:sz w:val="21"/>
          <w:szCs w:val="21"/>
          <w:highlight w:val="none"/>
        </w:rPr>
        <w:t>温州信达交通工程试验检测有限公司四楼会议室（温州市永嘉县瓯北镇和三村瓯北绕城高速收费站内）</w:t>
      </w:r>
    </w:p>
    <w:p>
      <w:pPr>
        <w:pStyle w:val="26"/>
        <w:spacing w:before="0" w:beforeAutospacing="0" w:after="0" w:afterAutospacing="0" w:line="360" w:lineRule="exact"/>
        <w:ind w:firstLine="422" w:firstLineChars="200"/>
        <w:rPr>
          <w:color w:val="auto"/>
          <w:sz w:val="21"/>
          <w:szCs w:val="21"/>
          <w:highlight w:val="none"/>
        </w:rPr>
      </w:pPr>
      <w:r>
        <w:rPr>
          <w:rStyle w:val="32"/>
          <w:rFonts w:hint="eastAsia" w:ascii="宋体" w:hAnsi="宋体" w:cs="宋体"/>
          <w:color w:val="auto"/>
          <w:sz w:val="21"/>
          <w:szCs w:val="21"/>
          <w:highlight w:val="none"/>
        </w:rPr>
        <w:t>开标时间</w:t>
      </w:r>
      <w:r>
        <w:rPr>
          <w:rFonts w:hint="eastAsia"/>
          <w:color w:val="auto"/>
          <w:sz w:val="21"/>
          <w:szCs w:val="21"/>
          <w:highlight w:val="none"/>
        </w:rPr>
        <w:t>：</w:t>
      </w:r>
      <w:r>
        <w:rPr>
          <w:rStyle w:val="32"/>
          <w:rFonts w:hint="eastAsia" w:cs="宋体"/>
          <w:color w:val="auto"/>
          <w:sz w:val="21"/>
          <w:szCs w:val="21"/>
          <w:highlight w:val="none"/>
        </w:rPr>
        <w:t>同投标截止时间</w:t>
      </w:r>
      <w:r>
        <w:rPr>
          <w:rStyle w:val="32"/>
          <w:rFonts w:hint="eastAsia" w:ascii="宋体" w:hAnsi="宋体" w:cs="宋体"/>
          <w:color w:val="auto"/>
          <w:sz w:val="21"/>
          <w:szCs w:val="21"/>
          <w:highlight w:val="none"/>
        </w:rPr>
        <w:t>。</w:t>
      </w:r>
    </w:p>
    <w:p>
      <w:pPr>
        <w:pStyle w:val="26"/>
        <w:spacing w:before="0" w:beforeAutospacing="0" w:after="0" w:afterAutospacing="0" w:line="360" w:lineRule="exact"/>
        <w:ind w:firstLine="422" w:firstLineChars="200"/>
        <w:rPr>
          <w:color w:val="auto"/>
          <w:sz w:val="21"/>
          <w:szCs w:val="21"/>
          <w:highlight w:val="none"/>
        </w:rPr>
      </w:pPr>
      <w:r>
        <w:rPr>
          <w:rStyle w:val="32"/>
          <w:rFonts w:hint="eastAsia" w:ascii="宋体" w:hAnsi="宋体" w:cs="宋体"/>
          <w:color w:val="auto"/>
          <w:sz w:val="21"/>
          <w:szCs w:val="21"/>
          <w:highlight w:val="none"/>
        </w:rPr>
        <w:t>开标地点</w:t>
      </w:r>
      <w:r>
        <w:rPr>
          <w:rFonts w:hint="eastAsia"/>
          <w:color w:val="auto"/>
          <w:sz w:val="21"/>
          <w:szCs w:val="21"/>
          <w:highlight w:val="none"/>
        </w:rPr>
        <w:t>：</w:t>
      </w:r>
      <w:r>
        <w:rPr>
          <w:rStyle w:val="32"/>
          <w:rFonts w:hint="eastAsia" w:cs="宋体"/>
          <w:color w:val="auto"/>
          <w:sz w:val="21"/>
          <w:szCs w:val="21"/>
          <w:highlight w:val="none"/>
        </w:rPr>
        <w:t>同投标文件递交地点。</w:t>
      </w:r>
    </w:p>
    <w:p>
      <w:pPr>
        <w:pStyle w:val="26"/>
        <w:spacing w:before="0" w:beforeAutospacing="0" w:after="0" w:afterAutospacing="0" w:line="360" w:lineRule="exact"/>
        <w:outlineLvl w:val="0"/>
        <w:rPr>
          <w:color w:val="auto"/>
          <w:sz w:val="21"/>
          <w:szCs w:val="21"/>
          <w:highlight w:val="none"/>
        </w:rPr>
      </w:pPr>
      <w:bookmarkStart w:id="12" w:name="_Toc21296"/>
      <w:r>
        <w:rPr>
          <w:rStyle w:val="32"/>
          <w:rFonts w:hint="eastAsia" w:ascii="宋体" w:hAnsi="宋体" w:cs="宋体"/>
          <w:color w:val="auto"/>
          <w:sz w:val="21"/>
          <w:szCs w:val="21"/>
          <w:highlight w:val="none"/>
        </w:rPr>
        <w:t>七、投标保证金及交付方式：</w:t>
      </w:r>
      <w:bookmarkEnd w:id="12"/>
    </w:p>
    <w:p>
      <w:pPr>
        <w:pStyle w:val="26"/>
        <w:spacing w:before="0" w:beforeAutospacing="0" w:after="0" w:afterAutospacing="0" w:line="360" w:lineRule="exact"/>
        <w:ind w:firstLine="422" w:firstLineChars="200"/>
        <w:rPr>
          <w:color w:val="auto"/>
          <w:sz w:val="21"/>
          <w:szCs w:val="21"/>
          <w:highlight w:val="none"/>
        </w:rPr>
      </w:pPr>
      <w:r>
        <w:rPr>
          <w:rStyle w:val="32"/>
          <w:rFonts w:hint="eastAsia" w:ascii="宋体" w:hAnsi="宋体" w:cs="宋体"/>
          <w:color w:val="auto"/>
          <w:sz w:val="21"/>
          <w:szCs w:val="21"/>
          <w:highlight w:val="none"/>
        </w:rPr>
        <w:t>投标保证金额：</w:t>
      </w:r>
      <w:r>
        <w:rPr>
          <w:rStyle w:val="32"/>
          <w:rFonts w:hint="eastAsia" w:cs="宋体"/>
          <w:color w:val="auto"/>
          <w:sz w:val="21"/>
          <w:szCs w:val="21"/>
          <w:highlight w:val="none"/>
        </w:rPr>
        <w:t>5000元</w:t>
      </w:r>
      <w:r>
        <w:rPr>
          <w:rStyle w:val="32"/>
          <w:rFonts w:hint="eastAsia" w:ascii="宋体" w:hAnsi="宋体" w:cs="宋体"/>
          <w:color w:val="auto"/>
          <w:sz w:val="21"/>
          <w:szCs w:val="21"/>
          <w:highlight w:val="none"/>
        </w:rPr>
        <w:t>。</w:t>
      </w:r>
    </w:p>
    <w:p>
      <w:pPr>
        <w:pStyle w:val="26"/>
        <w:spacing w:before="0" w:beforeAutospacing="0" w:after="0" w:afterAutospacing="0" w:line="360" w:lineRule="exact"/>
        <w:ind w:firstLine="422"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户名：浙江五石中正工程咨询有限公司</w:t>
      </w:r>
    </w:p>
    <w:p>
      <w:pPr>
        <w:pStyle w:val="26"/>
        <w:spacing w:before="0" w:beforeAutospacing="0" w:after="0" w:afterAutospacing="0" w:line="360" w:lineRule="exact"/>
        <w:ind w:firstLine="422"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账号：1202223219900021603；</w:t>
      </w:r>
    </w:p>
    <w:p>
      <w:pPr>
        <w:pStyle w:val="26"/>
        <w:spacing w:before="0" w:beforeAutospacing="0" w:after="0" w:afterAutospacing="0" w:line="360" w:lineRule="exact"/>
        <w:ind w:firstLine="422"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开户行：中国工商银行杭州学院路支行。</w:t>
      </w:r>
    </w:p>
    <w:p>
      <w:pPr>
        <w:pStyle w:val="26"/>
        <w:spacing w:before="0" w:beforeAutospacing="0" w:after="0" w:afterAutospacing="0" w:line="360" w:lineRule="exact"/>
        <w:ind w:firstLine="422"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转账时须注明：转账单位简称+用途（投标保证金）+项目编号（</w:t>
      </w:r>
      <w:r>
        <w:rPr>
          <w:rStyle w:val="32"/>
          <w:rFonts w:hint="eastAsia" w:cs="宋体"/>
          <w:color w:val="auto"/>
          <w:sz w:val="21"/>
          <w:szCs w:val="21"/>
          <w:highlight w:val="none"/>
        </w:rPr>
        <w:t>ZJWS-WZJT-2022-003</w:t>
      </w:r>
      <w:r>
        <w:rPr>
          <w:rStyle w:val="32"/>
          <w:rFonts w:hint="eastAsia" w:ascii="宋体" w:hAnsi="宋体" w:cs="宋体"/>
          <w:color w:val="auto"/>
          <w:sz w:val="21"/>
          <w:szCs w:val="21"/>
          <w:highlight w:val="none"/>
        </w:rPr>
        <w:t>）</w:t>
      </w:r>
    </w:p>
    <w:p>
      <w:pPr>
        <w:pStyle w:val="26"/>
        <w:numPr>
          <w:ilvl w:val="0"/>
          <w:numId w:val="2"/>
        </w:numPr>
        <w:spacing w:before="0" w:beforeAutospacing="0" w:after="0" w:afterAutospacing="0" w:line="360" w:lineRule="exact"/>
        <w:outlineLvl w:val="0"/>
        <w:rPr>
          <w:rStyle w:val="32"/>
          <w:rFonts w:ascii="宋体" w:hAnsi="宋体" w:cs="宋体"/>
          <w:color w:val="auto"/>
          <w:sz w:val="21"/>
          <w:szCs w:val="21"/>
          <w:highlight w:val="none"/>
        </w:rPr>
      </w:pPr>
      <w:bookmarkStart w:id="13" w:name="_Toc16143"/>
      <w:r>
        <w:rPr>
          <w:rStyle w:val="32"/>
          <w:rFonts w:hint="eastAsia" w:ascii="宋体" w:hAnsi="宋体" w:cs="宋体"/>
          <w:color w:val="auto"/>
          <w:sz w:val="21"/>
          <w:szCs w:val="21"/>
          <w:highlight w:val="none"/>
        </w:rPr>
        <w:t>其他事项：</w:t>
      </w:r>
      <w:bookmarkEnd w:id="13"/>
    </w:p>
    <w:p>
      <w:pPr>
        <w:pStyle w:val="26"/>
        <w:spacing w:before="0" w:beforeAutospacing="0" w:after="0" w:afterAutospacing="0" w:line="360" w:lineRule="exact"/>
        <w:ind w:firstLine="422" w:firstLineChars="200"/>
        <w:rPr>
          <w:b/>
          <w:bCs/>
          <w:color w:val="auto"/>
          <w:sz w:val="21"/>
          <w:szCs w:val="21"/>
          <w:highlight w:val="none"/>
          <w:u w:val="single"/>
        </w:rPr>
      </w:pPr>
      <w:r>
        <w:rPr>
          <w:rFonts w:hint="eastAsia"/>
          <w:b/>
          <w:bCs/>
          <w:color w:val="auto"/>
          <w:sz w:val="21"/>
          <w:szCs w:val="21"/>
          <w:highlight w:val="none"/>
        </w:rPr>
        <w:t>1、</w:t>
      </w:r>
      <w:r>
        <w:rPr>
          <w:rFonts w:hint="eastAsia"/>
          <w:b/>
          <w:bCs/>
          <w:color w:val="auto"/>
          <w:sz w:val="21"/>
          <w:szCs w:val="21"/>
          <w:highlight w:val="none"/>
          <w:u w:val="singl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pStyle w:val="26"/>
        <w:spacing w:before="0" w:beforeAutospacing="0" w:after="0" w:afterAutospacing="0" w:line="360" w:lineRule="exact"/>
        <w:ind w:firstLine="422" w:firstLineChars="200"/>
        <w:rPr>
          <w:b/>
          <w:bCs/>
          <w:color w:val="auto"/>
          <w:sz w:val="21"/>
          <w:szCs w:val="21"/>
          <w:highlight w:val="none"/>
          <w:u w:val="single"/>
        </w:rPr>
      </w:pPr>
      <w:r>
        <w:rPr>
          <w:rFonts w:hint="eastAsia"/>
          <w:b/>
          <w:bCs/>
          <w:color w:val="auto"/>
          <w:sz w:val="21"/>
          <w:szCs w:val="21"/>
          <w:highlight w:val="none"/>
          <w:u w:val="single"/>
        </w:rPr>
        <w:t>2、质疑供应商对采购人、采购代理机构的答复不满意或者采购人、采购代理机构未在规定的时间内作出答复的，可以在答复期满后十五个工作日内向采购人的采购监管部门投诉。</w:t>
      </w:r>
    </w:p>
    <w:p>
      <w:pPr>
        <w:pStyle w:val="26"/>
        <w:spacing w:before="0" w:beforeAutospacing="0" w:after="0" w:afterAutospacing="0" w:line="360" w:lineRule="exact"/>
        <w:ind w:firstLine="422" w:firstLineChars="200"/>
        <w:rPr>
          <w:b/>
          <w:bCs/>
          <w:color w:val="auto"/>
          <w:sz w:val="21"/>
          <w:szCs w:val="21"/>
          <w:highlight w:val="none"/>
        </w:rPr>
      </w:pPr>
      <w:r>
        <w:rPr>
          <w:rFonts w:hint="eastAsia"/>
          <w:b/>
          <w:bCs/>
          <w:color w:val="auto"/>
          <w:sz w:val="21"/>
          <w:szCs w:val="21"/>
          <w:highlight w:val="none"/>
          <w:u w:val="single"/>
        </w:rPr>
        <w:t>3、温州信达交通工程试验检测有限公司负责对投标供应商反映的企业本部及所属企业在采购活动中出现的违法违规问题进行答疑回复。投标供应商认为温州信达交通工程试验检测有限公司答疑回复处理结果不合法的，可以以采购人或代理机构为对象依法向人民法院提起诉讼。</w:t>
      </w:r>
    </w:p>
    <w:p>
      <w:pPr>
        <w:widowControl/>
        <w:tabs>
          <w:tab w:val="left" w:pos="420"/>
        </w:tabs>
        <w:spacing w:line="320" w:lineRule="exact"/>
        <w:ind w:firstLine="435"/>
        <w:jc w:val="left"/>
        <w:rPr>
          <w:rFonts w:ascii="宋体" w:hAnsi="宋体" w:cs="宋体"/>
          <w:color w:val="auto"/>
          <w:kern w:val="0"/>
          <w:szCs w:val="21"/>
          <w:highlight w:val="none"/>
        </w:rPr>
      </w:pPr>
      <w:r>
        <w:rPr>
          <w:rFonts w:hint="eastAsia" w:ascii="宋体" w:hAnsi="宋体" w:cs="宋体"/>
          <w:color w:val="auto"/>
          <w:kern w:val="0"/>
          <w:szCs w:val="21"/>
          <w:highlight w:val="none"/>
        </w:rPr>
        <w:t>4.采购公告附件的采购文件仅供阅览使用，未按照本公告规定的方式获取采购文件的潜在供应商提起的质疑，采购人及采购组织机构将不予受理、答复。</w:t>
      </w:r>
    </w:p>
    <w:p>
      <w:pPr>
        <w:widowControl/>
        <w:tabs>
          <w:tab w:val="left" w:pos="420"/>
        </w:tabs>
        <w:spacing w:line="320" w:lineRule="exact"/>
        <w:ind w:firstLine="435"/>
        <w:jc w:val="left"/>
        <w:rPr>
          <w:rFonts w:ascii="宋体" w:hAnsi="宋体" w:cs="宋体"/>
          <w:color w:val="auto"/>
          <w:kern w:val="0"/>
          <w:szCs w:val="21"/>
          <w:highlight w:val="none"/>
        </w:rPr>
      </w:pPr>
      <w:r>
        <w:rPr>
          <w:rFonts w:hint="eastAsia" w:ascii="宋体" w:hAnsi="宋体" w:cs="宋体"/>
          <w:color w:val="auto"/>
          <w:kern w:val="0"/>
          <w:szCs w:val="21"/>
          <w:highlight w:val="none"/>
        </w:rPr>
        <w:t>5.供应商如对采购文件有疑问应按采购文件规定的询疑截止时间前提出，逾期提出的，采购组织机构可以不予受理、答复。</w:t>
      </w:r>
    </w:p>
    <w:p>
      <w:pPr>
        <w:pStyle w:val="26"/>
        <w:spacing w:before="0" w:beforeAutospacing="0" w:after="0" w:afterAutospacing="0" w:line="360" w:lineRule="exact"/>
        <w:ind w:firstLine="435"/>
        <w:rPr>
          <w:color w:val="auto"/>
          <w:sz w:val="21"/>
          <w:szCs w:val="21"/>
          <w:highlight w:val="none"/>
        </w:rPr>
      </w:pPr>
      <w:r>
        <w:rPr>
          <w:rFonts w:hint="eastAsia"/>
          <w:b/>
          <w:bCs/>
          <w:color w:val="auto"/>
          <w:sz w:val="21"/>
          <w:szCs w:val="21"/>
          <w:highlight w:val="none"/>
          <w:u w:val="single"/>
        </w:rPr>
        <w:t>6、书面质疑受理地点：温州市鹿城区汤家桥路大自然家园2A1601室，联系人：李先生，联系电话0577-89780959</w:t>
      </w:r>
      <w:r>
        <w:rPr>
          <w:rFonts w:hint="eastAsia"/>
          <w:color w:val="auto"/>
          <w:sz w:val="21"/>
          <w:szCs w:val="21"/>
          <w:highlight w:val="none"/>
        </w:rPr>
        <w:t>。</w:t>
      </w:r>
    </w:p>
    <w:p>
      <w:pPr>
        <w:pStyle w:val="26"/>
        <w:spacing w:before="0" w:beforeAutospacing="0" w:after="0" w:afterAutospacing="0" w:line="360" w:lineRule="exact"/>
        <w:outlineLvl w:val="0"/>
        <w:rPr>
          <w:color w:val="auto"/>
          <w:sz w:val="21"/>
          <w:szCs w:val="21"/>
          <w:highlight w:val="none"/>
        </w:rPr>
      </w:pPr>
      <w:bookmarkStart w:id="14" w:name="_Toc26253"/>
      <w:r>
        <w:rPr>
          <w:rStyle w:val="32"/>
          <w:rFonts w:hint="eastAsia" w:ascii="宋体" w:hAnsi="宋体" w:cs="宋体"/>
          <w:color w:val="auto"/>
          <w:sz w:val="21"/>
          <w:szCs w:val="21"/>
          <w:highlight w:val="none"/>
        </w:rPr>
        <w:t>九、联系方式</w:t>
      </w:r>
      <w:bookmarkEnd w:id="14"/>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采购人</w:t>
      </w:r>
      <w:r>
        <w:rPr>
          <w:rFonts w:hint="eastAsia"/>
          <w:color w:val="auto"/>
          <w:spacing w:val="45"/>
          <w:sz w:val="21"/>
          <w:szCs w:val="21"/>
          <w:highlight w:val="none"/>
        </w:rPr>
        <w:t>：</w:t>
      </w:r>
      <w:r>
        <w:rPr>
          <w:rFonts w:hint="eastAsia"/>
          <w:color w:val="auto"/>
          <w:sz w:val="21"/>
          <w:szCs w:val="21"/>
          <w:highlight w:val="none"/>
        </w:rPr>
        <w:t>温州信达交通工程试验检测有限公司</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联系人：狄女士</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联系电话：0577-67965578</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地址：温州市永嘉县瓯北镇和三村瓯北绕城高速收费站内</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采购代理机构：浙江五石中正工程咨询有限公司</w:t>
      </w:r>
    </w:p>
    <w:p>
      <w:pPr>
        <w:pStyle w:val="26"/>
        <w:spacing w:before="0" w:beforeAutospacing="0" w:after="0" w:afterAutospacing="0" w:line="360" w:lineRule="exact"/>
        <w:ind w:firstLine="420" w:firstLineChars="200"/>
        <w:rPr>
          <w:b/>
          <w:bCs/>
          <w:color w:val="auto"/>
          <w:sz w:val="21"/>
          <w:szCs w:val="21"/>
          <w:highlight w:val="none"/>
          <w:u w:val="single"/>
        </w:rPr>
      </w:pPr>
      <w:r>
        <w:rPr>
          <w:rFonts w:hint="eastAsia"/>
          <w:color w:val="auto"/>
          <w:sz w:val="21"/>
          <w:szCs w:val="21"/>
          <w:highlight w:val="none"/>
        </w:rPr>
        <w:t>电话：0577-89780959，</w:t>
      </w:r>
      <w:r>
        <w:rPr>
          <w:rFonts w:hint="eastAsia"/>
          <w:b/>
          <w:bCs/>
          <w:color w:val="auto"/>
          <w:sz w:val="21"/>
          <w:szCs w:val="21"/>
          <w:highlight w:val="none"/>
        </w:rPr>
        <w:t>13336010893</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联系人：李先生</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采购监督管理部门：温州诚达交通发展股份有限公司</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联系电话：曾女士</w:t>
      </w:r>
    </w:p>
    <w:p>
      <w:pPr>
        <w:pStyle w:val="26"/>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联系电话：0577-88997011</w:t>
      </w:r>
    </w:p>
    <w:p>
      <w:pPr>
        <w:pStyle w:val="26"/>
        <w:spacing w:before="0" w:beforeAutospacing="0" w:after="0" w:afterAutospacing="0" w:line="360" w:lineRule="exact"/>
        <w:ind w:firstLine="420" w:firstLineChars="200"/>
        <w:jc w:val="right"/>
        <w:rPr>
          <w:color w:val="auto"/>
          <w:sz w:val="21"/>
          <w:szCs w:val="21"/>
          <w:highlight w:val="none"/>
        </w:rPr>
      </w:pPr>
      <w:r>
        <w:rPr>
          <w:rFonts w:hint="eastAsia"/>
          <w:color w:val="auto"/>
          <w:sz w:val="21"/>
          <w:szCs w:val="21"/>
          <w:highlight w:val="none"/>
        </w:rPr>
        <w:t>温州信达交通工程试验检测有限公司</w:t>
      </w:r>
    </w:p>
    <w:p>
      <w:pPr>
        <w:pStyle w:val="26"/>
        <w:spacing w:before="0" w:beforeAutospacing="0" w:after="0" w:afterAutospacing="0" w:line="360" w:lineRule="exact"/>
        <w:ind w:firstLine="420" w:firstLineChars="200"/>
        <w:jc w:val="right"/>
        <w:rPr>
          <w:color w:val="auto"/>
          <w:sz w:val="21"/>
          <w:szCs w:val="21"/>
          <w:highlight w:val="none"/>
        </w:rPr>
      </w:pPr>
      <w:r>
        <w:rPr>
          <w:rFonts w:hint="eastAsia"/>
          <w:color w:val="auto"/>
          <w:sz w:val="21"/>
          <w:szCs w:val="21"/>
          <w:highlight w:val="none"/>
        </w:rPr>
        <w:t>浙江五石中正工程咨询有限公司</w:t>
      </w:r>
    </w:p>
    <w:p>
      <w:pPr>
        <w:pStyle w:val="26"/>
        <w:spacing w:before="0" w:beforeAutospacing="0" w:after="0" w:afterAutospacing="0" w:line="360" w:lineRule="exact"/>
        <w:ind w:firstLine="420" w:firstLineChars="200"/>
        <w:jc w:val="right"/>
        <w:rPr>
          <w:color w:val="auto"/>
          <w:sz w:val="21"/>
          <w:szCs w:val="21"/>
          <w:highlight w:val="none"/>
        </w:rPr>
      </w:pPr>
      <w:r>
        <w:rPr>
          <w:rFonts w:hint="eastAsia"/>
          <w:color w:val="auto"/>
          <w:sz w:val="21"/>
          <w:szCs w:val="21"/>
          <w:highlight w:val="none"/>
        </w:rPr>
        <w:t>2022年08月</w:t>
      </w:r>
      <w:r>
        <w:rPr>
          <w:rFonts w:hint="eastAsia"/>
          <w:color w:val="auto"/>
          <w:sz w:val="21"/>
          <w:szCs w:val="21"/>
          <w:highlight w:val="none"/>
          <w:lang w:val="en-US" w:eastAsia="zh-CN"/>
        </w:rPr>
        <w:t>03</w:t>
      </w:r>
      <w:r>
        <w:rPr>
          <w:rFonts w:hint="eastAsia"/>
          <w:color w:val="auto"/>
          <w:sz w:val="21"/>
          <w:szCs w:val="21"/>
          <w:highlight w:val="none"/>
        </w:rPr>
        <w:t>日</w:t>
      </w:r>
    </w:p>
    <w:p>
      <w:pPr>
        <w:pStyle w:val="26"/>
        <w:jc w:val="center"/>
        <w:outlineLvl w:val="0"/>
        <w:rPr>
          <w:color w:val="auto"/>
          <w:sz w:val="36"/>
          <w:szCs w:val="36"/>
          <w:highlight w:val="none"/>
        </w:rPr>
      </w:pPr>
      <w:r>
        <w:rPr>
          <w:rStyle w:val="32"/>
          <w:rFonts w:hint="eastAsia" w:ascii="宋体" w:hAnsi="宋体" w:cs="宋体"/>
          <w:color w:val="auto"/>
          <w:highlight w:val="none"/>
        </w:rPr>
        <w:br w:type="page"/>
      </w:r>
      <w:bookmarkStart w:id="15" w:name="_Toc7858"/>
      <w:r>
        <w:rPr>
          <w:rStyle w:val="32"/>
          <w:rFonts w:hint="eastAsia" w:cs="宋体"/>
          <w:color w:val="auto"/>
          <w:sz w:val="36"/>
          <w:szCs w:val="36"/>
          <w:highlight w:val="none"/>
        </w:rPr>
        <w:t>温州信达交通工程试验检测有限公司</w:t>
      </w:r>
      <w:r>
        <w:rPr>
          <w:rStyle w:val="32"/>
          <w:rFonts w:hint="eastAsia" w:ascii="宋体" w:hAnsi="宋体" w:cs="宋体"/>
          <w:color w:val="auto"/>
          <w:sz w:val="36"/>
          <w:szCs w:val="36"/>
          <w:highlight w:val="none"/>
        </w:rPr>
        <w:t>关于</w:t>
      </w:r>
      <w:r>
        <w:rPr>
          <w:rStyle w:val="32"/>
          <w:rFonts w:hint="eastAsia" w:cs="宋体"/>
          <w:color w:val="auto"/>
          <w:sz w:val="36"/>
          <w:szCs w:val="36"/>
          <w:highlight w:val="none"/>
        </w:rPr>
        <w:t>成孔质量检测仪采购（自主）</w:t>
      </w:r>
      <w:r>
        <w:rPr>
          <w:rStyle w:val="32"/>
          <w:rFonts w:hint="eastAsia" w:ascii="宋体" w:hAnsi="宋体" w:cs="宋体"/>
          <w:color w:val="auto"/>
          <w:sz w:val="36"/>
          <w:szCs w:val="36"/>
          <w:highlight w:val="none"/>
        </w:rPr>
        <w:t>征求意见公示</w:t>
      </w:r>
      <w:bookmarkEnd w:id="15"/>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浙江五石中正工程咨询有限公司就温州信达交通工程试验检测有限公司所需</w:t>
      </w:r>
      <w:r>
        <w:rPr>
          <w:rFonts w:hint="eastAsia"/>
          <w:color w:val="auto"/>
          <w:sz w:val="21"/>
          <w:szCs w:val="21"/>
          <w:highlight w:val="none"/>
          <w:u w:val="single"/>
        </w:rPr>
        <w:t>成孔质量检测仪采购</w:t>
      </w:r>
      <w:r>
        <w:rPr>
          <w:rFonts w:hint="eastAsia"/>
          <w:color w:val="auto"/>
          <w:sz w:val="21"/>
          <w:szCs w:val="21"/>
          <w:highlight w:val="none"/>
        </w:rPr>
        <w:t>进行公开招标采购。现将采购文件公布如下，并公开征求供应商及专家意见。</w:t>
      </w:r>
    </w:p>
    <w:p>
      <w:pPr>
        <w:pStyle w:val="26"/>
        <w:spacing w:before="0" w:beforeAutospacing="0" w:after="0" w:afterAutospacing="0" w:line="360" w:lineRule="auto"/>
        <w:outlineLvl w:val="0"/>
        <w:rPr>
          <w:color w:val="auto"/>
          <w:sz w:val="21"/>
          <w:szCs w:val="21"/>
          <w:highlight w:val="none"/>
        </w:rPr>
      </w:pPr>
      <w:bookmarkStart w:id="16" w:name="_Toc23191"/>
      <w:r>
        <w:rPr>
          <w:rFonts w:hint="eastAsia"/>
          <w:color w:val="auto"/>
          <w:sz w:val="21"/>
          <w:szCs w:val="21"/>
          <w:highlight w:val="none"/>
        </w:rPr>
        <w:t>一、征求意见范围：</w:t>
      </w:r>
      <w:bookmarkEnd w:id="16"/>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1、是否出现明显的倾向性意见和特定的性能指标；</w:t>
      </w:r>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2、供应商资格条件是否具有明显倾向性和歧视性；</w:t>
      </w:r>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3、影响国企采购“公开、公平、公正”原则的其他情况。</w:t>
      </w:r>
    </w:p>
    <w:p>
      <w:pPr>
        <w:pStyle w:val="26"/>
        <w:spacing w:before="0" w:beforeAutospacing="0" w:after="0" w:afterAutospacing="0" w:line="360" w:lineRule="auto"/>
        <w:outlineLvl w:val="0"/>
        <w:rPr>
          <w:color w:val="auto"/>
          <w:sz w:val="21"/>
          <w:szCs w:val="21"/>
          <w:highlight w:val="none"/>
        </w:rPr>
      </w:pPr>
      <w:bookmarkStart w:id="17" w:name="_Toc26970"/>
      <w:r>
        <w:rPr>
          <w:rFonts w:hint="eastAsia"/>
          <w:color w:val="auto"/>
          <w:sz w:val="21"/>
          <w:szCs w:val="21"/>
          <w:highlight w:val="none"/>
        </w:rPr>
        <w:t>二、征求意见的回复：</w:t>
      </w:r>
      <w:bookmarkEnd w:id="17"/>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各供应商及专家提出修改理由和建议的，请于2022年08月</w:t>
      </w:r>
      <w:r>
        <w:rPr>
          <w:rFonts w:hint="eastAsia"/>
          <w:color w:val="auto"/>
          <w:sz w:val="21"/>
          <w:szCs w:val="21"/>
          <w:highlight w:val="none"/>
          <w:lang w:val="en-US" w:eastAsia="zh-CN"/>
        </w:rPr>
        <w:t>10</w:t>
      </w:r>
      <w:r>
        <w:rPr>
          <w:rFonts w:hint="eastAsia"/>
          <w:color w:val="auto"/>
          <w:sz w:val="21"/>
          <w:szCs w:val="21"/>
          <w:highlight w:val="none"/>
        </w:rPr>
        <w:t>日17 :00前（节假日除外）将书面材料签字（盖章）并密封后送至温州市鹿城区汤家桥路大自然家园2A1601室，外地可传真送达，传真：0577-89780959，传真件必须签字（盖章）。同时将电子文档发送至以下信箱：908551533@qq.com。</w:t>
      </w:r>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联系人：李先生       电话：0577-89780959。</w:t>
      </w:r>
    </w:p>
    <w:p>
      <w:pPr>
        <w:pStyle w:val="26"/>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对逾期送达的意见、建议书恕不接受。</w:t>
      </w:r>
    </w:p>
    <w:p>
      <w:pPr>
        <w:pStyle w:val="26"/>
        <w:spacing w:before="0" w:beforeAutospacing="0" w:after="0" w:afterAutospacing="0" w:line="360" w:lineRule="auto"/>
        <w:ind w:firstLine="435"/>
        <w:jc w:val="right"/>
        <w:rPr>
          <w:color w:val="auto"/>
          <w:sz w:val="21"/>
          <w:szCs w:val="21"/>
          <w:highlight w:val="none"/>
        </w:rPr>
      </w:pPr>
    </w:p>
    <w:p>
      <w:pPr>
        <w:pStyle w:val="26"/>
        <w:spacing w:before="0" w:beforeAutospacing="0" w:after="0" w:afterAutospacing="0" w:line="360" w:lineRule="auto"/>
        <w:ind w:firstLine="435"/>
        <w:jc w:val="right"/>
        <w:rPr>
          <w:color w:val="auto"/>
          <w:sz w:val="21"/>
          <w:szCs w:val="21"/>
          <w:highlight w:val="none"/>
        </w:rPr>
      </w:pPr>
    </w:p>
    <w:p>
      <w:pPr>
        <w:pStyle w:val="26"/>
        <w:spacing w:before="0" w:beforeAutospacing="0" w:after="0" w:afterAutospacing="0" w:line="360" w:lineRule="auto"/>
        <w:ind w:firstLine="435"/>
        <w:jc w:val="right"/>
        <w:rPr>
          <w:color w:val="auto"/>
          <w:sz w:val="21"/>
          <w:szCs w:val="21"/>
          <w:highlight w:val="none"/>
        </w:rPr>
      </w:pPr>
      <w:r>
        <w:rPr>
          <w:rFonts w:hint="eastAsia"/>
          <w:color w:val="auto"/>
          <w:sz w:val="21"/>
          <w:szCs w:val="21"/>
          <w:highlight w:val="none"/>
        </w:rPr>
        <w:t>温州信达交通工程试验检测有限公司</w:t>
      </w:r>
    </w:p>
    <w:p>
      <w:pPr>
        <w:pStyle w:val="26"/>
        <w:spacing w:before="0" w:beforeAutospacing="0" w:after="0" w:afterAutospacing="0" w:line="360" w:lineRule="auto"/>
        <w:ind w:firstLine="435"/>
        <w:jc w:val="right"/>
        <w:rPr>
          <w:color w:val="auto"/>
          <w:sz w:val="21"/>
          <w:szCs w:val="21"/>
          <w:highlight w:val="none"/>
        </w:rPr>
      </w:pPr>
      <w:r>
        <w:rPr>
          <w:rFonts w:hint="eastAsia"/>
          <w:color w:val="auto"/>
          <w:sz w:val="21"/>
          <w:szCs w:val="21"/>
          <w:highlight w:val="none"/>
        </w:rPr>
        <w:t>浙江五石中正工程咨询有限公司</w:t>
      </w:r>
    </w:p>
    <w:p>
      <w:pPr>
        <w:pStyle w:val="26"/>
        <w:spacing w:before="0" w:beforeAutospacing="0" w:after="0" w:afterAutospacing="0" w:line="360" w:lineRule="auto"/>
        <w:ind w:firstLine="435"/>
        <w:jc w:val="right"/>
        <w:rPr>
          <w:color w:val="auto"/>
          <w:sz w:val="21"/>
          <w:szCs w:val="21"/>
          <w:highlight w:val="none"/>
        </w:rPr>
      </w:pPr>
      <w:r>
        <w:rPr>
          <w:rFonts w:hint="eastAsia"/>
          <w:color w:val="auto"/>
          <w:sz w:val="21"/>
          <w:szCs w:val="21"/>
          <w:highlight w:val="none"/>
        </w:rPr>
        <w:t>2022年08月</w:t>
      </w:r>
      <w:r>
        <w:rPr>
          <w:rFonts w:hint="eastAsia"/>
          <w:color w:val="auto"/>
          <w:sz w:val="21"/>
          <w:szCs w:val="21"/>
          <w:highlight w:val="none"/>
          <w:lang w:val="en-US" w:eastAsia="zh-CN"/>
        </w:rPr>
        <w:t>03</w:t>
      </w:r>
      <w:r>
        <w:rPr>
          <w:rFonts w:hint="eastAsia"/>
          <w:color w:val="auto"/>
          <w:sz w:val="21"/>
          <w:szCs w:val="21"/>
          <w:highlight w:val="none"/>
        </w:rPr>
        <w:t>日</w:t>
      </w:r>
    </w:p>
    <w:p>
      <w:pPr>
        <w:spacing w:line="380" w:lineRule="exact"/>
        <w:ind w:right="720"/>
        <w:jc w:val="left"/>
        <w:rPr>
          <w:rFonts w:ascii="宋体" w:hAnsi="宋体" w:cs="宋体"/>
          <w:color w:val="auto"/>
          <w:highlight w:val="none"/>
        </w:rPr>
      </w:pPr>
    </w:p>
    <w:p>
      <w:pPr>
        <w:pStyle w:val="3"/>
        <w:spacing w:before="120" w:after="120"/>
        <w:rPr>
          <w:rFonts w:ascii="宋体" w:hAnsi="宋体" w:eastAsia="宋体" w:cs="宋体"/>
          <w:color w:val="auto"/>
          <w:sz w:val="36"/>
          <w:szCs w:val="36"/>
          <w:highlight w:val="none"/>
        </w:rPr>
      </w:pPr>
      <w:bookmarkStart w:id="18" w:name="_Toc22788"/>
      <w:bookmarkStart w:id="19" w:name="_Toc27051"/>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投标供应商须知前附表</w:t>
      </w:r>
      <w:bookmarkEnd w:id="18"/>
      <w:bookmarkEnd w:id="19"/>
      <w:r>
        <w:rPr>
          <w:rFonts w:hint="eastAsia" w:ascii="宋体" w:hAnsi="宋体" w:eastAsia="宋体" w:cs="宋体"/>
          <w:color w:val="auto"/>
          <w:sz w:val="36"/>
          <w:szCs w:val="36"/>
          <w:highlight w:val="none"/>
        </w:rPr>
        <w:t xml:space="preserve">  </w:t>
      </w:r>
    </w:p>
    <w:tbl>
      <w:tblPr>
        <w:tblStyle w:val="29"/>
        <w:tblW w:w="4990" w:type="pct"/>
        <w:tblInd w:w="0" w:type="dxa"/>
        <w:tblLayout w:type="autofit"/>
        <w:tblCellMar>
          <w:top w:w="0" w:type="dxa"/>
          <w:left w:w="108" w:type="dxa"/>
          <w:bottom w:w="0" w:type="dxa"/>
          <w:right w:w="108" w:type="dxa"/>
        </w:tblCellMar>
      </w:tblPr>
      <w:tblGrid>
        <w:gridCol w:w="657"/>
        <w:gridCol w:w="1788"/>
        <w:gridCol w:w="7164"/>
      </w:tblGrid>
      <w:tr>
        <w:tblPrEx>
          <w:tblCellMar>
            <w:top w:w="0" w:type="dxa"/>
            <w:left w:w="108" w:type="dxa"/>
            <w:bottom w:w="0" w:type="dxa"/>
            <w:right w:w="108" w:type="dxa"/>
          </w:tblCellMar>
        </w:tblPrEx>
        <w:trPr>
          <w:trHeight w:val="567"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条款名称</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编列内容</w:t>
            </w:r>
          </w:p>
        </w:tc>
      </w:tr>
      <w:tr>
        <w:tblPrEx>
          <w:tblCellMar>
            <w:top w:w="0" w:type="dxa"/>
            <w:left w:w="108" w:type="dxa"/>
            <w:bottom w:w="0" w:type="dxa"/>
            <w:right w:w="108" w:type="dxa"/>
          </w:tblCellMar>
        </w:tblPrEx>
        <w:trPr>
          <w:trHeight w:val="967"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采购人</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采购人：温州信达交通工程试验检测有限公司</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地址：温州市永嘉县瓯北镇和三村瓯北绕城高速收费站内</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联系人：狄女士</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联系电话：0577-67965578</w:t>
            </w:r>
          </w:p>
        </w:tc>
      </w:tr>
      <w:tr>
        <w:tblPrEx>
          <w:tblCellMar>
            <w:top w:w="0" w:type="dxa"/>
            <w:left w:w="108" w:type="dxa"/>
            <w:bottom w:w="0" w:type="dxa"/>
            <w:right w:w="108" w:type="dxa"/>
          </w:tblCellMar>
        </w:tblPrEx>
        <w:trPr>
          <w:trHeight w:val="980"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采购代理机构</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采购代理机构名称：浙江五石中正工程咨询有限公司</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地 址：温州市鹿城区汤家桥路大自然家园2A1601室</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联系人：李先生</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联系电话：0577-89780959，13336010893</w:t>
            </w:r>
          </w:p>
        </w:tc>
      </w:tr>
      <w:tr>
        <w:tblPrEx>
          <w:tblCellMar>
            <w:top w:w="0" w:type="dxa"/>
            <w:left w:w="108" w:type="dxa"/>
            <w:bottom w:w="0" w:type="dxa"/>
            <w:right w:w="108" w:type="dxa"/>
          </w:tblCellMar>
        </w:tblPrEx>
        <w:trPr>
          <w:trHeight w:val="750"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采购名称</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采购项目：成孔质量检测仪采购</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采购编号：ZJWS-WZJT-2022-003</w:t>
            </w:r>
          </w:p>
        </w:tc>
      </w:tr>
      <w:tr>
        <w:tblPrEx>
          <w:tblCellMar>
            <w:top w:w="0" w:type="dxa"/>
            <w:left w:w="108" w:type="dxa"/>
            <w:bottom w:w="0" w:type="dxa"/>
            <w:right w:w="108" w:type="dxa"/>
          </w:tblCellMar>
        </w:tblPrEx>
        <w:trPr>
          <w:trHeight w:val="651"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采购</w:t>
            </w:r>
            <w:r>
              <w:rPr>
                <w:rFonts w:hint="eastAsia" w:ascii="宋体" w:hAnsi="宋体" w:cs="宋体"/>
                <w:b/>
                <w:bCs/>
                <w:color w:val="auto"/>
                <w:kern w:val="0"/>
                <w:szCs w:val="21"/>
                <w:highlight w:val="none"/>
              </w:rPr>
              <w:t>预算及</w:t>
            </w:r>
            <w:r>
              <w:rPr>
                <w:rFonts w:hint="eastAsia" w:ascii="宋体" w:hAnsi="宋体" w:cs="宋体"/>
                <w:b/>
                <w:bCs/>
                <w:color w:val="auto"/>
                <w:kern w:val="0"/>
                <w:szCs w:val="21"/>
                <w:highlight w:val="none"/>
                <w:lang w:val="zh-CN"/>
              </w:rPr>
              <w:t>内容</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ind w:right="-34"/>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本项目采购</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val="zh-CN"/>
              </w:rPr>
              <w:t>为</w:t>
            </w:r>
            <w:r>
              <w:rPr>
                <w:rFonts w:hint="eastAsia" w:ascii="宋体" w:hAnsi="宋体" w:cs="宋体"/>
                <w:b/>
                <w:bCs/>
                <w:color w:val="auto"/>
                <w:kern w:val="0"/>
                <w:szCs w:val="21"/>
                <w:highlight w:val="none"/>
              </w:rPr>
              <w:t>25.00万元</w:t>
            </w:r>
            <w:r>
              <w:rPr>
                <w:rFonts w:hint="eastAsia" w:ascii="宋体" w:hAnsi="宋体" w:cs="宋体"/>
                <w:b/>
                <w:bCs/>
                <w:color w:val="auto"/>
                <w:kern w:val="0"/>
                <w:szCs w:val="21"/>
                <w:highlight w:val="none"/>
                <w:lang w:val="zh-CN"/>
              </w:rPr>
              <w:t>，具体内容及要求见采购文件。</w:t>
            </w:r>
          </w:p>
        </w:tc>
      </w:tr>
      <w:tr>
        <w:tblPrEx>
          <w:tblCellMar>
            <w:top w:w="0" w:type="dxa"/>
            <w:left w:w="108" w:type="dxa"/>
            <w:bottom w:w="0" w:type="dxa"/>
            <w:right w:w="108" w:type="dxa"/>
          </w:tblCellMar>
        </w:tblPrEx>
        <w:trPr>
          <w:trHeight w:val="70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u w:val="single"/>
                <w:lang w:val="zh-CN"/>
              </w:rPr>
              <w:t>▲</w:t>
            </w:r>
            <w:r>
              <w:rPr>
                <w:rFonts w:hint="eastAsia" w:ascii="宋体" w:hAnsi="宋体" w:cs="宋体"/>
                <w:b/>
                <w:bCs/>
                <w:color w:val="auto"/>
                <w:kern w:val="0"/>
                <w:szCs w:val="21"/>
                <w:highlight w:val="none"/>
                <w:u w:val="single"/>
              </w:rPr>
              <w:t>投标供应商</w:t>
            </w:r>
            <w:r>
              <w:rPr>
                <w:rFonts w:hint="eastAsia" w:ascii="宋体" w:hAnsi="宋体" w:cs="宋体"/>
                <w:b/>
                <w:bCs/>
                <w:color w:val="auto"/>
                <w:kern w:val="0"/>
                <w:szCs w:val="21"/>
                <w:highlight w:val="none"/>
                <w:u w:val="single"/>
                <w:lang w:val="zh-CN"/>
              </w:rPr>
              <w:t>资质格要求</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bCs/>
                <w:color w:val="auto"/>
                <w:kern w:val="0"/>
                <w:szCs w:val="21"/>
                <w:highlight w:val="none"/>
              </w:rPr>
            </w:pPr>
            <w:r>
              <w:rPr>
                <w:rFonts w:hint="eastAsia" w:ascii="宋体" w:hAnsi="宋体"/>
                <w:b/>
                <w:color w:val="auto"/>
                <w:szCs w:val="21"/>
                <w:highlight w:val="none"/>
              </w:rPr>
              <w:t>详见采购公告</w:t>
            </w:r>
          </w:p>
        </w:tc>
      </w:tr>
      <w:tr>
        <w:tblPrEx>
          <w:tblCellMar>
            <w:top w:w="0" w:type="dxa"/>
            <w:left w:w="108" w:type="dxa"/>
            <w:bottom w:w="0" w:type="dxa"/>
            <w:right w:w="108" w:type="dxa"/>
          </w:tblCellMar>
        </w:tblPrEx>
        <w:trPr>
          <w:trHeight w:val="73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是否接受联合体投标</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b/>
                <w:snapToGrid w:val="0"/>
                <w:color w:val="auto"/>
                <w:szCs w:val="21"/>
                <w:highlight w:val="none"/>
              </w:rPr>
              <w:sym w:font="Wingdings" w:char="F0FE"/>
            </w:r>
            <w:r>
              <w:rPr>
                <w:rFonts w:hint="eastAsia" w:ascii="宋体" w:hAnsi="宋体" w:cs="宋体"/>
                <w:color w:val="auto"/>
                <w:kern w:val="0"/>
                <w:szCs w:val="21"/>
                <w:highlight w:val="none"/>
                <w:lang w:val="zh-CN"/>
              </w:rPr>
              <w:t>不接受</w:t>
            </w:r>
          </w:p>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□接受</w:t>
            </w:r>
          </w:p>
        </w:tc>
      </w:tr>
      <w:tr>
        <w:tblPrEx>
          <w:tblCellMar>
            <w:top w:w="0" w:type="dxa"/>
            <w:left w:w="108" w:type="dxa"/>
            <w:bottom w:w="0" w:type="dxa"/>
            <w:right w:w="108" w:type="dxa"/>
          </w:tblCellMar>
        </w:tblPrEx>
        <w:trPr>
          <w:trHeight w:val="73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7</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踏勘现场</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□组织</w:t>
            </w:r>
          </w:p>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b/>
                <w:snapToGrid w:val="0"/>
                <w:color w:val="auto"/>
                <w:szCs w:val="21"/>
                <w:highlight w:val="none"/>
              </w:rPr>
              <w:sym w:font="Wingdings" w:char="F0FE"/>
            </w:r>
            <w:r>
              <w:rPr>
                <w:rFonts w:hint="eastAsia" w:ascii="宋体" w:hAnsi="宋体" w:cs="宋体"/>
                <w:color w:val="auto"/>
                <w:kern w:val="0"/>
                <w:szCs w:val="21"/>
                <w:highlight w:val="none"/>
                <w:lang w:val="zh-CN"/>
              </w:rPr>
              <w:t>不组织</w:t>
            </w:r>
          </w:p>
        </w:tc>
      </w:tr>
      <w:tr>
        <w:tblPrEx>
          <w:tblCellMar>
            <w:top w:w="0" w:type="dxa"/>
            <w:left w:w="108" w:type="dxa"/>
            <w:bottom w:w="0" w:type="dxa"/>
            <w:right w:w="108" w:type="dxa"/>
          </w:tblCellMar>
        </w:tblPrEx>
        <w:trPr>
          <w:trHeight w:val="73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8</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投标预备会</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□召开</w:t>
            </w:r>
          </w:p>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b/>
                <w:snapToGrid w:val="0"/>
                <w:color w:val="auto"/>
                <w:szCs w:val="21"/>
                <w:highlight w:val="none"/>
              </w:rPr>
              <w:sym w:font="Wingdings" w:char="F0FE"/>
            </w:r>
            <w:r>
              <w:rPr>
                <w:rFonts w:hint="eastAsia" w:ascii="宋体" w:hAnsi="宋体" w:cs="宋体"/>
                <w:color w:val="auto"/>
                <w:kern w:val="0"/>
                <w:szCs w:val="21"/>
                <w:highlight w:val="none"/>
                <w:lang w:val="zh-CN"/>
              </w:rPr>
              <w:t>不召开</w:t>
            </w:r>
          </w:p>
        </w:tc>
      </w:tr>
      <w:tr>
        <w:tblPrEx>
          <w:tblCellMar>
            <w:top w:w="0" w:type="dxa"/>
            <w:left w:w="108" w:type="dxa"/>
            <w:bottom w:w="0" w:type="dxa"/>
            <w:right w:w="108" w:type="dxa"/>
          </w:tblCellMar>
        </w:tblPrEx>
        <w:trPr>
          <w:trHeight w:val="73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w:t>
            </w:r>
            <w:r>
              <w:rPr>
                <w:rFonts w:hint="eastAsia" w:ascii="宋体" w:hAnsi="宋体" w:cs="宋体"/>
                <w:color w:val="auto"/>
                <w:kern w:val="0"/>
                <w:szCs w:val="21"/>
                <w:highlight w:val="none"/>
              </w:rPr>
              <w:t>响应</w:t>
            </w:r>
            <w:r>
              <w:rPr>
                <w:rFonts w:hint="eastAsia" w:ascii="宋体" w:hAnsi="宋体" w:cs="宋体"/>
                <w:color w:val="auto"/>
                <w:kern w:val="0"/>
                <w:szCs w:val="21"/>
                <w:highlight w:val="none"/>
                <w:lang w:val="zh-CN"/>
              </w:rPr>
              <w:t>截止时间</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rPr>
            </w:pPr>
            <w:r>
              <w:rPr>
                <w:rFonts w:hint="eastAsia" w:ascii="宋体" w:hAnsi="宋体" w:cs="宋体"/>
                <w:bCs/>
                <w:color w:val="auto"/>
                <w:kern w:val="0"/>
                <w:szCs w:val="21"/>
                <w:highlight w:val="none"/>
              </w:rPr>
              <w:t>见采购公告</w:t>
            </w:r>
          </w:p>
        </w:tc>
      </w:tr>
      <w:tr>
        <w:tblPrEx>
          <w:tblCellMar>
            <w:top w:w="0" w:type="dxa"/>
            <w:left w:w="108" w:type="dxa"/>
            <w:bottom w:w="0" w:type="dxa"/>
            <w:right w:w="108" w:type="dxa"/>
          </w:tblCellMar>
        </w:tblPrEx>
        <w:trPr>
          <w:trHeight w:val="73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10</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□允许</w:t>
            </w:r>
          </w:p>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b/>
                <w:snapToGrid w:val="0"/>
                <w:color w:val="auto"/>
                <w:szCs w:val="21"/>
                <w:highlight w:val="none"/>
              </w:rPr>
              <w:sym w:font="Wingdings" w:char="F0FE"/>
            </w:r>
            <w:r>
              <w:rPr>
                <w:rFonts w:hint="eastAsia" w:ascii="宋体" w:hAnsi="宋体" w:cs="宋体"/>
                <w:color w:val="auto"/>
                <w:kern w:val="0"/>
                <w:szCs w:val="21"/>
                <w:highlight w:val="none"/>
                <w:lang w:val="zh-CN"/>
              </w:rPr>
              <w:t>不允许</w:t>
            </w:r>
          </w:p>
        </w:tc>
      </w:tr>
      <w:tr>
        <w:tblPrEx>
          <w:tblCellMar>
            <w:top w:w="0" w:type="dxa"/>
            <w:left w:w="108" w:type="dxa"/>
            <w:bottom w:w="0" w:type="dxa"/>
            <w:right w:w="108" w:type="dxa"/>
          </w:tblCellMar>
        </w:tblPrEx>
        <w:trPr>
          <w:trHeight w:val="551"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偏差允许幅度及其处理方法：不允许负偏差。</w:t>
            </w:r>
          </w:p>
        </w:tc>
      </w:tr>
      <w:tr>
        <w:tblPrEx>
          <w:tblCellMar>
            <w:top w:w="0" w:type="dxa"/>
            <w:left w:w="108" w:type="dxa"/>
            <w:bottom w:w="0" w:type="dxa"/>
            <w:right w:w="108" w:type="dxa"/>
          </w:tblCellMar>
        </w:tblPrEx>
        <w:trPr>
          <w:trHeight w:val="506"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投标有效期</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自投标截止时间起生效，有效期90天。</w:t>
            </w:r>
          </w:p>
        </w:tc>
      </w:tr>
      <w:tr>
        <w:tblPrEx>
          <w:tblCellMar>
            <w:top w:w="0" w:type="dxa"/>
            <w:left w:w="108" w:type="dxa"/>
            <w:bottom w:w="0" w:type="dxa"/>
            <w:right w:w="108" w:type="dxa"/>
          </w:tblCellMar>
        </w:tblPrEx>
        <w:trPr>
          <w:trHeight w:val="428"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投标保证金</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投标保证金额：5000元。</w:t>
            </w:r>
          </w:p>
          <w:p>
            <w:pPr>
              <w:autoSpaceDE w:val="0"/>
              <w:autoSpaceDN w:val="0"/>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户名：浙江五石中正工程咨询有限公司</w:t>
            </w:r>
          </w:p>
          <w:p>
            <w:pPr>
              <w:autoSpaceDE w:val="0"/>
              <w:autoSpaceDN w:val="0"/>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账号：1202223219900021603；</w:t>
            </w:r>
          </w:p>
          <w:p>
            <w:pPr>
              <w:autoSpaceDE w:val="0"/>
              <w:autoSpaceDN w:val="0"/>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开户行：中国工商银行杭州学院路支行。</w:t>
            </w:r>
          </w:p>
          <w:p>
            <w:pPr>
              <w:autoSpaceDE w:val="0"/>
              <w:autoSpaceDN w:val="0"/>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转账时须注明：转账单位简称+用途（投标保证金）+项目编号（ZJWS-WZJT-2022-003）</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投标文件</w:t>
            </w:r>
            <w:r>
              <w:rPr>
                <w:rFonts w:hint="eastAsia" w:ascii="宋体" w:hAnsi="宋体" w:cs="宋体"/>
                <w:b/>
                <w:bCs/>
                <w:color w:val="auto"/>
                <w:kern w:val="0"/>
                <w:szCs w:val="21"/>
                <w:highlight w:val="none"/>
                <w:lang w:val="zh-CN"/>
              </w:rPr>
              <w:t>的组成</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由“资格商务技术文件”和“报价文件”</w:t>
            </w:r>
            <w:r>
              <w:rPr>
                <w:rFonts w:hint="eastAsia" w:ascii="宋体" w:hAnsi="宋体" w:cs="宋体"/>
                <w:b/>
                <w:bCs/>
                <w:color w:val="auto"/>
                <w:kern w:val="0"/>
                <w:szCs w:val="21"/>
                <w:highlight w:val="none"/>
              </w:rPr>
              <w:t>两</w:t>
            </w:r>
            <w:r>
              <w:rPr>
                <w:rFonts w:hint="eastAsia" w:ascii="宋体" w:hAnsi="宋体" w:cs="宋体"/>
                <w:b/>
                <w:bCs/>
                <w:color w:val="auto"/>
                <w:kern w:val="0"/>
                <w:szCs w:val="21"/>
                <w:highlight w:val="none"/>
                <w:lang w:val="zh-CN"/>
              </w:rPr>
              <w:t>个部分组成。纸质投标文件正本一份，副本</w:t>
            </w: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zh-CN"/>
              </w:rPr>
              <w:t>份，共</w:t>
            </w:r>
            <w:r>
              <w:rPr>
                <w:rFonts w:hint="eastAsia" w:ascii="宋体" w:hAnsi="宋体" w:cs="宋体"/>
                <w:b/>
                <w:bCs/>
                <w:color w:val="auto"/>
                <w:kern w:val="0"/>
                <w:szCs w:val="21"/>
                <w:highlight w:val="none"/>
              </w:rPr>
              <w:t>五</w:t>
            </w:r>
            <w:r>
              <w:rPr>
                <w:rFonts w:hint="eastAsia" w:ascii="宋体" w:hAnsi="宋体" w:cs="宋体"/>
                <w:b/>
                <w:bCs/>
                <w:color w:val="auto"/>
                <w:kern w:val="0"/>
                <w:szCs w:val="21"/>
                <w:highlight w:val="none"/>
                <w:lang w:val="zh-CN"/>
              </w:rPr>
              <w:t xml:space="preserve">份。 </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开标时间</w:t>
            </w:r>
          </w:p>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和地点</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详见采购公告</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评标委员会</w:t>
            </w:r>
          </w:p>
          <w:p>
            <w:pPr>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的组建</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kern w:val="0"/>
                <w:szCs w:val="21"/>
                <w:highlight w:val="none"/>
                <w:lang w:val="zh-CN"/>
              </w:rPr>
            </w:pPr>
            <w:r>
              <w:rPr>
                <w:rFonts w:hint="eastAsia" w:ascii="宋体" w:hAnsi="宋体" w:cs="宋体"/>
                <w:bCs/>
                <w:color w:val="auto"/>
                <w:szCs w:val="21"/>
                <w:highlight w:val="none"/>
              </w:rPr>
              <w:t>采购人按照《</w:t>
            </w:r>
            <w:r>
              <w:rPr>
                <w:rFonts w:hint="eastAsia" w:ascii="宋体" w:hAnsi="宋体" w:cs="宋体"/>
                <w:bCs/>
                <w:color w:val="auto"/>
                <w:kern w:val="0"/>
                <w:szCs w:val="21"/>
                <w:highlight w:val="none"/>
              </w:rPr>
              <w:t>温州市市属国有企业采购管理办法（试行）</w:t>
            </w:r>
            <w:r>
              <w:rPr>
                <w:rFonts w:hint="eastAsia" w:ascii="宋体" w:hAnsi="宋体" w:cs="宋体"/>
                <w:bCs/>
                <w:color w:val="auto"/>
                <w:szCs w:val="21"/>
                <w:highlight w:val="none"/>
              </w:rPr>
              <w:t>》等有关法律、法规的规定组建评标委员会，评标委员会由采购人代表和有关技术、经济等方面的专家组成，成员人数为</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人（含）以上单数，除采购人代表外的专家将在评标专家库中随机抽取产生。</w:t>
            </w:r>
          </w:p>
        </w:tc>
      </w:tr>
      <w:tr>
        <w:tblPrEx>
          <w:tblCellMar>
            <w:top w:w="0" w:type="dxa"/>
            <w:left w:w="108" w:type="dxa"/>
            <w:bottom w:w="0" w:type="dxa"/>
            <w:right w:w="108" w:type="dxa"/>
          </w:tblCellMar>
        </w:tblPrEx>
        <w:trPr>
          <w:trHeight w:val="90"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履约保证金</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eq \o\ac(</w:instrText>
            </w:r>
            <w:r>
              <w:rPr>
                <w:rFonts w:hint="eastAsia" w:ascii="宋体" w:hAnsi="宋体" w:cs="宋体"/>
                <w:color w:val="auto"/>
                <w:kern w:val="0"/>
                <w:position w:val="-4"/>
                <w:sz w:val="31"/>
                <w:szCs w:val="21"/>
                <w:highlight w:val="none"/>
              </w:rPr>
              <w:instrText xml:space="preserve">□</w:instrText>
            </w:r>
            <w:r>
              <w:rPr>
                <w:rFonts w:hint="eastAsia" w:ascii="宋体" w:hAnsi="宋体" w:cs="宋体"/>
                <w:color w:val="auto"/>
                <w:kern w:val="0"/>
                <w:szCs w:val="21"/>
                <w:highlight w:val="none"/>
              </w:rPr>
              <w:instrText xml:space="preserve">,√)</w:instrTex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需要</w:t>
            </w:r>
          </w:p>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履约保证金的形式：银行转账或保函（银行、保险公司出具）。</w:t>
            </w:r>
          </w:p>
          <w:p>
            <w:pPr>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履约保证金的金额：</w:t>
            </w:r>
            <w:r>
              <w:rPr>
                <w:rFonts w:hint="eastAsia" w:ascii="宋体" w:hAnsi="宋体" w:cs="宋体"/>
                <w:b/>
                <w:color w:val="auto"/>
                <w:kern w:val="0"/>
                <w:szCs w:val="21"/>
                <w:highlight w:val="none"/>
              </w:rPr>
              <w:t>合同价款的5%</w:t>
            </w:r>
            <w:r>
              <w:rPr>
                <w:rFonts w:hint="eastAsia" w:ascii="宋体" w:hAnsi="宋体" w:cs="宋体"/>
                <w:color w:val="auto"/>
                <w:kern w:val="0"/>
                <w:szCs w:val="21"/>
                <w:highlight w:val="none"/>
              </w:rPr>
              <w:t xml:space="preserve">。 </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18</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合同备案</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（1）中标人在中标通知书发出之日起30日历天内与采购人签订合同。</w:t>
            </w:r>
          </w:p>
          <w:p>
            <w:pPr>
              <w:snapToGrid w:val="0"/>
              <w:spacing w:line="380" w:lineRule="exact"/>
              <w:jc w:val="left"/>
              <w:rPr>
                <w:rFonts w:ascii="宋体" w:hAnsi="宋体" w:cs="宋体"/>
                <w:color w:val="auto"/>
                <w:kern w:val="0"/>
                <w:szCs w:val="21"/>
                <w:highlight w:val="none"/>
              </w:rPr>
            </w:pPr>
            <w:r>
              <w:rPr>
                <w:rFonts w:hint="eastAsia" w:ascii="宋体" w:hAnsi="宋体" w:cs="宋体"/>
                <w:color w:val="auto"/>
                <w:szCs w:val="21"/>
                <w:highlight w:val="none"/>
              </w:rPr>
              <w:t>（2）中标人与采购人签订合同后，2日历天内将合同扫描件电子版发给采购代理机构：邮箱：</w:t>
            </w:r>
            <w:r>
              <w:rPr>
                <w:rFonts w:hint="eastAsia" w:ascii="宋体" w:hAnsi="宋体" w:cs="宋体"/>
                <w:b/>
                <w:color w:val="auto"/>
                <w:szCs w:val="21"/>
                <w:highlight w:val="none"/>
                <w:u w:val="single"/>
              </w:rPr>
              <w:t>908551533@qq.com</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szCs w:val="21"/>
                <w:highlight w:val="none"/>
                <w:lang w:val="zh-CN"/>
              </w:rPr>
            </w:pPr>
            <w:r>
              <w:rPr>
                <w:rFonts w:hint="eastAsia" w:ascii="宋体" w:hAnsi="宋体" w:cs="宋体"/>
                <w:color w:val="auto"/>
                <w:szCs w:val="21"/>
                <w:highlight w:val="none"/>
              </w:rPr>
              <w:t>质疑与投诉</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13"/>
              <w:snapToGrid w:val="0"/>
              <w:spacing w:line="38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详见采购公告</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20</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szCs w:val="21"/>
                <w:highlight w:val="none"/>
              </w:rPr>
              <w:t>合同履约管理</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left"/>
              <w:rPr>
                <w:rFonts w:ascii="宋体" w:hAnsi="宋体" w:cs="宋体"/>
                <w:color w:val="auto"/>
                <w:kern w:val="0"/>
                <w:szCs w:val="21"/>
                <w:highlight w:val="none"/>
                <w:lang w:val="zh-CN"/>
              </w:rPr>
            </w:pPr>
            <w:r>
              <w:rPr>
                <w:rFonts w:hint="eastAsia" w:ascii="宋体" w:hAnsi="宋体" w:cs="宋体"/>
                <w:color w:val="auto"/>
                <w:szCs w:val="21"/>
                <w:highlight w:val="none"/>
              </w:rPr>
              <w:t>合同签订后，采购人依法加强对合同履约进行管理，并在中标单位服务、项目验收等重要关节，如实填写《合同验收报告》（或考核资料），并及时向监管部门报告验收过程中遇到的问题。</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jc w:val="center"/>
              <w:rPr>
                <w:rFonts w:ascii="宋体" w:hAnsi="宋体" w:cs="宋体"/>
                <w:color w:val="auto"/>
                <w:kern w:val="0"/>
                <w:szCs w:val="21"/>
                <w:highlight w:val="none"/>
                <w:lang w:val="zh-CN"/>
              </w:rPr>
            </w:pPr>
            <w:r>
              <w:rPr>
                <w:rFonts w:hint="eastAsia" w:ascii="宋体" w:hAnsi="宋体" w:cs="宋体"/>
                <w:color w:val="auto"/>
                <w:szCs w:val="21"/>
                <w:highlight w:val="none"/>
              </w:rPr>
              <w:t>解释权</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spacing w:line="380" w:lineRule="exact"/>
              <w:rPr>
                <w:rFonts w:ascii="宋体" w:hAnsi="宋体" w:cs="宋体"/>
                <w:color w:val="auto"/>
                <w:kern w:val="0"/>
                <w:szCs w:val="21"/>
                <w:highlight w:val="none"/>
                <w:lang w:val="zh-CN"/>
              </w:rPr>
            </w:pPr>
            <w:r>
              <w:rPr>
                <w:rFonts w:hint="eastAsia" w:ascii="宋体" w:hAnsi="宋体" w:cs="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供应商须知、评审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909"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60" w:lineRule="exact"/>
              <w:jc w:val="center"/>
              <w:rPr>
                <w:rFonts w:ascii="新宋体" w:hAnsi="新宋体" w:eastAsia="新宋体" w:cs="新宋体"/>
                <w:color w:val="auto"/>
                <w:szCs w:val="21"/>
                <w:highlight w:val="none"/>
              </w:rPr>
            </w:pPr>
            <w:r>
              <w:rPr>
                <w:rFonts w:hint="eastAsia" w:ascii="宋体" w:hAnsi="宋体"/>
                <w:color w:val="auto"/>
                <w:kern w:val="0"/>
                <w:szCs w:val="21"/>
                <w:highlight w:val="none"/>
              </w:rPr>
              <w:t>招标代理费</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420"/>
              </w:tabs>
              <w:rPr>
                <w:rFonts w:ascii="宋体" w:hAnsi="宋体" w:cs="宋体"/>
                <w:color w:val="auto"/>
                <w:kern w:val="0"/>
                <w:szCs w:val="21"/>
                <w:highlight w:val="none"/>
              </w:rPr>
            </w:pPr>
            <w:r>
              <w:rPr>
                <w:rFonts w:hint="eastAsia" w:ascii="宋体" w:hAnsi="宋体" w:cs="宋体"/>
                <w:color w:val="auto"/>
                <w:kern w:val="0"/>
                <w:szCs w:val="21"/>
                <w:highlight w:val="none"/>
              </w:rPr>
              <w:t>（1）本次采购代理服务费按人民币5000元收取，由中标人在领取中标通知书时一次性支付给采购代理机构，投标供应商在报价时应充分考虑该部分费用；</w:t>
            </w:r>
          </w:p>
          <w:p>
            <w:pPr>
              <w:rPr>
                <w:rFonts w:ascii="新宋体" w:hAnsi="新宋体" w:eastAsia="新宋体" w:cs="新宋体"/>
                <w:color w:val="auto"/>
                <w:szCs w:val="21"/>
                <w:highlight w:val="none"/>
              </w:rPr>
            </w:pPr>
            <w:r>
              <w:rPr>
                <w:rFonts w:hint="eastAsia" w:ascii="宋体" w:hAnsi="宋体" w:cs="宋体"/>
                <w:color w:val="auto"/>
                <w:kern w:val="0"/>
                <w:szCs w:val="21"/>
                <w:highlight w:val="none"/>
              </w:rPr>
              <w:t>（2）采购代理服务费可以是现金、支票或汇票。</w:t>
            </w:r>
            <w:r>
              <w:rPr>
                <w:rFonts w:hAnsi="宋体"/>
                <w:color w:val="auto"/>
                <w:szCs w:val="21"/>
                <w:highlight w:val="none"/>
              </w:rPr>
              <w:br w:type="page"/>
            </w:r>
          </w:p>
        </w:tc>
      </w:tr>
      <w:tr>
        <w:tblPrEx>
          <w:tblCellMar>
            <w:top w:w="0" w:type="dxa"/>
            <w:left w:w="108" w:type="dxa"/>
            <w:bottom w:w="0" w:type="dxa"/>
            <w:right w:w="108" w:type="dxa"/>
          </w:tblCellMar>
        </w:tblPrEx>
        <w:trPr>
          <w:trHeight w:val="44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color w:val="auto"/>
                <w:szCs w:val="21"/>
                <w:highlight w:val="none"/>
              </w:rPr>
            </w:pPr>
            <w:r>
              <w:rPr>
                <w:rFonts w:ascii="Arial" w:hAnsi="宋体" w:cs="Arial"/>
                <w:color w:val="auto"/>
                <w:szCs w:val="21"/>
                <w:highlight w:val="none"/>
              </w:rPr>
              <w:t>答疑截止时间</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rPr>
                <w:rFonts w:ascii="宋体" w:hAnsi="宋体" w:cs="宋体"/>
                <w:color w:val="auto"/>
                <w:szCs w:val="21"/>
                <w:highlight w:val="none"/>
              </w:rPr>
            </w:pPr>
            <w:r>
              <w:rPr>
                <w:rFonts w:hint="eastAsia" w:ascii="Arial" w:hAnsi="Arial" w:cs="Arial"/>
                <w:color w:val="auto"/>
                <w:szCs w:val="21"/>
                <w:highlight w:val="none"/>
              </w:rPr>
              <w:t>投标截止时间前</w:t>
            </w:r>
            <w:r>
              <w:rPr>
                <w:rFonts w:ascii="Arial" w:hAnsi="Arial" w:cs="Arial"/>
                <w:color w:val="auto"/>
                <w:szCs w:val="21"/>
                <w:highlight w:val="none"/>
              </w:rPr>
              <w:t>15</w:t>
            </w:r>
            <w:r>
              <w:rPr>
                <w:rFonts w:hint="eastAsia" w:ascii="Arial" w:hAnsi="Arial" w:cs="Arial"/>
                <w:color w:val="auto"/>
                <w:szCs w:val="21"/>
                <w:highlight w:val="none"/>
              </w:rPr>
              <w:t>天</w:t>
            </w:r>
          </w:p>
        </w:tc>
      </w:tr>
      <w:tr>
        <w:tblPrEx>
          <w:tblCellMar>
            <w:top w:w="0" w:type="dxa"/>
            <w:left w:w="108" w:type="dxa"/>
            <w:bottom w:w="0" w:type="dxa"/>
            <w:right w:w="108" w:type="dxa"/>
          </w:tblCellMar>
        </w:tblPrEx>
        <w:trPr>
          <w:trHeight w:val="47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宋体" w:hAnsi="宋体" w:cs="宋体"/>
                <w:color w:val="auto"/>
                <w:szCs w:val="21"/>
                <w:highlight w:val="none"/>
              </w:rPr>
            </w:pPr>
            <w:r>
              <w:rPr>
                <w:rFonts w:ascii="Arial" w:hAnsi="宋体" w:cs="Arial"/>
                <w:color w:val="auto"/>
                <w:szCs w:val="21"/>
                <w:highlight w:val="none"/>
              </w:rPr>
              <w:t>投标截止时间</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rPr>
                <w:rFonts w:ascii="宋体" w:hAnsi="宋体" w:cs="宋体"/>
                <w:color w:val="auto"/>
                <w:szCs w:val="21"/>
                <w:highlight w:val="none"/>
              </w:rPr>
            </w:pPr>
            <w:r>
              <w:rPr>
                <w:rFonts w:hint="eastAsia" w:ascii="Arial" w:hAnsi="Arial" w:cs="Arial"/>
                <w:color w:val="auto"/>
                <w:szCs w:val="21"/>
                <w:highlight w:val="none"/>
              </w:rPr>
              <w:t>详见招标公告</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Arial" w:hAnsi="Arial" w:cs="Arial"/>
                <w:color w:val="auto"/>
                <w:szCs w:val="21"/>
                <w:highlight w:val="none"/>
              </w:rPr>
            </w:pPr>
            <w:r>
              <w:rPr>
                <w:rFonts w:ascii="Arial" w:hAnsi="宋体" w:cs="Arial"/>
                <w:color w:val="auto"/>
                <w:szCs w:val="21"/>
                <w:highlight w:val="none"/>
              </w:rPr>
              <w:t>开标时间</w:t>
            </w:r>
          </w:p>
          <w:p>
            <w:pPr>
              <w:jc w:val="center"/>
              <w:rPr>
                <w:rFonts w:ascii="Arial" w:hAnsi="Arial" w:cs="Arial"/>
                <w:color w:val="auto"/>
                <w:szCs w:val="21"/>
                <w:highlight w:val="none"/>
              </w:rPr>
            </w:pPr>
            <w:r>
              <w:rPr>
                <w:rFonts w:ascii="Arial" w:hAnsi="宋体" w:cs="Arial"/>
                <w:color w:val="auto"/>
                <w:szCs w:val="21"/>
                <w:highlight w:val="none"/>
              </w:rPr>
              <w:t>开标地点</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rPr>
                <w:rFonts w:ascii="Arial" w:hAnsi="Arial" w:cs="Arial"/>
                <w:color w:val="auto"/>
                <w:szCs w:val="21"/>
                <w:highlight w:val="none"/>
              </w:rPr>
            </w:pPr>
            <w:r>
              <w:rPr>
                <w:rFonts w:ascii="Arial" w:hAnsi="宋体" w:cs="Arial"/>
                <w:color w:val="auto"/>
                <w:szCs w:val="21"/>
                <w:highlight w:val="none"/>
              </w:rPr>
              <w:t>开标时间：</w:t>
            </w:r>
            <w:r>
              <w:rPr>
                <w:rFonts w:hint="eastAsia" w:ascii="Arial" w:hAnsi="Arial" w:cs="Arial"/>
                <w:color w:val="auto"/>
                <w:szCs w:val="21"/>
                <w:highlight w:val="none"/>
              </w:rPr>
              <w:t>详见招标公告</w:t>
            </w:r>
          </w:p>
          <w:p>
            <w:pPr>
              <w:pStyle w:val="26"/>
              <w:spacing w:before="0" w:beforeAutospacing="0" w:after="0" w:afterAutospacing="0" w:line="360" w:lineRule="exact"/>
              <w:rPr>
                <w:rFonts w:ascii="Arial" w:hAnsi="Arial" w:cs="Arial"/>
                <w:b/>
                <w:color w:val="auto"/>
                <w:kern w:val="2"/>
                <w:sz w:val="21"/>
                <w:szCs w:val="21"/>
                <w:highlight w:val="none"/>
                <w:u w:val="wave"/>
              </w:rPr>
            </w:pPr>
            <w:r>
              <w:rPr>
                <w:rFonts w:ascii="Arial" w:cs="Arial"/>
                <w:color w:val="auto"/>
                <w:sz w:val="21"/>
                <w:szCs w:val="21"/>
                <w:highlight w:val="none"/>
              </w:rPr>
              <w:t>开标地点：</w:t>
            </w:r>
            <w:r>
              <w:rPr>
                <w:rStyle w:val="32"/>
                <w:rFonts w:hint="eastAsia" w:cs="宋体"/>
                <w:color w:val="auto"/>
                <w:sz w:val="21"/>
                <w:szCs w:val="21"/>
                <w:highlight w:val="none"/>
              </w:rPr>
              <w:t>温州信达交通工程试验检测有限公司四楼会议室（温州市永嘉县瓯北镇和三村瓯北绕城高速收费站内）</w:t>
            </w:r>
          </w:p>
        </w:tc>
      </w:tr>
      <w:tr>
        <w:tblPrEx>
          <w:tblCellMar>
            <w:top w:w="0" w:type="dxa"/>
            <w:left w:w="108" w:type="dxa"/>
            <w:bottom w:w="0" w:type="dxa"/>
            <w:right w:w="108" w:type="dxa"/>
          </w:tblCellMar>
        </w:tblPrEx>
        <w:trPr>
          <w:trHeight w:val="79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Arial" w:hAnsi="宋体" w:cs="Arial"/>
                <w:color w:val="auto"/>
                <w:szCs w:val="21"/>
                <w:highlight w:val="none"/>
              </w:rPr>
            </w:pPr>
            <w:r>
              <w:rPr>
                <w:rFonts w:hint="eastAsia"/>
                <w:color w:val="auto"/>
                <w:sz w:val="24"/>
                <w:highlight w:val="none"/>
              </w:rPr>
              <w:t>投标文件的递交要求</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26"/>
              <w:spacing w:before="0" w:beforeAutospacing="0" w:after="0" w:afterAutospacing="0" w:line="360" w:lineRule="exact"/>
              <w:rPr>
                <w:rFonts w:ascii="Times New Roman" w:hAnsi="Times New Roman" w:cs="Times New Roman"/>
                <w:color w:val="auto"/>
                <w:highlight w:val="none"/>
              </w:rPr>
            </w:pPr>
            <w:r>
              <w:rPr>
                <w:rFonts w:hint="eastAsia" w:ascii="Times New Roman" w:hAnsi="Times New Roman" w:cs="Times New Roman"/>
                <w:color w:val="auto"/>
                <w:highlight w:val="none"/>
              </w:rPr>
              <w:t>（1）投标人选择以下两种方式之一提交投标文件：</w:t>
            </w:r>
          </w:p>
          <w:p>
            <w:pPr>
              <w:pStyle w:val="26"/>
              <w:spacing w:before="0" w:beforeAutospacing="0" w:after="0" w:afterAutospacing="0" w:line="360" w:lineRule="exact"/>
              <w:rPr>
                <w:rFonts w:ascii="Times New Roman" w:hAnsi="Times New Roman" w:cs="Times New Roman"/>
                <w:color w:val="auto"/>
                <w:highlight w:val="none"/>
              </w:rPr>
            </w:pPr>
            <w:r>
              <w:rPr>
                <w:rFonts w:hint="eastAsia"/>
                <w:color w:val="auto"/>
                <w:highlight w:val="none"/>
              </w:rPr>
              <w:t>①</w:t>
            </w:r>
            <w:r>
              <w:rPr>
                <w:rFonts w:hint="eastAsia" w:ascii="Times New Roman" w:hAnsi="Times New Roman" w:cs="Times New Roman"/>
                <w:color w:val="auto"/>
                <w:highlight w:val="none"/>
              </w:rPr>
              <w:t>投标文件在规定时间前派人送达指定的投标地点。投标文件在截止时间后提交，采购人将拒绝接收。</w:t>
            </w:r>
          </w:p>
          <w:p>
            <w:pPr>
              <w:pStyle w:val="26"/>
              <w:spacing w:before="0" w:beforeAutospacing="0" w:after="0" w:afterAutospacing="0" w:line="360" w:lineRule="exact"/>
              <w:rPr>
                <w:rFonts w:ascii="Arial" w:cs="Arial"/>
                <w:color w:val="auto"/>
                <w:sz w:val="21"/>
                <w:szCs w:val="21"/>
                <w:highlight w:val="none"/>
              </w:rPr>
            </w:pPr>
            <w:r>
              <w:rPr>
                <w:rFonts w:hint="eastAsia"/>
                <w:color w:val="auto"/>
                <w:highlight w:val="none"/>
              </w:rPr>
              <w:t>②因疫情原因，投标人无法到达现场时，投标人可采用邮寄的方式送达（接收地址：温州信达交通工程试验检测有限公司四楼会议室（温州市永嘉县瓯北镇和三村瓯北绕城高速收费站内），接收人：李先生；联系电话：0577-89780959，13336010893），时间以邮寄送达时间为准，</w:t>
            </w:r>
            <w:r>
              <w:rPr>
                <w:rFonts w:hint="eastAsia" w:ascii="Times New Roman" w:hAnsi="Times New Roman" w:cs="Times New Roman"/>
                <w:color w:val="auto"/>
                <w:highlight w:val="none"/>
              </w:rPr>
              <w:t>投标文件送达时间在投标截止时间后，采购人将拒绝接收。</w:t>
            </w:r>
          </w:p>
        </w:tc>
      </w:tr>
      <w:tr>
        <w:tblPrEx>
          <w:tblCellMar>
            <w:top w:w="0" w:type="dxa"/>
            <w:left w:w="108" w:type="dxa"/>
            <w:bottom w:w="0" w:type="dxa"/>
            <w:right w:w="108" w:type="dxa"/>
          </w:tblCellMar>
        </w:tblPrEx>
        <w:trPr>
          <w:trHeight w:val="375" w:hRule="atLeast"/>
        </w:trPr>
        <w:tc>
          <w:tcPr>
            <w:tcW w:w="342"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930"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ascii="Arial" w:hAnsi="Arial" w:cs="Arial"/>
                <w:color w:val="auto"/>
                <w:szCs w:val="21"/>
                <w:highlight w:val="none"/>
              </w:rPr>
            </w:pPr>
            <w:r>
              <w:rPr>
                <w:rFonts w:ascii="Arial" w:hAnsi="宋体" w:cs="Arial"/>
                <w:color w:val="auto"/>
                <w:szCs w:val="21"/>
                <w:highlight w:val="none"/>
              </w:rPr>
              <w:t>其他注意事项</w:t>
            </w:r>
          </w:p>
        </w:tc>
        <w:tc>
          <w:tcPr>
            <w:tcW w:w="3727"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1134"/>
              </w:tabs>
              <w:ind w:firstLine="420" w:firstLineChars="200"/>
              <w:rPr>
                <w:rFonts w:ascii="宋体" w:hAnsi="宋体"/>
                <w:color w:val="auto"/>
                <w:szCs w:val="21"/>
                <w:highlight w:val="none"/>
              </w:rPr>
            </w:pPr>
            <w:r>
              <w:rPr>
                <w:rFonts w:hint="eastAsia" w:ascii="宋体" w:hAnsi="宋体"/>
                <w:color w:val="auto"/>
                <w:szCs w:val="21"/>
                <w:highlight w:val="none"/>
              </w:rPr>
              <w:t>根据温州疫情防控需求，参与本项目的投标人代表（法定代表人或其授权委托人）必须严格遵守省市区及属地防疫要求，如有冲突，以标书递交所在地防疫要求为准，否则不得参与项目投标：具体要求如下（不限于）</w:t>
            </w:r>
          </w:p>
          <w:p>
            <w:pPr>
              <w:tabs>
                <w:tab w:val="left" w:pos="1134"/>
              </w:tabs>
              <w:ind w:firstLine="420" w:firstLineChars="200"/>
              <w:rPr>
                <w:rFonts w:ascii="宋体" w:hAnsi="宋体"/>
                <w:color w:val="auto"/>
                <w:szCs w:val="21"/>
                <w:highlight w:val="none"/>
              </w:rPr>
            </w:pPr>
            <w:r>
              <w:rPr>
                <w:rFonts w:hint="eastAsia" w:ascii="宋体" w:hAnsi="宋体"/>
                <w:color w:val="auto"/>
                <w:szCs w:val="21"/>
                <w:highlight w:val="none"/>
              </w:rPr>
              <w:t>1）投标人代表在进入开标地点前必须出示温州防疫码，且显示绿码。如投标人代表的温州防疫码无法正常展示的，不能参与此次投标。</w:t>
            </w:r>
          </w:p>
          <w:p>
            <w:pPr>
              <w:tabs>
                <w:tab w:val="left" w:pos="1134"/>
              </w:tabs>
              <w:ind w:firstLine="420" w:firstLineChars="200"/>
              <w:rPr>
                <w:rFonts w:ascii="宋体" w:hAnsi="宋体"/>
                <w:color w:val="auto"/>
                <w:szCs w:val="21"/>
                <w:highlight w:val="none"/>
              </w:rPr>
            </w:pPr>
            <w:r>
              <w:rPr>
                <w:rFonts w:hint="eastAsia" w:ascii="宋体" w:hAnsi="宋体"/>
                <w:color w:val="auto"/>
                <w:szCs w:val="21"/>
                <w:highlight w:val="none"/>
              </w:rPr>
              <w:t>2）凡来自有报告核酸阳性病例所在地及中高风险所在设区市或县（市、区）人员不得作为投标人代表。</w:t>
            </w:r>
          </w:p>
          <w:p>
            <w:pPr>
              <w:tabs>
                <w:tab w:val="left" w:pos="1134"/>
              </w:tabs>
              <w:ind w:firstLine="420" w:firstLineChars="200"/>
              <w:rPr>
                <w:rFonts w:ascii="宋体" w:hAnsi="宋体"/>
                <w:color w:val="auto"/>
                <w:szCs w:val="21"/>
                <w:highlight w:val="none"/>
              </w:rPr>
            </w:pPr>
            <w:r>
              <w:rPr>
                <w:rFonts w:hint="eastAsia" w:ascii="宋体" w:hAnsi="宋体"/>
                <w:color w:val="auto"/>
                <w:szCs w:val="21"/>
                <w:highlight w:val="none"/>
              </w:rPr>
              <w:t>3）其他低风险地区投标人代表若为省外来温、返温人员，在进入开标地点前必须提供48小时内（标书递交截止时间前）核酸检测阴性证明。</w:t>
            </w:r>
          </w:p>
          <w:p>
            <w:pPr>
              <w:tabs>
                <w:tab w:val="left" w:pos="1134"/>
              </w:tabs>
              <w:ind w:firstLine="420" w:firstLineChars="200"/>
              <w:rPr>
                <w:rFonts w:ascii="Arial" w:hAnsi="Arial" w:cs="Arial"/>
                <w:bCs/>
                <w:color w:val="auto"/>
                <w:szCs w:val="21"/>
                <w:highlight w:val="none"/>
              </w:rPr>
            </w:pPr>
            <w:r>
              <w:rPr>
                <w:rFonts w:hint="eastAsia" w:ascii="宋体" w:hAnsi="宋体"/>
                <w:color w:val="auto"/>
                <w:szCs w:val="21"/>
                <w:highlight w:val="none"/>
              </w:rPr>
              <w:t>4）有新的省市区文件按新的文件执行。</w:t>
            </w:r>
          </w:p>
        </w:tc>
      </w:tr>
    </w:tbl>
    <w:p>
      <w:pPr>
        <w:widowControl/>
        <w:jc w:val="left"/>
        <w:rPr>
          <w:rFonts w:ascii="宋体" w:hAnsi="宋体" w:cs="宋体"/>
          <w:color w:val="auto"/>
          <w:highlight w:val="none"/>
        </w:rPr>
      </w:pPr>
    </w:p>
    <w:p>
      <w:pPr>
        <w:pStyle w:val="13"/>
        <w:ind w:firstLine="210"/>
        <w:rPr>
          <w:rFonts w:ascii="宋体" w:hAnsi="宋体" w:cs="宋体"/>
          <w:color w:val="auto"/>
          <w:highlight w:val="none"/>
        </w:rPr>
      </w:pPr>
      <w:r>
        <w:rPr>
          <w:rFonts w:hint="eastAsia" w:ascii="宋体" w:hAnsi="宋体" w:cs="宋体"/>
          <w:color w:val="auto"/>
          <w:highlight w:val="none"/>
        </w:rPr>
        <w:br w:type="page"/>
      </w:r>
    </w:p>
    <w:p>
      <w:pPr>
        <w:pStyle w:val="3"/>
        <w:spacing w:line="360" w:lineRule="auto"/>
        <w:rPr>
          <w:rFonts w:ascii="宋体" w:hAnsi="宋体" w:eastAsia="宋体" w:cs="宋体"/>
          <w:color w:val="auto"/>
          <w:sz w:val="36"/>
          <w:szCs w:val="36"/>
          <w:highlight w:val="none"/>
        </w:rPr>
      </w:pPr>
      <w:bookmarkStart w:id="20" w:name="_Toc262105499"/>
      <w:bookmarkStart w:id="21" w:name="_Toc239145350"/>
      <w:bookmarkStart w:id="22" w:name="_Toc262049414"/>
      <w:bookmarkStart w:id="23" w:name="_Toc245722277"/>
      <w:bookmarkStart w:id="24" w:name="_Toc241404198"/>
      <w:bookmarkStart w:id="25" w:name="_Toc221356882"/>
      <w:bookmarkStart w:id="26" w:name="_Toc221423615"/>
      <w:bookmarkStart w:id="27" w:name="_Toc221374622"/>
      <w:bookmarkStart w:id="28" w:name="_Toc222114875"/>
      <w:bookmarkStart w:id="29" w:name="_Toc249758860"/>
      <w:bookmarkStart w:id="30" w:name="_Toc245191310"/>
      <w:bookmarkStart w:id="31" w:name="_Toc16374"/>
      <w:bookmarkStart w:id="32" w:name="_Toc249758708"/>
      <w:bookmarkStart w:id="33" w:name="_Toc223715994"/>
      <w:bookmarkStart w:id="34" w:name="_Toc246261261"/>
      <w:bookmarkStart w:id="35" w:name="_Toc221356947"/>
      <w:r>
        <w:rPr>
          <w:rFonts w:hint="eastAsia" w:ascii="宋体" w:hAnsi="宋体" w:eastAsia="宋体" w:cs="宋体"/>
          <w:color w:val="auto"/>
          <w:sz w:val="36"/>
          <w:szCs w:val="36"/>
          <w:highlight w:val="none"/>
        </w:rPr>
        <w:t>第一部分    投标供应商须知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200" w:after="200" w:line="360" w:lineRule="auto"/>
        <w:jc w:val="center"/>
        <w:outlineLvl w:val="1"/>
        <w:rPr>
          <w:rFonts w:ascii="宋体" w:hAnsi="宋体" w:cs="宋体"/>
          <w:b/>
          <w:bCs/>
          <w:color w:val="auto"/>
          <w:szCs w:val="21"/>
          <w:highlight w:val="none"/>
        </w:rPr>
      </w:pPr>
      <w:bookmarkStart w:id="36" w:name="_Toc239145351"/>
      <w:bookmarkStart w:id="37" w:name="_Toc262105500"/>
      <w:bookmarkStart w:id="38" w:name="_Toc249758861"/>
      <w:bookmarkStart w:id="39" w:name="_Toc23423"/>
      <w:bookmarkStart w:id="40" w:name="_Toc222114876"/>
      <w:bookmarkStart w:id="41" w:name="_Toc249758709"/>
      <w:bookmarkStart w:id="42" w:name="_Toc223715995"/>
      <w:bookmarkStart w:id="43" w:name="_Toc221374623"/>
      <w:bookmarkStart w:id="44" w:name="_Toc246261262"/>
      <w:bookmarkStart w:id="45" w:name="_Toc245191311"/>
      <w:bookmarkStart w:id="46" w:name="_Toc245722278"/>
      <w:bookmarkStart w:id="47" w:name="_Toc262049415"/>
      <w:bookmarkStart w:id="48" w:name="_Toc221356948"/>
      <w:bookmarkStart w:id="49" w:name="_Toc6790"/>
      <w:bookmarkStart w:id="50" w:name="_Toc221356883"/>
      <w:bookmarkStart w:id="51" w:name="_Toc241404199"/>
      <w:bookmarkStart w:id="52" w:name="_Toc221423616"/>
      <w:r>
        <w:rPr>
          <w:rFonts w:hint="eastAsia" w:ascii="宋体" w:hAnsi="宋体" w:cs="宋体"/>
          <w:b/>
          <w:bCs/>
          <w:color w:val="auto"/>
          <w:szCs w:val="21"/>
          <w:highlight w:val="none"/>
        </w:rPr>
        <w:t>一、  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numPr>
          <w:ilvl w:val="0"/>
          <w:numId w:val="3"/>
        </w:num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本次采购是按照《温州市市属国有企业采购管理办法（试行）》等法律及有关法规组织和实施的</w:t>
      </w:r>
      <w:r>
        <w:rPr>
          <w:rFonts w:hint="eastAsia" w:ascii="宋体" w:hAnsi="宋体" w:cs="宋体"/>
          <w:color w:val="auto"/>
          <w:szCs w:val="21"/>
          <w:highlight w:val="none"/>
          <w:u w:val="single"/>
        </w:rPr>
        <w:t>国企采购（非政府采购项目）</w:t>
      </w:r>
      <w:r>
        <w:rPr>
          <w:rFonts w:hint="eastAsia" w:ascii="宋体" w:hAnsi="宋体" w:cs="宋体"/>
          <w:color w:val="auto"/>
          <w:szCs w:val="21"/>
          <w:highlight w:val="none"/>
        </w:rPr>
        <w:t>。</w:t>
      </w:r>
    </w:p>
    <w:p>
      <w:pPr>
        <w:numPr>
          <w:ilvl w:val="0"/>
          <w:numId w:val="3"/>
        </w:numPr>
        <w:tabs>
          <w:tab w:val="left" w:pos="0"/>
        </w:tabs>
        <w:spacing w:line="360" w:lineRule="auto"/>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合格投标供应商</w:t>
      </w:r>
    </w:p>
    <w:p>
      <w:pPr>
        <w:tabs>
          <w:tab w:val="left" w:pos="54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合格投标供应商要求以本项目采购公告及投标供应商须知前附表中“投标供应商</w:t>
      </w:r>
      <w:r>
        <w:rPr>
          <w:rFonts w:hint="eastAsia" w:ascii="宋体" w:hAnsi="宋体" w:cs="宋体"/>
          <w:b/>
          <w:color w:val="auto"/>
          <w:szCs w:val="21"/>
          <w:highlight w:val="none"/>
          <w:lang w:val="zh-CN"/>
        </w:rPr>
        <w:t>资质格要求</w:t>
      </w:r>
      <w:r>
        <w:rPr>
          <w:rFonts w:hint="eastAsia" w:ascii="宋体" w:hAnsi="宋体" w:cs="宋体"/>
          <w:b/>
          <w:color w:val="auto"/>
          <w:szCs w:val="21"/>
          <w:highlight w:val="none"/>
        </w:rPr>
        <w:t>”描述为准。</w:t>
      </w:r>
    </w:p>
    <w:p>
      <w:pPr>
        <w:numPr>
          <w:ilvl w:val="0"/>
          <w:numId w:val="3"/>
        </w:num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投标供应商代表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指全权代表投标供应商参加投标活动并签署投标文件的人。如果投标供应商代表不是法定代表人，须持有《法定代表人授权书》。</w:t>
      </w:r>
    </w:p>
    <w:p>
      <w:pPr>
        <w:numPr>
          <w:ilvl w:val="0"/>
          <w:numId w:val="3"/>
        </w:num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投标费用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投标供应商应承担所有与准备和参加投标有关费用，不论投标的结果如何，采购人和采购代理机构均无义务和责任承担这些费用。</w:t>
      </w:r>
    </w:p>
    <w:p>
      <w:pPr>
        <w:spacing w:before="200" w:after="200" w:line="360" w:lineRule="auto"/>
        <w:jc w:val="center"/>
        <w:outlineLvl w:val="1"/>
        <w:rPr>
          <w:rFonts w:ascii="宋体" w:hAnsi="宋体" w:cs="宋体"/>
          <w:b/>
          <w:bCs/>
          <w:color w:val="auto"/>
          <w:szCs w:val="21"/>
          <w:highlight w:val="none"/>
        </w:rPr>
      </w:pPr>
      <w:bookmarkStart w:id="53" w:name="_Toc239145352"/>
      <w:bookmarkStart w:id="54" w:name="_Toc241404200"/>
      <w:bookmarkStart w:id="55" w:name="_Toc245191312"/>
      <w:bookmarkStart w:id="56" w:name="_Toc249758862"/>
      <w:bookmarkStart w:id="57" w:name="_Toc246261263"/>
      <w:bookmarkStart w:id="58" w:name="_Toc221374624"/>
      <w:bookmarkStart w:id="59" w:name="_Toc249758710"/>
      <w:bookmarkStart w:id="60" w:name="_Toc15967"/>
      <w:bookmarkStart w:id="61" w:name="_Toc221423617"/>
      <w:bookmarkStart w:id="62" w:name="_Toc245722279"/>
      <w:bookmarkStart w:id="63" w:name="_Toc262049416"/>
      <w:bookmarkStart w:id="64" w:name="_Toc222114877"/>
      <w:bookmarkStart w:id="65" w:name="_Toc262105501"/>
      <w:bookmarkStart w:id="66" w:name="_Toc223715996"/>
      <w:bookmarkStart w:id="67" w:name="_Toc221356949"/>
      <w:bookmarkStart w:id="68" w:name="_Toc221356884"/>
      <w:bookmarkStart w:id="69" w:name="_Toc21841"/>
      <w:r>
        <w:rPr>
          <w:rFonts w:hint="eastAsia" w:ascii="宋体" w:hAnsi="宋体" w:cs="宋体"/>
          <w:b/>
          <w:bCs/>
          <w:color w:val="auto"/>
          <w:szCs w:val="21"/>
          <w:highlight w:val="none"/>
        </w:rPr>
        <w:t>二、 采购文件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numPr>
          <w:ilvl w:val="0"/>
          <w:numId w:val="4"/>
        </w:numPr>
        <w:tabs>
          <w:tab w:val="left" w:pos="0"/>
        </w:tabs>
        <w:spacing w:line="360" w:lineRule="auto"/>
        <w:outlineLvl w:val="2"/>
        <w:rPr>
          <w:rFonts w:ascii="宋体" w:hAnsi="宋体" w:cs="宋体"/>
          <w:color w:val="auto"/>
          <w:szCs w:val="21"/>
          <w:highlight w:val="none"/>
        </w:rPr>
      </w:pPr>
      <w:bookmarkStart w:id="70" w:name="_Toc7018"/>
      <w:r>
        <w:rPr>
          <w:rFonts w:hint="eastAsia" w:ascii="宋体" w:hAnsi="宋体" w:cs="宋体"/>
          <w:color w:val="auto"/>
          <w:szCs w:val="21"/>
          <w:highlight w:val="none"/>
        </w:rPr>
        <w:t>采购文件由采购文件目录所列内容及相关资料组成。</w:t>
      </w:r>
      <w:bookmarkEnd w:id="70"/>
    </w:p>
    <w:p>
      <w:pPr>
        <w:numPr>
          <w:ilvl w:val="0"/>
          <w:numId w:val="4"/>
        </w:numPr>
        <w:tabs>
          <w:tab w:val="left" w:pos="0"/>
        </w:tabs>
        <w:spacing w:line="360" w:lineRule="auto"/>
        <w:outlineLvl w:val="2"/>
        <w:rPr>
          <w:rFonts w:ascii="宋体" w:hAnsi="宋体" w:cs="宋体"/>
          <w:color w:val="auto"/>
          <w:szCs w:val="21"/>
          <w:highlight w:val="none"/>
        </w:rPr>
      </w:pPr>
      <w:bookmarkStart w:id="71" w:name="_Toc9185"/>
      <w:r>
        <w:rPr>
          <w:rFonts w:hint="eastAsia" w:ascii="宋体" w:hAnsi="宋体" w:cs="宋体"/>
          <w:color w:val="auto"/>
          <w:szCs w:val="21"/>
          <w:highlight w:val="none"/>
        </w:rPr>
        <w:t>采购文件的澄清</w:t>
      </w:r>
      <w:bookmarkEnd w:id="71"/>
    </w:p>
    <w:p>
      <w:pPr>
        <w:numPr>
          <w:ilvl w:val="1"/>
          <w:numId w:val="4"/>
        </w:numPr>
        <w:tabs>
          <w:tab w:val="left" w:pos="0"/>
        </w:tabs>
        <w:spacing w:line="360" w:lineRule="auto"/>
        <w:rPr>
          <w:rFonts w:ascii="宋体" w:hAnsi="宋体" w:cs="宋体"/>
          <w:color w:val="auto"/>
          <w:spacing w:val="6"/>
          <w:szCs w:val="21"/>
          <w:highlight w:val="none"/>
        </w:rPr>
      </w:pPr>
      <w:r>
        <w:rPr>
          <w:rFonts w:hint="eastAsia" w:ascii="宋体" w:hAnsi="宋体" w:cs="宋体"/>
          <w:color w:val="auto"/>
          <w:szCs w:val="21"/>
          <w:highlight w:val="none"/>
        </w:rPr>
        <w:t>投标供应商对采购文件如有疑点或未尽事宜要求澄清，或认为有必要进行说明或交流，投标供应商可以在知道或应知其权益受到损害之日起三个工作日内，以书面形式（包括信函、传真、下同）向采购人或采购代理机构提出质疑，但质疑不得迟于投标截止日期前十五日使采购人收到。采购人或采购代理机构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和采购代理机构解释为准</w:t>
      </w:r>
      <w:r>
        <w:rPr>
          <w:rFonts w:hint="eastAsia" w:ascii="宋体" w:hAnsi="宋体" w:cs="宋体"/>
          <w:color w:val="auto"/>
          <w:spacing w:val="6"/>
          <w:szCs w:val="21"/>
          <w:highlight w:val="none"/>
        </w:rPr>
        <w:t>。</w:t>
      </w:r>
    </w:p>
    <w:p>
      <w:pPr>
        <w:numPr>
          <w:ilvl w:val="0"/>
          <w:numId w:val="4"/>
        </w:numPr>
        <w:tabs>
          <w:tab w:val="left" w:pos="0"/>
        </w:tabs>
        <w:spacing w:line="360" w:lineRule="auto"/>
        <w:outlineLvl w:val="2"/>
        <w:rPr>
          <w:rFonts w:ascii="宋体" w:hAnsi="宋体" w:cs="宋体"/>
          <w:color w:val="auto"/>
          <w:szCs w:val="21"/>
          <w:highlight w:val="none"/>
        </w:rPr>
      </w:pPr>
      <w:bookmarkStart w:id="72" w:name="_Toc32676"/>
      <w:r>
        <w:rPr>
          <w:rFonts w:hint="eastAsia" w:ascii="宋体" w:hAnsi="宋体" w:cs="宋体"/>
          <w:color w:val="auto"/>
          <w:szCs w:val="21"/>
          <w:highlight w:val="none"/>
        </w:rPr>
        <w:t>采购文件的修改</w:t>
      </w:r>
      <w:bookmarkEnd w:id="72"/>
    </w:p>
    <w:p>
      <w:pPr>
        <w:tabs>
          <w:tab w:val="left" w:pos="0"/>
        </w:tabs>
        <w:spacing w:line="360" w:lineRule="auto"/>
        <w:ind w:left="-2"/>
        <w:rPr>
          <w:rFonts w:ascii="宋体" w:hAnsi="宋体" w:cs="宋体"/>
          <w:color w:val="auto"/>
          <w:szCs w:val="21"/>
          <w:highlight w:val="none"/>
        </w:rPr>
      </w:pPr>
      <w:r>
        <w:rPr>
          <w:rFonts w:hint="eastAsia" w:ascii="宋体" w:hAnsi="宋体" w:cs="宋体"/>
          <w:b/>
          <w:color w:val="auto"/>
          <w:szCs w:val="21"/>
          <w:highlight w:val="none"/>
        </w:rPr>
        <w:t>3.1</w:t>
      </w:r>
      <w:r>
        <w:rPr>
          <w:rFonts w:hint="eastAsia" w:ascii="宋体" w:hAnsi="宋体" w:cs="宋体"/>
          <w:color w:val="auto"/>
          <w:szCs w:val="21"/>
          <w:highlight w:val="none"/>
        </w:rPr>
        <w:t>在投标截止期十五天前，采购人无论是出于何种原因，均可对采购文件用补充文件的方式进行修改，并在指定媒体上发布更正公告。该澄清和修改的内容为采购文件的组成部分。不足15日的，采购人将顺延提交投标文件的截止时间。采购人可以视采购具体情况在采购文件要求提交截止时间前，作出延长投标截止时间和开标时间的决定，并在浙江政府采购网、温州国企采购平台、温州信达交通工程试验检测有限公司网站上发布变更公告</w:t>
      </w:r>
      <w:r>
        <w:rPr>
          <w:rFonts w:hint="eastAsia" w:ascii="宋体" w:hAnsi="宋体" w:cs="宋体"/>
          <w:b/>
          <w:color w:val="auto"/>
          <w:szCs w:val="21"/>
          <w:highlight w:val="none"/>
        </w:rPr>
        <w:t>。</w:t>
      </w:r>
    </w:p>
    <w:p>
      <w:pPr>
        <w:tabs>
          <w:tab w:val="left" w:pos="360"/>
        </w:tabs>
        <w:spacing w:line="360" w:lineRule="auto"/>
        <w:ind w:left="-2"/>
        <w:rPr>
          <w:rFonts w:ascii="宋体" w:hAnsi="宋体" w:cs="宋体"/>
          <w:color w:val="auto"/>
          <w:szCs w:val="21"/>
          <w:highlight w:val="none"/>
        </w:rPr>
      </w:pPr>
      <w:r>
        <w:rPr>
          <w:rFonts w:hint="eastAsia" w:ascii="宋体" w:hAnsi="宋体" w:cs="宋体"/>
          <w:bCs/>
          <w:color w:val="auto"/>
          <w:szCs w:val="21"/>
          <w:highlight w:val="none"/>
        </w:rPr>
        <w:t>3.2采购文件如有补充更正均见</w:t>
      </w:r>
      <w:r>
        <w:rPr>
          <w:rFonts w:hint="eastAsia" w:ascii="宋体" w:hAnsi="宋体" w:cs="宋体"/>
          <w:color w:val="auto"/>
          <w:szCs w:val="21"/>
          <w:highlight w:val="none"/>
        </w:rPr>
        <w:t>浙江政府采购网、温州国企采购平台、温州信达交通工程试验检测有限公司网站</w:t>
      </w:r>
      <w:r>
        <w:rPr>
          <w:rFonts w:hint="eastAsia" w:ascii="宋体" w:hAnsi="宋体" w:cs="宋体"/>
          <w:bCs/>
          <w:color w:val="auto"/>
          <w:szCs w:val="21"/>
          <w:highlight w:val="none"/>
        </w:rPr>
        <w:t>所发布的更正通知。投标供应商须在开标前自行查看是否有补充更正文件，并按补充更正文件要求投标，否则责任自负</w:t>
      </w:r>
      <w:r>
        <w:rPr>
          <w:rFonts w:hint="eastAsia" w:ascii="宋体" w:hAnsi="宋体" w:cs="宋体"/>
          <w:color w:val="auto"/>
          <w:szCs w:val="21"/>
          <w:highlight w:val="none"/>
        </w:rPr>
        <w:t>。</w:t>
      </w:r>
    </w:p>
    <w:p>
      <w:pPr>
        <w:spacing w:before="200" w:after="200" w:line="360" w:lineRule="auto"/>
        <w:jc w:val="center"/>
        <w:outlineLvl w:val="1"/>
        <w:rPr>
          <w:rFonts w:ascii="宋体" w:hAnsi="宋体" w:cs="宋体"/>
          <w:b/>
          <w:bCs/>
          <w:color w:val="auto"/>
          <w:szCs w:val="21"/>
          <w:highlight w:val="none"/>
        </w:rPr>
      </w:pPr>
      <w:bookmarkStart w:id="73" w:name="_Toc221374625"/>
      <w:bookmarkStart w:id="74" w:name="_Toc262049417"/>
      <w:bookmarkStart w:id="75" w:name="_Toc262105502"/>
      <w:bookmarkStart w:id="76" w:name="_Toc241404201"/>
      <w:bookmarkStart w:id="77" w:name="_Toc221356950"/>
      <w:bookmarkStart w:id="78" w:name="_Toc245191313"/>
      <w:bookmarkStart w:id="79" w:name="_Toc249758863"/>
      <w:bookmarkStart w:id="80" w:name="_Toc221356885"/>
      <w:bookmarkStart w:id="81" w:name="_Toc249758711"/>
      <w:bookmarkStart w:id="82" w:name="_Toc239145353"/>
      <w:bookmarkStart w:id="83" w:name="_Toc246261264"/>
      <w:bookmarkStart w:id="84" w:name="_Toc3429"/>
      <w:bookmarkStart w:id="85" w:name="_Toc223715997"/>
      <w:bookmarkStart w:id="86" w:name="_Toc221423618"/>
      <w:bookmarkStart w:id="87" w:name="_Toc222114878"/>
      <w:bookmarkStart w:id="88" w:name="_Toc245722280"/>
      <w:bookmarkStart w:id="89" w:name="_Toc15506"/>
      <w:r>
        <w:rPr>
          <w:rFonts w:hint="eastAsia" w:ascii="宋体" w:hAnsi="宋体" w:cs="宋体"/>
          <w:b/>
          <w:bCs/>
          <w:color w:val="auto"/>
          <w:szCs w:val="21"/>
          <w:highlight w:val="none"/>
        </w:rPr>
        <w:t>三、 投标文件的编制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numPr>
          <w:ilvl w:val="0"/>
          <w:numId w:val="5"/>
        </w:numPr>
        <w:tabs>
          <w:tab w:val="clear" w:pos="42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投标供应商应认真阅读采购文件中所有事项格式、条款和技术规范等。</w:t>
      </w:r>
      <w:r>
        <w:rPr>
          <w:rFonts w:hint="eastAsia" w:ascii="宋体" w:hAnsi="宋体" w:cs="宋体"/>
          <w:b/>
          <w:color w:val="auto"/>
          <w:szCs w:val="21"/>
          <w:highlight w:val="none"/>
        </w:rPr>
        <w:t>投标供应商没有按照采购文件要求提交全部资料，或者没有对采购文件各个方面做出实质性响应，导致投标被拒绝的风险由投标供应商自行承担。</w:t>
      </w:r>
    </w:p>
    <w:p>
      <w:pPr>
        <w:numPr>
          <w:ilvl w:val="0"/>
          <w:numId w:val="5"/>
        </w:num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投标供应商法律责任</w:t>
      </w:r>
    </w:p>
    <w:p>
      <w:pPr>
        <w:numPr>
          <w:ilvl w:val="1"/>
          <w:numId w:val="6"/>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
          <w:color w:val="auto"/>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5"/>
        </w:num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投标文件的构成：</w:t>
      </w:r>
    </w:p>
    <w:p>
      <w:pPr>
        <w:numPr>
          <w:ilvl w:val="1"/>
          <w:numId w:val="7"/>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投标文件由资格商务技术文件、报价文件两部分构成：</w:t>
      </w:r>
    </w:p>
    <w:p>
      <w:pPr>
        <w:spacing w:line="360" w:lineRule="auto"/>
        <w:ind w:left="8" w:hanging="8" w:hangingChars="4"/>
        <w:rPr>
          <w:rFonts w:ascii="宋体" w:hAnsi="宋体" w:cs="宋体"/>
          <w:b/>
          <w:color w:val="auto"/>
          <w:szCs w:val="21"/>
          <w:highlight w:val="none"/>
        </w:rPr>
      </w:pPr>
      <w:r>
        <w:rPr>
          <w:rFonts w:hint="eastAsia" w:ascii="宋体" w:hAnsi="宋体" w:cs="宋体"/>
          <w:b/>
          <w:color w:val="auto"/>
          <w:szCs w:val="21"/>
          <w:highlight w:val="none"/>
        </w:rPr>
        <w:t>（1）资格商务技术文件</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66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8" w:type="pct"/>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982" w:type="pct"/>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c>
          <w:tcPr>
            <w:tcW w:w="629" w:type="pct"/>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8" w:type="pct"/>
            <w:vAlign w:val="center"/>
          </w:tcPr>
          <w:p>
            <w:pPr>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982" w:type="pc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投标函</w:t>
            </w:r>
          </w:p>
        </w:tc>
        <w:tc>
          <w:tcPr>
            <w:tcW w:w="629" w:type="pc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88" w:type="pct"/>
            <w:vAlign w:val="center"/>
          </w:tcPr>
          <w:p>
            <w:pPr>
              <w:adjustRightInd w:val="0"/>
              <w:jc w:val="center"/>
              <w:rPr>
                <w:rFonts w:ascii="宋体" w:hAnsi="宋体"/>
                <w:color w:val="auto"/>
                <w:sz w:val="24"/>
                <w:highlight w:val="none"/>
              </w:rPr>
            </w:pPr>
            <w:r>
              <w:rPr>
                <w:rFonts w:hint="eastAsia" w:ascii="宋体" w:hAnsi="宋体" w:cs="宋体"/>
                <w:color w:val="auto"/>
                <w:szCs w:val="21"/>
                <w:highlight w:val="none"/>
              </w:rPr>
              <w:t>2）</w:t>
            </w:r>
          </w:p>
        </w:tc>
        <w:tc>
          <w:tcPr>
            <w:tcW w:w="3982" w:type="pct"/>
            <w:vAlign w:val="center"/>
          </w:tcPr>
          <w:p>
            <w:pPr>
              <w:rPr>
                <w:rFonts w:ascii="宋体" w:hAnsi="宋体"/>
                <w:b/>
                <w:color w:val="auto"/>
                <w:sz w:val="24"/>
                <w:highlight w:val="none"/>
              </w:rPr>
            </w:pPr>
            <w:r>
              <w:rPr>
                <w:rFonts w:ascii="宋体" w:hAnsi="宋体"/>
                <w:b/>
                <w:color w:val="auto"/>
                <w:sz w:val="24"/>
                <w:highlight w:val="none"/>
              </w:rPr>
              <w:t>资格证明文件</w:t>
            </w:r>
            <w:r>
              <w:rPr>
                <w:rFonts w:ascii="宋体" w:hAnsi="宋体"/>
                <w:color w:val="auto"/>
                <w:sz w:val="24"/>
                <w:highlight w:val="none"/>
              </w:rPr>
              <w:t>：</w:t>
            </w:r>
          </w:p>
        </w:tc>
        <w:tc>
          <w:tcPr>
            <w:tcW w:w="629" w:type="pct"/>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color w:val="auto"/>
                <w:szCs w:val="21"/>
                <w:highlight w:val="none"/>
              </w:rPr>
              <w:t>营业执照(或事业法人登记证书或其它工商等登记证明材料；自然人参与采购，提供身份证)复印件、税务登记证(或其它缴纳证明材料)复印件、社保登记证（或其它缴纳证明材料）复印件；实施“五证合一、一照一码”登记制度改革的，只需提供改革后取得的营业执照复印件</w:t>
            </w:r>
          </w:p>
        </w:tc>
        <w:tc>
          <w:tcPr>
            <w:tcW w:w="629" w:type="pct"/>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color w:val="auto"/>
                <w:szCs w:val="21"/>
                <w:highlight w:val="none"/>
              </w:rPr>
              <w:t>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法定代表人声明书或法定代表人授权书</w:t>
            </w:r>
          </w:p>
        </w:tc>
        <w:tc>
          <w:tcPr>
            <w:tcW w:w="629" w:type="pct"/>
            <w:vMerge w:val="restart"/>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具有良好的商业信誉和健全的财务会计制度的承诺函</w:t>
            </w:r>
          </w:p>
        </w:tc>
        <w:tc>
          <w:tcPr>
            <w:tcW w:w="629" w:type="pct"/>
            <w:vMerge w:val="continue"/>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具有履行合同所必需的设备和专业技术、售后保障等能力的承诺函</w:t>
            </w:r>
          </w:p>
        </w:tc>
        <w:tc>
          <w:tcPr>
            <w:tcW w:w="629" w:type="pct"/>
            <w:vMerge w:val="continue"/>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具有依法缴纳税收和社会保障资金的良好记录的承诺函</w:t>
            </w:r>
          </w:p>
        </w:tc>
        <w:tc>
          <w:tcPr>
            <w:tcW w:w="629" w:type="pct"/>
            <w:vMerge w:val="continue"/>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参加采购、招投标等活动前三年内（新成立不满三年的组织机构自成立之日起算）在经营活动中没有重大违法记录的声明函</w:t>
            </w:r>
          </w:p>
        </w:tc>
        <w:tc>
          <w:tcPr>
            <w:tcW w:w="629" w:type="pct"/>
            <w:vMerge w:val="continue"/>
            <w:vAlign w:val="center"/>
          </w:tcPr>
          <w:p>
            <w:pPr>
              <w:spacing w:line="360" w:lineRule="auto"/>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声明书（单位负责人为同一人或者存在直接控股、管理关系的不同投标供应商，不得参加同一合同项下的采购活动）</w:t>
            </w:r>
          </w:p>
        </w:tc>
        <w:tc>
          <w:tcPr>
            <w:tcW w:w="629" w:type="pct"/>
            <w:vMerge w:val="continue"/>
            <w:vAlign w:val="center"/>
          </w:tcPr>
          <w:p>
            <w:pPr>
              <w:spacing w:line="360" w:lineRule="auto"/>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388" w:type="pct"/>
            <w:vAlign w:val="center"/>
          </w:tcPr>
          <w:p>
            <w:pPr>
              <w:overflowPunct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招标文件规定的供应商应当具备的特殊资格条件证明资料（如有）</w:t>
            </w:r>
          </w:p>
        </w:tc>
        <w:tc>
          <w:tcPr>
            <w:tcW w:w="629" w:type="pct"/>
            <w:vAlign w:val="center"/>
          </w:tcPr>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982" w:type="pct"/>
            <w:vAlign w:val="center"/>
          </w:tcPr>
          <w:p>
            <w:pPr>
              <w:spacing w:line="360" w:lineRule="auto"/>
              <w:rPr>
                <w:rFonts w:ascii="宋体" w:hAnsi="宋体" w:cs="宋体"/>
                <w:bCs/>
                <w:color w:val="auto"/>
                <w:szCs w:val="21"/>
                <w:highlight w:val="none"/>
              </w:rPr>
            </w:pPr>
            <w:r>
              <w:rPr>
                <w:rFonts w:hint="eastAsia" w:ascii="宋体" w:hAnsi="宋体" w:cs="宋体"/>
                <w:b/>
                <w:color w:val="auto"/>
                <w:szCs w:val="21"/>
                <w:highlight w:val="none"/>
              </w:rPr>
              <w:t>商务技术文件</w:t>
            </w:r>
          </w:p>
        </w:tc>
        <w:tc>
          <w:tcPr>
            <w:tcW w:w="629" w:type="pct"/>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8" w:type="pct"/>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982" w:type="pc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技术规格、商务条款偏离表</w:t>
            </w:r>
          </w:p>
        </w:tc>
        <w:tc>
          <w:tcPr>
            <w:tcW w:w="629" w:type="pc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5" w:type="dxa"/>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784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产品供货范围详细清单（不含价格）</w:t>
            </w:r>
          </w:p>
        </w:tc>
        <w:tc>
          <w:tcPr>
            <w:tcW w:w="629" w:type="pc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5" w:type="dxa"/>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784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随机备品、备件和专用工具清单（如有）</w:t>
            </w:r>
          </w:p>
        </w:tc>
        <w:tc>
          <w:tcPr>
            <w:tcW w:w="629" w:type="pc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资信部分（本部分为商务技术评分内容，投标供应商根据自身实际情况提供）</w:t>
            </w:r>
          </w:p>
        </w:tc>
        <w:tc>
          <w:tcPr>
            <w:tcW w:w="0" w:type="auto"/>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adjustRightInd w:val="0"/>
              <w:jc w:val="center"/>
              <w:rPr>
                <w:rFonts w:ascii="宋体" w:hAnsi="宋体" w:cs="宋体"/>
                <w:color w:val="auto"/>
                <w:szCs w:val="21"/>
                <w:highlight w:val="none"/>
              </w:rPr>
            </w:pPr>
            <w:r>
              <w:rPr>
                <w:rFonts w:hint="eastAsia" w:ascii="宋体" w:hAnsi="宋体" w:cs="宋体"/>
                <w:color w:val="auto"/>
                <w:szCs w:val="21"/>
                <w:highlight w:val="none"/>
              </w:rPr>
              <w:t>4.1</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同类项目业绩表</w:t>
            </w:r>
          </w:p>
        </w:tc>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a</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业绩证明材料</w:t>
            </w:r>
          </w:p>
        </w:tc>
        <w:tc>
          <w:tcPr>
            <w:tcW w:w="0" w:type="auto"/>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项目组情况表</w:t>
            </w:r>
          </w:p>
        </w:tc>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a</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项目负责人情况表</w:t>
            </w:r>
          </w:p>
        </w:tc>
        <w:tc>
          <w:tcPr>
            <w:tcW w:w="0" w:type="auto"/>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b</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项目组成员一览表</w:t>
            </w:r>
          </w:p>
        </w:tc>
        <w:tc>
          <w:tcPr>
            <w:tcW w:w="0" w:type="auto"/>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b/>
                <w:color w:val="auto"/>
                <w:szCs w:val="21"/>
                <w:highlight w:val="none"/>
                <w:u w:val="single"/>
              </w:rPr>
              <w:t>针对本次项目采购需求提出的详细实施方案（包括但不限于商务技术分评分细则要求的各个方案）</w:t>
            </w:r>
          </w:p>
        </w:tc>
        <w:tc>
          <w:tcPr>
            <w:tcW w:w="0" w:type="auto"/>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0" w:type="auto"/>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结合采购文件评分细则投标供应商认为需要提供的其他技术资料</w:t>
            </w:r>
          </w:p>
        </w:tc>
        <w:tc>
          <w:tcPr>
            <w:tcW w:w="0" w:type="auto"/>
            <w:vAlign w:val="center"/>
          </w:tcPr>
          <w:p>
            <w:pPr>
              <w:spacing w:line="360" w:lineRule="auto"/>
              <w:rPr>
                <w:rFonts w:ascii="宋体" w:hAnsi="宋体" w:cs="宋体"/>
                <w:color w:val="auto"/>
                <w:szCs w:val="21"/>
                <w:highlight w:val="none"/>
              </w:rPr>
            </w:pPr>
          </w:p>
        </w:tc>
      </w:tr>
    </w:tbl>
    <w:p>
      <w:pPr>
        <w:spacing w:line="360" w:lineRule="auto"/>
        <w:ind w:left="8" w:hanging="8" w:hangingChars="4"/>
        <w:rPr>
          <w:rFonts w:ascii="宋体" w:hAnsi="宋体" w:cs="宋体"/>
          <w:bCs/>
          <w:color w:val="auto"/>
          <w:szCs w:val="21"/>
          <w:highlight w:val="none"/>
        </w:rPr>
      </w:pPr>
      <w:r>
        <w:rPr>
          <w:rFonts w:hint="eastAsia" w:ascii="宋体" w:hAnsi="宋体" w:cs="宋体"/>
          <w:b/>
          <w:color w:val="auto"/>
          <w:szCs w:val="21"/>
          <w:highlight w:val="none"/>
        </w:rPr>
        <w:t>说明：</w:t>
      </w:r>
    </w:p>
    <w:p>
      <w:pPr>
        <w:numPr>
          <w:ilvl w:val="0"/>
          <w:numId w:val="8"/>
        </w:numPr>
        <w:tabs>
          <w:tab w:val="clear" w:pos="78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投标供应商可根据采购文件中的采购内容及要求以及商务技术评分表，提供投标供应商认为需要提供的文件和资料。</w:t>
      </w:r>
    </w:p>
    <w:p>
      <w:pPr>
        <w:numPr>
          <w:ilvl w:val="0"/>
          <w:numId w:val="8"/>
        </w:numPr>
        <w:tabs>
          <w:tab w:val="clear" w:pos="78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供应商可在投标文件中对采购文件中的技术要求选用替代标准、补充或更改，但这些替代标准及补充更改必须相当于或优于采购文件中提出的相应技术要求，并使采购人满意。同时在技术偏离表中作出详细说明。</w:t>
      </w: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 报价文件</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2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7229"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1241"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229"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开标一览表</w:t>
            </w:r>
          </w:p>
        </w:tc>
        <w:tc>
          <w:tcPr>
            <w:tcW w:w="1241"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229" w:type="dxa"/>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投标分项报价表</w:t>
            </w:r>
          </w:p>
        </w:tc>
        <w:tc>
          <w:tcPr>
            <w:tcW w:w="1241" w:type="dxa"/>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附件四</w:t>
            </w:r>
          </w:p>
        </w:tc>
      </w:tr>
    </w:tbl>
    <w:p>
      <w:pPr>
        <w:numPr>
          <w:ilvl w:val="1"/>
          <w:numId w:val="7"/>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投标文件形式</w:t>
      </w:r>
    </w:p>
    <w:p>
      <w:pPr>
        <w:numPr>
          <w:ilvl w:val="0"/>
          <w:numId w:val="9"/>
        </w:numPr>
        <w:tabs>
          <w:tab w:val="clear" w:pos="53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投标供应商应根据采购文件中所提供的格式，内容按顺序填写并装订成册；</w:t>
      </w:r>
    </w:p>
    <w:p>
      <w:pPr>
        <w:numPr>
          <w:ilvl w:val="0"/>
          <w:numId w:val="9"/>
        </w:numPr>
        <w:tabs>
          <w:tab w:val="clear" w:pos="53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商务技术文件与报价文件分别包装于各自不透明的标函袋中，标函袋不做统一要求。</w:t>
      </w:r>
    </w:p>
    <w:p>
      <w:pPr>
        <w:numPr>
          <w:ilvl w:val="0"/>
          <w:numId w:val="9"/>
        </w:numPr>
        <w:tabs>
          <w:tab w:val="clear" w:pos="530"/>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投标文件应有目录以及页码，以便评委检索；</w:t>
      </w:r>
    </w:p>
    <w:p>
      <w:pPr>
        <w:numPr>
          <w:ilvl w:val="0"/>
          <w:numId w:val="5"/>
        </w:numPr>
        <w:tabs>
          <w:tab w:val="left" w:pos="0"/>
        </w:tabs>
        <w:spacing w:line="360" w:lineRule="auto"/>
        <w:rPr>
          <w:rFonts w:ascii="宋体" w:hAnsi="宋体" w:cs="宋体"/>
          <w:color w:val="auto"/>
          <w:szCs w:val="21"/>
          <w:highlight w:val="none"/>
        </w:rPr>
      </w:pPr>
      <w:r>
        <w:rPr>
          <w:rFonts w:hint="eastAsia" w:ascii="宋体" w:hAnsi="宋体" w:cs="宋体"/>
          <w:bCs/>
          <w:color w:val="auto"/>
          <w:szCs w:val="21"/>
          <w:highlight w:val="none"/>
        </w:rPr>
        <w:t>投标报价</w:t>
      </w:r>
    </w:p>
    <w:p>
      <w:pPr>
        <w:spacing w:line="360" w:lineRule="auto"/>
        <w:ind w:left="11" w:hanging="11" w:hangingChars="5"/>
        <w:rPr>
          <w:rFonts w:ascii="宋体" w:hAnsi="宋体" w:cs="宋体"/>
          <w:b/>
          <w:bCs/>
          <w:color w:val="auto"/>
          <w:szCs w:val="21"/>
          <w:highlight w:val="none"/>
          <w:u w:val="single"/>
        </w:rPr>
      </w:pPr>
      <w:r>
        <w:rPr>
          <w:rFonts w:hint="eastAsia" w:ascii="宋体" w:hAnsi="宋体" w:cs="宋体"/>
          <w:b/>
          <w:bCs/>
          <w:color w:val="auto"/>
          <w:szCs w:val="21"/>
          <w:highlight w:val="none"/>
        </w:rPr>
        <w:t>4.1▲</w:t>
      </w:r>
      <w:r>
        <w:rPr>
          <w:rFonts w:hint="eastAsia" w:ascii="宋体" w:hAnsi="宋体" w:cs="宋体"/>
          <w:b/>
          <w:bCs/>
          <w:color w:val="auto"/>
          <w:szCs w:val="21"/>
          <w:highlight w:val="none"/>
          <w:u w:val="single"/>
        </w:rPr>
        <w:t>投标报价</w:t>
      </w:r>
      <w:r>
        <w:rPr>
          <w:rFonts w:hint="eastAsia" w:ascii="宋体" w:hAnsi="宋体" w:cs="宋体"/>
          <w:b/>
          <w:color w:val="auto"/>
          <w:szCs w:val="21"/>
          <w:highlight w:val="none"/>
          <w:u w:val="single"/>
        </w:rPr>
        <w:t>是指为完成本项目所需的全部费用，包含税金、管理费、利润、风险费等一切成本及费用（包括采购代理服务费）。供应商应根据上述因素自行考虑含入总价。实行固定费用总包干，投标供应商应根据上述因素自行考虑含入总报价。</w:t>
      </w:r>
    </w:p>
    <w:p>
      <w:pPr>
        <w:tabs>
          <w:tab w:val="left" w:pos="0"/>
        </w:tabs>
        <w:spacing w:line="360" w:lineRule="auto"/>
        <w:rPr>
          <w:rFonts w:ascii="宋体" w:hAnsi="宋体" w:cs="宋体"/>
          <w:color w:val="auto"/>
          <w:szCs w:val="21"/>
          <w:highlight w:val="none"/>
        </w:rPr>
      </w:pPr>
      <w:r>
        <w:rPr>
          <w:rFonts w:hint="eastAsia" w:ascii="宋体" w:hAnsi="宋体" w:cs="宋体"/>
          <w:b/>
          <w:bCs/>
          <w:color w:val="auto"/>
          <w:szCs w:val="21"/>
          <w:highlight w:val="none"/>
        </w:rPr>
        <w:t>4.2</w:t>
      </w:r>
      <w:r>
        <w:rPr>
          <w:rFonts w:hint="eastAsia" w:ascii="宋体" w:hAnsi="宋体" w:cs="宋体"/>
          <w:color w:val="auto"/>
          <w:szCs w:val="21"/>
          <w:highlight w:val="none"/>
        </w:rPr>
        <w:t>投标供应商必须按第三部分附件的开标一览表、投标分项报价表（统一格式）的内容填写投标报价及其他事项，并由法定代表人或授权代表签署。</w:t>
      </w:r>
    </w:p>
    <w:p>
      <w:pPr>
        <w:tabs>
          <w:tab w:val="left" w:pos="0"/>
        </w:tabs>
        <w:spacing w:line="360" w:lineRule="auto"/>
        <w:rPr>
          <w:rFonts w:ascii="宋体" w:hAnsi="宋体" w:cs="宋体"/>
          <w:color w:val="auto"/>
          <w:szCs w:val="21"/>
          <w:highlight w:val="none"/>
        </w:rPr>
      </w:pPr>
      <w:r>
        <w:rPr>
          <w:rFonts w:hint="eastAsia" w:ascii="宋体" w:hAnsi="宋体" w:cs="宋体"/>
          <w:b/>
          <w:bCs/>
          <w:color w:val="auto"/>
          <w:szCs w:val="21"/>
          <w:highlight w:val="none"/>
        </w:rPr>
        <w:t>4.3</w:t>
      </w:r>
      <w:r>
        <w:rPr>
          <w:rFonts w:hint="eastAsia" w:ascii="宋体" w:hAnsi="宋体" w:cs="宋体"/>
          <w:color w:val="auto"/>
          <w:szCs w:val="21"/>
          <w:highlight w:val="none"/>
        </w:rPr>
        <w:t>所有投标均以人民币报价。</w:t>
      </w:r>
    </w:p>
    <w:p>
      <w:pPr>
        <w:tabs>
          <w:tab w:val="left" w:pos="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rPr>
        <w:t>4.4▲</w:t>
      </w:r>
      <w:r>
        <w:rPr>
          <w:rFonts w:hint="eastAsia" w:ascii="宋体" w:hAnsi="宋体" w:cs="宋体"/>
          <w:b/>
          <w:color w:val="auto"/>
          <w:szCs w:val="21"/>
          <w:highlight w:val="none"/>
          <w:u w:val="single"/>
        </w:rPr>
        <w:t>采购人不接受任何选择报价，只允许一个报价。</w:t>
      </w:r>
    </w:p>
    <w:p>
      <w:pPr>
        <w:tabs>
          <w:tab w:val="left" w:pos="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4.5▲</w:t>
      </w:r>
      <w:r>
        <w:rPr>
          <w:rFonts w:hint="eastAsia" w:ascii="宋体" w:hAnsi="宋体" w:cs="宋体"/>
          <w:b/>
          <w:color w:val="auto"/>
          <w:szCs w:val="21"/>
          <w:highlight w:val="none"/>
          <w:u w:val="single"/>
        </w:rPr>
        <w:t>本项目设最高限价，最高限价为：人民币</w:t>
      </w: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620000 \* CHINESENUM4 \* MERGEFORMAT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贰拾伍万元整</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（¥250000元），投标人的投标报价高于最高限价的为无效投标报价，其投标按无效投标处理。</w:t>
      </w:r>
    </w:p>
    <w:p>
      <w:pPr>
        <w:tabs>
          <w:tab w:val="left" w:pos="0"/>
        </w:tabs>
        <w:spacing w:line="360" w:lineRule="auto"/>
        <w:rPr>
          <w:rFonts w:ascii="宋体" w:hAnsi="宋体" w:cs="宋体"/>
          <w:b/>
          <w:bCs/>
          <w:color w:val="auto"/>
          <w:szCs w:val="21"/>
          <w:highlight w:val="none"/>
          <w:u w:val="single"/>
        </w:rPr>
      </w:pPr>
      <w:r>
        <w:rPr>
          <w:rFonts w:hint="eastAsia" w:ascii="宋体" w:hAnsi="宋体" w:cs="宋体"/>
          <w:b/>
          <w:bCs/>
          <w:color w:val="auto"/>
          <w:szCs w:val="21"/>
          <w:highlight w:val="none"/>
        </w:rPr>
        <w:t>4.6</w:t>
      </w:r>
      <w:r>
        <w:rPr>
          <w:rFonts w:hint="eastAsia" w:ascii="宋体" w:hAnsi="宋体" w:cs="宋体"/>
          <w:b/>
          <w:color w:val="auto"/>
          <w:szCs w:val="21"/>
          <w:highlight w:val="none"/>
        </w:rPr>
        <w:t>最低报价不能作为中标的保证。</w:t>
      </w:r>
    </w:p>
    <w:p>
      <w:pPr>
        <w:numPr>
          <w:ilvl w:val="0"/>
          <w:numId w:val="5"/>
        </w:numPr>
        <w:tabs>
          <w:tab w:val="left" w:pos="0"/>
        </w:tabs>
        <w:spacing w:line="360" w:lineRule="auto"/>
        <w:rPr>
          <w:rFonts w:ascii="宋体" w:hAnsi="宋体" w:cs="宋体"/>
          <w:color w:val="auto"/>
          <w:szCs w:val="21"/>
          <w:highlight w:val="none"/>
        </w:rPr>
      </w:pPr>
      <w:r>
        <w:rPr>
          <w:rFonts w:hint="eastAsia" w:ascii="宋体" w:hAnsi="宋体" w:cs="宋体"/>
          <w:bCs/>
          <w:color w:val="auto"/>
          <w:szCs w:val="21"/>
          <w:highlight w:val="none"/>
        </w:rPr>
        <w:t>投标保证金</w:t>
      </w:r>
    </w:p>
    <w:p>
      <w:pPr>
        <w:numPr>
          <w:ilvl w:val="1"/>
          <w:numId w:val="10"/>
        </w:numPr>
        <w:tabs>
          <w:tab w:val="clear" w:pos="992"/>
        </w:tabs>
        <w:spacing w:line="360" w:lineRule="auto"/>
        <w:ind w:left="12" w:hanging="12"/>
        <w:rPr>
          <w:rFonts w:ascii="宋体" w:hAnsi="宋体" w:cs="宋体"/>
          <w:b/>
          <w:color w:val="auto"/>
          <w:szCs w:val="21"/>
          <w:highlight w:val="none"/>
        </w:rPr>
      </w:pPr>
      <w:r>
        <w:rPr>
          <w:rFonts w:hint="eastAsia" w:ascii="宋体" w:hAnsi="宋体" w:cs="宋体"/>
          <w:b/>
          <w:color w:val="auto"/>
          <w:szCs w:val="21"/>
          <w:highlight w:val="none"/>
        </w:rPr>
        <w:t>详见前附表。</w:t>
      </w:r>
    </w:p>
    <w:p>
      <w:pPr>
        <w:numPr>
          <w:ilvl w:val="0"/>
          <w:numId w:val="5"/>
        </w:numPr>
        <w:tabs>
          <w:tab w:val="left" w:pos="0"/>
        </w:tabs>
        <w:spacing w:line="360" w:lineRule="auto"/>
        <w:rPr>
          <w:rFonts w:ascii="宋体" w:hAnsi="宋体" w:cs="宋体"/>
          <w:b/>
          <w:color w:val="auto"/>
          <w:szCs w:val="21"/>
          <w:highlight w:val="none"/>
        </w:rPr>
      </w:pPr>
      <w:r>
        <w:rPr>
          <w:rFonts w:hint="eastAsia" w:ascii="宋体" w:hAnsi="宋体" w:cs="宋体"/>
          <w:bCs/>
          <w:color w:val="auto"/>
          <w:szCs w:val="21"/>
          <w:highlight w:val="none"/>
        </w:rPr>
        <w:t>投标有效期</w:t>
      </w:r>
    </w:p>
    <w:p>
      <w:pPr>
        <w:numPr>
          <w:ilvl w:val="1"/>
          <w:numId w:val="11"/>
        </w:numPr>
        <w:tabs>
          <w:tab w:val="clear" w:pos="992"/>
        </w:tabs>
        <w:spacing w:line="360" w:lineRule="auto"/>
        <w:ind w:left="12" w:hanging="12"/>
        <w:rPr>
          <w:rFonts w:ascii="宋体" w:hAnsi="宋体" w:cs="宋体"/>
          <w:color w:val="auto"/>
          <w:szCs w:val="21"/>
          <w:highlight w:val="none"/>
        </w:rPr>
      </w:pPr>
      <w:r>
        <w:rPr>
          <w:rFonts w:hint="eastAsia" w:ascii="宋体" w:hAnsi="宋体" w:cs="宋体"/>
          <w:b/>
          <w:color w:val="auto"/>
          <w:szCs w:val="21"/>
          <w:highlight w:val="none"/>
        </w:rPr>
        <w:t>自开标之日起</w:t>
      </w:r>
      <w:r>
        <w:rPr>
          <w:rFonts w:hint="eastAsia" w:ascii="宋体" w:hAnsi="宋体" w:cs="宋体"/>
          <w:b/>
          <w:color w:val="auto"/>
          <w:szCs w:val="21"/>
          <w:highlight w:val="none"/>
          <w:u w:val="single"/>
        </w:rPr>
        <w:t xml:space="preserve"> 90</w:t>
      </w:r>
      <w:r>
        <w:rPr>
          <w:rFonts w:hint="eastAsia" w:ascii="宋体" w:hAnsi="宋体" w:cs="宋体"/>
          <w:b/>
          <w:color w:val="auto"/>
          <w:szCs w:val="21"/>
          <w:highlight w:val="none"/>
        </w:rPr>
        <w:t>天内投标应保持有效。投标有效期短于这个规定期限的投标将视为非响应性投标而予以拒绝。</w:t>
      </w:r>
    </w:p>
    <w:p>
      <w:pPr>
        <w:numPr>
          <w:ilvl w:val="1"/>
          <w:numId w:val="11"/>
        </w:numPr>
        <w:tabs>
          <w:tab w:val="clear" w:pos="992"/>
        </w:tabs>
        <w:spacing w:line="360" w:lineRule="auto"/>
        <w:ind w:left="12" w:hanging="12"/>
        <w:rPr>
          <w:rFonts w:ascii="宋体" w:hAnsi="宋体" w:cs="宋体"/>
          <w:color w:val="auto"/>
          <w:szCs w:val="21"/>
          <w:highlight w:val="none"/>
        </w:rPr>
      </w:pPr>
      <w:r>
        <w:rPr>
          <w:rFonts w:hint="eastAsia" w:ascii="宋体" w:hAnsi="宋体" w:cs="宋体"/>
          <w:color w:val="auto"/>
          <w:szCs w:val="21"/>
          <w:highlight w:val="none"/>
        </w:rPr>
        <w:t>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5"/>
        </w:numPr>
        <w:tabs>
          <w:tab w:val="left" w:pos="0"/>
        </w:tabs>
        <w:spacing w:line="360" w:lineRule="auto"/>
        <w:rPr>
          <w:rFonts w:ascii="宋体" w:hAnsi="宋体" w:cs="宋体"/>
          <w:color w:val="auto"/>
          <w:szCs w:val="21"/>
          <w:highlight w:val="none"/>
        </w:rPr>
      </w:pPr>
      <w:r>
        <w:rPr>
          <w:rFonts w:hint="eastAsia" w:ascii="宋体" w:hAnsi="宋体" w:cs="宋体"/>
          <w:bCs/>
          <w:color w:val="auto"/>
          <w:szCs w:val="21"/>
          <w:highlight w:val="none"/>
        </w:rPr>
        <w:t>投标文件的签署和规定</w:t>
      </w:r>
    </w:p>
    <w:p>
      <w:pPr>
        <w:numPr>
          <w:ilvl w:val="1"/>
          <w:numId w:val="12"/>
        </w:numPr>
        <w:tabs>
          <w:tab w:val="clear" w:pos="992"/>
        </w:tabs>
        <w:spacing w:line="360" w:lineRule="auto"/>
        <w:ind w:left="0" w:firstLine="0"/>
        <w:rPr>
          <w:rFonts w:ascii="宋体" w:hAnsi="宋体" w:cs="宋体"/>
          <w:color w:val="auto"/>
          <w:szCs w:val="21"/>
          <w:highlight w:val="none"/>
          <w:u w:val="single"/>
        </w:rPr>
      </w:pPr>
      <w:r>
        <w:rPr>
          <w:rFonts w:hint="eastAsia" w:ascii="宋体" w:hAnsi="宋体" w:cs="宋体"/>
          <w:b/>
          <w:color w:val="auto"/>
          <w:szCs w:val="21"/>
          <w:highlight w:val="none"/>
          <w:u w:val="single"/>
        </w:rPr>
        <w:t>投标供应商应提供投标文件资格商务技术文件、报价文件各一式四份的投标文件，分别装订成册，且单独密封装订（正本与副本允许合并密封）。其中纸质投标文件正本一份、副本四份，共五份。每套投标文件的封面应清楚标明“正本”或“副本”字样，若“正本”与“副本”不符，以“正本”为准。无论中标与否，投标文件均不退还。</w:t>
      </w:r>
    </w:p>
    <w:p>
      <w:pPr>
        <w:numPr>
          <w:ilvl w:val="1"/>
          <w:numId w:val="12"/>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投标文件的正本必须打印或用不褪色的墨水书写，并由法定代表人或其授权代表签署，副本可用正本的复印。</w:t>
      </w:r>
    </w:p>
    <w:p>
      <w:pPr>
        <w:numPr>
          <w:ilvl w:val="1"/>
          <w:numId w:val="12"/>
        </w:numPr>
        <w:tabs>
          <w:tab w:val="clear" w:pos="992"/>
        </w:tabs>
        <w:spacing w:line="360" w:lineRule="auto"/>
        <w:ind w:left="0" w:firstLine="0"/>
        <w:rPr>
          <w:rFonts w:ascii="宋体" w:hAnsi="宋体" w:cs="宋体"/>
          <w:color w:val="auto"/>
          <w:szCs w:val="21"/>
          <w:highlight w:val="none"/>
        </w:rPr>
      </w:pPr>
      <w:r>
        <w:rPr>
          <w:rFonts w:hint="eastAsia" w:ascii="宋体" w:hAnsi="宋体" w:cs="宋体"/>
          <w:b/>
          <w:color w:val="auto"/>
          <w:szCs w:val="21"/>
          <w:highlight w:val="none"/>
        </w:rPr>
        <w:t>投标文件如有修改和增删必须由投标文件签字人在修改和增删处旁签署或盖章，方才有效。</w:t>
      </w:r>
    </w:p>
    <w:p>
      <w:pPr>
        <w:numPr>
          <w:ilvl w:val="1"/>
          <w:numId w:val="12"/>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投标文件字迹模糊或在关键的技术、商务条款上表述不清楚，将可能导致其投标被拒绝。</w:t>
      </w:r>
    </w:p>
    <w:p>
      <w:pPr>
        <w:numPr>
          <w:ilvl w:val="0"/>
          <w:numId w:val="5"/>
        </w:numPr>
        <w:tabs>
          <w:tab w:val="left" w:pos="0"/>
        </w:tabs>
        <w:spacing w:line="360" w:lineRule="auto"/>
        <w:rPr>
          <w:rFonts w:ascii="宋体" w:hAnsi="宋体" w:cs="宋体"/>
          <w:color w:val="auto"/>
          <w:szCs w:val="21"/>
          <w:highlight w:val="none"/>
        </w:rPr>
      </w:pPr>
      <w:r>
        <w:rPr>
          <w:rFonts w:hint="eastAsia" w:ascii="宋体" w:hAnsi="宋体" w:cs="宋体"/>
          <w:bCs/>
          <w:color w:val="auto"/>
          <w:szCs w:val="21"/>
          <w:highlight w:val="none"/>
        </w:rPr>
        <w:t>投标文件的密封及标记</w:t>
      </w:r>
    </w:p>
    <w:p>
      <w:pPr>
        <w:numPr>
          <w:ilvl w:val="1"/>
          <w:numId w:val="13"/>
        </w:numPr>
        <w:tabs>
          <w:tab w:val="clear" w:pos="992"/>
        </w:tabs>
        <w:spacing w:line="360" w:lineRule="auto"/>
        <w:ind w:left="0" w:firstLine="0"/>
        <w:rPr>
          <w:rFonts w:ascii="宋体" w:hAnsi="宋体" w:cs="宋体"/>
          <w:color w:val="auto"/>
          <w:szCs w:val="21"/>
          <w:highlight w:val="none"/>
        </w:rPr>
      </w:pPr>
      <w:r>
        <w:rPr>
          <w:rFonts w:hint="eastAsia" w:ascii="宋体" w:hAnsi="宋体" w:cs="宋体"/>
          <w:b/>
          <w:color w:val="auto"/>
          <w:szCs w:val="21"/>
          <w:highlight w:val="none"/>
        </w:rPr>
        <w:t>投标供应商须将投标文件的“资格商务技术文件”、“报价文件”单独密封，且在各自的密封袋上标明“资格商务技术文件”、“报价文件”字样。</w:t>
      </w:r>
      <w:r>
        <w:rPr>
          <w:rFonts w:hint="eastAsia" w:ascii="宋体" w:hAnsi="宋体" w:cs="宋体"/>
          <w:color w:val="auto"/>
          <w:szCs w:val="21"/>
          <w:highlight w:val="none"/>
        </w:rPr>
        <w:t>封口处贴上封条，启封处加盖投标单位公章。封皮上写明投标采购项目、采购编号，并注明“开标时启封”字样。</w:t>
      </w:r>
    </w:p>
    <w:p>
      <w:pPr>
        <w:numPr>
          <w:ilvl w:val="1"/>
          <w:numId w:val="13"/>
        </w:numPr>
        <w:tabs>
          <w:tab w:val="clear" w:pos="992"/>
        </w:tabs>
        <w:spacing w:line="360" w:lineRule="auto"/>
        <w:ind w:left="0" w:firstLine="0"/>
        <w:rPr>
          <w:rFonts w:ascii="宋体" w:hAnsi="宋体" w:cs="宋体"/>
          <w:color w:val="auto"/>
          <w:szCs w:val="21"/>
          <w:highlight w:val="none"/>
          <w:u w:val="single"/>
        </w:rPr>
      </w:pPr>
      <w:r>
        <w:rPr>
          <w:rFonts w:hint="eastAsia" w:ascii="宋体" w:hAnsi="宋体" w:cs="宋体"/>
          <w:b/>
          <w:color w:val="auto"/>
          <w:szCs w:val="21"/>
          <w:highlight w:val="none"/>
          <w:u w:val="single"/>
        </w:rPr>
        <w:t>如果投标供应商未按上述要求密封及加写标记，采购人对投标文件的误投和提前启封不负责任。</w:t>
      </w:r>
    </w:p>
    <w:p>
      <w:pPr>
        <w:spacing w:before="200" w:after="200" w:line="360" w:lineRule="auto"/>
        <w:jc w:val="center"/>
        <w:outlineLvl w:val="1"/>
        <w:rPr>
          <w:rFonts w:ascii="宋体" w:hAnsi="宋体" w:cs="宋体"/>
          <w:color w:val="auto"/>
          <w:szCs w:val="21"/>
          <w:highlight w:val="none"/>
        </w:rPr>
      </w:pPr>
      <w:bookmarkStart w:id="90" w:name="_Toc221423619"/>
      <w:bookmarkStart w:id="91" w:name="_Toc241404202"/>
      <w:bookmarkStart w:id="92" w:name="_Toc249758864"/>
      <w:bookmarkStart w:id="93" w:name="_Toc262049418"/>
      <w:bookmarkStart w:id="94" w:name="_Toc29521"/>
      <w:bookmarkStart w:id="95" w:name="_Toc239145354"/>
      <w:bookmarkStart w:id="96" w:name="_Toc262105503"/>
      <w:bookmarkStart w:id="97" w:name="_Toc222114879"/>
      <w:bookmarkStart w:id="98" w:name="_Toc245722281"/>
      <w:bookmarkStart w:id="99" w:name="_Toc221374626"/>
      <w:bookmarkStart w:id="100" w:name="_Toc17939"/>
      <w:bookmarkStart w:id="101" w:name="_Toc221356887"/>
      <w:bookmarkStart w:id="102" w:name="_Toc221356951"/>
      <w:bookmarkStart w:id="103" w:name="_Toc245191314"/>
      <w:bookmarkStart w:id="104" w:name="_Toc246261265"/>
      <w:bookmarkStart w:id="105" w:name="_Toc249758712"/>
      <w:bookmarkStart w:id="106" w:name="_Toc223715998"/>
      <w:r>
        <w:rPr>
          <w:rFonts w:hint="eastAsia" w:ascii="宋体" w:hAnsi="宋体" w:cs="宋体"/>
          <w:b/>
          <w:bCs/>
          <w:color w:val="auto"/>
          <w:szCs w:val="21"/>
          <w:highlight w:val="none"/>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numPr>
          <w:ilvl w:val="0"/>
          <w:numId w:val="14"/>
        </w:numPr>
        <w:tabs>
          <w:tab w:val="left" w:pos="0"/>
        </w:tabs>
        <w:spacing w:line="360" w:lineRule="auto"/>
        <w:outlineLvl w:val="2"/>
        <w:rPr>
          <w:rFonts w:ascii="宋体" w:hAnsi="宋体" w:cs="宋体"/>
          <w:b/>
          <w:color w:val="auto"/>
          <w:szCs w:val="21"/>
          <w:highlight w:val="none"/>
        </w:rPr>
      </w:pPr>
      <w:bookmarkStart w:id="107" w:name="_Toc5604"/>
      <w:bookmarkStart w:id="108" w:name="_Toc239145355"/>
      <w:bookmarkStart w:id="109" w:name="_Toc241404203"/>
      <w:bookmarkStart w:id="110" w:name="_Toc245722282"/>
      <w:bookmarkStart w:id="111" w:name="_Toc245191315"/>
      <w:bookmarkStart w:id="112" w:name="_Toc222114880"/>
      <w:bookmarkStart w:id="113" w:name="_Toc221423620"/>
      <w:bookmarkStart w:id="114" w:name="_Toc223715999"/>
      <w:bookmarkStart w:id="115" w:name="_Toc249758713"/>
      <w:bookmarkStart w:id="116" w:name="_Toc249758865"/>
      <w:bookmarkStart w:id="117" w:name="_Toc262105504"/>
      <w:bookmarkStart w:id="118" w:name="_Toc262049419"/>
      <w:bookmarkStart w:id="119" w:name="_Toc221356888"/>
      <w:bookmarkStart w:id="120" w:name="_Toc221356952"/>
      <w:bookmarkStart w:id="121" w:name="_Toc221374627"/>
      <w:bookmarkStart w:id="122" w:name="_Toc246261266"/>
      <w:r>
        <w:rPr>
          <w:rFonts w:hint="eastAsia" w:ascii="宋体" w:hAnsi="宋体" w:cs="宋体"/>
          <w:bCs/>
          <w:color w:val="auto"/>
          <w:szCs w:val="21"/>
          <w:highlight w:val="none"/>
        </w:rPr>
        <w:t>投标文件的递交</w:t>
      </w:r>
      <w:bookmarkEnd w:id="107"/>
    </w:p>
    <w:p>
      <w:pPr>
        <w:numPr>
          <w:ilvl w:val="1"/>
          <w:numId w:val="15"/>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▲投标人选择以下两种方式之一提交投标文件：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①投标文件在规定时间前派人送达指定的投标地点。投标文件在截止时间后提交，采购人将拒绝接收。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②因疫情原因，投标人无法到达现场时，投标人可采用邮寄的方式送达（接收地址：温州信达交通工程试验检测有限公司四楼会议室（温州市永嘉县瓯北镇和三村瓯北绕城高速收费站内），接收人：李先生；联系电话：0577-89780959，13336010893），时间以邮寄送达时间为准，投标文件送达时间在投标截止时间后，采购人将拒绝接收。</w:t>
      </w:r>
    </w:p>
    <w:p>
      <w:pPr>
        <w:numPr>
          <w:ilvl w:val="1"/>
          <w:numId w:val="15"/>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u w:val="single"/>
        </w:rPr>
        <w:t>投标供应商如是法定代表人或个体工商户经营者参加投标的，同时递交法定代表人有效身份证明（原件）、企业/事业单位法人营业执照或个体工商户营业执照复印件（加盖公章），由采购人或代理机构确认投标资格</w:t>
      </w:r>
      <w:r>
        <w:rPr>
          <w:rFonts w:hint="eastAsia" w:ascii="宋体" w:hAnsi="宋体" w:cs="宋体"/>
          <w:b/>
          <w:color w:val="auto"/>
          <w:szCs w:val="21"/>
          <w:highlight w:val="none"/>
        </w:rPr>
        <w:t>；</w:t>
      </w:r>
    </w:p>
    <w:p>
      <w:pPr>
        <w:numPr>
          <w:ilvl w:val="1"/>
          <w:numId w:val="15"/>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u w:val="single"/>
        </w:rPr>
        <w:t>投标供应商如是授权代表参加投标的，同时递交法定代表人授权书（原件）、授权代表有效身份证明（原件）、企业/事业单位法人营业执照复印件（加盖公章），由采购人或代理机构确认投标资格</w:t>
      </w:r>
      <w:r>
        <w:rPr>
          <w:rFonts w:hint="eastAsia" w:ascii="宋体" w:hAnsi="宋体" w:cs="宋体"/>
          <w:b/>
          <w:color w:val="auto"/>
          <w:szCs w:val="21"/>
          <w:highlight w:val="none"/>
        </w:rPr>
        <w:t>。</w:t>
      </w:r>
    </w:p>
    <w:p>
      <w:pPr>
        <w:numPr>
          <w:ilvl w:val="1"/>
          <w:numId w:val="15"/>
        </w:numPr>
        <w:tabs>
          <w:tab w:val="clear" w:pos="992"/>
        </w:tabs>
        <w:spacing w:line="360" w:lineRule="auto"/>
        <w:ind w:left="0" w:firstLine="0"/>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u w:val="single"/>
        </w:rPr>
        <w:t>法定代表人授权书原件、企业/事业法人营业执照或或个体工商户营业执照复印件等如密封在投标文件商务技术文件中，在商务技术文件开启后经查验符合要求亦为有效。</w:t>
      </w:r>
    </w:p>
    <w:p>
      <w:pPr>
        <w:numPr>
          <w:ilvl w:val="0"/>
          <w:numId w:val="14"/>
        </w:numPr>
        <w:tabs>
          <w:tab w:val="left" w:pos="0"/>
        </w:tabs>
        <w:spacing w:line="360" w:lineRule="auto"/>
        <w:outlineLvl w:val="2"/>
        <w:rPr>
          <w:rFonts w:ascii="宋体" w:hAnsi="宋体" w:cs="宋体"/>
          <w:bCs/>
          <w:color w:val="auto"/>
          <w:szCs w:val="21"/>
          <w:highlight w:val="none"/>
        </w:rPr>
      </w:pPr>
      <w:bookmarkStart w:id="123" w:name="_Toc6631"/>
      <w:r>
        <w:rPr>
          <w:rFonts w:hint="eastAsia" w:ascii="宋体" w:hAnsi="宋体" w:cs="宋体"/>
          <w:bCs/>
          <w:color w:val="auto"/>
          <w:szCs w:val="21"/>
          <w:highlight w:val="none"/>
        </w:rPr>
        <w:t>投标文件的修改和撤回</w:t>
      </w:r>
      <w:bookmarkEnd w:id="123"/>
    </w:p>
    <w:p>
      <w:pPr>
        <w:numPr>
          <w:ilvl w:val="1"/>
          <w:numId w:val="16"/>
        </w:numPr>
        <w:tabs>
          <w:tab w:val="clear" w:pos="992"/>
        </w:tabs>
        <w:spacing w:line="360" w:lineRule="auto"/>
        <w:ind w:left="0" w:firstLine="0"/>
        <w:rPr>
          <w:rFonts w:ascii="宋体" w:hAnsi="宋体" w:cs="宋体"/>
          <w:bCs/>
          <w:color w:val="auto"/>
          <w:szCs w:val="21"/>
          <w:highlight w:val="none"/>
        </w:rPr>
      </w:pPr>
      <w:r>
        <w:rPr>
          <w:rFonts w:hint="eastAsia" w:ascii="宋体" w:hAnsi="宋体" w:cs="宋体"/>
          <w:b/>
          <w:color w:val="auto"/>
          <w:szCs w:val="21"/>
          <w:highlight w:val="none"/>
        </w:rPr>
        <w:t>在投标截止时间前，投标供应商可以用书面形式提出修改或撤回其投标并送达到采购人，但不得影响开标活动的正常进行。</w:t>
      </w:r>
    </w:p>
    <w:p>
      <w:pPr>
        <w:numPr>
          <w:ilvl w:val="1"/>
          <w:numId w:val="16"/>
        </w:numPr>
        <w:tabs>
          <w:tab w:val="clear" w:pos="992"/>
        </w:tabs>
        <w:spacing w:line="360" w:lineRule="auto"/>
        <w:ind w:left="0" w:firstLine="0"/>
        <w:rPr>
          <w:rFonts w:ascii="宋体" w:hAnsi="宋体" w:cs="宋体"/>
          <w:color w:val="auto"/>
          <w:szCs w:val="21"/>
          <w:highlight w:val="none"/>
        </w:rPr>
      </w:pPr>
      <w:r>
        <w:rPr>
          <w:rFonts w:hint="eastAsia" w:ascii="宋体" w:hAnsi="宋体" w:cs="宋体"/>
          <w:bCs/>
          <w:color w:val="auto"/>
          <w:szCs w:val="21"/>
          <w:highlight w:val="none"/>
        </w:rPr>
        <w:t>“投标文件修改”或“投标文件撤回通知”都应密封并在密封袋上写明投标采购项目、采购编号、投标单位名称，并注明“投标文件修改”或“投标文件撤回通知”字样。</w:t>
      </w:r>
    </w:p>
    <w:p>
      <w:pPr>
        <w:numPr>
          <w:ilvl w:val="1"/>
          <w:numId w:val="16"/>
        </w:numPr>
        <w:tabs>
          <w:tab w:val="clear" w:pos="992"/>
        </w:tabs>
        <w:spacing w:line="360" w:lineRule="auto"/>
        <w:ind w:left="0" w:firstLine="0"/>
        <w:rPr>
          <w:rFonts w:ascii="宋体" w:hAnsi="宋体" w:cs="宋体"/>
          <w:color w:val="auto"/>
          <w:szCs w:val="21"/>
          <w:highlight w:val="none"/>
        </w:rPr>
      </w:pPr>
      <w:r>
        <w:rPr>
          <w:rFonts w:hint="eastAsia" w:ascii="宋体" w:hAnsi="宋体" w:cs="宋体"/>
          <w:bCs/>
          <w:color w:val="auto"/>
          <w:szCs w:val="21"/>
          <w:highlight w:val="none"/>
        </w:rPr>
        <w:t>从投标截止日期起至投标有效期满这段时间内，投标供应商不得撤回其投标，否则投标保证金将</w:t>
      </w:r>
      <w:r>
        <w:rPr>
          <w:rFonts w:hint="eastAsia" w:ascii="宋体" w:hAnsi="宋体" w:cs="宋体"/>
          <w:color w:val="auto"/>
          <w:szCs w:val="21"/>
          <w:highlight w:val="none"/>
        </w:rPr>
        <w:t>被不予退还。</w:t>
      </w:r>
    </w:p>
    <w:p>
      <w:pPr>
        <w:numPr>
          <w:ilvl w:val="0"/>
          <w:numId w:val="14"/>
        </w:numPr>
        <w:tabs>
          <w:tab w:val="left" w:pos="0"/>
        </w:tabs>
        <w:spacing w:line="360" w:lineRule="auto"/>
        <w:outlineLvl w:val="2"/>
        <w:rPr>
          <w:rFonts w:ascii="宋体" w:hAnsi="宋体" w:cs="宋体"/>
          <w:b/>
          <w:color w:val="auto"/>
          <w:szCs w:val="21"/>
          <w:highlight w:val="none"/>
        </w:rPr>
      </w:pPr>
      <w:bookmarkStart w:id="124" w:name="_Toc18986"/>
      <w:r>
        <w:rPr>
          <w:rFonts w:hint="eastAsia" w:ascii="宋体" w:hAnsi="宋体" w:cs="宋体"/>
          <w:b/>
          <w:color w:val="auto"/>
          <w:szCs w:val="21"/>
          <w:highlight w:val="none"/>
          <w:u w:val="single"/>
        </w:rPr>
        <w:t>▲</w:t>
      </w:r>
      <w:r>
        <w:rPr>
          <w:rFonts w:hint="eastAsia" w:ascii="宋体" w:hAnsi="宋体" w:cs="宋体"/>
          <w:b/>
          <w:bCs/>
          <w:color w:val="auto"/>
          <w:szCs w:val="21"/>
          <w:highlight w:val="none"/>
          <w:u w:val="single"/>
        </w:rPr>
        <w:t>发生下列情况之一的投标文件将不予受理</w:t>
      </w:r>
      <w:r>
        <w:rPr>
          <w:rFonts w:hint="eastAsia" w:ascii="宋体" w:hAnsi="宋体" w:cs="宋体"/>
          <w:bCs/>
          <w:color w:val="auto"/>
          <w:szCs w:val="21"/>
          <w:highlight w:val="none"/>
        </w:rPr>
        <w:t>：</w:t>
      </w:r>
      <w:bookmarkEnd w:id="124"/>
    </w:p>
    <w:p>
      <w:pPr>
        <w:numPr>
          <w:ilvl w:val="1"/>
          <w:numId w:val="17"/>
        </w:numPr>
        <w:tabs>
          <w:tab w:val="clear" w:pos="992"/>
        </w:tabs>
        <w:spacing w:line="360" w:lineRule="auto"/>
        <w:ind w:left="0" w:firstLine="0"/>
        <w:rPr>
          <w:rFonts w:ascii="宋体" w:hAnsi="宋体" w:cs="宋体"/>
          <w:b/>
          <w:color w:val="auto"/>
          <w:szCs w:val="21"/>
          <w:highlight w:val="none"/>
          <w:u w:val="single"/>
        </w:rPr>
      </w:pPr>
      <w:r>
        <w:rPr>
          <w:rFonts w:hint="eastAsia" w:ascii="宋体" w:hAnsi="宋体" w:cs="宋体"/>
          <w:b/>
          <w:bCs/>
          <w:color w:val="auto"/>
          <w:szCs w:val="21"/>
          <w:highlight w:val="none"/>
          <w:u w:val="single"/>
        </w:rPr>
        <w:t>在投标截止时间以后送达的投标文件；</w:t>
      </w:r>
    </w:p>
    <w:p>
      <w:pPr>
        <w:numPr>
          <w:ilvl w:val="1"/>
          <w:numId w:val="17"/>
        </w:numPr>
        <w:tabs>
          <w:tab w:val="clear" w:pos="992"/>
        </w:tabs>
        <w:spacing w:line="360" w:lineRule="auto"/>
        <w:ind w:left="0" w:firstLine="0"/>
        <w:rPr>
          <w:rFonts w:ascii="宋体" w:hAnsi="宋体" w:cs="宋体"/>
          <w:b/>
          <w:color w:val="auto"/>
          <w:szCs w:val="21"/>
          <w:highlight w:val="none"/>
          <w:u w:val="single"/>
        </w:rPr>
      </w:pPr>
      <w:r>
        <w:rPr>
          <w:rFonts w:hint="eastAsia" w:ascii="宋体" w:hAnsi="宋体" w:cs="宋体"/>
          <w:b/>
          <w:bCs/>
          <w:color w:val="auto"/>
          <w:szCs w:val="21"/>
          <w:highlight w:val="none"/>
          <w:u w:val="single"/>
        </w:rPr>
        <w:t>未购买采购文件；</w:t>
      </w:r>
    </w:p>
    <w:p>
      <w:pPr>
        <w:numPr>
          <w:ilvl w:val="1"/>
          <w:numId w:val="17"/>
        </w:numPr>
        <w:tabs>
          <w:tab w:val="clear" w:pos="992"/>
        </w:tabs>
        <w:spacing w:line="360" w:lineRule="auto"/>
        <w:ind w:left="0" w:firstLine="0"/>
        <w:rPr>
          <w:rFonts w:ascii="宋体" w:hAnsi="宋体" w:cs="宋体"/>
          <w:b/>
          <w:color w:val="auto"/>
          <w:szCs w:val="21"/>
          <w:highlight w:val="none"/>
          <w:u w:val="single"/>
        </w:rPr>
      </w:pPr>
      <w:r>
        <w:rPr>
          <w:rFonts w:hint="eastAsia" w:ascii="宋体" w:hAnsi="宋体" w:cs="宋体"/>
          <w:b/>
          <w:color w:val="auto"/>
          <w:szCs w:val="21"/>
          <w:highlight w:val="none"/>
          <w:u w:val="single"/>
        </w:rPr>
        <w:t>未密封或未装订的投标文件及由于包装不妥在送达途中严重破损或失散的投标文件；</w:t>
      </w:r>
    </w:p>
    <w:p>
      <w:pPr>
        <w:numPr>
          <w:ilvl w:val="1"/>
          <w:numId w:val="17"/>
        </w:numPr>
        <w:tabs>
          <w:tab w:val="clear" w:pos="992"/>
        </w:tabs>
        <w:spacing w:line="360" w:lineRule="auto"/>
        <w:ind w:left="0" w:firstLine="0"/>
        <w:rPr>
          <w:rFonts w:ascii="宋体" w:hAnsi="宋体" w:cs="宋体"/>
          <w:b/>
          <w:color w:val="auto"/>
          <w:szCs w:val="21"/>
          <w:highlight w:val="none"/>
          <w:u w:val="single"/>
        </w:rPr>
      </w:pPr>
      <w:r>
        <w:rPr>
          <w:rFonts w:hint="eastAsia" w:ascii="宋体" w:hAnsi="宋体" w:cs="宋体"/>
          <w:b/>
          <w:color w:val="auto"/>
          <w:szCs w:val="21"/>
          <w:highlight w:val="none"/>
          <w:u w:val="single"/>
        </w:rPr>
        <w:t>以电讯形式递交的投标文件。</w:t>
      </w:r>
    </w:p>
    <w:p>
      <w:pPr>
        <w:tabs>
          <w:tab w:val="left" w:pos="360"/>
          <w:tab w:val="left" w:pos="540"/>
          <w:tab w:val="left" w:pos="1260"/>
        </w:tabs>
        <w:spacing w:before="200" w:after="200" w:line="360" w:lineRule="auto"/>
        <w:ind w:left="742" w:hanging="742" w:hangingChars="352"/>
        <w:jc w:val="center"/>
        <w:outlineLvl w:val="1"/>
        <w:rPr>
          <w:rFonts w:ascii="宋体" w:hAnsi="宋体" w:cs="宋体"/>
          <w:color w:val="auto"/>
          <w:szCs w:val="21"/>
          <w:highlight w:val="none"/>
        </w:rPr>
      </w:pPr>
      <w:bookmarkStart w:id="125" w:name="_Toc23233"/>
      <w:bookmarkStart w:id="126" w:name="_Toc104"/>
      <w:r>
        <w:rPr>
          <w:rFonts w:hint="eastAsia" w:ascii="宋体" w:hAnsi="宋体" w:cs="宋体"/>
          <w:b/>
          <w:bCs/>
          <w:color w:val="auto"/>
          <w:szCs w:val="21"/>
          <w:highlight w:val="none"/>
        </w:rPr>
        <w:t>五、 开标和评标</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5"/>
      <w:bookmarkEnd w:id="126"/>
    </w:p>
    <w:p>
      <w:pPr>
        <w:numPr>
          <w:ilvl w:val="0"/>
          <w:numId w:val="18"/>
        </w:numPr>
        <w:tabs>
          <w:tab w:val="left" w:pos="0"/>
        </w:tabs>
        <w:spacing w:line="360" w:lineRule="auto"/>
        <w:outlineLvl w:val="2"/>
        <w:rPr>
          <w:rFonts w:ascii="宋体" w:hAnsi="宋体" w:cs="宋体"/>
          <w:bCs/>
          <w:color w:val="auto"/>
          <w:szCs w:val="21"/>
          <w:highlight w:val="none"/>
        </w:rPr>
      </w:pPr>
      <w:bookmarkStart w:id="127" w:name="_Toc21711"/>
      <w:r>
        <w:rPr>
          <w:rFonts w:hint="eastAsia" w:ascii="宋体" w:hAnsi="宋体" w:cs="宋体"/>
          <w:bCs/>
          <w:color w:val="auto"/>
          <w:szCs w:val="21"/>
          <w:highlight w:val="none"/>
        </w:rPr>
        <w:t>评标委员会</w:t>
      </w:r>
      <w:bookmarkEnd w:id="127"/>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采购人依法组建评标委员会。评标委员会的成员在评标过程中必须严格遵守《温州市市属国有企业采购管理办法（试行）》等有关法律、法规的规定。</w:t>
      </w:r>
    </w:p>
    <w:p>
      <w:pPr>
        <w:numPr>
          <w:ilvl w:val="0"/>
          <w:numId w:val="18"/>
        </w:numPr>
        <w:tabs>
          <w:tab w:val="left" w:pos="0"/>
        </w:tabs>
        <w:spacing w:line="360" w:lineRule="auto"/>
        <w:outlineLvl w:val="2"/>
        <w:rPr>
          <w:rFonts w:ascii="宋体" w:hAnsi="宋体" w:cs="宋体"/>
          <w:bCs/>
          <w:color w:val="auto"/>
          <w:szCs w:val="21"/>
          <w:highlight w:val="none"/>
        </w:rPr>
      </w:pPr>
      <w:bookmarkStart w:id="128" w:name="_Toc19881"/>
      <w:r>
        <w:rPr>
          <w:rFonts w:hint="eastAsia" w:ascii="宋体" w:hAnsi="宋体" w:cs="宋体"/>
          <w:bCs/>
          <w:color w:val="auto"/>
          <w:szCs w:val="21"/>
          <w:highlight w:val="none"/>
        </w:rPr>
        <w:t>评标过程的保密性</w:t>
      </w:r>
      <w:bookmarkEnd w:id="128"/>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开标后直至向中标人授予合同时止，凡与评审有关的资料均不得向投标供应商及与评标无关人员透露。如果投标供应商在评标过程中试图向采购人和评标委员会施加影响，其投标将被拒绝。</w:t>
      </w:r>
    </w:p>
    <w:p>
      <w:pPr>
        <w:numPr>
          <w:ilvl w:val="0"/>
          <w:numId w:val="18"/>
        </w:numPr>
        <w:tabs>
          <w:tab w:val="left" w:pos="0"/>
        </w:tabs>
        <w:spacing w:line="360" w:lineRule="auto"/>
        <w:outlineLvl w:val="2"/>
        <w:rPr>
          <w:rFonts w:ascii="宋体" w:hAnsi="宋体" w:cs="宋体"/>
          <w:b/>
          <w:bCs/>
          <w:color w:val="auto"/>
          <w:szCs w:val="21"/>
          <w:highlight w:val="none"/>
        </w:rPr>
      </w:pPr>
      <w:bookmarkStart w:id="129" w:name="_Toc11931"/>
      <w:r>
        <w:rPr>
          <w:rFonts w:hint="eastAsia" w:ascii="宋体" w:hAnsi="宋体" w:cs="宋体"/>
          <w:bCs/>
          <w:color w:val="auto"/>
          <w:szCs w:val="21"/>
          <w:highlight w:val="none"/>
        </w:rPr>
        <w:t>开标、评标</w:t>
      </w:r>
      <w:bookmarkEnd w:id="129"/>
    </w:p>
    <w:p>
      <w:pPr>
        <w:numPr>
          <w:ilvl w:val="1"/>
          <w:numId w:val="19"/>
        </w:numPr>
        <w:tabs>
          <w:tab w:val="clear" w:pos="1277"/>
        </w:tabs>
        <w:spacing w:line="360" w:lineRule="auto"/>
        <w:ind w:left="3" w:hanging="3"/>
        <w:rPr>
          <w:rFonts w:ascii="宋体" w:hAnsi="宋体" w:cs="宋体"/>
          <w:bCs/>
          <w:color w:val="auto"/>
          <w:szCs w:val="21"/>
          <w:highlight w:val="none"/>
        </w:rPr>
      </w:pPr>
      <w:r>
        <w:rPr>
          <w:rFonts w:hint="eastAsia" w:ascii="宋体" w:hAnsi="宋体" w:cs="宋体"/>
          <w:bCs/>
          <w:color w:val="auto"/>
          <w:szCs w:val="21"/>
          <w:highlight w:val="none"/>
        </w:rPr>
        <w:t xml:space="preserve">按采购文件规定的时间、地点开启各投标供应商的投标文件。开标前，首先检查投标文件的密封情况，确认无误后开启投标文件（资格商务技术文件）。 </w:t>
      </w:r>
    </w:p>
    <w:p>
      <w:pPr>
        <w:numPr>
          <w:ilvl w:val="1"/>
          <w:numId w:val="19"/>
        </w:numPr>
        <w:tabs>
          <w:tab w:val="clear" w:pos="1277"/>
        </w:tabs>
        <w:overflowPunct w:val="0"/>
        <w:spacing w:line="360" w:lineRule="auto"/>
        <w:ind w:left="3" w:hanging="3"/>
        <w:rPr>
          <w:rFonts w:ascii="宋体" w:hAnsi="宋体" w:cs="宋体"/>
          <w:bCs/>
          <w:color w:val="auto"/>
          <w:szCs w:val="21"/>
          <w:highlight w:val="none"/>
        </w:rPr>
      </w:pPr>
      <w:r>
        <w:rPr>
          <w:rFonts w:hint="eastAsia" w:ascii="宋体" w:hAnsi="宋体" w:cs="宋体"/>
          <w:bCs/>
          <w:color w:val="auto"/>
          <w:szCs w:val="21"/>
          <w:highlight w:val="none"/>
        </w:rPr>
        <w:t>投标文件的初审。初审分为资格性审查和符合性检查。</w:t>
      </w:r>
    </w:p>
    <w:p>
      <w:pPr>
        <w:overflowPunct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rPr>
        <w:tab/>
      </w:r>
      <w:r>
        <w:rPr>
          <w:rFonts w:hint="eastAsia" w:ascii="宋体" w:hAnsi="宋体" w:cs="宋体"/>
          <w:bCs/>
          <w:color w:val="auto"/>
          <w:szCs w:val="21"/>
          <w:highlight w:val="none"/>
        </w:rPr>
        <w:t>资格性审查。</w:t>
      </w:r>
    </w:p>
    <w:p>
      <w:pPr>
        <w:pStyle w:val="53"/>
        <w:tabs>
          <w:tab w:val="left" w:pos="425"/>
        </w:tabs>
        <w:overflowPunct w:val="0"/>
        <w:spacing w:line="360" w:lineRule="auto"/>
        <w:ind w:firstLine="0" w:firstLineChars="0"/>
        <w:rPr>
          <w:rFonts w:ascii="宋体" w:hAnsi="宋体" w:cs="宋体"/>
          <w:bCs/>
          <w:color w:val="auto"/>
          <w:szCs w:val="21"/>
          <w:highlight w:val="none"/>
        </w:rPr>
      </w:pPr>
      <w:r>
        <w:rPr>
          <w:rFonts w:hint="eastAsia" w:ascii="宋体" w:hAnsi="宋体" w:cs="宋体"/>
          <w:bCs/>
          <w:color w:val="auto"/>
          <w:szCs w:val="21"/>
          <w:highlight w:val="none"/>
        </w:rPr>
        <w:t>依据法律、法规和采购文件的规定，采购人或代理机构在开启各投标供应商资格证明文件后，对各投标供应商进行投标资格审查，审查内容包括但不仅限于投标文件所提交证明材料是否能证明符合本项目对合格投标供应商的实质性要求。采购人或代理机构对投标供应商所提供的资格证明材料仅负审核的责任。如发现投标供应商所提供的资格证明材料不合法或不真实，采购人可取消其中标资格并追究法律责任。通过资格审查视作具备投标资格，审查不合格的投标文件将不进入后续详细评审。</w:t>
      </w:r>
    </w:p>
    <w:p>
      <w:pPr>
        <w:overflowPunct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符合性检查。</w:t>
      </w:r>
    </w:p>
    <w:p>
      <w:pPr>
        <w:overflowPunct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依据采购文件的规定，从投标文件中的有效性、完整性和对采购文件的响应程度进行审查。</w:t>
      </w:r>
    </w:p>
    <w:p>
      <w:pPr>
        <w:overflowPunct w:val="0"/>
        <w:spacing w:line="360" w:lineRule="auto"/>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
          <w:bCs/>
          <w:color w:val="auto"/>
          <w:szCs w:val="21"/>
          <w:highlight w:val="none"/>
        </w:rPr>
        <w:t xml:space="preserve"> </w:t>
      </w:r>
      <w:r>
        <w:rPr>
          <w:rFonts w:hint="eastAsia" w:ascii="宋体" w:hAnsi="宋体" w:cs="宋体"/>
          <w:b/>
          <w:color w:val="auto"/>
          <w:kern w:val="0"/>
          <w:szCs w:val="21"/>
          <w:highlight w:val="none"/>
        </w:rPr>
        <w:t>▲</w:t>
      </w:r>
      <w:r>
        <w:rPr>
          <w:rFonts w:hint="eastAsia" w:ascii="宋体" w:hAnsi="宋体" w:cs="宋体"/>
          <w:b/>
          <w:bCs/>
          <w:color w:val="auto"/>
          <w:szCs w:val="21"/>
          <w:highlight w:val="none"/>
          <w:u w:val="single"/>
        </w:rPr>
        <w:t>通过资格性审查与符合性审查的商务技术文件由评委进行综合评审，审查确认未通过的商务技术文件不予评审。</w:t>
      </w:r>
    </w:p>
    <w:p>
      <w:pPr>
        <w:numPr>
          <w:ilvl w:val="1"/>
          <w:numId w:val="19"/>
        </w:numPr>
        <w:tabs>
          <w:tab w:val="clear" w:pos="1277"/>
        </w:tabs>
        <w:spacing w:line="360" w:lineRule="auto"/>
        <w:ind w:left="0" w:firstLine="0"/>
        <w:rPr>
          <w:rFonts w:ascii="宋体" w:hAnsi="宋体" w:cs="宋体"/>
          <w:b/>
          <w:bCs/>
          <w:color w:val="auto"/>
          <w:szCs w:val="21"/>
          <w:highlight w:val="none"/>
          <w:u w:val="single"/>
        </w:rPr>
      </w:pP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在对各投标供应商的投标文件进行综合评审时，投标文件有下列情况之一的，经评标委员会认定后按无效标处理：</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投标文件中要求投标供应商加盖投标供应商公章的地方无投标供应商公章的；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投标文件中要求投标供应商法定代表人或授权代表签字的地方无法定代表人签字或其授权代表签字的；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不具备采购文件中规定的资格要求的；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报价超过采购文件中规定的预算金额或者最高限价的；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投标文件含有采购人不能接受的附加条件的；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经评标委员会认定投标供应商串通投标的；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同时出现两种及以上不一致价格且修正后投标供应商不确认报价的；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报价明显低于其他通过符合性审查投标供应商的报价，且在评标现场合理的时间内不能证明其报价合理性的；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szCs w:val="21"/>
          <w:highlight w:val="none"/>
          <w:u w:val="single"/>
        </w:rPr>
        <w:t>在资格商务技术文件中出现投标报价的；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授权代表</w:t>
      </w:r>
      <w:r>
        <w:rPr>
          <w:rFonts w:hint="eastAsia" w:ascii="宋体" w:hAnsi="宋体" w:cs="宋体"/>
          <w:b/>
          <w:color w:val="auto"/>
          <w:kern w:val="0"/>
          <w:szCs w:val="21"/>
          <w:highlight w:val="none"/>
          <w:u w:val="single"/>
        </w:rPr>
        <w:t>无法定代表人合法、有效委托的；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szCs w:val="21"/>
          <w:highlight w:val="none"/>
          <w:u w:val="single"/>
        </w:rPr>
        <w:t>提供了虚假文件资料，有弄虚作假行为的；</w:t>
      </w:r>
    </w:p>
    <w:p>
      <w:pPr>
        <w:numPr>
          <w:ilvl w:val="0"/>
          <w:numId w:val="20"/>
        </w:numPr>
        <w:tabs>
          <w:tab w:val="left" w:pos="0"/>
        </w:tabs>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评标委员会认定不符合法律、法规和采购文件中规定的其他实质性要求的。</w:t>
      </w:r>
    </w:p>
    <w:p>
      <w:pPr>
        <w:numPr>
          <w:ilvl w:val="1"/>
          <w:numId w:val="19"/>
        </w:numPr>
        <w:tabs>
          <w:tab w:val="clear" w:pos="1277"/>
        </w:tabs>
        <w:spacing w:line="360" w:lineRule="auto"/>
        <w:ind w:left="0" w:firstLine="0"/>
        <w:rPr>
          <w:rFonts w:ascii="宋体" w:hAnsi="宋体" w:cs="宋体"/>
          <w:b/>
          <w:bCs/>
          <w:color w:val="auto"/>
          <w:szCs w:val="21"/>
          <w:highlight w:val="none"/>
          <w:u w:val="single"/>
        </w:rPr>
      </w:pPr>
      <w:r>
        <w:rPr>
          <w:rFonts w:hint="eastAsia" w:ascii="宋体" w:hAnsi="宋体" w:cs="宋体"/>
          <w:b/>
          <w:bCs/>
          <w:color w:val="auto"/>
          <w:szCs w:val="21"/>
          <w:highlight w:val="none"/>
          <w:u w:val="single"/>
        </w:rPr>
        <w:t>▲有下列情形之一的，视为投标供应商串通投标，其投标无效：</w:t>
      </w:r>
    </w:p>
    <w:p>
      <w:pPr>
        <w:pStyle w:val="53"/>
        <w:spacing w:line="360" w:lineRule="auto"/>
        <w:ind w:firstLine="422"/>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1)不同投标供应商的投标文件由同一单位或者个人编制；</w:t>
      </w:r>
    </w:p>
    <w:p>
      <w:pPr>
        <w:pStyle w:val="53"/>
        <w:spacing w:line="360" w:lineRule="auto"/>
        <w:ind w:firstLine="422"/>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2)不同投标供应商委托同一单位或者个人办理投标事宜；</w:t>
      </w:r>
    </w:p>
    <w:p>
      <w:pPr>
        <w:pStyle w:val="53"/>
        <w:spacing w:line="360" w:lineRule="auto"/>
        <w:ind w:firstLine="422"/>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3)不同投标供应商的投标文件载明的项目管理成员或者联系人员为同一人；</w:t>
      </w:r>
    </w:p>
    <w:p>
      <w:pPr>
        <w:pStyle w:val="53"/>
        <w:spacing w:line="360" w:lineRule="auto"/>
        <w:ind w:firstLine="422"/>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4）不同投标供应商的投标文件异常一致或者投标报价呈规律性差异；</w:t>
      </w:r>
    </w:p>
    <w:p>
      <w:pPr>
        <w:pStyle w:val="53"/>
        <w:spacing w:line="360" w:lineRule="auto"/>
        <w:ind w:firstLine="422"/>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5）不同投标供应商的投标文件相互混装。</w:t>
      </w:r>
    </w:p>
    <w:p>
      <w:pPr>
        <w:numPr>
          <w:ilvl w:val="1"/>
          <w:numId w:val="19"/>
        </w:numPr>
        <w:tabs>
          <w:tab w:val="clear" w:pos="1277"/>
        </w:tabs>
        <w:spacing w:line="360" w:lineRule="auto"/>
        <w:ind w:left="0" w:firstLine="0"/>
        <w:rPr>
          <w:rFonts w:ascii="宋体" w:hAnsi="宋体" w:cs="宋体"/>
          <w:bCs/>
          <w:color w:val="auto"/>
          <w:szCs w:val="21"/>
          <w:highlight w:val="none"/>
        </w:rPr>
      </w:pPr>
      <w:r>
        <w:rPr>
          <w:rFonts w:hint="eastAsia" w:ascii="宋体" w:hAnsi="宋体" w:cs="宋体"/>
          <w:bCs/>
          <w:color w:val="auto"/>
          <w:szCs w:val="21"/>
          <w:highlight w:val="none"/>
        </w:rPr>
        <w:t>开启报价文件</w:t>
      </w:r>
    </w:p>
    <w:p>
      <w:pPr>
        <w:numPr>
          <w:ilvl w:val="0"/>
          <w:numId w:val="21"/>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开报价文件时邀请所有投标供应商代表参加，参加开标的代表应准时出席并签名报到以证明其出席。投标供应商代表未参加开标会的，事后不得对开标过程和开标结果提出异议。</w:t>
      </w:r>
    </w:p>
    <w:p>
      <w:pPr>
        <w:numPr>
          <w:ilvl w:val="0"/>
          <w:numId w:val="21"/>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宣布对各投标供应商有效身份证件、投标保证金等审查结果和商务技术得分情况。</w:t>
      </w:r>
    </w:p>
    <w:p>
      <w:pPr>
        <w:numPr>
          <w:ilvl w:val="0"/>
          <w:numId w:val="21"/>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检查有效投标供应商“报价文件”的密封情况，确认无误后开启“报价文件”，唱读“开标一览表”全部内容。唱读结束后，投标供应商代表应对唱读内容及记录结果当场进行校核和签字确认，如有异议应当场提出，否则视为默许同意。</w:t>
      </w:r>
    </w:p>
    <w:p>
      <w:pPr>
        <w:numPr>
          <w:ilvl w:val="0"/>
          <w:numId w:val="21"/>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开标时没有启封和宣读的投标文件，原封退回给投标供应商。</w:t>
      </w:r>
    </w:p>
    <w:p>
      <w:pPr>
        <w:numPr>
          <w:ilvl w:val="0"/>
          <w:numId w:val="21"/>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开报价文件时，采购人指定专人作好记录，存档备查。</w:t>
      </w:r>
    </w:p>
    <w:p>
      <w:pPr>
        <w:numPr>
          <w:ilvl w:val="1"/>
          <w:numId w:val="19"/>
        </w:numPr>
        <w:tabs>
          <w:tab w:val="clear" w:pos="1277"/>
        </w:tabs>
        <w:spacing w:line="360" w:lineRule="auto"/>
        <w:ind w:left="0" w:firstLine="0"/>
        <w:rPr>
          <w:rFonts w:ascii="宋体" w:hAnsi="宋体" w:cs="宋体"/>
          <w:bCs/>
          <w:color w:val="auto"/>
          <w:szCs w:val="21"/>
          <w:highlight w:val="none"/>
        </w:rPr>
      </w:pPr>
      <w:r>
        <w:rPr>
          <w:rFonts w:hint="eastAsia" w:ascii="宋体" w:hAnsi="宋体" w:cs="宋体"/>
          <w:bCs/>
          <w:color w:val="auto"/>
          <w:szCs w:val="21"/>
          <w:highlight w:val="none"/>
        </w:rPr>
        <w:t>“报价文件”开启后，由评标委员会对各投标供应商的商务报价进行核查，核查时发现投标报价内容不清楚可要求投标供应商书面澄清，计算上的错误，可按下面方法修正：</w:t>
      </w:r>
    </w:p>
    <w:p>
      <w:pPr>
        <w:numPr>
          <w:ilvl w:val="0"/>
          <w:numId w:val="22"/>
        </w:numPr>
        <w:tabs>
          <w:tab w:val="left" w:pos="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pPr>
        <w:numPr>
          <w:ilvl w:val="0"/>
          <w:numId w:val="22"/>
        </w:numPr>
        <w:tabs>
          <w:tab w:val="left" w:pos="0"/>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如果投标供应商不接受对其价格错误进行修正，其投标无效。</w:t>
      </w:r>
    </w:p>
    <w:p>
      <w:pPr>
        <w:numPr>
          <w:ilvl w:val="1"/>
          <w:numId w:val="19"/>
        </w:numPr>
        <w:tabs>
          <w:tab w:val="clear" w:pos="1277"/>
        </w:tabs>
        <w:spacing w:line="360" w:lineRule="auto"/>
        <w:ind w:left="0" w:firstLine="0"/>
        <w:rPr>
          <w:rFonts w:ascii="宋体" w:hAnsi="宋体" w:cs="宋体"/>
          <w:bCs/>
          <w:color w:val="auto"/>
          <w:szCs w:val="21"/>
          <w:highlight w:val="none"/>
        </w:rPr>
      </w:pPr>
      <w:r>
        <w:rPr>
          <w:rFonts w:hint="eastAsia" w:ascii="宋体" w:hAnsi="宋体" w:cs="宋体"/>
          <w:bCs/>
          <w:color w:val="auto"/>
          <w:szCs w:val="21"/>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cs="宋体"/>
          <w:b/>
          <w:bCs/>
          <w:color w:val="auto"/>
          <w:szCs w:val="21"/>
          <w:highlight w:val="none"/>
        </w:rPr>
        <w:t>评标委员会决定投标的响应性只根据投标文件本身的内容，而不寻求外部的证据。</w:t>
      </w:r>
    </w:p>
    <w:p>
      <w:pPr>
        <w:numPr>
          <w:ilvl w:val="1"/>
          <w:numId w:val="19"/>
        </w:numPr>
        <w:tabs>
          <w:tab w:val="clear" w:pos="1277"/>
        </w:tabs>
        <w:spacing w:line="360" w:lineRule="auto"/>
        <w:ind w:left="0" w:firstLine="0"/>
        <w:rPr>
          <w:rFonts w:ascii="宋体" w:hAnsi="宋体" w:cs="宋体"/>
          <w:b/>
          <w:bCs/>
          <w:color w:val="auto"/>
          <w:szCs w:val="21"/>
          <w:highlight w:val="none"/>
          <w:u w:val="single"/>
        </w:rPr>
      </w:pP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实质上没有响应采购文件要求的投标将被拒绝，投标供应商不得通过修正或撤消不合要求的偏离或保留从而使其投标成为实质上响应的投标。</w:t>
      </w:r>
    </w:p>
    <w:p>
      <w:pPr>
        <w:numPr>
          <w:ilvl w:val="1"/>
          <w:numId w:val="19"/>
        </w:numPr>
        <w:tabs>
          <w:tab w:val="clear" w:pos="1277"/>
        </w:tabs>
        <w:spacing w:line="360" w:lineRule="auto"/>
        <w:ind w:left="0" w:firstLine="0"/>
        <w:rPr>
          <w:rFonts w:ascii="宋体" w:hAnsi="宋体" w:cs="宋体"/>
          <w:bCs/>
          <w:color w:val="auto"/>
          <w:szCs w:val="21"/>
          <w:highlight w:val="none"/>
        </w:rPr>
      </w:pPr>
      <w:r>
        <w:rPr>
          <w:rFonts w:hint="eastAsia" w:ascii="宋体" w:hAnsi="宋体" w:cs="宋体"/>
          <w:bCs/>
          <w:color w:val="auto"/>
          <w:szCs w:val="21"/>
          <w:highlight w:val="none"/>
        </w:rPr>
        <w:t>评标委员会对审查合格的投标文件按照采购文件中制订的评标方法进行综合评定打分。</w:t>
      </w:r>
    </w:p>
    <w:p>
      <w:pPr>
        <w:tabs>
          <w:tab w:val="left" w:pos="0"/>
        </w:tabs>
        <w:spacing w:line="360" w:lineRule="auto"/>
        <w:rPr>
          <w:rFonts w:ascii="宋体" w:hAnsi="宋体" w:cs="宋体"/>
          <w:bCs/>
          <w:color w:val="auto"/>
          <w:szCs w:val="21"/>
          <w:highlight w:val="none"/>
        </w:rPr>
      </w:pPr>
      <w:r>
        <w:rPr>
          <w:rFonts w:hint="eastAsia" w:ascii="宋体" w:hAnsi="宋体" w:cs="宋体"/>
          <w:color w:val="auto"/>
          <w:kern w:val="0"/>
          <w:szCs w:val="21"/>
          <w:highlight w:val="none"/>
        </w:rPr>
        <w:t>3.10▲</w:t>
      </w:r>
      <w:r>
        <w:rPr>
          <w:rFonts w:hint="eastAsia" w:ascii="宋体" w:hAnsi="宋体" w:cs="宋体"/>
          <w:b/>
          <w:bCs/>
          <w:color w:val="auto"/>
          <w:kern w:val="0"/>
          <w:szCs w:val="21"/>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3.11评标过程中遇到特殊情况，由评标委员会遵循公开、公正原则，采取投票方式按照少数服从多数原则决定。</w:t>
      </w:r>
    </w:p>
    <w:p>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3.12</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根据核心产品品牌确定。</w:t>
      </w:r>
    </w:p>
    <w:p>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3.13投标截止时间止及评审期间，出现有效供应商不足3家的，应按流标处理，重新组织采购。或符合《温州市市属国有企业采购管理办法（试行）》第三十三条规定“采购响应（指投标或谈判、报价）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pPr>
        <w:numPr>
          <w:ilvl w:val="0"/>
          <w:numId w:val="18"/>
        </w:numPr>
        <w:tabs>
          <w:tab w:val="left" w:pos="0"/>
        </w:tabs>
        <w:spacing w:line="360" w:lineRule="auto"/>
        <w:outlineLvl w:val="2"/>
        <w:rPr>
          <w:rFonts w:ascii="宋体" w:hAnsi="宋体" w:cs="宋体"/>
          <w:bCs/>
          <w:color w:val="auto"/>
          <w:szCs w:val="21"/>
          <w:highlight w:val="none"/>
        </w:rPr>
      </w:pPr>
      <w:bookmarkStart w:id="130" w:name="_Toc24628"/>
      <w:r>
        <w:rPr>
          <w:rFonts w:hint="eastAsia" w:ascii="宋体" w:hAnsi="宋体" w:cs="宋体"/>
          <w:bCs/>
          <w:color w:val="auto"/>
          <w:szCs w:val="21"/>
          <w:highlight w:val="none"/>
        </w:rPr>
        <w:t>投标文件的澄清</w:t>
      </w:r>
      <w:bookmarkEnd w:id="130"/>
    </w:p>
    <w:p>
      <w:pPr>
        <w:numPr>
          <w:ilvl w:val="1"/>
          <w:numId w:val="23"/>
        </w:numPr>
        <w:tabs>
          <w:tab w:val="clear" w:pos="992"/>
        </w:tabs>
        <w:spacing w:line="360" w:lineRule="auto"/>
        <w:ind w:left="0" w:firstLine="0"/>
        <w:rPr>
          <w:rFonts w:ascii="宋体" w:hAnsi="宋体" w:cs="宋体"/>
          <w:b/>
          <w:color w:val="auto"/>
          <w:szCs w:val="21"/>
          <w:highlight w:val="none"/>
        </w:rPr>
      </w:pPr>
      <w:r>
        <w:rPr>
          <w:rFonts w:hint="eastAsia" w:ascii="宋体" w:hAnsi="宋体" w:cs="宋体"/>
          <w:bCs/>
          <w:color w:val="auto"/>
          <w:szCs w:val="21"/>
          <w:highlight w:val="none"/>
        </w:rPr>
        <w:t>在评标期间，评标委员会可以对投标文件中含义不明确、对同类问题表述不一致或者有明显文字和计算错误的内容作必要的澄清、说明或补正。澄清内容不得超出投标文件的范围或者改变投标文件的实质性内容。拒不按要求对其投标文件进行澄清，说明或补正的投标供应商，评标委员会可以否决其投标。</w:t>
      </w:r>
    </w:p>
    <w:p>
      <w:pPr>
        <w:numPr>
          <w:ilvl w:val="1"/>
          <w:numId w:val="23"/>
        </w:numPr>
        <w:tabs>
          <w:tab w:val="clear" w:pos="992"/>
        </w:tabs>
        <w:spacing w:line="360" w:lineRule="auto"/>
        <w:ind w:left="0" w:firstLine="0"/>
        <w:rPr>
          <w:rFonts w:ascii="宋体" w:hAnsi="宋体" w:cs="宋体"/>
          <w:b/>
          <w:color w:val="auto"/>
          <w:szCs w:val="21"/>
          <w:highlight w:val="none"/>
          <w:u w:val="single"/>
        </w:rPr>
      </w:pPr>
      <w:r>
        <w:rPr>
          <w:rFonts w:hint="eastAsia" w:ascii="宋体" w:hAnsi="宋体" w:cs="宋体"/>
          <w:b/>
          <w:color w:val="auto"/>
          <w:kern w:val="0"/>
          <w:szCs w:val="21"/>
          <w:highlight w:val="none"/>
          <w:u w:val="single"/>
        </w:rPr>
        <w:t>▲</w:t>
      </w:r>
      <w:r>
        <w:rPr>
          <w:rFonts w:hint="eastAsia" w:ascii="宋体" w:hAnsi="宋体" w:cs="宋体"/>
          <w:b/>
          <w:color w:val="auto"/>
          <w:szCs w:val="21"/>
          <w:highlight w:val="none"/>
          <w:u w:val="single"/>
        </w:rPr>
        <w:t>经澄清后，若偏差仍存在，且不可接受，投标供应商则被认为是“没有实质性响应采购文件要求”，其投标不进入下一步评审。</w:t>
      </w:r>
    </w:p>
    <w:p>
      <w:pPr>
        <w:numPr>
          <w:ilvl w:val="0"/>
          <w:numId w:val="18"/>
        </w:numPr>
        <w:tabs>
          <w:tab w:val="left" w:pos="0"/>
        </w:tabs>
        <w:spacing w:line="360" w:lineRule="auto"/>
        <w:outlineLvl w:val="2"/>
        <w:rPr>
          <w:rFonts w:ascii="宋体" w:hAnsi="宋体" w:cs="宋体"/>
          <w:color w:val="auto"/>
          <w:szCs w:val="21"/>
          <w:highlight w:val="none"/>
        </w:rPr>
      </w:pPr>
      <w:bookmarkStart w:id="131" w:name="_Toc26961"/>
      <w:r>
        <w:rPr>
          <w:rFonts w:hint="eastAsia" w:ascii="宋体" w:hAnsi="宋体" w:cs="宋体"/>
          <w:bCs/>
          <w:color w:val="auto"/>
          <w:szCs w:val="21"/>
          <w:highlight w:val="none"/>
        </w:rPr>
        <w:t>确定中标候选人</w:t>
      </w:r>
      <w:bookmarkEnd w:id="131"/>
    </w:p>
    <w:p>
      <w:pPr>
        <w:numPr>
          <w:ilvl w:val="1"/>
          <w:numId w:val="24"/>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本次采购由评标委员会推荐中标候选人，采购人根据评标委员会的推荐结果进行最终确认。</w:t>
      </w:r>
    </w:p>
    <w:p>
      <w:pPr>
        <w:numPr>
          <w:ilvl w:val="1"/>
          <w:numId w:val="24"/>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评标委员会依据法律、法规及采购文件有关规定在有效标中按投标供应商的综合得分（即商务技术分与报价分之和）高低进行排序，综合得分前二名的投标供应商依次推荐为第一、第二中标候选人。（综合得分相同的，按报价分由高到底顺序排列；综合得分且报价分相同的，由评标委员会成员抽签决定排序）</w:t>
      </w:r>
    </w:p>
    <w:p>
      <w:pPr>
        <w:numPr>
          <w:ilvl w:val="1"/>
          <w:numId w:val="24"/>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 xml:space="preserve"> 若出现以下情形之一，采购人可视具体情况确定</w:t>
      </w:r>
      <w:r>
        <w:rPr>
          <w:rFonts w:hint="eastAsia" w:ascii="宋体" w:hAnsi="宋体" w:cs="宋体"/>
          <w:color w:val="auto"/>
          <w:kern w:val="0"/>
          <w:szCs w:val="21"/>
          <w:highlight w:val="none"/>
        </w:rPr>
        <w:t>是否由排名第二的中标候选人为中标人或</w:t>
      </w:r>
      <w:r>
        <w:rPr>
          <w:rFonts w:hint="eastAsia" w:ascii="宋体" w:hAnsi="宋体" w:cs="宋体"/>
          <w:color w:val="auto"/>
          <w:szCs w:val="21"/>
          <w:highlight w:val="none"/>
        </w:rPr>
        <w:t>重新组织采购：</w:t>
      </w:r>
    </w:p>
    <w:p>
      <w:pPr>
        <w:numPr>
          <w:ilvl w:val="0"/>
          <w:numId w:val="25"/>
        </w:numPr>
        <w:tabs>
          <w:tab w:val="left" w:pos="0"/>
        </w:tab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第一</w:t>
      </w:r>
      <w:r>
        <w:rPr>
          <w:rFonts w:hint="eastAsia" w:ascii="宋体" w:hAnsi="宋体" w:cs="宋体"/>
          <w:color w:val="auto"/>
          <w:kern w:val="0"/>
          <w:szCs w:val="21"/>
          <w:highlight w:val="none"/>
          <w:lang w:val="zh-CN"/>
        </w:rPr>
        <w:t>中标候选人放弃中标资格；</w:t>
      </w:r>
    </w:p>
    <w:p>
      <w:pPr>
        <w:numPr>
          <w:ilvl w:val="0"/>
          <w:numId w:val="25"/>
        </w:numPr>
        <w:tabs>
          <w:tab w:val="left" w:pos="0"/>
        </w:tab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第一</w:t>
      </w:r>
      <w:r>
        <w:rPr>
          <w:rFonts w:hint="eastAsia" w:ascii="宋体" w:hAnsi="宋体" w:cs="宋体"/>
          <w:color w:val="auto"/>
          <w:kern w:val="0"/>
          <w:szCs w:val="21"/>
          <w:highlight w:val="none"/>
          <w:lang w:val="zh-CN"/>
        </w:rPr>
        <w:t>中标候选人因不可抗力提出不能履行合同；</w:t>
      </w:r>
    </w:p>
    <w:p>
      <w:pPr>
        <w:numPr>
          <w:ilvl w:val="0"/>
          <w:numId w:val="25"/>
        </w:numPr>
        <w:tabs>
          <w:tab w:val="left" w:pos="0"/>
        </w:tab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第一</w:t>
      </w:r>
      <w:r>
        <w:rPr>
          <w:rFonts w:hint="eastAsia" w:ascii="宋体" w:hAnsi="宋体" w:cs="宋体"/>
          <w:color w:val="auto"/>
          <w:kern w:val="0"/>
          <w:szCs w:val="21"/>
          <w:highlight w:val="none"/>
          <w:lang w:val="zh-CN"/>
        </w:rPr>
        <w:t>中标候选人未能在规定的期限内提交履约保证金；</w:t>
      </w:r>
    </w:p>
    <w:p>
      <w:pPr>
        <w:numPr>
          <w:ilvl w:val="0"/>
          <w:numId w:val="25"/>
        </w:numPr>
        <w:tabs>
          <w:tab w:val="left" w:pos="0"/>
        </w:tab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第一</w:t>
      </w:r>
      <w:r>
        <w:rPr>
          <w:rFonts w:hint="eastAsia" w:ascii="宋体" w:hAnsi="宋体" w:cs="宋体"/>
          <w:color w:val="auto"/>
          <w:kern w:val="0"/>
          <w:szCs w:val="21"/>
          <w:highlight w:val="none"/>
          <w:lang w:val="zh-CN"/>
        </w:rPr>
        <w:t>中标候选人未能在规定时间内与采购人签订合同；</w:t>
      </w:r>
    </w:p>
    <w:p>
      <w:pPr>
        <w:numPr>
          <w:ilvl w:val="0"/>
          <w:numId w:val="25"/>
        </w:numPr>
        <w:tabs>
          <w:tab w:val="left" w:pos="0"/>
        </w:tab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经质疑，采购人审查后，</w:t>
      </w:r>
      <w:r>
        <w:rPr>
          <w:rFonts w:hint="eastAsia" w:ascii="宋体" w:hAnsi="宋体" w:cs="宋体"/>
          <w:color w:val="auto"/>
          <w:kern w:val="0"/>
          <w:szCs w:val="21"/>
          <w:highlight w:val="none"/>
        </w:rPr>
        <w:t>第一</w:t>
      </w:r>
      <w:r>
        <w:rPr>
          <w:rFonts w:hint="eastAsia" w:ascii="宋体" w:hAnsi="宋体" w:cs="宋体"/>
          <w:color w:val="auto"/>
          <w:kern w:val="0"/>
          <w:szCs w:val="21"/>
          <w:highlight w:val="none"/>
          <w:lang w:val="zh-CN"/>
        </w:rPr>
        <w:t>中标候选人确实在本次采购活动中存在违法违规行为或其他原因使质疑成立的。</w:t>
      </w:r>
    </w:p>
    <w:p>
      <w:pPr>
        <w:numPr>
          <w:ilvl w:val="1"/>
          <w:numId w:val="24"/>
        </w:numPr>
        <w:tabs>
          <w:tab w:val="clear" w:pos="992"/>
        </w:tabs>
        <w:spacing w:line="360" w:lineRule="auto"/>
        <w:ind w:left="0" w:firstLine="0"/>
        <w:rPr>
          <w:rFonts w:ascii="宋体" w:hAnsi="宋体" w:cs="宋体"/>
          <w:color w:val="auto"/>
          <w:szCs w:val="21"/>
          <w:highlight w:val="none"/>
        </w:rPr>
      </w:pPr>
      <w:r>
        <w:rPr>
          <w:rFonts w:hint="eastAsia" w:ascii="宋体" w:hAnsi="宋体" w:cs="宋体"/>
          <w:color w:val="auto"/>
          <w:szCs w:val="21"/>
          <w:highlight w:val="none"/>
        </w:rPr>
        <w:t>采购人、采购代理机构及评标委员会对未中标的投标供应商不作解释，不对投标供应商公布详细的评审情况，不公布具体评标细则中小项得分。</w:t>
      </w:r>
    </w:p>
    <w:p>
      <w:pPr>
        <w:numPr>
          <w:ilvl w:val="0"/>
          <w:numId w:val="18"/>
        </w:numPr>
        <w:tabs>
          <w:tab w:val="left" w:pos="0"/>
        </w:tabs>
        <w:spacing w:line="360" w:lineRule="auto"/>
        <w:outlineLvl w:val="2"/>
        <w:rPr>
          <w:rFonts w:ascii="宋体" w:hAnsi="宋体" w:cs="宋体"/>
          <w:color w:val="auto"/>
          <w:szCs w:val="21"/>
          <w:highlight w:val="none"/>
        </w:rPr>
      </w:pPr>
      <w:bookmarkStart w:id="132" w:name="_Toc25263"/>
      <w:r>
        <w:rPr>
          <w:rFonts w:hint="eastAsia" w:ascii="宋体" w:hAnsi="宋体" w:cs="宋体"/>
          <w:bCs/>
          <w:color w:val="auto"/>
          <w:szCs w:val="21"/>
          <w:highlight w:val="none"/>
        </w:rPr>
        <w:t>评标原则及办法</w:t>
      </w:r>
      <w:bookmarkEnd w:id="132"/>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评标委员会按照采购文件的要求和条件进行评标，详见“评标原则及方法”。</w:t>
      </w:r>
    </w:p>
    <w:p>
      <w:pPr>
        <w:spacing w:before="200" w:after="200" w:line="360" w:lineRule="auto"/>
        <w:jc w:val="center"/>
        <w:outlineLvl w:val="1"/>
        <w:rPr>
          <w:rFonts w:ascii="宋体" w:hAnsi="宋体" w:cs="宋体"/>
          <w:b/>
          <w:bCs/>
          <w:color w:val="auto"/>
          <w:szCs w:val="21"/>
          <w:highlight w:val="none"/>
        </w:rPr>
      </w:pPr>
      <w:bookmarkStart w:id="133" w:name="_Toc221356953"/>
      <w:bookmarkStart w:id="134" w:name="_Toc223716000"/>
      <w:bookmarkStart w:id="135" w:name="_Toc241404204"/>
      <w:bookmarkStart w:id="136" w:name="_Toc249758714"/>
      <w:bookmarkStart w:id="137" w:name="_Toc246261267"/>
      <w:bookmarkStart w:id="138" w:name="_Toc249758866"/>
      <w:bookmarkStart w:id="139" w:name="_Toc245722283"/>
      <w:bookmarkStart w:id="140" w:name="_Toc222114881"/>
      <w:bookmarkStart w:id="141" w:name="_Toc262105505"/>
      <w:bookmarkStart w:id="142" w:name="_Toc221423621"/>
      <w:bookmarkStart w:id="143" w:name="_Toc245191316"/>
      <w:bookmarkStart w:id="144" w:name="_Toc221374628"/>
      <w:bookmarkStart w:id="145" w:name="_Toc239145356"/>
      <w:bookmarkStart w:id="146" w:name="_Toc262049420"/>
      <w:bookmarkStart w:id="147" w:name="_Toc25160"/>
      <w:bookmarkStart w:id="148" w:name="_Toc11556"/>
      <w:bookmarkStart w:id="149" w:name="_Toc221356889"/>
      <w:r>
        <w:rPr>
          <w:rFonts w:hint="eastAsia" w:ascii="宋体" w:hAnsi="宋体" w:cs="宋体"/>
          <w:b/>
          <w:bCs/>
          <w:color w:val="auto"/>
          <w:szCs w:val="21"/>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26"/>
        </w:numPr>
        <w:tabs>
          <w:tab w:val="clear" w:pos="420"/>
        </w:tabs>
        <w:spacing w:line="360" w:lineRule="auto"/>
        <w:ind w:left="0" w:firstLine="0"/>
        <w:outlineLvl w:val="2"/>
        <w:rPr>
          <w:rFonts w:ascii="宋体" w:hAnsi="宋体" w:cs="宋体"/>
          <w:color w:val="auto"/>
          <w:kern w:val="0"/>
          <w:szCs w:val="21"/>
          <w:highlight w:val="none"/>
        </w:rPr>
      </w:pPr>
      <w:bookmarkStart w:id="150" w:name="_Toc3080"/>
      <w:r>
        <w:rPr>
          <w:rFonts w:hint="eastAsia" w:ascii="宋体" w:hAnsi="宋体" w:cs="宋体"/>
          <w:color w:val="auto"/>
          <w:kern w:val="0"/>
          <w:szCs w:val="21"/>
          <w:highlight w:val="none"/>
        </w:rPr>
        <w:t>确定中标人</w:t>
      </w:r>
      <w:bookmarkEnd w:id="150"/>
    </w:p>
    <w:p>
      <w:pPr>
        <w:tabs>
          <w:tab w:val="left" w:pos="840"/>
        </w:tabs>
        <w:spacing w:line="360" w:lineRule="auto"/>
        <w:rPr>
          <w:rFonts w:ascii="宋体" w:hAnsi="宋体" w:cs="宋体"/>
          <w:color w:val="auto"/>
          <w:szCs w:val="21"/>
          <w:highlight w:val="none"/>
        </w:rPr>
      </w:pPr>
      <w:r>
        <w:rPr>
          <w:rFonts w:hint="eastAsia" w:ascii="宋体" w:hAnsi="宋体" w:cs="宋体"/>
          <w:color w:val="auto"/>
          <w:szCs w:val="21"/>
          <w:highlight w:val="none"/>
        </w:rPr>
        <w:t>评标委员会推荐的中标候选人经采购人确认后在浙江政府采购网、温州国企采购平台、温州信达交通工程试验检测有限公司网站上公示，各投标供应商对评标结果如有异议，可在规定时间内以书面形式向采购人进行署名投诉或提出质疑，但需对投诉或质疑内容的真实性承担法律责任。中标公告期限为1个工作日，公示期结束后，采购人将根据评标委员会提交的书面评标报告和评审结果最后确定中标人。</w:t>
      </w:r>
    </w:p>
    <w:p>
      <w:pPr>
        <w:numPr>
          <w:ilvl w:val="0"/>
          <w:numId w:val="26"/>
        </w:numPr>
        <w:tabs>
          <w:tab w:val="clear" w:pos="420"/>
        </w:tabs>
        <w:spacing w:line="360" w:lineRule="auto"/>
        <w:ind w:left="0" w:firstLine="0"/>
        <w:outlineLvl w:val="2"/>
        <w:rPr>
          <w:rFonts w:ascii="宋体" w:hAnsi="宋体" w:cs="宋体"/>
          <w:bCs/>
          <w:color w:val="auto"/>
          <w:szCs w:val="21"/>
          <w:highlight w:val="none"/>
        </w:rPr>
      </w:pPr>
      <w:bookmarkStart w:id="151" w:name="_Toc20168"/>
      <w:r>
        <w:rPr>
          <w:rFonts w:hint="eastAsia" w:ascii="宋体" w:hAnsi="宋体" w:cs="宋体"/>
          <w:bCs/>
          <w:color w:val="auto"/>
          <w:szCs w:val="21"/>
          <w:highlight w:val="none"/>
        </w:rPr>
        <w:t>中标通知书</w:t>
      </w:r>
      <w:bookmarkEnd w:id="151"/>
    </w:p>
    <w:p>
      <w:pPr>
        <w:spacing w:line="360" w:lineRule="auto"/>
        <w:rPr>
          <w:rFonts w:ascii="宋体" w:hAnsi="宋体" w:cs="宋体"/>
          <w:color w:val="auto"/>
          <w:szCs w:val="21"/>
          <w:highlight w:val="none"/>
        </w:rPr>
      </w:pPr>
      <w:r>
        <w:rPr>
          <w:rFonts w:hint="eastAsia" w:ascii="宋体" w:hAnsi="宋体" w:cs="宋体"/>
          <w:bCs/>
          <w:color w:val="auto"/>
          <w:szCs w:val="21"/>
          <w:highlight w:val="none"/>
        </w:rPr>
        <w:t>2.1</w:t>
      </w:r>
      <w:r>
        <w:rPr>
          <w:rFonts w:hint="eastAsia" w:ascii="宋体" w:hAnsi="宋体" w:cs="宋体"/>
          <w:color w:val="auto"/>
          <w:kern w:val="0"/>
          <w:szCs w:val="21"/>
          <w:highlight w:val="none"/>
        </w:rPr>
        <w:t>中标人确定后，采购人将向中标人发出中标通知书</w:t>
      </w:r>
      <w:r>
        <w:rPr>
          <w:rFonts w:hint="eastAsia" w:ascii="宋体" w:hAnsi="宋体" w:cs="宋体"/>
          <w:bCs/>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2.2中标通知书是合同的一个组成部分,对采购人和中标人均具有同等法律效力。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2.3 采购人对未中标的投标供应商不作落标原因解释。</w:t>
      </w:r>
    </w:p>
    <w:p>
      <w:pPr>
        <w:numPr>
          <w:ilvl w:val="0"/>
          <w:numId w:val="26"/>
        </w:numPr>
        <w:tabs>
          <w:tab w:val="clear" w:pos="420"/>
        </w:tabs>
        <w:spacing w:line="360" w:lineRule="auto"/>
        <w:ind w:left="0" w:firstLine="0"/>
        <w:outlineLvl w:val="2"/>
        <w:rPr>
          <w:rFonts w:ascii="宋体" w:hAnsi="宋体" w:cs="宋体"/>
          <w:color w:val="auto"/>
          <w:szCs w:val="21"/>
          <w:highlight w:val="none"/>
        </w:rPr>
      </w:pPr>
      <w:bookmarkStart w:id="152" w:name="_Toc22958"/>
      <w:r>
        <w:rPr>
          <w:rFonts w:hint="eastAsia" w:ascii="宋体" w:hAnsi="宋体" w:cs="宋体"/>
          <w:bCs/>
          <w:color w:val="auto"/>
          <w:szCs w:val="21"/>
          <w:highlight w:val="none"/>
        </w:rPr>
        <w:t>签订合同</w:t>
      </w:r>
      <w:bookmarkEnd w:id="152"/>
    </w:p>
    <w:p>
      <w:pPr>
        <w:tabs>
          <w:tab w:val="left" w:pos="840"/>
        </w:tabs>
        <w:spacing w:line="360" w:lineRule="auto"/>
        <w:rPr>
          <w:rFonts w:ascii="宋体" w:hAnsi="宋体" w:cs="宋体"/>
          <w:color w:val="auto"/>
          <w:szCs w:val="21"/>
          <w:highlight w:val="none"/>
        </w:rPr>
      </w:pPr>
      <w:r>
        <w:rPr>
          <w:rFonts w:hint="eastAsia" w:ascii="宋体" w:hAnsi="宋体" w:cs="宋体"/>
          <w:color w:val="auto"/>
          <w:szCs w:val="21"/>
          <w:highlight w:val="none"/>
        </w:rPr>
        <w:t>3.1中标人应按中标通知书规定的时间、地点与采购人签订合同。</w:t>
      </w:r>
    </w:p>
    <w:p>
      <w:pPr>
        <w:tabs>
          <w:tab w:val="left" w:pos="840"/>
        </w:tabs>
        <w:spacing w:line="360" w:lineRule="auto"/>
        <w:rPr>
          <w:rFonts w:ascii="宋体" w:hAnsi="宋体" w:cs="宋体"/>
          <w:color w:val="auto"/>
          <w:szCs w:val="21"/>
          <w:highlight w:val="none"/>
        </w:rPr>
      </w:pPr>
      <w:r>
        <w:rPr>
          <w:rFonts w:hint="eastAsia" w:ascii="宋体" w:hAnsi="宋体" w:cs="宋体"/>
          <w:color w:val="auto"/>
          <w:szCs w:val="21"/>
          <w:highlight w:val="none"/>
        </w:rPr>
        <w:t>3.2采购文件、采购补充文件、中标人的投标文件及投标修改文件、评标过程中有关澄清文件及经双方签字的询标纪要和中标通知书均作为合同附件。</w:t>
      </w:r>
    </w:p>
    <w:p>
      <w:pPr>
        <w:tabs>
          <w:tab w:val="left" w:pos="840"/>
        </w:tabs>
        <w:spacing w:line="360" w:lineRule="auto"/>
        <w:rPr>
          <w:rFonts w:ascii="宋体" w:hAnsi="宋体" w:cs="宋体"/>
          <w:color w:val="auto"/>
          <w:szCs w:val="21"/>
          <w:highlight w:val="none"/>
        </w:rPr>
      </w:pPr>
      <w:r>
        <w:rPr>
          <w:rFonts w:hint="eastAsia" w:ascii="宋体" w:hAnsi="宋体" w:cs="宋体"/>
          <w:color w:val="auto"/>
          <w:szCs w:val="21"/>
          <w:highlight w:val="none"/>
        </w:rPr>
        <w:t>3.3拒签协议的违约责任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中标人接到中标通知书后，在规定时间内借故否认已经承诺的条件而拒签协议者，以投标违约处理；给采购人造成损失的，由中标人负责赔偿；由此而需要重新组织采购的，所需费用由中标人承担。</w:t>
      </w:r>
    </w:p>
    <w:p>
      <w:pPr>
        <w:numPr>
          <w:ilvl w:val="0"/>
          <w:numId w:val="26"/>
        </w:numPr>
        <w:tabs>
          <w:tab w:val="clear" w:pos="420"/>
        </w:tabs>
        <w:spacing w:line="360" w:lineRule="auto"/>
        <w:ind w:left="0" w:firstLine="0"/>
        <w:outlineLvl w:val="2"/>
        <w:rPr>
          <w:rFonts w:ascii="宋体" w:hAnsi="宋体" w:cs="宋体"/>
          <w:color w:val="auto"/>
          <w:spacing w:val="6"/>
          <w:szCs w:val="21"/>
          <w:highlight w:val="none"/>
        </w:rPr>
      </w:pPr>
      <w:bookmarkStart w:id="153" w:name="_Toc11063"/>
      <w:r>
        <w:rPr>
          <w:rFonts w:hint="eastAsia" w:ascii="宋体" w:hAnsi="宋体" w:cs="宋体"/>
          <w:bCs/>
          <w:color w:val="auto"/>
          <w:szCs w:val="21"/>
          <w:highlight w:val="none"/>
        </w:rPr>
        <w:t>履约保证金</w:t>
      </w:r>
      <w:bookmarkEnd w:id="153"/>
    </w:p>
    <w:p>
      <w:pPr>
        <w:tabs>
          <w:tab w:val="left" w:pos="540"/>
        </w:tabs>
        <w:spacing w:line="360" w:lineRule="auto"/>
        <w:rPr>
          <w:rFonts w:ascii="宋体" w:hAnsi="宋体" w:cs="宋体"/>
          <w:b/>
          <w:color w:val="auto"/>
          <w:szCs w:val="21"/>
          <w:highlight w:val="none"/>
        </w:rPr>
      </w:pPr>
      <w:r>
        <w:rPr>
          <w:rFonts w:hint="eastAsia" w:ascii="宋体" w:hAnsi="宋体" w:cs="宋体"/>
          <w:color w:val="auto"/>
          <w:szCs w:val="21"/>
          <w:highlight w:val="none"/>
        </w:rPr>
        <w:t>4.1</w:t>
      </w:r>
      <w:r>
        <w:rPr>
          <w:rFonts w:hint="eastAsia" w:ascii="宋体" w:hAnsi="宋体" w:cs="宋体"/>
          <w:b/>
          <w:color w:val="auto"/>
          <w:szCs w:val="21"/>
          <w:highlight w:val="none"/>
        </w:rPr>
        <w:t>中标人应在合同签订前向采购人提交履约保证金，如不提供，甲方有权拒签合同。</w:t>
      </w:r>
    </w:p>
    <w:p>
      <w:pPr>
        <w:tabs>
          <w:tab w:val="left" w:pos="540"/>
        </w:tabs>
        <w:spacing w:line="360" w:lineRule="auto"/>
        <w:rPr>
          <w:rFonts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cs="宋体"/>
          <w:color w:val="auto"/>
          <w:spacing w:val="6"/>
          <w:szCs w:val="21"/>
          <w:highlight w:val="none"/>
        </w:rPr>
        <w:t>履约保证金用于补偿采购人因中标人不能履行其合同义务而蒙受的损失。</w:t>
      </w:r>
    </w:p>
    <w:p>
      <w:pPr>
        <w:tabs>
          <w:tab w:val="left" w:pos="540"/>
        </w:tabs>
        <w:spacing w:line="360" w:lineRule="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pacing w:val="6"/>
          <w:szCs w:val="21"/>
          <w:highlight w:val="none"/>
        </w:rPr>
        <w:t>履约保证金自</w:t>
      </w:r>
      <w:r>
        <w:rPr>
          <w:rFonts w:hint="eastAsia" w:ascii="宋体" w:hAnsi="宋体" w:cs="宋体"/>
          <w:color w:val="auto"/>
          <w:szCs w:val="21"/>
          <w:highlight w:val="none"/>
        </w:rPr>
        <w:t>合同协议书生效之日起至质保期满止有效。</w:t>
      </w:r>
      <w:r>
        <w:rPr>
          <w:rFonts w:hint="eastAsia" w:ascii="宋体" w:hAnsi="宋体" w:cs="宋体"/>
          <w:color w:val="auto"/>
          <w:spacing w:val="6"/>
          <w:szCs w:val="21"/>
          <w:highlight w:val="none"/>
        </w:rPr>
        <w:t>如采购人发现中标人存在履约问题，将根据实际情况扣除或部分扣除履约保证金。履约保证金有效期满后，且采购人确认中标人无履约问题后，将剩余履约保证金无息退还给中标人。</w:t>
      </w:r>
      <w:r>
        <w:rPr>
          <w:rFonts w:hint="eastAsia" w:ascii="宋体" w:hAnsi="宋体" w:cs="宋体"/>
          <w:color w:val="auto"/>
          <w:szCs w:val="21"/>
          <w:highlight w:val="none"/>
        </w:rPr>
        <w:t xml:space="preserve"> </w:t>
      </w:r>
    </w:p>
    <w:p>
      <w:pPr>
        <w:numPr>
          <w:ilvl w:val="0"/>
          <w:numId w:val="26"/>
        </w:numPr>
        <w:tabs>
          <w:tab w:val="clear" w:pos="420"/>
        </w:tabs>
        <w:spacing w:line="360" w:lineRule="auto"/>
        <w:ind w:left="0" w:firstLine="0"/>
        <w:outlineLvl w:val="2"/>
        <w:rPr>
          <w:rFonts w:ascii="宋体" w:hAnsi="宋体" w:cs="宋体"/>
          <w:bCs/>
          <w:color w:val="auto"/>
          <w:szCs w:val="21"/>
          <w:highlight w:val="none"/>
        </w:rPr>
      </w:pPr>
      <w:bookmarkStart w:id="154" w:name="_Toc23774"/>
      <w:r>
        <w:rPr>
          <w:rFonts w:hint="eastAsia" w:ascii="宋体" w:hAnsi="宋体" w:cs="宋体"/>
          <w:bCs/>
          <w:color w:val="auto"/>
          <w:szCs w:val="21"/>
          <w:highlight w:val="none"/>
        </w:rPr>
        <w:t>质疑与投诉</w:t>
      </w:r>
      <w:bookmarkEnd w:id="154"/>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5.1.投标供应商认为采购文件、采购过程、中标和成交结果使自己的合法权益受到损害的，可以在知道或应知道其权益受到损害之日起七个工作日内以书面形式向采购人或采购代理机构提出质疑。</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5.2.采购人或采购代理机构在收到投标供应商的书面质疑后七个工作日内作出答复，但答复的内容不得涉及商业秘密。质疑供应商对采购人或采购代理机构的答复不满意，可以在答复期满后十五个工作日内向温州诚达交通发展股份有限公司投诉。</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5.3</w:t>
      </w:r>
      <w:bookmarkStart w:id="155" w:name="_Hlk58255193"/>
      <w:r>
        <w:rPr>
          <w:rFonts w:hint="eastAsia" w:ascii="宋体" w:hAnsi="宋体" w:cs="宋体"/>
          <w:color w:val="auto"/>
          <w:szCs w:val="21"/>
          <w:highlight w:val="none"/>
          <w:u w:val="single"/>
        </w:rPr>
        <w:t>温州信达交通工程试验检测有限公司负责对投标供应商反映的企业本部及所属企业在采购活动中出现的违法违规问题进行答疑回复。投标供应商认为答疑回复处理结果不合法的，可以采购人或代理机构为对象依法向人民法院提起诉讼。</w:t>
      </w:r>
      <w:bookmarkEnd w:id="155"/>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5.4投诉人投诉时，应提交投诉书，投诉书应当由本人或法定代表人签字盖公章，投诉书应说明具体的投诉事项及事实依据。投诉人对投诉书的真实性负责，恶意投诉将承当相应的法律和民事责任。</w:t>
      </w:r>
    </w:p>
    <w:p>
      <w:pPr>
        <w:pStyle w:val="13"/>
        <w:ind w:firstLine="210"/>
        <w:rPr>
          <w:rFonts w:ascii="宋体" w:hAnsi="宋体" w:cs="宋体"/>
          <w:color w:val="auto"/>
          <w:highlight w:val="none"/>
        </w:rPr>
      </w:pPr>
    </w:p>
    <w:p>
      <w:pPr>
        <w:widowControl/>
        <w:jc w:val="left"/>
        <w:rPr>
          <w:rFonts w:ascii="宋体" w:hAnsi="宋体" w:cs="宋体"/>
          <w:color w:val="auto"/>
          <w:highlight w:val="none"/>
        </w:rPr>
      </w:pPr>
    </w:p>
    <w:p>
      <w:pPr>
        <w:pStyle w:val="3"/>
        <w:rPr>
          <w:rFonts w:ascii="宋体" w:hAnsi="宋体" w:eastAsia="宋体" w:cs="宋体"/>
          <w:color w:val="auto"/>
          <w:sz w:val="36"/>
          <w:szCs w:val="36"/>
          <w:highlight w:val="none"/>
        </w:rPr>
      </w:pPr>
      <w:bookmarkStart w:id="156" w:name="_Toc262105506"/>
      <w:bookmarkStart w:id="157" w:name="_Toc262049421"/>
      <w:bookmarkStart w:id="158" w:name="_Toc241404205"/>
      <w:bookmarkStart w:id="159" w:name="_Toc221374629"/>
      <w:bookmarkStart w:id="160" w:name="_Toc249758715"/>
      <w:bookmarkStart w:id="161" w:name="_Toc221356890"/>
      <w:bookmarkStart w:id="162" w:name="_Toc221423622"/>
      <w:bookmarkStart w:id="163" w:name="_Toc223716001"/>
      <w:bookmarkStart w:id="164" w:name="_Toc222114882"/>
      <w:bookmarkStart w:id="165" w:name="_Toc246261268"/>
      <w:bookmarkStart w:id="166" w:name="_Toc249758867"/>
      <w:bookmarkStart w:id="167" w:name="_Toc239145357"/>
      <w:bookmarkStart w:id="168" w:name="_Toc221356954"/>
      <w:bookmarkStart w:id="169" w:name="_Toc245191317"/>
      <w:bookmarkStart w:id="170" w:name="_Toc245722284"/>
      <w:bookmarkStart w:id="171" w:name="_Toc245191319"/>
      <w:bookmarkStart w:id="172" w:name="_Toc245722286"/>
      <w:bookmarkStart w:id="173" w:name="_Toc262105509"/>
      <w:bookmarkStart w:id="174" w:name="_Toc246261270"/>
      <w:bookmarkStart w:id="175" w:name="_Toc221356892"/>
      <w:bookmarkStart w:id="176" w:name="_Toc221374631"/>
      <w:bookmarkStart w:id="177" w:name="_Toc249758719"/>
      <w:bookmarkStart w:id="178" w:name="_Toc241404207"/>
      <w:bookmarkStart w:id="179" w:name="_Toc249758870"/>
      <w:bookmarkStart w:id="180" w:name="_Toc221423624"/>
      <w:bookmarkStart w:id="181" w:name="_Toc239145359"/>
      <w:bookmarkStart w:id="182" w:name="_Toc223716003"/>
      <w:bookmarkStart w:id="183" w:name="_Toc221356956"/>
      <w:bookmarkStart w:id="184" w:name="_Toc222114884"/>
      <w:bookmarkStart w:id="185" w:name="_Toc249758718"/>
      <w:bookmarkStart w:id="186" w:name="_Toc262049424"/>
      <w:r>
        <w:rPr>
          <w:rFonts w:hint="eastAsia" w:ascii="宋体" w:hAnsi="宋体" w:eastAsia="宋体" w:cs="宋体"/>
          <w:color w:val="auto"/>
          <w:sz w:val="36"/>
          <w:szCs w:val="36"/>
          <w:highlight w:val="none"/>
        </w:rPr>
        <w:br w:type="page"/>
      </w:r>
      <w:bookmarkStart w:id="187" w:name="_Toc15118"/>
      <w:r>
        <w:rPr>
          <w:rFonts w:hint="eastAsia" w:ascii="宋体" w:hAnsi="宋体" w:eastAsia="宋体" w:cs="宋体"/>
          <w:color w:val="auto"/>
          <w:sz w:val="36"/>
          <w:szCs w:val="36"/>
          <w:highlight w:val="none"/>
        </w:rPr>
        <w:t>第二部分   合同主要条款</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87"/>
    </w:p>
    <w:p>
      <w:pPr>
        <w:rPr>
          <w:rFonts w:ascii="宋体" w:hAnsi="宋体" w:cs="宋体"/>
          <w:color w:val="auto"/>
          <w:highlight w:val="none"/>
        </w:rPr>
      </w:pP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鉴于甲方于</w:t>
      </w:r>
      <w:r>
        <w:rPr>
          <w:rFonts w:hint="eastAsia" w:ascii="宋体" w:hAnsi="宋体"/>
          <w:bCs/>
          <w:color w:val="auto"/>
          <w:sz w:val="24"/>
          <w:highlight w:val="none"/>
        </w:rPr>
        <w:t>2022</w:t>
      </w:r>
      <w:r>
        <w:rPr>
          <w:rFonts w:ascii="宋体" w:hAnsi="宋体"/>
          <w:bCs/>
          <w:color w:val="auto"/>
          <w:sz w:val="24"/>
          <w:highlight w:val="none"/>
        </w:rPr>
        <w:t>年</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ascii="宋体" w:hAnsi="宋体"/>
          <w:bCs/>
          <w:color w:val="auto"/>
          <w:sz w:val="24"/>
          <w:highlight w:val="none"/>
        </w:rPr>
        <w:t>月</w:t>
      </w:r>
      <w:r>
        <w:rPr>
          <w:rFonts w:ascii="宋体" w:hAnsi="宋体"/>
          <w:bCs/>
          <w:color w:val="auto"/>
          <w:sz w:val="24"/>
          <w:highlight w:val="none"/>
          <w:u w:val="single"/>
        </w:rPr>
        <w:t xml:space="preserve">  </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ascii="宋体" w:hAnsi="宋体"/>
          <w:bCs/>
          <w:color w:val="auto"/>
          <w:sz w:val="24"/>
          <w:highlight w:val="none"/>
        </w:rPr>
        <w:t>日接受乙方对</w:t>
      </w:r>
      <w:r>
        <w:rPr>
          <w:rFonts w:ascii="宋体" w:hAnsi="宋体"/>
          <w:bCs/>
          <w:color w:val="auto"/>
          <w:sz w:val="24"/>
          <w:highlight w:val="none"/>
          <w:u w:val="single"/>
        </w:rPr>
        <w:t xml:space="preserve">          </w:t>
      </w:r>
      <w:r>
        <w:rPr>
          <w:rFonts w:ascii="宋体" w:hAnsi="宋体"/>
          <w:bCs/>
          <w:color w:val="auto"/>
          <w:sz w:val="24"/>
          <w:highlight w:val="none"/>
        </w:rPr>
        <w:t>的投标，双方根据《中华人民共和国合同法》和本项目的采购文件、</w:t>
      </w:r>
      <w:r>
        <w:rPr>
          <w:rFonts w:hint="eastAsia" w:ascii="宋体" w:hAnsi="宋体"/>
          <w:bCs/>
          <w:color w:val="auto"/>
          <w:sz w:val="24"/>
          <w:highlight w:val="none"/>
        </w:rPr>
        <w:t>投标</w:t>
      </w:r>
      <w:r>
        <w:rPr>
          <w:rFonts w:ascii="宋体" w:hAnsi="宋体"/>
          <w:bCs/>
          <w:color w:val="auto"/>
          <w:sz w:val="24"/>
          <w:highlight w:val="none"/>
        </w:rPr>
        <w:t>文件及其</w:t>
      </w:r>
      <w:r>
        <w:rPr>
          <w:rFonts w:hint="eastAsia" w:ascii="宋体" w:hAnsi="宋体"/>
          <w:bCs/>
          <w:color w:val="auto"/>
          <w:sz w:val="24"/>
          <w:highlight w:val="none"/>
        </w:rPr>
        <w:t>投标</w:t>
      </w:r>
      <w:r>
        <w:rPr>
          <w:rFonts w:ascii="宋体" w:hAnsi="宋体"/>
          <w:bCs/>
          <w:color w:val="auto"/>
          <w:sz w:val="24"/>
          <w:highlight w:val="none"/>
        </w:rPr>
        <w:t>中的承诺，</w:t>
      </w:r>
      <w:r>
        <w:rPr>
          <w:rFonts w:hint="eastAsia" w:ascii="宋体" w:hAnsi="宋体"/>
          <w:bCs/>
          <w:color w:val="auto"/>
          <w:sz w:val="24"/>
          <w:highlight w:val="none"/>
        </w:rPr>
        <w:t>根据</w:t>
      </w:r>
      <w:r>
        <w:rPr>
          <w:rFonts w:hint="eastAsia" w:ascii="宋体" w:hAnsi="宋体"/>
          <w:color w:val="auto"/>
          <w:sz w:val="24"/>
          <w:highlight w:val="none"/>
          <w:u w:val="single"/>
        </w:rPr>
        <w:t xml:space="preserve">       </w:t>
      </w:r>
      <w:r>
        <w:rPr>
          <w:rFonts w:hint="eastAsia" w:ascii="宋体" w:hAnsi="宋体"/>
          <w:bCs/>
          <w:color w:val="auto"/>
          <w:sz w:val="24"/>
          <w:highlight w:val="none"/>
        </w:rPr>
        <w:t>采购结果，双方订立合同，</w:t>
      </w:r>
      <w:r>
        <w:rPr>
          <w:rFonts w:ascii="宋体" w:hAnsi="宋体"/>
          <w:bCs/>
          <w:color w:val="auto"/>
          <w:sz w:val="24"/>
          <w:highlight w:val="none"/>
        </w:rPr>
        <w:t>共同遵守：</w:t>
      </w:r>
    </w:p>
    <w:p>
      <w:pPr>
        <w:pStyle w:val="17"/>
        <w:snapToGrid w:val="0"/>
        <w:spacing w:line="360" w:lineRule="auto"/>
        <w:rPr>
          <w:rFonts w:hAnsi="宋体"/>
          <w:color w:val="auto"/>
          <w:sz w:val="24"/>
          <w:szCs w:val="24"/>
          <w:highlight w:val="none"/>
        </w:rPr>
      </w:pPr>
      <w:r>
        <w:rPr>
          <w:rFonts w:hint="eastAsia" w:hAnsi="宋体"/>
          <w:color w:val="auto"/>
          <w:sz w:val="24"/>
          <w:szCs w:val="24"/>
          <w:highlight w:val="none"/>
        </w:rPr>
        <w:t>第一条：采购商品清单及合同价格</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中标供应商保证提供如下内容的合格产品： </w:t>
      </w:r>
      <w:r>
        <w:rPr>
          <w:rFonts w:ascii="宋体" w:hAnsi="宋体"/>
          <w:color w:val="auto"/>
          <w:sz w:val="24"/>
          <w:highlight w:val="none"/>
        </w:rPr>
        <w:t xml:space="preserve">  </w:t>
      </w:r>
      <w:r>
        <w:rPr>
          <w:rFonts w:hint="eastAsia" w:ascii="宋体" w:hAnsi="宋体"/>
          <w:color w:val="auto"/>
          <w:sz w:val="24"/>
          <w:highlight w:val="none"/>
        </w:rPr>
        <w:t xml:space="preserve">    金额单位：人民币元</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86"/>
        <w:gridCol w:w="851"/>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napToGrid w:val="0"/>
              <w:spacing w:line="360" w:lineRule="auto"/>
              <w:ind w:firstLine="240"/>
              <w:jc w:val="center"/>
              <w:rPr>
                <w:rFonts w:ascii="宋体" w:hAnsi="宋体"/>
                <w:color w:val="auto"/>
                <w:sz w:val="24"/>
                <w:highlight w:val="none"/>
              </w:rPr>
            </w:pPr>
            <w:r>
              <w:rPr>
                <w:rFonts w:ascii="宋体" w:hAnsi="宋体"/>
                <w:color w:val="auto"/>
                <w:sz w:val="24"/>
                <w:highlight w:val="none"/>
              </w:rPr>
              <w:t>产品名称</w:t>
            </w:r>
          </w:p>
        </w:tc>
        <w:tc>
          <w:tcPr>
            <w:tcW w:w="3086" w:type="dxa"/>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型号规格和主要配置</w:t>
            </w:r>
          </w:p>
        </w:tc>
        <w:tc>
          <w:tcPr>
            <w:tcW w:w="851" w:type="dxa"/>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数量</w:t>
            </w:r>
          </w:p>
        </w:tc>
        <w:tc>
          <w:tcPr>
            <w:tcW w:w="1984" w:type="dxa"/>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中标价</w:t>
            </w:r>
          </w:p>
        </w:tc>
        <w:tc>
          <w:tcPr>
            <w:tcW w:w="1559" w:type="dxa"/>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vAlign w:val="center"/>
          </w:tcPr>
          <w:p>
            <w:pPr>
              <w:snapToGrid w:val="0"/>
              <w:spacing w:line="360" w:lineRule="auto"/>
              <w:jc w:val="center"/>
              <w:rPr>
                <w:rFonts w:ascii="宋体" w:hAnsi="宋体"/>
                <w:color w:val="auto"/>
                <w:sz w:val="24"/>
                <w:highlight w:val="none"/>
              </w:rPr>
            </w:pPr>
          </w:p>
        </w:tc>
        <w:tc>
          <w:tcPr>
            <w:tcW w:w="3086" w:type="dxa"/>
            <w:vAlign w:val="center"/>
          </w:tcPr>
          <w:p>
            <w:pPr>
              <w:snapToGrid w:val="0"/>
              <w:spacing w:line="360" w:lineRule="auto"/>
              <w:jc w:val="center"/>
              <w:rPr>
                <w:rFonts w:ascii="宋体" w:hAnsi="宋体"/>
                <w:color w:val="auto"/>
                <w:sz w:val="24"/>
                <w:highlight w:val="none"/>
              </w:rPr>
            </w:pPr>
          </w:p>
        </w:tc>
        <w:tc>
          <w:tcPr>
            <w:tcW w:w="851" w:type="dxa"/>
            <w:vAlign w:val="center"/>
          </w:tcPr>
          <w:p>
            <w:pPr>
              <w:snapToGrid w:val="0"/>
              <w:spacing w:line="360" w:lineRule="auto"/>
              <w:jc w:val="center"/>
              <w:rPr>
                <w:rFonts w:ascii="宋体" w:hAnsi="宋体"/>
                <w:color w:val="auto"/>
                <w:sz w:val="24"/>
                <w:highlight w:val="none"/>
              </w:rPr>
            </w:pPr>
          </w:p>
        </w:tc>
        <w:tc>
          <w:tcPr>
            <w:tcW w:w="1984" w:type="dxa"/>
            <w:vAlign w:val="center"/>
          </w:tcPr>
          <w:p>
            <w:pPr>
              <w:snapToGrid w:val="0"/>
              <w:spacing w:line="360" w:lineRule="auto"/>
              <w:jc w:val="center"/>
              <w:rPr>
                <w:rFonts w:ascii="宋体" w:hAnsi="宋体"/>
                <w:color w:val="auto"/>
                <w:sz w:val="24"/>
                <w:highlight w:val="none"/>
              </w:rPr>
            </w:pPr>
          </w:p>
        </w:tc>
        <w:tc>
          <w:tcPr>
            <w:tcW w:w="1559" w:type="dxa"/>
            <w:vAlign w:val="center"/>
          </w:tcPr>
          <w:p>
            <w:pPr>
              <w:snapToGrid w:val="0"/>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2267" w:type="dxa"/>
            <w:vAlign w:val="center"/>
          </w:tcPr>
          <w:p>
            <w:pPr>
              <w:snapToGrid w:val="0"/>
              <w:spacing w:line="360" w:lineRule="auto"/>
              <w:jc w:val="center"/>
              <w:rPr>
                <w:rFonts w:ascii="宋体" w:hAnsi="宋体"/>
                <w:color w:val="auto"/>
                <w:sz w:val="24"/>
                <w:highlight w:val="none"/>
              </w:rPr>
            </w:pPr>
          </w:p>
        </w:tc>
        <w:tc>
          <w:tcPr>
            <w:tcW w:w="3086" w:type="dxa"/>
            <w:vAlign w:val="center"/>
          </w:tcPr>
          <w:p>
            <w:pPr>
              <w:snapToGrid w:val="0"/>
              <w:spacing w:line="360" w:lineRule="auto"/>
              <w:jc w:val="center"/>
              <w:rPr>
                <w:rFonts w:ascii="宋体" w:hAnsi="宋体"/>
                <w:color w:val="auto"/>
                <w:sz w:val="24"/>
                <w:highlight w:val="none"/>
              </w:rPr>
            </w:pPr>
          </w:p>
        </w:tc>
        <w:tc>
          <w:tcPr>
            <w:tcW w:w="851" w:type="dxa"/>
            <w:vAlign w:val="center"/>
          </w:tcPr>
          <w:p>
            <w:pPr>
              <w:snapToGrid w:val="0"/>
              <w:spacing w:line="360" w:lineRule="auto"/>
              <w:jc w:val="center"/>
              <w:rPr>
                <w:rFonts w:ascii="宋体" w:hAnsi="宋体"/>
                <w:color w:val="auto"/>
                <w:sz w:val="24"/>
                <w:highlight w:val="none"/>
              </w:rPr>
            </w:pPr>
          </w:p>
        </w:tc>
        <w:tc>
          <w:tcPr>
            <w:tcW w:w="1984" w:type="dxa"/>
            <w:vAlign w:val="center"/>
          </w:tcPr>
          <w:p>
            <w:pPr>
              <w:snapToGrid w:val="0"/>
              <w:spacing w:line="360" w:lineRule="auto"/>
              <w:jc w:val="center"/>
              <w:rPr>
                <w:rFonts w:ascii="宋体" w:hAnsi="宋体"/>
                <w:color w:val="auto"/>
                <w:sz w:val="24"/>
                <w:highlight w:val="none"/>
              </w:rPr>
            </w:pPr>
          </w:p>
        </w:tc>
        <w:tc>
          <w:tcPr>
            <w:tcW w:w="1559" w:type="dxa"/>
            <w:vAlign w:val="center"/>
          </w:tcPr>
          <w:p>
            <w:pPr>
              <w:snapToGrid w:val="0"/>
              <w:spacing w:line="360" w:lineRule="auto"/>
              <w:jc w:val="center"/>
              <w:rPr>
                <w:rFonts w:ascii="宋体" w:hAnsi="宋体"/>
                <w:color w:val="auto"/>
                <w:sz w:val="24"/>
                <w:highlight w:val="none"/>
              </w:rPr>
            </w:pPr>
          </w:p>
        </w:tc>
      </w:tr>
    </w:tbl>
    <w:p>
      <w:pPr>
        <w:pStyle w:val="17"/>
        <w:snapToGrid w:val="0"/>
        <w:spacing w:line="360" w:lineRule="auto"/>
        <w:rPr>
          <w:rFonts w:hAnsi="宋体"/>
          <w:color w:val="auto"/>
          <w:sz w:val="24"/>
          <w:szCs w:val="24"/>
          <w:highlight w:val="none"/>
        </w:rPr>
      </w:pPr>
      <w:r>
        <w:rPr>
          <w:rFonts w:hint="eastAsia" w:hAnsi="宋体"/>
          <w:color w:val="auto"/>
          <w:sz w:val="24"/>
          <w:szCs w:val="24"/>
          <w:highlight w:val="none"/>
        </w:rPr>
        <w:t>第二条：质量标准和要求</w:t>
      </w:r>
    </w:p>
    <w:p>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17"/>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2、中标供应商所出售的货物还应符合国家、浙江省和温州市有关安全、环保、卫生之规定。</w:t>
      </w:r>
    </w:p>
    <w:p>
      <w:pPr>
        <w:snapToGrid w:val="0"/>
        <w:spacing w:line="360" w:lineRule="auto"/>
        <w:rPr>
          <w:rFonts w:ascii="宋体" w:hAnsi="宋体"/>
          <w:color w:val="auto"/>
          <w:sz w:val="24"/>
          <w:highlight w:val="none"/>
        </w:rPr>
      </w:pPr>
      <w:r>
        <w:rPr>
          <w:rFonts w:hint="eastAsia" w:ascii="宋体" w:hAnsi="宋体"/>
          <w:color w:val="auto"/>
          <w:sz w:val="24"/>
          <w:highlight w:val="none"/>
        </w:rPr>
        <w:t>第三条：权利瑕疵担保</w:t>
      </w:r>
    </w:p>
    <w:p>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1、中标供应商保证对其出售的货物享有合法的权利。</w:t>
      </w:r>
    </w:p>
    <w:p>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2、中标供应商保证在其出售的货物上不存在任何未曾向采购人透露的担保物权，如抵押权、质押权、留置权等。</w:t>
      </w:r>
    </w:p>
    <w:p>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3、中标供应商保证其所出售的货物没有侵犯任何第三人的知识产权和商业秘密等权利。</w:t>
      </w:r>
    </w:p>
    <w:p>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4、如采购人使用该货物构成上述侵权的，则由中标供应商承担全部责任。</w:t>
      </w:r>
    </w:p>
    <w:p>
      <w:pPr>
        <w:snapToGrid w:val="0"/>
        <w:spacing w:line="360" w:lineRule="auto"/>
        <w:rPr>
          <w:rFonts w:ascii="宋体" w:hAnsi="宋体"/>
          <w:color w:val="auto"/>
          <w:sz w:val="24"/>
          <w:highlight w:val="none"/>
        </w:rPr>
      </w:pPr>
      <w:r>
        <w:rPr>
          <w:rFonts w:hint="eastAsia" w:ascii="宋体" w:hAnsi="宋体"/>
          <w:color w:val="auto"/>
          <w:sz w:val="24"/>
          <w:highlight w:val="none"/>
        </w:rPr>
        <w:t>第四条：包装要求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1、中标供应商所出售的全部货物均应按标准保护措施进行包装，这类包装应适应于远距离运输、防潮、防震、防锈和防野蛮装卸等要求，以确保货物安全无损地运抵指定现场。</w:t>
      </w:r>
    </w:p>
    <w:p>
      <w:pPr>
        <w:pStyle w:val="17"/>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2、每一个包装箱内应附一份详细装箱单和质量证书。</w:t>
      </w:r>
    </w:p>
    <w:p>
      <w:pPr>
        <w:snapToGrid w:val="0"/>
        <w:spacing w:line="360" w:lineRule="auto"/>
        <w:rPr>
          <w:rFonts w:ascii="宋体" w:hAnsi="宋体"/>
          <w:color w:val="auto"/>
          <w:sz w:val="24"/>
          <w:highlight w:val="none"/>
        </w:rPr>
      </w:pPr>
      <w:r>
        <w:rPr>
          <w:rFonts w:hint="eastAsia" w:ascii="宋体" w:hAnsi="宋体"/>
          <w:color w:val="auto"/>
          <w:sz w:val="24"/>
          <w:highlight w:val="none"/>
        </w:rPr>
        <w:t>第五条：交货时间及地点</w:t>
      </w:r>
    </w:p>
    <w:p>
      <w:pPr>
        <w:pStyle w:val="17"/>
        <w:snapToGrid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1、交货时间：详见采购文件第四部分</w:t>
      </w:r>
      <w:r>
        <w:rPr>
          <w:rFonts w:hint="eastAsia" w:hAnsi="宋体"/>
          <w:b/>
          <w:bCs/>
          <w:color w:val="auto"/>
          <w:sz w:val="24"/>
          <w:szCs w:val="24"/>
          <w:highlight w:val="none"/>
        </w:rPr>
        <w:t>，交货地点：按采购人指定地点交货。</w:t>
      </w:r>
    </w:p>
    <w:p>
      <w:pPr>
        <w:snapToGrid w:val="0"/>
        <w:spacing w:line="360" w:lineRule="auto"/>
        <w:rPr>
          <w:rFonts w:ascii="宋体" w:hAnsi="宋体"/>
          <w:color w:val="auto"/>
          <w:sz w:val="24"/>
          <w:highlight w:val="none"/>
        </w:rPr>
      </w:pPr>
      <w:r>
        <w:rPr>
          <w:rFonts w:hint="eastAsia" w:ascii="宋体" w:hAnsi="宋体"/>
          <w:color w:val="auto"/>
          <w:sz w:val="24"/>
          <w:highlight w:val="none"/>
        </w:rPr>
        <w:t>第六条：到货、安装与验收</w:t>
      </w:r>
    </w:p>
    <w:p>
      <w:pPr>
        <w:pStyle w:val="17"/>
        <w:snapToGrid w:val="0"/>
        <w:spacing w:line="360" w:lineRule="auto"/>
        <w:ind w:firstLine="480" w:firstLineChars="200"/>
        <w:rPr>
          <w:rFonts w:hAnsi="宋体"/>
          <w:bCs/>
          <w:color w:val="auto"/>
          <w:sz w:val="24"/>
          <w:szCs w:val="24"/>
          <w:highlight w:val="none"/>
        </w:rPr>
        <w:sectPr>
          <w:footerReference r:id="rId5" w:type="first"/>
          <w:footerReference r:id="rId3" w:type="default"/>
          <w:footerReference r:id="rId4" w:type="even"/>
          <w:pgSz w:w="11906" w:h="16838"/>
          <w:pgMar w:top="1247" w:right="1247" w:bottom="1247" w:left="1247" w:header="851" w:footer="992" w:gutter="0"/>
          <w:cols w:space="720" w:num="1"/>
          <w:docGrid w:type="lines" w:linePitch="317" w:charSpace="0"/>
        </w:sectPr>
      </w:pPr>
    </w:p>
    <w:p>
      <w:pPr>
        <w:pStyle w:val="1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1、中标供应商送货至指定地点后，由采购人根据货物的技术规格要求和质量标准，对货物进行检查，货物的数量不足或表面瑕疵，采购人应当面提出。中标供应商应负责按照采购人的要求采取补足、更换或退货等处理措施，并承担由此发生的一切费用和损失。</w:t>
      </w:r>
    </w:p>
    <w:p>
      <w:pPr>
        <w:pStyle w:val="17"/>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2、货物安装、调试、试运行完毕后，如未发现设备质量问题，中标供应商可申请最终验收。</w:t>
      </w:r>
    </w:p>
    <w:p>
      <w:pPr>
        <w:snapToGrid w:val="0"/>
        <w:spacing w:line="360" w:lineRule="auto"/>
        <w:rPr>
          <w:rFonts w:ascii="宋体" w:hAnsi="宋体"/>
          <w:color w:val="auto"/>
          <w:sz w:val="24"/>
          <w:highlight w:val="none"/>
        </w:rPr>
      </w:pPr>
      <w:r>
        <w:rPr>
          <w:rFonts w:hint="eastAsia" w:ascii="宋体" w:hAnsi="宋体"/>
          <w:color w:val="auto"/>
          <w:sz w:val="24"/>
          <w:highlight w:val="none"/>
        </w:rPr>
        <w:t>第七条：售后服务</w:t>
      </w:r>
    </w:p>
    <w:p>
      <w:pPr>
        <w:snapToGrid w:val="0"/>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详见采购文件第四部分。</w:t>
      </w:r>
    </w:p>
    <w:p>
      <w:pPr>
        <w:snapToGrid w:val="0"/>
        <w:spacing w:line="360" w:lineRule="auto"/>
        <w:rPr>
          <w:rFonts w:ascii="宋体" w:hAnsi="宋体"/>
          <w:color w:val="auto"/>
          <w:sz w:val="24"/>
          <w:highlight w:val="none"/>
        </w:rPr>
      </w:pPr>
      <w:r>
        <w:rPr>
          <w:rFonts w:hint="eastAsia" w:ascii="宋体" w:hAnsi="宋体"/>
          <w:color w:val="auto"/>
          <w:sz w:val="24"/>
          <w:highlight w:val="none"/>
        </w:rPr>
        <w:t>第八条：货款的支付</w:t>
      </w:r>
    </w:p>
    <w:p>
      <w:pPr>
        <w:snapToGrid w:val="0"/>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详见采购文件第四部分。</w:t>
      </w:r>
    </w:p>
    <w:p>
      <w:pPr>
        <w:snapToGrid w:val="0"/>
        <w:spacing w:line="360" w:lineRule="auto"/>
        <w:rPr>
          <w:rFonts w:ascii="宋体" w:hAnsi="宋体"/>
          <w:color w:val="auto"/>
          <w:sz w:val="24"/>
          <w:highlight w:val="none"/>
        </w:rPr>
      </w:pPr>
      <w:r>
        <w:rPr>
          <w:rFonts w:hint="eastAsia" w:ascii="宋体" w:hAnsi="宋体"/>
          <w:color w:val="auto"/>
          <w:sz w:val="24"/>
          <w:highlight w:val="none"/>
        </w:rPr>
        <w:t>第九条：人员配置</w:t>
      </w:r>
    </w:p>
    <w:p>
      <w:pPr>
        <w:snapToGrid w:val="0"/>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乙方必须按中标承诺配置配备人员，且聘用的工作人员必须符合劳动部门有关用工规定，并经相关专业考核合格后持证上岗，甲方有权进行审核，并提出整改意见。如乙方未按要求配置人员，甲方有权直接解除合同。</w:t>
      </w:r>
    </w:p>
    <w:p>
      <w:pPr>
        <w:widowControl/>
        <w:autoSpaceDE w:val="0"/>
        <w:autoSpaceDN w:val="0"/>
        <w:adjustRightInd w:val="0"/>
        <w:spacing w:line="360" w:lineRule="auto"/>
        <w:textAlignment w:val="bottom"/>
        <w:rPr>
          <w:rFonts w:ascii="宋体" w:hAnsi="宋体"/>
          <w:color w:val="auto"/>
          <w:sz w:val="24"/>
          <w:highlight w:val="none"/>
        </w:rPr>
      </w:pPr>
      <w:r>
        <w:rPr>
          <w:rFonts w:hint="eastAsia" w:ascii="宋体" w:hAnsi="宋体"/>
          <w:color w:val="auto"/>
          <w:sz w:val="24"/>
          <w:highlight w:val="none"/>
        </w:rPr>
        <w:t>第十条：辅助服务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中标供应商应提交所提供货物的技术文件，包括相应的每一套设备的中文技术文件，例如：产品目录、使用说明、维护手册和/或服务指南。这些文件应包装好随同货物一起发运。</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中标供应商还应提供下列服务：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（1）货物的现场安装、调试、启动监督及技术支持；</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（2）在项目现场就货物的指导安装、启动、运营、维护对采购人操作人员进行培训。</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辅助服务的费用包含在合同价中，采购人不再另行支付。</w:t>
      </w:r>
    </w:p>
    <w:p>
      <w:pPr>
        <w:pStyle w:val="17"/>
        <w:snapToGrid w:val="0"/>
        <w:spacing w:line="360" w:lineRule="auto"/>
        <w:rPr>
          <w:rFonts w:hAnsi="宋体"/>
          <w:color w:val="auto"/>
          <w:sz w:val="24"/>
          <w:szCs w:val="24"/>
          <w:highlight w:val="none"/>
        </w:rPr>
      </w:pPr>
      <w:r>
        <w:rPr>
          <w:rFonts w:hint="eastAsia" w:hAnsi="宋体"/>
          <w:color w:val="auto"/>
          <w:sz w:val="24"/>
          <w:szCs w:val="24"/>
          <w:highlight w:val="none"/>
        </w:rPr>
        <w:t>第十一条：质量保证</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中标供应商应保证所供货物是全新的、未使用过的，并完全符合合同规定的质量、规格和性能的要求。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在质量保证期内，如果货物的质量或规格与合同不符，或证实货物是有缺陷的，包括潜在的缺陷或使用不符合要求的材料等，采购人可以根据本合同第十二条规定以书面形式向中标供应商提出补救措施或索赔。</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中标供应商在约定的时间内未能弥补缺陷，采购人可采取必要的补救措施，但其风险和费用将由中标供应商承担，采购人根据合同规定对中标供应商行使的其他权利不受影响。</w:t>
      </w:r>
    </w:p>
    <w:p>
      <w:pPr>
        <w:snapToGrid w:val="0"/>
        <w:spacing w:line="360" w:lineRule="auto"/>
        <w:rPr>
          <w:rFonts w:ascii="宋体" w:hAnsi="宋体"/>
          <w:color w:val="auto"/>
          <w:sz w:val="24"/>
          <w:highlight w:val="none"/>
        </w:rPr>
      </w:pPr>
      <w:r>
        <w:rPr>
          <w:rFonts w:hint="eastAsia" w:ascii="宋体" w:hAnsi="宋体"/>
          <w:color w:val="auto"/>
          <w:sz w:val="24"/>
          <w:highlight w:val="none"/>
        </w:rPr>
        <w:t>第十二条：补救措施和索赔</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1、采购人有权根据权威质量检测部门出具的检验报告向中标供应商提出索赔。</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（1）中标供应商退货并将货款退还给采购人，由此发生的一切费用和损失由中标供应商承担。</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（2）根据货物的质量状况以及采购人所遭受的损失，经过甲乙双方商定降低货物的价格。</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360" w:lineRule="auto"/>
        <w:rPr>
          <w:rFonts w:ascii="宋体" w:hAnsi="宋体"/>
          <w:color w:val="auto"/>
          <w:sz w:val="24"/>
          <w:highlight w:val="none"/>
        </w:rPr>
      </w:pPr>
      <w:r>
        <w:rPr>
          <w:rFonts w:hint="eastAsia" w:ascii="宋体" w:hAnsi="宋体"/>
          <w:color w:val="auto"/>
          <w:sz w:val="24"/>
          <w:highlight w:val="none"/>
        </w:rPr>
        <w:t>第十三条：履约延误</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1、中标供应商应按照《合同》规定的时间、地点交货和提供服务。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3、如中标供应商在规定时间内无法交货，将处于每逾期一天，按合同总价的</w:t>
      </w:r>
      <w:r>
        <w:rPr>
          <w:rFonts w:ascii="宋体" w:hAnsi="宋体"/>
          <w:color w:val="auto"/>
          <w:sz w:val="24"/>
          <w:highlight w:val="none"/>
        </w:rPr>
        <w:t>0.5</w:t>
      </w:r>
      <w:r>
        <w:rPr>
          <w:rFonts w:hint="eastAsia" w:ascii="宋体" w:hAnsi="宋体"/>
          <w:color w:val="auto"/>
          <w:sz w:val="24"/>
          <w:highlight w:val="none"/>
        </w:rPr>
        <w:t>%罚款。逾期的违约赔偿最高限度为合同总价的5%，如违约金达到最高限额时中标供应商仍不能交货，采购人可终止合同。</w:t>
      </w:r>
    </w:p>
    <w:p>
      <w:pPr>
        <w:snapToGrid w:val="0"/>
        <w:spacing w:line="360" w:lineRule="auto"/>
        <w:rPr>
          <w:rFonts w:ascii="宋体" w:hAnsi="宋体"/>
          <w:color w:val="auto"/>
          <w:sz w:val="24"/>
          <w:highlight w:val="none"/>
        </w:rPr>
      </w:pPr>
      <w:r>
        <w:rPr>
          <w:rFonts w:hint="eastAsia" w:ascii="宋体" w:hAnsi="宋体"/>
          <w:color w:val="auto"/>
          <w:sz w:val="24"/>
          <w:highlight w:val="none"/>
        </w:rPr>
        <w:t>第十四条：不可抗力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1、如果合同各方因不可抗力而导致合同实施延误或不能履行合同义务的话，不应该承担误期赔偿或不能履行合同义务的责任。</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7"/>
        <w:snapToGrid w:val="0"/>
        <w:spacing w:line="360" w:lineRule="auto"/>
        <w:rPr>
          <w:rFonts w:hAnsi="宋体"/>
          <w:color w:val="auto"/>
          <w:sz w:val="24"/>
          <w:szCs w:val="24"/>
          <w:highlight w:val="none"/>
        </w:rPr>
      </w:pPr>
      <w:r>
        <w:rPr>
          <w:rFonts w:hint="eastAsia" w:hAnsi="宋体"/>
          <w:color w:val="auto"/>
          <w:sz w:val="24"/>
          <w:szCs w:val="24"/>
          <w:highlight w:val="none"/>
        </w:rPr>
        <w:t>第十五条：争议的解决</w:t>
      </w:r>
    </w:p>
    <w:p>
      <w:pPr>
        <w:pStyle w:val="17"/>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360" w:lineRule="auto"/>
        <w:rPr>
          <w:rFonts w:ascii="宋体" w:hAnsi="宋体"/>
          <w:color w:val="auto"/>
          <w:sz w:val="24"/>
          <w:highlight w:val="none"/>
        </w:rPr>
      </w:pPr>
      <w:r>
        <w:rPr>
          <w:rFonts w:hint="eastAsia" w:ascii="宋体" w:hAnsi="宋体"/>
          <w:color w:val="auto"/>
          <w:sz w:val="24"/>
          <w:highlight w:val="none"/>
        </w:rPr>
        <w:t>第十六条：违约处理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1、在采购人对中标供应商违约而采取的任何补救措施不受影响的情况下，采购人可在下列情况下向中标供应商发出书面通知书，提出终止部分或全部合同。</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（1）中标供应商提供的产品质量、配置不符合国家规定和承诺的标准；</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（2）中标供应商没有按承诺的时间供货、维修或提供其他服务；</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（3）中标供应商没有按承诺的价格或优惠率签订合同并供货；</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）中标供应商没有按要求配置人员；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360" w:lineRule="auto"/>
        <w:rPr>
          <w:rFonts w:ascii="宋体" w:hAnsi="宋体"/>
          <w:color w:val="auto"/>
          <w:sz w:val="24"/>
          <w:highlight w:val="none"/>
        </w:rPr>
      </w:pPr>
      <w:r>
        <w:rPr>
          <w:rFonts w:hint="eastAsia" w:ascii="宋体" w:hAnsi="宋体"/>
          <w:color w:val="auto"/>
          <w:sz w:val="24"/>
          <w:highlight w:val="none"/>
        </w:rPr>
        <w:t>第十六条：合同转让和分包</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除采购人事先书面同意外，中标供应商不得转让和分包其应履行的合同义务。</w:t>
      </w:r>
    </w:p>
    <w:p>
      <w:pPr>
        <w:pStyle w:val="17"/>
        <w:snapToGrid w:val="0"/>
        <w:spacing w:line="360" w:lineRule="auto"/>
        <w:rPr>
          <w:rFonts w:hAnsi="宋体"/>
          <w:color w:val="auto"/>
          <w:sz w:val="24"/>
          <w:szCs w:val="24"/>
          <w:highlight w:val="none"/>
        </w:rPr>
      </w:pPr>
      <w:r>
        <w:rPr>
          <w:rFonts w:hint="eastAsia" w:hAnsi="宋体"/>
          <w:color w:val="auto"/>
          <w:sz w:val="24"/>
          <w:szCs w:val="24"/>
          <w:highlight w:val="none"/>
        </w:rPr>
        <w:t>第十七条：合同附件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下列文件与本合同具有同等法律效力：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1、采购人的采购文件与补充文件；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2、中标供应商投标文件；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3、承诺书；</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w:t>
      </w:r>
    </w:p>
    <w:p>
      <w:pPr>
        <w:snapToGrid w:val="0"/>
        <w:spacing w:line="360" w:lineRule="auto"/>
        <w:rPr>
          <w:rFonts w:ascii="宋体" w:hAnsi="宋体"/>
          <w:color w:val="auto"/>
          <w:sz w:val="24"/>
          <w:highlight w:val="none"/>
        </w:rPr>
      </w:pPr>
      <w:r>
        <w:rPr>
          <w:rFonts w:hint="eastAsia" w:ascii="宋体" w:hAnsi="宋体"/>
          <w:color w:val="auto"/>
          <w:sz w:val="24"/>
          <w:highlight w:val="none"/>
        </w:rPr>
        <w:t>第十八条：合同生效</w:t>
      </w:r>
    </w:p>
    <w:p>
      <w:pPr>
        <w:pStyle w:val="17"/>
        <w:snapToGrid w:val="0"/>
        <w:spacing w:line="360" w:lineRule="auto"/>
        <w:ind w:firstLine="480"/>
        <w:rPr>
          <w:rFonts w:hAnsi="宋体"/>
          <w:color w:val="auto"/>
          <w:sz w:val="24"/>
          <w:szCs w:val="24"/>
          <w:highlight w:val="none"/>
        </w:rPr>
      </w:pPr>
      <w:r>
        <w:rPr>
          <w:rFonts w:hint="eastAsia" w:hAnsi="宋体"/>
          <w:color w:val="auto"/>
          <w:sz w:val="24"/>
          <w:szCs w:val="24"/>
          <w:highlight w:val="none"/>
        </w:rPr>
        <w:t>1、如上述文件与本合同有不符之处，以有利于采购人的为准。</w:t>
      </w:r>
    </w:p>
    <w:p>
      <w:pPr>
        <w:pStyle w:val="17"/>
        <w:snapToGrid w:val="0"/>
        <w:spacing w:line="360" w:lineRule="auto"/>
        <w:ind w:firstLine="480"/>
        <w:rPr>
          <w:rFonts w:hAnsi="宋体"/>
          <w:color w:val="auto"/>
          <w:sz w:val="24"/>
          <w:szCs w:val="24"/>
          <w:highlight w:val="none"/>
        </w:rPr>
      </w:pPr>
      <w:r>
        <w:rPr>
          <w:rFonts w:hint="eastAsia" w:hAnsi="宋体"/>
          <w:color w:val="auto"/>
          <w:sz w:val="24"/>
          <w:szCs w:val="24"/>
          <w:highlight w:val="none"/>
        </w:rPr>
        <w:t>2、本合同一式五份，合同双方各执两份，采购代理机构一份，在双方法定代表人或授权代表签署加盖印章后生效。</w:t>
      </w:r>
    </w:p>
    <w:p>
      <w:pPr>
        <w:snapToGrid w:val="0"/>
        <w:spacing w:line="360" w:lineRule="auto"/>
        <w:rPr>
          <w:rFonts w:ascii="宋体" w:hAnsi="宋体"/>
          <w:color w:val="auto"/>
          <w:sz w:val="24"/>
          <w:highlight w:val="none"/>
        </w:rPr>
      </w:pPr>
      <w:r>
        <w:rPr>
          <w:rFonts w:hint="eastAsia" w:ascii="宋体" w:hAnsi="宋体"/>
          <w:color w:val="auto"/>
          <w:sz w:val="24"/>
          <w:highlight w:val="none"/>
        </w:rPr>
        <w:t>第十九条：合同修改</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除了双方签署书面修改合同，并成为本合同不可分割的一部分之外，本合同条件不得有任何变化或修改。</w:t>
      </w:r>
    </w:p>
    <w:p>
      <w:pPr>
        <w:snapToGrid w:val="0"/>
        <w:spacing w:line="360" w:lineRule="auto"/>
        <w:ind w:firstLine="470" w:firstLineChars="196"/>
        <w:rPr>
          <w:rFonts w:ascii="宋体" w:hAnsi="宋体"/>
          <w:color w:val="auto"/>
          <w:sz w:val="24"/>
          <w:highlight w:val="none"/>
        </w:rPr>
      </w:pP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采购人(盖章)：                                 中标供应商（盖章）</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单位法定代表人（或授权代表）：                  单位法定代表人（或授权代表）：</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开户银行：                                     开户银行：</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 xml:space="preserve">开户名称：                                    </w:t>
      </w:r>
      <w:r>
        <w:rPr>
          <w:rFonts w:ascii="宋体" w:hAnsi="宋体"/>
          <w:color w:val="auto"/>
          <w:sz w:val="24"/>
          <w:highlight w:val="none"/>
        </w:rPr>
        <w:t xml:space="preserve"> </w:t>
      </w:r>
      <w:r>
        <w:rPr>
          <w:rFonts w:hint="eastAsia" w:ascii="宋体" w:hAnsi="宋体"/>
          <w:color w:val="auto"/>
          <w:sz w:val="24"/>
          <w:highlight w:val="none"/>
        </w:rPr>
        <w:t>开户名称：</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账号：                                         账号：</w:t>
      </w:r>
    </w:p>
    <w:p>
      <w:pPr>
        <w:snapToGri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签约日期：                                     签约日期：</w:t>
      </w:r>
    </w:p>
    <w:p>
      <w:pPr>
        <w:snapToGrid w:val="0"/>
        <w:spacing w:line="360" w:lineRule="auto"/>
        <w:rPr>
          <w:rFonts w:ascii="宋体" w:hAnsi="宋体"/>
          <w:b/>
          <w:color w:val="auto"/>
          <w:sz w:val="24"/>
          <w:highlight w:val="none"/>
        </w:rPr>
      </w:pPr>
    </w:p>
    <w:p>
      <w:pPr>
        <w:wordWrap w:val="0"/>
        <w:spacing w:line="300" w:lineRule="exact"/>
        <w:ind w:left="-3" w:firstLine="3"/>
        <w:rPr>
          <w:rFonts w:ascii="宋体" w:hAnsi="宋体" w:cs="宋体"/>
          <w:color w:val="auto"/>
          <w:szCs w:val="21"/>
          <w:highlight w:val="none"/>
          <w:u w:val="single"/>
        </w:rPr>
      </w:pPr>
      <w:r>
        <w:rPr>
          <w:rFonts w:ascii="宋体" w:hAnsi="宋体"/>
          <w:b/>
          <w:color w:val="auto"/>
          <w:sz w:val="24"/>
          <w:highlight w:val="none"/>
        </w:rPr>
        <w:t>注：本合同作为示范文本，具体以</w:t>
      </w:r>
      <w:r>
        <w:rPr>
          <w:rFonts w:hint="eastAsia" w:ascii="宋体" w:hAnsi="宋体"/>
          <w:b/>
          <w:color w:val="auto"/>
          <w:sz w:val="24"/>
          <w:highlight w:val="none"/>
        </w:rPr>
        <w:t>中标供应商</w:t>
      </w:r>
      <w:r>
        <w:rPr>
          <w:rFonts w:ascii="宋体" w:hAnsi="宋体"/>
          <w:b/>
          <w:color w:val="auto"/>
          <w:sz w:val="24"/>
          <w:highlight w:val="none"/>
        </w:rPr>
        <w:t>与</w:t>
      </w:r>
      <w:r>
        <w:rPr>
          <w:rFonts w:hint="eastAsia" w:ascii="宋体" w:hAnsi="宋体"/>
          <w:b/>
          <w:color w:val="auto"/>
          <w:sz w:val="24"/>
          <w:highlight w:val="none"/>
        </w:rPr>
        <w:t>采购人</w:t>
      </w:r>
      <w:r>
        <w:rPr>
          <w:rFonts w:ascii="宋体" w:hAnsi="宋体"/>
          <w:b/>
          <w:color w:val="auto"/>
          <w:sz w:val="24"/>
          <w:highlight w:val="none"/>
        </w:rPr>
        <w:t>所签定</w:t>
      </w:r>
      <w:r>
        <w:rPr>
          <w:rFonts w:hint="eastAsia" w:ascii="宋体" w:hAnsi="宋体"/>
          <w:b/>
          <w:color w:val="auto"/>
          <w:sz w:val="24"/>
          <w:highlight w:val="none"/>
        </w:rPr>
        <w:t>的</w:t>
      </w:r>
      <w:r>
        <w:rPr>
          <w:rFonts w:ascii="宋体" w:hAnsi="宋体"/>
          <w:b/>
          <w:color w:val="auto"/>
          <w:sz w:val="24"/>
          <w:highlight w:val="none"/>
        </w:rPr>
        <w:t>正式合同为准</w:t>
      </w:r>
      <w:r>
        <w:rPr>
          <w:rFonts w:hint="eastAsia" w:ascii="宋体" w:hAnsi="宋体"/>
          <w:b/>
          <w:color w:val="auto"/>
          <w:sz w:val="24"/>
          <w:highlight w:val="none"/>
        </w:rPr>
        <w:t>。</w:t>
      </w:r>
    </w:p>
    <w:p>
      <w:pPr>
        <w:ind w:firstLine="810" w:firstLineChars="450"/>
        <w:rPr>
          <w:rFonts w:ascii="宋体" w:hAnsi="宋体" w:cs="宋体"/>
          <w:bCs/>
          <w:color w:val="auto"/>
          <w:sz w:val="18"/>
          <w:szCs w:val="18"/>
          <w:highlight w:val="none"/>
        </w:rPr>
      </w:pPr>
      <w:r>
        <w:rPr>
          <w:rFonts w:hint="eastAsia" w:ascii="宋体" w:hAnsi="宋体" w:cs="宋体"/>
          <w:bCs/>
          <w:color w:val="auto"/>
          <w:sz w:val="18"/>
          <w:szCs w:val="18"/>
          <w:highlight w:val="none"/>
        </w:rPr>
        <w:t xml:space="preserve">                                                     </w:t>
      </w:r>
    </w:p>
    <w:p>
      <w:pPr>
        <w:pStyle w:val="3"/>
        <w:rPr>
          <w:rFonts w:ascii="宋体" w:hAnsi="宋体" w:eastAsia="宋体" w:cs="宋体"/>
          <w:color w:val="auto"/>
          <w:sz w:val="36"/>
          <w:szCs w:val="36"/>
          <w:highlight w:val="none"/>
        </w:rPr>
      </w:pPr>
      <w:r>
        <w:rPr>
          <w:rFonts w:hint="eastAsia" w:ascii="宋体" w:hAnsi="宋体" w:eastAsia="宋体" w:cs="宋体"/>
          <w:b w:val="0"/>
          <w:color w:val="auto"/>
          <w:sz w:val="22"/>
          <w:szCs w:val="22"/>
          <w:highlight w:val="none"/>
        </w:rPr>
        <w:br w:type="page"/>
      </w:r>
      <w:bookmarkStart w:id="188" w:name="_Toc6345"/>
      <w:r>
        <w:rPr>
          <w:rFonts w:hint="eastAsia" w:ascii="宋体" w:hAnsi="宋体" w:eastAsia="宋体" w:cs="宋体"/>
          <w:color w:val="auto"/>
          <w:sz w:val="36"/>
          <w:szCs w:val="36"/>
          <w:highlight w:val="none"/>
        </w:rPr>
        <w:t>第三部分   附件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8"/>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（1-1）法定代表人声明书</w:t>
      </w:r>
    </w:p>
    <w:p>
      <w:pPr>
        <w:spacing w:line="400" w:lineRule="exact"/>
        <w:rPr>
          <w:rFonts w:ascii="宋体" w:hAnsi="宋体" w:cs="宋体"/>
          <w:color w:val="auto"/>
          <w:highlight w:val="none"/>
        </w:rPr>
      </w:pP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温州信达交通工程试验检测有限公司：</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浙江五石中正工程咨询有限公司：</w:t>
      </w:r>
    </w:p>
    <w:p>
      <w:pPr>
        <w:spacing w:line="460" w:lineRule="exact"/>
        <w:rPr>
          <w:rFonts w:ascii="宋体" w:hAnsi="宋体" w:cs="宋体"/>
          <w:color w:val="auto"/>
          <w:sz w:val="22"/>
          <w:szCs w:val="22"/>
          <w:highlight w:val="none"/>
          <w:u w:val="single"/>
        </w:rPr>
      </w:pP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（投标供应商全称）</w:t>
      </w:r>
      <w:r>
        <w:rPr>
          <w:rFonts w:hint="eastAsia" w:ascii="宋体" w:hAnsi="宋体" w:cs="宋体"/>
          <w:color w:val="auto"/>
          <w:sz w:val="22"/>
          <w:szCs w:val="22"/>
          <w:highlight w:val="none"/>
        </w:rPr>
        <w:t>的法定代表人。我公司参加贵单位组织的</w:t>
      </w:r>
      <w:r>
        <w:rPr>
          <w:rFonts w:hint="eastAsia" w:ascii="宋体" w:hAnsi="宋体" w:cs="宋体"/>
          <w:color w:val="auto"/>
          <w:sz w:val="22"/>
          <w:szCs w:val="22"/>
          <w:highlight w:val="none"/>
          <w:u w:val="single"/>
        </w:rPr>
        <w:t>（采购项目、采购编号）</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60" w:lineRule="exact"/>
        <w:ind w:firstLine="3971" w:firstLineChars="180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投标供应商名称（盖章）：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ascii="宋体" w:hAnsi="宋体" w:cs="宋体"/>
          <w:color w:val="auto"/>
          <w:sz w:val="22"/>
          <w:szCs w:val="22"/>
          <w:highlight w:val="none"/>
        </w:rPr>
      </w:pP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p>
    <w:p>
      <w:pPr>
        <w:widowControl/>
        <w:jc w:val="left"/>
        <w:rPr>
          <w:rFonts w:ascii="宋体" w:hAnsi="宋体" w:cs="宋体"/>
          <w:color w:val="auto"/>
          <w:szCs w:val="21"/>
          <w:highlight w:val="none"/>
        </w:rPr>
      </w:pPr>
      <w:r>
        <w:rPr>
          <w:rFonts w:hint="eastAsia" w:ascii="宋体" w:hAnsi="宋体" w:cs="宋体"/>
          <w:b/>
          <w:color w:val="auto"/>
          <w:sz w:val="22"/>
          <w:szCs w:val="22"/>
          <w:highlight w:val="none"/>
        </w:rPr>
        <w:t>附：法定代表人身份证正反面复印件</w:t>
      </w:r>
      <w:r>
        <w:rPr>
          <w:rFonts w:hint="eastAsia" w:ascii="宋体" w:hAnsi="宋体" w:cs="宋体"/>
          <w:color w:val="auto"/>
          <w:szCs w:val="21"/>
          <w:highlight w:val="none"/>
        </w:rPr>
        <w:br w:type="page"/>
      </w:r>
    </w:p>
    <w:p>
      <w:pPr>
        <w:spacing w:line="380" w:lineRule="exact"/>
        <w:jc w:val="center"/>
        <w:rPr>
          <w:rFonts w:ascii="宋体" w:hAnsi="宋体" w:cs="宋体"/>
          <w:b/>
          <w:color w:val="auto"/>
          <w:sz w:val="22"/>
          <w:szCs w:val="22"/>
          <w:highlight w:val="none"/>
        </w:rPr>
      </w:pPr>
    </w:p>
    <w:p>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（1-2）法定代表人授权书</w:t>
      </w:r>
    </w:p>
    <w:p>
      <w:pPr>
        <w:spacing w:line="400" w:lineRule="exact"/>
        <w:jc w:val="center"/>
        <w:rPr>
          <w:rFonts w:ascii="宋体" w:hAnsi="宋体" w:cs="宋体"/>
          <w:b/>
          <w:bCs/>
          <w:color w:val="auto"/>
          <w:sz w:val="28"/>
          <w:szCs w:val="28"/>
          <w:highlight w:val="none"/>
        </w:rPr>
      </w:pP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温州信达交通工程试验检测有限公司：</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浙江五石中正工程咨询有限公司：</w:t>
      </w:r>
    </w:p>
    <w:p>
      <w:pPr>
        <w:spacing w:line="460" w:lineRule="exact"/>
        <w:rPr>
          <w:rFonts w:ascii="宋体" w:hAnsi="宋体" w:cs="宋体"/>
          <w:color w:val="auto"/>
          <w:sz w:val="22"/>
          <w:szCs w:val="22"/>
          <w:highlight w:val="none"/>
          <w:u w:val="single"/>
        </w:rPr>
      </w:pP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u w:val="single"/>
        </w:rPr>
        <w:t>（投标供应商全称）</w:t>
      </w:r>
      <w:r>
        <w:rPr>
          <w:rFonts w:hint="eastAsia" w:ascii="宋体" w:hAnsi="宋体" w:cs="宋体"/>
          <w:color w:val="auto"/>
          <w:sz w:val="22"/>
          <w:szCs w:val="22"/>
          <w:highlight w:val="none"/>
        </w:rPr>
        <w:t xml:space="preserve">法定代表人 </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 授权</w:t>
      </w:r>
      <w:r>
        <w:rPr>
          <w:rFonts w:hint="eastAsia" w:ascii="宋体" w:hAnsi="宋体" w:cs="宋体"/>
          <w:color w:val="auto"/>
          <w:sz w:val="22"/>
          <w:szCs w:val="22"/>
          <w:highlight w:val="none"/>
          <w:u w:val="single"/>
        </w:rPr>
        <w:t>（委托代理人姓名）</w:t>
      </w:r>
      <w:r>
        <w:rPr>
          <w:rFonts w:hint="eastAsia" w:ascii="宋体" w:hAnsi="宋体" w:cs="宋体"/>
          <w:color w:val="auto"/>
          <w:sz w:val="22"/>
          <w:szCs w:val="22"/>
          <w:highlight w:val="none"/>
        </w:rPr>
        <w:t>为本项目全权代表，参加贵单位组织的</w:t>
      </w:r>
      <w:r>
        <w:rPr>
          <w:rFonts w:hint="eastAsia" w:ascii="宋体" w:hAnsi="宋体" w:cs="宋体"/>
          <w:color w:val="auto"/>
          <w:sz w:val="22"/>
          <w:szCs w:val="22"/>
          <w:highlight w:val="none"/>
          <w:u w:val="single"/>
        </w:rPr>
        <w:t>（采购项目、采购编号）</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pPr>
        <w:spacing w:line="460" w:lineRule="exact"/>
        <w:ind w:firstLine="220" w:firstLineChars="100"/>
        <w:rPr>
          <w:rFonts w:ascii="宋体" w:hAnsi="宋体" w:cs="宋体"/>
          <w:color w:val="auto"/>
          <w:sz w:val="22"/>
          <w:szCs w:val="22"/>
          <w:highlight w:val="none"/>
        </w:rPr>
      </w:pPr>
    </w:p>
    <w:p>
      <w:pPr>
        <w:spacing w:line="460" w:lineRule="exact"/>
        <w:ind w:firstLine="550" w:firstLineChars="250"/>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p>
    <w:p>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投标供应商名称（盖章）：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附：法定代表人及授权代表的身份证正反面复印件</w:t>
      </w: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widowControl/>
        <w:jc w:val="left"/>
        <w:rPr>
          <w:rFonts w:ascii="宋体" w:hAnsi="宋体" w:cs="宋体"/>
          <w:b/>
          <w:bCs/>
          <w:color w:val="auto"/>
          <w:highlight w:val="none"/>
        </w:rPr>
      </w:pP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1、若投标供应商代表为法定代表人，应提供声明书（1-1）并提交法定代表人身份证正反面复印件；</w:t>
      </w:r>
    </w:p>
    <w:p>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2、若投标供应商代表为法定代表人授权的委托代理人，应提供授权书（1-2），并附法定代表人及授权代表的身份证正反面复印件。</w:t>
      </w:r>
    </w:p>
    <w:p>
      <w:pPr>
        <w:spacing w:line="460" w:lineRule="exact"/>
        <w:rPr>
          <w:rFonts w:ascii="宋体" w:hAnsi="宋体" w:cs="宋体"/>
          <w:color w:val="auto"/>
          <w:sz w:val="22"/>
          <w:szCs w:val="22"/>
          <w:highlight w:val="none"/>
        </w:rPr>
      </w:pPr>
    </w:p>
    <w:p>
      <w:pPr>
        <w:spacing w:line="380" w:lineRule="exact"/>
        <w:jc w:val="center"/>
        <w:rPr>
          <w:rFonts w:ascii="宋体" w:hAnsi="宋体" w:cs="宋体"/>
          <w:b/>
          <w:bCs/>
          <w:color w:val="auto"/>
          <w:sz w:val="32"/>
          <w:highlight w:val="none"/>
        </w:rPr>
      </w:pPr>
      <w:r>
        <w:rPr>
          <w:rFonts w:hint="eastAsia" w:ascii="宋体" w:hAnsi="宋体" w:cs="宋体"/>
          <w:b/>
          <w:bCs/>
          <w:color w:val="auto"/>
          <w:sz w:val="32"/>
          <w:highlight w:val="none"/>
        </w:rPr>
        <w:br w:type="page"/>
      </w:r>
    </w:p>
    <w:p>
      <w:pPr>
        <w:spacing w:line="380" w:lineRule="exact"/>
        <w:jc w:val="center"/>
        <w:rPr>
          <w:rFonts w:ascii="宋体" w:hAnsi="宋体" w:cs="宋体"/>
          <w:b/>
          <w:bCs/>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b/>
          <w:bCs/>
          <w:color w:val="auto"/>
          <w:sz w:val="22"/>
          <w:szCs w:val="22"/>
          <w:highlight w:val="none"/>
        </w:rPr>
        <w:t>营业执照(或事业法人登记证书或其它工商等登记证明材料)</w:t>
      </w:r>
    </w:p>
    <w:p>
      <w:pPr>
        <w:pStyle w:val="13"/>
        <w:ind w:firstLine="210"/>
        <w:rPr>
          <w:rFonts w:ascii="宋体" w:hAnsi="宋体" w:cs="宋体"/>
          <w:color w:val="auto"/>
          <w:highlight w:val="none"/>
        </w:rPr>
      </w:pP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说明：</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投标供应商为企业的，提供有效的营业执照复印件；投标供应商为事业单位的，提供有效的事业单位法人证书复印件；投标供应商为社会团体的，提供有效的社会团体法人登记证书复印件；投标供应商为合伙企业、个体工商户的，提供有效的营业执照复印件；投标供应商为非企业专业服务机构的，提供有效的执业许可证等证明材料复印件；投标供应商为自然人的，提供有效的自然人身份证件复印件；其他投标供应商应按照有关法律、法规和规章规定，提供有效的相应具体证照复印件。</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2、投标供应商提供的相应证明材料复印件均应符合：内容完整、清晰、整洁，并由投标供应商加盖其单位公章。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3、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13"/>
        <w:ind w:firstLine="0" w:firstLineChars="0"/>
        <w:rPr>
          <w:rFonts w:ascii="宋体" w:hAnsi="宋体" w:cs="宋体"/>
          <w:color w:val="auto"/>
          <w:highlight w:val="none"/>
        </w:rPr>
      </w:pPr>
    </w:p>
    <w:p>
      <w:pPr>
        <w:spacing w:line="380" w:lineRule="exact"/>
        <w:rPr>
          <w:rFonts w:ascii="宋体" w:hAnsi="宋体" w:cs="宋体"/>
          <w:b/>
          <w:bCs/>
          <w:color w:val="auto"/>
          <w:sz w:val="22"/>
          <w:szCs w:val="22"/>
          <w:highlight w:val="none"/>
        </w:rPr>
      </w:pPr>
    </w:p>
    <w:p>
      <w:pPr>
        <w:pStyle w:val="13"/>
        <w:ind w:firstLine="210"/>
        <w:rPr>
          <w:rFonts w:ascii="宋体" w:hAnsi="宋体" w:cs="宋体"/>
          <w:color w:val="auto"/>
          <w:highlight w:val="none"/>
        </w:rPr>
      </w:pPr>
    </w:p>
    <w:p>
      <w:pPr>
        <w:tabs>
          <w:tab w:val="left" w:pos="795"/>
          <w:tab w:val="center" w:pos="4873"/>
        </w:tabs>
        <w:overflowPunct w:val="0"/>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（3）具有良好的商业信誉和健全的财务会计制度的承诺函</w:t>
      </w:r>
    </w:p>
    <w:p>
      <w:pPr>
        <w:widowControl/>
        <w:adjustRightInd w:val="0"/>
        <w:snapToGrid w:val="0"/>
        <w:spacing w:line="440" w:lineRule="exact"/>
        <w:jc w:val="left"/>
        <w:rPr>
          <w:rFonts w:ascii="宋体" w:hAnsi="宋体" w:cs="宋体"/>
          <w:color w:val="auto"/>
          <w:sz w:val="22"/>
          <w:szCs w:val="22"/>
          <w:highlight w:val="none"/>
        </w:rPr>
      </w:pP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温州信达交通工程试验检测有限公司</w:t>
      </w:r>
      <w:r>
        <w:rPr>
          <w:rFonts w:hint="eastAsia" w:ascii="宋体" w:hAnsi="宋体" w:cs="宋体"/>
          <w:color w:val="auto"/>
          <w:kern w:val="0"/>
          <w:sz w:val="22"/>
          <w:szCs w:val="22"/>
          <w:highlight w:val="none"/>
        </w:rPr>
        <w:t>：</w:t>
      </w: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浙江五石中正工程咨询有限公司：</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（投标供应商全称）</w:t>
      </w:r>
      <w:r>
        <w:rPr>
          <w:rFonts w:hint="eastAsia" w:ascii="宋体" w:hAnsi="宋体" w:cs="宋体"/>
          <w:color w:val="auto"/>
          <w:kern w:val="0"/>
          <w:sz w:val="22"/>
          <w:szCs w:val="22"/>
          <w:highlight w:val="none"/>
        </w:rPr>
        <w:t>承诺具有良好的商业信誉和健全的财务会计制度。如有虚假，采购人可取消我方任何资格（投标/中标/签订合同），我方对此无任何异议。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投标供应商名称（盖章） ：</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spacing w:line="380" w:lineRule="exact"/>
        <w:rPr>
          <w:rFonts w:ascii="宋体" w:hAnsi="宋体" w:cs="宋体"/>
          <w:b/>
          <w:color w:val="auto"/>
          <w:sz w:val="22"/>
          <w:szCs w:val="22"/>
          <w:highlight w:val="none"/>
        </w:rPr>
      </w:pPr>
    </w:p>
    <w:p>
      <w:pPr>
        <w:spacing w:line="380" w:lineRule="exact"/>
        <w:rPr>
          <w:rFonts w:ascii="宋体" w:hAnsi="宋体" w:cs="宋体"/>
          <w:b/>
          <w:color w:val="auto"/>
          <w:sz w:val="22"/>
          <w:szCs w:val="22"/>
          <w:highlight w:val="none"/>
        </w:rPr>
      </w:pPr>
    </w:p>
    <w:p>
      <w:pPr>
        <w:pStyle w:val="13"/>
        <w:ind w:firstLine="210"/>
        <w:rPr>
          <w:rFonts w:ascii="宋体" w:hAnsi="宋体" w:cs="宋体"/>
          <w:color w:val="auto"/>
          <w:highlight w:val="none"/>
        </w:rPr>
      </w:pPr>
    </w:p>
    <w:p>
      <w:pPr>
        <w:tabs>
          <w:tab w:val="left" w:pos="795"/>
          <w:tab w:val="center" w:pos="4873"/>
        </w:tabs>
        <w:overflowPunct w:val="0"/>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（4） 具有履行合同所必需的设备和专业技术、售后保障等能力的承诺函</w:t>
      </w:r>
    </w:p>
    <w:p>
      <w:pPr>
        <w:widowControl/>
        <w:adjustRightInd w:val="0"/>
        <w:snapToGrid w:val="0"/>
        <w:spacing w:line="440" w:lineRule="exact"/>
        <w:jc w:val="left"/>
        <w:rPr>
          <w:rFonts w:ascii="宋体" w:hAnsi="宋体" w:cs="宋体"/>
          <w:color w:val="auto"/>
          <w:kern w:val="0"/>
          <w:sz w:val="22"/>
          <w:szCs w:val="22"/>
          <w:highlight w:val="none"/>
          <w:u w:val="single"/>
        </w:rPr>
      </w:pP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温州信达交通工程试验检测有限公司</w:t>
      </w:r>
      <w:r>
        <w:rPr>
          <w:rFonts w:hint="eastAsia" w:ascii="宋体" w:hAnsi="宋体" w:cs="宋体"/>
          <w:color w:val="auto"/>
          <w:kern w:val="0"/>
          <w:sz w:val="22"/>
          <w:szCs w:val="22"/>
          <w:highlight w:val="none"/>
        </w:rPr>
        <w:t>：</w:t>
      </w: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浙江五石中正工程咨询有限公司：</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（投标供应商全称）</w:t>
      </w:r>
      <w:r>
        <w:rPr>
          <w:rFonts w:hint="eastAsia" w:ascii="宋体" w:hAnsi="宋体" w:cs="宋体"/>
          <w:color w:val="auto"/>
          <w:kern w:val="0"/>
          <w:sz w:val="22"/>
          <w:szCs w:val="22"/>
          <w:highlight w:val="none"/>
        </w:rPr>
        <w:t>承诺具有履行合同所必需的设备和专业技术、售后保障等能力。如有虚假，采购人可取消我方任何资格（投标/中标/签订合同），我方对此无任何异议。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投标供应商名称（盖章） ：</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overflowPunct w:val="0"/>
        <w:spacing w:line="440" w:lineRule="exact"/>
        <w:rPr>
          <w:rFonts w:ascii="宋体" w:hAnsi="宋体" w:cs="宋体"/>
          <w:b/>
          <w:bCs/>
          <w:color w:val="auto"/>
          <w:sz w:val="22"/>
          <w:szCs w:val="22"/>
          <w:highlight w:val="none"/>
        </w:rPr>
      </w:pPr>
    </w:p>
    <w:p>
      <w:pPr>
        <w:pStyle w:val="13"/>
        <w:ind w:firstLine="210"/>
        <w:rPr>
          <w:rFonts w:ascii="宋体" w:hAnsi="宋体" w:cs="宋体"/>
          <w:color w:val="auto"/>
          <w:highlight w:val="none"/>
        </w:rPr>
      </w:pPr>
    </w:p>
    <w:p>
      <w:pPr>
        <w:pStyle w:val="13"/>
        <w:ind w:firstLine="210"/>
        <w:rPr>
          <w:rFonts w:ascii="宋体" w:hAnsi="宋体" w:cs="宋体"/>
          <w:color w:val="auto"/>
          <w:highlight w:val="none"/>
        </w:rPr>
      </w:pPr>
    </w:p>
    <w:p>
      <w:pPr>
        <w:tabs>
          <w:tab w:val="left" w:pos="795"/>
          <w:tab w:val="center" w:pos="4873"/>
        </w:tabs>
        <w:overflowPunct w:val="0"/>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（5） 具有依法缴纳税收和社会保障资金的良好记录的承诺函</w:t>
      </w:r>
    </w:p>
    <w:p>
      <w:pPr>
        <w:pStyle w:val="13"/>
        <w:ind w:firstLine="221"/>
        <w:jc w:val="center"/>
        <w:rPr>
          <w:rFonts w:ascii="宋体" w:hAnsi="宋体" w:cs="宋体"/>
          <w:b/>
          <w:bCs/>
          <w:color w:val="auto"/>
          <w:sz w:val="22"/>
          <w:szCs w:val="22"/>
          <w:highlight w:val="none"/>
        </w:rPr>
      </w:pPr>
    </w:p>
    <w:p>
      <w:pPr>
        <w:pStyle w:val="13"/>
        <w:ind w:firstLine="221"/>
        <w:jc w:val="center"/>
        <w:rPr>
          <w:rFonts w:ascii="宋体" w:hAnsi="宋体" w:cs="宋体"/>
          <w:b/>
          <w:bCs/>
          <w:color w:val="auto"/>
          <w:sz w:val="22"/>
          <w:szCs w:val="22"/>
          <w:highlight w:val="none"/>
        </w:rPr>
      </w:pP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温州信达交通工程试验检测有限公司</w:t>
      </w:r>
      <w:r>
        <w:rPr>
          <w:rFonts w:hint="eastAsia" w:ascii="宋体" w:hAnsi="宋体" w:cs="宋体"/>
          <w:color w:val="auto"/>
          <w:kern w:val="0"/>
          <w:sz w:val="22"/>
          <w:szCs w:val="22"/>
          <w:highlight w:val="none"/>
        </w:rPr>
        <w:t>：</w:t>
      </w: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浙江五石中正工程咨询有限公司：</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（投标供应商全称）</w:t>
      </w:r>
      <w:r>
        <w:rPr>
          <w:rFonts w:hint="eastAsia" w:ascii="宋体" w:hAnsi="宋体" w:cs="宋体"/>
          <w:color w:val="auto"/>
          <w:kern w:val="0"/>
          <w:sz w:val="22"/>
          <w:szCs w:val="22"/>
          <w:highlight w:val="none"/>
        </w:rPr>
        <w:t>承诺具有依法缴纳税收和社会保障资金的良好记录。如有虚假，采购人可取消我方任何资格（投标/中标/签订合同），我方对此无任何异议。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投标供应商名称（盖章） ：</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pStyle w:val="13"/>
        <w:ind w:firstLine="221"/>
        <w:jc w:val="center"/>
        <w:rPr>
          <w:rFonts w:ascii="宋体" w:hAnsi="宋体" w:cs="宋体"/>
          <w:b/>
          <w:bCs/>
          <w:color w:val="auto"/>
          <w:sz w:val="22"/>
          <w:szCs w:val="22"/>
          <w:highlight w:val="none"/>
        </w:rPr>
      </w:pPr>
    </w:p>
    <w:p>
      <w:pPr>
        <w:overflowPunct w:val="0"/>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（6）参加采购、招投标等活动前三年内（新成立不满三年的组织机构自成立之日起算）在经营活动中没有重大违法记录的声明函</w:t>
      </w:r>
    </w:p>
    <w:p>
      <w:pPr>
        <w:widowControl/>
        <w:adjustRightInd w:val="0"/>
        <w:snapToGrid w:val="0"/>
        <w:spacing w:line="440" w:lineRule="exact"/>
        <w:jc w:val="left"/>
        <w:rPr>
          <w:rFonts w:ascii="宋体" w:hAnsi="宋体" w:cs="宋体"/>
          <w:color w:val="auto"/>
          <w:kern w:val="0"/>
          <w:sz w:val="22"/>
          <w:szCs w:val="22"/>
          <w:highlight w:val="none"/>
          <w:u w:val="single"/>
        </w:rPr>
      </w:pP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温州信达交通工程试验检测有限公司</w:t>
      </w:r>
      <w:r>
        <w:rPr>
          <w:rFonts w:hint="eastAsia" w:ascii="宋体" w:hAnsi="宋体" w:cs="宋体"/>
          <w:color w:val="auto"/>
          <w:kern w:val="0"/>
          <w:sz w:val="22"/>
          <w:szCs w:val="22"/>
          <w:highlight w:val="none"/>
        </w:rPr>
        <w:t>：</w:t>
      </w: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浙江五石中正工程咨询有限公司：</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（投标供应商全称）</w:t>
      </w:r>
      <w:r>
        <w:rPr>
          <w:rFonts w:hint="eastAsia" w:ascii="宋体" w:hAnsi="宋体" w:cs="宋体"/>
          <w:color w:val="auto"/>
          <w:kern w:val="0"/>
          <w:sz w:val="22"/>
          <w:szCs w:val="22"/>
          <w:highlight w:val="none"/>
        </w:rPr>
        <w:t>参加本次采购、招投标等活动前三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投标供应商名称（盖章） ：</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pStyle w:val="17"/>
        <w:snapToGrid w:val="0"/>
        <w:spacing w:line="460" w:lineRule="atLeast"/>
        <w:ind w:left="720" w:hanging="720"/>
        <w:jc w:val="center"/>
        <w:rPr>
          <w:rFonts w:hAnsi="宋体" w:cs="宋体"/>
          <w:b/>
          <w:color w:val="auto"/>
          <w:sz w:val="22"/>
          <w:szCs w:val="22"/>
          <w:highlight w:val="none"/>
        </w:rPr>
      </w:pPr>
    </w:p>
    <w:p>
      <w:pPr>
        <w:pStyle w:val="17"/>
        <w:snapToGrid w:val="0"/>
        <w:spacing w:line="460" w:lineRule="atLeast"/>
        <w:ind w:left="720" w:hanging="720"/>
        <w:jc w:val="center"/>
        <w:rPr>
          <w:rFonts w:hAnsi="宋体" w:cs="宋体"/>
          <w:b/>
          <w:color w:val="auto"/>
          <w:sz w:val="22"/>
          <w:szCs w:val="22"/>
          <w:highlight w:val="none"/>
        </w:rPr>
      </w:pPr>
      <w:r>
        <w:rPr>
          <w:rFonts w:hint="eastAsia" w:hAnsi="宋体" w:cs="宋体"/>
          <w:b/>
          <w:color w:val="auto"/>
          <w:sz w:val="22"/>
          <w:szCs w:val="22"/>
          <w:highlight w:val="none"/>
        </w:rPr>
        <w:t>（7）</w:t>
      </w:r>
      <w:r>
        <w:rPr>
          <w:rFonts w:hint="eastAsia" w:hAnsi="宋体" w:cs="宋体"/>
          <w:b/>
          <w:bCs/>
          <w:color w:val="auto"/>
          <w:sz w:val="22"/>
          <w:szCs w:val="22"/>
          <w:highlight w:val="none"/>
        </w:rPr>
        <w:t>声明书（单位负责人为同一人或者存在直接控股、管理关系的不同投标供应商，不得参加同一合同项下的采购活动）</w:t>
      </w:r>
    </w:p>
    <w:p>
      <w:pPr>
        <w:widowControl/>
        <w:adjustRightInd w:val="0"/>
        <w:snapToGrid w:val="0"/>
        <w:spacing w:line="440" w:lineRule="exact"/>
        <w:jc w:val="left"/>
        <w:rPr>
          <w:rFonts w:ascii="宋体" w:hAnsi="宋体" w:cs="宋体"/>
          <w:color w:val="auto"/>
          <w:kern w:val="0"/>
          <w:sz w:val="22"/>
          <w:szCs w:val="22"/>
          <w:highlight w:val="none"/>
        </w:rPr>
      </w:pPr>
    </w:p>
    <w:p>
      <w:pPr>
        <w:widowControl/>
        <w:adjustRightInd w:val="0"/>
        <w:snapToGrid w:val="0"/>
        <w:spacing w:line="44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温州信达交通工程试验检测有限公司</w:t>
      </w:r>
      <w:r>
        <w:rPr>
          <w:rFonts w:hint="eastAsia" w:ascii="宋体" w:hAnsi="宋体" w:cs="宋体"/>
          <w:color w:val="auto"/>
          <w:kern w:val="0"/>
          <w:sz w:val="22"/>
          <w:szCs w:val="22"/>
          <w:highlight w:val="none"/>
        </w:rPr>
        <w:t>：</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浙江五石中正工程咨询有限公司：</w:t>
      </w:r>
    </w:p>
    <w:p>
      <w:pPr>
        <w:spacing w:line="460" w:lineRule="exact"/>
        <w:rPr>
          <w:rFonts w:ascii="宋体" w:hAnsi="宋体" w:cs="宋体"/>
          <w:color w:val="auto"/>
          <w:kern w:val="0"/>
          <w:sz w:val="22"/>
          <w:szCs w:val="22"/>
          <w:highlight w:val="none"/>
        </w:rPr>
      </w:pP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我方</w:t>
      </w:r>
      <w:r>
        <w:rPr>
          <w:rFonts w:hint="eastAsia" w:ascii="宋体" w:hAnsi="宋体" w:cs="宋体"/>
          <w:color w:val="auto"/>
          <w:kern w:val="0"/>
          <w:sz w:val="22"/>
          <w:szCs w:val="22"/>
          <w:highlight w:val="none"/>
          <w:u w:val="single"/>
        </w:rPr>
        <w:t xml:space="preserve"> （投标供应商全称）</w:t>
      </w:r>
      <w:r>
        <w:rPr>
          <w:rFonts w:hint="eastAsia" w:ascii="宋体" w:hAnsi="宋体" w:cs="宋体"/>
          <w:color w:val="auto"/>
          <w:sz w:val="22"/>
          <w:szCs w:val="22"/>
          <w:highlight w:val="none"/>
        </w:rPr>
        <w:t>声明本项目投标时若发生我单位和其他投标供应商的单位负责人为同一人或者存在直接控股、管理关系的不同单位同时参与投标的，将自动放弃投标或中标资格。</w:t>
      </w:r>
    </w:p>
    <w:p>
      <w:pPr>
        <w:spacing w:line="360" w:lineRule="auto"/>
        <w:ind w:firstLine="442" w:firstLineChars="200"/>
        <w:rPr>
          <w:rFonts w:ascii="宋体" w:hAnsi="宋体" w:cs="宋体"/>
          <w:b/>
          <w:color w:val="auto"/>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投标供应商名称（盖章） ：</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pPr>
        <w:pStyle w:val="17"/>
        <w:snapToGrid w:val="0"/>
        <w:spacing w:line="460" w:lineRule="atLeast"/>
        <w:ind w:left="720" w:hanging="720"/>
        <w:jc w:val="center"/>
        <w:rPr>
          <w:rFonts w:hAnsi="宋体" w:cs="宋体"/>
          <w:b/>
          <w:bCs/>
          <w:color w:val="auto"/>
          <w:sz w:val="22"/>
          <w:szCs w:val="22"/>
          <w:highlight w:val="none"/>
        </w:rPr>
      </w:pPr>
      <w:r>
        <w:rPr>
          <w:rFonts w:hint="eastAsia" w:hAnsi="宋体" w:cs="宋体"/>
          <w:b/>
          <w:bCs/>
          <w:color w:val="auto"/>
          <w:sz w:val="22"/>
          <w:szCs w:val="22"/>
          <w:highlight w:val="none"/>
        </w:rPr>
        <w:t>（8）招标文件规定的供应商应当具备的特殊资格条件证明资料（如有）</w:t>
      </w:r>
    </w:p>
    <w:p>
      <w:pPr>
        <w:pStyle w:val="13"/>
        <w:ind w:firstLine="210"/>
        <w:rPr>
          <w:rFonts w:ascii="宋体" w:hAnsi="宋体" w:cs="宋体"/>
          <w:color w:val="auto"/>
          <w:highlight w:val="none"/>
        </w:rPr>
      </w:pPr>
    </w:p>
    <w:p>
      <w:pPr>
        <w:pStyle w:val="13"/>
        <w:ind w:firstLine="210"/>
        <w:rPr>
          <w:rFonts w:ascii="宋体" w:hAnsi="宋体" w:cs="宋体"/>
          <w:color w:val="auto"/>
          <w:highlight w:val="none"/>
        </w:rPr>
      </w:pPr>
    </w:p>
    <w:p>
      <w:pPr>
        <w:pStyle w:val="13"/>
        <w:ind w:firstLine="0" w:firstLineChars="0"/>
        <w:rPr>
          <w:rFonts w:ascii="宋体" w:hAnsi="宋体" w:cs="宋体"/>
          <w:b/>
          <w:bCs/>
          <w:color w:val="auto"/>
          <w:sz w:val="22"/>
          <w:szCs w:val="22"/>
          <w:highlight w:val="none"/>
        </w:rPr>
      </w:pPr>
      <w:r>
        <w:rPr>
          <w:rFonts w:hint="eastAsia" w:ascii="宋体" w:hAnsi="宋体" w:cs="宋体"/>
          <w:color w:val="auto"/>
          <w:highlight w:val="none"/>
        </w:rPr>
        <w:br w:type="page"/>
      </w:r>
      <w:r>
        <w:rPr>
          <w:rFonts w:hint="eastAsia" w:ascii="宋体" w:hAnsi="宋体" w:cs="宋体"/>
          <w:b/>
          <w:bCs/>
          <w:color w:val="auto"/>
          <w:sz w:val="22"/>
          <w:szCs w:val="22"/>
          <w:highlight w:val="none"/>
        </w:rPr>
        <w:t xml:space="preserve">附件二 </w:t>
      </w:r>
    </w:p>
    <w:p>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温州信达交通工程试验检测有限公司：</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浙江五石中正工程咨询有限公司：</w:t>
      </w:r>
    </w:p>
    <w:p>
      <w:pPr>
        <w:wordWrap w:val="0"/>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根据贵单位为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项目（采购编号：</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（投标供应商名称）作为投标供应商正式授权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pPr>
        <w:pStyle w:val="9"/>
        <w:spacing w:line="420" w:lineRule="exact"/>
        <w:ind w:firstLine="440"/>
        <w:rPr>
          <w:rFonts w:ascii="宋体" w:hAnsi="宋体" w:cs="宋体"/>
          <w:color w:val="auto"/>
          <w:sz w:val="22"/>
          <w:highlight w:val="none"/>
        </w:rPr>
      </w:pPr>
      <w:r>
        <w:rPr>
          <w:rFonts w:hint="eastAsia" w:ascii="宋体" w:hAnsi="宋体" w:cs="宋体"/>
          <w:color w:val="auto"/>
          <w:sz w:val="22"/>
          <w:szCs w:val="22"/>
          <w:highlight w:val="none"/>
        </w:rPr>
        <w:t>在此提交的投标文件中，包括如下内</w:t>
      </w:r>
      <w:r>
        <w:rPr>
          <w:rFonts w:hint="eastAsia" w:ascii="宋体" w:hAnsi="宋体" w:cs="宋体"/>
          <w:color w:val="auto"/>
          <w:sz w:val="22"/>
          <w:highlight w:val="none"/>
        </w:rPr>
        <w:t>容：</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按“投标供应商须知”要求编制的投标文件【正本一份，副本四份】；</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我方己完全明白采购文件的所有条款要求，并重申以下几点：</w:t>
      </w:r>
    </w:p>
    <w:p>
      <w:pPr>
        <w:spacing w:line="420" w:lineRule="exact"/>
        <w:ind w:left="1019" w:leftChars="171" w:hanging="660" w:hangingChars="300"/>
        <w:rPr>
          <w:rFonts w:ascii="宋体" w:hAnsi="宋体" w:cs="宋体"/>
          <w:color w:val="auto"/>
          <w:sz w:val="22"/>
          <w:highlight w:val="none"/>
        </w:rPr>
      </w:pPr>
      <w:r>
        <w:rPr>
          <w:rFonts w:hint="eastAsia" w:ascii="宋体" w:hAnsi="宋体" w:cs="宋体"/>
          <w:color w:val="auto"/>
          <w:sz w:val="22"/>
          <w:highlight w:val="none"/>
        </w:rPr>
        <w:t>（一）本投标文件的有效期自投标截止日起</w:t>
      </w:r>
      <w:r>
        <w:rPr>
          <w:rFonts w:hint="eastAsia" w:ascii="宋体" w:hAnsi="宋体" w:cs="宋体"/>
          <w:b/>
          <w:color w:val="auto"/>
          <w:sz w:val="22"/>
          <w:highlight w:val="none"/>
        </w:rPr>
        <w:t xml:space="preserve"> </w:t>
      </w:r>
      <w:r>
        <w:rPr>
          <w:rFonts w:hint="eastAsia" w:ascii="宋体" w:hAnsi="宋体" w:cs="宋体"/>
          <w:b/>
          <w:color w:val="auto"/>
          <w:sz w:val="22"/>
          <w:highlight w:val="none"/>
          <w:u w:val="single"/>
        </w:rPr>
        <w:t xml:space="preserve"> 90 </w:t>
      </w:r>
      <w:r>
        <w:rPr>
          <w:rFonts w:hint="eastAsia" w:ascii="宋体" w:hAnsi="宋体" w:cs="宋体"/>
          <w:b/>
          <w:color w:val="auto"/>
          <w:sz w:val="22"/>
          <w:highlight w:val="none"/>
        </w:rPr>
        <w:t>天内</w:t>
      </w:r>
      <w:r>
        <w:rPr>
          <w:rFonts w:hint="eastAsia" w:ascii="宋体" w:hAnsi="宋体" w:cs="宋体"/>
          <w:color w:val="auto"/>
          <w:sz w:val="22"/>
          <w:highlight w:val="none"/>
        </w:rPr>
        <w:t>有效，如中标，有效期将延至合同终止日为止；</w:t>
      </w:r>
    </w:p>
    <w:p>
      <w:pPr>
        <w:spacing w:line="420" w:lineRule="exact"/>
        <w:ind w:left="1019" w:leftChars="171" w:hanging="660" w:hangingChars="300"/>
        <w:rPr>
          <w:rFonts w:ascii="宋体" w:hAnsi="宋体" w:cs="宋体"/>
          <w:color w:val="auto"/>
          <w:sz w:val="22"/>
          <w:highlight w:val="none"/>
        </w:rPr>
      </w:pPr>
      <w:r>
        <w:rPr>
          <w:rFonts w:hint="eastAsia" w:ascii="宋体" w:hAnsi="宋体" w:cs="宋体"/>
          <w:color w:val="auto"/>
          <w:sz w:val="22"/>
          <w:highlight w:val="none"/>
        </w:rPr>
        <w:t>（二）我方已详细研究了采购文件的所有内容包括修改书（如有）和所有已提供的参考资料以及有关附件，我方完全理解并同意放弃在此方面提出含糊意见或误解的一切权力；</w:t>
      </w:r>
    </w:p>
    <w:p>
      <w:pPr>
        <w:spacing w:line="420" w:lineRule="exact"/>
        <w:ind w:left="359" w:leftChars="171"/>
        <w:rPr>
          <w:rFonts w:ascii="宋体" w:hAnsi="宋体" w:cs="宋体"/>
          <w:color w:val="auto"/>
          <w:sz w:val="22"/>
          <w:highlight w:val="none"/>
        </w:rPr>
      </w:pPr>
      <w:r>
        <w:rPr>
          <w:rFonts w:hint="eastAsia" w:ascii="宋体" w:hAnsi="宋体" w:cs="宋体"/>
          <w:color w:val="auto"/>
          <w:sz w:val="22"/>
          <w:highlight w:val="none"/>
        </w:rPr>
        <w:t>（三）我方同意提供按照贵方可能要求的与投标有关的一切数据或资料；</w:t>
      </w:r>
    </w:p>
    <w:p>
      <w:pPr>
        <w:spacing w:line="420" w:lineRule="exact"/>
        <w:ind w:left="359" w:leftChars="171"/>
        <w:rPr>
          <w:rFonts w:ascii="宋体" w:hAnsi="宋体" w:cs="宋体"/>
          <w:color w:val="auto"/>
          <w:sz w:val="22"/>
          <w:highlight w:val="none"/>
        </w:rPr>
      </w:pPr>
      <w:r>
        <w:rPr>
          <w:rFonts w:hint="eastAsia" w:ascii="宋体" w:hAnsi="宋体" w:cs="宋体"/>
          <w:color w:val="auto"/>
          <w:sz w:val="22"/>
          <w:highlight w:val="none"/>
        </w:rPr>
        <w:t>（四）我方理解贵方不一定接受最低报价。</w:t>
      </w:r>
    </w:p>
    <w:p>
      <w:pPr>
        <w:spacing w:line="420" w:lineRule="exact"/>
        <w:ind w:left="1019" w:leftChars="171" w:hanging="660" w:hangingChars="300"/>
        <w:rPr>
          <w:rFonts w:ascii="宋体" w:hAnsi="宋体" w:cs="宋体"/>
          <w:color w:val="auto"/>
          <w:sz w:val="22"/>
          <w:highlight w:val="none"/>
        </w:rPr>
      </w:pPr>
      <w:r>
        <w:rPr>
          <w:rFonts w:hint="eastAsia" w:ascii="宋体" w:hAnsi="宋体" w:cs="宋体"/>
          <w:color w:val="auto"/>
          <w:sz w:val="22"/>
          <w:highlight w:val="none"/>
        </w:rPr>
        <w:t>（五）我方如果中标，将保证履行采购文件以及采购文件修改书（如有）中的全部责任和义务，按质、按量、按期完成《协议书》中的全部任务。</w:t>
      </w:r>
    </w:p>
    <w:p>
      <w:pPr>
        <w:spacing w:line="420" w:lineRule="exact"/>
        <w:ind w:left="315"/>
        <w:rPr>
          <w:rFonts w:ascii="宋体" w:hAnsi="宋体" w:cs="宋体"/>
          <w:color w:val="auto"/>
          <w:sz w:val="22"/>
          <w:szCs w:val="22"/>
          <w:highlight w:val="none"/>
        </w:rPr>
      </w:pPr>
      <w:r>
        <w:rPr>
          <w:rFonts w:hint="eastAsia" w:ascii="宋体" w:hAnsi="宋体" w:cs="宋体"/>
          <w:color w:val="auto"/>
          <w:sz w:val="22"/>
          <w:highlight w:val="none"/>
        </w:rPr>
        <w:t>（六）所有与本投标有关的函件请发往下列地址：</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2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rPr>
      </w:pP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投标供应商名称（盖章）</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法定代表人或授权代表（签字或盖章）</w:t>
      </w:r>
      <w:r>
        <w:rPr>
          <w:rFonts w:hint="eastAsia" w:ascii="宋体" w:hAnsi="宋体" w:cs="宋体"/>
          <w:color w:val="auto"/>
          <w:sz w:val="22"/>
          <w:szCs w:val="22"/>
          <w:highlight w:val="none"/>
          <w:u w:val="single"/>
        </w:rPr>
        <w:t xml:space="preserve">                   </w:t>
      </w:r>
    </w:p>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jc w:val="center"/>
        <w:rPr>
          <w:rFonts w:ascii="宋体" w:hAnsi="宋体" w:cs="宋体"/>
          <w:color w:val="auto"/>
          <w:sz w:val="22"/>
          <w:szCs w:val="22"/>
          <w:highlight w:val="none"/>
        </w:rPr>
      </w:pPr>
    </w:p>
    <w:p>
      <w:pPr>
        <w:spacing w:line="460" w:lineRule="exact"/>
        <w:jc w:val="center"/>
        <w:rPr>
          <w:rFonts w:ascii="宋体" w:hAnsi="宋体" w:cs="宋体"/>
          <w:color w:val="auto"/>
          <w:sz w:val="22"/>
          <w:szCs w:val="22"/>
          <w:highlight w:val="none"/>
        </w:rPr>
      </w:pPr>
    </w:p>
    <w:p>
      <w:pPr>
        <w:pStyle w:val="50"/>
        <w:rPr>
          <w:color w:val="auto"/>
          <w:highlight w:val="none"/>
        </w:rPr>
      </w:pPr>
    </w:p>
    <w:p>
      <w:pPr>
        <w:pStyle w:val="50"/>
        <w:rPr>
          <w:color w:val="auto"/>
          <w:highlight w:val="none"/>
        </w:rPr>
      </w:pPr>
    </w:p>
    <w:p>
      <w:pPr>
        <w:pStyle w:val="50"/>
        <w:rPr>
          <w:color w:val="auto"/>
          <w:highlight w:val="none"/>
        </w:rPr>
      </w:pPr>
    </w:p>
    <w:p>
      <w:pPr>
        <w:pStyle w:val="50"/>
        <w:rPr>
          <w:color w:val="auto"/>
          <w:highlight w:val="none"/>
        </w:rPr>
      </w:pPr>
    </w:p>
    <w:p>
      <w:pPr>
        <w:spacing w:line="460" w:lineRule="exact"/>
        <w:jc w:val="left"/>
        <w:rPr>
          <w:rFonts w:ascii="宋体" w:hAnsi="宋体" w:cs="宋体"/>
          <w:b/>
          <w:bCs/>
          <w:color w:val="auto"/>
          <w:sz w:val="22"/>
          <w:szCs w:val="22"/>
          <w:highlight w:val="none"/>
        </w:rPr>
      </w:pPr>
    </w:p>
    <w:p>
      <w:pPr>
        <w:spacing w:line="460" w:lineRule="exact"/>
        <w:jc w:val="left"/>
        <w:rPr>
          <w:rFonts w:ascii="宋体" w:hAnsi="宋体" w:cs="宋体"/>
          <w:color w:val="auto"/>
          <w:sz w:val="22"/>
          <w:szCs w:val="22"/>
          <w:highlight w:val="none"/>
        </w:rPr>
      </w:pPr>
      <w:r>
        <w:rPr>
          <w:rFonts w:hint="eastAsia" w:ascii="宋体" w:hAnsi="宋体" w:cs="宋体"/>
          <w:b/>
          <w:bCs/>
          <w:color w:val="auto"/>
          <w:sz w:val="22"/>
          <w:szCs w:val="22"/>
          <w:highlight w:val="none"/>
        </w:rPr>
        <w:t>附件三</w:t>
      </w:r>
    </w:p>
    <w:p>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开标一览表</w:t>
      </w:r>
    </w:p>
    <w:p>
      <w:pPr>
        <w:spacing w:line="460" w:lineRule="exact"/>
        <w:rPr>
          <w:rFonts w:ascii="宋体" w:hAnsi="宋体" w:cs="宋体"/>
          <w:b/>
          <w:bCs/>
          <w:color w:val="auto"/>
          <w:sz w:val="28"/>
          <w:szCs w:val="28"/>
          <w:highlight w:val="none"/>
        </w:rPr>
      </w:pPr>
      <w:r>
        <w:rPr>
          <w:rFonts w:hint="eastAsia" w:ascii="宋体" w:hAnsi="宋体" w:cs="宋体"/>
          <w:b/>
          <w:color w:val="auto"/>
          <w:sz w:val="22"/>
          <w:szCs w:val="22"/>
          <w:highlight w:val="none"/>
        </w:rPr>
        <w:t>采购编号：</w:t>
      </w:r>
      <w:r>
        <w:rPr>
          <w:rFonts w:hint="eastAsia" w:ascii="宋体" w:hAnsi="宋体" w:cs="宋体"/>
          <w:b/>
          <w:color w:val="auto"/>
          <w:sz w:val="22"/>
          <w:highlight w:val="non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3907"/>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21" w:type="pc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采购项目</w:t>
            </w:r>
          </w:p>
        </w:tc>
        <w:tc>
          <w:tcPr>
            <w:tcW w:w="2029" w:type="pc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投标报价（元人民币）</w:t>
            </w:r>
          </w:p>
        </w:tc>
        <w:tc>
          <w:tcPr>
            <w:tcW w:w="1050" w:type="pc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921" w:type="pct"/>
            <w:vMerge w:val="restart"/>
            <w:vAlign w:val="center"/>
          </w:tcPr>
          <w:p>
            <w:pPr>
              <w:spacing w:line="380" w:lineRule="exact"/>
              <w:jc w:val="center"/>
              <w:rPr>
                <w:rFonts w:ascii="宋体" w:hAnsi="宋体" w:cs="宋体"/>
                <w:color w:val="auto"/>
                <w:sz w:val="22"/>
                <w:szCs w:val="22"/>
                <w:highlight w:val="none"/>
              </w:rPr>
            </w:pPr>
          </w:p>
        </w:tc>
        <w:tc>
          <w:tcPr>
            <w:tcW w:w="2029" w:type="pct"/>
            <w:vAlign w:val="center"/>
          </w:tcPr>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小写：</w:t>
            </w:r>
          </w:p>
        </w:tc>
        <w:tc>
          <w:tcPr>
            <w:tcW w:w="1050" w:type="pct"/>
            <w:vMerge w:val="restar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须在2022年12月底前完成项目实施和最终验收。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21" w:type="pct"/>
            <w:vMerge w:val="continue"/>
            <w:vAlign w:val="center"/>
          </w:tcPr>
          <w:p>
            <w:pPr>
              <w:spacing w:line="380" w:lineRule="exact"/>
              <w:jc w:val="center"/>
              <w:rPr>
                <w:rFonts w:ascii="宋体" w:hAnsi="宋体" w:cs="宋体"/>
                <w:color w:val="auto"/>
                <w:sz w:val="22"/>
                <w:szCs w:val="22"/>
                <w:highlight w:val="none"/>
              </w:rPr>
            </w:pPr>
          </w:p>
        </w:tc>
        <w:tc>
          <w:tcPr>
            <w:tcW w:w="2029" w:type="pct"/>
            <w:vAlign w:val="center"/>
          </w:tcPr>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大写：</w:t>
            </w:r>
          </w:p>
        </w:tc>
        <w:tc>
          <w:tcPr>
            <w:tcW w:w="1050" w:type="pct"/>
            <w:vMerge w:val="continue"/>
            <w:vAlign w:val="center"/>
          </w:tcPr>
          <w:p>
            <w:pPr>
              <w:spacing w:line="380" w:lineRule="exact"/>
              <w:jc w:val="center"/>
              <w:rPr>
                <w:rFonts w:ascii="宋体" w:hAnsi="宋体" w:cs="宋体"/>
                <w:color w:val="auto"/>
                <w:sz w:val="22"/>
                <w:szCs w:val="22"/>
                <w:highlight w:val="none"/>
              </w:rPr>
            </w:pPr>
          </w:p>
        </w:tc>
      </w:tr>
    </w:tbl>
    <w:p>
      <w:pPr>
        <w:spacing w:line="380" w:lineRule="exact"/>
        <w:ind w:left="525" w:leftChars="-71" w:hanging="674" w:hangingChars="305"/>
        <w:rPr>
          <w:rFonts w:ascii="宋体" w:hAnsi="宋体" w:cs="宋体"/>
          <w:b/>
          <w:bCs/>
          <w:color w:val="auto"/>
          <w:sz w:val="22"/>
          <w:szCs w:val="22"/>
          <w:highlight w:val="none"/>
        </w:rPr>
      </w:pPr>
      <w:r>
        <w:rPr>
          <w:rFonts w:hint="eastAsia" w:ascii="宋体" w:hAnsi="宋体" w:cs="宋体"/>
          <w:b/>
          <w:bCs/>
          <w:color w:val="auto"/>
          <w:sz w:val="22"/>
          <w:szCs w:val="22"/>
          <w:highlight w:val="none"/>
        </w:rPr>
        <w:t>说明：</w:t>
      </w:r>
    </w:p>
    <w:p>
      <w:pPr>
        <w:numPr>
          <w:ilvl w:val="3"/>
          <w:numId w:val="27"/>
        </w:numPr>
        <w:tabs>
          <w:tab w:val="clear" w:pos="1680"/>
        </w:tabs>
        <w:spacing w:line="440" w:lineRule="exact"/>
        <w:ind w:left="426"/>
        <w:rPr>
          <w:rFonts w:ascii="宋体" w:hAnsi="宋体" w:cs="宋体"/>
          <w:b/>
          <w:color w:val="auto"/>
          <w:sz w:val="22"/>
          <w:highlight w:val="none"/>
          <w:u w:val="single"/>
        </w:rPr>
      </w:pPr>
      <w:r>
        <w:rPr>
          <w:rFonts w:hint="eastAsia" w:ascii="宋体" w:hAnsi="宋体" w:cs="宋体"/>
          <w:b/>
          <w:color w:val="auto"/>
          <w:sz w:val="22"/>
          <w:highlight w:val="none"/>
          <w:u w:val="single"/>
        </w:rPr>
        <w:t>▲不提供此表格将被视为没有实质性响应采购文件,作无效标处理。</w:t>
      </w:r>
    </w:p>
    <w:p>
      <w:pPr>
        <w:numPr>
          <w:ilvl w:val="3"/>
          <w:numId w:val="27"/>
        </w:numPr>
        <w:tabs>
          <w:tab w:val="clear" w:pos="1680"/>
        </w:tabs>
        <w:spacing w:line="440" w:lineRule="exact"/>
        <w:ind w:left="426"/>
        <w:rPr>
          <w:rFonts w:ascii="宋体" w:hAnsi="宋体" w:cs="宋体"/>
          <w:b/>
          <w:color w:val="auto"/>
          <w:sz w:val="22"/>
          <w:highlight w:val="none"/>
          <w:u w:val="single"/>
        </w:rPr>
      </w:pPr>
      <w:r>
        <w:rPr>
          <w:rFonts w:hint="eastAsia" w:ascii="宋体" w:hAnsi="宋体" w:cs="宋体"/>
          <w:b/>
          <w:color w:val="auto"/>
          <w:sz w:val="22"/>
          <w:highlight w:val="none"/>
          <w:u w:val="single"/>
        </w:rPr>
        <w:t>本表的投标报价需与投标分项报价表内的投标总价相一致。</w:t>
      </w:r>
    </w:p>
    <w:p>
      <w:pPr>
        <w:tabs>
          <w:tab w:val="left" w:pos="-180"/>
          <w:tab w:val="left" w:pos="180"/>
          <w:tab w:val="left" w:pos="360"/>
        </w:tabs>
        <w:spacing w:line="440" w:lineRule="exact"/>
        <w:ind w:left="426"/>
        <w:rPr>
          <w:rFonts w:ascii="宋体" w:hAnsi="宋体" w:cs="宋体"/>
          <w:b/>
          <w:color w:val="auto"/>
          <w:sz w:val="22"/>
          <w:highlight w:val="none"/>
          <w:u w:val="single"/>
        </w:rPr>
      </w:pPr>
    </w:p>
    <w:p>
      <w:pPr>
        <w:spacing w:line="380" w:lineRule="exact"/>
        <w:ind w:firstLine="4417" w:firstLineChars="2000"/>
        <w:rPr>
          <w:rFonts w:ascii="宋体" w:hAnsi="宋体" w:cs="宋体"/>
          <w:b/>
          <w:bCs/>
          <w:color w:val="auto"/>
          <w:sz w:val="22"/>
          <w:szCs w:val="22"/>
          <w:highlight w:val="none"/>
        </w:rPr>
      </w:pPr>
    </w:p>
    <w:p>
      <w:pPr>
        <w:spacing w:line="380" w:lineRule="exact"/>
        <w:ind w:firstLine="4417" w:firstLineChars="2000"/>
        <w:rPr>
          <w:rFonts w:ascii="宋体" w:hAnsi="宋体" w:cs="宋体"/>
          <w:b/>
          <w:bCs/>
          <w:color w:val="auto"/>
          <w:sz w:val="22"/>
          <w:szCs w:val="22"/>
          <w:highlight w:val="none"/>
        </w:rPr>
      </w:pP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投标供应商名称（盖章）：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13"/>
        <w:ind w:firstLine="210"/>
        <w:rPr>
          <w:rFonts w:ascii="宋体" w:hAnsi="宋体" w:cs="宋体"/>
          <w:color w:val="auto"/>
          <w:highlight w:val="none"/>
        </w:rPr>
      </w:pPr>
    </w:p>
    <w:p>
      <w:pPr>
        <w:pStyle w:val="13"/>
        <w:ind w:firstLine="0" w:firstLineChars="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22"/>
          <w:szCs w:val="22"/>
          <w:highlight w:val="none"/>
        </w:rPr>
        <w:t>附件四</w:t>
      </w:r>
    </w:p>
    <w:p>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投标分项报价表</w:t>
      </w:r>
    </w:p>
    <w:p>
      <w:pPr>
        <w:rPr>
          <w:rFonts w:ascii="宋体" w:hAnsi="宋体" w:cs="宋体"/>
          <w:color w:val="auto"/>
          <w:sz w:val="22"/>
          <w:szCs w:val="22"/>
          <w:highlight w:val="none"/>
        </w:rPr>
      </w:pPr>
      <w:r>
        <w:rPr>
          <w:rFonts w:hint="eastAsia" w:ascii="宋体" w:hAnsi="宋体" w:cs="宋体"/>
          <w:color w:val="auto"/>
          <w:sz w:val="22"/>
          <w:szCs w:val="22"/>
          <w:highlight w:val="none"/>
        </w:rPr>
        <w:t>项目名称：                                采购编号：               （价格单位：人民币元）</w:t>
      </w:r>
    </w:p>
    <w:tbl>
      <w:tblPr>
        <w:tblStyle w:val="29"/>
        <w:tblW w:w="499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4"/>
        <w:gridCol w:w="3433"/>
        <w:gridCol w:w="1910"/>
        <w:gridCol w:w="1273"/>
        <w:gridCol w:w="1587"/>
        <w:gridCol w:w="8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314"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84" w:type="pct"/>
            <w:vAlign w:val="center"/>
          </w:tcPr>
          <w:p>
            <w:pPr>
              <w:wordWrap w:val="0"/>
              <w:spacing w:line="360" w:lineRule="exact"/>
              <w:ind w:right="-11"/>
              <w:jc w:val="center"/>
              <w:rPr>
                <w:rFonts w:ascii="宋体" w:hAnsi="宋体" w:cs="宋体"/>
                <w:color w:val="auto"/>
                <w:szCs w:val="21"/>
                <w:highlight w:val="none"/>
              </w:rPr>
            </w:pPr>
            <w:r>
              <w:rPr>
                <w:rFonts w:hint="eastAsia" w:ascii="宋体" w:hAnsi="宋体" w:cs="宋体"/>
                <w:bCs/>
                <w:color w:val="auto"/>
                <w:sz w:val="22"/>
                <w:szCs w:val="22"/>
                <w:highlight w:val="none"/>
              </w:rPr>
              <w:t>项目</w:t>
            </w:r>
          </w:p>
        </w:tc>
        <w:tc>
          <w:tcPr>
            <w:tcW w:w="993" w:type="pct"/>
            <w:vAlign w:val="center"/>
          </w:tcPr>
          <w:p>
            <w:pPr>
              <w:wordWrap w:val="0"/>
              <w:spacing w:line="360" w:lineRule="exact"/>
              <w:ind w:right="-11"/>
              <w:jc w:val="center"/>
              <w:rPr>
                <w:rFonts w:ascii="宋体" w:hAnsi="宋体" w:cs="宋体"/>
                <w:color w:val="auto"/>
                <w:szCs w:val="21"/>
                <w:highlight w:val="none"/>
              </w:rPr>
            </w:pPr>
            <w:r>
              <w:rPr>
                <w:rFonts w:hint="eastAsia" w:ascii="宋体" w:hAnsi="宋体" w:cs="宋体"/>
                <w:bCs/>
                <w:color w:val="auto"/>
                <w:sz w:val="22"/>
                <w:szCs w:val="22"/>
                <w:highlight w:val="none"/>
              </w:rPr>
              <w:t>单价（含税）</w:t>
            </w:r>
          </w:p>
        </w:tc>
        <w:tc>
          <w:tcPr>
            <w:tcW w:w="662" w:type="pct"/>
            <w:vAlign w:val="center"/>
          </w:tcPr>
          <w:p>
            <w:pPr>
              <w:wordWrap w:val="0"/>
              <w:spacing w:line="360" w:lineRule="exact"/>
              <w:ind w:right="-11"/>
              <w:jc w:val="center"/>
              <w:rPr>
                <w:rFonts w:ascii="宋体" w:hAnsi="宋体" w:cs="宋体"/>
                <w:color w:val="auto"/>
                <w:szCs w:val="21"/>
                <w:highlight w:val="none"/>
              </w:rPr>
            </w:pPr>
            <w:r>
              <w:rPr>
                <w:rFonts w:hint="eastAsia" w:ascii="宋体" w:hAnsi="宋体" w:cs="宋体"/>
                <w:bCs/>
                <w:color w:val="auto"/>
                <w:sz w:val="22"/>
                <w:szCs w:val="22"/>
                <w:highlight w:val="none"/>
              </w:rPr>
              <w:t>数量/单位</w:t>
            </w:r>
          </w:p>
        </w:tc>
        <w:tc>
          <w:tcPr>
            <w:tcW w:w="825" w:type="pct"/>
            <w:vAlign w:val="center"/>
          </w:tcPr>
          <w:p>
            <w:pPr>
              <w:wordWrap w:val="0"/>
              <w:spacing w:line="360" w:lineRule="exact"/>
              <w:ind w:right="-11"/>
              <w:jc w:val="center"/>
              <w:rPr>
                <w:rFonts w:ascii="宋体" w:hAnsi="宋体" w:cs="宋体"/>
                <w:color w:val="auto"/>
                <w:szCs w:val="21"/>
                <w:highlight w:val="none"/>
              </w:rPr>
            </w:pPr>
            <w:r>
              <w:rPr>
                <w:rFonts w:hint="eastAsia" w:ascii="宋体" w:hAnsi="宋体" w:cs="宋体"/>
                <w:bCs/>
                <w:color w:val="auto"/>
                <w:sz w:val="22"/>
                <w:szCs w:val="22"/>
                <w:highlight w:val="none"/>
              </w:rPr>
              <w:t>总价（含税）</w:t>
            </w:r>
          </w:p>
        </w:tc>
        <w:tc>
          <w:tcPr>
            <w:tcW w:w="419" w:type="pct"/>
            <w:vAlign w:val="center"/>
          </w:tcPr>
          <w:p>
            <w:pPr>
              <w:wordWrap w:val="0"/>
              <w:spacing w:line="360" w:lineRule="exact"/>
              <w:ind w:right="-11"/>
              <w:jc w:val="center"/>
              <w:rPr>
                <w:rFonts w:ascii="宋体" w:hAnsi="宋体" w:cs="宋体"/>
                <w:color w:val="auto"/>
                <w:szCs w:val="21"/>
                <w:highlight w:val="none"/>
              </w:rPr>
            </w:pPr>
            <w:r>
              <w:rPr>
                <w:rFonts w:hint="eastAsia" w:ascii="宋体" w:hAnsi="宋体" w:cs="宋体"/>
                <w:bCs/>
                <w:color w:val="auto"/>
                <w:sz w:val="22"/>
                <w:szCs w:val="22"/>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97"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97" w:hRule="atLeast"/>
        </w:trPr>
        <w:tc>
          <w:tcPr>
            <w:tcW w:w="314" w:type="pct"/>
            <w:vAlign w:val="center"/>
          </w:tcPr>
          <w:p>
            <w:pPr>
              <w:spacing w:line="360" w:lineRule="auto"/>
              <w:jc w:val="center"/>
              <w:rPr>
                <w:rFonts w:ascii="宋体" w:hAnsi="宋体" w:cs="宋体"/>
                <w:color w:val="auto"/>
                <w:szCs w:val="21"/>
                <w:highlight w:val="none"/>
              </w:rPr>
            </w:pPr>
          </w:p>
        </w:tc>
        <w:tc>
          <w:tcPr>
            <w:tcW w:w="1784" w:type="pct"/>
            <w:vAlign w:val="center"/>
          </w:tcPr>
          <w:p>
            <w:pPr>
              <w:spacing w:line="360" w:lineRule="auto"/>
              <w:jc w:val="center"/>
              <w:rPr>
                <w:rFonts w:ascii="宋体" w:hAnsi="宋体" w:cs="宋体"/>
                <w:color w:val="auto"/>
                <w:szCs w:val="21"/>
                <w:highlight w:val="none"/>
              </w:rPr>
            </w:pPr>
          </w:p>
        </w:tc>
        <w:tc>
          <w:tcPr>
            <w:tcW w:w="993" w:type="pct"/>
            <w:vAlign w:val="center"/>
          </w:tcPr>
          <w:p>
            <w:pPr>
              <w:spacing w:line="360" w:lineRule="auto"/>
              <w:jc w:val="center"/>
              <w:rPr>
                <w:rFonts w:ascii="宋体" w:hAnsi="宋体" w:cs="宋体"/>
                <w:color w:val="auto"/>
                <w:szCs w:val="21"/>
                <w:highlight w:val="none"/>
              </w:rPr>
            </w:pPr>
          </w:p>
        </w:tc>
        <w:tc>
          <w:tcPr>
            <w:tcW w:w="662" w:type="pct"/>
            <w:vAlign w:val="center"/>
          </w:tcPr>
          <w:p>
            <w:pPr>
              <w:spacing w:line="360" w:lineRule="auto"/>
              <w:jc w:val="center"/>
              <w:rPr>
                <w:rFonts w:ascii="宋体" w:hAnsi="宋体" w:cs="宋体"/>
                <w:color w:val="auto"/>
                <w:szCs w:val="21"/>
                <w:highlight w:val="none"/>
              </w:rPr>
            </w:pPr>
          </w:p>
        </w:tc>
        <w:tc>
          <w:tcPr>
            <w:tcW w:w="825" w:type="pct"/>
            <w:vAlign w:val="center"/>
          </w:tcPr>
          <w:p>
            <w:pPr>
              <w:spacing w:line="360" w:lineRule="auto"/>
              <w:jc w:val="center"/>
              <w:rPr>
                <w:rFonts w:ascii="宋体" w:hAnsi="宋体" w:cs="宋体"/>
                <w:color w:val="auto"/>
                <w:szCs w:val="21"/>
                <w:highlight w:val="none"/>
              </w:rPr>
            </w:pPr>
          </w:p>
        </w:tc>
        <w:tc>
          <w:tcPr>
            <w:tcW w:w="419" w:type="pct"/>
            <w:vAlign w:val="center"/>
          </w:tcPr>
          <w:p>
            <w:pPr>
              <w:spacing w:line="360" w:lineRule="auto"/>
              <w:jc w:val="center"/>
              <w:rPr>
                <w:rFonts w:ascii="宋体" w:hAnsi="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2099" w:type="pct"/>
            <w:gridSpan w:val="2"/>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2900" w:type="pct"/>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bl>
    <w:p>
      <w:pPr>
        <w:tabs>
          <w:tab w:val="left" w:pos="-180"/>
          <w:tab w:val="left" w:pos="180"/>
          <w:tab w:val="left" w:pos="360"/>
          <w:tab w:val="left" w:pos="426"/>
        </w:tabs>
        <w:spacing w:line="440" w:lineRule="exact"/>
        <w:ind w:left="6"/>
        <w:rPr>
          <w:rFonts w:ascii="宋体" w:hAnsi="宋体" w:cs="宋体"/>
          <w:b/>
          <w:color w:val="auto"/>
          <w:sz w:val="22"/>
          <w:highlight w:val="none"/>
          <w:u w:val="single"/>
        </w:rPr>
      </w:pPr>
      <w:r>
        <w:rPr>
          <w:rFonts w:hint="eastAsia" w:ascii="宋体" w:hAnsi="宋体" w:cs="宋体"/>
          <w:color w:val="auto"/>
          <w:sz w:val="22"/>
          <w:szCs w:val="22"/>
          <w:highlight w:val="none"/>
        </w:rPr>
        <w:t>说明：</w:t>
      </w:r>
      <w:r>
        <w:rPr>
          <w:rFonts w:hint="eastAsia" w:ascii="宋体" w:hAnsi="宋体" w:cs="宋体"/>
          <w:b/>
          <w:color w:val="auto"/>
          <w:sz w:val="22"/>
          <w:highlight w:val="none"/>
          <w:u w:val="single"/>
        </w:rPr>
        <w:t>▲1、以上核算需符合相关法律、法规及采购文件规定。</w:t>
      </w:r>
    </w:p>
    <w:p>
      <w:pPr>
        <w:numPr>
          <w:ilvl w:val="0"/>
          <w:numId w:val="28"/>
        </w:numPr>
        <w:tabs>
          <w:tab w:val="left" w:pos="-180"/>
          <w:tab w:val="left" w:pos="180"/>
          <w:tab w:val="left" w:pos="360"/>
          <w:tab w:val="left" w:pos="426"/>
        </w:tabs>
        <w:spacing w:line="440" w:lineRule="exact"/>
        <w:ind w:left="6" w:firstLine="883" w:firstLineChars="400"/>
        <w:rPr>
          <w:rFonts w:ascii="宋体" w:hAnsi="宋体" w:cs="宋体"/>
          <w:b/>
          <w:color w:val="auto"/>
          <w:sz w:val="22"/>
          <w:highlight w:val="none"/>
          <w:u w:val="single"/>
        </w:rPr>
      </w:pPr>
      <w:r>
        <w:rPr>
          <w:rFonts w:hint="eastAsia" w:ascii="宋体" w:hAnsi="宋体" w:cs="宋体"/>
          <w:b/>
          <w:color w:val="auto"/>
          <w:sz w:val="22"/>
          <w:highlight w:val="none"/>
          <w:u w:val="single"/>
        </w:rPr>
        <w:t>投标总价应与附件三“开标一览表”中投标报价相一致。</w:t>
      </w:r>
    </w:p>
    <w:p>
      <w:pPr>
        <w:numPr>
          <w:ilvl w:val="0"/>
          <w:numId w:val="28"/>
        </w:numPr>
        <w:tabs>
          <w:tab w:val="left" w:pos="-180"/>
          <w:tab w:val="left" w:pos="180"/>
          <w:tab w:val="left" w:pos="360"/>
          <w:tab w:val="left" w:pos="426"/>
        </w:tabs>
        <w:spacing w:line="440" w:lineRule="exact"/>
        <w:ind w:left="6" w:firstLine="883" w:firstLineChars="400"/>
        <w:rPr>
          <w:rFonts w:ascii="宋体" w:hAnsi="宋体" w:cs="宋体"/>
          <w:b/>
          <w:color w:val="auto"/>
          <w:sz w:val="22"/>
          <w:highlight w:val="none"/>
          <w:u w:val="single"/>
        </w:rPr>
      </w:pPr>
      <w:r>
        <w:rPr>
          <w:rFonts w:hint="eastAsia" w:ascii="宋体" w:hAnsi="宋体" w:cs="宋体"/>
          <w:b/>
          <w:color w:val="auto"/>
          <w:sz w:val="22"/>
          <w:highlight w:val="none"/>
          <w:u w:val="single"/>
        </w:rPr>
        <w:t>本表所列费用为本项目的全部费用，未列费用均为综合考虑。</w:t>
      </w:r>
    </w:p>
    <w:p>
      <w:pPr>
        <w:numPr>
          <w:ilvl w:val="0"/>
          <w:numId w:val="28"/>
        </w:numPr>
        <w:tabs>
          <w:tab w:val="left" w:pos="-180"/>
          <w:tab w:val="left" w:pos="180"/>
          <w:tab w:val="left" w:pos="360"/>
          <w:tab w:val="left" w:pos="426"/>
        </w:tabs>
        <w:spacing w:line="440" w:lineRule="exact"/>
        <w:ind w:left="6" w:firstLine="883" w:firstLineChars="400"/>
        <w:rPr>
          <w:rFonts w:ascii="宋体" w:hAnsi="宋体" w:cs="宋体"/>
          <w:b/>
          <w:color w:val="auto"/>
          <w:sz w:val="22"/>
          <w:highlight w:val="none"/>
          <w:u w:val="single"/>
        </w:rPr>
      </w:pPr>
      <w:r>
        <w:rPr>
          <w:rFonts w:hint="eastAsia" w:ascii="宋体" w:hAnsi="宋体" w:cs="宋体"/>
          <w:b/>
          <w:color w:val="auto"/>
          <w:sz w:val="22"/>
          <w:highlight w:val="none"/>
          <w:u w:val="single"/>
        </w:rPr>
        <w:t>不提供此表的报价，视为没有实质性响应采购文件要求。</w:t>
      </w:r>
    </w:p>
    <w:p>
      <w:pPr>
        <w:numPr>
          <w:ilvl w:val="0"/>
          <w:numId w:val="28"/>
        </w:numPr>
        <w:tabs>
          <w:tab w:val="left" w:pos="-180"/>
          <w:tab w:val="left" w:pos="180"/>
          <w:tab w:val="left" w:pos="360"/>
          <w:tab w:val="left" w:pos="426"/>
        </w:tabs>
        <w:spacing w:line="440" w:lineRule="exact"/>
        <w:ind w:left="6" w:firstLine="883" w:firstLineChars="400"/>
        <w:rPr>
          <w:rFonts w:ascii="宋体" w:hAnsi="宋体" w:cs="宋体"/>
          <w:b/>
          <w:color w:val="auto"/>
          <w:sz w:val="22"/>
          <w:highlight w:val="none"/>
          <w:u w:val="single"/>
        </w:rPr>
      </w:pPr>
      <w:r>
        <w:rPr>
          <w:rFonts w:hint="eastAsia" w:ascii="宋体" w:hAnsi="宋体" w:cs="宋体"/>
          <w:b/>
          <w:color w:val="auto"/>
          <w:sz w:val="22"/>
          <w:highlight w:val="none"/>
          <w:u w:val="single"/>
        </w:rPr>
        <w:t>本表可在不改变格式的情况下根据具体需要可自行增减。</w:t>
      </w:r>
    </w:p>
    <w:p>
      <w:pPr>
        <w:spacing w:line="380" w:lineRule="exact"/>
        <w:ind w:firstLine="4417" w:firstLineChars="2000"/>
        <w:rPr>
          <w:rFonts w:ascii="宋体" w:hAnsi="宋体" w:cs="宋体"/>
          <w:b/>
          <w:bCs/>
          <w:color w:val="auto"/>
          <w:sz w:val="22"/>
          <w:szCs w:val="22"/>
          <w:highlight w:val="none"/>
        </w:rPr>
      </w:pPr>
    </w:p>
    <w:p>
      <w:pPr>
        <w:spacing w:line="380" w:lineRule="exact"/>
        <w:ind w:firstLine="4417" w:firstLineChars="2000"/>
        <w:rPr>
          <w:rFonts w:ascii="宋体" w:hAnsi="宋体" w:cs="宋体"/>
          <w:b/>
          <w:bCs/>
          <w:color w:val="auto"/>
          <w:sz w:val="22"/>
          <w:szCs w:val="22"/>
          <w:highlight w:val="none"/>
        </w:rPr>
      </w:pP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投标供应商名称（盖章）：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46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附件五</w:t>
      </w:r>
    </w:p>
    <w:p>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技术规格、商务条款偏离表</w:t>
      </w:r>
    </w:p>
    <w:p>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采购项目：                                          采购编号：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术</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商</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务</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w:t>
            </w:r>
          </w:p>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款</w:t>
            </w: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s="宋体"/>
                <w:color w:val="auto"/>
                <w:sz w:val="22"/>
                <w:szCs w:val="22"/>
                <w:highlight w:val="none"/>
              </w:rPr>
            </w:pPr>
          </w:p>
        </w:tc>
        <w:tc>
          <w:tcPr>
            <w:tcW w:w="1364" w:type="dxa"/>
            <w:vAlign w:val="center"/>
          </w:tcPr>
          <w:p>
            <w:pPr>
              <w:spacing w:line="380" w:lineRule="exact"/>
              <w:jc w:val="center"/>
              <w:rPr>
                <w:rFonts w:ascii="宋体" w:hAnsi="宋体" w:cs="宋体"/>
                <w:color w:val="auto"/>
                <w:sz w:val="22"/>
                <w:szCs w:val="22"/>
                <w:highlight w:val="none"/>
              </w:rPr>
            </w:pPr>
          </w:p>
        </w:tc>
        <w:tc>
          <w:tcPr>
            <w:tcW w:w="2097" w:type="dxa"/>
            <w:vAlign w:val="center"/>
          </w:tcPr>
          <w:p>
            <w:pPr>
              <w:spacing w:line="380" w:lineRule="exact"/>
              <w:jc w:val="center"/>
              <w:rPr>
                <w:rFonts w:ascii="宋体" w:hAnsi="宋体" w:cs="宋体"/>
                <w:color w:val="auto"/>
                <w:sz w:val="22"/>
                <w:szCs w:val="22"/>
                <w:highlight w:val="none"/>
              </w:rPr>
            </w:pPr>
          </w:p>
        </w:tc>
        <w:tc>
          <w:tcPr>
            <w:tcW w:w="1992" w:type="dxa"/>
            <w:vAlign w:val="center"/>
          </w:tcPr>
          <w:p>
            <w:pPr>
              <w:spacing w:line="380" w:lineRule="exact"/>
              <w:jc w:val="center"/>
              <w:rPr>
                <w:rFonts w:ascii="宋体" w:hAnsi="宋体" w:cs="宋体"/>
                <w:color w:val="auto"/>
                <w:sz w:val="22"/>
                <w:szCs w:val="22"/>
                <w:highlight w:val="none"/>
              </w:rPr>
            </w:pPr>
          </w:p>
        </w:tc>
        <w:tc>
          <w:tcPr>
            <w:tcW w:w="1866" w:type="dxa"/>
            <w:vAlign w:val="center"/>
          </w:tcPr>
          <w:p>
            <w:pPr>
              <w:spacing w:line="380" w:lineRule="exact"/>
              <w:jc w:val="center"/>
              <w:rPr>
                <w:rFonts w:ascii="宋体" w:hAnsi="宋体" w:cs="宋体"/>
                <w:color w:val="auto"/>
                <w:sz w:val="22"/>
                <w:szCs w:val="22"/>
                <w:highlight w:val="none"/>
              </w:rPr>
            </w:pPr>
          </w:p>
        </w:tc>
        <w:tc>
          <w:tcPr>
            <w:tcW w:w="1592" w:type="dxa"/>
            <w:vAlign w:val="center"/>
          </w:tcPr>
          <w:p>
            <w:pPr>
              <w:spacing w:line="380" w:lineRule="exact"/>
              <w:jc w:val="center"/>
              <w:rPr>
                <w:rFonts w:ascii="宋体" w:hAnsi="宋体" w:cs="宋体"/>
                <w:color w:val="auto"/>
                <w:sz w:val="22"/>
                <w:szCs w:val="22"/>
                <w:highlight w:val="none"/>
              </w:rPr>
            </w:pPr>
          </w:p>
        </w:tc>
      </w:tr>
    </w:tbl>
    <w:p>
      <w:pPr>
        <w:spacing w:line="380" w:lineRule="exact"/>
        <w:rPr>
          <w:rFonts w:ascii="宋体" w:hAnsi="宋体" w:cs="宋体"/>
          <w:b/>
          <w:color w:val="auto"/>
          <w:sz w:val="22"/>
          <w:szCs w:val="22"/>
          <w:highlight w:val="none"/>
        </w:rPr>
      </w:pPr>
      <w:r>
        <w:rPr>
          <w:rFonts w:hint="eastAsia" w:ascii="宋体" w:hAnsi="宋体" w:cs="宋体"/>
          <w:b/>
          <w:color w:val="auto"/>
          <w:sz w:val="22"/>
          <w:szCs w:val="22"/>
          <w:highlight w:val="none"/>
        </w:rPr>
        <w:t>注：</w:t>
      </w:r>
      <w:r>
        <w:rPr>
          <w:rFonts w:hint="eastAsia" w:ascii="宋体" w:hAnsi="宋体" w:cs="宋体"/>
          <w:b/>
          <w:color w:val="auto"/>
          <w:highlight w:val="none"/>
        </w:rPr>
        <w:t>不填写此表视为完全响应采购文件内容。</w:t>
      </w:r>
    </w:p>
    <w:p>
      <w:pPr>
        <w:spacing w:line="380" w:lineRule="exact"/>
        <w:ind w:firstLine="4417" w:firstLineChars="2000"/>
        <w:rPr>
          <w:rFonts w:ascii="宋体" w:hAnsi="宋体" w:cs="宋体"/>
          <w:b/>
          <w:color w:val="auto"/>
          <w:sz w:val="22"/>
          <w:szCs w:val="22"/>
          <w:highlight w:val="none"/>
        </w:rPr>
      </w:pP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投标供应商名称（盖章）：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spacing w:line="38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附件六</w:t>
      </w:r>
    </w:p>
    <w:p>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同类项目业绩表</w:t>
      </w:r>
    </w:p>
    <w:tbl>
      <w:tblPr>
        <w:tblStyle w:val="2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8"/>
        <w:gridCol w:w="1151"/>
        <w:gridCol w:w="1872"/>
        <w:gridCol w:w="148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3458" w:type="dxa"/>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51" w:type="dxa"/>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金额</w:t>
            </w:r>
          </w:p>
        </w:tc>
        <w:tc>
          <w:tcPr>
            <w:tcW w:w="1872" w:type="dxa"/>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使用单位全称</w:t>
            </w:r>
          </w:p>
        </w:tc>
        <w:tc>
          <w:tcPr>
            <w:tcW w:w="1481" w:type="dxa"/>
            <w:tcBorders>
              <w:bottom w:val="single" w:color="auto" w:sz="4" w:space="0"/>
            </w:tcBorders>
            <w:vAlign w:val="center"/>
          </w:tcPr>
          <w:p>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使用单位联系人电话</w:t>
            </w:r>
          </w:p>
        </w:tc>
        <w:tc>
          <w:tcPr>
            <w:tcW w:w="1872" w:type="dxa"/>
            <w:tcBorders>
              <w:bottom w:val="single" w:color="auto" w:sz="4" w:space="0"/>
            </w:tcBorders>
            <w:vAlign w:val="center"/>
          </w:tcPr>
          <w:p>
            <w:pPr>
              <w:tabs>
                <w:tab w:val="left" w:pos="692"/>
              </w:tabs>
              <w:spacing w:line="400" w:lineRule="atLeast"/>
              <w:ind w:left="240" w:hanging="240" w:hangingChars="100"/>
              <w:rPr>
                <w:rFonts w:ascii="宋体" w:hAnsi="宋体" w:cs="宋体"/>
                <w:b/>
                <w:color w:val="auto"/>
                <w:sz w:val="24"/>
                <w:highlight w:val="none"/>
                <w:u w:val="thick"/>
              </w:rPr>
            </w:pPr>
            <w:r>
              <w:rPr>
                <w:rFonts w:hint="eastAsia" w:ascii="宋体" w:hAnsi="宋体" w:cs="宋体"/>
                <w:color w:val="auto"/>
                <w:sz w:val="24"/>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458" w:type="dxa"/>
          </w:tcPr>
          <w:p>
            <w:pPr>
              <w:spacing w:line="400" w:lineRule="atLeast"/>
              <w:jc w:val="center"/>
              <w:rPr>
                <w:rFonts w:ascii="宋体" w:hAnsi="宋体" w:cs="宋体"/>
                <w:color w:val="auto"/>
                <w:sz w:val="24"/>
                <w:highlight w:val="none"/>
              </w:rPr>
            </w:pPr>
          </w:p>
        </w:tc>
        <w:tc>
          <w:tcPr>
            <w:tcW w:w="115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c>
          <w:tcPr>
            <w:tcW w:w="1481" w:type="dxa"/>
          </w:tcPr>
          <w:p>
            <w:pPr>
              <w:spacing w:line="400" w:lineRule="atLeast"/>
              <w:jc w:val="center"/>
              <w:rPr>
                <w:rFonts w:ascii="宋体" w:hAnsi="宋体" w:cs="宋体"/>
                <w:color w:val="auto"/>
                <w:sz w:val="24"/>
                <w:highlight w:val="none"/>
              </w:rPr>
            </w:pPr>
          </w:p>
        </w:tc>
        <w:tc>
          <w:tcPr>
            <w:tcW w:w="1872" w:type="dxa"/>
          </w:tcPr>
          <w:p>
            <w:pPr>
              <w:spacing w:line="400" w:lineRule="atLeast"/>
              <w:jc w:val="center"/>
              <w:rPr>
                <w:rFonts w:ascii="宋体" w:hAnsi="宋体" w:cs="宋体"/>
                <w:color w:val="auto"/>
                <w:sz w:val="24"/>
                <w:highlight w:val="none"/>
              </w:rPr>
            </w:pPr>
          </w:p>
        </w:tc>
      </w:tr>
    </w:tbl>
    <w:p>
      <w:pPr>
        <w:rPr>
          <w:rFonts w:ascii="宋体" w:hAnsi="宋体" w:cs="宋体"/>
          <w:b/>
          <w:bCs/>
          <w:color w:val="auto"/>
          <w:sz w:val="24"/>
          <w:highlight w:val="none"/>
          <w:u w:val="single"/>
        </w:rPr>
      </w:pPr>
      <w:r>
        <w:rPr>
          <w:rFonts w:hint="eastAsia" w:ascii="宋体" w:hAnsi="宋体" w:cs="宋体"/>
          <w:color w:val="auto"/>
          <w:sz w:val="24"/>
          <w:highlight w:val="none"/>
        </w:rPr>
        <w:br w:type="textWrapping" w:clear="all"/>
      </w:r>
      <w:r>
        <w:rPr>
          <w:rFonts w:hint="eastAsia" w:ascii="宋体" w:hAnsi="宋体" w:cs="宋体"/>
          <w:color w:val="auto"/>
          <w:sz w:val="24"/>
          <w:highlight w:val="none"/>
        </w:rPr>
        <w:t>注：</w:t>
      </w:r>
    </w:p>
    <w:p>
      <w:pPr>
        <w:tabs>
          <w:tab w:val="left" w:pos="5355"/>
        </w:tabs>
        <w:spacing w:line="430" w:lineRule="exact"/>
        <w:ind w:firstLine="330" w:firstLineChars="150"/>
        <w:rPr>
          <w:rFonts w:ascii="宋体" w:hAnsi="宋体" w:cs="宋体"/>
          <w:color w:val="auto"/>
          <w:sz w:val="22"/>
          <w:szCs w:val="22"/>
          <w:highlight w:val="none"/>
        </w:rPr>
      </w:pPr>
      <w:r>
        <w:rPr>
          <w:rFonts w:hint="eastAsia" w:ascii="宋体" w:hAnsi="宋体" w:cs="宋体"/>
          <w:bCs/>
          <w:color w:val="auto"/>
          <w:sz w:val="22"/>
          <w:szCs w:val="22"/>
          <w:highlight w:val="none"/>
        </w:rPr>
        <w:t>1、投标供应商的同类项目业绩须满足以下条件，否则评分不予认可：</w:t>
      </w:r>
    </w:p>
    <w:p>
      <w:pPr>
        <w:numPr>
          <w:ilvl w:val="0"/>
          <w:numId w:val="29"/>
        </w:numPr>
        <w:tabs>
          <w:tab w:val="clear" w:pos="780"/>
        </w:tabs>
        <w:spacing w:line="43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须提供证明文件，证明文件以提供的合同为准；</w:t>
      </w:r>
    </w:p>
    <w:p>
      <w:pPr>
        <w:numPr>
          <w:ilvl w:val="0"/>
          <w:numId w:val="29"/>
        </w:numPr>
        <w:tabs>
          <w:tab w:val="clear" w:pos="780"/>
        </w:tabs>
        <w:spacing w:line="430" w:lineRule="exact"/>
        <w:rPr>
          <w:rFonts w:ascii="宋体" w:hAnsi="宋体" w:cs="宋体"/>
          <w:bCs/>
          <w:color w:val="auto"/>
          <w:sz w:val="22"/>
          <w:szCs w:val="22"/>
          <w:highlight w:val="none"/>
        </w:rPr>
      </w:pPr>
      <w:r>
        <w:rPr>
          <w:rFonts w:hint="eastAsia" w:ascii="宋体" w:hAnsi="宋体" w:cs="宋体"/>
          <w:bCs/>
          <w:color w:val="auto"/>
          <w:sz w:val="22"/>
          <w:szCs w:val="22"/>
          <w:highlight w:val="none"/>
        </w:rPr>
        <w:t>2016年1月1日起至今，以合同签订时间为准；</w:t>
      </w:r>
    </w:p>
    <w:p>
      <w:pPr>
        <w:numPr>
          <w:ilvl w:val="0"/>
          <w:numId w:val="29"/>
        </w:numPr>
        <w:spacing w:line="430" w:lineRule="exact"/>
        <w:rPr>
          <w:rFonts w:ascii="宋体" w:hAnsi="宋体" w:cs="宋体"/>
          <w:bCs/>
          <w:color w:val="auto"/>
          <w:sz w:val="22"/>
          <w:szCs w:val="22"/>
          <w:highlight w:val="none"/>
        </w:rPr>
      </w:pPr>
      <w:r>
        <w:rPr>
          <w:rFonts w:hint="eastAsia" w:ascii="宋体" w:hAnsi="宋体" w:cs="宋体"/>
          <w:color w:val="auto"/>
          <w:sz w:val="22"/>
          <w:highlight w:val="none"/>
        </w:rPr>
        <w:t>同类项目业绩指</w:t>
      </w:r>
      <w:r>
        <w:rPr>
          <w:rFonts w:hint="eastAsia" w:ascii="宋体" w:hAnsi="宋体" w:cs="宋体"/>
          <w:color w:val="auto"/>
          <w:sz w:val="22"/>
          <w:szCs w:val="22"/>
          <w:highlight w:val="none"/>
        </w:rPr>
        <w:t>类似（网络安全类）项目业绩</w:t>
      </w:r>
      <w:r>
        <w:rPr>
          <w:rFonts w:hint="eastAsia" w:ascii="宋体" w:hAnsi="宋体" w:cs="宋体"/>
          <w:color w:val="auto"/>
          <w:sz w:val="22"/>
          <w:highlight w:val="none"/>
        </w:rPr>
        <w:t>，证</w:t>
      </w:r>
      <w:r>
        <w:rPr>
          <w:rFonts w:hint="eastAsia" w:ascii="宋体" w:hAnsi="宋体" w:cs="宋体"/>
          <w:bCs/>
          <w:color w:val="auto"/>
          <w:sz w:val="22"/>
          <w:szCs w:val="22"/>
          <w:highlight w:val="none"/>
        </w:rPr>
        <w:t>明材料必须体现相关等信息；</w:t>
      </w:r>
    </w:p>
    <w:p>
      <w:pPr>
        <w:spacing w:line="3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2、本表可在不改变格式的情况下根据具体需要自行增减。</w:t>
      </w:r>
    </w:p>
    <w:p>
      <w:pPr>
        <w:spacing w:line="500" w:lineRule="exact"/>
        <w:ind w:firstLine="216" w:firstLineChars="98"/>
        <w:rPr>
          <w:rFonts w:ascii="宋体" w:hAnsi="宋体" w:cs="宋体"/>
          <w:b/>
          <w:color w:val="auto"/>
          <w:sz w:val="22"/>
          <w:szCs w:val="22"/>
          <w:highlight w:val="none"/>
        </w:rPr>
      </w:pPr>
      <w:r>
        <w:rPr>
          <w:rFonts w:hint="eastAsia" w:ascii="宋体" w:hAnsi="宋体" w:cs="宋体"/>
          <w:b/>
          <w:bCs/>
          <w:color w:val="auto"/>
          <w:sz w:val="22"/>
          <w:szCs w:val="22"/>
          <w:highlight w:val="none"/>
          <w:u w:val="thick"/>
        </w:rPr>
        <w:t>3. 投标供应商不按此要求填写此项内容或未提供业绩证明材料将视为无业绩。</w:t>
      </w:r>
    </w:p>
    <w:p>
      <w:pPr>
        <w:spacing w:line="380" w:lineRule="exact"/>
        <w:ind w:left="663" w:hanging="663" w:hangingChars="300"/>
        <w:rPr>
          <w:rFonts w:ascii="宋体" w:hAnsi="宋体" w:cs="宋体"/>
          <w:b/>
          <w:color w:val="auto"/>
          <w:sz w:val="22"/>
          <w:szCs w:val="22"/>
          <w:highlight w:val="none"/>
        </w:rPr>
      </w:pPr>
    </w:p>
    <w:p>
      <w:pPr>
        <w:spacing w:line="380" w:lineRule="exact"/>
        <w:ind w:firstLine="4111"/>
        <w:rPr>
          <w:rFonts w:ascii="宋体" w:hAnsi="宋体" w:cs="宋体"/>
          <w:color w:val="auto"/>
          <w:sz w:val="22"/>
          <w:szCs w:val="22"/>
          <w:highlight w:val="none"/>
        </w:rPr>
      </w:pPr>
      <w:r>
        <w:rPr>
          <w:rFonts w:hint="eastAsia" w:ascii="宋体" w:hAnsi="宋体" w:cs="宋体"/>
          <w:color w:val="auto"/>
          <w:sz w:val="22"/>
          <w:szCs w:val="22"/>
          <w:highlight w:val="none"/>
        </w:rPr>
        <w:t>投标供应商全称（盖章）：</w:t>
      </w:r>
    </w:p>
    <w:p>
      <w:pPr>
        <w:spacing w:line="380" w:lineRule="exact"/>
        <w:ind w:firstLine="4111"/>
        <w:rPr>
          <w:rFonts w:ascii="宋体" w:hAnsi="宋体" w:cs="宋体"/>
          <w:color w:val="auto"/>
          <w:sz w:val="22"/>
          <w:szCs w:val="22"/>
          <w:highlight w:val="none"/>
        </w:rPr>
      </w:pPr>
      <w:r>
        <w:rPr>
          <w:rFonts w:hint="eastAsia" w:ascii="宋体" w:hAnsi="宋体" w:cs="宋体"/>
          <w:color w:val="auto"/>
          <w:sz w:val="22"/>
          <w:szCs w:val="22"/>
          <w:highlight w:val="none"/>
        </w:rPr>
        <w:t>法定代表人或委托代理人（签字或盖章）：</w:t>
      </w:r>
    </w:p>
    <w:p>
      <w:pPr>
        <w:spacing w:line="380" w:lineRule="exact"/>
        <w:ind w:firstLine="411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rPr>
          <w:rFonts w:ascii="宋体" w:hAnsi="宋体" w:cs="宋体"/>
          <w:b/>
          <w:bCs/>
          <w:color w:val="auto"/>
          <w:sz w:val="22"/>
          <w:szCs w:val="22"/>
          <w:highlight w:val="none"/>
        </w:rPr>
      </w:pPr>
    </w:p>
    <w:p>
      <w:pPr>
        <w:spacing w:line="560" w:lineRule="exact"/>
        <w:jc w:val="left"/>
        <w:outlineLvl w:val="2"/>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bookmarkStart w:id="189" w:name="_Toc10641"/>
      <w:bookmarkStart w:id="190" w:name="_Toc24790"/>
      <w:bookmarkStart w:id="191" w:name="_Toc6934"/>
      <w:r>
        <w:rPr>
          <w:rFonts w:hint="eastAsia" w:ascii="宋体" w:hAnsi="宋体" w:cs="宋体"/>
          <w:b/>
          <w:bCs/>
          <w:color w:val="auto"/>
          <w:sz w:val="22"/>
          <w:szCs w:val="22"/>
          <w:highlight w:val="none"/>
        </w:rPr>
        <w:t>附件七</w:t>
      </w:r>
      <w:bookmarkEnd w:id="189"/>
      <w:bookmarkEnd w:id="190"/>
      <w:bookmarkEnd w:id="191"/>
      <w:bookmarkStart w:id="192" w:name="_Toc44228002"/>
      <w:bookmarkStart w:id="193" w:name="_Toc45120092"/>
      <w:bookmarkStart w:id="194" w:name="_Toc36389931"/>
      <w:bookmarkStart w:id="195" w:name="_Toc221356957"/>
      <w:bookmarkStart w:id="196" w:name="_Toc221423625"/>
      <w:bookmarkStart w:id="197" w:name="_Toc221356894"/>
      <w:bookmarkStart w:id="198" w:name="_Toc245722287"/>
      <w:bookmarkStart w:id="199" w:name="_Toc241404208"/>
      <w:bookmarkStart w:id="200" w:name="_Toc222114885"/>
      <w:bookmarkStart w:id="201" w:name="_Toc239145360"/>
      <w:bookmarkStart w:id="202" w:name="_Toc246261271"/>
      <w:bookmarkStart w:id="203" w:name="_Toc221374632"/>
      <w:bookmarkStart w:id="204" w:name="_Toc245191320"/>
      <w:bookmarkStart w:id="205" w:name="_Toc223716004"/>
    </w:p>
    <w:p>
      <w:pPr>
        <w:spacing w:line="560" w:lineRule="exact"/>
        <w:jc w:val="center"/>
        <w:outlineLvl w:val="2"/>
        <w:rPr>
          <w:rFonts w:ascii="宋体" w:hAnsi="宋体" w:cs="宋体"/>
          <w:b/>
          <w:bCs/>
          <w:color w:val="auto"/>
          <w:sz w:val="28"/>
          <w:szCs w:val="28"/>
          <w:highlight w:val="none"/>
        </w:rPr>
      </w:pPr>
      <w:bookmarkStart w:id="206" w:name="_Toc11797"/>
      <w:bookmarkStart w:id="207" w:name="_Toc15185"/>
      <w:bookmarkStart w:id="208" w:name="_Toc4080"/>
      <w:r>
        <w:rPr>
          <w:rFonts w:hint="eastAsia" w:ascii="宋体" w:hAnsi="宋体" w:cs="宋体"/>
          <w:b/>
          <w:bCs/>
          <w:color w:val="auto"/>
          <w:sz w:val="28"/>
          <w:szCs w:val="28"/>
          <w:highlight w:val="none"/>
        </w:rPr>
        <w:t>项目组情况表</w:t>
      </w:r>
      <w:bookmarkEnd w:id="192"/>
      <w:bookmarkEnd w:id="193"/>
      <w:bookmarkEnd w:id="194"/>
      <w:bookmarkEnd w:id="206"/>
      <w:bookmarkEnd w:id="207"/>
      <w:bookmarkEnd w:id="208"/>
    </w:p>
    <w:p>
      <w:pPr>
        <w:spacing w:line="560" w:lineRule="exact"/>
        <w:jc w:val="center"/>
        <w:outlineLvl w:val="2"/>
        <w:rPr>
          <w:rFonts w:ascii="宋体" w:hAnsi="宋体" w:cs="宋体"/>
          <w:b/>
          <w:bCs/>
          <w:color w:val="auto"/>
          <w:sz w:val="28"/>
          <w:szCs w:val="28"/>
          <w:highlight w:val="none"/>
        </w:rPr>
      </w:pPr>
      <w:bookmarkStart w:id="209" w:name="_Toc1330"/>
      <w:bookmarkStart w:id="210" w:name="_Toc44228003"/>
      <w:bookmarkStart w:id="211" w:name="_Toc36389932"/>
      <w:bookmarkStart w:id="212" w:name="_Toc4315"/>
      <w:bookmarkStart w:id="213" w:name="_Toc20245"/>
      <w:bookmarkStart w:id="214" w:name="_Toc45120093"/>
      <w:r>
        <w:rPr>
          <w:rFonts w:hint="eastAsia" w:ascii="宋体" w:hAnsi="宋体" w:cs="宋体"/>
          <w:b/>
          <w:bCs/>
          <w:color w:val="auto"/>
          <w:sz w:val="28"/>
          <w:szCs w:val="28"/>
          <w:highlight w:val="none"/>
        </w:rPr>
        <w:t>（1）项目负责人情况表</w:t>
      </w:r>
      <w:bookmarkEnd w:id="209"/>
      <w:bookmarkEnd w:id="210"/>
      <w:bookmarkEnd w:id="211"/>
      <w:bookmarkEnd w:id="212"/>
      <w:bookmarkEnd w:id="213"/>
      <w:bookmarkEnd w:id="214"/>
    </w:p>
    <w:p>
      <w:pPr>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采购项目：                                          采购编号：</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1"/>
        <w:gridCol w:w="445"/>
        <w:gridCol w:w="1822"/>
        <w:gridCol w:w="1587"/>
        <w:gridCol w:w="1726"/>
        <w:gridCol w:w="1616"/>
        <w:gridCol w:w="1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0" w:hRule="atLeast"/>
          <w:jc w:val="center"/>
        </w:trPr>
        <w:tc>
          <w:tcPr>
            <w:tcW w:w="9648" w:type="dxa"/>
            <w:gridSpan w:val="7"/>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1、一般情况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姓   名</w:t>
            </w:r>
          </w:p>
        </w:tc>
        <w:tc>
          <w:tcPr>
            <w:tcW w:w="1822" w:type="dxa"/>
            <w:vAlign w:val="center"/>
          </w:tcPr>
          <w:p>
            <w:pPr>
              <w:spacing w:line="460" w:lineRule="exact"/>
              <w:jc w:val="center"/>
              <w:rPr>
                <w:rFonts w:ascii="宋体" w:hAnsi="宋体" w:cs="宋体"/>
                <w:color w:val="auto"/>
                <w:sz w:val="22"/>
                <w:szCs w:val="22"/>
                <w:highlight w:val="none"/>
              </w:rPr>
            </w:pPr>
          </w:p>
        </w:tc>
        <w:tc>
          <w:tcPr>
            <w:tcW w:w="158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年  龄</w:t>
            </w:r>
          </w:p>
        </w:tc>
        <w:tc>
          <w:tcPr>
            <w:tcW w:w="1726" w:type="dxa"/>
            <w:vAlign w:val="center"/>
          </w:tcPr>
          <w:p>
            <w:pPr>
              <w:spacing w:line="460" w:lineRule="exact"/>
              <w:jc w:val="center"/>
              <w:rPr>
                <w:rFonts w:ascii="宋体" w:hAnsi="宋体" w:cs="宋体"/>
                <w:color w:val="auto"/>
                <w:sz w:val="22"/>
                <w:szCs w:val="22"/>
                <w:highlight w:val="none"/>
              </w:rPr>
            </w:pPr>
          </w:p>
        </w:tc>
        <w:tc>
          <w:tcPr>
            <w:tcW w:w="161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学  历</w:t>
            </w:r>
          </w:p>
        </w:tc>
        <w:tc>
          <w:tcPr>
            <w:tcW w:w="1421" w:type="dxa"/>
            <w:vAlign w:val="center"/>
          </w:tcPr>
          <w:p>
            <w:pPr>
              <w:spacing w:line="460" w:lineRule="exact"/>
              <w:jc w:val="center"/>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822" w:type="dxa"/>
            <w:vAlign w:val="center"/>
          </w:tcPr>
          <w:p>
            <w:pPr>
              <w:spacing w:line="460" w:lineRule="exact"/>
              <w:rPr>
                <w:rFonts w:ascii="宋体" w:hAnsi="宋体" w:cs="宋体"/>
                <w:color w:val="auto"/>
                <w:sz w:val="22"/>
                <w:szCs w:val="22"/>
                <w:highlight w:val="none"/>
              </w:rPr>
            </w:pPr>
          </w:p>
        </w:tc>
        <w:tc>
          <w:tcPr>
            <w:tcW w:w="158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专  业</w:t>
            </w:r>
          </w:p>
        </w:tc>
        <w:tc>
          <w:tcPr>
            <w:tcW w:w="1726" w:type="dxa"/>
            <w:vAlign w:val="center"/>
          </w:tcPr>
          <w:p>
            <w:pPr>
              <w:spacing w:line="460" w:lineRule="exact"/>
              <w:jc w:val="center"/>
              <w:rPr>
                <w:rFonts w:ascii="宋体" w:hAnsi="宋体" w:cs="宋体"/>
                <w:color w:val="auto"/>
                <w:sz w:val="22"/>
                <w:szCs w:val="22"/>
                <w:highlight w:val="none"/>
              </w:rPr>
            </w:pPr>
          </w:p>
        </w:tc>
        <w:tc>
          <w:tcPr>
            <w:tcW w:w="161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  务</w:t>
            </w:r>
          </w:p>
        </w:tc>
        <w:tc>
          <w:tcPr>
            <w:tcW w:w="1421" w:type="dxa"/>
            <w:vAlign w:val="center"/>
          </w:tcPr>
          <w:p>
            <w:pPr>
              <w:spacing w:line="460" w:lineRule="exact"/>
              <w:jc w:val="center"/>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exact"/>
          <w:jc w:val="center"/>
        </w:trPr>
        <w:tc>
          <w:tcPr>
            <w:tcW w:w="1476" w:type="dxa"/>
            <w:gridSpan w:val="2"/>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  称</w:t>
            </w:r>
          </w:p>
        </w:tc>
        <w:tc>
          <w:tcPr>
            <w:tcW w:w="1822" w:type="dxa"/>
            <w:vAlign w:val="center"/>
          </w:tcPr>
          <w:p>
            <w:pPr>
              <w:spacing w:line="460" w:lineRule="exact"/>
              <w:rPr>
                <w:rFonts w:ascii="宋体" w:hAnsi="宋体" w:cs="宋体"/>
                <w:color w:val="auto"/>
                <w:sz w:val="22"/>
                <w:szCs w:val="22"/>
                <w:highlight w:val="none"/>
              </w:rPr>
            </w:pPr>
          </w:p>
        </w:tc>
        <w:tc>
          <w:tcPr>
            <w:tcW w:w="158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726" w:type="dxa"/>
            <w:vAlign w:val="center"/>
          </w:tcPr>
          <w:p>
            <w:pPr>
              <w:spacing w:line="460" w:lineRule="exact"/>
              <w:jc w:val="center"/>
              <w:rPr>
                <w:rFonts w:ascii="宋体" w:hAnsi="宋体" w:cs="宋体"/>
                <w:color w:val="auto"/>
                <w:sz w:val="22"/>
                <w:szCs w:val="22"/>
                <w:highlight w:val="none"/>
              </w:rPr>
            </w:pPr>
          </w:p>
        </w:tc>
        <w:tc>
          <w:tcPr>
            <w:tcW w:w="161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参加工作时间</w:t>
            </w:r>
          </w:p>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时间</w:t>
            </w:r>
          </w:p>
        </w:tc>
        <w:tc>
          <w:tcPr>
            <w:tcW w:w="1421" w:type="dxa"/>
            <w:vAlign w:val="center"/>
          </w:tcPr>
          <w:p>
            <w:pPr>
              <w:spacing w:line="460" w:lineRule="exact"/>
              <w:jc w:val="center"/>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648" w:type="dxa"/>
            <w:gridSpan w:val="7"/>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2、个人简历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时  间</w:t>
            </w:r>
          </w:p>
        </w:tc>
        <w:tc>
          <w:tcPr>
            <w:tcW w:w="8172" w:type="dxa"/>
            <w:gridSpan w:val="5"/>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pPr>
              <w:spacing w:line="460" w:lineRule="exact"/>
              <w:rPr>
                <w:rFonts w:ascii="宋体" w:hAnsi="宋体" w:cs="宋体"/>
                <w:color w:val="auto"/>
                <w:sz w:val="22"/>
                <w:szCs w:val="22"/>
                <w:highlight w:val="none"/>
              </w:rPr>
            </w:pPr>
          </w:p>
        </w:tc>
        <w:tc>
          <w:tcPr>
            <w:tcW w:w="8172" w:type="dxa"/>
            <w:gridSpan w:val="5"/>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pPr>
              <w:spacing w:line="460" w:lineRule="exact"/>
              <w:rPr>
                <w:rFonts w:ascii="宋体" w:hAnsi="宋体" w:cs="宋体"/>
                <w:color w:val="auto"/>
                <w:sz w:val="22"/>
                <w:szCs w:val="22"/>
                <w:highlight w:val="none"/>
              </w:rPr>
            </w:pPr>
          </w:p>
        </w:tc>
        <w:tc>
          <w:tcPr>
            <w:tcW w:w="8172" w:type="dxa"/>
            <w:gridSpan w:val="5"/>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648" w:type="dxa"/>
            <w:gridSpan w:val="7"/>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3、负责同类项目业绩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5580" w:type="dxa"/>
            <w:gridSpan w:val="4"/>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  目  名  称</w:t>
            </w:r>
          </w:p>
        </w:tc>
        <w:tc>
          <w:tcPr>
            <w:tcW w:w="3037" w:type="dxa"/>
            <w:gridSpan w:val="2"/>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该项目中任何职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rPr>
                <w:rFonts w:ascii="宋体" w:hAnsi="宋体" w:cs="宋体"/>
                <w:color w:val="auto"/>
                <w:sz w:val="22"/>
                <w:szCs w:val="22"/>
                <w:highlight w:val="none"/>
              </w:rPr>
            </w:pPr>
          </w:p>
        </w:tc>
        <w:tc>
          <w:tcPr>
            <w:tcW w:w="5580" w:type="dxa"/>
            <w:gridSpan w:val="4"/>
            <w:vAlign w:val="center"/>
          </w:tcPr>
          <w:p>
            <w:pPr>
              <w:spacing w:line="460" w:lineRule="exact"/>
              <w:rPr>
                <w:rFonts w:ascii="宋体" w:hAnsi="宋体" w:cs="宋体"/>
                <w:color w:val="auto"/>
                <w:sz w:val="22"/>
                <w:szCs w:val="22"/>
                <w:highlight w:val="none"/>
              </w:rPr>
            </w:pPr>
          </w:p>
        </w:tc>
        <w:tc>
          <w:tcPr>
            <w:tcW w:w="3037" w:type="dxa"/>
            <w:gridSpan w:val="2"/>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rPr>
                <w:rFonts w:ascii="宋体" w:hAnsi="宋体" w:cs="宋体"/>
                <w:color w:val="auto"/>
                <w:sz w:val="22"/>
                <w:szCs w:val="22"/>
                <w:highlight w:val="none"/>
              </w:rPr>
            </w:pPr>
          </w:p>
        </w:tc>
        <w:tc>
          <w:tcPr>
            <w:tcW w:w="5580" w:type="dxa"/>
            <w:gridSpan w:val="4"/>
            <w:vAlign w:val="center"/>
          </w:tcPr>
          <w:p>
            <w:pPr>
              <w:spacing w:line="460" w:lineRule="exact"/>
              <w:rPr>
                <w:rFonts w:ascii="宋体" w:hAnsi="宋体" w:cs="宋体"/>
                <w:color w:val="auto"/>
                <w:sz w:val="22"/>
                <w:szCs w:val="22"/>
                <w:highlight w:val="none"/>
              </w:rPr>
            </w:pPr>
          </w:p>
        </w:tc>
        <w:tc>
          <w:tcPr>
            <w:tcW w:w="3037" w:type="dxa"/>
            <w:gridSpan w:val="2"/>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rPr>
                <w:rFonts w:ascii="宋体" w:hAnsi="宋体" w:cs="宋体"/>
                <w:color w:val="auto"/>
                <w:sz w:val="22"/>
                <w:szCs w:val="22"/>
                <w:highlight w:val="none"/>
              </w:rPr>
            </w:pPr>
          </w:p>
        </w:tc>
        <w:tc>
          <w:tcPr>
            <w:tcW w:w="5580" w:type="dxa"/>
            <w:gridSpan w:val="4"/>
            <w:vAlign w:val="center"/>
          </w:tcPr>
          <w:p>
            <w:pPr>
              <w:spacing w:line="460" w:lineRule="exact"/>
              <w:rPr>
                <w:rFonts w:ascii="宋体" w:hAnsi="宋体" w:cs="宋体"/>
                <w:color w:val="auto"/>
                <w:sz w:val="22"/>
                <w:szCs w:val="22"/>
                <w:highlight w:val="none"/>
              </w:rPr>
            </w:pPr>
          </w:p>
        </w:tc>
        <w:tc>
          <w:tcPr>
            <w:tcW w:w="3037" w:type="dxa"/>
            <w:gridSpan w:val="2"/>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rPr>
                <w:rFonts w:ascii="宋体" w:hAnsi="宋体" w:cs="宋体"/>
                <w:color w:val="auto"/>
                <w:sz w:val="22"/>
                <w:szCs w:val="22"/>
                <w:highlight w:val="none"/>
              </w:rPr>
            </w:pPr>
          </w:p>
        </w:tc>
        <w:tc>
          <w:tcPr>
            <w:tcW w:w="5580" w:type="dxa"/>
            <w:gridSpan w:val="4"/>
            <w:vAlign w:val="center"/>
          </w:tcPr>
          <w:p>
            <w:pPr>
              <w:spacing w:line="460" w:lineRule="exact"/>
              <w:rPr>
                <w:rFonts w:ascii="宋体" w:hAnsi="宋体" w:cs="宋体"/>
                <w:color w:val="auto"/>
                <w:sz w:val="22"/>
                <w:szCs w:val="22"/>
                <w:highlight w:val="none"/>
              </w:rPr>
            </w:pPr>
          </w:p>
        </w:tc>
        <w:tc>
          <w:tcPr>
            <w:tcW w:w="3037" w:type="dxa"/>
            <w:gridSpan w:val="2"/>
            <w:vAlign w:val="center"/>
          </w:tcPr>
          <w:p>
            <w:pPr>
              <w:spacing w:line="460" w:lineRule="exact"/>
              <w:rPr>
                <w:rFonts w:ascii="宋体" w:hAnsi="宋体" w:cs="宋体"/>
                <w:color w:val="auto"/>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1031" w:type="dxa"/>
            <w:vAlign w:val="center"/>
          </w:tcPr>
          <w:p>
            <w:pPr>
              <w:spacing w:line="460" w:lineRule="exact"/>
              <w:rPr>
                <w:rFonts w:ascii="宋体" w:hAnsi="宋体" w:cs="宋体"/>
                <w:color w:val="auto"/>
                <w:sz w:val="22"/>
                <w:szCs w:val="22"/>
                <w:highlight w:val="none"/>
              </w:rPr>
            </w:pPr>
          </w:p>
        </w:tc>
        <w:tc>
          <w:tcPr>
            <w:tcW w:w="5580" w:type="dxa"/>
            <w:gridSpan w:val="4"/>
            <w:vAlign w:val="center"/>
          </w:tcPr>
          <w:p>
            <w:pPr>
              <w:spacing w:line="460" w:lineRule="exact"/>
              <w:rPr>
                <w:rFonts w:ascii="宋体" w:hAnsi="宋体" w:cs="宋体"/>
                <w:color w:val="auto"/>
                <w:sz w:val="22"/>
                <w:szCs w:val="22"/>
                <w:highlight w:val="none"/>
              </w:rPr>
            </w:pPr>
          </w:p>
        </w:tc>
        <w:tc>
          <w:tcPr>
            <w:tcW w:w="3037" w:type="dxa"/>
            <w:gridSpan w:val="2"/>
            <w:vAlign w:val="center"/>
          </w:tcPr>
          <w:p>
            <w:pPr>
              <w:spacing w:line="460" w:lineRule="exact"/>
              <w:rPr>
                <w:rFonts w:ascii="宋体" w:hAnsi="宋体" w:cs="宋体"/>
                <w:color w:val="auto"/>
                <w:sz w:val="22"/>
                <w:szCs w:val="22"/>
                <w:highlight w:val="none"/>
              </w:rPr>
            </w:pPr>
          </w:p>
        </w:tc>
      </w:tr>
    </w:tbl>
    <w:p>
      <w:pPr>
        <w:spacing w:line="460" w:lineRule="exact"/>
        <w:ind w:left="770" w:hanging="770" w:hangingChars="350"/>
        <w:rPr>
          <w:rFonts w:ascii="宋体" w:hAnsi="宋体" w:cs="宋体"/>
          <w:color w:val="auto"/>
          <w:sz w:val="22"/>
          <w:szCs w:val="22"/>
          <w:highlight w:val="none"/>
        </w:rPr>
      </w:pPr>
      <w:r>
        <w:rPr>
          <w:rFonts w:hint="eastAsia" w:ascii="宋体" w:hAnsi="宋体" w:cs="宋体"/>
          <w:color w:val="auto"/>
          <w:sz w:val="22"/>
          <w:szCs w:val="22"/>
          <w:highlight w:val="none"/>
        </w:rPr>
        <w:t>注：1.本表应附证书、社保等复印件。</w:t>
      </w:r>
    </w:p>
    <w:p>
      <w:pPr>
        <w:spacing w:line="460" w:lineRule="exact"/>
        <w:ind w:firstLine="450"/>
        <w:rPr>
          <w:rFonts w:ascii="宋体" w:hAnsi="宋体" w:cs="宋体"/>
          <w:color w:val="auto"/>
          <w:sz w:val="22"/>
          <w:szCs w:val="22"/>
          <w:highlight w:val="none"/>
        </w:rPr>
      </w:pPr>
      <w:r>
        <w:rPr>
          <w:rFonts w:hint="eastAsia" w:ascii="宋体" w:hAnsi="宋体" w:cs="宋体"/>
          <w:color w:val="auto"/>
          <w:sz w:val="22"/>
          <w:szCs w:val="22"/>
          <w:highlight w:val="none"/>
        </w:rPr>
        <w:t>2.本表可在不改变格式的情况下根据具体需要自行增减。</w:t>
      </w:r>
    </w:p>
    <w:p>
      <w:pPr>
        <w:spacing w:line="380" w:lineRule="exact"/>
        <w:ind w:left="1" w:leftChars="-33" w:hanging="70" w:hangingChars="32"/>
        <w:rPr>
          <w:rFonts w:ascii="宋体" w:hAnsi="宋体" w:cs="宋体"/>
          <w:color w:val="auto"/>
          <w:sz w:val="22"/>
          <w:szCs w:val="22"/>
          <w:highlight w:val="none"/>
        </w:rPr>
      </w:pPr>
    </w:p>
    <w:p>
      <w:pPr>
        <w:spacing w:line="380" w:lineRule="exact"/>
        <w:ind w:left="1" w:leftChars="-33" w:hanging="70" w:hangingChars="32"/>
        <w:rPr>
          <w:rFonts w:ascii="宋体" w:hAnsi="宋体" w:cs="宋体"/>
          <w:color w:val="auto"/>
          <w:sz w:val="22"/>
          <w:szCs w:val="22"/>
          <w:highlight w:val="none"/>
        </w:rPr>
      </w:pPr>
      <w:r>
        <w:rPr>
          <w:rFonts w:hint="eastAsia" w:ascii="宋体" w:hAnsi="宋体" w:cs="宋体"/>
          <w:color w:val="auto"/>
          <w:sz w:val="22"/>
          <w:szCs w:val="22"/>
          <w:highlight w:val="none"/>
        </w:rPr>
        <w:t>投标供应商名称（盖章）：</w:t>
      </w:r>
    </w:p>
    <w:p>
      <w:pPr>
        <w:spacing w:line="380" w:lineRule="exact"/>
        <w:ind w:left="1" w:leftChars="-33" w:hanging="70" w:hangingChars="32"/>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w:t>
      </w:r>
    </w:p>
    <w:p>
      <w:pPr>
        <w:spacing w:line="380" w:lineRule="exact"/>
        <w:ind w:left="1" w:leftChars="-33" w:hanging="70" w:hangingChars="32"/>
        <w:rPr>
          <w:rFonts w:ascii="宋体" w:hAnsi="宋体" w:cs="宋体"/>
          <w:color w:val="auto"/>
          <w:sz w:val="22"/>
          <w:szCs w:val="22"/>
          <w:highlight w:val="none"/>
        </w:rPr>
      </w:pPr>
      <w:r>
        <w:rPr>
          <w:rFonts w:hint="eastAsia" w:ascii="宋体" w:hAnsi="宋体" w:cs="宋体"/>
          <w:color w:val="auto"/>
          <w:sz w:val="22"/>
          <w:szCs w:val="22"/>
          <w:highlight w:val="none"/>
        </w:rPr>
        <w:t>日 期：</w:t>
      </w:r>
    </w:p>
    <w:p>
      <w:pPr>
        <w:jc w:val="center"/>
        <w:rPr>
          <w:rFonts w:ascii="宋体" w:hAnsi="宋体" w:cs="宋体"/>
          <w:b/>
          <w:bCs/>
          <w:color w:val="auto"/>
          <w:sz w:val="32"/>
          <w:highlight w:val="none"/>
        </w:rPr>
      </w:pPr>
      <w:r>
        <w:rPr>
          <w:rFonts w:hint="eastAsia" w:ascii="宋体" w:hAnsi="宋体" w:cs="宋体"/>
          <w:b/>
          <w:bCs/>
          <w:color w:val="auto"/>
          <w:sz w:val="32"/>
          <w:highlight w:val="none"/>
        </w:rPr>
        <w:br w:type="page"/>
      </w:r>
      <w:r>
        <w:rPr>
          <w:rFonts w:hint="eastAsia" w:ascii="宋体" w:hAnsi="宋体" w:cs="宋体"/>
          <w:b/>
          <w:bCs/>
          <w:color w:val="auto"/>
          <w:sz w:val="28"/>
          <w:szCs w:val="28"/>
          <w:highlight w:val="none"/>
        </w:rPr>
        <w:t>（2）项目组成员一览表</w:t>
      </w:r>
    </w:p>
    <w:p>
      <w:pPr>
        <w:spacing w:line="400" w:lineRule="exact"/>
        <w:rPr>
          <w:rFonts w:ascii="宋体" w:hAnsi="宋体" w:cs="宋体"/>
          <w:bCs/>
          <w:color w:val="auto"/>
          <w:sz w:val="22"/>
          <w:szCs w:val="22"/>
          <w:highlight w:val="none"/>
        </w:rPr>
      </w:pPr>
      <w:r>
        <w:rPr>
          <w:rFonts w:hint="eastAsia" w:ascii="宋体" w:hAnsi="宋体" w:cs="宋体"/>
          <w:color w:val="auto"/>
          <w:sz w:val="22"/>
          <w:szCs w:val="22"/>
          <w:highlight w:val="none"/>
        </w:rPr>
        <w:t xml:space="preserve">采购项目：                                                   采购编号：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06"/>
        <w:gridCol w:w="790"/>
        <w:gridCol w:w="790"/>
        <w:gridCol w:w="910"/>
        <w:gridCol w:w="800"/>
        <w:gridCol w:w="260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5" w:type="dxa"/>
            <w:tcBorders>
              <w:top w:val="single" w:color="auto" w:sz="12" w:space="0"/>
              <w:left w:val="single" w:color="auto" w:sz="12"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姓名</w:t>
            </w:r>
          </w:p>
        </w:tc>
        <w:tc>
          <w:tcPr>
            <w:tcW w:w="1406" w:type="dxa"/>
            <w:tcBorders>
              <w:top w:val="single" w:color="auto" w:sz="12"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本项目主要工作岗位</w:t>
            </w:r>
          </w:p>
        </w:tc>
        <w:tc>
          <w:tcPr>
            <w:tcW w:w="790" w:type="dxa"/>
            <w:tcBorders>
              <w:top w:val="single" w:color="auto" w:sz="12"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年龄</w:t>
            </w:r>
          </w:p>
        </w:tc>
        <w:tc>
          <w:tcPr>
            <w:tcW w:w="790" w:type="dxa"/>
            <w:tcBorders>
              <w:top w:val="single" w:color="auto" w:sz="12"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性别</w:t>
            </w:r>
          </w:p>
        </w:tc>
        <w:tc>
          <w:tcPr>
            <w:tcW w:w="910" w:type="dxa"/>
            <w:tcBorders>
              <w:top w:val="single" w:color="auto" w:sz="12" w:space="0"/>
              <w:bottom w:val="single" w:color="auto" w:sz="12" w:space="0"/>
              <w:right w:val="single" w:color="auto" w:sz="4"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职称/职务</w:t>
            </w:r>
          </w:p>
        </w:tc>
        <w:tc>
          <w:tcPr>
            <w:tcW w:w="800" w:type="dxa"/>
            <w:tcBorders>
              <w:top w:val="single" w:color="auto" w:sz="12" w:space="0"/>
              <w:left w:val="single" w:color="auto" w:sz="4"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专业/</w:t>
            </w:r>
          </w:p>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年限</w:t>
            </w:r>
          </w:p>
        </w:tc>
        <w:tc>
          <w:tcPr>
            <w:tcW w:w="2600" w:type="dxa"/>
            <w:tcBorders>
              <w:top w:val="single" w:color="auto" w:sz="12" w:space="0"/>
              <w:bottom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同类服务的经历、业绩、证书等介绍（或另附简历）</w:t>
            </w:r>
          </w:p>
        </w:tc>
        <w:tc>
          <w:tcPr>
            <w:tcW w:w="970" w:type="dxa"/>
            <w:tcBorders>
              <w:top w:val="single" w:color="auto" w:sz="12" w:space="0"/>
              <w:bottom w:val="single" w:color="auto" w:sz="12" w:space="0"/>
              <w:right w:val="single" w:color="auto" w:sz="12" w:space="0"/>
            </w:tcBorders>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top w:val="single" w:color="auto" w:sz="12" w:space="0"/>
              <w:left w:val="single" w:color="auto" w:sz="12" w:space="0"/>
            </w:tcBorders>
            <w:vAlign w:val="center"/>
          </w:tcPr>
          <w:p>
            <w:pPr>
              <w:spacing w:line="360" w:lineRule="auto"/>
              <w:rPr>
                <w:rFonts w:ascii="宋体" w:hAnsi="宋体" w:cs="宋体"/>
                <w:color w:val="auto"/>
                <w:sz w:val="22"/>
                <w:szCs w:val="22"/>
                <w:highlight w:val="none"/>
              </w:rPr>
            </w:pPr>
          </w:p>
        </w:tc>
        <w:tc>
          <w:tcPr>
            <w:tcW w:w="1406" w:type="dxa"/>
            <w:tcBorders>
              <w:top w:val="single" w:color="auto" w:sz="12" w:space="0"/>
            </w:tcBorders>
            <w:vAlign w:val="center"/>
          </w:tcPr>
          <w:p>
            <w:pPr>
              <w:pStyle w:val="8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cs="宋体"/>
                <w:color w:val="auto"/>
                <w:kern w:val="2"/>
                <w:sz w:val="22"/>
                <w:szCs w:val="22"/>
                <w:highlight w:val="none"/>
              </w:rPr>
            </w:pPr>
          </w:p>
        </w:tc>
        <w:tc>
          <w:tcPr>
            <w:tcW w:w="790" w:type="dxa"/>
            <w:tcBorders>
              <w:top w:val="single" w:color="auto" w:sz="12" w:space="0"/>
            </w:tcBorders>
            <w:vAlign w:val="center"/>
          </w:tcPr>
          <w:p>
            <w:pPr>
              <w:spacing w:line="360" w:lineRule="auto"/>
              <w:rPr>
                <w:rFonts w:ascii="宋体" w:hAnsi="宋体" w:cs="宋体"/>
                <w:color w:val="auto"/>
                <w:sz w:val="22"/>
                <w:szCs w:val="22"/>
                <w:highlight w:val="none"/>
              </w:rPr>
            </w:pPr>
          </w:p>
        </w:tc>
        <w:tc>
          <w:tcPr>
            <w:tcW w:w="790" w:type="dxa"/>
            <w:tcBorders>
              <w:top w:val="single" w:color="auto" w:sz="12" w:space="0"/>
            </w:tcBorders>
            <w:vAlign w:val="center"/>
          </w:tcPr>
          <w:p>
            <w:pPr>
              <w:spacing w:line="360" w:lineRule="auto"/>
              <w:rPr>
                <w:rFonts w:ascii="宋体" w:hAnsi="宋体" w:cs="宋体"/>
                <w:color w:val="auto"/>
                <w:sz w:val="22"/>
                <w:szCs w:val="22"/>
                <w:highlight w:val="none"/>
              </w:rPr>
            </w:pPr>
          </w:p>
        </w:tc>
        <w:tc>
          <w:tcPr>
            <w:tcW w:w="910" w:type="dxa"/>
            <w:tcBorders>
              <w:top w:val="single" w:color="auto" w:sz="12" w:space="0"/>
              <w:right w:val="single" w:color="auto" w:sz="4" w:space="0"/>
            </w:tcBorders>
            <w:vAlign w:val="center"/>
          </w:tcPr>
          <w:p>
            <w:pPr>
              <w:spacing w:line="360" w:lineRule="auto"/>
              <w:rPr>
                <w:rFonts w:ascii="宋体" w:hAnsi="宋体" w:cs="宋体"/>
                <w:color w:val="auto"/>
                <w:sz w:val="22"/>
                <w:szCs w:val="22"/>
                <w:highlight w:val="none"/>
              </w:rPr>
            </w:pPr>
          </w:p>
        </w:tc>
        <w:tc>
          <w:tcPr>
            <w:tcW w:w="800" w:type="dxa"/>
            <w:tcBorders>
              <w:top w:val="single" w:color="auto" w:sz="12" w:space="0"/>
              <w:left w:val="single" w:color="auto" w:sz="4" w:space="0"/>
              <w:right w:val="single" w:color="auto" w:sz="4" w:space="0"/>
            </w:tcBorders>
            <w:vAlign w:val="center"/>
          </w:tcPr>
          <w:p>
            <w:pPr>
              <w:spacing w:line="360" w:lineRule="auto"/>
              <w:rPr>
                <w:rFonts w:ascii="宋体" w:hAnsi="宋体" w:cs="宋体"/>
                <w:color w:val="auto"/>
                <w:sz w:val="22"/>
                <w:szCs w:val="22"/>
                <w:highlight w:val="none"/>
              </w:rPr>
            </w:pPr>
          </w:p>
        </w:tc>
        <w:tc>
          <w:tcPr>
            <w:tcW w:w="2600" w:type="dxa"/>
            <w:tcBorders>
              <w:top w:val="single" w:color="auto" w:sz="12" w:space="0"/>
              <w:left w:val="single" w:color="auto" w:sz="4" w:space="0"/>
              <w:right w:val="single" w:color="auto" w:sz="4" w:space="0"/>
            </w:tcBorders>
            <w:vAlign w:val="center"/>
          </w:tcPr>
          <w:p>
            <w:pPr>
              <w:spacing w:line="360" w:lineRule="auto"/>
              <w:rPr>
                <w:rFonts w:ascii="宋体" w:hAnsi="宋体" w:cs="宋体"/>
                <w:color w:val="auto"/>
                <w:sz w:val="22"/>
                <w:szCs w:val="22"/>
                <w:highlight w:val="none"/>
              </w:rPr>
            </w:pPr>
          </w:p>
        </w:tc>
        <w:tc>
          <w:tcPr>
            <w:tcW w:w="970" w:type="dxa"/>
            <w:tcBorders>
              <w:top w:val="single" w:color="auto" w:sz="12" w:space="0"/>
              <w:left w:val="single" w:color="auto" w:sz="4" w:space="0"/>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tcBorders>
              <w:right w:val="single" w:color="auto" w:sz="4" w:space="0"/>
            </w:tcBorders>
            <w:vAlign w:val="center"/>
          </w:tcPr>
          <w:p>
            <w:pPr>
              <w:spacing w:line="360" w:lineRule="auto"/>
              <w:rPr>
                <w:rFonts w:ascii="宋体" w:hAnsi="宋体" w:cs="宋体"/>
                <w:color w:val="auto"/>
                <w:sz w:val="24"/>
                <w:highlight w:val="none"/>
              </w:rPr>
            </w:pPr>
          </w:p>
        </w:tc>
        <w:tc>
          <w:tcPr>
            <w:tcW w:w="800" w:type="dxa"/>
            <w:tcBorders>
              <w:left w:val="single" w:color="auto" w:sz="4" w:space="0"/>
            </w:tcBorders>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pStyle w:val="18"/>
              <w:spacing w:line="360" w:lineRule="auto"/>
              <w:ind w:left="525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tcBorders>
              <w:right w:val="single" w:color="auto" w:sz="4" w:space="0"/>
            </w:tcBorders>
            <w:vAlign w:val="center"/>
          </w:tcPr>
          <w:p>
            <w:pPr>
              <w:spacing w:line="360" w:lineRule="auto"/>
              <w:rPr>
                <w:rFonts w:ascii="宋体" w:hAnsi="宋体" w:cs="宋体"/>
                <w:color w:val="auto"/>
                <w:sz w:val="24"/>
                <w:highlight w:val="none"/>
              </w:rPr>
            </w:pPr>
          </w:p>
        </w:tc>
        <w:tc>
          <w:tcPr>
            <w:tcW w:w="800" w:type="dxa"/>
            <w:tcBorders>
              <w:left w:val="single" w:color="auto" w:sz="4" w:space="0"/>
            </w:tcBorders>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tcBorders>
              <w:right w:val="single" w:color="auto" w:sz="4" w:space="0"/>
            </w:tcBorders>
            <w:vAlign w:val="center"/>
          </w:tcPr>
          <w:p>
            <w:pPr>
              <w:spacing w:line="360" w:lineRule="auto"/>
              <w:rPr>
                <w:rFonts w:ascii="宋体" w:hAnsi="宋体" w:cs="宋体"/>
                <w:color w:val="auto"/>
                <w:sz w:val="24"/>
                <w:highlight w:val="none"/>
              </w:rPr>
            </w:pPr>
          </w:p>
        </w:tc>
        <w:tc>
          <w:tcPr>
            <w:tcW w:w="800" w:type="dxa"/>
            <w:tcBorders>
              <w:left w:val="single" w:color="auto" w:sz="4" w:space="0"/>
            </w:tcBorders>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tcBorders>
              <w:right w:val="single" w:color="auto" w:sz="4" w:space="0"/>
            </w:tcBorders>
            <w:vAlign w:val="center"/>
          </w:tcPr>
          <w:p>
            <w:pPr>
              <w:spacing w:line="360" w:lineRule="auto"/>
              <w:rPr>
                <w:rFonts w:ascii="宋体" w:hAnsi="宋体" w:cs="宋体"/>
                <w:color w:val="auto"/>
                <w:sz w:val="24"/>
                <w:highlight w:val="none"/>
              </w:rPr>
            </w:pPr>
          </w:p>
        </w:tc>
        <w:tc>
          <w:tcPr>
            <w:tcW w:w="800" w:type="dxa"/>
            <w:tcBorders>
              <w:left w:val="single" w:color="auto" w:sz="4" w:space="0"/>
            </w:tcBorders>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tcBorders>
              <w:right w:val="single" w:color="auto" w:sz="4" w:space="0"/>
            </w:tcBorders>
            <w:vAlign w:val="center"/>
          </w:tcPr>
          <w:p>
            <w:pPr>
              <w:spacing w:line="360" w:lineRule="auto"/>
              <w:rPr>
                <w:rFonts w:ascii="宋体" w:hAnsi="宋体" w:cs="宋体"/>
                <w:color w:val="auto"/>
                <w:sz w:val="24"/>
                <w:highlight w:val="none"/>
              </w:rPr>
            </w:pPr>
          </w:p>
        </w:tc>
        <w:tc>
          <w:tcPr>
            <w:tcW w:w="800" w:type="dxa"/>
            <w:tcBorders>
              <w:left w:val="single" w:color="auto" w:sz="4" w:space="0"/>
            </w:tcBorders>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4"/>
                <w:highlight w:val="none"/>
              </w:rPr>
            </w:pPr>
          </w:p>
        </w:tc>
        <w:tc>
          <w:tcPr>
            <w:tcW w:w="1406"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790" w:type="dxa"/>
            <w:vAlign w:val="center"/>
          </w:tcPr>
          <w:p>
            <w:pPr>
              <w:spacing w:line="360" w:lineRule="auto"/>
              <w:rPr>
                <w:rFonts w:ascii="宋体" w:hAnsi="宋体" w:cs="宋体"/>
                <w:color w:val="auto"/>
                <w:sz w:val="24"/>
                <w:highlight w:val="none"/>
              </w:rPr>
            </w:pPr>
          </w:p>
        </w:tc>
        <w:tc>
          <w:tcPr>
            <w:tcW w:w="910" w:type="dxa"/>
            <w:vAlign w:val="center"/>
          </w:tcPr>
          <w:p>
            <w:pPr>
              <w:spacing w:line="360" w:lineRule="auto"/>
              <w:rPr>
                <w:rFonts w:ascii="宋体" w:hAnsi="宋体" w:cs="宋体"/>
                <w:color w:val="auto"/>
                <w:sz w:val="24"/>
                <w:highlight w:val="none"/>
              </w:rPr>
            </w:pPr>
          </w:p>
        </w:tc>
        <w:tc>
          <w:tcPr>
            <w:tcW w:w="800" w:type="dxa"/>
            <w:vAlign w:val="center"/>
          </w:tcPr>
          <w:p>
            <w:pPr>
              <w:spacing w:line="360" w:lineRule="auto"/>
              <w:rPr>
                <w:rFonts w:ascii="宋体" w:hAnsi="宋体" w:cs="宋体"/>
                <w:color w:val="auto"/>
                <w:sz w:val="24"/>
                <w:highlight w:val="none"/>
              </w:rPr>
            </w:pPr>
          </w:p>
        </w:tc>
        <w:tc>
          <w:tcPr>
            <w:tcW w:w="2600" w:type="dxa"/>
            <w:vAlign w:val="center"/>
          </w:tcPr>
          <w:p>
            <w:pPr>
              <w:spacing w:line="360" w:lineRule="auto"/>
              <w:rPr>
                <w:rFonts w:ascii="宋体" w:hAnsi="宋体" w:cs="宋体"/>
                <w:color w:val="auto"/>
                <w:sz w:val="24"/>
                <w:highlight w:val="none"/>
              </w:rPr>
            </w:pPr>
          </w:p>
        </w:tc>
        <w:tc>
          <w:tcPr>
            <w:tcW w:w="970" w:type="dxa"/>
            <w:tcBorders>
              <w:right w:val="single" w:color="auto" w:sz="12" w:space="0"/>
            </w:tcBorders>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2"/>
                <w:szCs w:val="22"/>
                <w:highlight w:val="none"/>
              </w:rPr>
            </w:pPr>
          </w:p>
        </w:tc>
        <w:tc>
          <w:tcPr>
            <w:tcW w:w="1406"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910" w:type="dxa"/>
            <w:vAlign w:val="center"/>
          </w:tcPr>
          <w:p>
            <w:pPr>
              <w:spacing w:line="360" w:lineRule="auto"/>
              <w:rPr>
                <w:rFonts w:ascii="宋体" w:hAnsi="宋体" w:cs="宋体"/>
                <w:color w:val="auto"/>
                <w:sz w:val="22"/>
                <w:szCs w:val="22"/>
                <w:highlight w:val="none"/>
              </w:rPr>
            </w:pPr>
          </w:p>
        </w:tc>
        <w:tc>
          <w:tcPr>
            <w:tcW w:w="800" w:type="dxa"/>
            <w:vAlign w:val="center"/>
          </w:tcPr>
          <w:p>
            <w:pPr>
              <w:spacing w:line="360" w:lineRule="auto"/>
              <w:rPr>
                <w:rFonts w:ascii="宋体" w:hAnsi="宋体" w:cs="宋体"/>
                <w:color w:val="auto"/>
                <w:sz w:val="22"/>
                <w:szCs w:val="22"/>
                <w:highlight w:val="none"/>
              </w:rPr>
            </w:pPr>
          </w:p>
        </w:tc>
        <w:tc>
          <w:tcPr>
            <w:tcW w:w="2600" w:type="dxa"/>
            <w:vAlign w:val="center"/>
          </w:tcPr>
          <w:p>
            <w:pPr>
              <w:spacing w:line="360" w:lineRule="auto"/>
              <w:rPr>
                <w:rFonts w:ascii="宋体" w:hAnsi="宋体" w:cs="宋体"/>
                <w:color w:val="auto"/>
                <w:sz w:val="22"/>
                <w:szCs w:val="22"/>
                <w:highlight w:val="none"/>
              </w:rPr>
            </w:pPr>
          </w:p>
        </w:tc>
        <w:tc>
          <w:tcPr>
            <w:tcW w:w="970" w:type="dxa"/>
            <w:tcBorders>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2"/>
                <w:szCs w:val="22"/>
                <w:highlight w:val="none"/>
              </w:rPr>
            </w:pPr>
          </w:p>
        </w:tc>
        <w:tc>
          <w:tcPr>
            <w:tcW w:w="1406"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910" w:type="dxa"/>
            <w:vAlign w:val="center"/>
          </w:tcPr>
          <w:p>
            <w:pPr>
              <w:spacing w:line="360" w:lineRule="auto"/>
              <w:rPr>
                <w:rFonts w:ascii="宋体" w:hAnsi="宋体" w:cs="宋体"/>
                <w:color w:val="auto"/>
                <w:sz w:val="22"/>
                <w:szCs w:val="22"/>
                <w:highlight w:val="none"/>
              </w:rPr>
            </w:pPr>
          </w:p>
        </w:tc>
        <w:tc>
          <w:tcPr>
            <w:tcW w:w="800" w:type="dxa"/>
            <w:vAlign w:val="center"/>
          </w:tcPr>
          <w:p>
            <w:pPr>
              <w:spacing w:line="360" w:lineRule="auto"/>
              <w:rPr>
                <w:rFonts w:ascii="宋体" w:hAnsi="宋体" w:cs="宋体"/>
                <w:color w:val="auto"/>
                <w:sz w:val="22"/>
                <w:szCs w:val="22"/>
                <w:highlight w:val="none"/>
              </w:rPr>
            </w:pPr>
          </w:p>
        </w:tc>
        <w:tc>
          <w:tcPr>
            <w:tcW w:w="2600" w:type="dxa"/>
            <w:vAlign w:val="center"/>
          </w:tcPr>
          <w:p>
            <w:pPr>
              <w:spacing w:line="360" w:lineRule="auto"/>
              <w:rPr>
                <w:rFonts w:ascii="宋体" w:hAnsi="宋体" w:cs="宋体"/>
                <w:color w:val="auto"/>
                <w:sz w:val="22"/>
                <w:szCs w:val="22"/>
                <w:highlight w:val="none"/>
              </w:rPr>
            </w:pPr>
          </w:p>
        </w:tc>
        <w:tc>
          <w:tcPr>
            <w:tcW w:w="970" w:type="dxa"/>
            <w:tcBorders>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2"/>
                <w:szCs w:val="22"/>
                <w:highlight w:val="none"/>
              </w:rPr>
            </w:pPr>
          </w:p>
        </w:tc>
        <w:tc>
          <w:tcPr>
            <w:tcW w:w="1406"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910" w:type="dxa"/>
            <w:vAlign w:val="center"/>
          </w:tcPr>
          <w:p>
            <w:pPr>
              <w:spacing w:line="360" w:lineRule="auto"/>
              <w:rPr>
                <w:rFonts w:ascii="宋体" w:hAnsi="宋体" w:cs="宋体"/>
                <w:color w:val="auto"/>
                <w:sz w:val="22"/>
                <w:szCs w:val="22"/>
                <w:highlight w:val="none"/>
              </w:rPr>
            </w:pPr>
          </w:p>
        </w:tc>
        <w:tc>
          <w:tcPr>
            <w:tcW w:w="800" w:type="dxa"/>
            <w:vAlign w:val="center"/>
          </w:tcPr>
          <w:p>
            <w:pPr>
              <w:spacing w:line="360" w:lineRule="auto"/>
              <w:rPr>
                <w:rFonts w:ascii="宋体" w:hAnsi="宋体" w:cs="宋体"/>
                <w:color w:val="auto"/>
                <w:sz w:val="22"/>
                <w:szCs w:val="22"/>
                <w:highlight w:val="none"/>
              </w:rPr>
            </w:pPr>
          </w:p>
        </w:tc>
        <w:tc>
          <w:tcPr>
            <w:tcW w:w="2600" w:type="dxa"/>
            <w:vAlign w:val="center"/>
          </w:tcPr>
          <w:p>
            <w:pPr>
              <w:spacing w:line="360" w:lineRule="auto"/>
              <w:rPr>
                <w:rFonts w:ascii="宋体" w:hAnsi="宋体" w:cs="宋体"/>
                <w:color w:val="auto"/>
                <w:sz w:val="22"/>
                <w:szCs w:val="22"/>
                <w:highlight w:val="none"/>
              </w:rPr>
            </w:pPr>
          </w:p>
        </w:tc>
        <w:tc>
          <w:tcPr>
            <w:tcW w:w="970" w:type="dxa"/>
            <w:tcBorders>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2"/>
                <w:szCs w:val="22"/>
                <w:highlight w:val="none"/>
              </w:rPr>
            </w:pPr>
          </w:p>
        </w:tc>
        <w:tc>
          <w:tcPr>
            <w:tcW w:w="1406"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910" w:type="dxa"/>
            <w:vAlign w:val="center"/>
          </w:tcPr>
          <w:p>
            <w:pPr>
              <w:spacing w:line="360" w:lineRule="auto"/>
              <w:rPr>
                <w:rFonts w:ascii="宋体" w:hAnsi="宋体" w:cs="宋体"/>
                <w:color w:val="auto"/>
                <w:sz w:val="22"/>
                <w:szCs w:val="22"/>
                <w:highlight w:val="none"/>
              </w:rPr>
            </w:pPr>
          </w:p>
        </w:tc>
        <w:tc>
          <w:tcPr>
            <w:tcW w:w="800" w:type="dxa"/>
            <w:vAlign w:val="center"/>
          </w:tcPr>
          <w:p>
            <w:pPr>
              <w:spacing w:line="360" w:lineRule="auto"/>
              <w:rPr>
                <w:rFonts w:ascii="宋体" w:hAnsi="宋体" w:cs="宋体"/>
                <w:color w:val="auto"/>
                <w:sz w:val="22"/>
                <w:szCs w:val="22"/>
                <w:highlight w:val="none"/>
              </w:rPr>
            </w:pPr>
          </w:p>
        </w:tc>
        <w:tc>
          <w:tcPr>
            <w:tcW w:w="2600" w:type="dxa"/>
            <w:vAlign w:val="center"/>
          </w:tcPr>
          <w:p>
            <w:pPr>
              <w:spacing w:line="360" w:lineRule="auto"/>
              <w:rPr>
                <w:rFonts w:ascii="宋体" w:hAnsi="宋体" w:cs="宋体"/>
                <w:color w:val="auto"/>
                <w:sz w:val="22"/>
                <w:szCs w:val="22"/>
                <w:highlight w:val="none"/>
              </w:rPr>
            </w:pPr>
          </w:p>
        </w:tc>
        <w:tc>
          <w:tcPr>
            <w:tcW w:w="970" w:type="dxa"/>
            <w:tcBorders>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tcBorders>
              <w:left w:val="single" w:color="auto" w:sz="12" w:space="0"/>
            </w:tcBorders>
            <w:vAlign w:val="center"/>
          </w:tcPr>
          <w:p>
            <w:pPr>
              <w:spacing w:line="360" w:lineRule="auto"/>
              <w:rPr>
                <w:rFonts w:ascii="宋体" w:hAnsi="宋体" w:cs="宋体"/>
                <w:color w:val="auto"/>
                <w:sz w:val="22"/>
                <w:szCs w:val="22"/>
                <w:highlight w:val="none"/>
              </w:rPr>
            </w:pPr>
          </w:p>
        </w:tc>
        <w:tc>
          <w:tcPr>
            <w:tcW w:w="1406"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790" w:type="dxa"/>
            <w:vAlign w:val="center"/>
          </w:tcPr>
          <w:p>
            <w:pPr>
              <w:spacing w:line="360" w:lineRule="auto"/>
              <w:rPr>
                <w:rFonts w:ascii="宋体" w:hAnsi="宋体" w:cs="宋体"/>
                <w:color w:val="auto"/>
                <w:sz w:val="22"/>
                <w:szCs w:val="22"/>
                <w:highlight w:val="none"/>
              </w:rPr>
            </w:pPr>
          </w:p>
        </w:tc>
        <w:tc>
          <w:tcPr>
            <w:tcW w:w="910" w:type="dxa"/>
            <w:vAlign w:val="center"/>
          </w:tcPr>
          <w:p>
            <w:pPr>
              <w:spacing w:line="360" w:lineRule="auto"/>
              <w:rPr>
                <w:rFonts w:ascii="宋体" w:hAnsi="宋体" w:cs="宋体"/>
                <w:color w:val="auto"/>
                <w:sz w:val="22"/>
                <w:szCs w:val="22"/>
                <w:highlight w:val="none"/>
              </w:rPr>
            </w:pPr>
          </w:p>
        </w:tc>
        <w:tc>
          <w:tcPr>
            <w:tcW w:w="800" w:type="dxa"/>
            <w:vAlign w:val="center"/>
          </w:tcPr>
          <w:p>
            <w:pPr>
              <w:spacing w:line="360" w:lineRule="auto"/>
              <w:rPr>
                <w:rFonts w:ascii="宋体" w:hAnsi="宋体" w:cs="宋体"/>
                <w:color w:val="auto"/>
                <w:sz w:val="22"/>
                <w:szCs w:val="22"/>
                <w:highlight w:val="none"/>
              </w:rPr>
            </w:pPr>
          </w:p>
        </w:tc>
        <w:tc>
          <w:tcPr>
            <w:tcW w:w="2600" w:type="dxa"/>
            <w:vAlign w:val="center"/>
          </w:tcPr>
          <w:p>
            <w:pPr>
              <w:spacing w:line="360" w:lineRule="auto"/>
              <w:rPr>
                <w:rFonts w:ascii="宋体" w:hAnsi="宋体" w:cs="宋体"/>
                <w:color w:val="auto"/>
                <w:sz w:val="22"/>
                <w:szCs w:val="22"/>
                <w:highlight w:val="none"/>
              </w:rPr>
            </w:pPr>
          </w:p>
        </w:tc>
        <w:tc>
          <w:tcPr>
            <w:tcW w:w="970" w:type="dxa"/>
            <w:tcBorders>
              <w:right w:val="single" w:color="auto" w:sz="12" w:space="0"/>
            </w:tcBorders>
            <w:vAlign w:val="center"/>
          </w:tcPr>
          <w:p>
            <w:pPr>
              <w:spacing w:line="360" w:lineRule="auto"/>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541" w:type="dxa"/>
            <w:gridSpan w:val="8"/>
            <w:tcBorders>
              <w:left w:val="single" w:color="auto" w:sz="12" w:space="0"/>
              <w:bottom w:val="single" w:color="auto" w:sz="12" w:space="0"/>
              <w:right w:val="single" w:color="auto" w:sz="12" w:space="0"/>
            </w:tcBorders>
            <w:vAlign w:val="center"/>
          </w:tcPr>
          <w:p>
            <w:pPr>
              <w:rPr>
                <w:rFonts w:ascii="宋体" w:hAnsi="宋体" w:cs="宋体"/>
                <w:color w:val="auto"/>
                <w:sz w:val="22"/>
                <w:szCs w:val="22"/>
                <w:highlight w:val="none"/>
              </w:rPr>
            </w:pPr>
          </w:p>
        </w:tc>
      </w:tr>
    </w:tbl>
    <w:p>
      <w:pPr>
        <w:pStyle w:val="23"/>
        <w:ind w:left="1034" w:hanging="1034" w:hangingChars="47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附注：1. 本表人员应随表提交证书、社保等复印件。</w:t>
      </w:r>
    </w:p>
    <w:p>
      <w:pP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360" w:lineRule="exact"/>
        <w:rPr>
          <w:rFonts w:ascii="宋体" w:hAnsi="宋体" w:cs="宋体"/>
          <w:color w:val="auto"/>
          <w:sz w:val="22"/>
          <w:szCs w:val="22"/>
          <w:highlight w:val="none"/>
        </w:rPr>
      </w:pPr>
    </w:p>
    <w:p>
      <w:pPr>
        <w:spacing w:line="440" w:lineRule="exact"/>
        <w:rPr>
          <w:rFonts w:ascii="宋体" w:hAnsi="宋体" w:cs="宋体"/>
          <w:color w:val="auto"/>
          <w:sz w:val="22"/>
          <w:szCs w:val="22"/>
          <w:highlight w:val="none"/>
        </w:rPr>
      </w:pP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投标供应商名称（盖章）：</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法人或授权代表（签字或盖章）：</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日 期：</w:t>
      </w:r>
    </w:p>
    <w:p>
      <w:pPr>
        <w:rPr>
          <w:rFonts w:ascii="宋体" w:hAnsi="宋体" w:cs="宋体"/>
          <w:b/>
          <w:color w:val="auto"/>
          <w:szCs w:val="21"/>
          <w:highlight w:val="none"/>
          <w:u w:val="single"/>
        </w:rPr>
      </w:pPr>
    </w:p>
    <w:p>
      <w:pPr>
        <w:rPr>
          <w:rFonts w:ascii="宋体" w:hAnsi="宋体" w:cs="宋体"/>
          <w:color w:val="auto"/>
          <w:highlight w:val="none"/>
        </w:rPr>
      </w:pPr>
      <w:r>
        <w:rPr>
          <w:rFonts w:ascii="宋体" w:hAnsi="宋体" w:cs="宋体"/>
          <w:color w:val="auto"/>
          <w:highlight w:val="none"/>
        </w:rPr>
        <w:br w:type="page"/>
      </w:r>
    </w:p>
    <w:p>
      <w:pPr>
        <w:spacing w:line="460" w:lineRule="exact"/>
        <w:rPr>
          <w:rFonts w:ascii="宋体" w:hAnsi="宋体"/>
          <w:b/>
          <w:bCs/>
          <w:color w:val="auto"/>
          <w:sz w:val="24"/>
          <w:highlight w:val="none"/>
        </w:rPr>
      </w:pPr>
      <w:r>
        <w:rPr>
          <w:rFonts w:hint="eastAsia" w:ascii="宋体" w:hAnsi="宋体"/>
          <w:b/>
          <w:bCs/>
          <w:color w:val="auto"/>
          <w:sz w:val="24"/>
          <w:highlight w:val="none"/>
        </w:rPr>
        <w:t>附件八</w:t>
      </w: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（1）产品供货范围详细清单</w:t>
      </w:r>
    </w:p>
    <w:p>
      <w:pPr>
        <w:spacing w:line="460" w:lineRule="exact"/>
        <w:ind w:firstLine="590" w:firstLineChars="246"/>
        <w:rPr>
          <w:rFonts w:ascii="宋体" w:hAnsi="宋体"/>
          <w:color w:val="auto"/>
          <w:sz w:val="24"/>
          <w:highlight w:val="none"/>
        </w:rPr>
      </w:pPr>
      <w:r>
        <w:rPr>
          <w:rFonts w:hint="eastAsia" w:ascii="宋体" w:hAnsi="宋体"/>
          <w:color w:val="auto"/>
          <w:sz w:val="24"/>
          <w:highlight w:val="none"/>
        </w:rPr>
        <w:t>项目名称：                                      项目编号：</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996"/>
        <w:gridCol w:w="952"/>
        <w:gridCol w:w="1688"/>
        <w:gridCol w:w="885"/>
        <w:gridCol w:w="930"/>
        <w:gridCol w:w="1807"/>
        <w:gridCol w:w="873"/>
        <w:gridCol w:w="1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序号</w:t>
            </w: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产品名称</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品牌</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规格、型号</w:t>
            </w: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单位</w:t>
            </w: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数量</w:t>
            </w: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性能及指标</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产地</w:t>
            </w: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免费</w:t>
            </w:r>
          </w:p>
          <w:p>
            <w:pPr>
              <w:snapToGrid w:val="0"/>
              <w:spacing w:before="50" w:after="50"/>
              <w:jc w:val="center"/>
              <w:rPr>
                <w:rFonts w:ascii="宋体" w:hAnsi="宋体"/>
                <w:color w:val="auto"/>
                <w:sz w:val="30"/>
                <w:szCs w:val="30"/>
                <w:highlight w:val="none"/>
              </w:rPr>
            </w:pPr>
            <w:r>
              <w:rPr>
                <w:rFonts w:ascii="宋体" w:hAnsi="宋体"/>
                <w:color w:val="auto"/>
                <w:sz w:val="30"/>
                <w:szCs w:val="30"/>
                <w:highlight w:val="none"/>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30"/>
                <w:szCs w:val="30"/>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30"/>
                <w:szCs w:val="30"/>
                <w:highlight w:val="none"/>
              </w:rPr>
            </w:pPr>
          </w:p>
        </w:tc>
      </w:tr>
    </w:tbl>
    <w:p>
      <w:pPr>
        <w:spacing w:line="360" w:lineRule="auto"/>
        <w:rPr>
          <w:rFonts w:ascii="宋体" w:hAnsi="宋体"/>
          <w:color w:val="auto"/>
          <w:sz w:val="30"/>
          <w:szCs w:val="30"/>
          <w:highlight w:val="none"/>
        </w:rPr>
      </w:pPr>
      <w:r>
        <w:rPr>
          <w:rFonts w:hint="eastAsia" w:ascii="宋体" w:hAnsi="宋体"/>
          <w:color w:val="auto"/>
          <w:sz w:val="30"/>
          <w:szCs w:val="30"/>
          <w:highlight w:val="none"/>
        </w:rPr>
        <w:t>注：</w:t>
      </w:r>
    </w:p>
    <w:p>
      <w:pPr>
        <w:spacing w:line="360" w:lineRule="auto"/>
        <w:rPr>
          <w:rFonts w:ascii="宋体" w:hAnsi="宋体"/>
          <w:color w:val="auto"/>
          <w:sz w:val="30"/>
          <w:szCs w:val="30"/>
          <w:highlight w:val="none"/>
        </w:rPr>
      </w:pPr>
      <w:r>
        <w:rPr>
          <w:rFonts w:hint="eastAsia" w:ascii="宋体" w:hAnsi="宋体"/>
          <w:color w:val="auto"/>
          <w:sz w:val="30"/>
          <w:szCs w:val="30"/>
          <w:highlight w:val="none"/>
        </w:rPr>
        <w:t>1、表中的产品名称按采购文件中 “采购内容”分项填写。</w:t>
      </w:r>
    </w:p>
    <w:p>
      <w:pPr>
        <w:spacing w:line="360" w:lineRule="auto"/>
        <w:rPr>
          <w:rFonts w:ascii="宋体" w:hAnsi="宋体"/>
          <w:color w:val="auto"/>
          <w:sz w:val="30"/>
          <w:szCs w:val="30"/>
          <w:highlight w:val="none"/>
        </w:rPr>
      </w:pPr>
      <w:r>
        <w:rPr>
          <w:rFonts w:hint="eastAsia" w:ascii="宋体" w:hAnsi="宋体"/>
          <w:color w:val="auto"/>
          <w:sz w:val="30"/>
          <w:szCs w:val="30"/>
          <w:highlight w:val="none"/>
        </w:rPr>
        <w:t>2、本表格式可以自拟，附在技术资信标内。</w:t>
      </w:r>
    </w:p>
    <w:p>
      <w:pPr>
        <w:pStyle w:val="28"/>
        <w:ind w:leftChars="0" w:firstLineChars="0"/>
        <w:rPr>
          <w:rFonts w:ascii="宋体" w:hAnsi="宋体"/>
          <w:color w:val="auto"/>
          <w:highlight w:val="none"/>
        </w:rPr>
      </w:pPr>
    </w:p>
    <w:p>
      <w:pPr>
        <w:tabs>
          <w:tab w:val="left" w:pos="840"/>
        </w:tabs>
        <w:adjustRightInd w:val="0"/>
        <w:snapToGrid w:val="0"/>
        <w:spacing w:line="360" w:lineRule="auto"/>
        <w:ind w:left="420" w:leftChars="200" w:firstLine="450" w:firstLineChars="150"/>
        <w:rPr>
          <w:rFonts w:ascii="宋体" w:hAnsi="宋体"/>
          <w:color w:val="auto"/>
          <w:sz w:val="30"/>
          <w:szCs w:val="30"/>
          <w:highlight w:val="none"/>
        </w:rPr>
      </w:pPr>
      <w:r>
        <w:rPr>
          <w:rFonts w:hint="eastAsia" w:ascii="宋体" w:hAnsi="宋体"/>
          <w:color w:val="auto"/>
          <w:sz w:val="30"/>
          <w:szCs w:val="30"/>
          <w:highlight w:val="none"/>
        </w:rPr>
        <w:t>投标供应商全称（盖单位公章）：</w:t>
      </w:r>
    </w:p>
    <w:p>
      <w:pPr>
        <w:tabs>
          <w:tab w:val="left" w:pos="840"/>
        </w:tabs>
        <w:adjustRightInd w:val="0"/>
        <w:snapToGrid w:val="0"/>
        <w:spacing w:line="360" w:lineRule="auto"/>
        <w:ind w:left="420" w:leftChars="200" w:firstLine="450" w:firstLineChars="150"/>
        <w:rPr>
          <w:rFonts w:ascii="宋体" w:hAnsi="宋体"/>
          <w:color w:val="auto"/>
          <w:sz w:val="30"/>
          <w:szCs w:val="30"/>
          <w:highlight w:val="none"/>
        </w:rPr>
      </w:pPr>
      <w:r>
        <w:rPr>
          <w:rFonts w:hint="eastAsia" w:ascii="宋体" w:hAnsi="宋体"/>
          <w:color w:val="auto"/>
          <w:sz w:val="30"/>
          <w:szCs w:val="30"/>
          <w:highlight w:val="none"/>
        </w:rPr>
        <w:t>法定代表人或授权代表（签字或盖章）：</w:t>
      </w:r>
    </w:p>
    <w:p>
      <w:pPr>
        <w:tabs>
          <w:tab w:val="left" w:pos="840"/>
        </w:tabs>
        <w:adjustRightInd w:val="0"/>
        <w:snapToGrid w:val="0"/>
        <w:spacing w:line="360" w:lineRule="auto"/>
        <w:ind w:left="420" w:leftChars="200" w:firstLine="450" w:firstLineChars="150"/>
        <w:rPr>
          <w:rFonts w:ascii="宋体" w:hAnsi="宋体"/>
          <w:color w:val="auto"/>
          <w:sz w:val="30"/>
          <w:szCs w:val="30"/>
          <w:highlight w:val="none"/>
        </w:rPr>
      </w:pPr>
      <w:r>
        <w:rPr>
          <w:rFonts w:hint="eastAsia" w:ascii="宋体" w:hAnsi="宋体"/>
          <w:color w:val="auto"/>
          <w:sz w:val="30"/>
          <w:szCs w:val="30"/>
          <w:highlight w:val="none"/>
        </w:rPr>
        <w:t>日          期：  年  月  日</w:t>
      </w:r>
    </w:p>
    <w:p>
      <w:pPr>
        <w:tabs>
          <w:tab w:val="left" w:pos="840"/>
        </w:tabs>
        <w:adjustRightInd w:val="0"/>
        <w:snapToGrid w:val="0"/>
        <w:spacing w:line="360" w:lineRule="auto"/>
        <w:ind w:left="420" w:leftChars="200" w:firstLine="315" w:firstLineChars="150"/>
        <w:rPr>
          <w:rFonts w:ascii="宋体" w:hAnsi="宋体"/>
          <w:color w:val="auto"/>
          <w:szCs w:val="22"/>
          <w:highlight w:val="none"/>
        </w:rPr>
      </w:pPr>
    </w:p>
    <w:p>
      <w:pPr>
        <w:tabs>
          <w:tab w:val="left" w:pos="840"/>
        </w:tabs>
        <w:adjustRightInd w:val="0"/>
        <w:snapToGrid w:val="0"/>
        <w:spacing w:line="360" w:lineRule="auto"/>
        <w:ind w:left="420" w:leftChars="200" w:firstLine="315" w:firstLineChars="150"/>
        <w:rPr>
          <w:rFonts w:ascii="宋体" w:hAnsi="宋体"/>
          <w:color w:val="auto"/>
          <w:szCs w:val="22"/>
          <w:highlight w:val="none"/>
        </w:rPr>
      </w:pPr>
    </w:p>
    <w:p>
      <w:pPr>
        <w:spacing w:line="460" w:lineRule="exact"/>
        <w:jc w:val="center"/>
        <w:rPr>
          <w:rFonts w:ascii="宋体" w:hAnsi="宋体"/>
          <w:b/>
          <w:bCs/>
          <w:color w:val="auto"/>
          <w:sz w:val="28"/>
          <w:szCs w:val="28"/>
          <w:highlight w:val="none"/>
        </w:rPr>
      </w:pPr>
    </w:p>
    <w:p>
      <w:pPr>
        <w:spacing w:line="460" w:lineRule="exact"/>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（2）随机备品备件和专用工具清单（如有）</w:t>
      </w:r>
    </w:p>
    <w:p>
      <w:pPr>
        <w:spacing w:line="460" w:lineRule="exact"/>
        <w:ind w:firstLine="470" w:firstLineChars="196"/>
        <w:rPr>
          <w:rFonts w:ascii="宋体" w:hAnsi="宋体"/>
          <w:color w:val="auto"/>
          <w:sz w:val="24"/>
          <w:highlight w:val="none"/>
        </w:rPr>
      </w:pPr>
      <w:r>
        <w:rPr>
          <w:rFonts w:ascii="宋体" w:hAnsi="宋体"/>
          <w:color w:val="auto"/>
          <w:sz w:val="24"/>
          <w:highlight w:val="none"/>
        </w:rPr>
        <w:t>项目名称</w:t>
      </w:r>
      <w:r>
        <w:rPr>
          <w:rFonts w:hint="eastAsia" w:ascii="宋体" w:hAnsi="宋体"/>
          <w:color w:val="auto"/>
          <w:sz w:val="24"/>
          <w:highlight w:val="none"/>
        </w:rPr>
        <w:t xml:space="preserve">:                                             </w:t>
      </w:r>
      <w:r>
        <w:rPr>
          <w:rFonts w:ascii="宋体" w:hAnsi="宋体"/>
          <w:color w:val="auto"/>
          <w:sz w:val="24"/>
          <w:highlight w:val="none"/>
        </w:rPr>
        <w:t>项目编号</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575"/>
        <w:gridCol w:w="1470"/>
        <w:gridCol w:w="1260"/>
        <w:gridCol w:w="126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13"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设备名称及编号</w:t>
            </w:r>
          </w:p>
        </w:tc>
        <w:tc>
          <w:tcPr>
            <w:tcW w:w="1575"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附件及备件、专用工具名称</w:t>
            </w:r>
          </w:p>
        </w:tc>
        <w:tc>
          <w:tcPr>
            <w:tcW w:w="1470"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品牌/产地</w:t>
            </w:r>
          </w:p>
        </w:tc>
        <w:tc>
          <w:tcPr>
            <w:tcW w:w="1260"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数量</w:t>
            </w:r>
          </w:p>
        </w:tc>
        <w:tc>
          <w:tcPr>
            <w:tcW w:w="1260"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包装形式</w:t>
            </w:r>
          </w:p>
        </w:tc>
        <w:tc>
          <w:tcPr>
            <w:tcW w:w="1515" w:type="dxa"/>
            <w:tcBorders>
              <w:top w:val="single" w:color="auto" w:sz="12" w:space="0"/>
              <w:bottom w:val="single" w:color="auto" w:sz="12" w:space="0"/>
            </w:tcBorders>
            <w:vAlign w:val="center"/>
          </w:tcPr>
          <w:p>
            <w:pPr>
              <w:jc w:val="center"/>
              <w:rPr>
                <w:rFonts w:ascii="宋体" w:hAnsi="宋体"/>
                <w:bCs/>
                <w:color w:val="auto"/>
                <w:sz w:val="24"/>
                <w:highlight w:val="none"/>
              </w:rPr>
            </w:pPr>
            <w:r>
              <w:rPr>
                <w:rFonts w:ascii="宋体" w:hAnsi="宋体"/>
                <w:bCs/>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tcBorders>
              <w:top w:val="single" w:color="auto" w:sz="12" w:space="0"/>
            </w:tcBorders>
            <w:vAlign w:val="center"/>
          </w:tcPr>
          <w:p>
            <w:pPr>
              <w:ind w:firstLine="592"/>
              <w:jc w:val="center"/>
              <w:rPr>
                <w:rFonts w:ascii="宋体" w:hAnsi="宋体"/>
                <w:color w:val="auto"/>
                <w:sz w:val="24"/>
                <w:highlight w:val="none"/>
              </w:rPr>
            </w:pPr>
          </w:p>
        </w:tc>
        <w:tc>
          <w:tcPr>
            <w:tcW w:w="1575" w:type="dxa"/>
            <w:tcBorders>
              <w:top w:val="single" w:color="auto" w:sz="12" w:space="0"/>
            </w:tcBorders>
            <w:vAlign w:val="center"/>
          </w:tcPr>
          <w:p>
            <w:pPr>
              <w:ind w:firstLine="592"/>
              <w:jc w:val="center"/>
              <w:rPr>
                <w:rFonts w:ascii="宋体" w:hAnsi="宋体"/>
                <w:color w:val="auto"/>
                <w:sz w:val="24"/>
                <w:highlight w:val="none"/>
              </w:rPr>
            </w:pPr>
          </w:p>
        </w:tc>
        <w:tc>
          <w:tcPr>
            <w:tcW w:w="1470" w:type="dxa"/>
            <w:tcBorders>
              <w:top w:val="single" w:color="auto" w:sz="12" w:space="0"/>
            </w:tcBorders>
            <w:vAlign w:val="center"/>
          </w:tcPr>
          <w:p>
            <w:pPr>
              <w:ind w:firstLine="592"/>
              <w:jc w:val="center"/>
              <w:rPr>
                <w:rFonts w:ascii="宋体" w:hAnsi="宋体"/>
                <w:color w:val="auto"/>
                <w:sz w:val="24"/>
                <w:highlight w:val="none"/>
              </w:rPr>
            </w:pPr>
          </w:p>
        </w:tc>
        <w:tc>
          <w:tcPr>
            <w:tcW w:w="1260" w:type="dxa"/>
            <w:tcBorders>
              <w:top w:val="single" w:color="auto" w:sz="12" w:space="0"/>
            </w:tcBorders>
            <w:vAlign w:val="center"/>
          </w:tcPr>
          <w:p>
            <w:pPr>
              <w:ind w:firstLine="592"/>
              <w:jc w:val="center"/>
              <w:rPr>
                <w:rFonts w:ascii="宋体" w:hAnsi="宋体"/>
                <w:color w:val="auto"/>
                <w:sz w:val="24"/>
                <w:highlight w:val="none"/>
              </w:rPr>
            </w:pPr>
          </w:p>
        </w:tc>
        <w:tc>
          <w:tcPr>
            <w:tcW w:w="1260" w:type="dxa"/>
            <w:tcBorders>
              <w:top w:val="single" w:color="auto" w:sz="12" w:space="0"/>
            </w:tcBorders>
            <w:vAlign w:val="center"/>
          </w:tcPr>
          <w:p>
            <w:pPr>
              <w:ind w:firstLine="592"/>
              <w:jc w:val="center"/>
              <w:rPr>
                <w:rFonts w:ascii="宋体" w:hAnsi="宋体"/>
                <w:color w:val="auto"/>
                <w:sz w:val="24"/>
                <w:highlight w:val="none"/>
              </w:rPr>
            </w:pPr>
          </w:p>
        </w:tc>
        <w:tc>
          <w:tcPr>
            <w:tcW w:w="1515" w:type="dxa"/>
            <w:tcBorders>
              <w:top w:val="single" w:color="auto" w:sz="12" w:space="0"/>
            </w:tcBorders>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313" w:type="dxa"/>
            <w:vAlign w:val="center"/>
          </w:tcPr>
          <w:p>
            <w:pPr>
              <w:ind w:firstLine="592"/>
              <w:jc w:val="center"/>
              <w:rPr>
                <w:rFonts w:ascii="宋体" w:hAnsi="宋体"/>
                <w:color w:val="auto"/>
                <w:sz w:val="24"/>
                <w:highlight w:val="none"/>
              </w:rPr>
            </w:pPr>
          </w:p>
        </w:tc>
        <w:tc>
          <w:tcPr>
            <w:tcW w:w="1575" w:type="dxa"/>
            <w:vAlign w:val="center"/>
          </w:tcPr>
          <w:p>
            <w:pPr>
              <w:ind w:firstLine="592"/>
              <w:jc w:val="center"/>
              <w:rPr>
                <w:rFonts w:ascii="宋体" w:hAnsi="宋体"/>
                <w:color w:val="auto"/>
                <w:sz w:val="24"/>
                <w:highlight w:val="none"/>
              </w:rPr>
            </w:pPr>
          </w:p>
        </w:tc>
        <w:tc>
          <w:tcPr>
            <w:tcW w:w="147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260" w:type="dxa"/>
            <w:vAlign w:val="center"/>
          </w:tcPr>
          <w:p>
            <w:pPr>
              <w:ind w:firstLine="592"/>
              <w:jc w:val="center"/>
              <w:rPr>
                <w:rFonts w:ascii="宋体" w:hAnsi="宋体"/>
                <w:color w:val="auto"/>
                <w:sz w:val="24"/>
                <w:highlight w:val="none"/>
              </w:rPr>
            </w:pPr>
          </w:p>
        </w:tc>
        <w:tc>
          <w:tcPr>
            <w:tcW w:w="1515" w:type="dxa"/>
            <w:vAlign w:val="center"/>
          </w:tcPr>
          <w:p>
            <w:pPr>
              <w:ind w:firstLine="592"/>
              <w:jc w:val="center"/>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注：1、投标供应商可按以上表格形式进行复制，附在技术标内。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2、本表所列为随设备所带的附件及备品备件。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3、设备验收时，实到的随机备品备件的产地等应与此一览表一一对应。</w:t>
      </w:r>
    </w:p>
    <w:p>
      <w:pPr>
        <w:spacing w:line="360" w:lineRule="auto"/>
        <w:rPr>
          <w:rFonts w:ascii="宋体" w:hAnsi="宋体"/>
          <w:color w:val="auto"/>
          <w:sz w:val="24"/>
          <w:highlight w:val="none"/>
        </w:rPr>
      </w:pPr>
    </w:p>
    <w:p>
      <w:pPr>
        <w:tabs>
          <w:tab w:val="left" w:pos="840"/>
        </w:tabs>
        <w:adjustRightInd w:val="0"/>
        <w:snapToGrid w:val="0"/>
        <w:spacing w:line="360" w:lineRule="auto"/>
        <w:ind w:left="420" w:leftChars="200" w:firstLine="360" w:firstLineChars="150"/>
        <w:rPr>
          <w:rFonts w:ascii="宋体" w:hAnsi="宋体"/>
          <w:color w:val="auto"/>
          <w:sz w:val="24"/>
          <w:highlight w:val="none"/>
        </w:rPr>
      </w:pPr>
      <w:r>
        <w:rPr>
          <w:rFonts w:hint="eastAsia" w:ascii="宋体" w:hAnsi="宋体"/>
          <w:color w:val="auto"/>
          <w:sz w:val="24"/>
          <w:highlight w:val="none"/>
        </w:rPr>
        <w:t>投标供应商全称（盖单位公章）：</w:t>
      </w:r>
    </w:p>
    <w:p>
      <w:pPr>
        <w:tabs>
          <w:tab w:val="left" w:pos="840"/>
        </w:tabs>
        <w:adjustRightInd w:val="0"/>
        <w:snapToGrid w:val="0"/>
        <w:spacing w:line="360" w:lineRule="auto"/>
        <w:ind w:left="420" w:leftChars="200" w:firstLine="360" w:firstLineChars="150"/>
        <w:rPr>
          <w:rFonts w:ascii="宋体" w:hAnsi="宋体"/>
          <w:color w:val="auto"/>
          <w:sz w:val="24"/>
          <w:highlight w:val="none"/>
        </w:rPr>
      </w:pPr>
      <w:r>
        <w:rPr>
          <w:rFonts w:hint="eastAsia" w:ascii="宋体" w:hAnsi="宋体"/>
          <w:color w:val="auto"/>
          <w:sz w:val="24"/>
          <w:highlight w:val="none"/>
        </w:rPr>
        <w:t>法定代表人或授权代表（签字或盖章）：</w:t>
      </w:r>
    </w:p>
    <w:p>
      <w:pPr>
        <w:tabs>
          <w:tab w:val="left" w:pos="840"/>
        </w:tabs>
        <w:adjustRightInd w:val="0"/>
        <w:snapToGrid w:val="0"/>
        <w:spacing w:line="360" w:lineRule="auto"/>
        <w:ind w:left="420" w:leftChars="200" w:firstLine="360" w:firstLineChars="150"/>
        <w:rPr>
          <w:rFonts w:ascii="宋体" w:hAnsi="宋体"/>
          <w:color w:val="auto"/>
          <w:sz w:val="24"/>
          <w:highlight w:val="none"/>
        </w:rPr>
      </w:pPr>
      <w:r>
        <w:rPr>
          <w:rFonts w:hint="eastAsia" w:ascii="宋体" w:hAnsi="宋体"/>
          <w:color w:val="auto"/>
          <w:sz w:val="24"/>
          <w:highlight w:val="none"/>
        </w:rPr>
        <w:t>日          期：  年  月  日</w:t>
      </w:r>
    </w:p>
    <w:p>
      <w:pPr>
        <w:pStyle w:val="28"/>
        <w:ind w:left="0" w:leftChars="0" w:firstLine="0" w:firstLineChars="0"/>
        <w:rPr>
          <w:rFonts w:ascii="宋体" w:hAnsi="宋体" w:cs="宋体"/>
          <w:color w:val="auto"/>
          <w:highlight w:val="none"/>
        </w:rPr>
      </w:pPr>
      <w:r>
        <w:rPr>
          <w:rFonts w:ascii="宋体" w:hAnsi="宋体"/>
          <w:b/>
          <w:bCs/>
          <w:color w:val="auto"/>
          <w:szCs w:val="22"/>
          <w:highlight w:val="none"/>
        </w:rPr>
        <w:br w:type="page"/>
      </w:r>
    </w:p>
    <w:p>
      <w:pPr>
        <w:pStyle w:val="3"/>
        <w:rPr>
          <w:rFonts w:ascii="宋体" w:hAnsi="宋体" w:eastAsia="宋体" w:cs="宋体"/>
          <w:color w:val="auto"/>
          <w:sz w:val="36"/>
          <w:szCs w:val="36"/>
          <w:highlight w:val="none"/>
        </w:rPr>
      </w:pPr>
      <w:bookmarkStart w:id="215" w:name="_Toc9996"/>
      <w:bookmarkStart w:id="216" w:name="_Toc249758871"/>
      <w:bookmarkStart w:id="217" w:name="_Toc262105510"/>
      <w:bookmarkStart w:id="218" w:name="_Toc249758721"/>
      <w:bookmarkStart w:id="219" w:name="_Toc6715"/>
      <w:bookmarkStart w:id="220" w:name="_Toc262049425"/>
      <w:r>
        <w:rPr>
          <w:rFonts w:hint="eastAsia" w:ascii="宋体" w:hAnsi="宋体" w:eastAsia="宋体" w:cs="宋体"/>
          <w:color w:val="auto"/>
          <w:sz w:val="36"/>
          <w:szCs w:val="36"/>
          <w:highlight w:val="none"/>
        </w:rPr>
        <w:t>第四部分   采购内容及要求</w:t>
      </w:r>
      <w:bookmarkEnd w:id="195"/>
      <w:bookmarkEnd w:id="196"/>
      <w:bookmarkEnd w:id="197"/>
      <w:bookmarkEnd w:id="198"/>
      <w:bookmarkEnd w:id="199"/>
      <w:bookmarkEnd w:id="200"/>
      <w:bookmarkEnd w:id="201"/>
      <w:bookmarkEnd w:id="202"/>
      <w:bookmarkEnd w:id="203"/>
      <w:bookmarkEnd w:id="204"/>
      <w:bookmarkEnd w:id="205"/>
      <w:bookmarkEnd w:id="215"/>
      <w:bookmarkEnd w:id="216"/>
      <w:bookmarkEnd w:id="217"/>
      <w:bookmarkEnd w:id="218"/>
      <w:bookmarkEnd w:id="219"/>
      <w:bookmarkEnd w:id="220"/>
    </w:p>
    <w:p>
      <w:pPr>
        <w:spacing w:line="360" w:lineRule="auto"/>
        <w:ind w:firstLine="482" w:firstLineChars="200"/>
        <w:rPr>
          <w:rFonts w:ascii="宋体" w:hAnsi="宋体"/>
          <w:b/>
          <w:bCs/>
          <w:color w:val="auto"/>
          <w:sz w:val="24"/>
          <w:highlight w:val="none"/>
        </w:rPr>
      </w:pPr>
      <w:bookmarkStart w:id="221" w:name="_Toc223717614"/>
      <w:bookmarkStart w:id="222" w:name="_Toc227489897"/>
      <w:bookmarkStart w:id="223" w:name="_Hlk16066388"/>
      <w:bookmarkStart w:id="224" w:name="_Toc227057043"/>
      <w:bookmarkStart w:id="225" w:name="_Toc223933231"/>
      <w:bookmarkStart w:id="226" w:name="_Toc352313357"/>
      <w:bookmarkStart w:id="227" w:name="_Toc227056860"/>
      <w:bookmarkStart w:id="228" w:name="_Toc352704748"/>
      <w:bookmarkStart w:id="229" w:name="_Toc245191321"/>
      <w:bookmarkStart w:id="230" w:name="_Toc246261272"/>
      <w:bookmarkStart w:id="231" w:name="_Toc221356960"/>
      <w:bookmarkStart w:id="232" w:name="_Toc262049426"/>
      <w:bookmarkStart w:id="233" w:name="_Toc241404209"/>
      <w:bookmarkStart w:id="234" w:name="_Toc222114886"/>
      <w:bookmarkStart w:id="235" w:name="_Toc221356897"/>
      <w:bookmarkStart w:id="236" w:name="_Toc221423626"/>
      <w:bookmarkStart w:id="237" w:name="_Toc249758722"/>
      <w:bookmarkStart w:id="238" w:name="_Toc221374633"/>
      <w:bookmarkStart w:id="239" w:name="_Toc262105511"/>
      <w:bookmarkStart w:id="240" w:name="_Toc223716005"/>
      <w:bookmarkStart w:id="241" w:name="_Toc249758872"/>
      <w:bookmarkStart w:id="242" w:name="_Toc239145361"/>
      <w:bookmarkStart w:id="243" w:name="_Toc245722288"/>
      <w:r>
        <w:rPr>
          <w:rFonts w:hint="eastAsia" w:ascii="宋体" w:hAnsi="宋体"/>
          <w:b/>
          <w:bCs/>
          <w:color w:val="auto"/>
          <w:sz w:val="24"/>
          <w:highlight w:val="none"/>
        </w:rPr>
        <w:t>一、总则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1、本采购内容及说明提出了设备的功能设计、结构、性能、安装和试验等方面的初步技术要求，供投标供应商做报价依据。采购人有权在签订合同时对本采购内容及说明作进一步修改。</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w:t>
      </w:r>
      <w:r>
        <w:rPr>
          <w:rFonts w:hint="eastAsia" w:ascii="宋体" w:hAnsi="宋体"/>
          <w:b/>
          <w:color w:val="auto"/>
          <w:sz w:val="24"/>
          <w:highlight w:val="none"/>
        </w:rPr>
        <w:t>本采购内容及说明并未对一切技术细节作出明确规定，也未充分引述有关标准、规范的条文。投标供应商应保证提供符合采购内容及说明和工业标准的优质产品。投标文件包括采购内容及说明所叙述的全部工作以及在采购内容及说明没有提到的，但涉及到有关设备的效率、稳定性、完整性以及在工程实践上证明是优良性能所需要的部分也应包括在内。本采购内容及说明所标明的工艺、设备、材料和所采用的标准只是为了说明所期望的系统的基本形式，而并非限制性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b/>
          <w:color w:val="auto"/>
          <w:sz w:val="24"/>
          <w:highlight w:val="none"/>
        </w:rPr>
        <w:t>投标供应商应仔细阅读本采购内容及说明中的全部条款。投标供应商提出的设备技术规格应符合本采购内容及说明的所有要求。如投标供应商没有以书面形式列出与本采购内容及说明所规定的规格间的差异，则认为：提供的产品是完全符合本采购内容及说明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4、本采购内容及说明所引用的标准如遇与制造厂商所执行的标准发生矛盾时，由买卖双方共同协商。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5、本采购内容及说明经买、卖双方确认后作为定货合同的技术附件，与合同正文具有同等效力。</w:t>
      </w:r>
    </w:p>
    <w:p>
      <w:pPr>
        <w:spacing w:line="360" w:lineRule="auto"/>
        <w:ind w:firstLine="482" w:firstLineChars="200"/>
        <w:rPr>
          <w:rFonts w:ascii="宋体" w:hAnsi="宋体"/>
          <w:b/>
          <w:bCs/>
          <w:color w:val="auto"/>
          <w:sz w:val="24"/>
          <w:highlight w:val="none"/>
        </w:rPr>
      </w:pPr>
      <w:bookmarkStart w:id="244" w:name="_Toc48918766"/>
      <w:bookmarkStart w:id="245" w:name="_Toc470100723"/>
      <w:bookmarkStart w:id="246" w:name="_Toc428194194"/>
      <w:bookmarkStart w:id="247" w:name="_Toc499718014"/>
      <w:bookmarkStart w:id="248" w:name="_Toc19801890"/>
      <w:r>
        <w:rPr>
          <w:rFonts w:hint="eastAsia" w:ascii="宋体" w:hAnsi="宋体"/>
          <w:b/>
          <w:bCs/>
          <w:color w:val="auto"/>
          <w:sz w:val="24"/>
          <w:highlight w:val="none"/>
        </w:rPr>
        <w:t>二、采购内容及技术要求</w:t>
      </w:r>
      <w:bookmarkEnd w:id="244"/>
      <w:bookmarkEnd w:id="245"/>
      <w:bookmarkEnd w:id="246"/>
      <w:bookmarkEnd w:id="247"/>
      <w:bookmarkEnd w:id="248"/>
    </w:p>
    <w:p>
      <w:pPr>
        <w:autoSpaceDE w:val="0"/>
        <w:autoSpaceDN w:val="0"/>
        <w:adjustRightInd w:val="0"/>
        <w:spacing w:line="360" w:lineRule="auto"/>
        <w:ind w:firstLine="482" w:firstLineChars="200"/>
        <w:outlineLvl w:val="0"/>
        <w:rPr>
          <w:rFonts w:ascii="宋体" w:hAnsi="宋体"/>
          <w:b/>
          <w:color w:val="auto"/>
          <w:sz w:val="24"/>
          <w:highlight w:val="none"/>
        </w:rPr>
      </w:pPr>
      <w:bookmarkStart w:id="249" w:name="_Toc19801892"/>
      <w:bookmarkStart w:id="250" w:name="_Toc48918767"/>
      <w:r>
        <w:rPr>
          <w:rFonts w:hint="eastAsia" w:ascii="宋体" w:hAnsi="宋体"/>
          <w:b/>
          <w:color w:val="auto"/>
          <w:sz w:val="24"/>
          <w:highlight w:val="none"/>
        </w:rPr>
        <w:t>（一）采购内容及产品技术要求</w:t>
      </w:r>
      <w:bookmarkEnd w:id="249"/>
      <w:bookmarkEnd w:id="250"/>
    </w:p>
    <w:tbl>
      <w:tblPr>
        <w:tblStyle w:val="29"/>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206"/>
        <w:gridCol w:w="6611"/>
        <w:gridCol w:w="78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shd w:val="clear" w:color="000000" w:fill="BDD7EE"/>
            <w:vAlign w:val="center"/>
          </w:tcPr>
          <w:p>
            <w:pPr>
              <w:widowControl/>
              <w:jc w:val="center"/>
              <w:rPr>
                <w:rFonts w:ascii="宋体" w:hAnsi="宋体" w:cs="Arial"/>
                <w:b/>
                <w:bCs/>
                <w:color w:val="auto"/>
                <w:sz w:val="24"/>
                <w:highlight w:val="none"/>
              </w:rPr>
            </w:pPr>
            <w:r>
              <w:rPr>
                <w:rFonts w:ascii="宋体" w:hAnsi="宋体" w:cs="Arial"/>
                <w:b/>
                <w:bCs/>
                <w:color w:val="auto"/>
                <w:sz w:val="24"/>
                <w:highlight w:val="none"/>
              </w:rPr>
              <w:t>序号</w:t>
            </w:r>
          </w:p>
        </w:tc>
        <w:tc>
          <w:tcPr>
            <w:tcW w:w="1206" w:type="dxa"/>
            <w:shd w:val="clear" w:color="000000" w:fill="BDD7EE"/>
            <w:vAlign w:val="center"/>
          </w:tcPr>
          <w:p>
            <w:pPr>
              <w:widowControl/>
              <w:jc w:val="center"/>
              <w:rPr>
                <w:rFonts w:ascii="宋体" w:hAnsi="宋体" w:cs="Arial"/>
                <w:b/>
                <w:bCs/>
                <w:color w:val="auto"/>
                <w:sz w:val="24"/>
                <w:highlight w:val="none"/>
              </w:rPr>
            </w:pPr>
            <w:r>
              <w:rPr>
                <w:rFonts w:ascii="宋体" w:hAnsi="宋体" w:cs="Arial"/>
                <w:b/>
                <w:bCs/>
                <w:color w:val="auto"/>
                <w:sz w:val="24"/>
                <w:highlight w:val="none"/>
              </w:rPr>
              <w:t>名称</w:t>
            </w:r>
          </w:p>
        </w:tc>
        <w:tc>
          <w:tcPr>
            <w:tcW w:w="6611" w:type="dxa"/>
            <w:shd w:val="clear" w:color="000000" w:fill="BDD7EE"/>
            <w:vAlign w:val="center"/>
          </w:tcPr>
          <w:p>
            <w:pPr>
              <w:widowControl/>
              <w:jc w:val="center"/>
              <w:rPr>
                <w:rFonts w:ascii="宋体" w:hAnsi="宋体" w:cs="Arial"/>
                <w:b/>
                <w:bCs/>
                <w:color w:val="auto"/>
                <w:sz w:val="24"/>
                <w:highlight w:val="none"/>
              </w:rPr>
            </w:pPr>
            <w:r>
              <w:rPr>
                <w:rFonts w:ascii="宋体" w:hAnsi="宋体" w:cs="Arial"/>
                <w:b/>
                <w:bCs/>
                <w:color w:val="auto"/>
                <w:sz w:val="24"/>
                <w:highlight w:val="none"/>
              </w:rPr>
              <w:t>技术参数及要求</w:t>
            </w:r>
          </w:p>
        </w:tc>
        <w:tc>
          <w:tcPr>
            <w:tcW w:w="784" w:type="dxa"/>
            <w:shd w:val="clear" w:color="000000" w:fill="BDD7EE"/>
            <w:vAlign w:val="center"/>
          </w:tcPr>
          <w:p>
            <w:pPr>
              <w:widowControl/>
              <w:jc w:val="center"/>
              <w:rPr>
                <w:rFonts w:ascii="宋体" w:hAnsi="宋体" w:cs="Arial"/>
                <w:b/>
                <w:bCs/>
                <w:color w:val="auto"/>
                <w:sz w:val="24"/>
                <w:highlight w:val="none"/>
              </w:rPr>
            </w:pPr>
            <w:r>
              <w:rPr>
                <w:rFonts w:ascii="宋体" w:hAnsi="宋体" w:cs="Arial"/>
                <w:b/>
                <w:bCs/>
                <w:color w:val="auto"/>
                <w:sz w:val="24"/>
                <w:highlight w:val="none"/>
              </w:rPr>
              <w:t>数量</w:t>
            </w:r>
          </w:p>
        </w:tc>
        <w:tc>
          <w:tcPr>
            <w:tcW w:w="812" w:type="dxa"/>
            <w:shd w:val="clear" w:color="000000" w:fill="BDD7EE"/>
            <w:vAlign w:val="center"/>
          </w:tcPr>
          <w:p>
            <w:pPr>
              <w:widowControl/>
              <w:jc w:val="center"/>
              <w:rPr>
                <w:rFonts w:ascii="宋体" w:hAnsi="宋体" w:cs="Arial"/>
                <w:b/>
                <w:bCs/>
                <w:color w:val="auto"/>
                <w:sz w:val="24"/>
                <w:highlight w:val="none"/>
              </w:rPr>
            </w:pPr>
            <w:r>
              <w:rPr>
                <w:rFonts w:ascii="宋体" w:hAnsi="宋体" w:cs="Arial"/>
                <w:b/>
                <w:bCs/>
                <w:color w:val="auto"/>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pPr>
              <w:widowControl/>
              <w:jc w:val="center"/>
              <w:rPr>
                <w:rFonts w:ascii="宋体" w:hAnsi="宋体" w:cs="Arial"/>
                <w:color w:val="auto"/>
                <w:sz w:val="24"/>
                <w:highlight w:val="none"/>
              </w:rPr>
            </w:pPr>
            <w:r>
              <w:rPr>
                <w:rFonts w:ascii="宋体" w:hAnsi="宋体" w:cs="Arial"/>
                <w:color w:val="auto"/>
                <w:sz w:val="24"/>
                <w:highlight w:val="none"/>
              </w:rPr>
              <w:t>1</w:t>
            </w:r>
          </w:p>
        </w:tc>
        <w:tc>
          <w:tcPr>
            <w:tcW w:w="1206" w:type="dxa"/>
            <w:vAlign w:val="center"/>
          </w:tcPr>
          <w:p>
            <w:pPr>
              <w:widowControl/>
              <w:jc w:val="center"/>
              <w:rPr>
                <w:rFonts w:ascii="宋体" w:hAnsi="宋体" w:cs="Arial"/>
                <w:color w:val="auto"/>
                <w:sz w:val="24"/>
                <w:highlight w:val="none"/>
              </w:rPr>
            </w:pPr>
            <w:r>
              <w:rPr>
                <w:rFonts w:hint="eastAsia" w:ascii="宋体" w:hAnsi="宋体"/>
                <w:snapToGrid w:val="0"/>
                <w:color w:val="auto"/>
                <w:kern w:val="0"/>
                <w:sz w:val="24"/>
                <w:highlight w:val="none"/>
              </w:rPr>
              <w:t>成孔质量检测仪</w:t>
            </w:r>
          </w:p>
        </w:tc>
        <w:tc>
          <w:tcPr>
            <w:tcW w:w="6611" w:type="dxa"/>
            <w:vAlign w:val="center"/>
          </w:tcPr>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配置：包括超声波探头、记录仪、绞车、电缆、配套软件。通过绞车上的电机实现对超声波探头的自动化收放工作,基于超声波反射技术,通过超声波探头收发信号,经记录仪进行信号放大、实时数据采集并处理,同步绘制出4个方向孔、槽壁的形态图。</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▲孔径测量范围（半径）：0.5m~4.0m，测量精度应不低于0.2%</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最大测量深度：不小于100m，测量精度应不低于0.3%</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绞车起降速度：0-20m/min</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记录方式：彩色图像、数据文件</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▲工作温度：-10℃~50℃</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▲数据传输方式：无线传输</w:t>
            </w:r>
          </w:p>
          <w:p>
            <w:pPr>
              <w:pStyle w:val="28"/>
              <w:spacing w:after="0" w:line="360" w:lineRule="auto"/>
              <w:ind w:left="0" w:leftChars="0" w:firstLine="0" w:firstLineChars="0"/>
              <w:rPr>
                <w:rFonts w:ascii="宋体" w:hAnsi="宋体"/>
                <w:snapToGrid w:val="0"/>
                <w:color w:val="auto"/>
                <w:kern w:val="0"/>
                <w:sz w:val="24"/>
                <w:highlight w:val="none"/>
              </w:rPr>
            </w:pPr>
            <w:r>
              <w:rPr>
                <w:rFonts w:hint="eastAsia" w:ascii="宋体" w:hAnsi="宋体"/>
                <w:snapToGrid w:val="0"/>
                <w:color w:val="auto"/>
                <w:kern w:val="0"/>
                <w:sz w:val="24"/>
                <w:highlight w:val="none"/>
              </w:rPr>
              <w:t>软件兼容性：WIN XP、WIN 7、WIN 10、WIN 11</w:t>
            </w:r>
          </w:p>
          <w:p>
            <w:pPr>
              <w:pStyle w:val="28"/>
              <w:spacing w:after="0" w:line="360" w:lineRule="auto"/>
              <w:ind w:left="0" w:leftChars="0" w:firstLine="0" w:firstLineChars="0"/>
              <w:rPr>
                <w:color w:val="auto"/>
                <w:highlight w:val="none"/>
              </w:rPr>
            </w:pPr>
            <w:r>
              <w:rPr>
                <w:rFonts w:hint="eastAsia" w:ascii="宋体" w:hAnsi="宋体"/>
                <w:snapToGrid w:val="0"/>
                <w:color w:val="auto"/>
                <w:kern w:val="0"/>
                <w:sz w:val="24"/>
                <w:highlight w:val="none"/>
              </w:rPr>
              <w:t>电源：220V±10%</w:t>
            </w:r>
          </w:p>
        </w:tc>
        <w:tc>
          <w:tcPr>
            <w:tcW w:w="784" w:type="dxa"/>
            <w:noWrap/>
            <w:vAlign w:val="center"/>
          </w:tcPr>
          <w:p>
            <w:pPr>
              <w:widowControl/>
              <w:jc w:val="center"/>
              <w:rPr>
                <w:rFonts w:ascii="宋体" w:hAnsi="宋体" w:cs="Arial"/>
                <w:color w:val="auto"/>
                <w:sz w:val="24"/>
                <w:highlight w:val="none"/>
              </w:rPr>
            </w:pPr>
            <w:r>
              <w:rPr>
                <w:rFonts w:hint="eastAsia" w:ascii="宋体" w:hAnsi="宋体" w:cs="Arial"/>
                <w:color w:val="auto"/>
                <w:kern w:val="0"/>
                <w:sz w:val="24"/>
                <w:highlight w:val="none"/>
              </w:rPr>
              <w:t>1</w:t>
            </w:r>
          </w:p>
        </w:tc>
        <w:tc>
          <w:tcPr>
            <w:tcW w:w="812" w:type="dxa"/>
            <w:vAlign w:val="center"/>
          </w:tcPr>
          <w:p>
            <w:pPr>
              <w:widowControl/>
              <w:jc w:val="center"/>
              <w:rPr>
                <w:rFonts w:ascii="宋体" w:hAnsi="宋体" w:cs="Arial"/>
                <w:color w:val="auto"/>
                <w:sz w:val="24"/>
                <w:highlight w:val="none"/>
              </w:rPr>
            </w:pPr>
            <w:r>
              <w:rPr>
                <w:rFonts w:ascii="宋体" w:hAnsi="宋体" w:cs="Arial"/>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4" w:type="dxa"/>
            <w:gridSpan w:val="5"/>
            <w:vAlign w:val="center"/>
          </w:tcPr>
          <w:p>
            <w:pPr>
              <w:widowControl/>
              <w:spacing w:line="276" w:lineRule="auto"/>
              <w:rPr>
                <w:rFonts w:ascii="宋体" w:hAnsi="宋体"/>
                <w:b/>
                <w:color w:val="auto"/>
                <w:sz w:val="24"/>
                <w:highlight w:val="none"/>
              </w:rPr>
            </w:pPr>
            <w:r>
              <w:rPr>
                <w:rFonts w:ascii="宋体" w:hAnsi="宋体"/>
                <w:b/>
                <w:color w:val="auto"/>
                <w:sz w:val="24"/>
                <w:highlight w:val="none"/>
              </w:rPr>
              <w:t>说明：</w:t>
            </w:r>
          </w:p>
          <w:p>
            <w:pPr>
              <w:spacing w:line="276" w:lineRule="auto"/>
              <w:rPr>
                <w:rFonts w:ascii="宋体" w:hAnsi="宋体"/>
                <w:b/>
                <w:bCs/>
                <w:color w:val="auto"/>
                <w:sz w:val="24"/>
                <w:highlight w:val="none"/>
              </w:rPr>
            </w:pPr>
            <w:r>
              <w:rPr>
                <w:rFonts w:ascii="宋体" w:hAnsi="宋体"/>
                <w:b/>
                <w:bCs/>
                <w:color w:val="auto"/>
                <w:sz w:val="24"/>
                <w:highlight w:val="none"/>
              </w:rPr>
              <w:t>1、为完成本项目所必需的未列入采购清单的其他配件投标供应商需无偿提供。</w:t>
            </w:r>
          </w:p>
          <w:p>
            <w:pPr>
              <w:spacing w:line="276" w:lineRule="auto"/>
              <w:rPr>
                <w:rFonts w:ascii="宋体" w:hAnsi="宋体" w:cs="Arial"/>
                <w:color w:val="auto"/>
                <w:sz w:val="24"/>
                <w:highlight w:val="none"/>
              </w:rPr>
            </w:pPr>
            <w:r>
              <w:rPr>
                <w:rFonts w:ascii="宋体" w:hAnsi="宋体"/>
                <w:b/>
                <w:bCs/>
                <w:color w:val="auto"/>
                <w:sz w:val="24"/>
                <w:highlight w:val="none"/>
              </w:rPr>
              <w:t>2、采购文件与采购清单中所列的设备材料品牌型号仅为参考，是为了对拟投标的设备、材料的技术指标和功能要求、档次更好的说明，欢迎其他能满足本项目技术需求且性能、档次与所明确品牌相当的产品参加。投标供应商选用非采购人参考品牌型号产品投标的，需提供详细的技术规格和选用标准、理由，并须达到采购人需求，同时在技术偏离表中做出详细说明，否则评标委员会可以判定存在负偏差给予扣分，甚至无效标处理。</w:t>
            </w:r>
          </w:p>
        </w:tc>
      </w:tr>
    </w:tbl>
    <w:p>
      <w:pPr>
        <w:autoSpaceDE w:val="0"/>
        <w:autoSpaceDN w:val="0"/>
        <w:adjustRightInd w:val="0"/>
        <w:spacing w:line="360" w:lineRule="auto"/>
        <w:ind w:firstLine="472" w:firstLineChars="196"/>
        <w:outlineLvl w:val="0"/>
        <w:rPr>
          <w:rFonts w:ascii="宋体" w:hAnsi="宋体"/>
          <w:b/>
          <w:color w:val="auto"/>
          <w:sz w:val="24"/>
          <w:highlight w:val="none"/>
        </w:rPr>
      </w:pPr>
      <w:bookmarkStart w:id="251" w:name="_Toc19801895"/>
      <w:bookmarkStart w:id="252" w:name="_Toc48918768"/>
      <w:r>
        <w:rPr>
          <w:rFonts w:hint="eastAsia" w:ascii="宋体" w:hAnsi="宋体"/>
          <w:b/>
          <w:color w:val="auto"/>
          <w:sz w:val="24"/>
          <w:highlight w:val="none"/>
        </w:rPr>
        <w:t>（二）项目相关要求</w:t>
      </w:r>
      <w:bookmarkEnd w:id="251"/>
      <w:bookmarkEnd w:id="252"/>
    </w:p>
    <w:p>
      <w:pPr>
        <w:spacing w:line="360" w:lineRule="auto"/>
        <w:ind w:firstLine="456" w:firstLineChars="190"/>
        <w:rPr>
          <w:rFonts w:ascii="宋体" w:hAnsi="宋体"/>
          <w:color w:val="auto"/>
          <w:sz w:val="24"/>
          <w:highlight w:val="none"/>
          <w:lang w:val="zh-CN"/>
        </w:rPr>
      </w:pPr>
      <w:r>
        <w:rPr>
          <w:rFonts w:ascii="宋体" w:hAnsi="宋体"/>
          <w:color w:val="auto"/>
          <w:sz w:val="24"/>
          <w:highlight w:val="none"/>
        </w:rPr>
        <w:t>1</w:t>
      </w:r>
      <w:r>
        <w:rPr>
          <w:rFonts w:hint="eastAsia" w:ascii="宋体" w:hAnsi="宋体"/>
          <w:color w:val="auto"/>
          <w:sz w:val="24"/>
          <w:highlight w:val="none"/>
        </w:rPr>
        <w:t>、保留测试项的指标，用户可在公示期间或合同签订前要求预中标供应商提供设备测试。如测试不满足采购文件要求，则视为投标供应商提供虚假材料，其投标无效，并按有关规定上报监管部门处理。</w:t>
      </w:r>
    </w:p>
    <w:p>
      <w:pPr>
        <w:spacing w:line="360" w:lineRule="auto"/>
        <w:ind w:firstLine="456" w:firstLineChars="19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、所有产品安装、调试、故障解决及后续因实际需求变更引起的重新配置工作均由中标供应商负责实施。</w:t>
      </w:r>
    </w:p>
    <w:p>
      <w:pPr>
        <w:spacing w:line="360" w:lineRule="auto"/>
        <w:ind w:firstLine="456" w:firstLineChars="19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采购文件中遗漏了本次项目所必须具备的设备、配件或服务，请投标供应商在投标文件中指出，并提出解决方案供参考；中标供应商有义务保证采购人该项目的完整，如项目实施过程中因缺少设备、配件或服务导致采购人设备无法正常操作，中标供应商须承诺免费提供。</w:t>
      </w:r>
    </w:p>
    <w:p>
      <w:pPr>
        <w:spacing w:line="360" w:lineRule="auto"/>
        <w:ind w:firstLine="456" w:firstLineChars="19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、免费提供操作培训服务，并提供详细的培训计划及方案。投标公司提供培训场所与设备进行本地化培训，培训内容应包括产品使用，维护管理等，并提供培训手册。</w:t>
      </w:r>
    </w:p>
    <w:p>
      <w:pPr>
        <w:spacing w:line="360" w:lineRule="auto"/>
        <w:ind w:firstLine="456" w:firstLineChars="190"/>
        <w:rPr>
          <w:rFonts w:ascii="宋体" w:hAnsi="宋体"/>
          <w:color w:val="auto"/>
          <w:sz w:val="24"/>
          <w:highlight w:val="none"/>
        </w:rPr>
      </w:pPr>
      <w:r>
        <w:rPr>
          <w:rFonts w:hint="eastAsia" w:ascii="宋体" w:hAnsi="宋体"/>
          <w:color w:val="auto"/>
          <w:sz w:val="24"/>
          <w:highlight w:val="none"/>
        </w:rPr>
        <w:t>5、中标供应商必须按其承诺配置配备人员，且聘用的工作人员必须符合劳动部门有关用工规定，并经相关专业考核合格后持证上岗，甲方有权进行审核，并提出整改意见。如乙方未按要求配置人员，甲方有权直接解除合同。</w:t>
      </w:r>
    </w:p>
    <w:p>
      <w:pPr>
        <w:autoSpaceDE w:val="0"/>
        <w:autoSpaceDN w:val="0"/>
        <w:adjustRightInd w:val="0"/>
        <w:spacing w:line="360" w:lineRule="auto"/>
        <w:ind w:firstLine="472" w:firstLineChars="196"/>
        <w:outlineLvl w:val="0"/>
        <w:rPr>
          <w:rFonts w:ascii="宋体" w:hAnsi="宋体"/>
          <w:b/>
          <w:color w:val="auto"/>
          <w:sz w:val="24"/>
          <w:highlight w:val="none"/>
        </w:rPr>
      </w:pPr>
      <w:bookmarkStart w:id="253" w:name="_Toc48918769"/>
      <w:bookmarkStart w:id="254" w:name="_Toc19801896"/>
      <w:r>
        <w:rPr>
          <w:rFonts w:hint="eastAsia" w:ascii="宋体" w:hAnsi="宋体"/>
          <w:b/>
          <w:color w:val="auto"/>
          <w:sz w:val="24"/>
          <w:highlight w:val="none"/>
        </w:rPr>
        <w:t>（三）质量保证</w:t>
      </w:r>
      <w:bookmarkEnd w:id="253"/>
      <w:bookmarkEnd w:id="25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供应商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2、中标供应商所提供的产品必须符合行业的国家标准和我国现行的产品认证制度规定，并满足采购人提出的产品技术要求。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3、投标供应商所提供的货物应保证是全新的和未使用过的且原装合格正品。</w:t>
      </w:r>
    </w:p>
    <w:p>
      <w:pPr>
        <w:spacing w:line="360" w:lineRule="auto"/>
        <w:ind w:left="4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、中标供应商对成交产品使用的安全性能与可靠性负全部责任。</w:t>
      </w:r>
    </w:p>
    <w:p>
      <w:pPr>
        <w:widowControl/>
        <w:spacing w:line="360" w:lineRule="auto"/>
        <w:ind w:right="60" w:firstLine="472" w:firstLineChars="196"/>
        <w:jc w:val="left"/>
        <w:outlineLvl w:val="0"/>
        <w:rPr>
          <w:rFonts w:ascii="宋体" w:hAnsi="宋体"/>
          <w:b/>
          <w:color w:val="auto"/>
          <w:sz w:val="24"/>
          <w:highlight w:val="none"/>
        </w:rPr>
      </w:pPr>
      <w:bookmarkStart w:id="255" w:name="_Toc48918770"/>
      <w:bookmarkStart w:id="256" w:name="_Toc19801897"/>
      <w:r>
        <w:rPr>
          <w:rFonts w:hint="eastAsia" w:ascii="宋体" w:hAnsi="宋体"/>
          <w:b/>
          <w:color w:val="auto"/>
          <w:sz w:val="24"/>
          <w:highlight w:val="none"/>
        </w:rPr>
        <w:t>（四）产品质保及售后服务要求</w:t>
      </w:r>
      <w:bookmarkEnd w:id="255"/>
      <w:bookmarkEnd w:id="25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本项目所有产品的免费质保期为一年，</w:t>
      </w:r>
      <w:r>
        <w:rPr>
          <w:rFonts w:hint="eastAsia" w:ascii="宋体" w:hAnsi="宋体"/>
          <w:color w:val="auto"/>
          <w:sz w:val="24"/>
          <w:highlight w:val="none"/>
        </w:rPr>
        <w:t>自验收合格次日起计算（技术参数中有特殊说明的除外，货物上标明或卖方承诺的质量保证期超过以上规定期限的，以标明或承诺的最高质量保证期为准。）（投标供应商可提供更优惠的质保期），质保期严格按照国家三包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2、卖方提供的设备必须为未经使用的原厂行货，且需对设备质量“三包”，设备质量标准按原厂质量标准执行，原厂质量标准应满足有关国家标准、行业标准或通用标准；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3、质保期满后，卖方应继续承担技术支持、维修、保养和维修件和易损件的优惠供应。</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4、在质保期内，系统或设备发生故障时，接到电话后即时响应，免费提供咨询、维修服务，确认需要派人到现场时，派遣技术人员乘坐最近一班交通工具到达现场，且一般故障排除时间不超过4</w:t>
      </w:r>
      <w:r>
        <w:rPr>
          <w:rFonts w:ascii="宋体" w:hAnsi="宋体"/>
          <w:color w:val="auto"/>
          <w:sz w:val="24"/>
          <w:highlight w:val="none"/>
        </w:rPr>
        <w:t>8</w:t>
      </w:r>
      <w:r>
        <w:rPr>
          <w:rFonts w:hint="eastAsia" w:ascii="宋体" w:hAnsi="宋体"/>
          <w:color w:val="auto"/>
          <w:sz w:val="24"/>
          <w:highlight w:val="none"/>
        </w:rPr>
        <w:t>个小时，如超过</w:t>
      </w:r>
      <w:r>
        <w:rPr>
          <w:rFonts w:ascii="宋体" w:hAnsi="宋体"/>
          <w:color w:val="auto"/>
          <w:sz w:val="24"/>
          <w:highlight w:val="none"/>
        </w:rPr>
        <w:t>48</w:t>
      </w:r>
      <w:r>
        <w:rPr>
          <w:rFonts w:hint="eastAsia" w:ascii="宋体" w:hAnsi="宋体"/>
          <w:color w:val="auto"/>
          <w:sz w:val="24"/>
          <w:highlight w:val="none"/>
        </w:rPr>
        <w:t>小时无法解决问题，投标供应商需及时提供替代设备，保证系统正常运行</w:t>
      </w:r>
      <w:r>
        <w:rPr>
          <w:rFonts w:hint="eastAsia" w:ascii="宋体" w:hAnsi="宋体"/>
          <w:color w:val="auto"/>
          <w:sz w:val="24"/>
          <w:highlight w:val="none"/>
        </w:rPr>
        <w:t>。</w:t>
      </w:r>
    </w:p>
    <w:p>
      <w:pPr>
        <w:autoSpaceDE w:val="0"/>
        <w:autoSpaceDN w:val="0"/>
        <w:adjustRightInd w:val="0"/>
        <w:spacing w:line="360" w:lineRule="auto"/>
        <w:ind w:firstLine="472" w:firstLineChars="196"/>
        <w:outlineLvl w:val="0"/>
        <w:rPr>
          <w:rFonts w:ascii="宋体" w:hAnsi="宋体"/>
          <w:b/>
          <w:color w:val="auto"/>
          <w:sz w:val="24"/>
          <w:highlight w:val="none"/>
        </w:rPr>
      </w:pPr>
      <w:bookmarkStart w:id="257" w:name="_Toc19801898"/>
      <w:bookmarkStart w:id="258" w:name="_Toc48918771"/>
      <w:r>
        <w:rPr>
          <w:rFonts w:hint="eastAsia" w:ascii="宋体" w:hAnsi="宋体"/>
          <w:b/>
          <w:color w:val="auto"/>
          <w:sz w:val="24"/>
          <w:highlight w:val="none"/>
        </w:rPr>
        <w:t>（五）项目工期</w:t>
      </w:r>
      <w:bookmarkEnd w:id="257"/>
      <w:bookmarkEnd w:id="258"/>
    </w:p>
    <w:p>
      <w:pPr>
        <w:spacing w:line="360" w:lineRule="auto"/>
        <w:ind w:firstLine="456" w:firstLineChars="190"/>
        <w:rPr>
          <w:rFonts w:ascii="宋体" w:hAnsi="宋体"/>
          <w:color w:val="auto"/>
          <w:sz w:val="24"/>
          <w:highlight w:val="none"/>
        </w:rPr>
      </w:pPr>
      <w:r>
        <w:rPr>
          <w:rFonts w:hint="eastAsia" w:ascii="宋体" w:hAnsi="宋体"/>
          <w:color w:val="auto"/>
          <w:sz w:val="24"/>
          <w:highlight w:val="none"/>
        </w:rPr>
        <w:t>项目工期：合同签订后，接到采购人通知之日起30个日历天内完成项目产品供货（投标供应商可根据自身实力和项目实际情况提供更短的工期）。</w:t>
      </w:r>
    </w:p>
    <w:p>
      <w:pPr>
        <w:spacing w:line="360" w:lineRule="auto"/>
        <w:ind w:firstLine="456" w:firstLineChars="190"/>
        <w:rPr>
          <w:rFonts w:ascii="宋体" w:hAnsi="宋体"/>
          <w:color w:val="auto"/>
          <w:sz w:val="24"/>
          <w:highlight w:val="none"/>
        </w:rPr>
      </w:pPr>
      <w:r>
        <w:rPr>
          <w:rFonts w:hint="eastAsia" w:ascii="宋体" w:hAnsi="宋体"/>
          <w:color w:val="auto"/>
          <w:sz w:val="24"/>
          <w:highlight w:val="none"/>
        </w:rPr>
        <w:t>如在规定时间内无法交货，将处于每逾期一天，按合同总价的</w:t>
      </w:r>
      <w:r>
        <w:rPr>
          <w:rFonts w:ascii="宋体" w:hAnsi="宋体"/>
          <w:color w:val="auto"/>
          <w:sz w:val="24"/>
          <w:highlight w:val="none"/>
        </w:rPr>
        <w:t>0.5</w:t>
      </w:r>
      <w:r>
        <w:rPr>
          <w:rFonts w:hint="eastAsia" w:ascii="宋体" w:hAnsi="宋体"/>
          <w:color w:val="auto"/>
          <w:sz w:val="24"/>
          <w:highlight w:val="none"/>
        </w:rPr>
        <w:t>%罚款。逾期的违约赔偿最高限度为合同总价的5%，如违约金达到最高限额时中标供应商仍不能交货，采购人可终止合同。</w:t>
      </w:r>
    </w:p>
    <w:p>
      <w:pPr>
        <w:autoSpaceDE w:val="0"/>
        <w:autoSpaceDN w:val="0"/>
        <w:adjustRightInd w:val="0"/>
        <w:spacing w:line="360" w:lineRule="auto"/>
        <w:ind w:firstLine="472" w:firstLineChars="196"/>
        <w:outlineLvl w:val="0"/>
        <w:rPr>
          <w:rFonts w:ascii="宋体" w:hAnsi="宋体"/>
          <w:b/>
          <w:color w:val="auto"/>
          <w:sz w:val="24"/>
          <w:highlight w:val="none"/>
        </w:rPr>
      </w:pPr>
      <w:bookmarkStart w:id="259" w:name="_Toc48918772"/>
      <w:bookmarkStart w:id="260" w:name="_Toc19801899"/>
      <w:r>
        <w:rPr>
          <w:rFonts w:hint="eastAsia" w:ascii="宋体" w:hAnsi="宋体"/>
          <w:b/>
          <w:color w:val="auto"/>
          <w:sz w:val="24"/>
          <w:highlight w:val="none"/>
        </w:rPr>
        <w:t>（六）项目验收</w:t>
      </w:r>
      <w:bookmarkEnd w:id="259"/>
      <w:bookmarkEnd w:id="26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1、中标供应商应按有关要求供货，并提供货物质量检验证明文件、测试方法和验收标准。提供的质量检验证明文件、测试方法和验收标准经采购人认可后与合同一起作为项目验收标准的组成。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2、中标供应商将所有货物运抵安装地点后，由采购人按照装箱列表单、采购文件要求、投标文件等进行现场开箱初验。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3、经采购人组织最终验收合格后，双方签署验收单或验收报告。</w:t>
      </w:r>
    </w:p>
    <w:p>
      <w:pPr>
        <w:autoSpaceDE w:val="0"/>
        <w:autoSpaceDN w:val="0"/>
        <w:adjustRightInd w:val="0"/>
        <w:spacing w:line="360" w:lineRule="auto"/>
        <w:ind w:firstLine="472" w:firstLineChars="196"/>
        <w:outlineLvl w:val="0"/>
        <w:rPr>
          <w:rFonts w:ascii="宋体" w:hAnsi="宋体"/>
          <w:b/>
          <w:color w:val="auto"/>
          <w:sz w:val="24"/>
          <w:highlight w:val="none"/>
        </w:rPr>
      </w:pPr>
      <w:bookmarkStart w:id="261" w:name="_Toc19801900"/>
      <w:bookmarkStart w:id="262" w:name="_Toc48918773"/>
      <w:r>
        <w:rPr>
          <w:rFonts w:hint="eastAsia" w:ascii="宋体" w:hAnsi="宋体"/>
          <w:b/>
          <w:color w:val="auto"/>
          <w:sz w:val="24"/>
          <w:highlight w:val="none"/>
        </w:rPr>
        <w:t>（七）付款方式</w:t>
      </w:r>
      <w:bookmarkEnd w:id="261"/>
      <w:bookmarkEnd w:id="262"/>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1、合同签订后10个工作日内，中标供应商向采购人提交合同总价</w:t>
      </w:r>
      <w:r>
        <w:rPr>
          <w:rFonts w:ascii="宋体" w:hAnsi="宋体"/>
          <w:color w:val="auto"/>
          <w:sz w:val="24"/>
          <w:highlight w:val="none"/>
        </w:rPr>
        <w:t>5</w:t>
      </w:r>
      <w:r>
        <w:rPr>
          <w:rFonts w:hint="eastAsia" w:ascii="宋体" w:hAnsi="宋体"/>
          <w:color w:val="auto"/>
          <w:sz w:val="24"/>
          <w:highlight w:val="none"/>
        </w:rPr>
        <w:t>%的履约保证金；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、产品试运行结束并经采购人组织最终验收合格后，10个工作日内支付合同总价的</w:t>
      </w:r>
      <w:r>
        <w:rPr>
          <w:rFonts w:ascii="宋体" w:hAnsi="宋体"/>
          <w:color w:val="auto"/>
          <w:sz w:val="24"/>
          <w:highlight w:val="none"/>
        </w:rPr>
        <w:t>100</w:t>
      </w:r>
      <w:r>
        <w:rPr>
          <w:rFonts w:hint="eastAsia" w:ascii="宋体" w:hAnsi="宋体"/>
          <w:color w:val="auto"/>
          <w:sz w:val="24"/>
          <w:highlight w:val="none"/>
        </w:rPr>
        <w:t>%，同时履约保证金转为质量保证金，在验收合格1年后无息退还。</w:t>
      </w:r>
    </w:p>
    <w:p>
      <w:pPr>
        <w:spacing w:line="360" w:lineRule="auto"/>
        <w:ind w:firstLine="480" w:firstLineChars="200"/>
        <w:rPr>
          <w:rFonts w:ascii="宋体" w:hAnsi="宋体" w:cs="黑体"/>
          <w:b/>
          <w:snapToGrid w:val="0"/>
          <w:color w:val="auto"/>
          <w:kern w:val="0"/>
          <w:sz w:val="32"/>
          <w:szCs w:val="32"/>
          <w:highlight w:val="none"/>
        </w:rPr>
        <w:sectPr>
          <w:footerReference r:id="rId6" w:type="default"/>
          <w:pgSz w:w="11906" w:h="16838"/>
          <w:pgMar w:top="1247" w:right="1247" w:bottom="1247" w:left="1247" w:header="851" w:footer="992" w:gutter="0"/>
          <w:cols w:space="720" w:num="1"/>
          <w:docGrid w:type="lines" w:linePitch="317" w:charSpace="0"/>
        </w:sectPr>
      </w:pPr>
      <w:r>
        <w:rPr>
          <w:rFonts w:ascii="宋体" w:hAnsi="宋体"/>
          <w:color w:val="auto"/>
          <w:sz w:val="24"/>
          <w:highlight w:val="none"/>
        </w:rPr>
        <w:t>3</w:t>
      </w:r>
      <w:r>
        <w:rPr>
          <w:rFonts w:hint="eastAsia" w:ascii="宋体" w:hAnsi="宋体"/>
          <w:color w:val="auto"/>
          <w:sz w:val="24"/>
          <w:highlight w:val="none"/>
        </w:rPr>
        <w:t>、中标供应商根据采购人要求提供付款收据、增值税专用发票。</w:t>
      </w:r>
      <w:bookmarkEnd w:id="221"/>
      <w:bookmarkEnd w:id="222"/>
      <w:bookmarkEnd w:id="223"/>
      <w:bookmarkEnd w:id="224"/>
      <w:bookmarkEnd w:id="225"/>
      <w:bookmarkEnd w:id="226"/>
      <w:bookmarkEnd w:id="227"/>
      <w:bookmarkEnd w:id="228"/>
    </w:p>
    <w:p>
      <w:pPr>
        <w:spacing w:line="360" w:lineRule="auto"/>
        <w:rPr>
          <w:rFonts w:ascii="宋体" w:hAnsi="宋体" w:cs="宋体"/>
          <w:color w:val="auto"/>
          <w:sz w:val="22"/>
          <w:szCs w:val="22"/>
          <w:highlight w:val="none"/>
        </w:rPr>
      </w:pPr>
    </w:p>
    <w:p>
      <w:pPr>
        <w:spacing w:line="360" w:lineRule="auto"/>
        <w:jc w:val="center"/>
        <w:outlineLvl w:val="0"/>
        <w:rPr>
          <w:rFonts w:ascii="宋体" w:hAnsi="宋体" w:cs="宋体"/>
          <w:b/>
          <w:color w:val="auto"/>
          <w:szCs w:val="21"/>
          <w:highlight w:val="none"/>
        </w:rPr>
      </w:pPr>
      <w:bookmarkStart w:id="263" w:name="_Toc15398"/>
      <w:r>
        <w:rPr>
          <w:rFonts w:hint="eastAsia" w:ascii="宋体" w:hAnsi="宋体" w:cs="宋体"/>
          <w:b/>
          <w:bCs/>
          <w:color w:val="auto"/>
          <w:sz w:val="36"/>
          <w:szCs w:val="36"/>
          <w:highlight w:val="none"/>
        </w:rPr>
        <w:t>第五部分   评标原则及方法</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63"/>
    </w:p>
    <w:p>
      <w:pPr>
        <w:tabs>
          <w:tab w:val="left" w:pos="2880"/>
        </w:tabs>
        <w:spacing w:line="440" w:lineRule="exact"/>
        <w:ind w:left="439" w:leftChars="209"/>
        <w:rPr>
          <w:rFonts w:ascii="宋体" w:hAnsi="宋体" w:cs="宋体"/>
          <w:b/>
          <w:color w:val="auto"/>
          <w:szCs w:val="21"/>
          <w:highlight w:val="none"/>
        </w:rPr>
      </w:pPr>
      <w:r>
        <w:rPr>
          <w:rFonts w:hint="eastAsia" w:ascii="宋体" w:hAnsi="宋体" w:cs="宋体"/>
          <w:b/>
          <w:color w:val="auto"/>
          <w:szCs w:val="21"/>
          <w:highlight w:val="none"/>
        </w:rPr>
        <w:t>根据《温州市市属国有企业采购管理办法（试行）》等相关法规特制定以下评标办法。</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一. 总  则</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对投标文件进行综合评定，提出优选方案，编写评标报告。对落标单位，评委会不作任何落标解释。投标供应商不得以任何方式干扰招投标工作的进行，一经发现其投标文件将被拒绝。</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二、评标组织</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评标工作由采购人依法组建的评标委员会负责，评标全过程由有关部门指导监督。</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三、评标办法</w:t>
      </w:r>
    </w:p>
    <w:p>
      <w:pPr>
        <w:adjustRightInd w:val="0"/>
        <w:snapToGrid w:val="0"/>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本次采购采用百分制综合评分法，即投标供应商最大限度地满足采购文件实质性要求的基础上，按照采购文件的各项因素进行综合评审后，以评标总得分最高的投标供应商和次高的投标供应商作为第一和第二排序的中标候选人的评标方法。</w:t>
      </w:r>
      <w:r>
        <w:rPr>
          <w:rFonts w:hint="eastAsia" w:ascii="宋体" w:hAnsi="宋体" w:cs="宋体"/>
          <w:b/>
          <w:color w:val="auto"/>
          <w:szCs w:val="21"/>
          <w:highlight w:val="none"/>
        </w:rPr>
        <w:t>根据采购要求，总分设定为100分；其中商务技术分70分、报价分30分。</w:t>
      </w:r>
    </w:p>
    <w:p>
      <w:pPr>
        <w:pStyle w:val="17"/>
        <w:snapToGrid w:val="0"/>
        <w:spacing w:line="440" w:lineRule="exact"/>
        <w:ind w:firstLine="422" w:firstLineChars="200"/>
        <w:rPr>
          <w:rFonts w:hAnsi="宋体" w:cs="宋体"/>
          <w:b/>
          <w:color w:val="auto"/>
          <w:highlight w:val="none"/>
        </w:rPr>
      </w:pPr>
      <w:r>
        <w:rPr>
          <w:rFonts w:hint="eastAsia" w:hAnsi="宋体" w:cs="宋体"/>
          <w:b/>
          <w:color w:val="auto"/>
          <w:highlight w:val="none"/>
        </w:rPr>
        <w:t>2、投标截止时间止及评审期间，出现有效供应商不足3家的，应按流标处理。另根据《温州市市属国有企业采购管理办法（试行）》第三十三条规定，可以按原采购方式继续进行采购活动，但采购项目第一次评审活动除外。</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五、评分细则</w:t>
      </w:r>
    </w:p>
    <w:p>
      <w:pPr>
        <w:adjustRightInd w:val="0"/>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1、商务技术分的评定（70分） </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商务技术评分由评委成员按下列评分细则中的评分项目进行统一评判打分，并记名。评标委员会对各投标供应商评分的算术平均值为各投标供应商的商务技术分最终得分（小数点后按四舍五入保留2位）。</w:t>
      </w:r>
    </w:p>
    <w:tbl>
      <w:tblPr>
        <w:tblStyle w:val="29"/>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850"/>
        <w:gridCol w:w="831"/>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bookmarkStart w:id="264" w:name="_Hlk20236272"/>
            <w:r>
              <w:rPr>
                <w:rFonts w:ascii="宋体" w:hAnsi="宋体"/>
                <w:color w:val="auto"/>
                <w:szCs w:val="21"/>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ascii="宋体" w:hAnsi="宋体" w:cs="Arial"/>
                <w:b/>
                <w:color w:val="auto"/>
                <w:szCs w:val="21"/>
                <w:highlight w:val="none"/>
              </w:rPr>
              <w:t>评审内容</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ascii="宋体" w:hAnsi="宋体" w:cs="Arial"/>
                <w:b/>
                <w:color w:val="auto"/>
                <w:szCs w:val="21"/>
                <w:highlight w:val="none"/>
              </w:rPr>
              <w:t>分值</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ascii="宋体" w:hAnsi="宋体" w:cs="Arial"/>
                <w:b/>
                <w:color w:val="auto"/>
                <w:szCs w:val="21"/>
                <w:highlight w:val="none"/>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ascii="宋体" w:hAnsi="宋体"/>
                <w:color w:val="auto"/>
                <w:szCs w:val="21"/>
                <w:highlight w:val="none"/>
              </w:rPr>
              <w:t>1</w:t>
            </w:r>
          </w:p>
        </w:tc>
        <w:tc>
          <w:tcPr>
            <w:tcW w:w="185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color w:val="auto"/>
                <w:highlight w:val="none"/>
              </w:rPr>
            </w:pPr>
            <w:r>
              <w:rPr>
                <w:rFonts w:hint="eastAsia"/>
                <w:color w:val="auto"/>
                <w:highlight w:val="none"/>
              </w:rPr>
              <w:t>投标产品的性能与需求</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0-</w:t>
            </w:r>
            <w:r>
              <w:rPr>
                <w:rFonts w:ascii="宋体" w:hAnsi="宋体" w:cs="宋体"/>
                <w:color w:val="auto"/>
                <w:sz w:val="24"/>
                <w:highlight w:val="none"/>
              </w:rPr>
              <w:t>45</w:t>
            </w:r>
          </w:p>
        </w:tc>
        <w:tc>
          <w:tcPr>
            <w:tcW w:w="6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textAlignment w:val="auto"/>
              <w:rPr>
                <w:rFonts w:ascii="宋体" w:hAnsi="宋体"/>
                <w:color w:val="auto"/>
                <w:szCs w:val="21"/>
                <w:highlight w:val="none"/>
              </w:rPr>
            </w:pPr>
            <w:r>
              <w:rPr>
                <w:rFonts w:ascii="宋体" w:hAnsi="宋体"/>
                <w:color w:val="auto"/>
                <w:szCs w:val="21"/>
                <w:highlight w:val="none"/>
              </w:rPr>
              <w:t>投标产品的基本功能、技术指标与需求的吻合程度和偏差情况（包括所投标产品的品牌、规格型号、详细配置、主要技术参数、随机软件等），是否能够满足采购文件要求，全部满足要求的得</w:t>
            </w:r>
            <w:r>
              <w:rPr>
                <w:rFonts w:ascii="宋体" w:hAnsi="宋体"/>
                <w:color w:val="auto"/>
                <w:szCs w:val="21"/>
                <w:highlight w:val="none"/>
              </w:rPr>
              <w:t>30</w:t>
            </w:r>
            <w:r>
              <w:rPr>
                <w:rFonts w:ascii="宋体" w:hAnsi="宋体"/>
                <w:color w:val="auto"/>
                <w:szCs w:val="21"/>
                <w:highlight w:val="none"/>
              </w:rPr>
              <w:t>分。</w:t>
            </w:r>
          </w:p>
          <w:p>
            <w:pPr>
              <w:keepNext w:val="0"/>
              <w:keepLines w:val="0"/>
              <w:pageBreakBefore w:val="0"/>
              <w:kinsoku/>
              <w:wordWrap/>
              <w:overflowPunct/>
              <w:topLinePunct w:val="0"/>
              <w:autoSpaceDE/>
              <w:autoSpaceDN/>
              <w:bidi w:val="0"/>
              <w:adjustRightInd/>
              <w:snapToGrid/>
              <w:textAlignment w:val="auto"/>
              <w:rPr>
                <w:rFonts w:ascii="宋体" w:hAnsi="宋体"/>
                <w:color w:val="auto"/>
                <w:szCs w:val="21"/>
                <w:highlight w:val="none"/>
              </w:rPr>
            </w:pPr>
            <w:r>
              <w:rPr>
                <w:rFonts w:ascii="宋体" w:hAnsi="宋体"/>
                <w:color w:val="auto"/>
                <w:szCs w:val="21"/>
                <w:highlight w:val="none"/>
              </w:rPr>
              <w:t>经专家认可</w:t>
            </w:r>
            <w:r>
              <w:rPr>
                <w:rFonts w:hint="eastAsia" w:ascii="宋体" w:hAnsi="宋体"/>
                <w:color w:val="auto"/>
                <w:szCs w:val="21"/>
                <w:highlight w:val="none"/>
              </w:rPr>
              <w:t>的产品部件配置、检测环境适用情况、综合性能等酌情加0-</w:t>
            </w:r>
            <w:r>
              <w:rPr>
                <w:rFonts w:ascii="宋体" w:hAnsi="宋体"/>
                <w:color w:val="auto"/>
                <w:szCs w:val="21"/>
                <w:highlight w:val="none"/>
              </w:rPr>
              <w:t>15</w:t>
            </w:r>
            <w:r>
              <w:rPr>
                <w:rFonts w:hint="eastAsia" w:ascii="宋体" w:hAnsi="宋体"/>
                <w:color w:val="auto"/>
                <w:szCs w:val="21"/>
                <w:highlight w:val="none"/>
              </w:rPr>
              <w:t>分。</w:t>
            </w:r>
          </w:p>
          <w:p>
            <w:pPr>
              <w:keepNext w:val="0"/>
              <w:keepLines w:val="0"/>
              <w:pageBreakBefore w:val="0"/>
              <w:kinsoku/>
              <w:wordWrap/>
              <w:overflowPunct/>
              <w:topLinePunct w:val="0"/>
              <w:autoSpaceDE/>
              <w:autoSpaceDN/>
              <w:bidi w:val="0"/>
              <w:adjustRightInd/>
              <w:snapToGrid/>
              <w:jc w:val="left"/>
              <w:textAlignment w:val="auto"/>
              <w:rPr>
                <w:color w:val="auto"/>
                <w:highlight w:val="none"/>
              </w:rPr>
            </w:pPr>
            <w:r>
              <w:rPr>
                <w:rFonts w:ascii="宋体" w:hAnsi="宋体"/>
                <w:color w:val="auto"/>
                <w:szCs w:val="21"/>
                <w:highlight w:val="none"/>
              </w:rPr>
              <w:t>注：需提供各类证书、检测报告、厂家宣传说明等相关证明材料，方便评委查阅比较，未提供或不符合要求或材料不能辨识不得分</w:t>
            </w:r>
            <w:r>
              <w:rPr>
                <w:rFonts w:hint="eastAsia"/>
                <w:color w:val="auto"/>
                <w:highlight w:val="none"/>
              </w:rPr>
              <w:t>。</w:t>
            </w:r>
          </w:p>
        </w:tc>
      </w:tr>
      <w:bookmarkEnd w:id="2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67"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185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color w:val="auto"/>
                <w:highlight w:val="none"/>
              </w:rPr>
              <w:t>质量体系认证</w:t>
            </w:r>
          </w:p>
        </w:tc>
        <w:tc>
          <w:tcPr>
            <w:tcW w:w="831"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6811" w:type="dxa"/>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auto"/>
                <w:sz w:val="24"/>
                <w:highlight w:val="none"/>
              </w:rPr>
            </w:pPr>
            <w:r>
              <w:rPr>
                <w:rFonts w:hint="eastAsia" w:ascii="宋体" w:hAnsi="宋体" w:cs="宋体"/>
                <w:color w:val="auto"/>
                <w:sz w:val="24"/>
                <w:highlight w:val="none"/>
              </w:rPr>
              <w:t>投标人拥有</w:t>
            </w:r>
            <w:r>
              <w:rPr>
                <w:rFonts w:ascii="宋体" w:hAnsi="宋体" w:cs="宋体"/>
                <w:color w:val="auto"/>
                <w:sz w:val="24"/>
                <w:highlight w:val="none"/>
              </w:rPr>
              <w:t>有效期内的</w:t>
            </w:r>
            <w:r>
              <w:rPr>
                <w:rFonts w:hint="eastAsia" w:ascii="宋体" w:hAnsi="宋体" w:cs="宋体"/>
                <w:color w:val="auto"/>
                <w:sz w:val="24"/>
                <w:highlight w:val="none"/>
              </w:rPr>
              <w:t>符合GB/T 19001-2016/ISO 9001:2015标准的</w:t>
            </w:r>
            <w:r>
              <w:rPr>
                <w:rFonts w:ascii="宋体" w:hAnsi="宋体" w:cs="宋体"/>
                <w:color w:val="auto"/>
                <w:sz w:val="24"/>
                <w:highlight w:val="none"/>
              </w:rPr>
              <w:t>质量管理体系认证证书</w:t>
            </w:r>
            <w:r>
              <w:rPr>
                <w:rFonts w:hint="eastAsia" w:ascii="宋体" w:hAnsi="宋体" w:cs="宋体"/>
                <w:color w:val="auto"/>
                <w:sz w:val="24"/>
                <w:highlight w:val="none"/>
              </w:rPr>
              <w:t>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185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质保服务</w:t>
            </w:r>
          </w:p>
        </w:tc>
        <w:tc>
          <w:tcPr>
            <w:tcW w:w="831"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6811" w:type="dxa"/>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auto"/>
                <w:sz w:val="24"/>
                <w:highlight w:val="none"/>
              </w:rPr>
            </w:pPr>
            <w:r>
              <w:rPr>
                <w:rFonts w:hint="eastAsia" w:ascii="宋体" w:hAnsi="宋体" w:cs="宋体"/>
                <w:color w:val="auto"/>
                <w:sz w:val="24"/>
                <w:highlight w:val="none"/>
              </w:rPr>
              <w:t>投标人提供质保期满后的技术支持、维修、保养和维修件和易损件的优惠承诺的，得1分。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hint="eastAsia" w:ascii="宋体" w:hAnsi="宋体"/>
                <w:color w:val="auto"/>
                <w:szCs w:val="21"/>
                <w:highlight w:val="none"/>
              </w:rPr>
              <w:t>4</w:t>
            </w:r>
          </w:p>
        </w:tc>
        <w:tc>
          <w:tcPr>
            <w:tcW w:w="185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技术培训服务</w:t>
            </w:r>
          </w:p>
        </w:tc>
        <w:tc>
          <w:tcPr>
            <w:tcW w:w="831"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6811" w:type="dxa"/>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auto"/>
                <w:sz w:val="24"/>
                <w:highlight w:val="none"/>
              </w:rPr>
            </w:pPr>
            <w:r>
              <w:rPr>
                <w:rFonts w:hint="eastAsia" w:ascii="宋体" w:hAnsi="宋体" w:cs="宋体"/>
                <w:color w:val="auto"/>
                <w:sz w:val="24"/>
                <w:highlight w:val="none"/>
              </w:rPr>
              <w:t>投标人承诺提供免费技术培训服务（3人）的，得</w:t>
            </w:r>
            <w:r>
              <w:rPr>
                <w:rFonts w:ascii="宋体" w:hAnsi="宋体" w:cs="宋体"/>
                <w:color w:val="auto"/>
                <w:sz w:val="24"/>
                <w:highlight w:val="none"/>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467"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hint="eastAsia" w:ascii="宋体" w:hAnsi="宋体"/>
                <w:color w:val="auto"/>
                <w:szCs w:val="21"/>
                <w:highlight w:val="none"/>
              </w:rPr>
              <w:t>5</w:t>
            </w:r>
          </w:p>
        </w:tc>
        <w:tc>
          <w:tcPr>
            <w:tcW w:w="185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投标产品销售业绩与商业影响力</w:t>
            </w:r>
          </w:p>
        </w:tc>
        <w:tc>
          <w:tcPr>
            <w:tcW w:w="831"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ascii="宋体" w:hAnsi="宋体" w:cs="宋体"/>
                <w:color w:val="auto"/>
                <w:sz w:val="24"/>
                <w:highlight w:val="none"/>
              </w:rPr>
              <w:t>10</w:t>
            </w:r>
          </w:p>
        </w:tc>
        <w:tc>
          <w:tcPr>
            <w:tcW w:w="6811" w:type="dxa"/>
            <w:vAlign w:val="center"/>
          </w:tcPr>
          <w:p>
            <w:pPr>
              <w:pStyle w:val="28"/>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投标人提供自2</w:t>
            </w:r>
            <w:r>
              <w:rPr>
                <w:rFonts w:ascii="宋体" w:hAnsi="宋体" w:cs="宋体"/>
                <w:color w:val="auto"/>
                <w:sz w:val="24"/>
                <w:highlight w:val="none"/>
              </w:rPr>
              <w:t>010</w:t>
            </w:r>
            <w:r>
              <w:rPr>
                <w:rFonts w:hint="eastAsia" w:ascii="宋体" w:hAnsi="宋体" w:cs="宋体"/>
                <w:color w:val="auto"/>
                <w:sz w:val="24"/>
                <w:highlight w:val="none"/>
              </w:rPr>
              <w:t>年1月1日至今每年一个同款设备业绩加1分，最多加1</w:t>
            </w:r>
            <w:r>
              <w:rPr>
                <w:rFonts w:ascii="宋体" w:hAnsi="宋体" w:cs="宋体"/>
                <w:color w:val="auto"/>
                <w:sz w:val="24"/>
                <w:highlight w:val="none"/>
              </w:rPr>
              <w:t>0</w:t>
            </w:r>
            <w:r>
              <w:rPr>
                <w:rFonts w:hint="eastAsia" w:ascii="宋体" w:hAnsi="宋体" w:cs="宋体"/>
                <w:color w:val="auto"/>
                <w:sz w:val="24"/>
                <w:highlight w:val="none"/>
              </w:rPr>
              <w:t>分。提供不全或未提供的不得分。业绩须提供证明文件，证明文件以提供的合同文本为准。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67"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olor w:val="auto"/>
                <w:szCs w:val="21"/>
                <w:highlight w:val="none"/>
              </w:rPr>
            </w:pPr>
            <w:r>
              <w:rPr>
                <w:rFonts w:hint="eastAsia" w:ascii="宋体" w:hAnsi="宋体"/>
                <w:color w:val="auto"/>
                <w:szCs w:val="21"/>
                <w:highlight w:val="none"/>
              </w:rPr>
              <w:t>6</w:t>
            </w:r>
          </w:p>
        </w:tc>
        <w:tc>
          <w:tcPr>
            <w:tcW w:w="1850"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hint="eastAsia" w:ascii="宋体" w:hAnsi="宋体" w:cs="宋体"/>
                <w:color w:val="auto"/>
                <w:sz w:val="24"/>
                <w:highlight w:val="none"/>
              </w:rPr>
              <w:t>售后服务</w:t>
            </w:r>
          </w:p>
        </w:tc>
        <w:tc>
          <w:tcPr>
            <w:tcW w:w="831" w:type="dxa"/>
            <w:vAlign w:val="center"/>
          </w:tcPr>
          <w:p>
            <w:pPr>
              <w:keepNext w:val="0"/>
              <w:keepLines w:val="0"/>
              <w:pageBreakBefore w:val="0"/>
              <w:kinsoku/>
              <w:wordWrap/>
              <w:overflowPunct/>
              <w:topLinePunct w:val="0"/>
              <w:autoSpaceDE/>
              <w:autoSpaceDN/>
              <w:bidi w:val="0"/>
              <w:adjustRightInd/>
              <w:snapToGrid/>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6811" w:type="dxa"/>
            <w:vAlign w:val="center"/>
          </w:tcPr>
          <w:p>
            <w:pPr>
              <w:keepNext w:val="0"/>
              <w:keepLines w:val="0"/>
              <w:pageBreakBefore w:val="0"/>
              <w:kinsoku/>
              <w:wordWrap/>
              <w:overflowPunct/>
              <w:topLinePunct w:val="0"/>
              <w:autoSpaceDE/>
              <w:autoSpaceDN/>
              <w:bidi w:val="0"/>
              <w:adjustRightInd/>
              <w:snapToGrid/>
              <w:jc w:val="left"/>
              <w:textAlignment w:val="auto"/>
              <w:rPr>
                <w:rFonts w:ascii="宋体" w:hAnsi="宋体" w:cs="宋体"/>
                <w:color w:val="auto"/>
                <w:sz w:val="24"/>
                <w:highlight w:val="none"/>
              </w:rPr>
            </w:pPr>
            <w:r>
              <w:rPr>
                <w:rFonts w:hint="eastAsia" w:ascii="宋体" w:hAnsi="宋体" w:cs="宋体"/>
                <w:color w:val="auto"/>
                <w:sz w:val="24"/>
                <w:highlight w:val="none"/>
              </w:rPr>
              <w:t>1.投标人承诺提供永久免费的软件升级服务的，得1分；</w:t>
            </w:r>
          </w:p>
          <w:p>
            <w:pPr>
              <w:pStyle w:val="28"/>
              <w:keepNext w:val="0"/>
              <w:keepLines w:val="0"/>
              <w:pageBreakBefore w:val="0"/>
              <w:kinsoku/>
              <w:wordWrap/>
              <w:overflowPunct/>
              <w:topLinePunct w:val="0"/>
              <w:autoSpaceDE/>
              <w:autoSpaceDN/>
              <w:bidi w:val="0"/>
              <w:adjustRightInd/>
              <w:snapToGrid/>
              <w:spacing w:after="0"/>
              <w:ind w:left="0" w:leftChars="0" w:firstLine="0" w:firstLineChars="0"/>
              <w:textAlignment w:val="auto"/>
              <w:rPr>
                <w:color w:val="auto"/>
                <w:highlight w:val="none"/>
              </w:rPr>
            </w:pPr>
            <w:r>
              <w:rPr>
                <w:rFonts w:ascii="宋体" w:hAnsi="宋体" w:cs="宋体"/>
                <w:color w:val="auto"/>
                <w:sz w:val="24"/>
                <w:highlight w:val="none"/>
              </w:rPr>
              <w:t>2</w:t>
            </w:r>
            <w:r>
              <w:rPr>
                <w:rFonts w:hint="eastAsia" w:ascii="宋体" w:hAnsi="宋体" w:cs="宋体"/>
                <w:color w:val="auto"/>
                <w:sz w:val="24"/>
                <w:highlight w:val="none"/>
              </w:rPr>
              <w:t>.对投标人提交的针对本项目的售后服务方案、售后服务承诺、售后时效性等进行综合评价：售后服务方案、售后服务承诺、售后时效性等条理框架十分清晰、完整合理，得8-5分；售后服务方案、售后服务承诺、售后时效性等条理框架比较清晰、完整合理，得5-2分；售后服务方案、售后服务承诺、售后时效性等条理框架清晰度一般、缺项严重，得2-0分；没有相关描述的不得分。</w:t>
            </w:r>
          </w:p>
        </w:tc>
      </w:tr>
    </w:tbl>
    <w:p>
      <w:pPr>
        <w:adjustRightInd w:val="0"/>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2、报价分的评定（30分）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满足采购文件要求且投标报价最低的投标价为评标基准价，其余投标供应商投标价与该基准价对比，计算出商务报价评分值。（保留小数2位）：</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有效投标供应商的投标价等于评标基准价时其报价分为满分30分；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 其他投标供应商的价格分按以下公式计算：</w:t>
      </w:r>
    </w:p>
    <w:p>
      <w:pPr>
        <w:spacing w:line="400" w:lineRule="exact"/>
        <w:ind w:left="141" w:leftChars="67" w:firstLine="312" w:firstLineChars="14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报价得分=（评标基准价/有效投标报价）×30%×100（保留小数2位）</w:t>
      </w:r>
    </w:p>
    <w:p>
      <w:pPr>
        <w:spacing w:line="400" w:lineRule="exact"/>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3）▲本项目采购预算为25.00万元，同时设最高限价，最高限价为：人民币</w:t>
      </w: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620000 \* CHINESENUM4 \* MERGEFORMAT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贰拾伍万元整</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（¥250000元）。投标供应商投标报价如超过最高限价的，其投标文件做无效标处理。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4）所有投标供应商投标报价均超采购预算（或最高限价），采购人无法支付的,重新组织采购。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3、有效投标供应商的综合得分为商务技术分和报价分的总和。</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标委员会依据法律、法规及采购文件有关规定在有效标中按投标供应商的综合得分（商务技术分及报价分之和）高低进行排序，综合得分前二名投标供应商依次作为第一、第二中标候选人向采购人推荐，并提交评标报告。综合得分相同的以报价分得分高的优先；综合</w:t>
      </w:r>
      <w:r>
        <w:rPr>
          <w:rFonts w:hint="eastAsia" w:ascii="宋体" w:hAnsi="宋体" w:cs="宋体"/>
          <w:color w:val="auto"/>
          <w:kern w:val="0"/>
          <w:szCs w:val="21"/>
          <w:highlight w:val="none"/>
        </w:rPr>
        <w:t>得分相同且</w:t>
      </w:r>
      <w:r>
        <w:rPr>
          <w:rFonts w:hint="eastAsia" w:ascii="宋体" w:hAnsi="宋体" w:cs="宋体"/>
          <w:color w:val="auto"/>
          <w:szCs w:val="21"/>
          <w:highlight w:val="none"/>
        </w:rPr>
        <w:t>报价分得分相同的，由评标委员会随机抽签决定排序。</w:t>
      </w:r>
    </w:p>
    <w:p>
      <w:pPr>
        <w:adjustRightInd w:val="0"/>
        <w:snapToGrid w:val="0"/>
        <w:spacing w:line="440" w:lineRule="exact"/>
        <w:rPr>
          <w:rFonts w:ascii="宋体" w:hAnsi="宋体" w:cs="宋体"/>
          <w:color w:val="auto"/>
          <w:szCs w:val="21"/>
          <w:highlight w:val="none"/>
        </w:rPr>
      </w:pPr>
      <w:r>
        <w:rPr>
          <w:rFonts w:hint="eastAsia" w:ascii="宋体" w:hAnsi="宋体" w:cs="宋体"/>
          <w:b/>
          <w:color w:val="auto"/>
          <w:szCs w:val="21"/>
          <w:highlight w:val="none"/>
        </w:rPr>
        <w:t>六、定标办法</w:t>
      </w:r>
    </w:p>
    <w:p>
      <w:pPr>
        <w:spacing w:line="440" w:lineRule="exact"/>
        <w:ind w:firstLine="450"/>
        <w:rPr>
          <w:rFonts w:ascii="宋体" w:hAnsi="宋体" w:cs="宋体"/>
          <w:color w:val="auto"/>
          <w:szCs w:val="21"/>
          <w:highlight w:val="none"/>
        </w:rPr>
      </w:pPr>
      <w:r>
        <w:rPr>
          <w:rFonts w:hint="eastAsia" w:ascii="宋体" w:hAnsi="宋体" w:cs="宋体"/>
          <w:color w:val="auto"/>
          <w:szCs w:val="21"/>
          <w:highlight w:val="none"/>
        </w:rPr>
        <w:t>本次采购由评标委员会推荐中标候选人，采购人根据评标委员会的推荐结果进行最终确认。若中标候选人放弃中标资格；因不可抗力提出不能履行合同；或者采购文件规定应当提交履约保证金而在规定的期限内未能提交的；或未能在规定时间内与采购人签订合同的；或者经质疑，采购人审查后，确因第一中标候选人在本次采购活动中存在违法违规行为或其他原因使质疑成立的，采购人可以视具体情况确定是否由排名第二的中标候选人为中标人。如第二中标候选人因前款规定的同样原因不能签订合同的，本次采购失败，重新组织采购。</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七、确定中标人</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评标结束后，采购人将在浙江政府采购网、温州国企采购平台、温州信达交通工程试验检测有限公司网站上公示中标结果。公示期结束，且在规定期限内采购代理机构将向中标人发出中标通知书。</w:t>
      </w:r>
    </w:p>
    <w:p>
      <w:pPr>
        <w:adjustRightInd w:val="0"/>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八、投标供应商义务</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投标供应商应随时接受评标委员会的询标，解答包括有关的商务、技术问题等。评标结束，所有评标资料存采购机构备查。</w:t>
      </w:r>
    </w:p>
    <w:sectPr>
      <w:headerReference r:id="rId7" w:type="default"/>
      <w:footerReference r:id="rId8"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right"/>
      <w:rPr>
        <w:rFonts w:ascii="楷体_GB2312" w:eastAsia="楷体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3"/>
      </w:rPr>
    </w:pPr>
    <w:r>
      <w:fldChar w:fldCharType="begin"/>
    </w:r>
    <w:r>
      <w:rPr>
        <w:rStyle w:val="33"/>
      </w:rPr>
      <w:instrText xml:space="preserve">PAGE  </w:instrText>
    </w:r>
    <w:r>
      <w:fldChar w:fldCharType="separate"/>
    </w:r>
    <w:r>
      <w:rPr>
        <w:rStyle w:val="33"/>
      </w:rPr>
      <w:t>60</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9</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宋体" w:hAnsi="宋体"/>
      </w:rPr>
    </w:pPr>
    <w:r>
      <w:rPr>
        <w:rFonts w:hint="eastAsia" w:ascii="宋体" w:hAnsi="宋体"/>
      </w:rPr>
      <w:t>温州市国有企业采购文件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none"/>
      <w:lvlText w:val=""/>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3"/>
    <w:multiLevelType w:val="multilevel"/>
    <w:tmpl w:val="00000003"/>
    <w:lvl w:ilvl="0" w:tentative="0">
      <w:start w:val="1"/>
      <w:numFmt w:val="decimal"/>
      <w:lvlText w:val="%1."/>
      <w:lvlJc w:val="left"/>
      <w:pPr>
        <w:tabs>
          <w:tab w:val="left" w:pos="420"/>
        </w:tabs>
        <w:ind w:left="420" w:hanging="420"/>
      </w:pPr>
      <w:rPr>
        <w:rFonts w:hint="default" w:ascii="宋体" w:hAnsi="宋体" w:eastAsia="宋体" w:cs="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00000004"/>
    <w:multiLevelType w:val="multilevel"/>
    <w:tmpl w:val="00000004"/>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00000005"/>
    <w:multiLevelType w:val="multilevel"/>
    <w:tmpl w:val="00000005"/>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multilevel"/>
    <w:tmpl w:val="00000006"/>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2"/>
      <w:numFmt w:val="decimal"/>
      <w:suff w:val="nothing"/>
      <w:lvlText w:val="%1、"/>
      <w:lvlJc w:val="left"/>
    </w:lvl>
  </w:abstractNum>
  <w:abstractNum w:abstractNumId="9">
    <w:nsid w:val="00000009"/>
    <w:multiLevelType w:val="multilevel"/>
    <w:tmpl w:val="00000009"/>
    <w:lvl w:ilvl="0" w:tentative="0">
      <w:start w:val="1"/>
      <w:numFmt w:val="decimal"/>
      <w:lvlText w:val="%1."/>
      <w:lvlJc w:val="left"/>
      <w:pPr>
        <w:tabs>
          <w:tab w:val="left" w:pos="420"/>
        </w:tabs>
        <w:ind w:left="420" w:hanging="420"/>
      </w:pPr>
      <w:rPr>
        <w:rFonts w:hint="default" w:ascii="宋体" w:hAnsi="宋体" w:eastAsia="宋体" w:cs="宋体"/>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0000000A"/>
    <w:multiLevelType w:val="multilevel"/>
    <w:tmpl w:val="0000000A"/>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none"/>
      <w:lvlText w:val=""/>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D"/>
    <w:multiLevelType w:val="multilevel"/>
    <w:tmpl w:val="0000000D"/>
    <w:lvl w:ilvl="0" w:tentative="0">
      <w:start w:val="1"/>
      <w:numFmt w:val="none"/>
      <w:lvlText w:val=""/>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0E"/>
    <w:multiLevelType w:val="multilevel"/>
    <w:tmpl w:val="0000000E"/>
    <w:lvl w:ilvl="0" w:tentative="0">
      <w:start w:val="1"/>
      <w:numFmt w:val="bullet"/>
      <w:pStyle w:val="56"/>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0F"/>
    <w:multiLevelType w:val="multilevel"/>
    <w:tmpl w:val="0000000F"/>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0"/>
    <w:multiLevelType w:val="multilevel"/>
    <w:tmpl w:val="00000010"/>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13"/>
    <w:multiLevelType w:val="singleLevel"/>
    <w:tmpl w:val="00000013"/>
    <w:lvl w:ilvl="0" w:tentative="0">
      <w:start w:val="8"/>
      <w:numFmt w:val="chineseCounting"/>
      <w:suff w:val="nothing"/>
      <w:lvlText w:val="%1、"/>
      <w:lvlJc w:val="left"/>
      <w:rPr>
        <w:rFonts w:hint="eastAsia"/>
      </w:rPr>
    </w:lvl>
  </w:abstractNum>
  <w:abstractNum w:abstractNumId="20">
    <w:nsid w:val="00000014"/>
    <w:multiLevelType w:val="multilevel"/>
    <w:tmpl w:val="00000014"/>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1">
    <w:nsid w:val="00000016"/>
    <w:multiLevelType w:val="singleLevel"/>
    <w:tmpl w:val="00000016"/>
    <w:lvl w:ilvl="0" w:tentative="0">
      <w:start w:val="1"/>
      <w:numFmt w:val="decimal"/>
      <w:suff w:val="nothing"/>
      <w:lvlText w:val="（%1）"/>
      <w:lvlJc w:val="left"/>
    </w:lvl>
  </w:abstractNum>
  <w:abstractNum w:abstractNumId="22">
    <w:nsid w:val="00000017"/>
    <w:multiLevelType w:val="multilevel"/>
    <w:tmpl w:val="00000017"/>
    <w:lvl w:ilvl="0" w:tentative="0">
      <w:start w:val="1"/>
      <w:numFmt w:val="decimal"/>
      <w:lvlText w:val="%1."/>
      <w:lvlJc w:val="left"/>
      <w:pPr>
        <w:tabs>
          <w:tab w:val="left" w:pos="420"/>
        </w:tabs>
        <w:ind w:left="420" w:hanging="420"/>
      </w:pPr>
      <w:rPr>
        <w:rFonts w:hint="default" w:ascii="宋体" w:hAnsi="宋体" w:eastAsia="宋体" w:cs="宋体"/>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3">
    <w:nsid w:val="00000018"/>
    <w:multiLevelType w:val="multilevel"/>
    <w:tmpl w:val="00000018"/>
    <w:lvl w:ilvl="0" w:tentative="0">
      <w:start w:val="1"/>
      <w:numFmt w:val="none"/>
      <w:lvlText w:val=""/>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00000019"/>
    <w:multiLevelType w:val="multilevel"/>
    <w:tmpl w:val="00000019"/>
    <w:lvl w:ilvl="0" w:tentative="0">
      <w:start w:val="1"/>
      <w:numFmt w:val="none"/>
      <w:lvlText w:val=""/>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1A"/>
    <w:multiLevelType w:val="multilevel"/>
    <w:tmpl w:val="0000001A"/>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1277"/>
        </w:tabs>
        <w:ind w:left="1277" w:hanging="567"/>
      </w:pPr>
      <w:rPr>
        <w:rFonts w:hint="default" w:ascii="宋体" w:hAnsi="宋体" w:eastAsia="宋体" w:cs="宋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0000001B"/>
    <w:multiLevelType w:val="singleLevel"/>
    <w:tmpl w:val="0000001B"/>
    <w:lvl w:ilvl="0" w:tentative="0">
      <w:start w:val="1"/>
      <w:numFmt w:val="decimal"/>
      <w:suff w:val="nothing"/>
      <w:lvlText w:val="%1）"/>
      <w:lvlJc w:val="left"/>
    </w:lvl>
  </w:abstractNum>
  <w:abstractNum w:abstractNumId="27">
    <w:nsid w:val="0000001C"/>
    <w:multiLevelType w:val="multilevel"/>
    <w:tmpl w:val="0000001C"/>
    <w:lvl w:ilvl="0" w:tentative="0">
      <w:start w:val="1"/>
      <w:numFmt w:val="none"/>
      <w:lvlText w:val=""/>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1D"/>
    <w:multiLevelType w:val="multilevel"/>
    <w:tmpl w:val="0000001D"/>
    <w:lvl w:ilvl="0" w:tentative="0">
      <w:start w:val="1"/>
      <w:numFmt w:val="none"/>
      <w:lvlText w:val=""/>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19"/>
  </w:num>
  <w:num w:numId="3">
    <w:abstractNumId w:val="22"/>
  </w:num>
  <w:num w:numId="4">
    <w:abstractNumId w:val="3"/>
  </w:num>
  <w:num w:numId="5">
    <w:abstractNumId w:val="6"/>
  </w:num>
  <w:num w:numId="6">
    <w:abstractNumId w:val="13"/>
  </w:num>
  <w:num w:numId="7">
    <w:abstractNumId w:val="18"/>
  </w:num>
  <w:num w:numId="8">
    <w:abstractNumId w:val="10"/>
  </w:num>
  <w:num w:numId="9">
    <w:abstractNumId w:val="16"/>
  </w:num>
  <w:num w:numId="10">
    <w:abstractNumId w:val="23"/>
  </w:num>
  <w:num w:numId="11">
    <w:abstractNumId w:val="2"/>
  </w:num>
  <w:num w:numId="12">
    <w:abstractNumId w:val="0"/>
  </w:num>
  <w:num w:numId="13">
    <w:abstractNumId w:val="5"/>
  </w:num>
  <w:num w:numId="14">
    <w:abstractNumId w:val="9"/>
  </w:num>
  <w:num w:numId="15">
    <w:abstractNumId w:val="27"/>
  </w:num>
  <w:num w:numId="16">
    <w:abstractNumId w:val="24"/>
  </w:num>
  <w:num w:numId="17">
    <w:abstractNumId w:val="15"/>
  </w:num>
  <w:num w:numId="18">
    <w:abstractNumId w:val="4"/>
  </w:num>
  <w:num w:numId="19">
    <w:abstractNumId w:val="25"/>
  </w:num>
  <w:num w:numId="20">
    <w:abstractNumId w:val="7"/>
  </w:num>
  <w:num w:numId="21">
    <w:abstractNumId w:val="21"/>
  </w:num>
  <w:num w:numId="22">
    <w:abstractNumId w:val="1"/>
  </w:num>
  <w:num w:numId="23">
    <w:abstractNumId w:val="28"/>
  </w:num>
  <w:num w:numId="24">
    <w:abstractNumId w:val="12"/>
  </w:num>
  <w:num w:numId="25">
    <w:abstractNumId w:val="26"/>
  </w:num>
  <w:num w:numId="26">
    <w:abstractNumId w:val="11"/>
  </w:num>
  <w:num w:numId="27">
    <w:abstractNumId w:val="17"/>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TA3ZDYwNTYzOWY5MGY3NDcxMjRlZWI3ZGRhMDQifQ=="/>
  </w:docVars>
  <w:rsids>
    <w:rsidRoot w:val="006D32E9"/>
    <w:rsid w:val="000B27A4"/>
    <w:rsid w:val="00187AF0"/>
    <w:rsid w:val="002703C2"/>
    <w:rsid w:val="00285A14"/>
    <w:rsid w:val="003F18CF"/>
    <w:rsid w:val="00424EE2"/>
    <w:rsid w:val="00482F4B"/>
    <w:rsid w:val="004F2046"/>
    <w:rsid w:val="00612F45"/>
    <w:rsid w:val="006D32E9"/>
    <w:rsid w:val="006E63D6"/>
    <w:rsid w:val="00792C91"/>
    <w:rsid w:val="0083724A"/>
    <w:rsid w:val="009C23C0"/>
    <w:rsid w:val="00A871A6"/>
    <w:rsid w:val="00C418F0"/>
    <w:rsid w:val="00CC53AF"/>
    <w:rsid w:val="00CD0AA0"/>
    <w:rsid w:val="00D128D6"/>
    <w:rsid w:val="00E95D7A"/>
    <w:rsid w:val="01680764"/>
    <w:rsid w:val="01D54D98"/>
    <w:rsid w:val="01D84888"/>
    <w:rsid w:val="020E1696"/>
    <w:rsid w:val="021C1951"/>
    <w:rsid w:val="021F6013"/>
    <w:rsid w:val="02CB619B"/>
    <w:rsid w:val="0305373E"/>
    <w:rsid w:val="03192A63"/>
    <w:rsid w:val="049C7DEF"/>
    <w:rsid w:val="064562B0"/>
    <w:rsid w:val="072E7BB4"/>
    <w:rsid w:val="074829FD"/>
    <w:rsid w:val="07A80859"/>
    <w:rsid w:val="08612D9A"/>
    <w:rsid w:val="08BA60E5"/>
    <w:rsid w:val="092263E9"/>
    <w:rsid w:val="0AFD2C6A"/>
    <w:rsid w:val="0B815649"/>
    <w:rsid w:val="0BF64289"/>
    <w:rsid w:val="0C1144AA"/>
    <w:rsid w:val="0C460641"/>
    <w:rsid w:val="0CB7487C"/>
    <w:rsid w:val="0DBD4932"/>
    <w:rsid w:val="0DD52D2F"/>
    <w:rsid w:val="0E292FF4"/>
    <w:rsid w:val="0E49703F"/>
    <w:rsid w:val="0E545297"/>
    <w:rsid w:val="0EA64349"/>
    <w:rsid w:val="0FA316F9"/>
    <w:rsid w:val="10125409"/>
    <w:rsid w:val="113D64B6"/>
    <w:rsid w:val="11651569"/>
    <w:rsid w:val="123B498E"/>
    <w:rsid w:val="12955E7E"/>
    <w:rsid w:val="13731267"/>
    <w:rsid w:val="138F2736"/>
    <w:rsid w:val="156263D9"/>
    <w:rsid w:val="15AE1C17"/>
    <w:rsid w:val="15D51305"/>
    <w:rsid w:val="15F935E6"/>
    <w:rsid w:val="163C58E1"/>
    <w:rsid w:val="165735B4"/>
    <w:rsid w:val="169A1CB5"/>
    <w:rsid w:val="16FA04F7"/>
    <w:rsid w:val="17457E73"/>
    <w:rsid w:val="17D45E7D"/>
    <w:rsid w:val="18004EFF"/>
    <w:rsid w:val="18071E16"/>
    <w:rsid w:val="18EC71F7"/>
    <w:rsid w:val="1BE04FB8"/>
    <w:rsid w:val="1C08589C"/>
    <w:rsid w:val="1C2E35B1"/>
    <w:rsid w:val="1C873123"/>
    <w:rsid w:val="1CAC629E"/>
    <w:rsid w:val="1CEE2CF4"/>
    <w:rsid w:val="1CF578EB"/>
    <w:rsid w:val="1D146D06"/>
    <w:rsid w:val="1E3824DF"/>
    <w:rsid w:val="1E3F4775"/>
    <w:rsid w:val="1E411F88"/>
    <w:rsid w:val="1EB3360F"/>
    <w:rsid w:val="1F3211FE"/>
    <w:rsid w:val="1F5E6B14"/>
    <w:rsid w:val="1F7A2683"/>
    <w:rsid w:val="1F98725F"/>
    <w:rsid w:val="1FAD4807"/>
    <w:rsid w:val="204A1F73"/>
    <w:rsid w:val="20B24887"/>
    <w:rsid w:val="20C64550"/>
    <w:rsid w:val="20C77B4A"/>
    <w:rsid w:val="218C7A64"/>
    <w:rsid w:val="21B207FA"/>
    <w:rsid w:val="225C42C2"/>
    <w:rsid w:val="22910410"/>
    <w:rsid w:val="230626A5"/>
    <w:rsid w:val="23B9733D"/>
    <w:rsid w:val="2423778D"/>
    <w:rsid w:val="249227B7"/>
    <w:rsid w:val="255B2F57"/>
    <w:rsid w:val="26437247"/>
    <w:rsid w:val="267421D5"/>
    <w:rsid w:val="26DE2B81"/>
    <w:rsid w:val="27416B73"/>
    <w:rsid w:val="27DA0163"/>
    <w:rsid w:val="281178FD"/>
    <w:rsid w:val="28691B2D"/>
    <w:rsid w:val="2B0C0F7B"/>
    <w:rsid w:val="2C0954BB"/>
    <w:rsid w:val="2D1F0EDE"/>
    <w:rsid w:val="2DF9330D"/>
    <w:rsid w:val="2E556795"/>
    <w:rsid w:val="2EA020D3"/>
    <w:rsid w:val="2EA4771D"/>
    <w:rsid w:val="2EF37D5C"/>
    <w:rsid w:val="2F0F6197"/>
    <w:rsid w:val="2F5E167A"/>
    <w:rsid w:val="2F897024"/>
    <w:rsid w:val="2FD139EE"/>
    <w:rsid w:val="2FFB511A"/>
    <w:rsid w:val="30281C88"/>
    <w:rsid w:val="309D4424"/>
    <w:rsid w:val="30AF7E29"/>
    <w:rsid w:val="31276267"/>
    <w:rsid w:val="32CD65D7"/>
    <w:rsid w:val="34C603ED"/>
    <w:rsid w:val="3583684B"/>
    <w:rsid w:val="36496FA8"/>
    <w:rsid w:val="37436243"/>
    <w:rsid w:val="37896AC1"/>
    <w:rsid w:val="37ED7A3F"/>
    <w:rsid w:val="386B29B3"/>
    <w:rsid w:val="387E54E5"/>
    <w:rsid w:val="388163D9"/>
    <w:rsid w:val="38B22A36"/>
    <w:rsid w:val="38B44A00"/>
    <w:rsid w:val="38DF5FF4"/>
    <w:rsid w:val="38F45DF4"/>
    <w:rsid w:val="38F848ED"/>
    <w:rsid w:val="38FC6146"/>
    <w:rsid w:val="390343E3"/>
    <w:rsid w:val="39225D2A"/>
    <w:rsid w:val="3A00614F"/>
    <w:rsid w:val="3C6C1F0C"/>
    <w:rsid w:val="3C8F1B92"/>
    <w:rsid w:val="3DBB14DE"/>
    <w:rsid w:val="3DD84CED"/>
    <w:rsid w:val="3DF15DAF"/>
    <w:rsid w:val="3E4623E8"/>
    <w:rsid w:val="3E6C6BCE"/>
    <w:rsid w:val="3E73290A"/>
    <w:rsid w:val="3F382309"/>
    <w:rsid w:val="4093314D"/>
    <w:rsid w:val="40B37047"/>
    <w:rsid w:val="40C94DC1"/>
    <w:rsid w:val="416074D3"/>
    <w:rsid w:val="41A5138A"/>
    <w:rsid w:val="41A85316"/>
    <w:rsid w:val="41AB0566"/>
    <w:rsid w:val="41DD5748"/>
    <w:rsid w:val="42937435"/>
    <w:rsid w:val="42EA174A"/>
    <w:rsid w:val="430641BE"/>
    <w:rsid w:val="43815C76"/>
    <w:rsid w:val="43EA7B55"/>
    <w:rsid w:val="45F8321D"/>
    <w:rsid w:val="46AC6D17"/>
    <w:rsid w:val="46B82D5B"/>
    <w:rsid w:val="46F822FF"/>
    <w:rsid w:val="4775190E"/>
    <w:rsid w:val="479D6EB6"/>
    <w:rsid w:val="480701F9"/>
    <w:rsid w:val="48594C7C"/>
    <w:rsid w:val="48970FFF"/>
    <w:rsid w:val="49647D7D"/>
    <w:rsid w:val="4A12402C"/>
    <w:rsid w:val="4A6A5691"/>
    <w:rsid w:val="4B102A00"/>
    <w:rsid w:val="4C3B4DC5"/>
    <w:rsid w:val="4D7B62AF"/>
    <w:rsid w:val="4DA846DC"/>
    <w:rsid w:val="4EA36C51"/>
    <w:rsid w:val="4F773AF2"/>
    <w:rsid w:val="4F7C7BCE"/>
    <w:rsid w:val="510D2AA8"/>
    <w:rsid w:val="51786173"/>
    <w:rsid w:val="520356FA"/>
    <w:rsid w:val="52426781"/>
    <w:rsid w:val="526D1A50"/>
    <w:rsid w:val="52974D1F"/>
    <w:rsid w:val="53116039"/>
    <w:rsid w:val="53486019"/>
    <w:rsid w:val="535E34F6"/>
    <w:rsid w:val="53B65679"/>
    <w:rsid w:val="542C1497"/>
    <w:rsid w:val="559D264C"/>
    <w:rsid w:val="57BE5159"/>
    <w:rsid w:val="583D6A05"/>
    <w:rsid w:val="586B6A32"/>
    <w:rsid w:val="59123710"/>
    <w:rsid w:val="593626CC"/>
    <w:rsid w:val="59394451"/>
    <w:rsid w:val="59C5166D"/>
    <w:rsid w:val="59E15073"/>
    <w:rsid w:val="5A744438"/>
    <w:rsid w:val="5ABD1AB6"/>
    <w:rsid w:val="5B422379"/>
    <w:rsid w:val="5BA04B01"/>
    <w:rsid w:val="5BE34B31"/>
    <w:rsid w:val="5BF44F90"/>
    <w:rsid w:val="5C2D5415"/>
    <w:rsid w:val="5C4568DC"/>
    <w:rsid w:val="5C4F21C6"/>
    <w:rsid w:val="5D027239"/>
    <w:rsid w:val="5DBB6A27"/>
    <w:rsid w:val="5EBD58B4"/>
    <w:rsid w:val="5EBE53E1"/>
    <w:rsid w:val="5F000701"/>
    <w:rsid w:val="5F337B7D"/>
    <w:rsid w:val="5FC06B1D"/>
    <w:rsid w:val="607C0D31"/>
    <w:rsid w:val="635F61EB"/>
    <w:rsid w:val="636D5D54"/>
    <w:rsid w:val="63730E90"/>
    <w:rsid w:val="639332E1"/>
    <w:rsid w:val="63B340B3"/>
    <w:rsid w:val="63C9302B"/>
    <w:rsid w:val="63E458EA"/>
    <w:rsid w:val="63F5416F"/>
    <w:rsid w:val="640D6BEF"/>
    <w:rsid w:val="64285B00"/>
    <w:rsid w:val="644F36B3"/>
    <w:rsid w:val="646802C9"/>
    <w:rsid w:val="649472E5"/>
    <w:rsid w:val="64A86918"/>
    <w:rsid w:val="650C6EA7"/>
    <w:rsid w:val="65FC7392"/>
    <w:rsid w:val="66050F0F"/>
    <w:rsid w:val="66AE4896"/>
    <w:rsid w:val="66BB0B84"/>
    <w:rsid w:val="68831B76"/>
    <w:rsid w:val="68C857DA"/>
    <w:rsid w:val="69E5416A"/>
    <w:rsid w:val="6A4F54CA"/>
    <w:rsid w:val="6BB32772"/>
    <w:rsid w:val="6C762FD9"/>
    <w:rsid w:val="6CE00554"/>
    <w:rsid w:val="6DC72505"/>
    <w:rsid w:val="6DEF3809"/>
    <w:rsid w:val="6F8F6D6A"/>
    <w:rsid w:val="6FF70753"/>
    <w:rsid w:val="702C2AF3"/>
    <w:rsid w:val="70A55464"/>
    <w:rsid w:val="711876A9"/>
    <w:rsid w:val="711E68DF"/>
    <w:rsid w:val="719F12BB"/>
    <w:rsid w:val="726B55A2"/>
    <w:rsid w:val="72960E37"/>
    <w:rsid w:val="72C40DC1"/>
    <w:rsid w:val="733E5017"/>
    <w:rsid w:val="736A32C1"/>
    <w:rsid w:val="740B13C3"/>
    <w:rsid w:val="751F6782"/>
    <w:rsid w:val="752E2E69"/>
    <w:rsid w:val="75C86E1A"/>
    <w:rsid w:val="75DB39A3"/>
    <w:rsid w:val="763D7808"/>
    <w:rsid w:val="76C40769"/>
    <w:rsid w:val="76CD2A64"/>
    <w:rsid w:val="76E71522"/>
    <w:rsid w:val="770A3058"/>
    <w:rsid w:val="77AE3DED"/>
    <w:rsid w:val="782F4F2E"/>
    <w:rsid w:val="785443A1"/>
    <w:rsid w:val="7882046A"/>
    <w:rsid w:val="79411956"/>
    <w:rsid w:val="7A143237"/>
    <w:rsid w:val="7A356A48"/>
    <w:rsid w:val="7A901794"/>
    <w:rsid w:val="7B5B603A"/>
    <w:rsid w:val="7CE33387"/>
    <w:rsid w:val="7DCE53A2"/>
    <w:rsid w:val="7DE44A0D"/>
    <w:rsid w:val="7E164392"/>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jc w:val="center"/>
      <w:outlineLvl w:val="0"/>
    </w:pPr>
    <w:rPr>
      <w:rFonts w:ascii="楷体_GB2312" w:eastAsia="楷体_GB2312"/>
      <w:b/>
      <w:bCs/>
    </w:rPr>
  </w:style>
  <w:style w:type="paragraph" w:styleId="4">
    <w:name w:val="heading 2"/>
    <w:basedOn w:val="1"/>
    <w:next w:val="1"/>
    <w:link w:val="38"/>
    <w:unhideWhenUsed/>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41"/>
    <w:unhideWhenUsed/>
    <w:qFormat/>
    <w:uiPriority w:val="9"/>
    <w:pPr>
      <w:keepNext/>
      <w:keepLines/>
      <w:tabs>
        <w:tab w:val="left" w:pos="1008"/>
      </w:tabs>
      <w:spacing w:before="280" w:after="290" w:line="376" w:lineRule="auto"/>
      <w:ind w:left="1008" w:hanging="1008"/>
      <w:outlineLvl w:val="4"/>
    </w:pPr>
    <w:rPr>
      <w:b/>
      <w:bCs/>
      <w:sz w:val="28"/>
      <w:szCs w:val="28"/>
      <w:lang w:val="zh-CN"/>
    </w:rPr>
  </w:style>
  <w:style w:type="paragraph" w:styleId="8">
    <w:name w:val="heading 6"/>
    <w:basedOn w:val="1"/>
    <w:next w:val="1"/>
    <w:semiHidden/>
    <w:unhideWhenUsed/>
    <w:qFormat/>
    <w:uiPriority w:val="9"/>
    <w:pPr>
      <w:keepNext/>
      <w:keepLines/>
      <w:spacing w:before="240" w:after="64" w:line="320" w:lineRule="auto"/>
      <w:outlineLvl w:val="5"/>
    </w:pPr>
    <w:rPr>
      <w:rFonts w:ascii="Arial" w:hAnsi="Arial" w:eastAsia="黑体"/>
      <w:b/>
      <w:bCs/>
      <w:sz w:val="24"/>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bCs/>
      <w:sz w:val="32"/>
      <w:szCs w:val="32"/>
      <w:lang w:val="zh-CN"/>
    </w:rPr>
  </w:style>
  <w:style w:type="paragraph" w:styleId="9">
    <w:name w:val="Normal Indent"/>
    <w:basedOn w:val="1"/>
    <w:next w:val="1"/>
    <w:link w:val="42"/>
    <w:qFormat/>
    <w:uiPriority w:val="0"/>
    <w:pPr>
      <w:adjustRightInd w:val="0"/>
      <w:spacing w:line="312" w:lineRule="atLeast"/>
      <w:ind w:firstLine="420"/>
      <w:textAlignment w:val="baseline"/>
    </w:pPr>
    <w:rPr>
      <w:kern w:val="0"/>
      <w:szCs w:val="20"/>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link w:val="44"/>
    <w:qFormat/>
    <w:uiPriority w:val="0"/>
    <w:pPr>
      <w:spacing w:after="120"/>
    </w:pPr>
  </w:style>
  <w:style w:type="paragraph" w:styleId="13">
    <w:name w:val="Body Text First Indent"/>
    <w:basedOn w:val="12"/>
    <w:next w:val="14"/>
    <w:link w:val="45"/>
    <w:qFormat/>
    <w:uiPriority w:val="0"/>
    <w:pPr>
      <w:ind w:firstLine="420" w:firstLineChars="100"/>
    </w:pPr>
  </w:style>
  <w:style w:type="paragraph" w:styleId="14">
    <w:name w:val="toc 6"/>
    <w:basedOn w:val="1"/>
    <w:next w:val="1"/>
    <w:qFormat/>
    <w:uiPriority w:val="0"/>
    <w:pPr>
      <w:ind w:left="1050"/>
      <w:jc w:val="left"/>
    </w:pPr>
    <w:rPr>
      <w:sz w:val="18"/>
      <w:szCs w:val="18"/>
    </w:rPr>
  </w:style>
  <w:style w:type="paragraph" w:styleId="15">
    <w:name w:val="Body Text Indent"/>
    <w:basedOn w:val="1"/>
    <w:next w:val="1"/>
    <w:link w:val="46"/>
    <w:qFormat/>
    <w:uiPriority w:val="0"/>
    <w:pPr>
      <w:ind w:left="480" w:hanging="480" w:hangingChars="200"/>
    </w:pPr>
    <w:rPr>
      <w:sz w:val="24"/>
    </w:rPr>
  </w:style>
  <w:style w:type="paragraph" w:styleId="16">
    <w:name w:val="toc 3"/>
    <w:basedOn w:val="1"/>
    <w:next w:val="1"/>
    <w:qFormat/>
    <w:uiPriority w:val="39"/>
    <w:pPr>
      <w:ind w:left="840" w:leftChars="400"/>
    </w:pPr>
  </w:style>
  <w:style w:type="paragraph" w:styleId="17">
    <w:name w:val="Plain Text"/>
    <w:basedOn w:val="1"/>
    <w:next w:val="18"/>
    <w:link w:val="47"/>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line="500" w:lineRule="exact"/>
      <w:ind w:firstLine="511" w:firstLineChars="213"/>
    </w:pPr>
    <w:rPr>
      <w:sz w:val="24"/>
    </w:rPr>
  </w:style>
  <w:style w:type="paragraph" w:styleId="20">
    <w:name w:val="Balloon Text"/>
    <w:basedOn w:val="1"/>
    <w:qFormat/>
    <w:uiPriority w:val="0"/>
    <w:rPr>
      <w:sz w:val="18"/>
      <w:szCs w:val="18"/>
    </w:rPr>
  </w:style>
  <w:style w:type="paragraph" w:styleId="21">
    <w:name w:val="footer"/>
    <w:basedOn w:val="1"/>
    <w:link w:val="48"/>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4">
    <w:name w:val="Body Text Indent 3"/>
    <w:basedOn w:val="1"/>
    <w:qFormat/>
    <w:uiPriority w:val="0"/>
    <w:pPr>
      <w:spacing w:line="500" w:lineRule="exact"/>
      <w:ind w:left="511" w:hanging="511" w:hangingChars="213"/>
    </w:pPr>
    <w:rPr>
      <w:sz w:val="24"/>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11"/>
    <w:next w:val="11"/>
    <w:qFormat/>
    <w:uiPriority w:val="0"/>
    <w:rPr>
      <w:b/>
      <w:bCs/>
    </w:rPr>
  </w:style>
  <w:style w:type="paragraph" w:styleId="28">
    <w:name w:val="Body Text First Indent 2"/>
    <w:basedOn w:val="15"/>
    <w:next w:val="1"/>
    <w:link w:val="49"/>
    <w:qFormat/>
    <w:uiPriority w:val="99"/>
    <w:pPr>
      <w:spacing w:after="120"/>
      <w:ind w:left="420" w:leftChars="200" w:firstLine="420" w:firstLineChars="200"/>
    </w:pPr>
    <w:rPr>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Hyperlink"/>
    <w:qFormat/>
    <w:uiPriority w:val="99"/>
    <w:rPr>
      <w:rFonts w:ascii="Times New Roman" w:hAnsi="Times New Roman" w:eastAsia="宋体" w:cs="Times New Roman"/>
      <w:color w:val="000000"/>
      <w:sz w:val="20"/>
      <w:szCs w:val="20"/>
      <w:u w:val="none"/>
    </w:rPr>
  </w:style>
  <w:style w:type="character" w:styleId="35">
    <w:name w:val="annotation reference"/>
    <w:qFormat/>
    <w:uiPriority w:val="0"/>
    <w:rPr>
      <w:rFonts w:ascii="Times New Roman" w:hAnsi="Times New Roman" w:eastAsia="宋体" w:cs="Times New Roman"/>
      <w:sz w:val="21"/>
      <w:szCs w:val="21"/>
    </w:rPr>
  </w:style>
  <w:style w:type="paragraph" w:customStyle="1" w:styleId="36">
    <w:name w:val="样式 正文缩进 + 首行缩进:  2 字符"/>
    <w:basedOn w:val="9"/>
    <w:link w:val="43"/>
    <w:qFormat/>
    <w:uiPriority w:val="0"/>
    <w:pPr>
      <w:adjustRightInd/>
      <w:spacing w:line="360" w:lineRule="auto"/>
      <w:ind w:firstLine="200" w:firstLineChars="200"/>
      <w:textAlignment w:val="auto"/>
    </w:pPr>
    <w:rPr>
      <w:kern w:val="2"/>
      <w:sz w:val="24"/>
      <w:lang w:val="zh-CN"/>
    </w:rPr>
  </w:style>
  <w:style w:type="character" w:customStyle="1" w:styleId="37">
    <w:name w:val="标题 1 字符"/>
    <w:link w:val="3"/>
    <w:qFormat/>
    <w:uiPriority w:val="0"/>
    <w:rPr>
      <w:rFonts w:ascii="楷体_GB2312" w:eastAsia="楷体_GB2312"/>
      <w:b/>
      <w:bCs/>
      <w:kern w:val="2"/>
      <w:sz w:val="21"/>
      <w:szCs w:val="24"/>
    </w:rPr>
  </w:style>
  <w:style w:type="character" w:customStyle="1" w:styleId="38">
    <w:name w:val="标题 2 字符"/>
    <w:link w:val="4"/>
    <w:qFormat/>
    <w:uiPriority w:val="0"/>
    <w:rPr>
      <w:rFonts w:ascii="Arial" w:hAnsi="Arial" w:eastAsia="黑体" w:cs="Times New Roman"/>
      <w:b/>
      <w:bCs/>
      <w:sz w:val="32"/>
      <w:szCs w:val="32"/>
    </w:rPr>
  </w:style>
  <w:style w:type="character" w:customStyle="1" w:styleId="39">
    <w:name w:val="标题 3 字符"/>
    <w:link w:val="5"/>
    <w:qFormat/>
    <w:uiPriority w:val="0"/>
    <w:rPr>
      <w:rFonts w:ascii="Times New Roman" w:hAnsi="Times New Roman" w:eastAsia="宋体" w:cs="Times New Roman"/>
      <w:b/>
      <w:bCs/>
      <w:kern w:val="2"/>
      <w:sz w:val="32"/>
      <w:szCs w:val="32"/>
      <w:lang w:bidi="ar-SA"/>
    </w:rPr>
  </w:style>
  <w:style w:type="character" w:customStyle="1" w:styleId="40">
    <w:name w:val="标题 4 字符"/>
    <w:link w:val="6"/>
    <w:qFormat/>
    <w:uiPriority w:val="0"/>
    <w:rPr>
      <w:rFonts w:ascii="Cambria" w:hAnsi="Cambria" w:eastAsia="宋体" w:cs="Times New Roman"/>
      <w:b/>
      <w:bCs/>
      <w:kern w:val="2"/>
      <w:sz w:val="28"/>
      <w:szCs w:val="28"/>
      <w:lang w:bidi="ar-SA"/>
    </w:rPr>
  </w:style>
  <w:style w:type="character" w:customStyle="1" w:styleId="41">
    <w:name w:val="标题 5 字符"/>
    <w:link w:val="7"/>
    <w:qFormat/>
    <w:uiPriority w:val="0"/>
    <w:rPr>
      <w:rFonts w:ascii="Times New Roman" w:hAnsi="Times New Roman" w:eastAsia="宋体" w:cs="Times New Roman"/>
      <w:b/>
      <w:bCs/>
      <w:kern w:val="2"/>
      <w:sz w:val="28"/>
      <w:szCs w:val="28"/>
      <w:lang w:val="zh-CN"/>
    </w:rPr>
  </w:style>
  <w:style w:type="character" w:customStyle="1" w:styleId="42">
    <w:name w:val="正文缩进 字符"/>
    <w:link w:val="9"/>
    <w:qFormat/>
    <w:uiPriority w:val="0"/>
    <w:rPr>
      <w:rFonts w:ascii="Times New Roman" w:hAnsi="Times New Roman" w:eastAsia="宋体" w:cs="Times New Roman"/>
      <w:sz w:val="21"/>
      <w:lang w:val="en-US" w:eastAsia="zh-CN" w:bidi="ar-SA"/>
    </w:rPr>
  </w:style>
  <w:style w:type="character" w:customStyle="1" w:styleId="43">
    <w:name w:val="样式 正文缩进 + 首行缩进:  2 字符 Char"/>
    <w:link w:val="36"/>
    <w:qFormat/>
    <w:uiPriority w:val="0"/>
    <w:rPr>
      <w:kern w:val="2"/>
      <w:sz w:val="24"/>
      <w:lang w:val="zh-CN"/>
    </w:rPr>
  </w:style>
  <w:style w:type="character" w:customStyle="1" w:styleId="44">
    <w:name w:val="正文文本 字符"/>
    <w:link w:val="12"/>
    <w:qFormat/>
    <w:uiPriority w:val="0"/>
    <w:rPr>
      <w:rFonts w:ascii="Times New Roman" w:hAnsi="Times New Roman" w:eastAsia="宋体" w:cs="Times New Roman"/>
      <w:kern w:val="2"/>
      <w:sz w:val="21"/>
      <w:szCs w:val="24"/>
    </w:rPr>
  </w:style>
  <w:style w:type="character" w:customStyle="1" w:styleId="45">
    <w:name w:val="正文文本首行缩进 字符"/>
    <w:link w:val="13"/>
    <w:qFormat/>
    <w:uiPriority w:val="0"/>
    <w:rPr>
      <w:rFonts w:ascii="Times New Roman" w:hAnsi="Times New Roman" w:eastAsia="宋体" w:cs="Times New Roman"/>
      <w:kern w:val="2"/>
      <w:sz w:val="21"/>
      <w:szCs w:val="24"/>
    </w:rPr>
  </w:style>
  <w:style w:type="character" w:customStyle="1" w:styleId="46">
    <w:name w:val="正文文本缩进 字符"/>
    <w:link w:val="15"/>
    <w:qFormat/>
    <w:uiPriority w:val="0"/>
    <w:rPr>
      <w:rFonts w:ascii="Times New Roman" w:hAnsi="Times New Roman" w:eastAsia="宋体" w:cs="Times New Roman"/>
      <w:kern w:val="2"/>
      <w:sz w:val="24"/>
      <w:szCs w:val="24"/>
    </w:rPr>
  </w:style>
  <w:style w:type="character" w:customStyle="1" w:styleId="47">
    <w:name w:val="纯文本 字符"/>
    <w:link w:val="17"/>
    <w:qFormat/>
    <w:uiPriority w:val="0"/>
    <w:rPr>
      <w:rFonts w:ascii="宋体" w:hAnsi="Courier New" w:eastAsia="宋体" w:cs="Times New Roman"/>
      <w:sz w:val="21"/>
      <w:szCs w:val="21"/>
      <w:lang w:val="en-US" w:eastAsia="zh-CN" w:bidi="ar-SA"/>
    </w:rPr>
  </w:style>
  <w:style w:type="character" w:customStyle="1" w:styleId="48">
    <w:name w:val="页脚 字符"/>
    <w:link w:val="21"/>
    <w:qFormat/>
    <w:uiPriority w:val="0"/>
    <w:rPr>
      <w:rFonts w:ascii="Times New Roman" w:hAnsi="Times New Roman" w:eastAsia="宋体" w:cs="Times New Roman"/>
      <w:kern w:val="2"/>
      <w:sz w:val="18"/>
      <w:szCs w:val="18"/>
    </w:rPr>
  </w:style>
  <w:style w:type="character" w:customStyle="1" w:styleId="49">
    <w:name w:val="正文文本首行缩进 2 字符"/>
    <w:link w:val="28"/>
    <w:qFormat/>
    <w:uiPriority w:val="99"/>
    <w:rPr>
      <w:rFonts w:ascii="Times New Roman" w:hAnsi="Times New Roman" w:eastAsia="宋体" w:cs="Times New Roman"/>
      <w:kern w:val="2"/>
      <w:sz w:val="21"/>
      <w:szCs w:val="24"/>
    </w:rPr>
  </w:style>
  <w:style w:type="paragraph" w:customStyle="1" w:styleId="50">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character" w:customStyle="1" w:styleId="51">
    <w:name w:val="style21"/>
    <w:qFormat/>
    <w:uiPriority w:val="0"/>
    <w:rPr>
      <w:rFonts w:ascii="Times New Roman" w:hAnsi="Times New Roman" w:eastAsia="宋体" w:cs="Times New Roman"/>
      <w:sz w:val="15"/>
      <w:szCs w:val="15"/>
    </w:rPr>
  </w:style>
  <w:style w:type="character" w:customStyle="1" w:styleId="52">
    <w:name w:val="列表段落 字符"/>
    <w:link w:val="53"/>
    <w:qFormat/>
    <w:uiPriority w:val="0"/>
    <w:rPr>
      <w:rFonts w:ascii="Times New Roman" w:hAnsi="Times New Roman" w:eastAsia="宋体" w:cs="Times New Roman"/>
      <w:kern w:val="2"/>
      <w:sz w:val="21"/>
      <w:szCs w:val="24"/>
    </w:rPr>
  </w:style>
  <w:style w:type="paragraph" w:styleId="53">
    <w:name w:val="List Paragraph"/>
    <w:basedOn w:val="1"/>
    <w:link w:val="52"/>
    <w:qFormat/>
    <w:uiPriority w:val="0"/>
    <w:pPr>
      <w:ind w:firstLine="420" w:firstLineChars="200"/>
    </w:pPr>
  </w:style>
  <w:style w:type="character" w:customStyle="1" w:styleId="54">
    <w:name w:val="Texte Char Char"/>
    <w:qFormat/>
    <w:uiPriority w:val="0"/>
    <w:rPr>
      <w:rFonts w:ascii="宋体" w:hAnsi="Courier New" w:eastAsia="宋体" w:cs="Times New Roman"/>
      <w:sz w:val="21"/>
      <w:szCs w:val="21"/>
      <w:lang w:val="en-US" w:eastAsia="zh-CN" w:bidi="ar-SA"/>
    </w:rPr>
  </w:style>
  <w:style w:type="character" w:customStyle="1" w:styleId="55">
    <w:name w:val="样式6 列表并列 Char"/>
    <w:link w:val="56"/>
    <w:qFormat/>
    <w:uiPriority w:val="0"/>
    <w:rPr>
      <w:rFonts w:ascii="Arial" w:hAnsi="Arial"/>
      <w:kern w:val="21"/>
      <w:sz w:val="21"/>
      <w:szCs w:val="24"/>
      <w:lang w:val="en-US" w:eastAsia="zh-CN" w:bidi="ar-SA"/>
    </w:rPr>
  </w:style>
  <w:style w:type="paragraph" w:customStyle="1" w:styleId="56">
    <w:name w:val="样式6 列表并列"/>
    <w:link w:val="55"/>
    <w:qFormat/>
    <w:uiPriority w:val="0"/>
    <w:pPr>
      <w:widowControl w:val="0"/>
      <w:numPr>
        <w:ilvl w:val="0"/>
        <w:numId w:val="1"/>
      </w:numPr>
      <w:spacing w:before="40" w:after="40" w:line="240" w:lineRule="atLeast"/>
      <w:ind w:left="840" w:hanging="420"/>
    </w:pPr>
    <w:rPr>
      <w:rFonts w:ascii="Arial" w:hAnsi="Arial" w:eastAsia="宋体" w:cs="Times New Roman"/>
      <w:kern w:val="21"/>
      <w:sz w:val="21"/>
      <w:szCs w:val="24"/>
      <w:lang w:val="en-US" w:eastAsia="zh-CN" w:bidi="ar-SA"/>
    </w:rPr>
  </w:style>
  <w:style w:type="character" w:customStyle="1" w:styleId="57">
    <w:name w:val="unnamed51"/>
    <w:qFormat/>
    <w:uiPriority w:val="0"/>
    <w:rPr>
      <w:rFonts w:ascii="Times New Roman" w:hAnsi="Times New Roman" w:eastAsia="宋体" w:cs="Times New Roman"/>
      <w:sz w:val="22"/>
      <w:szCs w:val="22"/>
    </w:rPr>
  </w:style>
  <w:style w:type="character" w:customStyle="1" w:styleId="58">
    <w:name w:val="纯文本 Char2"/>
    <w:qFormat/>
    <w:uiPriority w:val="0"/>
    <w:rPr>
      <w:rFonts w:ascii="宋体,Verdana,Arial" w:hAnsi="Tahoma" w:eastAsia="宋体,Verdana,Arial" w:cs="Times New Roman"/>
      <w:sz w:val="21"/>
      <w:szCs w:val="21"/>
      <w:lang w:val="en-US" w:eastAsia="zh-CN" w:bidi="ar-SA"/>
    </w:rPr>
  </w:style>
  <w:style w:type="character" w:customStyle="1" w:styleId="59">
    <w:name w:val="正文文本 Char2"/>
    <w:qFormat/>
    <w:uiPriority w:val="0"/>
    <w:rPr>
      <w:kern w:val="2"/>
      <w:sz w:val="21"/>
      <w:szCs w:val="24"/>
    </w:rPr>
  </w:style>
  <w:style w:type="character" w:customStyle="1" w:styleId="60">
    <w:name w:val="哈哈正文 Char"/>
    <w:link w:val="61"/>
    <w:qFormat/>
    <w:uiPriority w:val="0"/>
    <w:rPr>
      <w:rFonts w:ascii="宋体" w:hAnsi="宋体" w:eastAsia="宋体" w:cs="宋体"/>
      <w:kern w:val="2"/>
      <w:sz w:val="24"/>
      <w:lang w:val="en-US" w:eastAsia="zh-CN" w:bidi="ar-SA"/>
    </w:rPr>
  </w:style>
  <w:style w:type="paragraph" w:customStyle="1" w:styleId="61">
    <w:name w:val="哈哈正文"/>
    <w:basedOn w:val="1"/>
    <w:link w:val="60"/>
    <w:qFormat/>
    <w:uiPriority w:val="0"/>
    <w:pPr>
      <w:spacing w:line="360" w:lineRule="auto"/>
      <w:ind w:firstLine="200" w:firstLineChars="200"/>
    </w:pPr>
    <w:rPr>
      <w:rFonts w:ascii="宋体" w:hAnsi="宋体" w:cs="宋体"/>
      <w:sz w:val="24"/>
      <w:szCs w:val="20"/>
    </w:rPr>
  </w:style>
  <w:style w:type="character" w:customStyle="1" w:styleId="62">
    <w:name w:val="纯文本 Char"/>
    <w:qFormat/>
    <w:uiPriority w:val="0"/>
    <w:rPr>
      <w:rFonts w:ascii="宋体" w:hAnsi="Courier New" w:eastAsia="宋体"/>
      <w:sz w:val="21"/>
      <w:szCs w:val="21"/>
      <w:lang w:val="en-US" w:eastAsia="zh-CN" w:bidi="ar-SA"/>
    </w:rPr>
  </w:style>
  <w:style w:type="character" w:customStyle="1" w:styleId="63">
    <w:name w:val="Char Char2"/>
    <w:qFormat/>
    <w:uiPriority w:val="0"/>
    <w:rPr>
      <w:rFonts w:ascii="宋体" w:hAnsi="Courier New" w:eastAsia="宋体" w:cs="Times New Roman"/>
      <w:kern w:val="2"/>
      <w:sz w:val="21"/>
      <w:lang w:val="en-US" w:eastAsia="zh-CN"/>
    </w:rPr>
  </w:style>
  <w:style w:type="character" w:customStyle="1" w:styleId="64">
    <w:name w:val="List Paragraph Char"/>
    <w:link w:val="65"/>
    <w:qFormat/>
    <w:uiPriority w:val="0"/>
    <w:rPr>
      <w:rFonts w:ascii="Calibri" w:hAnsi="Calibri" w:eastAsia="宋体" w:cs="Times New Roman"/>
      <w:kern w:val="2"/>
      <w:sz w:val="21"/>
      <w:szCs w:val="22"/>
      <w:lang w:val="en-US" w:eastAsia="zh-CN" w:bidi="ar-SA"/>
    </w:rPr>
  </w:style>
  <w:style w:type="paragraph" w:customStyle="1" w:styleId="65">
    <w:name w:val="List Paragraph1"/>
    <w:basedOn w:val="1"/>
    <w:link w:val="64"/>
    <w:qFormat/>
    <w:uiPriority w:val="0"/>
    <w:pPr>
      <w:ind w:firstLine="420" w:firstLineChars="200"/>
    </w:pPr>
    <w:rPr>
      <w:rFonts w:ascii="Calibri" w:hAnsi="Calibri"/>
      <w:szCs w:val="22"/>
    </w:rPr>
  </w:style>
  <w:style w:type="character" w:customStyle="1" w:styleId="66">
    <w:name w:val="正文首行缩进 Char"/>
    <w:link w:val="67"/>
    <w:qFormat/>
    <w:uiPriority w:val="0"/>
    <w:rPr>
      <w:rFonts w:ascii="Times New Roman" w:hAnsi="Times New Roman" w:eastAsia="宋体" w:cs="Times New Roman"/>
      <w:kern w:val="2"/>
      <w:sz w:val="21"/>
      <w:szCs w:val="24"/>
    </w:rPr>
  </w:style>
  <w:style w:type="paragraph" w:customStyle="1" w:styleId="67">
    <w:name w:val="_Style 60"/>
    <w:basedOn w:val="12"/>
    <w:next w:val="13"/>
    <w:link w:val="66"/>
    <w:qFormat/>
    <w:uiPriority w:val="0"/>
    <w:pPr>
      <w:ind w:firstLine="420" w:firstLineChars="100"/>
    </w:pPr>
  </w:style>
  <w:style w:type="character" w:customStyle="1" w:styleId="68">
    <w:name w:val="文档正文 Char"/>
    <w:link w:val="69"/>
    <w:qFormat/>
    <w:uiPriority w:val="0"/>
    <w:rPr>
      <w:rFonts w:ascii="Tahoma" w:hAnsi="Tahoma" w:eastAsia="仿宋_GB2312" w:cs="Times New Roman"/>
      <w:sz w:val="28"/>
      <w:lang w:val="en-US" w:eastAsia="zh-CN" w:bidi="ar-SA"/>
    </w:rPr>
  </w:style>
  <w:style w:type="paragraph" w:customStyle="1" w:styleId="69">
    <w:name w:val="文档正文"/>
    <w:basedOn w:val="1"/>
    <w:link w:val="68"/>
    <w:qFormat/>
    <w:uiPriority w:val="0"/>
    <w:pPr>
      <w:spacing w:line="360" w:lineRule="auto"/>
      <w:ind w:firstLine="480" w:firstLineChars="200"/>
    </w:pPr>
    <w:rPr>
      <w:rFonts w:ascii="Tahoma" w:hAnsi="Tahoma" w:eastAsia="仿宋_GB2312"/>
      <w:kern w:val="0"/>
      <w:sz w:val="28"/>
      <w:szCs w:val="20"/>
    </w:rPr>
  </w:style>
  <w:style w:type="character" w:customStyle="1" w:styleId="70">
    <w:name w:val="area_1"/>
    <w:qFormat/>
    <w:uiPriority w:val="0"/>
    <w:rPr>
      <w:rFonts w:ascii="宋体" w:hAnsi="宋体"/>
      <w:sz w:val="24"/>
    </w:rPr>
  </w:style>
  <w:style w:type="character" w:customStyle="1" w:styleId="71">
    <w:name w:val="Char Char Char"/>
    <w:qFormat/>
    <w:uiPriority w:val="0"/>
    <w:rPr>
      <w:rFonts w:ascii="宋体" w:hAnsi="Courier New" w:eastAsia="宋体" w:cs="Times New Roman"/>
      <w:sz w:val="21"/>
      <w:szCs w:val="21"/>
      <w:lang w:val="en-US" w:eastAsia="zh-CN" w:bidi="ar-SA"/>
    </w:rPr>
  </w:style>
  <w:style w:type="character" w:customStyle="1" w:styleId="72">
    <w:name w:val="font61"/>
    <w:basedOn w:val="31"/>
    <w:qFormat/>
    <w:uiPriority w:val="0"/>
    <w:rPr>
      <w:rFonts w:hint="eastAsia" w:ascii="宋体" w:hAnsi="宋体" w:eastAsia="宋体" w:cs="宋体"/>
      <w:b/>
      <w:color w:val="000000"/>
      <w:sz w:val="24"/>
      <w:szCs w:val="24"/>
      <w:u w:val="single"/>
    </w:rPr>
  </w:style>
  <w:style w:type="paragraph" w:customStyle="1" w:styleId="73">
    <w:name w:val="Char Char Char Char Char Char Char Char Char Char Char Char Char"/>
    <w:basedOn w:val="1"/>
    <w:qFormat/>
    <w:uiPriority w:val="0"/>
    <w:rPr>
      <w:rFonts w:ascii="Tahoma" w:hAnsi="Tahoma"/>
      <w:sz w:val="24"/>
      <w:szCs w:val="20"/>
    </w:rPr>
  </w:style>
  <w:style w:type="paragraph" w:customStyle="1" w:styleId="74">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75">
    <w:name w:val="Char Char"/>
    <w:basedOn w:val="1"/>
    <w:qFormat/>
    <w:uiPriority w:val="0"/>
    <w:rPr>
      <w:rFonts w:ascii="仿宋_GB2312" w:eastAsia="仿宋_GB2312"/>
      <w:b/>
      <w:sz w:val="32"/>
      <w:szCs w:val="32"/>
    </w:rPr>
  </w:style>
  <w:style w:type="paragraph" w:customStyle="1" w:styleId="76">
    <w:name w:val="Char Char Char Char Char Char Char Char Char Char Char Char Char1"/>
    <w:basedOn w:val="1"/>
    <w:qFormat/>
    <w:uiPriority w:val="0"/>
    <w:rPr>
      <w:rFonts w:ascii="Tahoma" w:hAnsi="Tahoma"/>
      <w:sz w:val="24"/>
      <w:szCs w:val="20"/>
    </w:rPr>
  </w:style>
  <w:style w:type="paragraph" w:customStyle="1" w:styleId="77">
    <w:name w:val="Char Char Char Char Char Char Char"/>
    <w:basedOn w:val="1"/>
    <w:qFormat/>
    <w:uiPriority w:val="0"/>
    <w:rPr>
      <w:rFonts w:ascii="仿宋_GB2312" w:eastAsia="仿宋_GB2312"/>
      <w:b/>
      <w:sz w:val="32"/>
      <w:szCs w:val="32"/>
    </w:rPr>
  </w:style>
  <w:style w:type="paragraph" w:customStyle="1" w:styleId="78">
    <w:name w:val="_Style 77"/>
    <w:qFormat/>
    <w:uiPriority w:val="0"/>
    <w:rPr>
      <w:rFonts w:ascii="Times New Roman" w:hAnsi="Times New Roman" w:eastAsia="宋体" w:cs="Times New Roman"/>
      <w:kern w:val="2"/>
      <w:sz w:val="21"/>
      <w:szCs w:val="24"/>
      <w:lang w:val="en-US" w:eastAsia="zh-CN" w:bidi="ar-SA"/>
    </w:rPr>
  </w:style>
  <w:style w:type="paragraph" w:customStyle="1" w:styleId="79">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简单回函地址"/>
    <w:basedOn w:val="1"/>
    <w:qFormat/>
    <w:uiPriority w:val="0"/>
  </w:style>
  <w:style w:type="paragraph" w:customStyle="1" w:styleId="81">
    <w:name w:val="Char Char Char Char Char Char Char1"/>
    <w:basedOn w:val="1"/>
    <w:qFormat/>
    <w:uiPriority w:val="0"/>
    <w:rPr>
      <w:rFonts w:ascii="仿宋_GB2312" w:eastAsia="仿宋_GB2312"/>
      <w:b/>
      <w:sz w:val="32"/>
      <w:szCs w:val="32"/>
    </w:rPr>
  </w:style>
  <w:style w:type="paragraph" w:customStyle="1" w:styleId="82">
    <w:name w:val="Char Char Char Char Char Char Char Char Char Char Char Char Char2"/>
    <w:basedOn w:val="1"/>
    <w:qFormat/>
    <w:uiPriority w:val="0"/>
    <w:rPr>
      <w:rFonts w:ascii="Tahoma" w:hAnsi="Tahoma"/>
      <w:sz w:val="24"/>
      <w:szCs w:val="20"/>
    </w:rPr>
  </w:style>
  <w:style w:type="paragraph" w:customStyle="1" w:styleId="83">
    <w:name w:val="Char Char Char Char1"/>
    <w:basedOn w:val="1"/>
    <w:qFormat/>
    <w:uiPriority w:val="0"/>
    <w:rPr>
      <w:rFonts w:ascii="Tahoma" w:hAnsi="Tahoma"/>
      <w:sz w:val="24"/>
      <w:szCs w:val="20"/>
    </w:rPr>
  </w:style>
  <w:style w:type="paragraph" w:customStyle="1" w:styleId="84">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85">
    <w:name w:val="保留正文"/>
    <w:basedOn w:val="12"/>
    <w:qFormat/>
    <w:uiPriority w:val="0"/>
    <w:pPr>
      <w:keepNext/>
      <w:spacing w:after="160"/>
    </w:pPr>
  </w:style>
  <w:style w:type="paragraph" w:customStyle="1" w:styleId="86">
    <w:name w:val="Char Char3"/>
    <w:basedOn w:val="1"/>
    <w:qFormat/>
    <w:uiPriority w:val="0"/>
    <w:rPr>
      <w:rFonts w:ascii="Tahoma" w:hAnsi="Tahoma"/>
      <w:sz w:val="24"/>
      <w:szCs w:val="20"/>
    </w:rPr>
  </w:style>
  <w:style w:type="paragraph" w:customStyle="1" w:styleId="8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0">
    <w:name w:val="_Style 61"/>
    <w:basedOn w:val="12"/>
    <w:next w:val="13"/>
    <w:qFormat/>
    <w:uiPriority w:val="0"/>
    <w:pPr>
      <w:ind w:firstLine="420" w:firstLineChars="100"/>
    </w:pPr>
  </w:style>
  <w:style w:type="paragraph" w:customStyle="1" w:styleId="91">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92">
    <w:name w:val="_Style 44"/>
    <w:basedOn w:val="9"/>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93">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94">
    <w:name w:val="Char1 Char Char Char"/>
    <w:basedOn w:val="1"/>
    <w:qFormat/>
    <w:uiPriority w:val="0"/>
    <w:rPr>
      <w:rFonts w:ascii="Tahoma" w:hAnsi="Tahoma"/>
      <w:sz w:val="24"/>
      <w:szCs w:val="20"/>
    </w:rPr>
  </w:style>
  <w:style w:type="paragraph" w:customStyle="1" w:styleId="95">
    <w:name w:val="[Normal]"/>
    <w:qFormat/>
    <w:uiPriority w:val="0"/>
    <w:rPr>
      <w:rFonts w:ascii="宋体" w:hAnsi="宋体" w:eastAsia="宋体" w:cs="Times New Roman"/>
      <w:sz w:val="24"/>
      <w:szCs w:val="22"/>
      <w:lang w:val="zh-CN" w:eastAsia="zh-CN" w:bidi="ar-SA"/>
    </w:rPr>
  </w:style>
  <w:style w:type="paragraph" w:customStyle="1" w:styleId="96">
    <w:name w:val="正文2"/>
    <w:basedOn w:val="1"/>
    <w:qFormat/>
    <w:uiPriority w:val="0"/>
    <w:pPr>
      <w:spacing w:before="156" w:line="360" w:lineRule="auto"/>
      <w:ind w:firstLine="510" w:firstLineChars="200"/>
    </w:pPr>
    <w:rPr>
      <w:sz w:val="24"/>
      <w:szCs w:val="20"/>
    </w:rPr>
  </w:style>
  <w:style w:type="paragraph" w:customStyle="1" w:styleId="97">
    <w:name w:val="正文－恩普"/>
    <w:basedOn w:val="9"/>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98">
    <w:name w:val="_Style 14"/>
    <w:basedOn w:val="12"/>
    <w:next w:val="13"/>
    <w:qFormat/>
    <w:uiPriority w:val="0"/>
    <w:pPr>
      <w:ind w:firstLine="420" w:firstLineChars="100"/>
    </w:pPr>
    <w:rPr>
      <w:rFonts w:ascii="Calibri" w:hAnsi="Calibri"/>
    </w:rPr>
  </w:style>
  <w:style w:type="paragraph" w:customStyle="1" w:styleId="99">
    <w:name w:val="Char Char7 Char"/>
    <w:basedOn w:val="1"/>
    <w:qFormat/>
    <w:uiPriority w:val="0"/>
    <w:pPr>
      <w:tabs>
        <w:tab w:val="left" w:pos="425"/>
      </w:tabs>
      <w:ind w:left="420" w:leftChars="200" w:firstLine="270" w:firstLineChars="150"/>
    </w:pPr>
  </w:style>
  <w:style w:type="paragraph" w:customStyle="1" w:styleId="100">
    <w:name w:val="Char Char Char Char"/>
    <w:basedOn w:val="10"/>
    <w:qFormat/>
    <w:uiPriority w:val="0"/>
    <w:rPr>
      <w:rFonts w:ascii="Tahoma" w:hAnsi="Tahoma"/>
      <w:sz w:val="24"/>
    </w:rPr>
  </w:style>
  <w:style w:type="table" w:customStyle="1" w:styleId="101">
    <w:name w:val="网格型1"/>
    <w:basedOn w:val="29"/>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表内文字"/>
    <w:basedOn w:val="1"/>
    <w:qFormat/>
    <w:uiPriority w:val="0"/>
    <w:pPr>
      <w:spacing w:line="240" w:lineRule="atLeast"/>
      <w:jc w:val="center"/>
    </w:pPr>
    <w:rPr>
      <w:rFonts w:ascii="Arial Unicode MS" w:hAnsi="Arial Unicode MS" w:cs="Arial Unicode MS"/>
      <w:b/>
      <w:bCs/>
      <w:kern w:val="0"/>
      <w:sz w:val="2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DC3E2-2EE2-42F3-84D5-9B9C0EBC55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23738</Words>
  <Characters>24432</Characters>
  <Lines>197</Lines>
  <Paragraphs>55</Paragraphs>
  <TotalTime>1</TotalTime>
  <ScaleCrop>false</ScaleCrop>
  <LinksUpToDate>false</LinksUpToDate>
  <CharactersWithSpaces>25706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2021-04-09T07:11:00Z</dcterms:created>
  <dc:creator>LCMZX</dc:creator>
  <cp:lastModifiedBy>王军辉</cp:lastModifiedBy>
  <cp:lastPrinted>2021-11-16T06:05:00Z</cp:lastPrinted>
  <dcterms:modified xsi:type="dcterms:W3CDTF">2022-08-03T06:10:12Z</dcterms:modified>
  <dc:title>温州市政府采购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51B14333273D44AEBA78252AADCE9169</vt:lpwstr>
  </property>
</Properties>
</file>