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textAlignment w:val="bottom"/>
        <w:rPr>
          <w:rFonts w:hint="eastAsia" w:ascii="新宋体" w:hAnsi="新宋体" w:eastAsia="新宋体" w:cs="新宋体"/>
          <w:b/>
          <w:bCs/>
          <w:color w:val="auto"/>
          <w:spacing w:val="120"/>
          <w:sz w:val="72"/>
          <w:szCs w:val="72"/>
          <w:highlight w:val="none"/>
        </w:rPr>
      </w:pPr>
    </w:p>
    <w:p>
      <w:pPr>
        <w:autoSpaceDE w:val="0"/>
        <w:autoSpaceDN w:val="0"/>
        <w:spacing w:line="500" w:lineRule="atLeast"/>
        <w:jc w:val="center"/>
        <w:textAlignment w:val="bottom"/>
        <w:rPr>
          <w:rFonts w:ascii="新宋体" w:hAnsi="新宋体" w:eastAsia="新宋体" w:cs="新宋体"/>
          <w:bCs/>
          <w:color w:val="auto"/>
          <w:sz w:val="84"/>
          <w:szCs w:val="84"/>
          <w:highlight w:val="none"/>
        </w:rPr>
      </w:pPr>
      <w:r>
        <w:rPr>
          <w:rFonts w:hint="eastAsia" w:ascii="新宋体" w:hAnsi="新宋体" w:eastAsia="新宋体" w:cs="新宋体"/>
          <w:b/>
          <w:bCs/>
          <w:color w:val="auto"/>
          <w:spacing w:val="120"/>
          <w:sz w:val="84"/>
          <w:szCs w:val="84"/>
          <w:highlight w:val="none"/>
        </w:rPr>
        <w:t>温州市国有企业</w:t>
      </w:r>
    </w:p>
    <w:p>
      <w:pPr>
        <w:spacing w:line="400" w:lineRule="atLeast"/>
        <w:jc w:val="center"/>
        <w:rPr>
          <w:rFonts w:ascii="新宋体" w:hAnsi="新宋体" w:eastAsia="新宋体" w:cs="新宋体"/>
          <w:b/>
          <w:color w:val="auto"/>
          <w:sz w:val="52"/>
          <w:highlight w:val="none"/>
        </w:rPr>
      </w:pPr>
    </w:p>
    <w:p>
      <w:pPr>
        <w:tabs>
          <w:tab w:val="left" w:pos="6660"/>
        </w:tabs>
        <w:spacing w:line="400" w:lineRule="atLeast"/>
        <w:jc w:val="center"/>
        <w:rPr>
          <w:rFonts w:ascii="新宋体" w:hAnsi="新宋体" w:eastAsia="新宋体" w:cs="新宋体"/>
          <w:b/>
          <w:color w:val="auto"/>
          <w:sz w:val="52"/>
          <w:highlight w:val="none"/>
        </w:rPr>
      </w:pPr>
    </w:p>
    <w:p>
      <w:pPr>
        <w:spacing w:line="400" w:lineRule="atLeast"/>
        <w:jc w:val="center"/>
        <w:rPr>
          <w:rFonts w:ascii="新宋体" w:hAnsi="新宋体" w:eastAsia="新宋体" w:cs="新宋体"/>
          <w:b/>
          <w:color w:val="auto"/>
          <w:sz w:val="52"/>
          <w:highlight w:val="none"/>
        </w:rPr>
      </w:pPr>
    </w:p>
    <w:p>
      <w:pPr>
        <w:spacing w:line="400" w:lineRule="atLeast"/>
        <w:jc w:val="center"/>
        <w:rPr>
          <w:rFonts w:ascii="新宋体" w:hAnsi="新宋体" w:eastAsia="新宋体" w:cs="新宋体"/>
          <w:b/>
          <w:color w:val="auto"/>
          <w:sz w:val="52"/>
          <w:highlight w:val="none"/>
        </w:rPr>
      </w:pPr>
    </w:p>
    <w:p>
      <w:pPr>
        <w:autoSpaceDE w:val="0"/>
        <w:autoSpaceDN w:val="0"/>
        <w:spacing w:line="500" w:lineRule="atLeast"/>
        <w:jc w:val="center"/>
        <w:textAlignment w:val="bottom"/>
        <w:rPr>
          <w:rFonts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采 购 文 件</w:t>
      </w:r>
    </w:p>
    <w:p>
      <w:pPr>
        <w:spacing w:line="400" w:lineRule="atLeast"/>
        <w:jc w:val="center"/>
        <w:rPr>
          <w:rFonts w:ascii="新宋体" w:hAnsi="新宋体" w:eastAsia="新宋体" w:cs="新宋体"/>
          <w:b/>
          <w:color w:val="auto"/>
          <w:sz w:val="52"/>
          <w:highlight w:val="none"/>
        </w:rPr>
      </w:pPr>
    </w:p>
    <w:p>
      <w:pPr>
        <w:spacing w:line="400" w:lineRule="atLeast"/>
        <w:jc w:val="center"/>
        <w:rPr>
          <w:rFonts w:ascii="新宋体" w:hAnsi="新宋体" w:eastAsia="新宋体" w:cs="新宋体"/>
          <w:b/>
          <w:color w:val="auto"/>
          <w:sz w:val="52"/>
          <w:highlight w:val="none"/>
        </w:rPr>
      </w:pPr>
    </w:p>
    <w:p>
      <w:pPr>
        <w:spacing w:line="400" w:lineRule="atLeast"/>
        <w:jc w:val="center"/>
        <w:rPr>
          <w:rFonts w:ascii="新宋体" w:hAnsi="新宋体" w:eastAsia="新宋体" w:cs="新宋体"/>
          <w:b/>
          <w:color w:val="auto"/>
          <w:sz w:val="52"/>
          <w:highlight w:val="none"/>
        </w:rPr>
      </w:pPr>
    </w:p>
    <w:p>
      <w:pPr>
        <w:tabs>
          <w:tab w:val="left" w:pos="4860"/>
        </w:tabs>
        <w:spacing w:line="600" w:lineRule="exact"/>
        <w:ind w:right="1143" w:firstLine="2224" w:firstLineChars="616"/>
        <w:jc w:val="left"/>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pacing w:val="40"/>
          <w:sz w:val="28"/>
          <w:szCs w:val="28"/>
          <w:highlight w:val="none"/>
        </w:rPr>
        <w:t>项目编号：</w:t>
      </w:r>
      <w:r>
        <w:rPr>
          <w:rFonts w:hint="eastAsia" w:ascii="新宋体" w:hAnsi="新宋体" w:eastAsia="新宋体" w:cs="新宋体"/>
          <w:b/>
          <w:color w:val="auto"/>
          <w:spacing w:val="40"/>
          <w:sz w:val="28"/>
          <w:szCs w:val="28"/>
          <w:highlight w:val="none"/>
          <w:lang w:eastAsia="zh-CN"/>
        </w:rPr>
        <w:t>WGSS-JFJT-Z-2022029</w:t>
      </w:r>
    </w:p>
    <w:p>
      <w:pPr>
        <w:tabs>
          <w:tab w:val="left" w:pos="2100"/>
          <w:tab w:val="left" w:pos="4860"/>
        </w:tabs>
        <w:spacing w:line="600" w:lineRule="exact"/>
        <w:ind w:left="4509" w:leftChars="1050" w:right="1143" w:hanging="2304" w:hangingChars="638"/>
        <w:jc w:val="left"/>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pacing w:val="40"/>
          <w:sz w:val="28"/>
          <w:szCs w:val="28"/>
          <w:highlight w:val="none"/>
        </w:rPr>
        <w:t>项目名称：</w:t>
      </w:r>
      <w:r>
        <w:rPr>
          <w:rFonts w:hint="eastAsia" w:ascii="新宋体" w:hAnsi="新宋体" w:eastAsia="新宋体" w:cs="新宋体"/>
          <w:b/>
          <w:color w:val="auto"/>
          <w:sz w:val="28"/>
          <w:szCs w:val="28"/>
          <w:highlight w:val="none"/>
          <w:lang w:eastAsia="zh-CN"/>
        </w:rPr>
        <w:t>2台全站仪</w:t>
      </w:r>
    </w:p>
    <w:p>
      <w:pPr>
        <w:tabs>
          <w:tab w:val="left" w:pos="4860"/>
        </w:tabs>
        <w:spacing w:line="600" w:lineRule="exact"/>
        <w:ind w:right="1143" w:firstLine="2224" w:firstLineChars="616"/>
        <w:jc w:val="left"/>
        <w:rPr>
          <w:rFonts w:ascii="新宋体" w:hAnsi="新宋体" w:eastAsia="新宋体" w:cs="新宋体"/>
          <w:b/>
          <w:color w:val="auto"/>
          <w:spacing w:val="40"/>
          <w:sz w:val="28"/>
          <w:szCs w:val="28"/>
          <w:highlight w:val="none"/>
        </w:rPr>
      </w:pPr>
      <w:r>
        <w:rPr>
          <w:rFonts w:hint="eastAsia" w:ascii="新宋体" w:hAnsi="新宋体" w:eastAsia="新宋体" w:cs="新宋体"/>
          <w:b/>
          <w:color w:val="auto"/>
          <w:spacing w:val="40"/>
          <w:sz w:val="28"/>
          <w:szCs w:val="28"/>
          <w:highlight w:val="none"/>
        </w:rPr>
        <w:t>采购方式：公 开 招 标</w:t>
      </w:r>
    </w:p>
    <w:p>
      <w:pPr>
        <w:spacing w:line="400" w:lineRule="atLeast"/>
        <w:rPr>
          <w:rFonts w:ascii="新宋体" w:hAnsi="新宋体" w:eastAsia="新宋体" w:cs="新宋体"/>
          <w:b/>
          <w:color w:val="auto"/>
          <w:sz w:val="52"/>
          <w:highlight w:val="none"/>
        </w:rPr>
      </w:pPr>
    </w:p>
    <w:p>
      <w:pPr>
        <w:spacing w:line="400" w:lineRule="atLeast"/>
        <w:jc w:val="center"/>
        <w:rPr>
          <w:rFonts w:ascii="新宋体" w:hAnsi="新宋体" w:eastAsia="新宋体" w:cs="新宋体"/>
          <w:b/>
          <w:color w:val="auto"/>
          <w:sz w:val="52"/>
          <w:highlight w:val="none"/>
        </w:rPr>
      </w:pPr>
    </w:p>
    <w:p>
      <w:pPr>
        <w:spacing w:line="400" w:lineRule="atLeast"/>
        <w:jc w:val="center"/>
        <w:rPr>
          <w:rFonts w:ascii="新宋体" w:hAnsi="新宋体" w:eastAsia="新宋体" w:cs="新宋体"/>
          <w:b/>
          <w:color w:val="auto"/>
          <w:sz w:val="52"/>
          <w:highlight w:val="none"/>
        </w:rPr>
      </w:pPr>
    </w:p>
    <w:p>
      <w:pPr>
        <w:spacing w:line="600" w:lineRule="exact"/>
        <w:ind w:firstLine="2159" w:firstLineChars="717"/>
        <w:rPr>
          <w:rFonts w:ascii="新宋体" w:hAnsi="新宋体" w:eastAsia="新宋体" w:cs="新宋体"/>
          <w:b/>
          <w:color w:val="auto"/>
          <w:sz w:val="30"/>
          <w:szCs w:val="30"/>
          <w:highlight w:val="none"/>
        </w:rPr>
      </w:pPr>
    </w:p>
    <w:p>
      <w:pPr>
        <w:pStyle w:val="11"/>
        <w:ind w:firstLine="200"/>
        <w:rPr>
          <w:rFonts w:ascii="新宋体" w:hAnsi="新宋体" w:eastAsia="新宋体"/>
          <w:color w:val="auto"/>
          <w:highlight w:val="none"/>
        </w:rPr>
      </w:pPr>
    </w:p>
    <w:p>
      <w:pPr>
        <w:spacing w:line="600" w:lineRule="exact"/>
        <w:ind w:firstLine="2159" w:firstLineChars="717"/>
        <w:rPr>
          <w:rFonts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采 购 人：</w:t>
      </w:r>
      <w:r>
        <w:rPr>
          <w:rFonts w:hint="eastAsia" w:ascii="新宋体" w:hAnsi="新宋体" w:eastAsia="新宋体" w:cs="新宋体"/>
          <w:b/>
          <w:color w:val="auto"/>
          <w:sz w:val="30"/>
          <w:szCs w:val="30"/>
          <w:highlight w:val="none"/>
          <w:lang w:eastAsia="zh-CN"/>
        </w:rPr>
        <w:t>温州信达交通工程试验检测有限公司</w:t>
      </w:r>
      <w:r>
        <w:rPr>
          <w:rFonts w:hint="eastAsia" w:ascii="新宋体" w:hAnsi="新宋体" w:eastAsia="新宋体" w:cs="新宋体"/>
          <w:b/>
          <w:color w:val="auto"/>
          <w:sz w:val="30"/>
          <w:szCs w:val="30"/>
          <w:highlight w:val="none"/>
        </w:rPr>
        <w:t xml:space="preserve"> </w:t>
      </w:r>
    </w:p>
    <w:p>
      <w:pPr>
        <w:spacing w:line="600" w:lineRule="exact"/>
        <w:ind w:firstLine="2159" w:firstLineChars="717"/>
        <w:rPr>
          <w:rFonts w:ascii="新宋体" w:hAnsi="新宋体" w:eastAsia="新宋体" w:cs="新宋体"/>
          <w:b/>
          <w:color w:val="auto"/>
          <w:spacing w:val="40"/>
          <w:sz w:val="30"/>
          <w:szCs w:val="30"/>
          <w:highlight w:val="none"/>
        </w:rPr>
      </w:pPr>
      <w:r>
        <w:rPr>
          <w:rFonts w:hint="eastAsia" w:ascii="新宋体" w:hAnsi="新宋体" w:eastAsia="新宋体" w:cs="新宋体"/>
          <w:b/>
          <w:color w:val="auto"/>
          <w:sz w:val="30"/>
          <w:szCs w:val="30"/>
          <w:highlight w:val="none"/>
        </w:rPr>
        <w:t>采购代理：温州市智信招标代理有限公司</w:t>
      </w:r>
    </w:p>
    <w:p>
      <w:pPr>
        <w:spacing w:line="600" w:lineRule="exact"/>
        <w:jc w:val="center"/>
        <w:rPr>
          <w:rFonts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二</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七</w:t>
      </w:r>
      <w:r>
        <w:rPr>
          <w:rFonts w:hint="eastAsia" w:ascii="新宋体" w:hAnsi="新宋体" w:eastAsia="新宋体" w:cs="新宋体"/>
          <w:b/>
          <w:color w:val="auto"/>
          <w:spacing w:val="40"/>
          <w:sz w:val="30"/>
          <w:szCs w:val="30"/>
          <w:highlight w:val="none"/>
        </w:rPr>
        <w:t>月</w:t>
      </w:r>
    </w:p>
    <w:p>
      <w:pPr>
        <w:spacing w:line="600" w:lineRule="exact"/>
        <w:jc w:val="center"/>
        <w:rPr>
          <w:rFonts w:ascii="新宋体" w:hAnsi="新宋体" w:eastAsia="新宋体" w:cs="新宋体"/>
          <w:b/>
          <w:bCs/>
          <w:color w:val="auto"/>
          <w:sz w:val="32"/>
          <w:szCs w:val="32"/>
          <w:highlight w:val="none"/>
        </w:rPr>
        <w:sectPr>
          <w:headerReference r:id="rId5" w:type="first"/>
          <w:headerReference r:id="rId3" w:type="default"/>
          <w:footerReference r:id="rId6" w:type="default"/>
          <w:headerReference r:id="rId4" w:type="even"/>
          <w:footerReference r:id="rId7" w:type="even"/>
          <w:pgSz w:w="11900" w:h="16840"/>
          <w:pgMar w:top="1134" w:right="1134" w:bottom="1134" w:left="1134" w:header="850" w:footer="850" w:gutter="0"/>
          <w:cols w:space="720" w:num="1"/>
          <w:titlePg/>
          <w:docGrid w:linePitch="360" w:charSpace="0"/>
        </w:sectPr>
      </w:pPr>
    </w:p>
    <w:p>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pPr>
        <w:pStyle w:val="11"/>
        <w:ind w:firstLine="200"/>
        <w:rPr>
          <w:rFonts w:ascii="新宋体" w:hAnsi="新宋体" w:eastAsia="新宋体"/>
          <w:color w:val="auto"/>
          <w:highlight w:val="none"/>
        </w:rPr>
      </w:pPr>
    </w:p>
    <w:p>
      <w:pPr>
        <w:pStyle w:val="19"/>
        <w:tabs>
          <w:tab w:val="right" w:leader="dot" w:pos="9638"/>
          <w:tab w:val="clear" w:pos="9628"/>
        </w:tabs>
        <w:rPr>
          <w:color w:val="auto"/>
          <w:highlight w:val="none"/>
        </w:rPr>
      </w:pPr>
      <w:r>
        <w:rPr>
          <w:rFonts w:hint="eastAsia" w:ascii="新宋体" w:hAnsi="新宋体" w:eastAsia="新宋体" w:cs="宋体"/>
          <w:color w:val="auto"/>
          <w:highlight w:val="none"/>
        </w:rPr>
        <w:fldChar w:fldCharType="begin"/>
      </w:r>
      <w:r>
        <w:rPr>
          <w:rFonts w:hint="eastAsia" w:ascii="新宋体" w:hAnsi="新宋体" w:eastAsia="新宋体" w:cs="宋体"/>
          <w:color w:val="auto"/>
          <w:highlight w:val="none"/>
        </w:rPr>
        <w:instrText xml:space="preserve"> TOC \o "1-3" \h \z \u </w:instrText>
      </w:r>
      <w:r>
        <w:rPr>
          <w:rFonts w:hint="eastAsia" w:ascii="新宋体" w:hAnsi="新宋体" w:eastAsia="新宋体" w:cs="宋体"/>
          <w:color w:val="auto"/>
          <w:highlight w:val="none"/>
        </w:rPr>
        <w:fldChar w:fldCharType="separate"/>
      </w:r>
      <w:r>
        <w:rPr>
          <w:rFonts w:hint="eastAsia" w:ascii="新宋体" w:hAnsi="新宋体" w:eastAsia="新宋体" w:cs="宋体"/>
          <w:color w:val="auto"/>
          <w:highlight w:val="none"/>
        </w:rPr>
        <w:fldChar w:fldCharType="begin"/>
      </w:r>
      <w:r>
        <w:rPr>
          <w:rFonts w:hint="eastAsia" w:ascii="新宋体" w:hAnsi="新宋体" w:eastAsia="新宋体" w:cs="宋体"/>
          <w:color w:val="auto"/>
          <w:highlight w:val="none"/>
        </w:rPr>
        <w:instrText xml:space="preserve"> HYPERLINK \l _Toc32649 </w:instrText>
      </w:r>
      <w:r>
        <w:rPr>
          <w:rFonts w:hint="eastAsia" w:ascii="新宋体" w:hAnsi="新宋体" w:eastAsia="新宋体" w:cs="宋体"/>
          <w:color w:val="auto"/>
          <w:highlight w:val="none"/>
        </w:rPr>
        <w:fldChar w:fldCharType="separate"/>
      </w:r>
      <w:r>
        <w:rPr>
          <w:rFonts w:hint="eastAsia" w:ascii="新宋体" w:hAnsi="新宋体" w:eastAsia="新宋体" w:cs="宋体"/>
          <w:color w:val="auto"/>
          <w:szCs w:val="32"/>
          <w:highlight w:val="none"/>
          <w:lang w:eastAsia="zh-CN"/>
        </w:rPr>
        <w:t>温州市交发集团所属温州信达交通工程试验检测有限公司</w:t>
      </w:r>
      <w:r>
        <w:rPr>
          <w:rFonts w:hint="eastAsia" w:ascii="新宋体" w:hAnsi="新宋体" w:eastAsia="新宋体" w:cs="宋体"/>
          <w:color w:val="auto"/>
          <w:szCs w:val="32"/>
          <w:highlight w:val="none"/>
          <w:lang w:val="en-US" w:eastAsia="zh-CN"/>
        </w:rPr>
        <w:t>关于</w:t>
      </w:r>
      <w:r>
        <w:rPr>
          <w:rFonts w:hint="eastAsia" w:ascii="新宋体" w:hAnsi="新宋体" w:eastAsia="新宋体" w:cs="新宋体"/>
          <w:color w:val="auto"/>
          <w:szCs w:val="32"/>
          <w:highlight w:val="none"/>
          <w:lang w:eastAsia="zh-CN"/>
        </w:rPr>
        <w:t>2台全站仪</w:t>
      </w:r>
      <w:r>
        <w:rPr>
          <w:rFonts w:hint="eastAsia" w:ascii="新宋体" w:hAnsi="新宋体" w:eastAsia="新宋体" w:cs="新宋体"/>
          <w:color w:val="auto"/>
          <w:szCs w:val="32"/>
          <w:highlight w:val="none"/>
        </w:rPr>
        <w:t>项目（自主）的采购公告</w:t>
      </w:r>
      <w:r>
        <w:rPr>
          <w:color w:val="auto"/>
          <w:highlight w:val="none"/>
        </w:rPr>
        <w:tab/>
      </w:r>
      <w:r>
        <w:rPr>
          <w:color w:val="auto"/>
          <w:highlight w:val="none"/>
        </w:rPr>
        <w:fldChar w:fldCharType="begin"/>
      </w:r>
      <w:r>
        <w:rPr>
          <w:color w:val="auto"/>
          <w:highlight w:val="none"/>
        </w:rPr>
        <w:instrText xml:space="preserve"> PAGEREF _Toc32649 \h </w:instrText>
      </w:r>
      <w:r>
        <w:rPr>
          <w:color w:val="auto"/>
          <w:highlight w:val="none"/>
        </w:rPr>
        <w:fldChar w:fldCharType="separate"/>
      </w:r>
      <w:r>
        <w:rPr>
          <w:color w:val="auto"/>
          <w:highlight w:val="none"/>
        </w:rPr>
        <w:t>3</w:t>
      </w:r>
      <w:r>
        <w:rPr>
          <w:color w:val="auto"/>
          <w:highlight w:val="none"/>
        </w:rPr>
        <w:fldChar w:fldCharType="end"/>
      </w:r>
      <w:r>
        <w:rPr>
          <w:rFonts w:hint="eastAsia" w:ascii="新宋体" w:hAnsi="新宋体" w:eastAsia="新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_Toc29682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lang w:eastAsia="zh-CN"/>
        </w:rPr>
        <w:t>温州市交发集团所属温州信达交通工程试验检测有限公司</w:t>
      </w:r>
      <w:r>
        <w:rPr>
          <w:rFonts w:hint="eastAsia" w:ascii="宋体" w:hAnsi="宋体" w:eastAsia="宋体" w:cs="宋体"/>
          <w:color w:val="auto"/>
          <w:szCs w:val="32"/>
          <w:highlight w:val="none"/>
          <w:lang w:val="en-US" w:eastAsia="zh-CN"/>
        </w:rPr>
        <w:t>关于</w:t>
      </w:r>
      <w:r>
        <w:rPr>
          <w:rFonts w:hint="eastAsia" w:ascii="宋体" w:hAnsi="宋体" w:eastAsia="宋体" w:cs="宋体"/>
          <w:color w:val="auto"/>
          <w:szCs w:val="32"/>
          <w:highlight w:val="none"/>
          <w:lang w:eastAsia="zh-CN"/>
        </w:rPr>
        <w:t>2台全站仪</w:t>
      </w:r>
      <w:r>
        <w:rPr>
          <w:rFonts w:hint="eastAsia" w:ascii="宋体" w:hAnsi="宋体" w:eastAsia="宋体" w:cs="宋体"/>
          <w:color w:val="auto"/>
          <w:szCs w:val="32"/>
          <w:highlight w:val="none"/>
        </w:rPr>
        <w:t>项目（自主）的征求意见公示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lang w:eastAsia="zh-CN"/>
        </w:rPr>
        <w:t>投标供应商</w:t>
      </w:r>
      <w:r>
        <w:rPr>
          <w:rFonts w:hint="eastAsia" w:ascii="宋体" w:hAnsi="宋体" w:eastAsia="宋体" w:cs="宋体"/>
          <w:color w:val="auto"/>
          <w:szCs w:val="36"/>
          <w:highlight w:val="none"/>
        </w:rPr>
        <w:t>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_Toc20590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 xml:space="preserve">第一部分 </w:t>
      </w:r>
      <w:r>
        <w:rPr>
          <w:rFonts w:hint="eastAsia" w:ascii="宋体" w:hAnsi="宋体" w:eastAsia="宋体" w:cs="宋体"/>
          <w:color w:val="auto"/>
          <w:szCs w:val="36"/>
          <w:highlight w:val="none"/>
          <w:lang w:val="en-US" w:eastAsia="zh-CN"/>
        </w:rPr>
        <w:t xml:space="preserve">  </w:t>
      </w:r>
      <w:r>
        <w:rPr>
          <w:rFonts w:hint="eastAsia" w:ascii="宋体" w:hAnsi="宋体" w:eastAsia="宋体" w:cs="宋体"/>
          <w:color w:val="auto"/>
          <w:szCs w:val="36"/>
          <w:highlight w:val="none"/>
          <w:lang w:eastAsia="zh-CN"/>
        </w:rPr>
        <w:t>投标供应商</w:t>
      </w:r>
      <w:r>
        <w:rPr>
          <w:rFonts w:hint="eastAsia" w:ascii="宋体" w:hAnsi="宋体" w:eastAsia="宋体" w:cs="宋体"/>
          <w:color w:val="auto"/>
          <w:szCs w:val="36"/>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_Toc24612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6"/>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_Toc24612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_Toc20896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6"/>
          <w:highlight w:val="none"/>
        </w:rPr>
        <w:t>二、 采购文件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_Toc10305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6"/>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_Toc15440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6"/>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_Toc15440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6"/>
          <w:highlight w:val="none"/>
        </w:rPr>
        <w:t>五、 开标和评标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_Toc14427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6"/>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_Toc5826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第二部分   合同格式及合同主要条款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第三部分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第四部分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9638"/>
        </w:tabs>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HYPERLINK \l _Toc4002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6"/>
          <w:highlight w:val="none"/>
        </w:rPr>
        <w:t>第五部分   评标原则及方法</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_Toc4002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46</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fldChar w:fldCharType="end"/>
      </w:r>
    </w:p>
    <w:p>
      <w:pPr>
        <w:pStyle w:val="19"/>
        <w:tabs>
          <w:tab w:val="right" w:leader="dot" w:pos="9972"/>
          <w:tab w:val="clear" w:pos="9628"/>
        </w:tabs>
        <w:rPr>
          <w:rFonts w:ascii="新宋体" w:hAnsi="新宋体" w:eastAsia="新宋体" w:cs="新宋体"/>
          <w:b/>
          <w:bCs w:val="0"/>
          <w:color w:val="auto"/>
          <w:sz w:val="22"/>
          <w:szCs w:val="22"/>
          <w:highlight w:val="none"/>
        </w:rPr>
      </w:pPr>
      <w:r>
        <w:rPr>
          <w:rFonts w:hint="eastAsia" w:ascii="新宋体" w:hAnsi="新宋体" w:eastAsia="新宋体" w:cs="宋体"/>
          <w:color w:val="auto"/>
          <w:highlight w:val="none"/>
        </w:rPr>
        <w:fldChar w:fldCharType="end"/>
      </w:r>
    </w:p>
    <w:p>
      <w:pPr>
        <w:spacing w:line="5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注：采购文件中加“▲”且加下划线的条款，为采购的实质性要求和条件，着重提醒各</w:t>
      </w:r>
      <w:r>
        <w:rPr>
          <w:rFonts w:hint="eastAsia" w:ascii="新宋体" w:hAnsi="新宋体" w:eastAsia="新宋体" w:cs="新宋体"/>
          <w:b/>
          <w:bCs/>
          <w:color w:val="auto"/>
          <w:sz w:val="22"/>
          <w:szCs w:val="22"/>
          <w:highlight w:val="none"/>
          <w:lang w:eastAsia="zh-CN"/>
        </w:rPr>
        <w:t>投标供应商</w:t>
      </w:r>
      <w:r>
        <w:rPr>
          <w:rFonts w:hint="eastAsia" w:ascii="新宋体" w:hAnsi="新宋体" w:eastAsia="新宋体" w:cs="新宋体"/>
          <w:b/>
          <w:bCs/>
          <w:color w:val="auto"/>
          <w:sz w:val="22"/>
          <w:szCs w:val="22"/>
          <w:highlight w:val="none"/>
        </w:rPr>
        <w:t>注意，并认真查看采购文件中的每一个条款及要求，因误读采购文件而造成的后果，采购人概不负责。</w:t>
      </w:r>
    </w:p>
    <w:p>
      <w:pPr>
        <w:spacing w:line="560" w:lineRule="exact"/>
        <w:rPr>
          <w:rFonts w:ascii="新宋体" w:hAnsi="新宋体" w:eastAsia="新宋体" w:cs="新宋体"/>
          <w:b/>
          <w:bCs/>
          <w:color w:val="auto"/>
          <w:sz w:val="22"/>
          <w:szCs w:val="22"/>
          <w:highlight w:val="none"/>
        </w:rPr>
      </w:pPr>
    </w:p>
    <w:p>
      <w:pPr>
        <w:spacing w:line="480" w:lineRule="auto"/>
        <w:jc w:val="right"/>
        <w:rPr>
          <w:rFonts w:ascii="新宋体" w:hAnsi="新宋体" w:eastAsia="新宋体" w:cs="新宋体"/>
          <w:color w:val="auto"/>
          <w:sz w:val="22"/>
          <w:szCs w:val="22"/>
          <w:highlight w:val="none"/>
        </w:rPr>
      </w:pPr>
    </w:p>
    <w:p>
      <w:pPr>
        <w:pStyle w:val="3"/>
        <w:spacing w:line="360" w:lineRule="auto"/>
        <w:rPr>
          <w:rFonts w:hint="eastAsia" w:ascii="新宋体" w:hAnsi="新宋体" w:eastAsia="新宋体" w:cs="新宋体"/>
          <w:color w:val="auto"/>
          <w:sz w:val="32"/>
          <w:szCs w:val="32"/>
          <w:highlight w:val="none"/>
        </w:rPr>
      </w:pPr>
      <w:bookmarkStart w:id="0" w:name="_Toc434310670"/>
      <w:bookmarkStart w:id="1" w:name="_Toc15028"/>
      <w:bookmarkStart w:id="2" w:name="_Toc462130148"/>
      <w:r>
        <w:rPr>
          <w:rFonts w:hint="eastAsia" w:ascii="新宋体" w:hAnsi="新宋体" w:eastAsia="新宋体" w:cs="宋体"/>
          <w:color w:val="auto"/>
          <w:sz w:val="32"/>
          <w:szCs w:val="32"/>
          <w:highlight w:val="none"/>
        </w:rPr>
        <w:br w:type="page"/>
      </w:r>
      <w:bookmarkStart w:id="3" w:name="_Toc71374667"/>
      <w:bookmarkStart w:id="4" w:name="_Toc32649"/>
      <w:r>
        <w:rPr>
          <w:rFonts w:hint="eastAsia" w:ascii="新宋体" w:hAnsi="新宋体" w:eastAsia="新宋体" w:cs="宋体"/>
          <w:color w:val="auto"/>
          <w:sz w:val="32"/>
          <w:szCs w:val="32"/>
          <w:highlight w:val="none"/>
          <w:lang w:eastAsia="zh-CN"/>
        </w:rPr>
        <w:t>温州市交发集团所属温州信达交通工程试验检测有限公司</w:t>
      </w:r>
      <w:r>
        <w:rPr>
          <w:rFonts w:hint="eastAsia" w:ascii="新宋体" w:hAnsi="新宋体" w:eastAsia="新宋体" w:cs="宋体"/>
          <w:color w:val="auto"/>
          <w:sz w:val="32"/>
          <w:szCs w:val="32"/>
          <w:highlight w:val="none"/>
          <w:lang w:val="en-US" w:eastAsia="zh-CN"/>
        </w:rPr>
        <w:t>关于</w:t>
      </w:r>
      <w:r>
        <w:rPr>
          <w:rFonts w:hint="eastAsia" w:ascii="新宋体" w:hAnsi="新宋体" w:eastAsia="新宋体" w:cs="新宋体"/>
          <w:color w:val="auto"/>
          <w:sz w:val="32"/>
          <w:szCs w:val="32"/>
          <w:highlight w:val="none"/>
          <w:lang w:eastAsia="zh-CN"/>
        </w:rPr>
        <w:t>2台全站仪</w:t>
      </w:r>
      <w:r>
        <w:rPr>
          <w:rFonts w:hint="eastAsia" w:ascii="新宋体" w:hAnsi="新宋体" w:eastAsia="新宋体" w:cs="新宋体"/>
          <w:color w:val="auto"/>
          <w:sz w:val="32"/>
          <w:szCs w:val="32"/>
          <w:highlight w:val="none"/>
        </w:rPr>
        <w:t>项目（自主）的采购公告</w:t>
      </w:r>
      <w:bookmarkEnd w:id="0"/>
      <w:bookmarkEnd w:id="1"/>
      <w:bookmarkEnd w:id="2"/>
      <w:bookmarkEnd w:id="3"/>
      <w:bookmarkEnd w:id="4"/>
    </w:p>
    <w:p>
      <w:pPr>
        <w:pStyle w:val="11"/>
        <w:spacing w:after="0" w:line="360" w:lineRule="auto"/>
        <w:ind w:firstLine="440" w:firstLineChars="200"/>
        <w:rPr>
          <w:rFonts w:hint="eastAsia" w:ascii="宋体" w:hAnsi="宋体" w:eastAsia="宋体" w:cs="Yu Mincho Light"/>
          <w:color w:val="auto"/>
          <w:sz w:val="22"/>
          <w:szCs w:val="22"/>
          <w:highlight w:val="none"/>
        </w:rPr>
      </w:pPr>
      <w:r>
        <w:rPr>
          <w:rFonts w:hint="eastAsia" w:ascii="宋体" w:hAnsi="宋体" w:eastAsia="宋体" w:cs="Yu Mincho Light"/>
          <w:color w:val="auto"/>
          <w:sz w:val="22"/>
          <w:szCs w:val="22"/>
          <w:highlight w:val="none"/>
        </w:rPr>
        <w:t>根据《温州市市属国有企业采购管理办法（试行）》等有关规定，温州市</w:t>
      </w:r>
      <w:r>
        <w:rPr>
          <w:rFonts w:hint="eastAsia" w:ascii="宋体" w:hAnsi="宋体" w:eastAsia="宋体" w:cs="Yu Mincho Light"/>
          <w:color w:val="auto"/>
          <w:sz w:val="22"/>
          <w:szCs w:val="22"/>
          <w:highlight w:val="none"/>
          <w:lang w:val="en-US" w:eastAsia="zh-CN"/>
        </w:rPr>
        <w:t>智信招标代理</w:t>
      </w:r>
      <w:r>
        <w:rPr>
          <w:rFonts w:hint="eastAsia" w:ascii="宋体" w:hAnsi="宋体" w:eastAsia="宋体" w:cs="Yu Mincho Light"/>
          <w:color w:val="auto"/>
          <w:sz w:val="22"/>
          <w:szCs w:val="22"/>
          <w:highlight w:val="none"/>
        </w:rPr>
        <w:t>有限公司受</w:t>
      </w:r>
      <w:r>
        <w:rPr>
          <w:rFonts w:hint="eastAsia" w:ascii="宋体" w:hAnsi="宋体" w:eastAsia="宋体" w:cs="Yu Mincho Light"/>
          <w:color w:val="auto"/>
          <w:sz w:val="22"/>
          <w:szCs w:val="22"/>
          <w:highlight w:val="none"/>
          <w:lang w:eastAsia="zh-CN"/>
        </w:rPr>
        <w:t>温州信达交通工程试验检测有限公司</w:t>
      </w:r>
      <w:r>
        <w:rPr>
          <w:rFonts w:hint="eastAsia" w:ascii="宋体" w:hAnsi="宋体" w:eastAsia="宋体" w:cs="Yu Mincho Light"/>
          <w:color w:val="auto"/>
          <w:sz w:val="22"/>
          <w:szCs w:val="22"/>
          <w:highlight w:val="none"/>
        </w:rPr>
        <w:t>委托，就</w:t>
      </w:r>
      <w:r>
        <w:rPr>
          <w:rFonts w:hint="eastAsia" w:ascii="宋体" w:hAnsi="宋体" w:eastAsia="宋体" w:cs="Yu Mincho Light"/>
          <w:color w:val="auto"/>
          <w:sz w:val="22"/>
          <w:szCs w:val="22"/>
          <w:highlight w:val="none"/>
          <w:lang w:eastAsia="zh-CN"/>
        </w:rPr>
        <w:t>2台全站仪</w:t>
      </w:r>
      <w:r>
        <w:rPr>
          <w:rFonts w:hint="eastAsia" w:ascii="宋体" w:hAnsi="宋体" w:eastAsia="宋体" w:cs="Yu Mincho Light"/>
          <w:color w:val="auto"/>
          <w:sz w:val="22"/>
          <w:szCs w:val="22"/>
          <w:highlight w:val="none"/>
        </w:rPr>
        <w:t>项目以公开招标方式进行国企采购，欢迎国内合格的供应商前来投标。</w:t>
      </w:r>
    </w:p>
    <w:p>
      <w:pPr>
        <w:rPr>
          <w:rFonts w:hint="eastAsia"/>
          <w:color w:val="auto"/>
          <w:highlight w:val="none"/>
        </w:rPr>
      </w:pP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一、公告类型：</w:t>
      </w:r>
      <w:r>
        <w:rPr>
          <w:rFonts w:hint="eastAsia" w:ascii="新宋体" w:hAnsi="新宋体" w:eastAsia="新宋体" w:cs="新宋体"/>
          <w:bCs/>
          <w:color w:val="auto"/>
          <w:kern w:val="0"/>
          <w:sz w:val="22"/>
          <w:szCs w:val="22"/>
          <w:highlight w:val="none"/>
        </w:rPr>
        <w:t>采购公告</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二、采购方式：</w:t>
      </w:r>
      <w:r>
        <w:rPr>
          <w:rFonts w:hint="eastAsia" w:ascii="新宋体" w:hAnsi="新宋体" w:eastAsia="新宋体" w:cs="新宋体"/>
          <w:bCs/>
          <w:color w:val="auto"/>
          <w:kern w:val="0"/>
          <w:sz w:val="22"/>
          <w:szCs w:val="22"/>
          <w:highlight w:val="none"/>
        </w:rPr>
        <w:t>公开招标</w:t>
      </w:r>
    </w:p>
    <w:p>
      <w:pPr>
        <w:widowControl/>
        <w:spacing w:line="360" w:lineRule="auto"/>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rPr>
        <w:t>三、项目编号：</w:t>
      </w:r>
      <w:r>
        <w:rPr>
          <w:rFonts w:hint="eastAsia" w:ascii="新宋体" w:hAnsi="新宋体" w:eastAsia="新宋体" w:cs="新宋体"/>
          <w:color w:val="auto"/>
          <w:spacing w:val="40"/>
          <w:sz w:val="22"/>
          <w:szCs w:val="22"/>
          <w:highlight w:val="none"/>
          <w:lang w:eastAsia="zh-CN"/>
        </w:rPr>
        <w:t>WGSS-JFJT-Z-2022029</w:t>
      </w:r>
    </w:p>
    <w:p>
      <w:pPr>
        <w:pStyle w:val="11"/>
        <w:spacing w:after="0"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四、项目性质：</w:t>
      </w:r>
      <w:r>
        <w:rPr>
          <w:rFonts w:hint="eastAsia" w:ascii="新宋体" w:hAnsi="新宋体" w:eastAsia="新宋体" w:cs="新宋体"/>
          <w:color w:val="auto"/>
          <w:sz w:val="22"/>
          <w:szCs w:val="22"/>
          <w:highlight w:val="none"/>
        </w:rPr>
        <w:t>国企采购（非政府采购）</w:t>
      </w:r>
    </w:p>
    <w:p>
      <w:pPr>
        <w:widowControl/>
        <w:spacing w:line="360" w:lineRule="auto"/>
        <w:jc w:val="left"/>
        <w:rPr>
          <w:rFonts w:hint="eastAsia" w:ascii="新宋体" w:hAnsi="新宋体" w:eastAsia="新宋体" w:cs="新宋体"/>
          <w:b/>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rPr>
        <w:t>五、项目名称：</w:t>
      </w:r>
      <w:r>
        <w:rPr>
          <w:rFonts w:hint="eastAsia" w:ascii="新宋体" w:hAnsi="新宋体" w:eastAsia="新宋体" w:cs="新宋体"/>
          <w:bCs/>
          <w:color w:val="auto"/>
          <w:kern w:val="0"/>
          <w:sz w:val="22"/>
          <w:szCs w:val="22"/>
          <w:highlight w:val="none"/>
          <w:lang w:eastAsia="zh-CN"/>
        </w:rPr>
        <w:t>2台全站仪</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六、预算金额：</w:t>
      </w:r>
      <w:r>
        <w:rPr>
          <w:rFonts w:hint="eastAsia" w:ascii="新宋体" w:hAnsi="新宋体" w:eastAsia="新宋体" w:cs="新宋体"/>
          <w:bCs/>
          <w:color w:val="auto"/>
          <w:kern w:val="0"/>
          <w:sz w:val="22"/>
          <w:szCs w:val="22"/>
          <w:highlight w:val="none"/>
          <w:lang w:val="en-US" w:eastAsia="zh-CN"/>
        </w:rPr>
        <w:t>50</w:t>
      </w:r>
      <w:r>
        <w:rPr>
          <w:rFonts w:hint="eastAsia" w:ascii="新宋体" w:hAnsi="新宋体" w:eastAsia="新宋体" w:cs="新宋体"/>
          <w:bCs/>
          <w:color w:val="auto"/>
          <w:kern w:val="0"/>
          <w:sz w:val="22"/>
          <w:szCs w:val="22"/>
          <w:highlight w:val="none"/>
        </w:rPr>
        <w:t>0</w:t>
      </w:r>
      <w:r>
        <w:rPr>
          <w:rFonts w:hint="eastAsia" w:ascii="新宋体" w:hAnsi="新宋体" w:eastAsia="新宋体" w:cs="新宋体"/>
          <w:bCs/>
          <w:color w:val="auto"/>
          <w:kern w:val="0"/>
          <w:sz w:val="22"/>
          <w:szCs w:val="22"/>
          <w:highlight w:val="none"/>
          <w:lang w:val="en-US" w:eastAsia="zh-CN"/>
        </w:rPr>
        <w:t>0</w:t>
      </w:r>
      <w:r>
        <w:rPr>
          <w:rFonts w:hint="eastAsia" w:ascii="新宋体" w:hAnsi="新宋体" w:eastAsia="新宋体" w:cs="新宋体"/>
          <w:bCs/>
          <w:color w:val="auto"/>
          <w:kern w:val="0"/>
          <w:sz w:val="22"/>
          <w:szCs w:val="22"/>
          <w:highlight w:val="none"/>
        </w:rPr>
        <w:t>00元</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七、采购内容（具体采购内容及详细技术要求见采购文件相关部分）：</w:t>
      </w:r>
    </w:p>
    <w:tbl>
      <w:tblPr>
        <w:tblStyle w:val="23"/>
        <w:tblW w:w="0" w:type="auto"/>
        <w:tblInd w:w="0" w:type="dxa"/>
        <w:tblLayout w:type="fixed"/>
        <w:tblCellMar>
          <w:top w:w="0" w:type="dxa"/>
          <w:left w:w="108" w:type="dxa"/>
          <w:bottom w:w="0" w:type="dxa"/>
          <w:right w:w="108" w:type="dxa"/>
        </w:tblCellMar>
      </w:tblPr>
      <w:tblGrid>
        <w:gridCol w:w="975"/>
        <w:gridCol w:w="2320"/>
        <w:gridCol w:w="946"/>
        <w:gridCol w:w="934"/>
        <w:gridCol w:w="4679"/>
      </w:tblGrid>
      <w:tr>
        <w:tblPrEx>
          <w:tblCellMar>
            <w:top w:w="0" w:type="dxa"/>
            <w:left w:w="108" w:type="dxa"/>
            <w:bottom w:w="0" w:type="dxa"/>
            <w:right w:w="108" w:type="dxa"/>
          </w:tblCellMar>
        </w:tblPrEx>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标项内容</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数量</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单位</w:t>
            </w:r>
          </w:p>
        </w:tc>
        <w:tc>
          <w:tcPr>
            <w:tcW w:w="467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简要技术要求、用途</w:t>
            </w:r>
          </w:p>
        </w:tc>
      </w:tr>
      <w:tr>
        <w:tblPrEx>
          <w:tblCellMar>
            <w:top w:w="0" w:type="dxa"/>
            <w:left w:w="108" w:type="dxa"/>
            <w:bottom w:w="0" w:type="dxa"/>
            <w:right w:w="108" w:type="dxa"/>
          </w:tblCellMar>
        </w:tblPrEx>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lang w:eastAsia="zh-CN"/>
              </w:rPr>
              <w:t>2台全站仪</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台</w:t>
            </w:r>
          </w:p>
        </w:tc>
        <w:tc>
          <w:tcPr>
            <w:tcW w:w="467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rPr>
                <w:rFonts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lang w:eastAsia="zh-CN"/>
              </w:rPr>
              <w:t>2台全站仪</w:t>
            </w:r>
            <w:r>
              <w:rPr>
                <w:rFonts w:hint="eastAsia" w:ascii="新宋体" w:hAnsi="新宋体" w:eastAsia="新宋体" w:cs="新宋体"/>
                <w:bCs/>
                <w:color w:val="auto"/>
                <w:kern w:val="0"/>
                <w:sz w:val="22"/>
                <w:szCs w:val="22"/>
                <w:highlight w:val="none"/>
              </w:rPr>
              <w:t>，具体采购内容及详细技术要求见采购文件相关部分。</w:t>
            </w:r>
          </w:p>
        </w:tc>
      </w:tr>
    </w:tbl>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八、</w:t>
      </w:r>
      <w:r>
        <w:rPr>
          <w:rFonts w:hint="eastAsia" w:ascii="新宋体" w:hAnsi="新宋体" w:eastAsia="新宋体" w:cs="新宋体"/>
          <w:b/>
          <w:bCs/>
          <w:color w:val="auto"/>
          <w:kern w:val="0"/>
          <w:sz w:val="22"/>
          <w:szCs w:val="22"/>
          <w:highlight w:val="none"/>
          <w:lang w:eastAsia="zh-CN"/>
        </w:rPr>
        <w:t>投标供应商</w:t>
      </w:r>
      <w:r>
        <w:rPr>
          <w:rFonts w:hint="eastAsia" w:ascii="新宋体" w:hAnsi="新宋体" w:eastAsia="新宋体" w:cs="新宋体"/>
          <w:b/>
          <w:bCs/>
          <w:color w:val="auto"/>
          <w:kern w:val="0"/>
          <w:sz w:val="22"/>
          <w:szCs w:val="22"/>
          <w:highlight w:val="none"/>
        </w:rPr>
        <w:t>资格要求</w:t>
      </w:r>
    </w:p>
    <w:p>
      <w:pPr>
        <w:widowControl/>
        <w:spacing w:line="360" w:lineRule="auto"/>
        <w:ind w:right="60" w:firstLine="440" w:firstLineChars="20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1、符合《温州市市属国有企业采购管理办法（试行）》第十五条对供应商参加温州市国有企业采购活动应当具备的条件的要求；</w:t>
      </w:r>
    </w:p>
    <w:p>
      <w:pPr>
        <w:widowControl/>
        <w:spacing w:line="360" w:lineRule="auto"/>
        <w:ind w:right="60" w:firstLine="440" w:firstLineChars="20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lang w:val="en-US" w:eastAsia="zh-CN"/>
        </w:rPr>
        <w:t>2</w:t>
      </w:r>
      <w:r>
        <w:rPr>
          <w:rFonts w:hint="eastAsia" w:ascii="新宋体" w:hAnsi="新宋体" w:eastAsia="新宋体" w:cs="新宋体"/>
          <w:snapToGrid w:val="0"/>
          <w:color w:val="auto"/>
          <w:sz w:val="22"/>
          <w:szCs w:val="22"/>
          <w:highlight w:val="none"/>
        </w:rPr>
        <w:t>、</w:t>
      </w:r>
      <w:r>
        <w:rPr>
          <w:rFonts w:hint="eastAsia" w:ascii="新宋体" w:hAnsi="新宋体" w:eastAsia="新宋体" w:cs="新宋体"/>
          <w:snapToGrid w:val="0"/>
          <w:color w:val="auto"/>
          <w:sz w:val="22"/>
          <w:szCs w:val="22"/>
          <w:highlight w:val="none"/>
          <w:lang w:val="en-US" w:eastAsia="zh-CN"/>
        </w:rPr>
        <w:t>投标供应商</w:t>
      </w:r>
      <w:r>
        <w:rPr>
          <w:rFonts w:hint="eastAsia" w:ascii="新宋体" w:hAnsi="新宋体" w:eastAsia="新宋体" w:cs="新宋体"/>
          <w:snapToGrid w:val="0"/>
          <w:color w:val="auto"/>
          <w:sz w:val="22"/>
          <w:szCs w:val="22"/>
          <w:highlight w:val="none"/>
        </w:rPr>
        <w:t>未被列入“信用中国”网(</w:t>
      </w:r>
      <w:r>
        <w:rPr>
          <w:rFonts w:hint="eastAsia" w:ascii="新宋体" w:hAnsi="新宋体" w:eastAsia="新宋体" w:cs="新宋体"/>
          <w:snapToGrid w:val="0"/>
          <w:color w:val="auto"/>
          <w:sz w:val="22"/>
          <w:szCs w:val="22"/>
          <w:highlight w:val="none"/>
        </w:rPr>
        <w:fldChar w:fldCharType="begin"/>
      </w:r>
      <w:r>
        <w:rPr>
          <w:rFonts w:hint="eastAsia" w:ascii="新宋体" w:hAnsi="新宋体" w:eastAsia="新宋体" w:cs="新宋体"/>
          <w:snapToGrid w:val="0"/>
          <w:color w:val="auto"/>
          <w:sz w:val="22"/>
          <w:szCs w:val="22"/>
          <w:highlight w:val="none"/>
        </w:rPr>
        <w:instrText xml:space="preserve"> HYPERLINK "http://www.creditchina.gov.cn" </w:instrText>
      </w:r>
      <w:r>
        <w:rPr>
          <w:rFonts w:hint="eastAsia" w:ascii="新宋体" w:hAnsi="新宋体" w:eastAsia="新宋体" w:cs="新宋体"/>
          <w:snapToGrid w:val="0"/>
          <w:color w:val="auto"/>
          <w:sz w:val="22"/>
          <w:szCs w:val="22"/>
          <w:highlight w:val="none"/>
        </w:rPr>
        <w:fldChar w:fldCharType="separate"/>
      </w:r>
      <w:r>
        <w:rPr>
          <w:rFonts w:hint="eastAsia" w:ascii="新宋体" w:hAnsi="新宋体" w:eastAsia="新宋体" w:cs="新宋体"/>
          <w:snapToGrid w:val="0"/>
          <w:color w:val="auto"/>
          <w:sz w:val="22"/>
          <w:szCs w:val="22"/>
          <w:highlight w:val="none"/>
        </w:rPr>
        <w:t>www.creditchina.gov.cn</w:t>
      </w:r>
      <w:r>
        <w:rPr>
          <w:rFonts w:hint="eastAsia" w:ascii="新宋体" w:hAnsi="新宋体" w:eastAsia="新宋体" w:cs="新宋体"/>
          <w:snapToGrid w:val="0"/>
          <w:color w:val="auto"/>
          <w:sz w:val="22"/>
          <w:szCs w:val="22"/>
          <w:highlight w:val="none"/>
        </w:rPr>
        <w:fldChar w:fldCharType="end"/>
      </w:r>
      <w:r>
        <w:rPr>
          <w:rFonts w:hint="eastAsia" w:ascii="新宋体" w:hAnsi="新宋体" w:eastAsia="新宋体" w:cs="新宋体"/>
          <w:snapToGrid w:val="0"/>
          <w:color w:val="auto"/>
          <w:sz w:val="22"/>
          <w:szCs w:val="22"/>
          <w:highlight w:val="none"/>
        </w:rPr>
        <w:t>)、中国政府采购网（http://www.ccgp.gov.cn/）失信被执行人、重大税收违法案件当事人名单、政府采购严重违法失信行为记录名单且尚处于禁止参加采购活动期内；</w:t>
      </w:r>
    </w:p>
    <w:p>
      <w:pPr>
        <w:widowControl/>
        <w:spacing w:line="360" w:lineRule="auto"/>
        <w:ind w:right="60" w:firstLine="440" w:firstLineChars="20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lang w:val="en-US" w:eastAsia="zh-CN"/>
        </w:rPr>
        <w:t>3、</w:t>
      </w:r>
      <w:r>
        <w:rPr>
          <w:rFonts w:hint="eastAsia" w:ascii="新宋体" w:hAnsi="新宋体" w:eastAsia="新宋体" w:cs="新宋体"/>
          <w:snapToGrid w:val="0"/>
          <w:color w:val="auto"/>
          <w:sz w:val="22"/>
          <w:szCs w:val="22"/>
          <w:highlight w:val="none"/>
        </w:rPr>
        <w:t>单位负责人为同一人或者存在直接控股、管理关系的不同供应商，不得参加同一合同项下的国企采购活动；</w:t>
      </w:r>
    </w:p>
    <w:p>
      <w:pPr>
        <w:widowControl/>
        <w:spacing w:line="360" w:lineRule="auto"/>
        <w:ind w:right="60" w:firstLine="440" w:firstLineChars="20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lang w:val="en-US" w:eastAsia="zh-CN"/>
        </w:rPr>
        <w:t>4</w:t>
      </w:r>
      <w:r>
        <w:rPr>
          <w:rFonts w:hint="eastAsia" w:ascii="新宋体" w:hAnsi="新宋体" w:eastAsia="新宋体" w:cs="新宋体"/>
          <w:snapToGrid w:val="0"/>
          <w:color w:val="auto"/>
          <w:sz w:val="22"/>
          <w:szCs w:val="22"/>
          <w:highlight w:val="none"/>
        </w:rPr>
        <w:t>、本项目不接受联合体投标。</w:t>
      </w:r>
    </w:p>
    <w:p>
      <w:pPr>
        <w:widowControl/>
        <w:spacing w:line="360" w:lineRule="auto"/>
        <w:ind w:right="60"/>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九、</w:t>
      </w:r>
      <w:r>
        <w:rPr>
          <w:rFonts w:hint="eastAsia" w:ascii="新宋体" w:hAnsi="新宋体" w:eastAsia="新宋体" w:cs="新宋体"/>
          <w:b/>
          <w:color w:val="auto"/>
          <w:kern w:val="0"/>
          <w:sz w:val="22"/>
          <w:szCs w:val="22"/>
          <w:highlight w:val="none"/>
        </w:rPr>
        <w:t>获取采购文件时间、地点及方式:</w:t>
      </w:r>
    </w:p>
    <w:p>
      <w:pPr>
        <w:widowControl/>
        <w:spacing w:line="360" w:lineRule="auto"/>
        <w:ind w:right="60" w:firstLine="440" w:firstLineChars="20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1．申请获取采购文件方式：供应商在“政采云”（http://www.zcygov.cn）上登录申请获取本项目采购文件，将以下书面资料提交至采购代理机构并办理购买采购文件事宜</w:t>
      </w:r>
      <w:r>
        <w:rPr>
          <w:rFonts w:hint="eastAsia" w:ascii="新宋体" w:hAnsi="新宋体" w:eastAsia="新宋体" w:cs="新宋体"/>
          <w:snapToGrid w:val="0"/>
          <w:color w:val="auto"/>
          <w:sz w:val="22"/>
          <w:szCs w:val="22"/>
          <w:highlight w:val="none"/>
          <w:lang w:eastAsia="zh-CN"/>
        </w:rPr>
        <w:t>（</w:t>
      </w:r>
      <w:r>
        <w:rPr>
          <w:rFonts w:hint="eastAsia" w:ascii="新宋体" w:hAnsi="新宋体" w:eastAsia="新宋体" w:cs="新宋体"/>
          <w:snapToGrid w:val="0"/>
          <w:color w:val="auto"/>
          <w:sz w:val="22"/>
          <w:szCs w:val="22"/>
          <w:highlight w:val="none"/>
          <w:lang w:val="en-US" w:eastAsia="zh-CN"/>
        </w:rPr>
        <w:t>疫情期间亦可通过邮箱将报名资料扫描件发送至462978466@qq.com进行报名</w:t>
      </w:r>
      <w:r>
        <w:rPr>
          <w:rFonts w:hint="eastAsia" w:ascii="新宋体" w:hAnsi="新宋体" w:eastAsia="新宋体" w:cs="新宋体"/>
          <w:snapToGrid w:val="0"/>
          <w:color w:val="auto"/>
          <w:sz w:val="22"/>
          <w:szCs w:val="22"/>
          <w:highlight w:val="none"/>
          <w:lang w:eastAsia="zh-CN"/>
        </w:rPr>
        <w:t>）</w:t>
      </w:r>
      <w:r>
        <w:rPr>
          <w:rFonts w:hint="eastAsia" w:ascii="新宋体" w:hAnsi="新宋体" w:eastAsia="新宋体" w:cs="新宋体"/>
          <w:snapToGrid w:val="0"/>
          <w:color w:val="auto"/>
          <w:sz w:val="22"/>
          <w:szCs w:val="22"/>
          <w:highlight w:val="none"/>
        </w:rPr>
        <w:t>，采购代理机构将对书面资料进行审核：</w:t>
      </w:r>
    </w:p>
    <w:p>
      <w:pPr>
        <w:widowControl/>
        <w:spacing w:line="360" w:lineRule="auto"/>
        <w:ind w:right="60" w:firstLine="424" w:firstLineChars="193"/>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①　法定代表人（单位负责人）授权委托书/公司介绍信；</w:t>
      </w:r>
    </w:p>
    <w:p>
      <w:pPr>
        <w:widowControl/>
        <w:spacing w:line="360" w:lineRule="auto"/>
        <w:ind w:right="60" w:firstLine="424" w:firstLineChars="193"/>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②　被授权人身份证复印件；</w:t>
      </w:r>
    </w:p>
    <w:p>
      <w:pPr>
        <w:widowControl/>
        <w:spacing w:line="360" w:lineRule="auto"/>
        <w:ind w:right="60" w:firstLine="424" w:firstLineChars="193"/>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③　加盖有效公章的营业执照副本复印件。</w:t>
      </w:r>
    </w:p>
    <w:p>
      <w:pPr>
        <w:widowControl/>
        <w:spacing w:line="360" w:lineRule="auto"/>
        <w:ind w:right="60" w:firstLine="440" w:firstLineChars="20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2．申请获取采购文件时间：公告发布之日起至投标响应文件递交截止时间前（节假日除外），上午：08:30－11:30，下午：14:00－16:30。</w:t>
      </w:r>
    </w:p>
    <w:p>
      <w:pPr>
        <w:widowControl/>
        <w:spacing w:line="360" w:lineRule="auto"/>
        <w:ind w:right="60" w:firstLine="550" w:firstLineChars="25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购领采购文件时间和地点：温州市智信招标代理有限公司（温州市牛山北路13号牛山商务大厦6楼605室）。采购代理机构将拒收未购领采购文件的潜在供应商递交的投标响应文件，采购文件每套500元整，售后不退。</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十、投标文件递交截止时间、开标时间及地点：</w:t>
      </w:r>
    </w:p>
    <w:p>
      <w:pPr>
        <w:widowControl/>
        <w:spacing w:line="360" w:lineRule="auto"/>
        <w:ind w:firstLine="440" w:firstLineChars="200"/>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1.投标文件递交截止时间：</w:t>
      </w:r>
      <w:r>
        <w:rPr>
          <w:rFonts w:hint="eastAsia" w:ascii="新宋体" w:hAnsi="新宋体" w:eastAsia="新宋体" w:cs="新宋体"/>
          <w:color w:val="auto"/>
          <w:kern w:val="0"/>
          <w:sz w:val="22"/>
          <w:szCs w:val="22"/>
          <w:highlight w:val="none"/>
          <w:lang w:eastAsia="zh-CN"/>
        </w:rPr>
        <w:t>2022年</w:t>
      </w:r>
      <w:r>
        <w:rPr>
          <w:rFonts w:hint="eastAsia" w:ascii="新宋体" w:hAnsi="新宋体" w:eastAsia="新宋体" w:cs="新宋体"/>
          <w:color w:val="auto"/>
          <w:kern w:val="0"/>
          <w:sz w:val="22"/>
          <w:szCs w:val="22"/>
          <w:highlight w:val="none"/>
          <w:lang w:val="en-US" w:eastAsia="zh-CN"/>
        </w:rPr>
        <w:t>08</w:t>
      </w:r>
      <w:r>
        <w:rPr>
          <w:rFonts w:hint="eastAsia" w:ascii="新宋体" w:hAnsi="新宋体" w:eastAsia="新宋体" w:cs="新宋体"/>
          <w:color w:val="auto"/>
          <w:kern w:val="0"/>
          <w:sz w:val="22"/>
          <w:szCs w:val="22"/>
          <w:highlight w:val="none"/>
          <w:lang w:eastAsia="zh-CN"/>
        </w:rPr>
        <w:t>月</w:t>
      </w:r>
      <w:r>
        <w:rPr>
          <w:rFonts w:hint="eastAsia" w:ascii="新宋体" w:hAnsi="新宋体" w:eastAsia="新宋体" w:cs="新宋体"/>
          <w:color w:val="auto"/>
          <w:kern w:val="0"/>
          <w:sz w:val="22"/>
          <w:szCs w:val="22"/>
          <w:highlight w:val="none"/>
          <w:lang w:val="en-US" w:eastAsia="zh-CN"/>
        </w:rPr>
        <w:t>19</w:t>
      </w:r>
      <w:r>
        <w:rPr>
          <w:rFonts w:hint="eastAsia" w:ascii="新宋体" w:hAnsi="新宋体" w:eastAsia="新宋体" w:cs="新宋体"/>
          <w:color w:val="auto"/>
          <w:kern w:val="0"/>
          <w:sz w:val="22"/>
          <w:szCs w:val="22"/>
          <w:highlight w:val="none"/>
          <w:lang w:eastAsia="zh-CN"/>
        </w:rPr>
        <w:t>日14：30</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2.递交地点：温州信达交通工程试验检测有限公司四楼会议室（温州市永嘉县瓯北镇和三村瓯北绕城高速收费站内）</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3.开标时间：</w:t>
      </w:r>
      <w:r>
        <w:rPr>
          <w:rFonts w:hint="eastAsia" w:ascii="新宋体" w:hAnsi="新宋体" w:eastAsia="新宋体" w:cs="新宋体"/>
          <w:color w:val="auto"/>
          <w:kern w:val="0"/>
          <w:sz w:val="22"/>
          <w:szCs w:val="22"/>
          <w:highlight w:val="none"/>
          <w:lang w:eastAsia="zh-CN"/>
        </w:rPr>
        <w:t>2022年</w:t>
      </w:r>
      <w:r>
        <w:rPr>
          <w:rFonts w:hint="eastAsia" w:ascii="新宋体" w:hAnsi="新宋体" w:eastAsia="新宋体" w:cs="新宋体"/>
          <w:color w:val="auto"/>
          <w:kern w:val="0"/>
          <w:sz w:val="22"/>
          <w:szCs w:val="22"/>
          <w:highlight w:val="none"/>
          <w:lang w:val="en-US" w:eastAsia="zh-CN"/>
        </w:rPr>
        <w:t>08</w:t>
      </w:r>
      <w:r>
        <w:rPr>
          <w:rFonts w:hint="eastAsia" w:ascii="新宋体" w:hAnsi="新宋体" w:eastAsia="新宋体" w:cs="新宋体"/>
          <w:color w:val="auto"/>
          <w:kern w:val="0"/>
          <w:sz w:val="22"/>
          <w:szCs w:val="22"/>
          <w:highlight w:val="none"/>
          <w:lang w:eastAsia="zh-CN"/>
        </w:rPr>
        <w:t>月</w:t>
      </w:r>
      <w:r>
        <w:rPr>
          <w:rFonts w:hint="eastAsia" w:ascii="新宋体" w:hAnsi="新宋体" w:eastAsia="新宋体" w:cs="新宋体"/>
          <w:color w:val="auto"/>
          <w:kern w:val="0"/>
          <w:sz w:val="22"/>
          <w:szCs w:val="22"/>
          <w:highlight w:val="none"/>
          <w:lang w:val="en-US" w:eastAsia="zh-CN"/>
        </w:rPr>
        <w:t>19</w:t>
      </w:r>
      <w:r>
        <w:rPr>
          <w:rFonts w:hint="eastAsia" w:ascii="新宋体" w:hAnsi="新宋体" w:eastAsia="新宋体" w:cs="新宋体"/>
          <w:color w:val="auto"/>
          <w:kern w:val="0"/>
          <w:sz w:val="22"/>
          <w:szCs w:val="22"/>
          <w:highlight w:val="none"/>
          <w:lang w:eastAsia="zh-CN"/>
        </w:rPr>
        <w:t>日14：30</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4.开标地点：温州信达交通工程试验检测有限公司四楼会议室（温州市永嘉县瓯北镇和三村瓯北绕城高速收费站内）</w:t>
      </w:r>
    </w:p>
    <w:p>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十一、投标保证金</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投标保证金：人民币</w:t>
      </w:r>
      <w:r>
        <w:rPr>
          <w:rFonts w:hint="eastAsia" w:ascii="新宋体" w:hAnsi="新宋体" w:eastAsia="新宋体" w:cs="新宋体"/>
          <w:color w:val="auto"/>
          <w:kern w:val="0"/>
          <w:sz w:val="22"/>
          <w:szCs w:val="22"/>
          <w:highlight w:val="none"/>
          <w:lang w:val="en-US" w:eastAsia="zh-CN"/>
        </w:rPr>
        <w:t>伍仟</w:t>
      </w:r>
      <w:r>
        <w:rPr>
          <w:rFonts w:hint="eastAsia" w:ascii="新宋体" w:hAnsi="新宋体" w:eastAsia="新宋体" w:cs="新宋体"/>
          <w:color w:val="auto"/>
          <w:kern w:val="0"/>
          <w:sz w:val="22"/>
          <w:szCs w:val="22"/>
          <w:highlight w:val="none"/>
        </w:rPr>
        <w:t>元整（¥</w:t>
      </w:r>
      <w:r>
        <w:rPr>
          <w:rFonts w:hint="eastAsia" w:ascii="新宋体" w:hAnsi="新宋体" w:eastAsia="新宋体" w:cs="新宋体"/>
          <w:color w:val="auto"/>
          <w:kern w:val="0"/>
          <w:sz w:val="22"/>
          <w:szCs w:val="22"/>
          <w:highlight w:val="none"/>
          <w:lang w:val="en-US" w:eastAsia="zh-CN"/>
        </w:rPr>
        <w:t>50</w:t>
      </w:r>
      <w:r>
        <w:rPr>
          <w:rFonts w:hint="eastAsia" w:ascii="新宋体" w:hAnsi="新宋体" w:eastAsia="新宋体" w:cs="新宋体"/>
          <w:color w:val="auto"/>
          <w:kern w:val="0"/>
          <w:sz w:val="22"/>
          <w:szCs w:val="22"/>
          <w:highlight w:val="none"/>
        </w:rPr>
        <w:t>00元）</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投标保证金缴纳截止时间：</w:t>
      </w:r>
      <w:r>
        <w:rPr>
          <w:rFonts w:hint="eastAsia" w:ascii="新宋体" w:hAnsi="新宋体" w:eastAsia="新宋体" w:cs="新宋体"/>
          <w:color w:val="auto"/>
          <w:kern w:val="0"/>
          <w:sz w:val="22"/>
          <w:szCs w:val="22"/>
          <w:highlight w:val="none"/>
          <w:lang w:eastAsia="zh-CN"/>
        </w:rPr>
        <w:t>2022年</w:t>
      </w:r>
      <w:r>
        <w:rPr>
          <w:rFonts w:hint="eastAsia" w:ascii="新宋体" w:hAnsi="新宋体" w:eastAsia="新宋体" w:cs="新宋体"/>
          <w:color w:val="auto"/>
          <w:kern w:val="0"/>
          <w:sz w:val="22"/>
          <w:szCs w:val="22"/>
          <w:highlight w:val="none"/>
          <w:lang w:val="en-US" w:eastAsia="zh-CN"/>
        </w:rPr>
        <w:t>08</w:t>
      </w:r>
      <w:r>
        <w:rPr>
          <w:rFonts w:hint="eastAsia" w:ascii="新宋体" w:hAnsi="新宋体" w:eastAsia="新宋体" w:cs="新宋体"/>
          <w:color w:val="auto"/>
          <w:kern w:val="0"/>
          <w:sz w:val="22"/>
          <w:szCs w:val="22"/>
          <w:highlight w:val="none"/>
          <w:lang w:eastAsia="zh-CN"/>
        </w:rPr>
        <w:t>月</w:t>
      </w:r>
      <w:r>
        <w:rPr>
          <w:rFonts w:hint="eastAsia" w:ascii="新宋体" w:hAnsi="新宋体" w:eastAsia="新宋体" w:cs="新宋体"/>
          <w:color w:val="auto"/>
          <w:kern w:val="0"/>
          <w:sz w:val="22"/>
          <w:szCs w:val="22"/>
          <w:highlight w:val="none"/>
          <w:lang w:val="en-US" w:eastAsia="zh-CN"/>
        </w:rPr>
        <w:t>19</w:t>
      </w:r>
      <w:r>
        <w:rPr>
          <w:rFonts w:hint="eastAsia" w:ascii="新宋体" w:hAnsi="新宋体" w:eastAsia="新宋体" w:cs="新宋体"/>
          <w:color w:val="auto"/>
          <w:kern w:val="0"/>
          <w:sz w:val="22"/>
          <w:szCs w:val="22"/>
          <w:highlight w:val="none"/>
          <w:lang w:eastAsia="zh-CN"/>
        </w:rPr>
        <w:t>日14：30</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户名：政采云有限公司</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账号：190001010400276210000003499</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开户行：中国农业银行杭州西湖支行</w:t>
      </w:r>
    </w:p>
    <w:p>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十二、其他事项</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 采购公告期限：5个工作日</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以公告发布次日起计</w:t>
      </w:r>
      <w:r>
        <w:rPr>
          <w:rFonts w:hint="eastAsia" w:ascii="新宋体" w:hAnsi="新宋体" w:eastAsia="新宋体" w:cs="新宋体"/>
          <w:color w:val="auto"/>
          <w:kern w:val="0"/>
          <w:sz w:val="22"/>
          <w:szCs w:val="22"/>
          <w:highlight w:val="none"/>
        </w:rPr>
        <w:t>。</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olor w:val="auto"/>
          <w:highlight w:val="none"/>
        </w:rPr>
        <w:t xml:space="preserve"> </w:t>
      </w:r>
      <w:r>
        <w:rPr>
          <w:rFonts w:hint="eastAsia" w:ascii="新宋体" w:hAnsi="新宋体" w:eastAsia="新宋体" w:cs="新宋体"/>
          <w:color w:val="auto"/>
          <w:kern w:val="0"/>
          <w:sz w:val="22"/>
          <w:szCs w:val="22"/>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w:t>
      </w:r>
      <w:r>
        <w:rPr>
          <w:rFonts w:hint="eastAsia" w:ascii="新宋体" w:hAnsi="新宋体" w:eastAsia="新宋体" w:cs="新宋体"/>
          <w:color w:val="auto"/>
          <w:kern w:val="0"/>
          <w:sz w:val="22"/>
          <w:szCs w:val="22"/>
          <w:highlight w:val="none"/>
          <w:u w:val="single"/>
          <w:lang w:eastAsia="zh-CN"/>
        </w:rPr>
        <w:t>温州市交通发展集团有限公司</w:t>
      </w:r>
      <w:r>
        <w:rPr>
          <w:rFonts w:hint="eastAsia" w:ascii="新宋体" w:hAnsi="新宋体" w:eastAsia="新宋体" w:cs="新宋体"/>
          <w:color w:val="auto"/>
          <w:kern w:val="0"/>
          <w:sz w:val="22"/>
          <w:szCs w:val="22"/>
          <w:highlight w:val="none"/>
          <w:u w:val="single"/>
        </w:rPr>
        <w:t>投诉。</w:t>
      </w:r>
    </w:p>
    <w:p>
      <w:pPr>
        <w:pStyle w:val="11"/>
        <w:spacing w:line="360" w:lineRule="auto"/>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3. </w:t>
      </w:r>
      <w:r>
        <w:rPr>
          <w:rFonts w:hint="eastAsia" w:ascii="新宋体" w:hAnsi="新宋体" w:eastAsia="新宋体" w:cs="新宋体"/>
          <w:color w:val="auto"/>
          <w:sz w:val="22"/>
          <w:szCs w:val="22"/>
          <w:highlight w:val="none"/>
          <w:u w:val="single"/>
          <w:lang w:eastAsia="zh-CN"/>
        </w:rPr>
        <w:t>温州市交通发展集团有限公司</w:t>
      </w:r>
      <w:r>
        <w:rPr>
          <w:rFonts w:hint="eastAsia" w:ascii="新宋体" w:hAnsi="新宋体" w:eastAsia="新宋体" w:cs="新宋体"/>
          <w:color w:val="auto"/>
          <w:sz w:val="22"/>
          <w:szCs w:val="22"/>
          <w:highlight w:val="none"/>
          <w:u w:val="single"/>
        </w:rPr>
        <w:t>负责对</w:t>
      </w:r>
      <w:r>
        <w:rPr>
          <w:rFonts w:hint="eastAsia" w:ascii="新宋体" w:hAnsi="新宋体" w:eastAsia="新宋体" w:cs="新宋体"/>
          <w:color w:val="auto"/>
          <w:sz w:val="22"/>
          <w:szCs w:val="22"/>
          <w:highlight w:val="none"/>
          <w:u w:val="single"/>
          <w:lang w:eastAsia="zh-CN"/>
        </w:rPr>
        <w:t>投标供应商</w:t>
      </w:r>
      <w:r>
        <w:rPr>
          <w:rFonts w:hint="eastAsia" w:ascii="新宋体" w:hAnsi="新宋体" w:eastAsia="新宋体" w:cs="新宋体"/>
          <w:color w:val="auto"/>
          <w:sz w:val="22"/>
          <w:szCs w:val="22"/>
          <w:highlight w:val="none"/>
          <w:u w:val="single"/>
        </w:rPr>
        <w:t>反映的企业本部及所属企业在采购活动中出现的违法违规问题进行答疑回复。</w:t>
      </w:r>
      <w:r>
        <w:rPr>
          <w:rFonts w:hint="eastAsia" w:ascii="新宋体" w:hAnsi="新宋体" w:eastAsia="新宋体" w:cs="新宋体"/>
          <w:color w:val="auto"/>
          <w:sz w:val="22"/>
          <w:szCs w:val="22"/>
          <w:highlight w:val="none"/>
          <w:u w:val="single"/>
          <w:lang w:eastAsia="zh-CN"/>
        </w:rPr>
        <w:t>投标供应商</w:t>
      </w:r>
      <w:r>
        <w:rPr>
          <w:rFonts w:hint="eastAsia" w:ascii="新宋体" w:hAnsi="新宋体" w:eastAsia="新宋体" w:cs="新宋体"/>
          <w:color w:val="auto"/>
          <w:sz w:val="22"/>
          <w:szCs w:val="22"/>
          <w:highlight w:val="none"/>
          <w:u w:val="single"/>
        </w:rPr>
        <w:t>认为</w:t>
      </w:r>
      <w:r>
        <w:rPr>
          <w:rFonts w:hint="eastAsia" w:ascii="新宋体" w:hAnsi="新宋体" w:eastAsia="新宋体" w:cs="新宋体"/>
          <w:color w:val="auto"/>
          <w:sz w:val="22"/>
          <w:szCs w:val="22"/>
          <w:highlight w:val="none"/>
          <w:u w:val="single"/>
          <w:lang w:eastAsia="zh-CN"/>
        </w:rPr>
        <w:t>温州市交通发展集团有限公司</w:t>
      </w:r>
      <w:r>
        <w:rPr>
          <w:rFonts w:hint="eastAsia" w:ascii="新宋体" w:hAnsi="新宋体" w:eastAsia="新宋体" w:cs="新宋体"/>
          <w:color w:val="auto"/>
          <w:sz w:val="22"/>
          <w:szCs w:val="22"/>
          <w:highlight w:val="none"/>
          <w:u w:val="single"/>
        </w:rPr>
        <w:t>答疑回复处理结果不合法的，可以采购人或代理机构为对象依法向</w:t>
      </w:r>
      <w:r>
        <w:rPr>
          <w:rFonts w:hint="eastAsia" w:ascii="新宋体" w:hAnsi="新宋体" w:eastAsia="新宋体" w:cs="新宋体"/>
          <w:color w:val="auto"/>
          <w:sz w:val="22"/>
          <w:szCs w:val="22"/>
          <w:highlight w:val="none"/>
          <w:u w:val="single"/>
          <w:lang w:val="en-US" w:eastAsia="zh-CN"/>
        </w:rPr>
        <w:t>采购人所在地</w:t>
      </w:r>
      <w:r>
        <w:rPr>
          <w:rFonts w:hint="eastAsia" w:ascii="新宋体" w:hAnsi="新宋体" w:eastAsia="新宋体" w:cs="新宋体"/>
          <w:color w:val="auto"/>
          <w:sz w:val="22"/>
          <w:szCs w:val="22"/>
          <w:highlight w:val="none"/>
          <w:u w:val="single"/>
        </w:rPr>
        <w:t>人民法院提起诉讼。</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4.采购公告附件的采购文件仅供阅览使用，未按照本公告规定的方式获取采购文件的潜在供应商提起的质疑采购组织机构将不予受理、答复。</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5.采购文件发售截止时间之后潜在</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仍然可以购买采购文件，但该</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如对采购文件有疑问应按采购文件规定的询疑截止时间前提出，逾期提出的，采购代理机构可以不予受理、答复。</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6.书面质疑受理地点：温州市牛山北路13号牛山商务大厦6楼605室，联系人：熊先生 ，联系电话：13676780329</w:t>
      </w:r>
    </w:p>
    <w:p>
      <w:pPr>
        <w:widowControl/>
        <w:spacing w:line="360" w:lineRule="auto"/>
        <w:ind w:firstLine="440" w:firstLineChars="200"/>
        <w:jc w:val="left"/>
        <w:rPr>
          <w:rFonts w:hint="eastAsia" w:ascii="宋体" w:cs="Yu Mincho Light"/>
          <w:color w:val="auto"/>
          <w:kern w:val="0"/>
          <w:sz w:val="22"/>
          <w:szCs w:val="22"/>
          <w:highlight w:val="none"/>
          <w:lang w:bidi="ar-SA"/>
        </w:rPr>
      </w:pPr>
      <w:r>
        <w:rPr>
          <w:rFonts w:hint="eastAsia" w:ascii="新宋体" w:hAnsi="新宋体" w:eastAsia="新宋体" w:cs="新宋体"/>
          <w:color w:val="auto"/>
          <w:kern w:val="0"/>
          <w:sz w:val="22"/>
          <w:szCs w:val="22"/>
          <w:highlight w:val="none"/>
        </w:rPr>
        <w:t>7.</w:t>
      </w:r>
      <w:r>
        <w:rPr>
          <w:rFonts w:hint="eastAsia" w:ascii="宋体" w:cs="Yu Mincho Light"/>
          <w:color w:val="auto"/>
          <w:kern w:val="0"/>
          <w:sz w:val="22"/>
          <w:szCs w:val="22"/>
          <w:highlight w:val="none"/>
          <w:lang w:bidi="ar-SA"/>
        </w:rPr>
        <w:t>根据温州疫情防控需求，参与本项目的</w:t>
      </w:r>
      <w:r>
        <w:rPr>
          <w:rFonts w:hint="eastAsia" w:ascii="宋体" w:cs="Yu Mincho Light"/>
          <w:color w:val="auto"/>
          <w:kern w:val="0"/>
          <w:sz w:val="22"/>
          <w:szCs w:val="22"/>
          <w:highlight w:val="none"/>
          <w:lang w:eastAsia="zh-CN" w:bidi="ar-SA"/>
        </w:rPr>
        <w:t>投标供应商</w:t>
      </w:r>
      <w:r>
        <w:rPr>
          <w:rFonts w:hint="eastAsia" w:ascii="宋体" w:cs="Yu Mincho Light"/>
          <w:color w:val="auto"/>
          <w:kern w:val="0"/>
          <w:sz w:val="22"/>
          <w:szCs w:val="22"/>
          <w:highlight w:val="none"/>
          <w:lang w:bidi="ar-SA"/>
        </w:rPr>
        <w:t>代表（法定代表人或其授权委托人）必须严格遵守省市区及属地防疫要求，如有冲突，以标书递交所在地防疫要求为准，否则不得参与项目投标：具体要求如下（不限于）：</w:t>
      </w:r>
    </w:p>
    <w:p>
      <w:pPr>
        <w:widowControl/>
        <w:spacing w:line="360" w:lineRule="auto"/>
        <w:ind w:firstLine="440" w:firstLineChars="200"/>
        <w:jc w:val="left"/>
        <w:rPr>
          <w:rFonts w:hint="eastAsia" w:ascii="宋体" w:cs="Yu Mincho Light"/>
          <w:color w:val="auto"/>
          <w:kern w:val="0"/>
          <w:sz w:val="22"/>
          <w:szCs w:val="22"/>
          <w:highlight w:val="none"/>
          <w:lang w:bidi="ar-SA"/>
        </w:rPr>
      </w:pPr>
      <w:r>
        <w:rPr>
          <w:rFonts w:hint="eastAsia" w:ascii="宋体" w:cs="Yu Mincho Light"/>
          <w:color w:val="auto"/>
          <w:kern w:val="0"/>
          <w:sz w:val="22"/>
          <w:szCs w:val="22"/>
          <w:highlight w:val="none"/>
          <w:lang w:bidi="ar-SA"/>
        </w:rPr>
        <w:t>1）</w:t>
      </w:r>
      <w:r>
        <w:rPr>
          <w:rFonts w:hint="eastAsia" w:ascii="宋体" w:cs="Yu Mincho Light"/>
          <w:color w:val="auto"/>
          <w:kern w:val="0"/>
          <w:sz w:val="22"/>
          <w:szCs w:val="22"/>
          <w:highlight w:val="none"/>
          <w:lang w:eastAsia="zh-CN" w:bidi="ar-SA"/>
        </w:rPr>
        <w:t>投标供应商</w:t>
      </w:r>
      <w:r>
        <w:rPr>
          <w:rFonts w:hint="eastAsia" w:ascii="宋体" w:cs="Yu Mincho Light"/>
          <w:color w:val="auto"/>
          <w:kern w:val="0"/>
          <w:sz w:val="22"/>
          <w:szCs w:val="22"/>
          <w:highlight w:val="none"/>
          <w:lang w:bidi="ar-SA"/>
        </w:rPr>
        <w:t>代表在进入开标地点前必须出示温州防疫码，且显示绿码</w:t>
      </w:r>
      <w:r>
        <w:rPr>
          <w:rFonts w:hint="eastAsia" w:ascii="宋体" w:cs="Yu Mincho Light"/>
          <w:color w:val="auto"/>
          <w:kern w:val="0"/>
          <w:sz w:val="22"/>
          <w:szCs w:val="22"/>
          <w:highlight w:val="none"/>
          <w:lang w:val="en-US" w:eastAsia="zh-CN" w:bidi="ar-SA"/>
        </w:rPr>
        <w:t>通行</w:t>
      </w:r>
      <w:r>
        <w:rPr>
          <w:rFonts w:hint="eastAsia" w:ascii="宋体" w:cs="Yu Mincho Light"/>
          <w:color w:val="auto"/>
          <w:kern w:val="0"/>
          <w:sz w:val="22"/>
          <w:szCs w:val="22"/>
          <w:highlight w:val="none"/>
          <w:lang w:bidi="ar-SA"/>
        </w:rPr>
        <w:t>。如</w:t>
      </w:r>
      <w:r>
        <w:rPr>
          <w:rFonts w:hint="eastAsia" w:ascii="宋体" w:cs="Yu Mincho Light"/>
          <w:color w:val="auto"/>
          <w:kern w:val="0"/>
          <w:sz w:val="22"/>
          <w:szCs w:val="22"/>
          <w:highlight w:val="none"/>
          <w:lang w:eastAsia="zh-CN" w:bidi="ar-SA"/>
        </w:rPr>
        <w:t>投标供应商</w:t>
      </w:r>
      <w:r>
        <w:rPr>
          <w:rFonts w:hint="eastAsia" w:ascii="宋体" w:cs="Yu Mincho Light"/>
          <w:color w:val="auto"/>
          <w:kern w:val="0"/>
          <w:sz w:val="22"/>
          <w:szCs w:val="22"/>
          <w:highlight w:val="none"/>
          <w:lang w:bidi="ar-SA"/>
        </w:rPr>
        <w:t>代表的温州防疫码无法正常展示的，不能参与此次投标。</w:t>
      </w:r>
    </w:p>
    <w:p>
      <w:pPr>
        <w:widowControl/>
        <w:spacing w:line="360" w:lineRule="auto"/>
        <w:ind w:firstLine="440" w:firstLineChars="200"/>
        <w:jc w:val="left"/>
        <w:rPr>
          <w:rFonts w:hint="eastAsia" w:ascii="宋体" w:cs="Yu Mincho Light"/>
          <w:color w:val="auto"/>
          <w:kern w:val="0"/>
          <w:sz w:val="22"/>
          <w:szCs w:val="22"/>
          <w:highlight w:val="none"/>
          <w:lang w:bidi="ar-SA"/>
        </w:rPr>
      </w:pPr>
      <w:r>
        <w:rPr>
          <w:rFonts w:hint="eastAsia" w:ascii="宋体" w:cs="Yu Mincho Light"/>
          <w:color w:val="auto"/>
          <w:kern w:val="0"/>
          <w:sz w:val="22"/>
          <w:szCs w:val="22"/>
          <w:highlight w:val="none"/>
          <w:lang w:bidi="ar-SA"/>
        </w:rPr>
        <w:t>2）凡来自有报告核酸阳性病例所在地中高风险地区人员不得作为</w:t>
      </w:r>
      <w:r>
        <w:rPr>
          <w:rFonts w:hint="eastAsia" w:ascii="宋体" w:cs="Yu Mincho Light"/>
          <w:color w:val="auto"/>
          <w:kern w:val="0"/>
          <w:sz w:val="22"/>
          <w:szCs w:val="22"/>
          <w:highlight w:val="none"/>
          <w:lang w:eastAsia="zh-CN" w:bidi="ar-SA"/>
        </w:rPr>
        <w:t>投标供应商</w:t>
      </w:r>
      <w:r>
        <w:rPr>
          <w:rFonts w:hint="eastAsia" w:ascii="宋体" w:cs="Yu Mincho Light"/>
          <w:color w:val="auto"/>
          <w:kern w:val="0"/>
          <w:sz w:val="22"/>
          <w:szCs w:val="22"/>
          <w:highlight w:val="none"/>
          <w:lang w:bidi="ar-SA"/>
        </w:rPr>
        <w:t>代表。</w:t>
      </w:r>
    </w:p>
    <w:p>
      <w:pPr>
        <w:widowControl/>
        <w:spacing w:line="360" w:lineRule="auto"/>
        <w:ind w:firstLine="440" w:firstLineChars="200"/>
        <w:jc w:val="left"/>
        <w:rPr>
          <w:rFonts w:hint="eastAsia" w:ascii="宋体" w:cs="Yu Mincho Light"/>
          <w:color w:val="auto"/>
          <w:kern w:val="0"/>
          <w:sz w:val="22"/>
          <w:szCs w:val="22"/>
          <w:highlight w:val="none"/>
          <w:lang w:bidi="ar-SA"/>
        </w:rPr>
      </w:pPr>
      <w:r>
        <w:rPr>
          <w:rFonts w:hint="eastAsia" w:ascii="宋体" w:cs="Yu Mincho Light"/>
          <w:color w:val="auto"/>
          <w:kern w:val="0"/>
          <w:sz w:val="22"/>
          <w:szCs w:val="22"/>
          <w:highlight w:val="none"/>
          <w:lang w:bidi="ar-SA"/>
        </w:rPr>
        <w:t>3）其他低风险地区</w:t>
      </w:r>
      <w:r>
        <w:rPr>
          <w:rFonts w:hint="eastAsia" w:ascii="宋体" w:cs="Yu Mincho Light"/>
          <w:color w:val="auto"/>
          <w:kern w:val="0"/>
          <w:sz w:val="22"/>
          <w:szCs w:val="22"/>
          <w:highlight w:val="none"/>
          <w:lang w:eastAsia="zh-CN" w:bidi="ar-SA"/>
        </w:rPr>
        <w:t>投标供应商</w:t>
      </w:r>
      <w:r>
        <w:rPr>
          <w:rFonts w:hint="eastAsia" w:ascii="宋体" w:cs="Yu Mincho Light"/>
          <w:color w:val="auto"/>
          <w:kern w:val="0"/>
          <w:sz w:val="22"/>
          <w:szCs w:val="22"/>
          <w:highlight w:val="none"/>
          <w:lang w:bidi="ar-SA"/>
        </w:rPr>
        <w:t>代表若为省外来温、返温人员，在进入开标地点前必须提供48小时内（标书递交截止时间前）核酸检测阴性证明。</w:t>
      </w:r>
    </w:p>
    <w:p>
      <w:pPr>
        <w:widowControl/>
        <w:spacing w:line="360" w:lineRule="auto"/>
        <w:ind w:firstLine="440" w:firstLineChars="200"/>
        <w:jc w:val="left"/>
        <w:rPr>
          <w:rFonts w:hint="eastAsia" w:ascii="宋体" w:cs="Yu Mincho Light"/>
          <w:color w:val="auto"/>
          <w:kern w:val="0"/>
          <w:sz w:val="22"/>
          <w:szCs w:val="22"/>
          <w:highlight w:val="none"/>
          <w:lang w:bidi="ar-SA"/>
        </w:rPr>
      </w:pPr>
      <w:r>
        <w:rPr>
          <w:rFonts w:hint="eastAsia" w:ascii="宋体" w:cs="Yu Mincho Light"/>
          <w:color w:val="auto"/>
          <w:kern w:val="0"/>
          <w:sz w:val="22"/>
          <w:szCs w:val="22"/>
          <w:highlight w:val="none"/>
          <w:lang w:bidi="ar-SA"/>
        </w:rPr>
        <w:t>4）有新的省市区文件按新的文件执行。</w:t>
      </w:r>
    </w:p>
    <w:p>
      <w:pPr>
        <w:widowControl/>
        <w:spacing w:line="360" w:lineRule="auto"/>
        <w:ind w:firstLine="440" w:firstLineChars="200"/>
        <w:jc w:val="left"/>
        <w:rPr>
          <w:rFonts w:hint="eastAsia" w:ascii="宋体" w:cs="Yu Mincho Light"/>
          <w:color w:val="auto"/>
          <w:kern w:val="0"/>
          <w:sz w:val="22"/>
          <w:szCs w:val="22"/>
          <w:highlight w:val="none"/>
          <w:lang w:bidi="ar-SA"/>
        </w:rPr>
      </w:pPr>
      <w:r>
        <w:rPr>
          <w:rFonts w:hint="eastAsia" w:ascii="宋体" w:cs="Yu Mincho Light"/>
          <w:color w:val="auto"/>
          <w:kern w:val="0"/>
          <w:sz w:val="22"/>
          <w:szCs w:val="22"/>
          <w:highlight w:val="none"/>
          <w:lang w:bidi="ar-SA"/>
        </w:rPr>
        <w:t>5）如</w:t>
      </w:r>
      <w:r>
        <w:rPr>
          <w:rFonts w:hint="eastAsia" w:ascii="宋体" w:cs="Yu Mincho Light"/>
          <w:color w:val="auto"/>
          <w:kern w:val="0"/>
          <w:sz w:val="22"/>
          <w:szCs w:val="22"/>
          <w:highlight w:val="none"/>
          <w:lang w:eastAsia="zh-CN" w:bidi="ar-SA"/>
        </w:rPr>
        <w:t>投标供应商</w:t>
      </w:r>
      <w:r>
        <w:rPr>
          <w:rFonts w:hint="eastAsia" w:ascii="宋体" w:cs="Yu Mincho Light"/>
          <w:color w:val="auto"/>
          <w:kern w:val="0"/>
          <w:sz w:val="22"/>
          <w:szCs w:val="22"/>
          <w:highlight w:val="none"/>
          <w:lang w:bidi="ar-SA"/>
        </w:rPr>
        <w:t>无法满足以上要求的，允许其邮寄投标文件，但投标文件必须在投标截止时间前邮寄到</w:t>
      </w:r>
      <w:r>
        <w:rPr>
          <w:rFonts w:hint="eastAsia" w:ascii="宋体" w:cs="Yu Mincho Light"/>
          <w:color w:val="auto"/>
          <w:kern w:val="0"/>
          <w:sz w:val="22"/>
          <w:szCs w:val="22"/>
          <w:highlight w:val="none"/>
          <w:u w:val="single"/>
          <w:lang w:bidi="ar-SA"/>
        </w:rPr>
        <w:t>采购人地址（温州市永嘉县瓯北镇和三村瓯北绕城高速收费站内）</w:t>
      </w:r>
      <w:r>
        <w:rPr>
          <w:rFonts w:hint="eastAsia" w:ascii="宋体" w:cs="Yu Mincho Light"/>
          <w:color w:val="auto"/>
          <w:kern w:val="0"/>
          <w:sz w:val="22"/>
          <w:szCs w:val="22"/>
          <w:highlight w:val="none"/>
          <w:lang w:bidi="ar-SA"/>
        </w:rPr>
        <w:t>。各</w:t>
      </w:r>
      <w:r>
        <w:rPr>
          <w:rFonts w:hint="eastAsia" w:ascii="宋体" w:cs="Yu Mincho Light"/>
          <w:color w:val="auto"/>
          <w:kern w:val="0"/>
          <w:sz w:val="22"/>
          <w:szCs w:val="22"/>
          <w:highlight w:val="none"/>
          <w:lang w:eastAsia="zh-CN" w:bidi="ar-SA"/>
        </w:rPr>
        <w:t>投标供应商</w:t>
      </w:r>
      <w:r>
        <w:rPr>
          <w:rFonts w:hint="eastAsia" w:ascii="宋体" w:cs="Yu Mincho Light"/>
          <w:color w:val="auto"/>
          <w:kern w:val="0"/>
          <w:sz w:val="22"/>
          <w:szCs w:val="22"/>
          <w:highlight w:val="none"/>
          <w:lang w:bidi="ar-SA"/>
        </w:rPr>
        <w:t>务必充分考虑邮寄可能存在的延迟送达、包装破损、资料遗失等一系列意外情形。投标文件寄出后请尽快告之代理机构</w:t>
      </w:r>
      <w:r>
        <w:rPr>
          <w:rFonts w:hint="eastAsia" w:ascii="宋体" w:cs="Yu Mincho Light"/>
          <w:color w:val="auto"/>
          <w:kern w:val="0"/>
          <w:sz w:val="22"/>
          <w:szCs w:val="22"/>
          <w:highlight w:val="none"/>
          <w:u w:val="single"/>
          <w:lang w:val="en-US" w:eastAsia="zh-CN" w:bidi="ar-SA"/>
        </w:rPr>
        <w:t>叶</w:t>
      </w:r>
      <w:r>
        <w:rPr>
          <w:rFonts w:hint="eastAsia" w:ascii="宋体" w:cs="Yu Mincho Light"/>
          <w:color w:val="auto"/>
          <w:kern w:val="0"/>
          <w:sz w:val="22"/>
          <w:szCs w:val="22"/>
          <w:highlight w:val="none"/>
          <w:u w:val="single"/>
          <w:lang w:bidi="ar-SA"/>
        </w:rPr>
        <w:t>先生（联系电话</w:t>
      </w:r>
      <w:r>
        <w:rPr>
          <w:rFonts w:hint="eastAsia" w:ascii="宋体" w:cs="Yu Mincho Light"/>
          <w:color w:val="auto"/>
          <w:kern w:val="0"/>
          <w:sz w:val="22"/>
          <w:szCs w:val="22"/>
          <w:highlight w:val="none"/>
          <w:u w:val="single"/>
          <w:lang w:val="en-US" w:eastAsia="zh-CN" w:bidi="ar-SA"/>
        </w:rPr>
        <w:t>13958779970</w:t>
      </w:r>
      <w:r>
        <w:rPr>
          <w:rFonts w:hint="eastAsia" w:ascii="宋体" w:cs="Yu Mincho Light"/>
          <w:color w:val="auto"/>
          <w:kern w:val="0"/>
          <w:sz w:val="22"/>
          <w:szCs w:val="22"/>
          <w:highlight w:val="none"/>
          <w:u w:val="single"/>
          <w:lang w:bidi="ar-SA"/>
        </w:rPr>
        <w:t>）</w:t>
      </w:r>
      <w:r>
        <w:rPr>
          <w:rFonts w:hint="eastAsia" w:ascii="宋体" w:cs="Yu Mincho Light"/>
          <w:color w:val="auto"/>
          <w:kern w:val="0"/>
          <w:sz w:val="22"/>
          <w:szCs w:val="22"/>
          <w:highlight w:val="none"/>
          <w:lang w:bidi="ar-SA"/>
        </w:rPr>
        <w:t>。代理机构会在监督人员的监督下，确认所有收到的投标文件的密封、包装是否符合要求等，并于开标时间统一对符合要求的所有投标文件进行公开开标。</w:t>
      </w:r>
      <w:r>
        <w:rPr>
          <w:rFonts w:hint="eastAsia" w:ascii="宋体" w:cs="Yu Mincho Light"/>
          <w:color w:val="auto"/>
          <w:kern w:val="0"/>
          <w:sz w:val="22"/>
          <w:szCs w:val="22"/>
          <w:highlight w:val="none"/>
          <w:lang w:eastAsia="zh-CN" w:bidi="ar-SA"/>
        </w:rPr>
        <w:t>投标供应商</w:t>
      </w:r>
      <w:r>
        <w:rPr>
          <w:rFonts w:hint="eastAsia" w:ascii="宋体" w:cs="Yu Mincho Light"/>
          <w:color w:val="auto"/>
          <w:kern w:val="0"/>
          <w:sz w:val="22"/>
          <w:szCs w:val="22"/>
          <w:highlight w:val="none"/>
          <w:lang w:bidi="ar-SA"/>
        </w:rPr>
        <w:t>授权代表未参加开标会议、未到场签字确认的，不影响开标、评标过程，视同认可开标结果，事后不得对采购相关人员、开标过程和开标结果提出异议。</w:t>
      </w:r>
    </w:p>
    <w:p>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十</w:t>
      </w:r>
      <w:r>
        <w:rPr>
          <w:rFonts w:hint="eastAsia" w:ascii="新宋体" w:hAnsi="新宋体" w:eastAsia="新宋体" w:cs="新宋体"/>
          <w:b/>
          <w:bCs/>
          <w:color w:val="auto"/>
          <w:kern w:val="0"/>
          <w:sz w:val="22"/>
          <w:szCs w:val="22"/>
          <w:highlight w:val="none"/>
          <w:lang w:val="en-US" w:eastAsia="zh-CN"/>
        </w:rPr>
        <w:t>三</w:t>
      </w:r>
      <w:r>
        <w:rPr>
          <w:rFonts w:hint="eastAsia" w:ascii="新宋体" w:hAnsi="新宋体" w:eastAsia="新宋体" w:cs="新宋体"/>
          <w:b/>
          <w:bCs/>
          <w:color w:val="auto"/>
          <w:kern w:val="0"/>
          <w:sz w:val="22"/>
          <w:szCs w:val="22"/>
          <w:highlight w:val="none"/>
        </w:rPr>
        <w:t>、联系人及联系电话</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eastAsia="zh-CN"/>
        </w:rPr>
        <w:t>温州信达交通工程试验检测有限公司</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地址：</w:t>
      </w:r>
      <w:r>
        <w:rPr>
          <w:rFonts w:hint="eastAsia" w:ascii="新宋体" w:hAnsi="新宋体" w:eastAsia="新宋体" w:cs="宋体"/>
          <w:color w:val="auto"/>
          <w:kern w:val="0"/>
          <w:sz w:val="22"/>
          <w:szCs w:val="22"/>
          <w:highlight w:val="none"/>
          <w:lang w:eastAsia="zh-CN"/>
        </w:rPr>
        <w:t>温州市永嘉县瓯北镇和三村瓯北绕城高速收费站内</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w:t>
      </w:r>
      <w:r>
        <w:rPr>
          <w:rFonts w:hint="eastAsia" w:ascii="新宋体" w:hAnsi="新宋体" w:eastAsia="新宋体" w:cs="新宋体"/>
          <w:color w:val="auto"/>
          <w:kern w:val="0"/>
          <w:sz w:val="22"/>
          <w:szCs w:val="22"/>
          <w:highlight w:val="none"/>
          <w:lang w:eastAsia="zh-CN"/>
        </w:rPr>
        <w:t>狄女士</w:t>
      </w:r>
      <w:r>
        <w:rPr>
          <w:rFonts w:hint="eastAsia" w:ascii="新宋体" w:hAnsi="新宋体" w:eastAsia="新宋体" w:cs="新宋体"/>
          <w:color w:val="auto"/>
          <w:kern w:val="0"/>
          <w:sz w:val="22"/>
          <w:szCs w:val="22"/>
          <w:highlight w:val="none"/>
        </w:rPr>
        <w:t xml:space="preserve">  </w:t>
      </w:r>
    </w:p>
    <w:p>
      <w:pPr>
        <w:widowControl/>
        <w:spacing w:line="360" w:lineRule="auto"/>
        <w:ind w:firstLine="440" w:firstLineChars="200"/>
        <w:jc w:val="left"/>
        <w:rPr>
          <w:rFonts w:hint="eastAsia" w:ascii="新宋体" w:hAnsi="新宋体" w:eastAsia="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联系电话：</w:t>
      </w:r>
      <w:r>
        <w:rPr>
          <w:rFonts w:hint="eastAsia" w:ascii="新宋体" w:hAnsi="新宋体" w:eastAsia="新宋体" w:cs="新宋体"/>
          <w:color w:val="auto"/>
          <w:kern w:val="0"/>
          <w:sz w:val="22"/>
          <w:szCs w:val="22"/>
          <w:highlight w:val="none"/>
          <w:lang w:val="en-US" w:eastAsia="zh-CN"/>
        </w:rPr>
        <w:t>0577-67965578</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采购代理机构名称：温州市智信招标代理有限公司</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地址：温州市牛山北路13号牛山商务大厦6楼605室</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联系人：苏先生/叶先生</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 13626506308/13958779970  传真: 0577-88270122</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采购监督管理部门：温州市交通发展集团有限公司纪检监察室</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 系 人：曾女士</w:t>
      </w:r>
    </w:p>
    <w:p>
      <w:pPr>
        <w:widowControl/>
        <w:spacing w:line="360"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联系电话：0577-85559092</w:t>
      </w:r>
    </w:p>
    <w:p>
      <w:pPr>
        <w:widowControl/>
        <w:spacing w:line="360" w:lineRule="auto"/>
        <w:jc w:val="right"/>
        <w:rPr>
          <w:rFonts w:hint="eastAsia" w:ascii="新宋体" w:hAnsi="新宋体" w:eastAsia="新宋体" w:cs="新宋体"/>
          <w:color w:val="auto"/>
          <w:kern w:val="0"/>
          <w:sz w:val="22"/>
          <w:szCs w:val="22"/>
          <w:highlight w:val="none"/>
          <w:lang w:eastAsia="zh-CN"/>
        </w:rPr>
      </w:pPr>
    </w:p>
    <w:p>
      <w:pPr>
        <w:widowControl/>
        <w:spacing w:line="360" w:lineRule="auto"/>
        <w:jc w:val="righ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温州信达交通工程试验检测有限公司</w:t>
      </w:r>
    </w:p>
    <w:p>
      <w:pPr>
        <w:widowControl/>
        <w:spacing w:line="360" w:lineRule="auto"/>
        <w:jc w:val="righ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温州市智信招标代理有限公司</w:t>
      </w:r>
    </w:p>
    <w:p>
      <w:pPr>
        <w:widowControl/>
        <w:spacing w:line="360" w:lineRule="auto"/>
        <w:jc w:val="righ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2022年</w:t>
      </w:r>
      <w:r>
        <w:rPr>
          <w:rFonts w:hint="eastAsia" w:ascii="新宋体" w:hAnsi="新宋体" w:eastAsia="新宋体" w:cs="新宋体"/>
          <w:color w:val="auto"/>
          <w:kern w:val="0"/>
          <w:sz w:val="22"/>
          <w:szCs w:val="22"/>
          <w:highlight w:val="none"/>
          <w:lang w:val="en-US" w:eastAsia="zh-CN"/>
        </w:rPr>
        <w:t>07</w:t>
      </w:r>
      <w:r>
        <w:rPr>
          <w:rFonts w:hint="eastAsia" w:ascii="新宋体" w:hAnsi="新宋体" w:eastAsia="新宋体" w:cs="新宋体"/>
          <w:color w:val="auto"/>
          <w:kern w:val="0"/>
          <w:sz w:val="22"/>
          <w:szCs w:val="22"/>
          <w:highlight w:val="none"/>
          <w:lang w:eastAsia="zh-CN"/>
        </w:rPr>
        <w:t>月</w:t>
      </w:r>
      <w:r>
        <w:rPr>
          <w:rFonts w:hint="eastAsia" w:ascii="新宋体" w:hAnsi="新宋体" w:eastAsia="新宋体" w:cs="新宋体"/>
          <w:color w:val="auto"/>
          <w:kern w:val="0"/>
          <w:sz w:val="22"/>
          <w:szCs w:val="22"/>
          <w:highlight w:val="none"/>
          <w:lang w:val="en-US" w:eastAsia="zh-CN"/>
        </w:rPr>
        <w:t>29</w:t>
      </w:r>
      <w:r>
        <w:rPr>
          <w:rFonts w:hint="eastAsia" w:ascii="新宋体" w:hAnsi="新宋体" w:eastAsia="新宋体" w:cs="新宋体"/>
          <w:color w:val="auto"/>
          <w:kern w:val="0"/>
          <w:sz w:val="22"/>
          <w:szCs w:val="22"/>
          <w:highlight w:val="none"/>
          <w:lang w:eastAsia="zh-CN"/>
        </w:rPr>
        <w:t>日</w:t>
      </w:r>
    </w:p>
    <w:p>
      <w:pPr>
        <w:pStyle w:val="3"/>
        <w:spacing w:line="360" w:lineRule="auto"/>
        <w:rPr>
          <w:rFonts w:ascii="新宋体" w:hAnsi="新宋体" w:eastAsia="新宋体" w:cs="新宋体"/>
          <w:color w:val="auto"/>
          <w:sz w:val="32"/>
          <w:szCs w:val="32"/>
          <w:highlight w:val="none"/>
        </w:rPr>
      </w:pPr>
      <w:bookmarkStart w:id="5" w:name="_Toc71374668"/>
      <w:bookmarkStart w:id="6" w:name="_Toc29682"/>
      <w:r>
        <w:rPr>
          <w:rFonts w:hint="eastAsia" w:ascii="新宋体" w:hAnsi="新宋体" w:eastAsia="新宋体" w:cs="新宋体"/>
          <w:color w:val="auto"/>
          <w:sz w:val="32"/>
          <w:szCs w:val="32"/>
          <w:highlight w:val="none"/>
          <w:lang w:eastAsia="zh-CN"/>
        </w:rPr>
        <w:t>温州市交发集团所属温州信达交通工程试验检测有限公司</w:t>
      </w:r>
      <w:r>
        <w:rPr>
          <w:rFonts w:hint="eastAsia" w:ascii="新宋体" w:hAnsi="新宋体" w:eastAsia="新宋体" w:cs="新宋体"/>
          <w:color w:val="auto"/>
          <w:sz w:val="32"/>
          <w:szCs w:val="32"/>
          <w:highlight w:val="none"/>
          <w:lang w:val="en-US" w:eastAsia="zh-CN"/>
        </w:rPr>
        <w:t>关于</w:t>
      </w:r>
      <w:r>
        <w:rPr>
          <w:rFonts w:hint="eastAsia" w:ascii="新宋体" w:hAnsi="新宋体" w:eastAsia="新宋体" w:cs="新宋体"/>
          <w:color w:val="auto"/>
          <w:sz w:val="32"/>
          <w:szCs w:val="32"/>
          <w:highlight w:val="none"/>
          <w:lang w:eastAsia="zh-CN"/>
        </w:rPr>
        <w:t>2台全站仪</w:t>
      </w:r>
      <w:r>
        <w:rPr>
          <w:rFonts w:hint="eastAsia" w:ascii="新宋体" w:hAnsi="新宋体" w:eastAsia="新宋体" w:cs="新宋体"/>
          <w:color w:val="auto"/>
          <w:sz w:val="32"/>
          <w:szCs w:val="32"/>
          <w:highlight w:val="none"/>
        </w:rPr>
        <w:t>项目（自主）的征求意见公示</w:t>
      </w:r>
      <w:bookmarkEnd w:id="5"/>
      <w:bookmarkEnd w:id="6"/>
    </w:p>
    <w:p>
      <w:pPr>
        <w:pStyle w:val="11"/>
        <w:spacing w:line="360" w:lineRule="auto"/>
        <w:ind w:firstLine="0" w:firstLineChars="0"/>
        <w:rPr>
          <w:rFonts w:ascii="新宋体" w:hAnsi="新宋体" w:eastAsia="新宋体"/>
          <w:color w:val="auto"/>
          <w:highlight w:val="none"/>
        </w:rPr>
      </w:pPr>
    </w:p>
    <w:p>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温州市智信招标代理有限公司就</w:t>
      </w:r>
      <w:r>
        <w:rPr>
          <w:rFonts w:hint="eastAsia" w:ascii="新宋体" w:hAnsi="新宋体" w:eastAsia="新宋体" w:cs="新宋体"/>
          <w:color w:val="auto"/>
          <w:kern w:val="0"/>
          <w:sz w:val="22"/>
          <w:szCs w:val="22"/>
          <w:highlight w:val="none"/>
          <w:lang w:eastAsia="zh-CN"/>
        </w:rPr>
        <w:t>温州信达交通工程试验检测有限公司2台全站仪</w:t>
      </w:r>
      <w:r>
        <w:rPr>
          <w:rFonts w:hint="eastAsia" w:ascii="新宋体" w:hAnsi="新宋体" w:eastAsia="新宋体" w:cs="新宋体"/>
          <w:color w:val="auto"/>
          <w:kern w:val="0"/>
          <w:sz w:val="22"/>
          <w:szCs w:val="22"/>
          <w:highlight w:val="none"/>
        </w:rPr>
        <w:t>项目以公开招标方式进行国有企业采购。现将采购文件公布如下,并公开征求供应商及专家意见。</w:t>
      </w:r>
    </w:p>
    <w:p>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一、征求意见范围：</w:t>
      </w:r>
    </w:p>
    <w:p>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1.是否出现明显的倾向性意见和特定的性能指标；</w:t>
      </w:r>
    </w:p>
    <w:p>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2.供应商资格条件是否具有明显倾向性和歧视性；</w:t>
      </w:r>
    </w:p>
    <w:p>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3.影响国有企业采购“公开、公平、公正”原则的其他情况。 </w:t>
      </w:r>
    </w:p>
    <w:p>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二、征求意见的回复：</w:t>
      </w:r>
    </w:p>
    <w:p>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各供应商及专家提出修改理由和建议的，请于202</w:t>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lang w:val="en-US" w:eastAsia="zh-CN"/>
        </w:rPr>
        <w:t>08</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03</w:t>
      </w:r>
      <w:r>
        <w:rPr>
          <w:rFonts w:hint="eastAsia" w:ascii="新宋体" w:hAnsi="新宋体" w:eastAsia="新宋体" w:cs="新宋体"/>
          <w:color w:val="auto"/>
          <w:kern w:val="0"/>
          <w:sz w:val="22"/>
          <w:szCs w:val="22"/>
          <w:highlight w:val="none"/>
        </w:rPr>
        <w:t>日下午17:00前（节假日除外）将书面材料签字（盖章）并密封后送至牛山北路13号牛山商务大厦605室，外地可传真送达，传真：0577-88270122，传真件必须签字（盖章）。同时将电子文档发送至以下信箱：43759625@qq.com 。</w:t>
      </w:r>
    </w:p>
    <w:p>
      <w:pPr>
        <w:widowControl/>
        <w:spacing w:line="360" w:lineRule="auto"/>
        <w:ind w:left="60" w:right="60" w:firstLine="435"/>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联系人：熊先生 联系电话：13676780329。对逾期送达的意见、建议书恕不接受。</w:t>
      </w:r>
    </w:p>
    <w:p>
      <w:pPr>
        <w:widowControl/>
        <w:spacing w:line="360" w:lineRule="auto"/>
        <w:ind w:firstLine="440" w:firstLineChars="200"/>
        <w:jc w:val="lef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三</w:t>
      </w:r>
      <w:r>
        <w:rPr>
          <w:rFonts w:hint="eastAsia" w:ascii="新宋体" w:hAnsi="新宋体" w:eastAsia="新宋体" w:cs="新宋体"/>
          <w:b w:val="0"/>
          <w:bCs w:val="0"/>
          <w:color w:val="auto"/>
          <w:kern w:val="0"/>
          <w:sz w:val="22"/>
          <w:szCs w:val="22"/>
          <w:highlight w:val="none"/>
        </w:rPr>
        <w:t>、相关附件：</w:t>
      </w:r>
    </w:p>
    <w:p>
      <w:pPr>
        <w:widowControl/>
        <w:spacing w:line="360" w:lineRule="auto"/>
        <w:ind w:firstLine="440" w:firstLineChars="200"/>
        <w:jc w:val="lef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采购文件</w:t>
      </w:r>
    </w:p>
    <w:p>
      <w:pPr>
        <w:pStyle w:val="11"/>
        <w:rPr>
          <w:color w:val="auto"/>
          <w:highlight w:val="none"/>
        </w:rPr>
      </w:pPr>
    </w:p>
    <w:p>
      <w:pPr>
        <w:widowControl/>
        <w:spacing w:line="360" w:lineRule="auto"/>
        <w:jc w:val="right"/>
        <w:rPr>
          <w:rFonts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 </w:t>
      </w:r>
    </w:p>
    <w:p>
      <w:pPr>
        <w:widowControl/>
        <w:spacing w:line="360" w:lineRule="auto"/>
        <w:jc w:val="right"/>
        <w:rPr>
          <w:rFonts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 </w:t>
      </w:r>
    </w:p>
    <w:p>
      <w:pPr>
        <w:widowControl/>
        <w:spacing w:line="360" w:lineRule="auto"/>
        <w:jc w:val="right"/>
        <w:rPr>
          <w:rFonts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 </w:t>
      </w:r>
    </w:p>
    <w:p>
      <w:pPr>
        <w:widowControl/>
        <w:spacing w:line="360" w:lineRule="auto"/>
        <w:jc w:val="right"/>
        <w:rPr>
          <w:rFonts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 </w:t>
      </w:r>
    </w:p>
    <w:p>
      <w:pPr>
        <w:widowControl/>
        <w:spacing w:line="360" w:lineRule="auto"/>
        <w:jc w:val="right"/>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kern w:val="0"/>
          <w:sz w:val="22"/>
          <w:szCs w:val="22"/>
          <w:highlight w:val="none"/>
          <w:lang w:eastAsia="zh-CN"/>
        </w:rPr>
        <w:t>温州信达交通工程试验检测有限公司</w:t>
      </w:r>
    </w:p>
    <w:p>
      <w:pPr>
        <w:widowControl/>
        <w:spacing w:line="360" w:lineRule="auto"/>
        <w:jc w:val="right"/>
        <w:rPr>
          <w:rFonts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温州市智信招标代理有限公司</w:t>
      </w:r>
    </w:p>
    <w:p>
      <w:pPr>
        <w:widowControl/>
        <w:spacing w:before="60" w:after="60" w:line="360" w:lineRule="auto"/>
        <w:ind w:right="60"/>
        <w:jc w:val="right"/>
        <w:rPr>
          <w:rFonts w:hint="eastAsia" w:ascii="新宋体" w:hAnsi="新宋体" w:eastAsia="新宋体" w:cs="新宋体"/>
          <w:color w:val="auto"/>
          <w:highlight w:val="none"/>
          <w:lang w:eastAsia="zh-CN"/>
        </w:rPr>
      </w:pPr>
      <w:r>
        <w:rPr>
          <w:rFonts w:hint="eastAsia" w:ascii="新宋体" w:hAnsi="新宋体" w:eastAsia="新宋体" w:cs="新宋体"/>
          <w:color w:val="auto"/>
          <w:kern w:val="0"/>
          <w:sz w:val="22"/>
          <w:szCs w:val="22"/>
          <w:highlight w:val="none"/>
          <w:lang w:eastAsia="zh-CN"/>
        </w:rPr>
        <w:t>2022年</w:t>
      </w:r>
      <w:r>
        <w:rPr>
          <w:rFonts w:hint="eastAsia" w:ascii="新宋体" w:hAnsi="新宋体" w:eastAsia="新宋体" w:cs="新宋体"/>
          <w:color w:val="auto"/>
          <w:kern w:val="0"/>
          <w:sz w:val="22"/>
          <w:szCs w:val="22"/>
          <w:highlight w:val="none"/>
          <w:lang w:val="en-US" w:eastAsia="zh-CN"/>
        </w:rPr>
        <w:t>07</w:t>
      </w:r>
      <w:r>
        <w:rPr>
          <w:rFonts w:hint="eastAsia" w:ascii="新宋体" w:hAnsi="新宋体" w:eastAsia="新宋体" w:cs="新宋体"/>
          <w:color w:val="auto"/>
          <w:kern w:val="0"/>
          <w:sz w:val="22"/>
          <w:szCs w:val="22"/>
          <w:highlight w:val="none"/>
          <w:lang w:eastAsia="zh-CN"/>
        </w:rPr>
        <w:t>月</w:t>
      </w:r>
      <w:r>
        <w:rPr>
          <w:rFonts w:hint="eastAsia" w:ascii="新宋体" w:hAnsi="新宋体" w:eastAsia="新宋体" w:cs="新宋体"/>
          <w:color w:val="auto"/>
          <w:kern w:val="0"/>
          <w:sz w:val="22"/>
          <w:szCs w:val="22"/>
          <w:highlight w:val="none"/>
          <w:lang w:val="en-US" w:eastAsia="zh-CN"/>
        </w:rPr>
        <w:t>29</w:t>
      </w:r>
      <w:r>
        <w:rPr>
          <w:rFonts w:hint="eastAsia" w:ascii="新宋体" w:hAnsi="新宋体" w:eastAsia="新宋体" w:cs="新宋体"/>
          <w:color w:val="auto"/>
          <w:kern w:val="0"/>
          <w:sz w:val="22"/>
          <w:szCs w:val="22"/>
          <w:highlight w:val="none"/>
          <w:lang w:eastAsia="zh-CN"/>
        </w:rPr>
        <w:t>日</w:t>
      </w:r>
    </w:p>
    <w:p>
      <w:pPr>
        <w:widowControl/>
        <w:spacing w:line="360" w:lineRule="auto"/>
        <w:jc w:val="right"/>
        <w:rPr>
          <w:rFonts w:ascii="新宋体" w:hAnsi="新宋体" w:eastAsia="新宋体" w:cs="新宋体"/>
          <w:color w:val="auto"/>
          <w:szCs w:val="21"/>
          <w:highlight w:val="none"/>
        </w:rPr>
      </w:pPr>
    </w:p>
    <w:p>
      <w:pPr>
        <w:widowControl/>
        <w:spacing w:line="360" w:lineRule="auto"/>
        <w:jc w:val="right"/>
        <w:rPr>
          <w:rFonts w:ascii="新宋体" w:hAnsi="新宋体" w:eastAsia="新宋体" w:cs="新宋体"/>
          <w:color w:val="auto"/>
          <w:szCs w:val="21"/>
          <w:highlight w:val="none"/>
        </w:rPr>
      </w:pPr>
    </w:p>
    <w:p>
      <w:pPr>
        <w:widowControl/>
        <w:spacing w:line="360" w:lineRule="auto"/>
        <w:jc w:val="right"/>
        <w:rPr>
          <w:rFonts w:ascii="新宋体" w:hAnsi="新宋体" w:eastAsia="新宋体" w:cs="新宋体"/>
          <w:color w:val="auto"/>
          <w:szCs w:val="21"/>
          <w:highlight w:val="none"/>
        </w:rPr>
      </w:pPr>
    </w:p>
    <w:p>
      <w:pPr>
        <w:widowControl/>
        <w:spacing w:line="360" w:lineRule="auto"/>
        <w:jc w:val="both"/>
        <w:rPr>
          <w:rFonts w:ascii="新宋体" w:hAnsi="新宋体" w:eastAsia="新宋体" w:cs="新宋体"/>
          <w:color w:val="auto"/>
          <w:szCs w:val="21"/>
          <w:highlight w:val="none"/>
        </w:rPr>
      </w:pPr>
    </w:p>
    <w:p>
      <w:pPr>
        <w:widowControl/>
        <w:spacing w:line="360" w:lineRule="auto"/>
        <w:jc w:val="right"/>
        <w:rPr>
          <w:rFonts w:ascii="新宋体" w:hAnsi="新宋体" w:eastAsia="新宋体" w:cs="新宋体"/>
          <w:color w:val="auto"/>
          <w:szCs w:val="21"/>
          <w:highlight w:val="none"/>
        </w:rPr>
      </w:pPr>
    </w:p>
    <w:p>
      <w:pPr>
        <w:widowControl/>
        <w:spacing w:line="360" w:lineRule="auto"/>
        <w:jc w:val="right"/>
        <w:rPr>
          <w:rFonts w:ascii="新宋体" w:hAnsi="新宋体" w:eastAsia="新宋体" w:cs="新宋体"/>
          <w:color w:val="auto"/>
          <w:szCs w:val="21"/>
          <w:highlight w:val="none"/>
        </w:rPr>
      </w:pPr>
    </w:p>
    <w:p>
      <w:pPr>
        <w:widowControl/>
        <w:spacing w:line="360" w:lineRule="auto"/>
        <w:jc w:val="right"/>
        <w:rPr>
          <w:rFonts w:hint="eastAsia" w:ascii="新宋体" w:hAnsi="新宋体" w:eastAsia="新宋体" w:cs="新宋体"/>
          <w:color w:val="auto"/>
          <w:szCs w:val="21"/>
          <w:highlight w:val="none"/>
        </w:rPr>
      </w:pPr>
    </w:p>
    <w:p>
      <w:pPr>
        <w:rPr>
          <w:rFonts w:hint="eastAsia" w:ascii="新宋体" w:hAnsi="新宋体" w:eastAsia="新宋体"/>
          <w:color w:val="auto"/>
          <w:highlight w:val="none"/>
        </w:rPr>
      </w:pPr>
    </w:p>
    <w:p>
      <w:pPr>
        <w:pStyle w:val="11"/>
        <w:ind w:firstLine="200"/>
        <w:rPr>
          <w:rFonts w:hint="eastAsia" w:ascii="新宋体" w:hAnsi="新宋体" w:eastAsia="新宋体"/>
          <w:color w:val="auto"/>
          <w:highlight w:val="none"/>
        </w:rPr>
      </w:pPr>
    </w:p>
    <w:p>
      <w:pPr>
        <w:pStyle w:val="3"/>
        <w:rPr>
          <w:rFonts w:ascii="新宋体" w:hAnsi="新宋体" w:eastAsia="新宋体" w:cs="新宋体"/>
          <w:color w:val="auto"/>
          <w:sz w:val="36"/>
          <w:szCs w:val="36"/>
          <w:highlight w:val="none"/>
        </w:rPr>
      </w:pPr>
      <w:bookmarkStart w:id="7" w:name="_Toc71374669"/>
      <w:bookmarkStart w:id="8" w:name="_Toc2956"/>
      <w:r>
        <w:rPr>
          <w:rFonts w:hint="eastAsia" w:ascii="新宋体" w:hAnsi="新宋体" w:eastAsia="新宋体" w:cs="新宋体"/>
          <w:color w:val="auto"/>
          <w:sz w:val="36"/>
          <w:szCs w:val="36"/>
          <w:highlight w:val="none"/>
          <w:lang w:eastAsia="zh-CN"/>
        </w:rPr>
        <w:t>投标供应商</w:t>
      </w:r>
      <w:r>
        <w:rPr>
          <w:rFonts w:hint="eastAsia" w:ascii="新宋体" w:hAnsi="新宋体" w:eastAsia="新宋体" w:cs="新宋体"/>
          <w:color w:val="auto"/>
          <w:sz w:val="36"/>
          <w:szCs w:val="36"/>
          <w:highlight w:val="none"/>
        </w:rPr>
        <w:t>须知前附表</w:t>
      </w:r>
      <w:bookmarkEnd w:id="7"/>
      <w:bookmarkEnd w:id="8"/>
    </w:p>
    <w:tbl>
      <w:tblPr>
        <w:tblStyle w:val="23"/>
        <w:tblW w:w="0" w:type="auto"/>
        <w:tblInd w:w="0" w:type="dxa"/>
        <w:tblLayout w:type="fixed"/>
        <w:tblCellMar>
          <w:top w:w="0" w:type="dxa"/>
          <w:left w:w="108" w:type="dxa"/>
          <w:bottom w:w="0" w:type="dxa"/>
          <w:right w:w="108" w:type="dxa"/>
        </w:tblCellMar>
      </w:tblPr>
      <w:tblGrid>
        <w:gridCol w:w="1036"/>
        <w:gridCol w:w="12"/>
        <w:gridCol w:w="1531"/>
        <w:gridCol w:w="125"/>
        <w:gridCol w:w="7039"/>
        <w:gridCol w:w="111"/>
      </w:tblGrid>
      <w:tr>
        <w:tblPrEx>
          <w:tblCellMar>
            <w:top w:w="0" w:type="dxa"/>
            <w:left w:w="108" w:type="dxa"/>
            <w:bottom w:w="0" w:type="dxa"/>
            <w:right w:w="108" w:type="dxa"/>
          </w:tblCellMar>
        </w:tblPrEx>
        <w:trPr>
          <w:trHeight w:val="669" w:hRule="atLeast"/>
          <w:tblHeader/>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条款名称</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编列内容</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eastAsia="zh-CN"/>
              </w:rPr>
              <w:t>温州信达交通工程试验检测有限公司</w:t>
            </w:r>
            <w:r>
              <w:rPr>
                <w:rFonts w:hint="eastAsia" w:ascii="新宋体" w:hAnsi="新宋体" w:eastAsia="新宋体" w:cs="新宋体"/>
                <w:color w:val="auto"/>
                <w:kern w:val="0"/>
                <w:sz w:val="22"/>
                <w:szCs w:val="22"/>
                <w:highlight w:val="none"/>
              </w:rPr>
              <w:t xml:space="preserve"> </w:t>
            </w:r>
          </w:p>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地址：</w:t>
            </w:r>
            <w:r>
              <w:rPr>
                <w:rFonts w:hint="eastAsia" w:ascii="新宋体" w:hAnsi="新宋体" w:eastAsia="新宋体" w:cs="新宋体"/>
                <w:color w:val="auto"/>
                <w:kern w:val="0"/>
                <w:sz w:val="22"/>
                <w:szCs w:val="22"/>
                <w:highlight w:val="none"/>
                <w:lang w:eastAsia="zh-CN"/>
              </w:rPr>
              <w:t>温州市永嘉县瓯北镇和三村瓯北绕城高速收费站内</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w:t>
            </w:r>
            <w:r>
              <w:rPr>
                <w:rFonts w:hint="eastAsia" w:ascii="新宋体" w:hAnsi="新宋体" w:eastAsia="新宋体" w:cs="新宋体"/>
                <w:color w:val="auto"/>
                <w:kern w:val="0"/>
                <w:sz w:val="22"/>
                <w:szCs w:val="22"/>
                <w:highlight w:val="none"/>
                <w:lang w:eastAsia="zh-CN"/>
              </w:rPr>
              <w:t>狄女士</w:t>
            </w:r>
            <w:r>
              <w:rPr>
                <w:rFonts w:hint="eastAsia" w:ascii="新宋体" w:hAnsi="新宋体" w:eastAsia="新宋体" w:cs="新宋体"/>
                <w:color w:val="auto"/>
                <w:kern w:val="0"/>
                <w:sz w:val="22"/>
                <w:szCs w:val="22"/>
                <w:highlight w:val="none"/>
              </w:rPr>
              <w:t xml:space="preserve">  </w:t>
            </w:r>
          </w:p>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联系电话：</w:t>
            </w:r>
            <w:r>
              <w:rPr>
                <w:rFonts w:hint="eastAsia" w:ascii="新宋体" w:hAnsi="新宋体" w:eastAsia="新宋体" w:cs="新宋体"/>
                <w:color w:val="auto"/>
                <w:kern w:val="0"/>
                <w:sz w:val="22"/>
                <w:szCs w:val="22"/>
                <w:highlight w:val="none"/>
                <w:lang w:val="en-US" w:eastAsia="zh-CN"/>
              </w:rPr>
              <w:t>0577-67965578</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代理机构名称：温州市智信招标代理有限公司</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代理机构地址：温州市牛山北路13号牛山商务大厦6楼605室</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联系人：苏先生/叶先生</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 13626506308/13958779970</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lang w:eastAsia="zh-CN"/>
              </w:rPr>
              <w:t>2台全站仪</w:t>
            </w:r>
          </w:p>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spacing w:val="40"/>
                <w:sz w:val="22"/>
                <w:szCs w:val="22"/>
                <w:highlight w:val="none"/>
                <w:lang w:eastAsia="zh-CN"/>
              </w:rPr>
              <w:t>WGSS-JFJT-Z-2022029</w:t>
            </w:r>
          </w:p>
        </w:tc>
      </w:tr>
      <w:tr>
        <w:tblPrEx>
          <w:tblCellMar>
            <w:top w:w="0" w:type="dxa"/>
            <w:left w:w="108" w:type="dxa"/>
            <w:bottom w:w="0" w:type="dxa"/>
            <w:right w:w="108" w:type="dxa"/>
          </w:tblCellMar>
        </w:tblPrEx>
        <w:trPr>
          <w:trHeight w:val="82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2台全站仪</w:t>
            </w:r>
            <w:r>
              <w:rPr>
                <w:rFonts w:hint="eastAsia" w:ascii="新宋体" w:hAnsi="新宋体" w:eastAsia="新宋体" w:cs="新宋体"/>
                <w:color w:val="auto"/>
                <w:kern w:val="0"/>
                <w:sz w:val="22"/>
                <w:szCs w:val="22"/>
                <w:highlight w:val="none"/>
              </w:rPr>
              <w:t>，具体采购内容及详细技术要求见采购文件相关部分。</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供货时间</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新宋体" w:hAnsi="新宋体" w:eastAsia="新宋体" w:cs="新宋体"/>
                <w:color w:val="auto"/>
                <w:kern w:val="0"/>
                <w:sz w:val="22"/>
                <w:szCs w:val="22"/>
                <w:highlight w:val="none"/>
                <w:lang w:val="en-US" w:eastAsia="zh-CN"/>
              </w:rPr>
            </w:pPr>
            <w:r>
              <w:rPr>
                <w:rFonts w:hint="eastAsia" w:ascii="宋体" w:hAnsi="宋体" w:eastAsia="新宋体" w:cs="宋体"/>
                <w:color w:val="auto"/>
                <w:kern w:val="0"/>
                <w:sz w:val="22"/>
                <w:szCs w:val="22"/>
                <w:highlight w:val="none"/>
                <w:u w:val="single"/>
                <w:lang w:val="en-US" w:eastAsia="zh-CN"/>
              </w:rPr>
              <w:t>合同签订后30个日历天内完成供货、安装、调试并通过采购人验收。</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资格</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要求</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1、符合《温州市市属国有企业采购管理办法（试行）》第十五条对供应商参加温州市国有企业采购活动应当具备的条件的要求；</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eastAsia="zh-CN"/>
              </w:rPr>
              <w:t>投标</w:t>
            </w:r>
            <w:r>
              <w:rPr>
                <w:rFonts w:hint="eastAsia" w:ascii="新宋体" w:hAnsi="新宋体" w:eastAsia="新宋体" w:cs="新宋体"/>
                <w:color w:val="auto"/>
                <w:kern w:val="0"/>
                <w:sz w:val="22"/>
                <w:szCs w:val="22"/>
                <w:highlight w:val="none"/>
                <w:lang w:val="en-US" w:eastAsia="zh-CN"/>
              </w:rPr>
              <w:t>供应商</w:t>
            </w:r>
            <w:r>
              <w:rPr>
                <w:rFonts w:hint="eastAsia" w:ascii="新宋体" w:hAnsi="新宋体" w:eastAsia="新宋体" w:cs="新宋体"/>
                <w:color w:val="auto"/>
                <w:kern w:val="0"/>
                <w:sz w:val="22"/>
                <w:szCs w:val="22"/>
                <w:highlight w:val="none"/>
              </w:rPr>
              <w:t>未被列入“信用中国”网(</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)、中国政府采购网（http://www.ccgp.gov.cn/）失信被执行人、重大税收违法案件当事人名单、政府采购严重违法失信行为记录名单且尚处于禁止参加采购活动期内；</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单位负责人为同一人或者存在直接控股、管理关系的不同供应商，不得参加同一合同项下的国企采购活动；</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不接受</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投标截止时间</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2022年</w:t>
            </w:r>
            <w:r>
              <w:rPr>
                <w:rFonts w:hint="eastAsia" w:ascii="新宋体" w:hAnsi="新宋体" w:eastAsia="新宋体" w:cs="新宋体"/>
                <w:color w:val="auto"/>
                <w:kern w:val="0"/>
                <w:sz w:val="22"/>
                <w:szCs w:val="22"/>
                <w:highlight w:val="none"/>
                <w:lang w:val="en-US" w:eastAsia="zh-CN"/>
              </w:rPr>
              <w:t>08</w:t>
            </w:r>
            <w:r>
              <w:rPr>
                <w:rFonts w:hint="eastAsia" w:ascii="新宋体" w:hAnsi="新宋体" w:eastAsia="新宋体" w:cs="新宋体"/>
                <w:color w:val="auto"/>
                <w:kern w:val="0"/>
                <w:sz w:val="22"/>
                <w:szCs w:val="22"/>
                <w:highlight w:val="none"/>
                <w:lang w:eastAsia="zh-CN"/>
              </w:rPr>
              <w:t>月</w:t>
            </w:r>
            <w:r>
              <w:rPr>
                <w:rFonts w:hint="eastAsia" w:ascii="新宋体" w:hAnsi="新宋体" w:eastAsia="新宋体" w:cs="新宋体"/>
                <w:color w:val="auto"/>
                <w:kern w:val="0"/>
                <w:sz w:val="22"/>
                <w:szCs w:val="22"/>
                <w:highlight w:val="none"/>
                <w:lang w:val="en-US" w:eastAsia="zh-CN"/>
              </w:rPr>
              <w:t>19</w:t>
            </w:r>
            <w:r>
              <w:rPr>
                <w:rFonts w:hint="eastAsia" w:ascii="新宋体" w:hAnsi="新宋体" w:eastAsia="新宋体" w:cs="新宋体"/>
                <w:color w:val="auto"/>
                <w:kern w:val="0"/>
                <w:sz w:val="22"/>
                <w:szCs w:val="22"/>
                <w:highlight w:val="none"/>
                <w:lang w:eastAsia="zh-CN"/>
              </w:rPr>
              <w:t>日14：30</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□允许</w:t>
            </w:r>
          </w:p>
          <w:p>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不允许</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在评标结束前予以澄清、说明或补正，不接受要求进行的，评标委员会有权做无效标处理，详见评标办法。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tblPrEx>
          <w:tblCellMar>
            <w:top w:w="0" w:type="dxa"/>
            <w:left w:w="108" w:type="dxa"/>
            <w:bottom w:w="0" w:type="dxa"/>
            <w:right w:w="108" w:type="dxa"/>
          </w:tblCellMar>
        </w:tblPrEx>
        <w:trPr>
          <w:trHeight w:val="421"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投标保证金：人民币</w:t>
            </w:r>
            <w:r>
              <w:rPr>
                <w:rFonts w:hint="eastAsia" w:ascii="新宋体" w:hAnsi="新宋体" w:eastAsia="新宋体" w:cs="新宋体"/>
                <w:color w:val="auto"/>
                <w:kern w:val="0"/>
                <w:sz w:val="22"/>
                <w:szCs w:val="22"/>
                <w:highlight w:val="none"/>
                <w:lang w:val="en-US" w:eastAsia="zh-CN"/>
              </w:rPr>
              <w:t>伍仟</w:t>
            </w:r>
            <w:r>
              <w:rPr>
                <w:rFonts w:hint="eastAsia" w:ascii="新宋体" w:hAnsi="新宋体" w:eastAsia="新宋体" w:cs="新宋体"/>
                <w:color w:val="auto"/>
                <w:kern w:val="0"/>
                <w:sz w:val="22"/>
                <w:szCs w:val="22"/>
                <w:highlight w:val="none"/>
              </w:rPr>
              <w:t>元（¥</w:t>
            </w:r>
            <w:r>
              <w:rPr>
                <w:rFonts w:hint="eastAsia" w:ascii="新宋体" w:hAnsi="新宋体" w:eastAsia="新宋体" w:cs="新宋体"/>
                <w:color w:val="auto"/>
                <w:kern w:val="0"/>
                <w:sz w:val="22"/>
                <w:szCs w:val="22"/>
                <w:highlight w:val="none"/>
                <w:lang w:val="en-US" w:eastAsia="zh-CN"/>
              </w:rPr>
              <w:t>50</w:t>
            </w:r>
            <w:r>
              <w:rPr>
                <w:rFonts w:hint="eastAsia" w:ascii="新宋体" w:hAnsi="新宋体" w:eastAsia="新宋体" w:cs="新宋体"/>
                <w:color w:val="auto"/>
                <w:kern w:val="0"/>
                <w:sz w:val="22"/>
                <w:szCs w:val="22"/>
                <w:highlight w:val="none"/>
              </w:rPr>
              <w:t>00元）整；必须在投标截止时间前以转账方式向政采云公司提交。</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户名：政采云有限公司</w:t>
            </w:r>
          </w:p>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账号：190001010400276210000003499</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开户行：中国农业银行杭州西湖支行</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Cs w:val="21"/>
                <w:highlight w:val="none"/>
              </w:rPr>
              <w:t>投标文件装订及封装要求</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（1）资格审查资料一式5份，正本1份，副本4份；</w:t>
            </w:r>
          </w:p>
          <w:p>
            <w:pP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（2）技术资信标一式5份，正本1份，副本4份；</w:t>
            </w:r>
          </w:p>
          <w:p>
            <w:pP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（3）商务报价标一式5份，正本1份，副本4份。</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（4）投标文件“资格审查资料”、“技术资信标”、“商务报价标”密封于各自包封袋中，并加盖密封印章，并在封套的封口处加盖</w:t>
            </w:r>
            <w:r>
              <w:rPr>
                <w:rFonts w:hint="eastAsia" w:ascii="新宋体" w:hAnsi="新宋体" w:eastAsia="新宋体" w:cs="新宋体"/>
                <w:color w:val="auto"/>
                <w:szCs w:val="21"/>
                <w:highlight w:val="none"/>
                <w:lang w:eastAsia="zh-CN"/>
              </w:rPr>
              <w:t>投标供应商</w:t>
            </w:r>
            <w:r>
              <w:rPr>
                <w:rFonts w:hint="eastAsia" w:ascii="新宋体" w:hAnsi="新宋体" w:eastAsia="新宋体" w:cs="新宋体"/>
                <w:color w:val="auto"/>
                <w:szCs w:val="21"/>
                <w:highlight w:val="none"/>
              </w:rPr>
              <w:t>单位章，并由法定代表人或其授权代表签字。</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签字或盖章要求</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投标文件的相应位置应加盖：</w:t>
            </w:r>
          </w:p>
          <w:p>
            <w:pPr>
              <w:adjustRightInd w:val="0"/>
              <w:snapToGrid w:val="0"/>
              <w:spacing w:line="26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（1）单位公章；</w:t>
            </w:r>
          </w:p>
          <w:p>
            <w:pPr>
              <w:adjustRightInd w:val="0"/>
              <w:snapToGrid w:val="0"/>
              <w:spacing w:line="26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（2）法定代表人或其授权委托代理人签字或盖章（如为授权委托代理人签字或盖章的须提供法定代表人授权委托书）；</w:t>
            </w:r>
          </w:p>
          <w:p>
            <w:pPr>
              <w:adjustRightInd w:val="0"/>
              <w:snapToGrid w:val="0"/>
              <w:spacing w:line="2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（3）</w:t>
            </w:r>
            <w:r>
              <w:rPr>
                <w:rFonts w:hint="eastAsia" w:ascii="新宋体" w:hAnsi="新宋体" w:eastAsia="新宋体" w:cs="新宋体"/>
                <w:color w:val="auto"/>
                <w:szCs w:val="21"/>
                <w:highlight w:val="none"/>
                <w:lang w:eastAsia="zh-CN"/>
              </w:rPr>
              <w:t>投标供应商</w:t>
            </w:r>
            <w:r>
              <w:rPr>
                <w:rFonts w:hint="eastAsia" w:ascii="新宋体" w:hAnsi="新宋体" w:eastAsia="新宋体" w:cs="新宋体"/>
                <w:color w:val="auto"/>
                <w:szCs w:val="21"/>
                <w:highlight w:val="none"/>
              </w:rPr>
              <w:t>单位章不得以分公司章、投标专用章、合同专用章等其他形式印章代替，否则视为无效印章。</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递交投标</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文件地点</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温州信达交通工程试验检测有限公司四楼会议室（温州市永嘉县瓯北镇和三村瓯北绕城高速收费站内）</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开标时间</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和地点</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开标时间：</w:t>
            </w:r>
            <w:r>
              <w:rPr>
                <w:rFonts w:hint="eastAsia" w:ascii="新宋体" w:hAnsi="新宋体" w:eastAsia="新宋体" w:cs="新宋体"/>
                <w:color w:val="auto"/>
                <w:kern w:val="0"/>
                <w:sz w:val="22"/>
                <w:szCs w:val="22"/>
                <w:highlight w:val="none"/>
                <w:lang w:eastAsia="zh-CN"/>
              </w:rPr>
              <w:t>2022年</w:t>
            </w:r>
            <w:r>
              <w:rPr>
                <w:rFonts w:hint="eastAsia" w:ascii="新宋体" w:hAnsi="新宋体" w:eastAsia="新宋体" w:cs="新宋体"/>
                <w:color w:val="auto"/>
                <w:kern w:val="0"/>
                <w:sz w:val="22"/>
                <w:szCs w:val="22"/>
                <w:highlight w:val="none"/>
                <w:lang w:val="en-US" w:eastAsia="zh-CN"/>
              </w:rPr>
              <w:t>08</w:t>
            </w:r>
            <w:r>
              <w:rPr>
                <w:rFonts w:hint="eastAsia" w:ascii="新宋体" w:hAnsi="新宋体" w:eastAsia="新宋体" w:cs="新宋体"/>
                <w:color w:val="auto"/>
                <w:kern w:val="0"/>
                <w:sz w:val="22"/>
                <w:szCs w:val="22"/>
                <w:highlight w:val="none"/>
                <w:lang w:eastAsia="zh-CN"/>
              </w:rPr>
              <w:t>月</w:t>
            </w:r>
            <w:r>
              <w:rPr>
                <w:rFonts w:hint="eastAsia" w:ascii="新宋体" w:hAnsi="新宋体" w:eastAsia="新宋体" w:cs="新宋体"/>
                <w:color w:val="auto"/>
                <w:kern w:val="0"/>
                <w:sz w:val="22"/>
                <w:szCs w:val="22"/>
                <w:highlight w:val="none"/>
                <w:lang w:val="en-US" w:eastAsia="zh-CN"/>
              </w:rPr>
              <w:t>19</w:t>
            </w:r>
            <w:r>
              <w:rPr>
                <w:rFonts w:hint="eastAsia" w:ascii="新宋体" w:hAnsi="新宋体" w:eastAsia="新宋体" w:cs="新宋体"/>
                <w:color w:val="auto"/>
                <w:kern w:val="0"/>
                <w:sz w:val="22"/>
                <w:szCs w:val="22"/>
                <w:highlight w:val="none"/>
                <w:lang w:eastAsia="zh-CN"/>
              </w:rPr>
              <w:t>日14：30</w:t>
            </w:r>
          </w:p>
          <w:p>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开标地点：温州信达交通工程试验检测有限公司四楼会议室（温州市永嘉县瓯北镇和三村瓯北绕城高速收费站内）</w:t>
            </w:r>
          </w:p>
        </w:tc>
      </w:tr>
      <w:tr>
        <w:tblPrEx>
          <w:tblCellMar>
            <w:top w:w="0" w:type="dxa"/>
            <w:left w:w="108" w:type="dxa"/>
            <w:bottom w:w="0" w:type="dxa"/>
            <w:right w:w="108" w:type="dxa"/>
          </w:tblCellMar>
        </w:tblPrEx>
        <w:trPr>
          <w:trHeight w:val="416"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开评标程序</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（1）宣布开标纪律；</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（2）公布在投标截止时间前递交投标文件的</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名称，并点名确认</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是否派授权代表到场；</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（3）宣布唱标人、记录人、监督人员等有关人员姓名；</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（4）密封情况检查：由监督人员或</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推选的代表检查投标文件密封情况；</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（5）开标顺序：</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送达投标文件的逆序；</w:t>
            </w:r>
            <w:r>
              <w:rPr>
                <w:rFonts w:hint="eastAsia"/>
                <w:color w:val="auto"/>
                <w:highlight w:val="none"/>
              </w:rPr>
              <w:t>在开标室里先开启技术资信标，再送达评审室评审。技术资信标评审结束后，再开启商务报价标；</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（6）确认开标结果：</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授权代表对开标记录进行当场校核及勘误，并签字确认；并同时由记录人、监督人当场签字确认；</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（7）宣布开标结束；。</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（8）</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授权代表未参加开标会议；未到场签字确认的，不影响开标，评标过程，视同认可开标结果；事后不得对采购相关人员、开标过程和开标结果提出异议；</w:t>
            </w:r>
          </w:p>
          <w:p>
            <w:pPr>
              <w:ind w:left="2"/>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（9）将开启的投标文件送交评标委员会评审。</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的组建</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采购人按照相关规定组建评标委员会，评标委员会成员由采购人代表和有关技术、经济等方面的专家组成，成员人数为5人（含）以上单数。</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履约担保</w:t>
            </w:r>
          </w:p>
        </w:tc>
        <w:tc>
          <w:tcPr>
            <w:tcW w:w="7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□不需要</w:t>
            </w:r>
          </w:p>
          <w:p>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sz w:val="22"/>
                <w:highlight w:val="none"/>
              </w:rPr>
              <w:t xml:space="preserve">需要 </w:t>
            </w:r>
            <w:r>
              <w:rPr>
                <w:rFonts w:hint="eastAsia" w:ascii="宋体" w:hAnsi="宋体" w:cs="宋体"/>
                <w:color w:val="auto"/>
                <w:sz w:val="22"/>
                <w:szCs w:val="22"/>
                <w:highlight w:val="none"/>
              </w:rPr>
              <w:t>合同总价</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的履约保证金（接受保函</w:t>
            </w:r>
            <w:r>
              <w:rPr>
                <w:rFonts w:hint="eastAsia" w:ascii="宋体" w:hAnsi="宋体" w:cs="宋体"/>
                <w:color w:val="auto"/>
                <w:sz w:val="22"/>
                <w:szCs w:val="22"/>
                <w:highlight w:val="none"/>
                <w:lang w:val="en-US" w:eastAsia="zh-CN"/>
              </w:rPr>
              <w:t>等其他形式</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gridAfter w:val="1"/>
          <w:wAfter w:w="111" w:type="dxa"/>
          <w:trHeight w:val="594"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新宋体" w:hAnsi="新宋体" w:eastAsia="新宋体" w:cs="新宋体"/>
                <w:color w:val="auto"/>
                <w:kern w:val="0"/>
                <w:sz w:val="22"/>
                <w:szCs w:val="22"/>
                <w:highlight w:val="none"/>
              </w:rPr>
            </w:pPr>
            <w:bookmarkStart w:id="9" w:name="_Toc265529379"/>
            <w:bookmarkStart w:id="10" w:name="_Toc241404198"/>
            <w:bookmarkStart w:id="11" w:name="_Toc221356947"/>
            <w:bookmarkStart w:id="12" w:name="_Toc221374622"/>
            <w:bookmarkStart w:id="13" w:name="_Toc221423615"/>
            <w:bookmarkStart w:id="14" w:name="_Toc239145350"/>
            <w:bookmarkStart w:id="15" w:name="_Toc222114875"/>
            <w:bookmarkStart w:id="16" w:name="_Toc223715994"/>
            <w:bookmarkStart w:id="17" w:name="_Toc221356882"/>
            <w:r>
              <w:rPr>
                <w:rFonts w:hint="eastAsia" w:ascii="新宋体" w:hAnsi="新宋体" w:eastAsia="新宋体" w:cs="新宋体"/>
                <w:color w:val="auto"/>
                <w:kern w:val="0"/>
                <w:sz w:val="22"/>
                <w:szCs w:val="22"/>
                <w:highlight w:val="none"/>
              </w:rPr>
              <w:t>22</w:t>
            </w:r>
          </w:p>
        </w:tc>
        <w:tc>
          <w:tcPr>
            <w:tcW w:w="166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原 件</w:t>
            </w:r>
          </w:p>
        </w:tc>
        <w:tc>
          <w:tcPr>
            <w:tcW w:w="70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□提交</w:t>
            </w:r>
          </w:p>
          <w:p>
            <w:pPr>
              <w:spacing w:line="300" w:lineRule="exact"/>
              <w:rPr>
                <w:rFonts w:ascii="新宋体" w:hAnsi="新宋体" w:eastAsia="新宋体" w:cs="新宋体"/>
                <w:color w:val="auto"/>
                <w:kern w:val="0"/>
                <w:sz w:val="22"/>
                <w:szCs w:val="22"/>
                <w:highlight w:val="none"/>
              </w:rPr>
            </w:pPr>
            <w:r>
              <w:rPr>
                <w:rFonts w:ascii="新宋体" w:hAnsi="新宋体" w:eastAsia="新宋体" w:cs="新宋体"/>
                <w:b/>
                <w:snapToGrid w:val="0"/>
                <w:color w:val="auto"/>
                <w:sz w:val="22"/>
                <w:szCs w:val="22"/>
                <w:highlight w:val="none"/>
              </w:rPr>
              <w:sym w:font="Wingdings" w:char="00FE"/>
            </w:r>
            <w:r>
              <w:rPr>
                <w:rFonts w:hint="eastAsia" w:ascii="新宋体" w:hAnsi="新宋体" w:eastAsia="新宋体" w:cs="新宋体"/>
                <w:color w:val="auto"/>
                <w:kern w:val="0"/>
                <w:sz w:val="22"/>
                <w:szCs w:val="22"/>
                <w:highlight w:val="none"/>
              </w:rPr>
              <w:t>不提交</w:t>
            </w:r>
          </w:p>
        </w:tc>
      </w:tr>
      <w:tr>
        <w:tblPrEx>
          <w:tblCellMar>
            <w:top w:w="0" w:type="dxa"/>
            <w:left w:w="108" w:type="dxa"/>
            <w:bottom w:w="0" w:type="dxa"/>
            <w:right w:w="108" w:type="dxa"/>
          </w:tblCellMar>
        </w:tblPrEx>
        <w:trPr>
          <w:gridAfter w:val="1"/>
          <w:wAfter w:w="111" w:type="dxa"/>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信用查询</w:t>
            </w:r>
          </w:p>
        </w:tc>
        <w:tc>
          <w:tcPr>
            <w:tcW w:w="71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（1）供应商信用信息查询的查询渠道：“信用中国”(</w:t>
            </w:r>
            <w:r>
              <w:rPr>
                <w:rFonts w:ascii="新宋体" w:hAnsi="新宋体" w:eastAsia="新宋体"/>
                <w:color w:val="auto"/>
                <w:highlight w:val="none"/>
              </w:rPr>
              <w:fldChar w:fldCharType="begin"/>
            </w:r>
            <w:r>
              <w:rPr>
                <w:rFonts w:ascii="新宋体" w:hAnsi="新宋体" w:eastAsia="新宋体"/>
                <w:color w:val="auto"/>
                <w:highlight w:val="none"/>
              </w:rPr>
              <w:instrText xml:space="preserve">HYPERLINK "http://www.creditchina.gov.cn"</w:instrText>
            </w:r>
            <w:r>
              <w:rPr>
                <w:rFonts w:ascii="新宋体" w:hAnsi="新宋体" w:eastAsia="新宋体"/>
                <w:color w:val="auto"/>
                <w:highlight w:val="none"/>
              </w:rPr>
              <w:fldChar w:fldCharType="separate"/>
            </w:r>
            <w:r>
              <w:rPr>
                <w:rStyle w:val="27"/>
                <w:rFonts w:hint="eastAsia" w:ascii="新宋体" w:hAnsi="新宋体" w:eastAsia="新宋体" w:cs="新宋体"/>
                <w:color w:val="auto"/>
                <w:sz w:val="22"/>
                <w:szCs w:val="22"/>
                <w:highlight w:val="none"/>
              </w:rPr>
              <w:t>www.creditchina.gov.cn</w:t>
            </w:r>
            <w:r>
              <w:rPr>
                <w:rFonts w:ascii="新宋体" w:hAnsi="新宋体" w:eastAsia="新宋体"/>
                <w:color w:val="auto"/>
                <w:highlight w:val="none"/>
              </w:rPr>
              <w:fldChar w:fldCharType="end"/>
            </w:r>
            <w:r>
              <w:rPr>
                <w:rFonts w:hint="eastAsia" w:ascii="新宋体" w:hAnsi="新宋体" w:eastAsia="新宋体" w:cs="新宋体"/>
                <w:color w:val="auto"/>
                <w:sz w:val="22"/>
                <w:szCs w:val="22"/>
                <w:highlight w:val="none"/>
              </w:rPr>
              <w:t>)；“中国政府采购网”（http://www.ccgp.gov.cn/）；</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（2）供应商信用信息查询截止时点：本项目投标截止时间。</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（3）供应商信用信息查询记录和证据留存的具体方式：网页截图打印；</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在“信用中国”具有负面记录：列入失信被执行人、重大税收违法案件当事人名单、采购严重违法失信行为名单；</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（5）具有以上（4）所述信息记录的供应商，其投标做无效投标处理。</w:t>
            </w:r>
          </w:p>
          <w:p>
            <w:pPr>
              <w:rPr>
                <w:rFonts w:ascii="新宋体" w:hAnsi="新宋体" w:eastAsia="新宋体" w:cs="新宋体"/>
                <w:color w:val="auto"/>
                <w:highlight w:val="none"/>
              </w:rPr>
            </w:pPr>
            <w:r>
              <w:rPr>
                <w:rFonts w:hint="eastAsia" w:ascii="新宋体" w:hAnsi="新宋体" w:eastAsia="新宋体" w:cs="新宋体"/>
                <w:b/>
                <w:bCs/>
                <w:color w:val="auto"/>
                <w:szCs w:val="21"/>
                <w:highlight w:val="none"/>
                <w:u w:val="single"/>
              </w:rPr>
              <w:t>（6）▲</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①若供应商查询页面“行政处罚”栏显示有行政处罚事项，须将所有行政处罚事项在“信用中国”网页上列出的明细一并打印，并附说明，是否属于“</w:t>
            </w:r>
            <w:r>
              <w:rPr>
                <w:rFonts w:hint="eastAsia" w:ascii="新宋体" w:hAnsi="新宋体" w:eastAsia="新宋体" w:cs="新宋体"/>
                <w:color w:val="auto"/>
                <w:sz w:val="22"/>
                <w:szCs w:val="22"/>
                <w:highlight w:val="none"/>
              </w:rPr>
              <w:t>经营活动中的重大违法记录</w:t>
            </w:r>
            <w:r>
              <w:rPr>
                <w:rFonts w:hint="eastAsia" w:ascii="新宋体" w:hAnsi="新宋体" w:eastAsia="新宋体" w:cs="新宋体"/>
                <w:bCs/>
                <w:color w:val="auto"/>
                <w:sz w:val="22"/>
                <w:szCs w:val="22"/>
                <w:highlight w:val="none"/>
              </w:rPr>
              <w:t>”。</w:t>
            </w:r>
          </w:p>
          <w:p>
            <w:pPr>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②若供应商在“信用中国”无数据，亦须将搜索结果页面打印，并附说明。</w:t>
            </w:r>
          </w:p>
        </w:tc>
      </w:tr>
      <w:tr>
        <w:tblPrEx>
          <w:tblCellMar>
            <w:top w:w="0" w:type="dxa"/>
            <w:left w:w="108" w:type="dxa"/>
            <w:bottom w:w="0" w:type="dxa"/>
            <w:right w:w="108" w:type="dxa"/>
          </w:tblCellMar>
        </w:tblPrEx>
        <w:trPr>
          <w:gridAfter w:val="1"/>
          <w:wAfter w:w="111" w:type="dxa"/>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合同备案</w:t>
            </w:r>
          </w:p>
        </w:tc>
        <w:tc>
          <w:tcPr>
            <w:tcW w:w="71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须在收到中标通知书之日起30日历天内与采购人签订合同。</w:t>
            </w:r>
          </w:p>
          <w:p>
            <w:pPr>
              <w:jc w:val="left"/>
              <w:rPr>
                <w:rFonts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（2）中标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与采购人签订合同后，2日历天内将合同扫描件电子版发给采购代理机构：邮箱：</w:t>
            </w:r>
            <w:r>
              <w:rPr>
                <w:rFonts w:hint="eastAsia" w:ascii="新宋体" w:hAnsi="新宋体" w:eastAsia="新宋体" w:cs="新宋体"/>
                <w:b/>
                <w:color w:val="auto"/>
                <w:sz w:val="22"/>
                <w:szCs w:val="22"/>
                <w:highlight w:val="none"/>
                <w:u w:val="single"/>
              </w:rPr>
              <w:t>ye462978466@qq.com</w:t>
            </w:r>
            <w:r>
              <w:rPr>
                <w:rFonts w:hint="eastAsia" w:ascii="新宋体" w:hAnsi="新宋体" w:eastAsia="新宋体" w:cs="新宋体"/>
                <w:color w:val="auto"/>
                <w:sz w:val="22"/>
                <w:szCs w:val="22"/>
                <w:highlight w:val="none"/>
              </w:rPr>
              <w:t>。</w:t>
            </w:r>
          </w:p>
        </w:tc>
      </w:tr>
      <w:tr>
        <w:tblPrEx>
          <w:tblCellMar>
            <w:top w:w="0" w:type="dxa"/>
            <w:left w:w="108" w:type="dxa"/>
            <w:bottom w:w="0" w:type="dxa"/>
            <w:right w:w="108" w:type="dxa"/>
          </w:tblCellMar>
        </w:tblPrEx>
        <w:trPr>
          <w:gridAfter w:val="1"/>
          <w:wAfter w:w="111" w:type="dxa"/>
          <w:trHeight w:val="855"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合同履约管理</w:t>
            </w:r>
          </w:p>
        </w:tc>
        <w:tc>
          <w:tcPr>
            <w:tcW w:w="71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w:t>
            </w:r>
            <w:r>
              <w:rPr>
                <w:rFonts w:hint="eastAsia" w:ascii="新宋体" w:hAnsi="新宋体" w:eastAsia="新宋体" w:cs="新宋体"/>
                <w:color w:val="auto"/>
                <w:sz w:val="22"/>
                <w:szCs w:val="22"/>
                <w:highlight w:val="none"/>
                <w:lang w:val="en-US" w:eastAsia="zh-CN"/>
              </w:rPr>
              <w:t>集团公司采购</w:t>
            </w:r>
            <w:r>
              <w:rPr>
                <w:rFonts w:hint="eastAsia" w:ascii="新宋体" w:hAnsi="新宋体" w:eastAsia="新宋体" w:cs="新宋体"/>
                <w:color w:val="auto"/>
                <w:sz w:val="22"/>
                <w:szCs w:val="22"/>
                <w:highlight w:val="none"/>
              </w:rPr>
              <w:t>管理部门报告验收过程中遇到的问题。</w:t>
            </w:r>
          </w:p>
        </w:tc>
      </w:tr>
      <w:tr>
        <w:tblPrEx>
          <w:tblCellMar>
            <w:top w:w="0" w:type="dxa"/>
            <w:left w:w="108" w:type="dxa"/>
            <w:bottom w:w="0" w:type="dxa"/>
            <w:right w:w="108" w:type="dxa"/>
          </w:tblCellMar>
        </w:tblPrEx>
        <w:trPr>
          <w:gridAfter w:val="1"/>
          <w:wAfter w:w="111" w:type="dxa"/>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26</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解释权</w:t>
            </w:r>
          </w:p>
        </w:tc>
        <w:tc>
          <w:tcPr>
            <w:tcW w:w="71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gridAfter w:val="1"/>
          <w:wAfter w:w="111" w:type="dxa"/>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27</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质疑与投诉</w:t>
            </w:r>
          </w:p>
        </w:tc>
        <w:tc>
          <w:tcPr>
            <w:tcW w:w="71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spacing w:line="24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认为采购文件、采购过程、中标和成交结果使自己的合法权益受到损害的，可以在知道或应知道其权益受到损害之日起七个工作日内以书面形式向采购人或采购代理机构提出质疑。</w:t>
            </w:r>
          </w:p>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2.采购人或采购代理机构在收到</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的书面质疑后七个工作日内作出答复，但答复的内容不得涉及商业秘密。质疑</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对采购人或采购代理机构的答复不满意，可以在答复期满后十五个工作日内向</w:t>
            </w:r>
            <w:r>
              <w:rPr>
                <w:rFonts w:hint="eastAsia" w:ascii="新宋体" w:hAnsi="新宋体" w:eastAsia="新宋体" w:cs="新宋体"/>
                <w:color w:val="auto"/>
                <w:sz w:val="22"/>
                <w:szCs w:val="22"/>
                <w:highlight w:val="none"/>
                <w:lang w:eastAsia="zh-CN"/>
              </w:rPr>
              <w:t>温州市交通发展集团有限公司</w:t>
            </w:r>
            <w:r>
              <w:rPr>
                <w:rFonts w:hint="eastAsia" w:ascii="新宋体" w:hAnsi="新宋体" w:eastAsia="新宋体" w:cs="新宋体"/>
                <w:color w:val="auto"/>
                <w:sz w:val="22"/>
                <w:szCs w:val="22"/>
                <w:highlight w:val="none"/>
              </w:rPr>
              <w:t>投诉。</w:t>
            </w:r>
          </w:p>
        </w:tc>
      </w:tr>
    </w:tbl>
    <w:p>
      <w:pPr>
        <w:pStyle w:val="3"/>
        <w:rPr>
          <w:rFonts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t xml:space="preserve"> </w:t>
      </w:r>
      <w:r>
        <w:rPr>
          <w:rFonts w:hint="eastAsia" w:ascii="新宋体" w:hAnsi="新宋体" w:eastAsia="新宋体" w:cs="新宋体"/>
          <w:color w:val="auto"/>
          <w:sz w:val="36"/>
          <w:szCs w:val="36"/>
          <w:highlight w:val="none"/>
        </w:rPr>
        <w:br w:type="page"/>
      </w:r>
      <w:bookmarkStart w:id="18" w:name="_Toc20590"/>
      <w:bookmarkStart w:id="19" w:name="_Toc71374671"/>
      <w:bookmarkStart w:id="20" w:name="_Toc71374670"/>
      <w:r>
        <w:rPr>
          <w:rFonts w:hint="eastAsia" w:ascii="新宋体" w:hAnsi="新宋体" w:eastAsia="新宋体" w:cs="新宋体"/>
          <w:color w:val="auto"/>
          <w:sz w:val="36"/>
          <w:szCs w:val="36"/>
          <w:highlight w:val="none"/>
        </w:rPr>
        <w:t xml:space="preserve">第一部分    </w:t>
      </w:r>
      <w:r>
        <w:rPr>
          <w:rFonts w:hint="eastAsia" w:ascii="新宋体" w:hAnsi="新宋体" w:eastAsia="新宋体" w:cs="新宋体"/>
          <w:color w:val="auto"/>
          <w:sz w:val="36"/>
          <w:szCs w:val="36"/>
          <w:highlight w:val="none"/>
          <w:lang w:eastAsia="zh-CN"/>
        </w:rPr>
        <w:t>投标供应商</w:t>
      </w:r>
      <w:r>
        <w:rPr>
          <w:rFonts w:hint="eastAsia" w:ascii="新宋体" w:hAnsi="新宋体" w:eastAsia="新宋体" w:cs="新宋体"/>
          <w:color w:val="auto"/>
          <w:sz w:val="36"/>
          <w:szCs w:val="36"/>
          <w:highlight w:val="none"/>
        </w:rPr>
        <w:t>须知</w:t>
      </w:r>
      <w:bookmarkEnd w:id="9"/>
      <w:bookmarkEnd w:id="10"/>
      <w:bookmarkEnd w:id="11"/>
      <w:bookmarkEnd w:id="12"/>
      <w:bookmarkEnd w:id="13"/>
      <w:bookmarkEnd w:id="14"/>
      <w:bookmarkEnd w:id="15"/>
      <w:bookmarkEnd w:id="16"/>
      <w:bookmarkEnd w:id="17"/>
      <w:bookmarkEnd w:id="18"/>
      <w:bookmarkEnd w:id="19"/>
      <w:bookmarkEnd w:id="20"/>
    </w:p>
    <w:p>
      <w:pPr>
        <w:spacing w:before="100" w:beforeAutospacing="1" w:after="100" w:afterAutospacing="1" w:line="440" w:lineRule="exact"/>
        <w:jc w:val="center"/>
        <w:outlineLvl w:val="0"/>
        <w:rPr>
          <w:rFonts w:ascii="新宋体" w:hAnsi="新宋体" w:eastAsia="新宋体" w:cs="新宋体"/>
          <w:b/>
          <w:bCs/>
          <w:color w:val="auto"/>
          <w:sz w:val="26"/>
          <w:szCs w:val="26"/>
          <w:highlight w:val="none"/>
        </w:rPr>
      </w:pPr>
      <w:bookmarkStart w:id="21" w:name="_Toc222114876"/>
      <w:bookmarkStart w:id="22" w:name="_Toc223715995"/>
      <w:bookmarkStart w:id="23" w:name="_Toc221423616"/>
      <w:bookmarkStart w:id="24" w:name="_Toc265529380"/>
      <w:bookmarkStart w:id="25" w:name="_Toc241404199"/>
      <w:bookmarkStart w:id="26" w:name="_Toc71374672"/>
      <w:bookmarkStart w:id="27" w:name="_Toc221356948"/>
      <w:bookmarkStart w:id="28" w:name="_Toc239145351"/>
      <w:bookmarkStart w:id="29" w:name="_Toc24612"/>
      <w:bookmarkStart w:id="30" w:name="_Toc221356883"/>
      <w:bookmarkStart w:id="31" w:name="_Toc221374623"/>
      <w:r>
        <w:rPr>
          <w:rFonts w:hint="eastAsia" w:ascii="新宋体" w:hAnsi="新宋体" w:eastAsia="新宋体" w:cs="新宋体"/>
          <w:b/>
          <w:bCs/>
          <w:color w:val="auto"/>
          <w:sz w:val="26"/>
          <w:szCs w:val="26"/>
          <w:highlight w:val="none"/>
        </w:rPr>
        <w:t>一、  说明</w:t>
      </w:r>
      <w:bookmarkEnd w:id="21"/>
      <w:bookmarkEnd w:id="22"/>
      <w:bookmarkEnd w:id="23"/>
      <w:bookmarkEnd w:id="24"/>
      <w:bookmarkEnd w:id="25"/>
      <w:bookmarkEnd w:id="26"/>
      <w:bookmarkEnd w:id="27"/>
      <w:bookmarkEnd w:id="28"/>
      <w:bookmarkEnd w:id="29"/>
      <w:bookmarkEnd w:id="30"/>
      <w:bookmarkEnd w:id="31"/>
    </w:p>
    <w:p>
      <w:pPr>
        <w:numPr>
          <w:ilvl w:val="0"/>
          <w:numId w:val="1"/>
        </w:numPr>
        <w:tabs>
          <w:tab w:val="left" w:pos="540"/>
          <w:tab w:val="left" w:pos="900"/>
          <w:tab w:val="clear" w:pos="42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本次采购是</w:t>
      </w:r>
      <w:r>
        <w:rPr>
          <w:rFonts w:hint="eastAsia" w:ascii="新宋体" w:hAnsi="新宋体" w:eastAsia="新宋体" w:cs="新宋体"/>
          <w:color w:val="auto"/>
          <w:kern w:val="0"/>
          <w:sz w:val="22"/>
          <w:szCs w:val="22"/>
          <w:highlight w:val="none"/>
        </w:rPr>
        <w:t>根据《温州市市属国有企业采购管理办法（试行）》等有关规定</w:t>
      </w:r>
      <w:r>
        <w:rPr>
          <w:rFonts w:hint="eastAsia" w:ascii="新宋体" w:hAnsi="新宋体" w:eastAsia="新宋体" w:cs="新宋体"/>
          <w:color w:val="auto"/>
          <w:sz w:val="22"/>
          <w:szCs w:val="22"/>
          <w:highlight w:val="none"/>
        </w:rPr>
        <w:t>及有关法规组织和实施的。</w:t>
      </w:r>
    </w:p>
    <w:p>
      <w:pPr>
        <w:numPr>
          <w:ilvl w:val="0"/>
          <w:numId w:val="1"/>
        </w:numPr>
        <w:tabs>
          <w:tab w:val="left" w:pos="540"/>
          <w:tab w:val="left" w:pos="900"/>
          <w:tab w:val="clear" w:pos="42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合格</w:t>
      </w:r>
      <w:r>
        <w:rPr>
          <w:rFonts w:hint="eastAsia" w:ascii="新宋体" w:hAnsi="新宋体" w:eastAsia="新宋体" w:cs="新宋体"/>
          <w:color w:val="auto"/>
          <w:sz w:val="22"/>
          <w:szCs w:val="22"/>
          <w:highlight w:val="none"/>
          <w:lang w:eastAsia="zh-CN"/>
        </w:rPr>
        <w:t>投标供应商</w:t>
      </w:r>
    </w:p>
    <w:p>
      <w:pPr>
        <w:tabs>
          <w:tab w:val="left" w:pos="54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合格条件见本项目采购公告。</w:t>
      </w:r>
    </w:p>
    <w:p>
      <w:pPr>
        <w:numPr>
          <w:ilvl w:val="0"/>
          <w:numId w:val="1"/>
        </w:numPr>
        <w:tabs>
          <w:tab w:val="left" w:pos="540"/>
          <w:tab w:val="left" w:pos="900"/>
          <w:tab w:val="clear" w:pos="42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代表</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参加投标活动并签署投标文件的人。如果</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代表不是法定代表人，须持有《法定代表人授权书》。</w:t>
      </w:r>
    </w:p>
    <w:p>
      <w:pPr>
        <w:numPr>
          <w:ilvl w:val="0"/>
          <w:numId w:val="1"/>
        </w:numPr>
        <w:tabs>
          <w:tab w:val="left" w:pos="540"/>
          <w:tab w:val="left" w:pos="900"/>
          <w:tab w:val="clear" w:pos="42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投标费用</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应承担所有与准备和参加投标有关费用，不论投标的结果如何，采购人和采购代理机构均无义务和责任承担这些费用。</w:t>
      </w:r>
    </w:p>
    <w:p>
      <w:pPr>
        <w:spacing w:before="100" w:beforeAutospacing="1" w:after="100" w:afterAutospacing="1" w:line="440" w:lineRule="exact"/>
        <w:jc w:val="center"/>
        <w:outlineLvl w:val="0"/>
        <w:rPr>
          <w:rFonts w:ascii="新宋体" w:hAnsi="新宋体" w:eastAsia="新宋体" w:cs="新宋体"/>
          <w:b/>
          <w:bCs/>
          <w:color w:val="auto"/>
          <w:sz w:val="26"/>
          <w:szCs w:val="26"/>
          <w:highlight w:val="none"/>
        </w:rPr>
      </w:pPr>
      <w:bookmarkStart w:id="32" w:name="_Toc221374624"/>
      <w:bookmarkStart w:id="33" w:name="_Toc221356949"/>
      <w:bookmarkStart w:id="34" w:name="_Toc223715996"/>
      <w:bookmarkStart w:id="35" w:name="_Toc265529381"/>
      <w:bookmarkStart w:id="36" w:name="_Toc221356884"/>
      <w:bookmarkStart w:id="37" w:name="_Toc20896"/>
      <w:bookmarkStart w:id="38" w:name="_Toc241404200"/>
      <w:bookmarkStart w:id="39" w:name="_Toc71374673"/>
      <w:bookmarkStart w:id="40" w:name="_Toc221423617"/>
      <w:bookmarkStart w:id="41" w:name="_Toc222114877"/>
      <w:bookmarkStart w:id="42" w:name="_Toc239145352"/>
      <w:r>
        <w:rPr>
          <w:rFonts w:hint="eastAsia" w:ascii="新宋体" w:hAnsi="新宋体" w:eastAsia="新宋体" w:cs="新宋体"/>
          <w:b/>
          <w:bCs/>
          <w:color w:val="auto"/>
          <w:sz w:val="26"/>
          <w:szCs w:val="26"/>
          <w:highlight w:val="none"/>
        </w:rPr>
        <w:t>二、 采购文件</w:t>
      </w:r>
      <w:bookmarkEnd w:id="32"/>
      <w:bookmarkEnd w:id="33"/>
      <w:bookmarkEnd w:id="34"/>
      <w:bookmarkEnd w:id="35"/>
      <w:bookmarkEnd w:id="36"/>
      <w:bookmarkEnd w:id="37"/>
      <w:bookmarkEnd w:id="38"/>
      <w:bookmarkEnd w:id="39"/>
      <w:bookmarkEnd w:id="40"/>
      <w:bookmarkEnd w:id="41"/>
      <w:bookmarkEnd w:id="42"/>
    </w:p>
    <w:p>
      <w:pPr>
        <w:numPr>
          <w:ilvl w:val="0"/>
          <w:numId w:val="2"/>
        </w:num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采购文件由采购文件目录所列内容及相关资料组成。</w:t>
      </w:r>
    </w:p>
    <w:p>
      <w:pPr>
        <w:numPr>
          <w:ilvl w:val="0"/>
          <w:numId w:val="2"/>
        </w:numPr>
        <w:tabs>
          <w:tab w:val="left" w:pos="54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采购文件的澄清</w:t>
      </w:r>
    </w:p>
    <w:p>
      <w:pPr>
        <w:tabs>
          <w:tab w:val="left" w:pos="54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对采购文件如有疑点或未尽事宜要求澄清，或认为有必要进行说明或交流，可以在知道或应知其权益受到损害之日起七个工作日内，以书面形式（包括信函、传真、下同）向采购人</w:t>
      </w:r>
      <w:r>
        <w:rPr>
          <w:rFonts w:hint="eastAsia" w:ascii="新宋体" w:hAnsi="新宋体" w:eastAsia="新宋体" w:cs="新宋体"/>
          <w:color w:val="auto"/>
          <w:sz w:val="22"/>
          <w:szCs w:val="22"/>
          <w:highlight w:val="none"/>
          <w:lang w:val="en-US" w:eastAsia="zh-CN"/>
        </w:rPr>
        <w:t>及代理机构</w:t>
      </w:r>
      <w:r>
        <w:rPr>
          <w:rFonts w:hint="eastAsia" w:ascii="新宋体" w:hAnsi="新宋体" w:eastAsia="新宋体" w:cs="新宋体"/>
          <w:color w:val="auto"/>
          <w:sz w:val="22"/>
          <w:szCs w:val="22"/>
          <w:highlight w:val="none"/>
        </w:rPr>
        <w:t>提出质疑，</w:t>
      </w:r>
      <w:r>
        <w:rPr>
          <w:rFonts w:hint="eastAsia" w:ascii="宋体" w:hAnsi="宋体" w:cs="宋体"/>
          <w:color w:val="auto"/>
          <w:szCs w:val="21"/>
          <w:highlight w:val="none"/>
        </w:rPr>
        <w:t>但质疑不得迟于采购文件规定的询疑截止时间前使采购人收到，采购人和采购代理机构将用书面形式予以答复。</w:t>
      </w:r>
      <w:r>
        <w:rPr>
          <w:rFonts w:hint="eastAsia" w:ascii="新宋体" w:hAnsi="新宋体" w:eastAsia="新宋体" w:cs="新宋体"/>
          <w:color w:val="auto"/>
          <w:sz w:val="22"/>
          <w:szCs w:val="22"/>
          <w:highlight w:val="none"/>
        </w:rPr>
        <w:t>如有必要，可将不说明问题来源的答复发给各有关</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或召开答疑会。如果标书答疑期内未收到有关疑问，视为</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完全同意采购文件所有条款，且对于采购文件相关表述以及未尽事宜如有争议，以采购人解释为准。</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采购文件的修改</w:t>
      </w:r>
    </w:p>
    <w:p>
      <w:pPr>
        <w:tabs>
          <w:tab w:val="left" w:pos="360"/>
          <w:tab w:val="left" w:pos="747"/>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 在投标截止期十五天前，采购人无论是出于何种原因，均可对采购文件用补充文件的方式进行修改，并在政采云平台、温州市国有企业采购平台以及集团网站发布更正公告。该澄清和修改的内容为采购文件的组成部分。采购人可以视采购具体情况在采购文件要求提交截止时间前，作出延长投标文件递交截止时间和开标时间的决定，并将变更时间书面通知所有采购文件收受人，并在政采云平台、温州市国有企业采购平台以及集团网站上发布变更公告。</w:t>
      </w:r>
    </w:p>
    <w:p>
      <w:pPr>
        <w:tabs>
          <w:tab w:val="left" w:pos="360"/>
          <w:tab w:val="left" w:pos="747"/>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 采购文件如有补充更正均见政采云平台、温州市国有企业采购平台以及集团网站。</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须在开标前一日自行查看是否有补充更正文件，并按补充更正文件要求投标响应，否则责任自负</w:t>
      </w:r>
      <w:r>
        <w:rPr>
          <w:rFonts w:hint="eastAsia" w:ascii="新宋体" w:hAnsi="新宋体" w:eastAsia="新宋体" w:cs="新宋体"/>
          <w:bCs/>
          <w:color w:val="auto"/>
          <w:sz w:val="22"/>
          <w:szCs w:val="22"/>
          <w:highlight w:val="none"/>
        </w:rPr>
        <w:t>。</w:t>
      </w:r>
    </w:p>
    <w:p>
      <w:pPr>
        <w:spacing w:before="100" w:beforeAutospacing="1" w:after="100" w:afterAutospacing="1" w:line="440" w:lineRule="exact"/>
        <w:jc w:val="center"/>
        <w:outlineLvl w:val="0"/>
        <w:rPr>
          <w:rFonts w:ascii="新宋体" w:hAnsi="新宋体" w:eastAsia="新宋体" w:cs="新宋体"/>
          <w:b/>
          <w:bCs/>
          <w:color w:val="auto"/>
          <w:sz w:val="26"/>
          <w:szCs w:val="26"/>
          <w:highlight w:val="none"/>
        </w:rPr>
      </w:pPr>
      <w:bookmarkStart w:id="43" w:name="_Toc221356885"/>
      <w:bookmarkStart w:id="44" w:name="_Toc221423618"/>
      <w:bookmarkStart w:id="45" w:name="_Toc221374625"/>
      <w:bookmarkStart w:id="46" w:name="_Toc222114878"/>
      <w:bookmarkStart w:id="47" w:name="_Toc241404201"/>
      <w:bookmarkStart w:id="48" w:name="_Toc10305"/>
      <w:bookmarkStart w:id="49" w:name="_Toc265529382"/>
      <w:bookmarkStart w:id="50" w:name="_Toc71374674"/>
      <w:bookmarkStart w:id="51" w:name="_Toc221356950"/>
      <w:bookmarkStart w:id="52" w:name="_Toc223715997"/>
      <w:bookmarkStart w:id="53" w:name="_Toc239145353"/>
      <w:r>
        <w:rPr>
          <w:rFonts w:hint="eastAsia" w:ascii="新宋体" w:hAnsi="新宋体" w:eastAsia="新宋体" w:cs="新宋体"/>
          <w:b/>
          <w:bCs/>
          <w:color w:val="auto"/>
          <w:sz w:val="26"/>
          <w:szCs w:val="26"/>
          <w:highlight w:val="none"/>
        </w:rPr>
        <w:t>三、 投标文件的编制</w:t>
      </w:r>
      <w:bookmarkEnd w:id="43"/>
      <w:bookmarkEnd w:id="44"/>
      <w:bookmarkEnd w:id="45"/>
      <w:bookmarkEnd w:id="46"/>
      <w:bookmarkEnd w:id="47"/>
      <w:bookmarkEnd w:id="48"/>
      <w:bookmarkEnd w:id="49"/>
      <w:bookmarkEnd w:id="50"/>
      <w:bookmarkEnd w:id="51"/>
      <w:bookmarkEnd w:id="52"/>
      <w:bookmarkEnd w:id="53"/>
    </w:p>
    <w:p>
      <w:pPr>
        <w:numPr>
          <w:ilvl w:val="0"/>
          <w:numId w:val="3"/>
        </w:num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应认真阅读采购文件中所有事项格式、条款和技术规范等。</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没有按照采购文件要求提交全部资料，或者没有对采购文件各个方面做出实质性响应，导致投标被拒绝的风险由</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自行承担。</w:t>
      </w:r>
    </w:p>
    <w:p>
      <w:pPr>
        <w:numPr>
          <w:ilvl w:val="0"/>
          <w:numId w:val="3"/>
        </w:numPr>
        <w:tabs>
          <w:tab w:val="left" w:pos="540"/>
        </w:tabs>
        <w:spacing w:line="460" w:lineRule="exact"/>
        <w:ind w:left="540" w:hanging="5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投标供应商</w:t>
      </w:r>
      <w:r>
        <w:rPr>
          <w:rFonts w:hint="eastAsia" w:ascii="新宋体" w:hAnsi="新宋体" w:eastAsia="新宋体" w:cs="新宋体"/>
          <w:bCs/>
          <w:color w:val="auto"/>
          <w:sz w:val="22"/>
          <w:szCs w:val="22"/>
          <w:highlight w:val="none"/>
        </w:rPr>
        <w:t>法律责任</w:t>
      </w:r>
    </w:p>
    <w:p>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9.1 </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应保证所提供文件资料的真实性，所有文件资料必须是针对本次投标的。如发现</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提供了虚假文件资料，其投标将被拒绝，并自行承担相应的法律责任。</w:t>
      </w:r>
    </w:p>
    <w:p>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9.2 参加投标的单位不得有行贿犯罪档案记录，否则其投标将被否决。</w:t>
      </w:r>
    </w:p>
    <w:p>
      <w:pPr>
        <w:numPr>
          <w:ilvl w:val="0"/>
          <w:numId w:val="3"/>
        </w:numPr>
        <w:tabs>
          <w:tab w:val="left" w:pos="540"/>
        </w:tabs>
        <w:spacing w:line="460" w:lineRule="exact"/>
        <w:ind w:left="540" w:hanging="540"/>
        <w:rPr>
          <w:rFonts w:hint="eastAsia"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rPr>
        <w:t>投标文件的构成：</w:t>
      </w:r>
    </w:p>
    <w:p>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10.1投标文件由资格审查资料、技术资信标、商务报价标三部分构成：</w:t>
      </w:r>
    </w:p>
    <w:p>
      <w:pPr>
        <w:spacing w:line="430" w:lineRule="exact"/>
        <w:ind w:left="187" w:leftChars="85" w:hanging="9" w:hangingChars="4"/>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（1）资格审查资料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法定代表人授权书和授权代表人有效身份证明；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最近一个年度的资产负债表等财务报表资料文件(</w:t>
            </w:r>
            <w:r>
              <w:rPr>
                <w:rFonts w:hint="eastAsia" w:ascii="新宋体" w:hAnsi="新宋体" w:eastAsia="新宋体" w:cs="新宋体"/>
                <w:bCs/>
                <w:color w:val="auto"/>
                <w:sz w:val="22"/>
                <w:szCs w:val="22"/>
                <w:highlight w:val="none"/>
                <w:lang w:val="en-US" w:eastAsia="zh-CN"/>
              </w:rPr>
              <w:t>新成立的公司，必须提供情况说明</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最近三个月内依法缴纳税收的证明材料(新成立的公司，必须提供情况说明)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最近三个月内依法缴纳社保的证明材料(新成立的公司，必须提供情况说明)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7</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参加采购活动前3年内（新成立不满三年的组织机构自成立之日起算）在经营活动中没有重大违法记录的声明函；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8</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9</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供应商“信用中国”(</w:t>
            </w:r>
            <w:r>
              <w:rPr>
                <w:rFonts w:ascii="新宋体" w:hAnsi="新宋体" w:eastAsia="新宋体" w:cs="新宋体"/>
                <w:bCs/>
                <w:color w:val="auto"/>
                <w:sz w:val="22"/>
                <w:szCs w:val="22"/>
                <w:highlight w:val="none"/>
              </w:rPr>
              <w:fldChar w:fldCharType="begin"/>
            </w:r>
            <w:r>
              <w:rPr>
                <w:rFonts w:ascii="新宋体" w:hAnsi="新宋体" w:eastAsia="新宋体" w:cs="新宋体"/>
                <w:bCs/>
                <w:color w:val="auto"/>
                <w:sz w:val="22"/>
                <w:szCs w:val="22"/>
                <w:highlight w:val="none"/>
              </w:rPr>
              <w:instrText xml:space="preserve"> HYPERLINK "http://</w:instrText>
            </w:r>
            <w:r>
              <w:rPr>
                <w:rFonts w:hint="eastAsia" w:ascii="新宋体" w:hAnsi="新宋体" w:eastAsia="新宋体" w:cs="新宋体"/>
                <w:bCs/>
                <w:color w:val="auto"/>
                <w:sz w:val="22"/>
                <w:szCs w:val="22"/>
                <w:highlight w:val="none"/>
              </w:rPr>
              <w:instrText xml:space="preserve">www.creditchina.gov.cn</w:instrText>
            </w:r>
            <w:r>
              <w:rPr>
                <w:rFonts w:ascii="新宋体" w:hAnsi="新宋体" w:eastAsia="新宋体" w:cs="新宋体"/>
                <w:bCs/>
                <w:color w:val="auto"/>
                <w:sz w:val="22"/>
                <w:szCs w:val="22"/>
                <w:highlight w:val="none"/>
              </w:rPr>
              <w:instrText xml:space="preserve">" </w:instrText>
            </w:r>
            <w:r>
              <w:rPr>
                <w:rFonts w:ascii="新宋体" w:hAnsi="新宋体" w:eastAsia="新宋体" w:cs="新宋体"/>
                <w:bCs/>
                <w:color w:val="auto"/>
                <w:sz w:val="22"/>
                <w:szCs w:val="22"/>
                <w:highlight w:val="none"/>
              </w:rPr>
              <w:fldChar w:fldCharType="separate"/>
            </w:r>
            <w:r>
              <w:rPr>
                <w:rStyle w:val="27"/>
                <w:rFonts w:hint="eastAsia" w:ascii="新宋体" w:hAnsi="新宋体" w:eastAsia="新宋体" w:cs="新宋体"/>
                <w:bCs/>
                <w:color w:val="auto"/>
                <w:sz w:val="22"/>
                <w:szCs w:val="22"/>
                <w:highlight w:val="none"/>
              </w:rPr>
              <w:t>www.creditchina.gov.cn</w:t>
            </w:r>
            <w:r>
              <w:rPr>
                <w:rFonts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)及“中国政府采购网”（http://www.ccgp.gov.cn/）信用记录网页截图（采购公告发布之日至投标截止时间前，）。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10</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投标保证金缴纳凭证,最终以实际到帐为准（加盖公章）</w:t>
            </w:r>
          </w:p>
        </w:tc>
      </w:tr>
    </w:tbl>
    <w:p>
      <w:pPr>
        <w:spacing w:line="430" w:lineRule="exact"/>
        <w:ind w:left="187" w:leftChars="85" w:hanging="9" w:hangingChars="4"/>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pPr>
        <w:numPr>
          <w:ilvl w:val="0"/>
          <w:numId w:val="4"/>
        </w:numPr>
        <w:spacing w:line="43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4"/>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以上所需的各种证书、证件、证明、执照若系复印件，须在复印件上加盖</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有效的公章。</w:t>
      </w:r>
    </w:p>
    <w:p>
      <w:pPr>
        <w:numPr>
          <w:ilvl w:val="0"/>
          <w:numId w:val="4"/>
        </w:numPr>
        <w:spacing w:line="430" w:lineRule="exact"/>
        <w:rPr>
          <w:rFonts w:ascii="新宋体" w:hAnsi="新宋体" w:eastAsia="新宋体" w:cs="新宋体"/>
          <w:color w:val="auto"/>
          <w:highlight w:val="none"/>
        </w:rPr>
      </w:pPr>
      <w:r>
        <w:rPr>
          <w:rFonts w:hint="eastAsia" w:ascii="新宋体" w:hAnsi="新宋体" w:eastAsia="新宋体" w:cs="新宋体"/>
          <w:b/>
          <w:bCs/>
          <w:color w:val="auto"/>
          <w:szCs w:val="21"/>
          <w:highlight w:val="none"/>
          <w:u w:val="single"/>
        </w:rPr>
        <w:t>▲</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pPr>
        <w:numPr>
          <w:ilvl w:val="0"/>
          <w:numId w:val="5"/>
        </w:numPr>
        <w:spacing w:line="43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若供应商查询页面“行政处罚”栏显示有行政处罚事项，须将所有行政处罚事项在“信用中国”网页上列出的明细一并打印，并附说明，是否属于“经营活动中的重大违法记录”。</w:t>
      </w:r>
    </w:p>
    <w:p>
      <w:pPr>
        <w:numPr>
          <w:ilvl w:val="0"/>
          <w:numId w:val="5"/>
        </w:numPr>
        <w:spacing w:line="43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若供应商在“信用中国”无数据，亦须将搜索结果页面打印，并附说明。</w:t>
      </w:r>
    </w:p>
    <w:p>
      <w:pPr>
        <w:numPr>
          <w:ilvl w:val="0"/>
          <w:numId w:val="6"/>
        </w:numPr>
        <w:spacing w:line="430" w:lineRule="exact"/>
        <w:ind w:left="187" w:leftChars="85" w:hanging="9" w:hangingChars="4"/>
        <w:rPr>
          <w:rFonts w:ascii="新宋体" w:hAnsi="新宋体" w:eastAsia="新宋体" w:cs="新宋体"/>
          <w:color w:val="auto"/>
          <w:highlight w:val="none"/>
        </w:rPr>
      </w:pPr>
      <w:r>
        <w:rPr>
          <w:rFonts w:hint="eastAsia" w:ascii="新宋体" w:hAnsi="新宋体" w:eastAsia="新宋体" w:cs="新宋体"/>
          <w:b/>
          <w:color w:val="auto"/>
          <w:sz w:val="22"/>
          <w:szCs w:val="22"/>
          <w:highlight w:val="none"/>
        </w:rPr>
        <w:t>技术资信标</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sz w:val="22"/>
                <w:szCs w:val="22"/>
                <w:highlight w:val="none"/>
                <w:lang w:eastAsia="zh-CN"/>
              </w:rPr>
            </w:pPr>
            <w:r>
              <w:rPr>
                <w:rFonts w:hint="eastAsia" w:ascii="宋体" w:hAnsi="宋体" w:eastAsia="新宋体" w:cs="宋体"/>
                <w:color w:val="auto"/>
                <w:kern w:val="1"/>
                <w:sz w:val="22"/>
                <w:szCs w:val="22"/>
                <w:highlight w:val="none"/>
                <w:lang w:val="en-US" w:eastAsia="zh-CN"/>
              </w:rPr>
              <w:t>4</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sz w:val="22"/>
                <w:szCs w:val="22"/>
                <w:highlight w:val="none"/>
              </w:rPr>
            </w:pPr>
            <w:r>
              <w:rPr>
                <w:rFonts w:ascii="宋体" w:hAnsi="宋体" w:cs="宋体"/>
                <w:b/>
                <w:color w:val="auto"/>
                <w:kern w:val="1"/>
                <w:sz w:val="22"/>
                <w:szCs w:val="22"/>
                <w:highlight w:val="none"/>
              </w:rPr>
              <w:t>资信证明文件（本项为评分量化内容，非强制性要求）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w:t>
            </w:r>
          </w:p>
        </w:tc>
        <w:tc>
          <w:tcPr>
            <w:tcW w:w="4621"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430" w:lineRule="atLeast"/>
              <w:rPr>
                <w:rFonts w:hint="eastAsia" w:ascii="新宋体" w:hAnsi="新宋体" w:eastAsia="新宋体" w:cs="新宋体"/>
                <w:bCs/>
                <w:color w:val="auto"/>
                <w:sz w:val="22"/>
                <w:szCs w:val="22"/>
                <w:highlight w:val="none"/>
              </w:rPr>
            </w:pPr>
            <w:r>
              <w:rPr>
                <w:rFonts w:hint="eastAsia" w:ascii="宋体" w:cs="宋体"/>
                <w:color w:val="auto"/>
                <w:sz w:val="22"/>
                <w:szCs w:val="22"/>
                <w:highlight w:val="none"/>
                <w:lang w:bidi="ar-SA"/>
              </w:rPr>
              <w:t>供应商综合实力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4.2</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tabs>
                <w:tab w:val="left" w:pos="5355"/>
              </w:tabs>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详细的产品供货清单（不含报价）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4.3</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tabs>
                <w:tab w:val="left" w:pos="5355"/>
              </w:tabs>
              <w:rPr>
                <w:rFonts w:hint="default" w:ascii="新宋体" w:hAnsi="新宋体" w:eastAsia="新宋体" w:cs="新宋体"/>
                <w:bCs/>
                <w:color w:val="auto"/>
                <w:sz w:val="22"/>
                <w:szCs w:val="22"/>
                <w:highlight w:val="none"/>
                <w:lang w:val="en-US" w:eastAsia="zh-CN"/>
              </w:rPr>
            </w:pPr>
            <w:r>
              <w:rPr>
                <w:rFonts w:hint="eastAsia" w:ascii="新宋体" w:hAnsi="新宋体" w:eastAsia="新宋体"/>
                <w:color w:val="auto"/>
                <w:sz w:val="22"/>
                <w:szCs w:val="22"/>
                <w:highlight w:val="none"/>
              </w:rPr>
              <w:t>所提供的产品性能、技术、结构和质量水平的描述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4.4</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sz w:val="22"/>
                <w:szCs w:val="22"/>
                <w:highlight w:val="none"/>
              </w:rPr>
            </w:pPr>
            <w:r>
              <w:rPr>
                <w:rFonts w:hint="eastAsia" w:ascii="宋体" w:hAnsi="宋体" w:cs="宋体"/>
                <w:color w:val="auto"/>
                <w:kern w:val="1"/>
                <w:sz w:val="22"/>
                <w:szCs w:val="22"/>
                <w:highlight w:val="none"/>
                <w:lang w:val="en-US" w:eastAsia="zh-CN"/>
              </w:rPr>
              <w:t>整体供货方案（包括但不限于产品运输、安装、调试、验收、培训及售后服务）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宋体" w:cs="新宋体"/>
                <w:color w:val="auto"/>
                <w:kern w:val="2"/>
                <w:sz w:val="22"/>
                <w:szCs w:val="22"/>
                <w:highlight w:val="none"/>
                <w:lang w:val="en-US" w:eastAsia="zh-CN" w:bidi="ar-SA"/>
              </w:rPr>
            </w:pPr>
            <w:r>
              <w:rPr>
                <w:rFonts w:hint="eastAsia" w:ascii="新宋体" w:hAnsi="新宋体" w:cs="新宋体"/>
                <w:color w:val="auto"/>
                <w:kern w:val="2"/>
                <w:sz w:val="22"/>
                <w:szCs w:val="22"/>
                <w:highlight w:val="none"/>
                <w:lang w:val="en-US" w:eastAsia="zh-CN" w:bidi="ar-SA"/>
              </w:rPr>
              <w:t>4.5</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color w:val="auto"/>
                <w:kern w:val="1"/>
                <w:sz w:val="22"/>
                <w:szCs w:val="22"/>
                <w:highlight w:val="none"/>
                <w:lang w:val="en-US" w:eastAsia="zh-CN"/>
              </w:rPr>
            </w:pPr>
            <w:r>
              <w:rPr>
                <w:rFonts w:hint="eastAsia" w:ascii="宋体" w:hAnsi="宋体" w:cs="宋体"/>
                <w:color w:val="auto"/>
                <w:sz w:val="22"/>
                <w:highlight w:val="none"/>
                <w:lang w:val="en-US" w:eastAsia="zh-CN"/>
              </w:rPr>
              <w:t>供应商</w:t>
            </w:r>
            <w:r>
              <w:rPr>
                <w:rFonts w:hint="eastAsia" w:ascii="宋体" w:hAnsi="宋体" w:cs="宋体"/>
                <w:color w:val="auto"/>
                <w:sz w:val="22"/>
                <w:highlight w:val="none"/>
              </w:rPr>
              <w:t>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5</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hint="default" w:ascii="新宋体" w:hAnsi="新宋体" w:eastAsia="宋体" w:cs="新宋体"/>
                <w:bCs/>
                <w:color w:val="auto"/>
                <w:sz w:val="22"/>
                <w:szCs w:val="22"/>
                <w:highlight w:val="none"/>
                <w:lang w:val="en-US" w:eastAsia="zh-CN"/>
              </w:rPr>
            </w:pPr>
            <w:r>
              <w:rPr>
                <w:rFonts w:hint="eastAsia" w:ascii="宋体" w:hAnsi="宋体" w:cs="宋体"/>
                <w:bCs/>
                <w:color w:val="auto"/>
                <w:sz w:val="22"/>
                <w:highlight w:val="none"/>
                <w:lang w:eastAsia="zh-CN"/>
              </w:rPr>
              <w:t>投标供应商</w:t>
            </w:r>
            <w:r>
              <w:rPr>
                <w:rFonts w:hint="eastAsia" w:ascii="宋体" w:hAnsi="宋体" w:cs="宋体"/>
                <w:bCs/>
                <w:color w:val="auto"/>
                <w:sz w:val="22"/>
                <w:highlight w:val="none"/>
              </w:rPr>
              <w:t>认为需要提供的其他技术资料</w:t>
            </w:r>
          </w:p>
        </w:tc>
      </w:tr>
    </w:tbl>
    <w:p>
      <w:pPr>
        <w:spacing w:line="430" w:lineRule="exact"/>
        <w:ind w:left="187" w:leftChars="85" w:hanging="9" w:hangingChars="4"/>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pPr>
        <w:numPr>
          <w:ilvl w:val="0"/>
          <w:numId w:val="7"/>
        </w:num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可根据采购文件中的技术规格书以及技术资信评分表，提供</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认为需要提供的文件和资料。</w:t>
      </w:r>
    </w:p>
    <w:p>
      <w:pPr>
        <w:numPr>
          <w:ilvl w:val="0"/>
          <w:numId w:val="7"/>
        </w:num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所提供的货物或服务所有权归采购人所有。如若发生侵权事件，其侵权责任与采购人及采购代理机构无关，由</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承担全部责任。侵权造成的所有相关费用，均由</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支付，保证不伤害采购人的利益。</w:t>
      </w:r>
    </w:p>
    <w:p>
      <w:pPr>
        <w:numPr>
          <w:ilvl w:val="0"/>
          <w:numId w:val="7"/>
        </w:num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可在投标文件中对采购文件中的技术要求选用替代标准、补充或更改，但这些替代标准及补充更改必须相当于或优于采购文件中提出的相应技术要求，并使采购人满意。同时在技术偏离表中作出详细说明。</w:t>
      </w:r>
    </w:p>
    <w:p>
      <w:pPr>
        <w:numPr>
          <w:ilvl w:val="0"/>
          <w:numId w:val="7"/>
        </w:numPr>
        <w:tabs>
          <w:tab w:val="left" w:pos="5355"/>
        </w:tabs>
        <w:spacing w:line="430" w:lineRule="exact"/>
        <w:rPr>
          <w:rFonts w:ascii="新宋体" w:hAnsi="新宋体" w:eastAsia="新宋体" w:cs="新宋体"/>
          <w:b/>
          <w:color w:val="auto"/>
          <w:sz w:val="22"/>
          <w:szCs w:val="22"/>
          <w:highlight w:val="none"/>
          <w:u w:val="single"/>
        </w:rPr>
      </w:pPr>
      <w:r>
        <w:rPr>
          <w:rFonts w:hint="eastAsia" w:ascii="新宋体" w:hAnsi="新宋体" w:eastAsia="新宋体" w:cs="新宋体"/>
          <w:color w:val="auto"/>
          <w:sz w:val="22"/>
          <w:szCs w:val="22"/>
          <w:highlight w:val="none"/>
          <w:u w:val="single"/>
        </w:rPr>
        <w:t>以上所需的各种证书、证件、证明、执照若系复印件，须在复印件上加盖</w:t>
      </w:r>
      <w:r>
        <w:rPr>
          <w:rFonts w:hint="eastAsia" w:ascii="新宋体" w:hAnsi="新宋体" w:eastAsia="新宋体" w:cs="新宋体"/>
          <w:color w:val="auto"/>
          <w:sz w:val="22"/>
          <w:szCs w:val="22"/>
          <w:highlight w:val="none"/>
          <w:u w:val="single"/>
          <w:lang w:eastAsia="zh-CN"/>
        </w:rPr>
        <w:t>投标供应商</w:t>
      </w:r>
      <w:r>
        <w:rPr>
          <w:rFonts w:hint="eastAsia" w:ascii="新宋体" w:hAnsi="新宋体" w:eastAsia="新宋体" w:cs="新宋体"/>
          <w:color w:val="auto"/>
          <w:sz w:val="22"/>
          <w:szCs w:val="22"/>
          <w:highlight w:val="none"/>
          <w:u w:val="single"/>
        </w:rPr>
        <w:t>有效的公章。</w:t>
      </w:r>
    </w:p>
    <w:p>
      <w:pPr>
        <w:spacing w:line="430" w:lineRule="exact"/>
        <w:rPr>
          <w:rFonts w:ascii="新宋体" w:hAnsi="新宋体" w:eastAsia="新宋体" w:cs="新宋体"/>
          <w:b/>
          <w:color w:val="auto"/>
          <w:sz w:val="22"/>
          <w:szCs w:val="22"/>
          <w:highlight w:val="none"/>
        </w:rPr>
      </w:pPr>
      <w:bookmarkStart w:id="54" w:name="_Toc221356886"/>
      <w:r>
        <w:rPr>
          <w:rFonts w:hint="eastAsia" w:ascii="新宋体" w:hAnsi="新宋体" w:eastAsia="新宋体" w:cs="新宋体"/>
          <w:b/>
          <w:color w:val="auto"/>
          <w:sz w:val="22"/>
          <w:szCs w:val="22"/>
          <w:highlight w:val="none"/>
        </w:rPr>
        <w:t>（3） 商务报价标</w:t>
      </w:r>
      <w:bookmarkEnd w:id="54"/>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369"/>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369" w:type="dxa"/>
            <w:noWrap w:val="0"/>
            <w:vAlign w:val="center"/>
          </w:tcPr>
          <w:p>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577" w:type="dxa"/>
            <w:noWrap w:val="0"/>
            <w:vAlign w:val="center"/>
          </w:tcPr>
          <w:p>
            <w:pPr>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369" w:type="dxa"/>
            <w:noWrap w:val="0"/>
            <w:vAlign w:val="center"/>
          </w:tcPr>
          <w:p>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开标一览表</w:t>
            </w:r>
          </w:p>
        </w:tc>
        <w:tc>
          <w:tcPr>
            <w:tcW w:w="1577" w:type="dxa"/>
            <w:noWrap w:val="0"/>
            <w:vAlign w:val="center"/>
          </w:tcPr>
          <w:p>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369" w:type="dxa"/>
            <w:noWrap w:val="0"/>
            <w:vAlign w:val="center"/>
          </w:tcPr>
          <w:p>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投标分项报价表</w:t>
            </w:r>
          </w:p>
        </w:tc>
        <w:tc>
          <w:tcPr>
            <w:tcW w:w="1577" w:type="dxa"/>
            <w:noWrap w:val="0"/>
            <w:vAlign w:val="center"/>
          </w:tcPr>
          <w:p>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（附件三）</w:t>
            </w:r>
          </w:p>
        </w:tc>
      </w:tr>
    </w:tbl>
    <w:p>
      <w:pPr>
        <w:numPr>
          <w:ilvl w:val="1"/>
          <w:numId w:val="8"/>
        </w:numPr>
        <w:tabs>
          <w:tab w:val="left" w:pos="360"/>
          <w:tab w:val="clear" w:pos="992"/>
        </w:tabs>
        <w:spacing w:line="460" w:lineRule="exact"/>
        <w:ind w:left="360" w:hanging="36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投标文件格式</w:t>
      </w:r>
    </w:p>
    <w:p>
      <w:pPr>
        <w:numPr>
          <w:ilvl w:val="0"/>
          <w:numId w:val="9"/>
        </w:num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投标供应商</w:t>
      </w:r>
      <w:r>
        <w:rPr>
          <w:rFonts w:hint="eastAsia" w:ascii="新宋体" w:hAnsi="新宋体" w:eastAsia="新宋体" w:cs="新宋体"/>
          <w:bCs/>
          <w:color w:val="auto"/>
          <w:sz w:val="22"/>
          <w:szCs w:val="22"/>
          <w:highlight w:val="none"/>
        </w:rPr>
        <w:t>应根据</w:t>
      </w:r>
      <w:r>
        <w:rPr>
          <w:rFonts w:hint="eastAsia" w:ascii="新宋体" w:hAnsi="新宋体" w:eastAsia="新宋体" w:cs="新宋体"/>
          <w:color w:val="auto"/>
          <w:sz w:val="22"/>
          <w:szCs w:val="22"/>
          <w:highlight w:val="none"/>
        </w:rPr>
        <w:t>采购</w:t>
      </w:r>
      <w:r>
        <w:rPr>
          <w:rFonts w:hint="eastAsia" w:ascii="新宋体" w:hAnsi="新宋体" w:eastAsia="新宋体" w:cs="新宋体"/>
          <w:bCs/>
          <w:color w:val="auto"/>
          <w:sz w:val="22"/>
          <w:szCs w:val="22"/>
          <w:highlight w:val="none"/>
        </w:rPr>
        <w:t>文件中所提供的格式，内容按顺序填写并装订成册,不允许以活页夹形式装订投标文件；</w:t>
      </w:r>
    </w:p>
    <w:p>
      <w:pPr>
        <w:numPr>
          <w:ilvl w:val="0"/>
          <w:numId w:val="9"/>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zh-CN"/>
        </w:rPr>
        <w:t>资格审查资料、技术资信标、商务报价标分别包装于各自标函袋中，标函袋不做统一要求。</w:t>
      </w:r>
    </w:p>
    <w:p>
      <w:pPr>
        <w:numPr>
          <w:ilvl w:val="0"/>
          <w:numId w:val="9"/>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投标文件应有目录以及页码，以便评委检索。</w:t>
      </w:r>
    </w:p>
    <w:p>
      <w:pPr>
        <w:numPr>
          <w:ilvl w:val="0"/>
          <w:numId w:val="9"/>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证书、证件、证明等原件，属备查项目，并非强制性要求。</w:t>
      </w:r>
      <w:r>
        <w:rPr>
          <w:rFonts w:hint="eastAsia" w:ascii="新宋体" w:hAnsi="新宋体" w:eastAsia="新宋体" w:cs="新宋体"/>
          <w:bCs/>
          <w:color w:val="auto"/>
          <w:sz w:val="22"/>
          <w:szCs w:val="22"/>
          <w:highlight w:val="none"/>
          <w:lang w:eastAsia="zh-CN"/>
        </w:rPr>
        <w:t>投标供应商</w:t>
      </w:r>
      <w:r>
        <w:rPr>
          <w:rFonts w:hint="eastAsia" w:ascii="新宋体" w:hAnsi="新宋体" w:eastAsia="新宋体" w:cs="新宋体"/>
          <w:bCs/>
          <w:color w:val="auto"/>
          <w:sz w:val="22"/>
          <w:szCs w:val="22"/>
          <w:highlight w:val="none"/>
        </w:rPr>
        <w:t>若提交原件资料，应将原件单独包封，与投标文件一同向采购代理机构递交。</w:t>
      </w:r>
      <w:r>
        <w:rPr>
          <w:rFonts w:hint="eastAsia" w:ascii="新宋体" w:hAnsi="新宋体" w:eastAsia="新宋体" w:cs="新宋体"/>
          <w:color w:val="auto"/>
          <w:sz w:val="22"/>
          <w:szCs w:val="22"/>
          <w:highlight w:val="none"/>
        </w:rPr>
        <w:t>评标主要依据</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投标文件中加盖有效公章的证书/证明文件复印件，如评标委员会对复印件有异议的，可在</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提供原件资料里核查，若</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未提供原件资料佐证的，则承担相应评分项不得分的风险。</w:t>
      </w:r>
    </w:p>
    <w:p>
      <w:pPr>
        <w:numPr>
          <w:ilvl w:val="0"/>
          <w:numId w:val="3"/>
        </w:numPr>
        <w:tabs>
          <w:tab w:val="left" w:pos="54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投标报价</w:t>
      </w:r>
    </w:p>
    <w:p>
      <w:pPr>
        <w:keepNext w:val="0"/>
        <w:keepLines w:val="0"/>
        <w:pageBreakBefore w:val="0"/>
        <w:widowControl w:val="0"/>
        <w:tabs>
          <w:tab w:val="left" w:pos="-180"/>
          <w:tab w:val="left" w:pos="180"/>
          <w:tab w:val="left" w:pos="360"/>
        </w:tabs>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11.1</w:t>
      </w:r>
      <w:r>
        <w:rPr>
          <w:rFonts w:hint="eastAsia" w:ascii="宋体" w:cs="宋体"/>
          <w:b/>
          <w:bCs/>
          <w:color w:val="auto"/>
          <w:sz w:val="22"/>
          <w:szCs w:val="22"/>
          <w:highlight w:val="none"/>
          <w:u w:val="single"/>
          <w:lang w:bidi="ar-SA"/>
        </w:rPr>
        <w:t>▲</w:t>
      </w:r>
      <w:r>
        <w:rPr>
          <w:rFonts w:hint="eastAsia" w:ascii="新宋体" w:hAnsi="新宋体" w:eastAsia="新宋体" w:cs="新宋体"/>
          <w:b/>
          <w:bCs/>
          <w:color w:val="auto"/>
          <w:kern w:val="0"/>
          <w:sz w:val="22"/>
          <w:szCs w:val="22"/>
          <w:highlight w:val="none"/>
          <w:u w:val="single"/>
          <w:lang w:val="zh-CN"/>
        </w:rPr>
        <w:t>本项目投标报价为</w:t>
      </w:r>
      <w:r>
        <w:rPr>
          <w:rFonts w:hint="eastAsia" w:ascii="宋体" w:hAnsi="宋体"/>
          <w:b/>
          <w:bCs/>
          <w:color w:val="auto"/>
          <w:sz w:val="22"/>
          <w:szCs w:val="22"/>
          <w:highlight w:val="none"/>
          <w:u w:val="single"/>
        </w:rPr>
        <w:t>含税总价，包括货物的供货、税金、包装、运输、保险、装卸、按标准进行安装调试、检验（须提供有效检定证书）、配合验收、验收（含第三方验收）、技术服务、售后服务、质保期保障、材料、完成合同所需的一切本身和不可或缺的所有工作开支、政策性文件规定及合同包含的所有风险、责任等各项全部费用</w:t>
      </w:r>
      <w:r>
        <w:rPr>
          <w:rFonts w:hint="eastAsia" w:ascii="新宋体" w:hAnsi="新宋体" w:eastAsia="新宋体" w:cs="新宋体"/>
          <w:b/>
          <w:bCs/>
          <w:color w:val="auto"/>
          <w:kern w:val="0"/>
          <w:sz w:val="22"/>
          <w:szCs w:val="22"/>
          <w:highlight w:val="none"/>
          <w:u w:val="single"/>
          <w:lang w:val="zh-CN"/>
        </w:rPr>
        <w:t>。投标供应商应根据上述因素自行考虑含入投标总价。</w:t>
      </w:r>
    </w:p>
    <w:p>
      <w:pPr>
        <w:tabs>
          <w:tab w:val="left" w:pos="525"/>
        </w:tabs>
        <w:spacing w:line="400" w:lineRule="exact"/>
        <w:rPr>
          <w:rFonts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kern w:val="0"/>
          <w:sz w:val="22"/>
          <w:szCs w:val="22"/>
          <w:highlight w:val="none"/>
        </w:rPr>
        <w:t xml:space="preserve">11.2 </w:t>
      </w:r>
      <w:r>
        <w:rPr>
          <w:rFonts w:hint="eastAsia" w:ascii="新宋体" w:hAnsi="新宋体" w:eastAsia="新宋体" w:cs="新宋体"/>
          <w:bCs/>
          <w:color w:val="auto"/>
          <w:kern w:val="0"/>
          <w:sz w:val="22"/>
          <w:szCs w:val="22"/>
          <w:highlight w:val="none"/>
          <w:lang w:val="zh-CN"/>
        </w:rPr>
        <w:t>投标供应商须认真阅读、充分理解采购文件，如有疑问可在询疑截止时间前送达（或传真）采购代理机构，采购代理机构将会统一解答。任何因对本项目采购文件理解不清、产生歧义等由此产生的费用，视作已含在投标总价中。</w:t>
      </w:r>
    </w:p>
    <w:p>
      <w:pPr>
        <w:tabs>
          <w:tab w:val="left" w:pos="525"/>
        </w:tabs>
        <w:spacing w:line="4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11.3 </w:t>
      </w:r>
      <w:r>
        <w:rPr>
          <w:rFonts w:hint="eastAsia" w:ascii="新宋体" w:hAnsi="新宋体" w:eastAsia="新宋体" w:cs="新宋体"/>
          <w:bCs/>
          <w:color w:val="auto"/>
          <w:kern w:val="0"/>
          <w:sz w:val="22"/>
          <w:szCs w:val="22"/>
          <w:highlight w:val="none"/>
          <w:lang w:val="zh-CN"/>
        </w:rPr>
        <w:t>投标供应商必须按第三部分附件的开标一览表（统一格式）、投标分项报价表（统一格式）的内容填写单价、合价及其他事项，并由法定代表人或授权代表签署。</w:t>
      </w:r>
    </w:p>
    <w:p>
      <w:pPr>
        <w:tabs>
          <w:tab w:val="left" w:pos="525"/>
        </w:tabs>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11.4 报价货币基础为人民币。</w:t>
      </w:r>
    </w:p>
    <w:p>
      <w:pPr>
        <w:tabs>
          <w:tab w:val="left" w:pos="525"/>
        </w:tabs>
        <w:spacing w:line="40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11.5 采购人不接受任何选择报价，只允许一个报价。</w:t>
      </w:r>
    </w:p>
    <w:p>
      <w:pPr>
        <w:tabs>
          <w:tab w:val="left" w:pos="525"/>
        </w:tabs>
        <w:spacing w:line="400" w:lineRule="exact"/>
        <w:rPr>
          <w:rFonts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kern w:val="0"/>
          <w:sz w:val="22"/>
          <w:szCs w:val="22"/>
          <w:highlight w:val="none"/>
        </w:rPr>
        <w:t xml:space="preserve">11.6 </w:t>
      </w:r>
      <w:r>
        <w:rPr>
          <w:rFonts w:hint="eastAsia" w:ascii="新宋体" w:hAnsi="新宋体" w:eastAsia="新宋体" w:cs="新宋体"/>
          <w:bCs/>
          <w:color w:val="auto"/>
          <w:kern w:val="0"/>
          <w:sz w:val="22"/>
          <w:szCs w:val="22"/>
          <w:highlight w:val="none"/>
          <w:lang w:val="zh-CN"/>
        </w:rPr>
        <w:t>投标供应商所报的投标价在合同执行过程中是固定不变的，不得以任何理由予以变更。任何包含价格调整的要求，将被认为是非实质性响应投标而予以拒绝。</w:t>
      </w:r>
    </w:p>
    <w:p>
      <w:pPr>
        <w:tabs>
          <w:tab w:val="left" w:pos="525"/>
        </w:tabs>
        <w:spacing w:line="40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11.7</w:t>
      </w:r>
      <w:r>
        <w:rPr>
          <w:rFonts w:hint="eastAsia" w:ascii="新宋体" w:hAnsi="新宋体" w:eastAsia="新宋体" w:cs="新宋体"/>
          <w:bCs/>
          <w:color w:val="auto"/>
          <w:kern w:val="0"/>
          <w:sz w:val="22"/>
          <w:szCs w:val="22"/>
          <w:highlight w:val="none"/>
          <w:u w:val="single"/>
        </w:rPr>
        <w:t>报价是中标的一个重要因素，但最低报价不是中标的唯一依据</w:t>
      </w:r>
      <w:r>
        <w:rPr>
          <w:rFonts w:hint="eastAsia" w:ascii="新宋体" w:hAnsi="新宋体" w:eastAsia="新宋体" w:cs="新宋体"/>
          <w:bCs/>
          <w:color w:val="auto"/>
          <w:kern w:val="0"/>
          <w:sz w:val="22"/>
          <w:szCs w:val="22"/>
          <w:highlight w:val="none"/>
        </w:rPr>
        <w:t>。</w:t>
      </w:r>
    </w:p>
    <w:p>
      <w:pPr>
        <w:numPr>
          <w:ilvl w:val="0"/>
          <w:numId w:val="3"/>
        </w:numPr>
        <w:tabs>
          <w:tab w:val="left" w:pos="54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投标保证金</w:t>
      </w:r>
    </w:p>
    <w:p>
      <w:p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12.1 </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须提供由投标单位</w:t>
      </w:r>
      <w:r>
        <w:rPr>
          <w:rFonts w:hint="eastAsia" w:ascii="新宋体" w:hAnsi="新宋体" w:eastAsia="新宋体" w:cs="新宋体"/>
          <w:b/>
          <w:color w:val="auto"/>
          <w:sz w:val="22"/>
          <w:szCs w:val="22"/>
          <w:highlight w:val="none"/>
          <w:lang w:val="en-US" w:eastAsia="zh-CN"/>
        </w:rPr>
        <w:t>账号</w:t>
      </w:r>
      <w:r>
        <w:rPr>
          <w:rFonts w:hint="eastAsia" w:ascii="新宋体" w:hAnsi="新宋体" w:eastAsia="新宋体" w:cs="新宋体"/>
          <w:b/>
          <w:color w:val="auto"/>
          <w:sz w:val="22"/>
          <w:szCs w:val="22"/>
          <w:highlight w:val="none"/>
        </w:rPr>
        <w:t>汇出的投标保证金（金额详见《</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须知前附表》），否则采购人将不接受其投标。</w:t>
      </w:r>
    </w:p>
    <w:p>
      <w:p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12.2 </w:t>
      </w:r>
      <w:r>
        <w:rPr>
          <w:rFonts w:hint="eastAsia" w:ascii="新宋体" w:hAnsi="新宋体" w:eastAsia="新宋体" w:cs="新宋体"/>
          <w:bCs/>
          <w:color w:val="auto"/>
          <w:sz w:val="22"/>
          <w:szCs w:val="22"/>
          <w:highlight w:val="none"/>
          <w:lang w:val="en-US" w:eastAsia="zh-CN"/>
        </w:rPr>
        <w:t>中标供应商</w:t>
      </w:r>
      <w:r>
        <w:rPr>
          <w:rFonts w:hint="eastAsia" w:ascii="新宋体" w:hAnsi="新宋体" w:eastAsia="新宋体" w:cs="新宋体"/>
          <w:bCs/>
          <w:color w:val="auto"/>
          <w:sz w:val="22"/>
          <w:szCs w:val="22"/>
          <w:highlight w:val="none"/>
        </w:rPr>
        <w:t>的投标保证金在</w:t>
      </w:r>
      <w:r>
        <w:rPr>
          <w:rFonts w:hint="eastAsia" w:ascii="新宋体" w:hAnsi="新宋体" w:eastAsia="新宋体" w:cs="新宋体"/>
          <w:bCs/>
          <w:color w:val="auto"/>
          <w:sz w:val="22"/>
          <w:szCs w:val="22"/>
          <w:highlight w:val="none"/>
          <w:lang w:eastAsia="zh-CN"/>
        </w:rPr>
        <w:t>中标供应商</w:t>
      </w:r>
      <w:r>
        <w:rPr>
          <w:rFonts w:hint="eastAsia" w:ascii="新宋体" w:hAnsi="新宋体" w:eastAsia="新宋体" w:cs="新宋体"/>
          <w:bCs/>
          <w:color w:val="auto"/>
          <w:sz w:val="22"/>
          <w:szCs w:val="22"/>
          <w:highlight w:val="none"/>
        </w:rPr>
        <w:t>与采购人签订了合同</w:t>
      </w:r>
      <w:r>
        <w:rPr>
          <w:rFonts w:hint="eastAsia" w:ascii="新宋体" w:hAnsi="新宋体" w:eastAsia="新宋体" w:cs="新宋体"/>
          <w:color w:val="auto"/>
          <w:sz w:val="22"/>
          <w:szCs w:val="22"/>
          <w:highlight w:val="none"/>
        </w:rPr>
        <w:t>并合同经备案后5个工作日内无息退还，未</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的投标保证金将在确定</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后7个工作日内无息退还。</w:t>
      </w:r>
    </w:p>
    <w:p>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12.3 如发生下列情况之一，投标保证金将不予退还：</w:t>
      </w:r>
    </w:p>
    <w:p>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在采购文件规定的投标有效期内撤回投标；</w:t>
      </w:r>
    </w:p>
    <w:p>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未按中标通知书中规定的时间与采购人签订合同；</w:t>
      </w:r>
    </w:p>
    <w:p>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在规定期限内未能根据采购文件要求提供履约保证金；</w:t>
      </w:r>
    </w:p>
    <w:p>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在采购文件中提供虚假技术指标及参数，经评标委员会确认属实的。</w:t>
      </w:r>
    </w:p>
    <w:p>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经认定</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有违反有关法律法规的行为。</w:t>
      </w:r>
    </w:p>
    <w:p>
      <w:pPr>
        <w:numPr>
          <w:ilvl w:val="0"/>
          <w:numId w:val="3"/>
        </w:numPr>
        <w:tabs>
          <w:tab w:val="left" w:pos="540"/>
        </w:tabs>
        <w:spacing w:line="460" w:lineRule="exact"/>
        <w:ind w:left="540" w:hanging="540"/>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投标有效期</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13.1 自开标之日起</w:t>
      </w:r>
      <w:r>
        <w:rPr>
          <w:rFonts w:hint="eastAsia" w:ascii="新宋体" w:hAnsi="新宋体" w:eastAsia="新宋体" w:cs="新宋体"/>
          <w:b/>
          <w:color w:val="auto"/>
          <w:sz w:val="22"/>
          <w:szCs w:val="22"/>
          <w:highlight w:val="none"/>
          <w:u w:val="single"/>
        </w:rPr>
        <w:t xml:space="preserve"> 90</w:t>
      </w:r>
      <w:r>
        <w:rPr>
          <w:rFonts w:hint="eastAsia" w:ascii="新宋体" w:hAnsi="新宋体" w:eastAsia="新宋体" w:cs="新宋体"/>
          <w:b/>
          <w:color w:val="auto"/>
          <w:sz w:val="22"/>
          <w:szCs w:val="22"/>
          <w:highlight w:val="none"/>
        </w:rPr>
        <w:t>天内投标应保持有效。投标有效期短于这个规定期限的投标将视为非响应性投标而予以拒绝。</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 特殊情况下，在原投标有效期截止前，采购人可与</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协商延长投标有效期，这种要求和答复均以书面形式进行。</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可拒绝接受延期要求，而不会导致投标保证金不予退还。同意延长投标有效期的</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不得修改投标文件。有关退还和不予退还投标保证金的规定在投标有效期的延长期内继续有效。</w:t>
      </w:r>
    </w:p>
    <w:p>
      <w:pPr>
        <w:numPr>
          <w:ilvl w:val="0"/>
          <w:numId w:val="3"/>
        </w:numPr>
        <w:tabs>
          <w:tab w:val="left" w:pos="540"/>
        </w:tabs>
        <w:spacing w:line="460" w:lineRule="exact"/>
        <w:ind w:left="540" w:hanging="5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投标文件的签署和规定</w:t>
      </w:r>
    </w:p>
    <w:p>
      <w:pPr>
        <w:numPr>
          <w:ilvl w:val="1"/>
          <w:numId w:val="11"/>
        </w:numPr>
        <w:tabs>
          <w:tab w:val="left" w:pos="540"/>
          <w:tab w:val="clear" w:pos="992"/>
        </w:tabs>
        <w:spacing w:line="460" w:lineRule="exact"/>
        <w:ind w:left="54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lang w:eastAsia="zh-CN"/>
        </w:rPr>
        <w:t>投标供应商</w:t>
      </w:r>
      <w:r>
        <w:rPr>
          <w:rFonts w:hint="eastAsia" w:ascii="新宋体" w:hAnsi="新宋体" w:eastAsia="新宋体" w:cs="新宋体"/>
          <w:b/>
          <w:color w:val="auto"/>
          <w:sz w:val="22"/>
          <w:szCs w:val="22"/>
          <w:highlight w:val="none"/>
          <w:u w:val="single"/>
        </w:rPr>
        <w:t>应按照前附表的要求提供投标文件，分别装订成册。每套投标文件的封面应清楚标明“正本”或“副本”字样，若“正本”与“副本”不符，以“正本”为准。</w:t>
      </w:r>
    </w:p>
    <w:p>
      <w:pPr>
        <w:numPr>
          <w:ilvl w:val="1"/>
          <w:numId w:val="11"/>
        </w:numPr>
        <w:tabs>
          <w:tab w:val="left" w:pos="540"/>
          <w:tab w:val="clear" w:pos="992"/>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投标文件的正本必须打印或用不褪色的墨水书写，并由法定代表人或其授权代表签署，副本可用正本的复印。</w:t>
      </w:r>
    </w:p>
    <w:p>
      <w:pPr>
        <w:numPr>
          <w:ilvl w:val="1"/>
          <w:numId w:val="11"/>
        </w:numPr>
        <w:tabs>
          <w:tab w:val="left" w:pos="540"/>
          <w:tab w:val="clear" w:pos="992"/>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投标文件如有修改和增删必须由投标文件签字人在修改和增删处旁签署或盖章，方才有效。</w:t>
      </w:r>
    </w:p>
    <w:p>
      <w:pPr>
        <w:numPr>
          <w:ilvl w:val="1"/>
          <w:numId w:val="11"/>
        </w:numPr>
        <w:tabs>
          <w:tab w:val="left" w:pos="540"/>
          <w:tab w:val="clear" w:pos="992"/>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投标文件字迹模糊或在关键的技术、商务条款上表述不清楚，将可能导致其投标被拒绝。</w:t>
      </w:r>
    </w:p>
    <w:p>
      <w:pPr>
        <w:numPr>
          <w:ilvl w:val="0"/>
          <w:numId w:val="3"/>
        </w:numPr>
        <w:tabs>
          <w:tab w:val="left" w:pos="540"/>
        </w:tabs>
        <w:spacing w:line="460" w:lineRule="exact"/>
        <w:ind w:left="540" w:hanging="5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投标文件的密封及标记</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15.1 </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必须将投标文件的“资格审查资料”、“技术资信标”、“商务报价标”分别单独密封，且在各自的密封袋上标明“技术资信标”和“商务报价标”字样。封口处贴上封条，启封处加盖投标单位公章并由法定代表人或其授权代表签字。封皮上写明投标项目名称、项目编号，并注明“开标时启封”字样。</w:t>
      </w:r>
    </w:p>
    <w:p>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15.2 如果</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未按上述要求密封及加写标记，导致投标文件被拒绝接收的责任自负。</w:t>
      </w:r>
    </w:p>
    <w:p>
      <w:pPr>
        <w:spacing w:before="100" w:beforeAutospacing="1" w:after="100" w:afterAutospacing="1" w:line="440" w:lineRule="exact"/>
        <w:ind w:left="783" w:hanging="783" w:hangingChars="300"/>
        <w:jc w:val="center"/>
        <w:outlineLvl w:val="0"/>
        <w:rPr>
          <w:rFonts w:ascii="新宋体" w:hAnsi="新宋体" w:eastAsia="新宋体" w:cs="新宋体"/>
          <w:color w:val="auto"/>
          <w:sz w:val="22"/>
          <w:szCs w:val="22"/>
          <w:highlight w:val="none"/>
        </w:rPr>
      </w:pPr>
      <w:bookmarkStart w:id="55" w:name="_Toc15440"/>
      <w:bookmarkStart w:id="56" w:name="_Toc221374626"/>
      <w:bookmarkStart w:id="57" w:name="_Toc239145354"/>
      <w:bookmarkStart w:id="58" w:name="_Toc221356887"/>
      <w:bookmarkStart w:id="59" w:name="_Toc221423619"/>
      <w:bookmarkStart w:id="60" w:name="_Toc221356951"/>
      <w:bookmarkStart w:id="61" w:name="_Toc241404202"/>
      <w:bookmarkStart w:id="62" w:name="_Toc265529383"/>
      <w:bookmarkStart w:id="63" w:name="_Toc222114879"/>
      <w:bookmarkStart w:id="64" w:name="_Toc223715998"/>
      <w:bookmarkStart w:id="65" w:name="_Toc71374675"/>
      <w:r>
        <w:rPr>
          <w:rFonts w:hint="eastAsia" w:ascii="新宋体" w:hAnsi="新宋体" w:eastAsia="新宋体" w:cs="新宋体"/>
          <w:b/>
          <w:bCs/>
          <w:color w:val="auto"/>
          <w:sz w:val="26"/>
          <w:szCs w:val="26"/>
          <w:highlight w:val="none"/>
        </w:rPr>
        <w:t>四、 投标文件的递交</w:t>
      </w:r>
      <w:bookmarkEnd w:id="55"/>
      <w:bookmarkEnd w:id="56"/>
      <w:bookmarkEnd w:id="57"/>
      <w:bookmarkEnd w:id="58"/>
      <w:bookmarkEnd w:id="59"/>
      <w:bookmarkEnd w:id="60"/>
      <w:bookmarkEnd w:id="61"/>
      <w:bookmarkEnd w:id="62"/>
      <w:bookmarkEnd w:id="63"/>
      <w:bookmarkEnd w:id="64"/>
      <w:bookmarkEnd w:id="65"/>
    </w:p>
    <w:p>
      <w:pPr>
        <w:numPr>
          <w:ilvl w:val="0"/>
          <w:numId w:val="12"/>
        </w:num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投标文件的递交</w:t>
      </w:r>
    </w:p>
    <w:p>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16.1 投标文件必须在规定的投标截止时间前送达到指定的收标地点；</w:t>
      </w:r>
    </w:p>
    <w:p>
      <w:pPr>
        <w:tabs>
          <w:tab w:val="left" w:pos="540"/>
        </w:tabs>
        <w:spacing w:line="460" w:lineRule="exact"/>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16.2 ▲在递交投标文件同时递交以下证明文件，由采购人或采购代理机构在开启投标文件技术资信标后确认投标资格：</w:t>
      </w:r>
    </w:p>
    <w:p>
      <w:pPr>
        <w:numPr>
          <w:ilvl w:val="0"/>
          <w:numId w:val="13"/>
        </w:num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投标保证金缴纳证明文件；</w:t>
      </w:r>
    </w:p>
    <w:p>
      <w:pPr>
        <w:numPr>
          <w:ilvl w:val="0"/>
          <w:numId w:val="13"/>
        </w:num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法定代表人有效身份证明原件（若</w:t>
      </w:r>
      <w:r>
        <w:rPr>
          <w:rFonts w:hint="eastAsia" w:ascii="新宋体" w:hAnsi="新宋体" w:eastAsia="新宋体" w:cs="新宋体"/>
          <w:bCs/>
          <w:color w:val="auto"/>
          <w:kern w:val="0"/>
          <w:sz w:val="22"/>
          <w:szCs w:val="22"/>
          <w:highlight w:val="none"/>
          <w:lang w:eastAsia="zh-CN"/>
        </w:rPr>
        <w:t>投标供应商</w:t>
      </w:r>
      <w:r>
        <w:rPr>
          <w:rFonts w:hint="eastAsia" w:ascii="新宋体" w:hAnsi="新宋体" w:eastAsia="新宋体" w:cs="新宋体"/>
          <w:bCs/>
          <w:color w:val="auto"/>
          <w:kern w:val="0"/>
          <w:sz w:val="22"/>
          <w:szCs w:val="22"/>
          <w:highlight w:val="none"/>
        </w:rPr>
        <w:t>代表为法定代表人）</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以邮寄方式递交标书的，提供复印件即可</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w:t>
      </w:r>
    </w:p>
    <w:p>
      <w:pPr>
        <w:numPr>
          <w:ilvl w:val="0"/>
          <w:numId w:val="13"/>
        </w:numPr>
        <w:tabs>
          <w:tab w:val="left" w:pos="540"/>
        </w:tabs>
        <w:spacing w:line="460" w:lineRule="exact"/>
        <w:rPr>
          <w:rFonts w:ascii="新宋体" w:hAnsi="新宋体" w:eastAsia="新宋体" w:cs="新宋体"/>
          <w:bCs/>
          <w:color w:val="auto"/>
          <w:sz w:val="22"/>
          <w:szCs w:val="22"/>
          <w:highlight w:val="none"/>
          <w:u w:val="single"/>
        </w:rPr>
      </w:pPr>
      <w:r>
        <w:rPr>
          <w:rFonts w:hint="eastAsia" w:ascii="新宋体" w:hAnsi="新宋体" w:eastAsia="新宋体" w:cs="新宋体"/>
          <w:bCs/>
          <w:color w:val="auto"/>
          <w:kern w:val="0"/>
          <w:sz w:val="22"/>
          <w:szCs w:val="22"/>
          <w:highlight w:val="none"/>
        </w:rPr>
        <w:t>法定代表人授权书原件及授权代表有效身份证明原件（若法定代表人在参加投标活动的同时另行委派</w:t>
      </w:r>
      <w:r>
        <w:rPr>
          <w:rFonts w:hint="eastAsia" w:ascii="新宋体" w:hAnsi="新宋体" w:eastAsia="新宋体" w:cs="新宋体"/>
          <w:bCs/>
          <w:color w:val="auto"/>
          <w:kern w:val="0"/>
          <w:sz w:val="22"/>
          <w:szCs w:val="22"/>
          <w:highlight w:val="none"/>
          <w:lang w:eastAsia="zh-CN"/>
        </w:rPr>
        <w:t>投标供应商</w:t>
      </w:r>
      <w:r>
        <w:rPr>
          <w:rFonts w:hint="eastAsia" w:ascii="新宋体" w:hAnsi="新宋体" w:eastAsia="新宋体" w:cs="新宋体"/>
          <w:bCs/>
          <w:color w:val="auto"/>
          <w:kern w:val="0"/>
          <w:sz w:val="22"/>
          <w:szCs w:val="22"/>
          <w:highlight w:val="none"/>
        </w:rPr>
        <w:t>代表，法定代表人授权书原件如密封在投标文件技术资信标中，在技术资信标开启后经采购人或采购代理机构查验符合要求亦为有效）；</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以邮寄方式递交标书的，提供复印件即可</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w:t>
      </w:r>
    </w:p>
    <w:p>
      <w:pPr>
        <w:numPr>
          <w:ilvl w:val="0"/>
          <w:numId w:val="13"/>
        </w:numPr>
        <w:tabs>
          <w:tab w:val="left" w:pos="540"/>
        </w:tabs>
        <w:spacing w:line="460" w:lineRule="exact"/>
        <w:rPr>
          <w:color w:val="auto"/>
          <w:highlight w:val="none"/>
        </w:rPr>
      </w:pPr>
      <w:r>
        <w:rPr>
          <w:rFonts w:hint="eastAsia" w:ascii="新宋体" w:hAnsi="新宋体" w:eastAsia="新宋体" w:cs="新宋体"/>
          <w:bCs/>
          <w:color w:val="auto"/>
          <w:kern w:val="0"/>
          <w:sz w:val="22"/>
          <w:szCs w:val="22"/>
          <w:highlight w:val="none"/>
        </w:rPr>
        <w:t>企业法人营业执照复印件（加盖公章，如密封在投标文件技术资信标中，在技术资信标开启后经采购人或采购代理机构查验符合要求亦为有效）。</w:t>
      </w:r>
    </w:p>
    <w:p>
      <w:pPr>
        <w:numPr>
          <w:ilvl w:val="0"/>
          <w:numId w:val="12"/>
        </w:num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投标文件的修改和撤回</w:t>
      </w:r>
    </w:p>
    <w:p>
      <w:p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17.1 在投标截止时间前，</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可以用书面形式提出修改或撤回其投标并送达到采购人，但不得影响开标活动的正常进行。</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17.2 “投标文件修改”或“投标文件撤回通知”都应密封并在密封袋上写明投标项目名称、项目编号、投标单位名称，并注明“投标文件修改”或“投标文件撤回通知”字样。</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17.3 从投标截止日期起至投标有效期满这段时间内，</w:t>
      </w:r>
      <w:r>
        <w:rPr>
          <w:rFonts w:hint="eastAsia" w:ascii="新宋体" w:hAnsi="新宋体" w:eastAsia="新宋体" w:cs="新宋体"/>
          <w:bCs/>
          <w:color w:val="auto"/>
          <w:sz w:val="22"/>
          <w:szCs w:val="22"/>
          <w:highlight w:val="none"/>
          <w:lang w:eastAsia="zh-CN"/>
        </w:rPr>
        <w:t>投标供应商</w:t>
      </w:r>
      <w:r>
        <w:rPr>
          <w:rFonts w:hint="eastAsia" w:ascii="新宋体" w:hAnsi="新宋体" w:eastAsia="新宋体" w:cs="新宋体"/>
          <w:bCs/>
          <w:color w:val="auto"/>
          <w:sz w:val="22"/>
          <w:szCs w:val="22"/>
          <w:highlight w:val="none"/>
        </w:rPr>
        <w:t>不得撤回其投标，否则投标保证金将</w:t>
      </w:r>
      <w:r>
        <w:rPr>
          <w:rFonts w:hint="eastAsia" w:ascii="新宋体" w:hAnsi="新宋体" w:eastAsia="新宋体" w:cs="新宋体"/>
          <w:color w:val="auto"/>
          <w:sz w:val="22"/>
          <w:szCs w:val="22"/>
          <w:highlight w:val="none"/>
        </w:rPr>
        <w:t>被不予退还。</w:t>
      </w:r>
    </w:p>
    <w:p>
      <w:pPr>
        <w:numPr>
          <w:ilvl w:val="0"/>
          <w:numId w:val="12"/>
        </w:num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color w:val="auto"/>
          <w:sz w:val="22"/>
          <w:highlight w:val="none"/>
        </w:rPr>
        <w:t>递交投标文件时，需满足以下要求，否则该投标文件予以拒绝：</w:t>
      </w:r>
    </w:p>
    <w:p>
      <w:pPr>
        <w:tabs>
          <w:tab w:val="left" w:pos="54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18.1 在投标截止时间之前递交。</w:t>
      </w:r>
    </w:p>
    <w:p>
      <w:pPr>
        <w:tabs>
          <w:tab w:val="left" w:pos="54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w:t>
      </w: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 xml:space="preserve"> 包装与密封符合采购文件要求。</w:t>
      </w:r>
    </w:p>
    <w:p>
      <w:pPr>
        <w:tabs>
          <w:tab w:val="left" w:pos="54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 xml:space="preserve"> 投标文件递交到指定的投标地点。</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新宋体" w:hAnsi="新宋体" w:eastAsia="新宋体" w:cs="新宋体"/>
          <w:color w:val="auto"/>
          <w:sz w:val="22"/>
          <w:szCs w:val="22"/>
          <w:highlight w:val="none"/>
        </w:rPr>
      </w:pPr>
      <w:bookmarkStart w:id="66" w:name="_Toc223715999"/>
      <w:bookmarkStart w:id="67" w:name="_Toc239145355"/>
      <w:bookmarkStart w:id="68" w:name="_Toc265529384"/>
      <w:bookmarkStart w:id="69" w:name="_Toc221423620"/>
      <w:bookmarkStart w:id="70" w:name="_Toc71374676"/>
      <w:bookmarkStart w:id="71" w:name="_Toc221356888"/>
      <w:bookmarkStart w:id="72" w:name="_Toc221356952"/>
      <w:bookmarkStart w:id="73" w:name="_Toc222114880"/>
      <w:bookmarkStart w:id="74" w:name="_Toc221374627"/>
      <w:bookmarkStart w:id="75" w:name="_Toc241404203"/>
      <w:bookmarkStart w:id="76" w:name="_Toc11453"/>
      <w:r>
        <w:rPr>
          <w:rFonts w:hint="eastAsia" w:ascii="新宋体" w:hAnsi="新宋体" w:eastAsia="新宋体" w:cs="新宋体"/>
          <w:b/>
          <w:bCs/>
          <w:color w:val="auto"/>
          <w:sz w:val="26"/>
          <w:szCs w:val="26"/>
          <w:highlight w:val="none"/>
        </w:rPr>
        <w:t>五、 开标和评标</w:t>
      </w:r>
      <w:bookmarkEnd w:id="66"/>
      <w:bookmarkEnd w:id="67"/>
      <w:bookmarkEnd w:id="68"/>
      <w:bookmarkEnd w:id="69"/>
      <w:bookmarkEnd w:id="70"/>
      <w:bookmarkEnd w:id="71"/>
      <w:bookmarkEnd w:id="72"/>
      <w:bookmarkEnd w:id="73"/>
      <w:bookmarkEnd w:id="74"/>
      <w:bookmarkEnd w:id="75"/>
      <w:bookmarkEnd w:id="76"/>
    </w:p>
    <w:p>
      <w:pPr>
        <w:numPr>
          <w:ilvl w:val="0"/>
          <w:numId w:val="14"/>
        </w:numPr>
        <w:tabs>
          <w:tab w:val="left" w:pos="540"/>
        </w:tabs>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评标委员会</w:t>
      </w:r>
    </w:p>
    <w:p>
      <w:pPr>
        <w:spacing w:line="440" w:lineRule="exact"/>
        <w:ind w:left="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成员由采购人代表和有关技术、经济等方面的专家组成，不少于5人，其中技术、经济等方面的专家成员人数不得少于成员总数的2/3，所有评标专家应在评标专家库中随机抽取产生。评标委员会的成员在评标过程中必须严格遵守《温州市市属国有企业采购管理办法（试行）》及有关法律、法规组织和实施的</w:t>
      </w:r>
      <w:r>
        <w:rPr>
          <w:rFonts w:hint="eastAsia" w:ascii="新宋体" w:hAnsi="新宋体" w:eastAsia="新宋体" w:cs="新宋体"/>
          <w:bCs/>
          <w:color w:val="auto"/>
          <w:sz w:val="22"/>
          <w:szCs w:val="22"/>
          <w:highlight w:val="none"/>
        </w:rPr>
        <w:t>。</w:t>
      </w:r>
    </w:p>
    <w:p>
      <w:pPr>
        <w:numPr>
          <w:ilvl w:val="0"/>
          <w:numId w:val="14"/>
        </w:numPr>
        <w:tabs>
          <w:tab w:val="left" w:pos="540"/>
        </w:tabs>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评标过程的保密性</w:t>
      </w:r>
    </w:p>
    <w:p>
      <w:pPr>
        <w:spacing w:line="44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开标后直至向</w:t>
      </w:r>
      <w:r>
        <w:rPr>
          <w:rFonts w:hint="eastAsia" w:ascii="新宋体" w:hAnsi="新宋体" w:eastAsia="新宋体" w:cs="新宋体"/>
          <w:b/>
          <w:bCs/>
          <w:color w:val="auto"/>
          <w:sz w:val="22"/>
          <w:szCs w:val="22"/>
          <w:highlight w:val="none"/>
          <w:lang w:eastAsia="zh-CN"/>
        </w:rPr>
        <w:t>中标供应商</w:t>
      </w:r>
      <w:r>
        <w:rPr>
          <w:rFonts w:hint="eastAsia" w:ascii="新宋体" w:hAnsi="新宋体" w:eastAsia="新宋体" w:cs="新宋体"/>
          <w:b/>
          <w:bCs/>
          <w:color w:val="auto"/>
          <w:sz w:val="22"/>
          <w:szCs w:val="22"/>
          <w:highlight w:val="none"/>
        </w:rPr>
        <w:t>授予合同时止，凡与评审有关的资料均不得向</w:t>
      </w:r>
      <w:r>
        <w:rPr>
          <w:rFonts w:hint="eastAsia" w:ascii="新宋体" w:hAnsi="新宋体" w:eastAsia="新宋体" w:cs="新宋体"/>
          <w:b/>
          <w:bCs/>
          <w:color w:val="auto"/>
          <w:sz w:val="22"/>
          <w:szCs w:val="22"/>
          <w:highlight w:val="none"/>
          <w:lang w:eastAsia="zh-CN"/>
        </w:rPr>
        <w:t>投标供应商</w:t>
      </w:r>
      <w:r>
        <w:rPr>
          <w:rFonts w:hint="eastAsia" w:ascii="新宋体" w:hAnsi="新宋体" w:eastAsia="新宋体" w:cs="新宋体"/>
          <w:b/>
          <w:bCs/>
          <w:color w:val="auto"/>
          <w:sz w:val="22"/>
          <w:szCs w:val="22"/>
          <w:highlight w:val="none"/>
        </w:rPr>
        <w:t>及与评标无关人员透露。如果</w:t>
      </w:r>
      <w:r>
        <w:rPr>
          <w:rFonts w:hint="eastAsia" w:ascii="新宋体" w:hAnsi="新宋体" w:eastAsia="新宋体" w:cs="新宋体"/>
          <w:b/>
          <w:bCs/>
          <w:color w:val="auto"/>
          <w:sz w:val="22"/>
          <w:szCs w:val="22"/>
          <w:highlight w:val="none"/>
          <w:lang w:eastAsia="zh-CN"/>
        </w:rPr>
        <w:t>投标供应商</w:t>
      </w:r>
      <w:r>
        <w:rPr>
          <w:rFonts w:hint="eastAsia" w:ascii="新宋体" w:hAnsi="新宋体" w:eastAsia="新宋体" w:cs="新宋体"/>
          <w:b/>
          <w:bCs/>
          <w:color w:val="auto"/>
          <w:sz w:val="22"/>
          <w:szCs w:val="22"/>
          <w:highlight w:val="none"/>
        </w:rPr>
        <w:t>在评标过程中试图向采购人和采购代理机构施加影响，其投标将被拒绝。</w:t>
      </w:r>
    </w:p>
    <w:p>
      <w:pPr>
        <w:numPr>
          <w:ilvl w:val="0"/>
          <w:numId w:val="14"/>
        </w:numPr>
        <w:tabs>
          <w:tab w:val="left" w:pos="540"/>
        </w:tabs>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开标、评标</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21.1采购人按采购文件规定的时间、地点开启投标文件。开标前，首先检查投标文件的密封情况，确认无误后开启投标文件。</w:t>
      </w:r>
    </w:p>
    <w:p>
      <w:pPr>
        <w:numPr>
          <w:ilvl w:val="0"/>
          <w:numId w:val="15"/>
        </w:num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开标时邀请所有</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代表参加，参加开标的代表应准时出席并签名报到以证明其出席。</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代表未参加开标会的，事后不得对开标过程和开标结果提出异议。</w:t>
      </w:r>
    </w:p>
    <w:p>
      <w:pPr>
        <w:numPr>
          <w:ilvl w:val="0"/>
          <w:numId w:val="15"/>
        </w:numPr>
        <w:spacing w:line="440" w:lineRule="exact"/>
        <w:ind w:firstLine="399" w:firstLineChars="190"/>
        <w:rPr>
          <w:rFonts w:ascii="新宋体" w:hAnsi="新宋体" w:eastAsia="新宋体" w:cs="新宋体"/>
          <w:color w:val="auto"/>
          <w:kern w:val="0"/>
          <w:sz w:val="22"/>
          <w:szCs w:val="22"/>
          <w:highlight w:val="none"/>
        </w:rPr>
      </w:pPr>
      <w:r>
        <w:rPr>
          <w:rFonts w:hint="eastAsia" w:ascii="新宋体" w:hAnsi="新宋体" w:eastAsia="新宋体" w:cs="新宋体"/>
          <w:bCs/>
          <w:color w:val="auto"/>
          <w:szCs w:val="21"/>
          <w:highlight w:val="none"/>
        </w:rPr>
        <w:t>开标时，应当由</w:t>
      </w:r>
      <w:r>
        <w:rPr>
          <w:rFonts w:hint="eastAsia" w:ascii="新宋体" w:hAnsi="新宋体" w:eastAsia="新宋体" w:cs="新宋体"/>
          <w:bCs/>
          <w:color w:val="auto"/>
          <w:szCs w:val="21"/>
          <w:highlight w:val="none"/>
          <w:lang w:eastAsia="zh-CN"/>
        </w:rPr>
        <w:t>投标供应商</w:t>
      </w:r>
      <w:r>
        <w:rPr>
          <w:rFonts w:hint="eastAsia" w:ascii="新宋体" w:hAnsi="新宋体" w:eastAsia="新宋体" w:cs="新宋体"/>
          <w:bCs/>
          <w:color w:val="auto"/>
          <w:szCs w:val="21"/>
          <w:highlight w:val="none"/>
        </w:rPr>
        <w:t>推选的代表检查投标文件的密封情况；经确认无误后，由采购代理机构工作人员当众拆封，宣布</w:t>
      </w:r>
      <w:r>
        <w:rPr>
          <w:rFonts w:hint="eastAsia" w:ascii="新宋体" w:hAnsi="新宋体" w:eastAsia="新宋体" w:cs="新宋体"/>
          <w:bCs/>
          <w:color w:val="auto"/>
          <w:szCs w:val="21"/>
          <w:highlight w:val="none"/>
          <w:lang w:eastAsia="zh-CN"/>
        </w:rPr>
        <w:t>投标供应商</w:t>
      </w:r>
      <w:r>
        <w:rPr>
          <w:rFonts w:hint="eastAsia" w:ascii="新宋体" w:hAnsi="新宋体" w:eastAsia="新宋体" w:cs="新宋体"/>
          <w:bCs/>
          <w:color w:val="auto"/>
          <w:szCs w:val="21"/>
          <w:highlight w:val="none"/>
        </w:rPr>
        <w:t>名称、投标价格和采购文件规定的需要宣布的其他内容。采购代理机构指定专人作好记录，存档备查。</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代表应对宣读内容及记录结果当场进行校核和签字确认，如有异议应当场提出，否则视为默许同意。</w:t>
      </w:r>
    </w:p>
    <w:p>
      <w:pPr>
        <w:numPr>
          <w:ilvl w:val="0"/>
          <w:numId w:val="15"/>
        </w:numPr>
        <w:spacing w:line="440" w:lineRule="exact"/>
        <w:ind w:firstLine="399" w:firstLineChars="190"/>
        <w:rPr>
          <w:rFonts w:ascii="新宋体" w:hAnsi="新宋体" w:eastAsia="新宋体" w:cs="新宋体"/>
          <w:color w:val="auto"/>
          <w:kern w:val="0"/>
          <w:sz w:val="22"/>
          <w:szCs w:val="22"/>
          <w:highlight w:val="none"/>
        </w:rPr>
      </w:pPr>
      <w:r>
        <w:rPr>
          <w:rFonts w:hint="eastAsia" w:ascii="新宋体" w:hAnsi="新宋体" w:eastAsia="新宋体" w:cs="新宋体"/>
          <w:bCs/>
          <w:color w:val="auto"/>
          <w:szCs w:val="21"/>
          <w:highlight w:val="none"/>
        </w:rPr>
        <w:t>开标结束后，采购人或采购代理机构依法对</w:t>
      </w:r>
      <w:r>
        <w:rPr>
          <w:rFonts w:hint="eastAsia" w:ascii="新宋体" w:hAnsi="新宋体" w:eastAsia="新宋体" w:cs="新宋体"/>
          <w:bCs/>
          <w:color w:val="auto"/>
          <w:szCs w:val="21"/>
          <w:highlight w:val="none"/>
          <w:lang w:eastAsia="zh-CN"/>
        </w:rPr>
        <w:t>投标供应商</w:t>
      </w:r>
      <w:r>
        <w:rPr>
          <w:rFonts w:hint="eastAsia" w:ascii="新宋体" w:hAnsi="新宋体" w:eastAsia="新宋体" w:cs="新宋体"/>
          <w:bCs/>
          <w:color w:val="auto"/>
          <w:szCs w:val="21"/>
          <w:highlight w:val="none"/>
        </w:rPr>
        <w:t>的资格进行审查。</w:t>
      </w:r>
      <w:r>
        <w:rPr>
          <w:rFonts w:hint="eastAsia" w:ascii="新宋体" w:hAnsi="新宋体" w:eastAsia="新宋体" w:cs="新宋体"/>
          <w:color w:val="auto"/>
          <w:kern w:val="0"/>
          <w:sz w:val="22"/>
          <w:szCs w:val="22"/>
          <w:highlight w:val="none"/>
        </w:rPr>
        <w:t>审查内容包括但不仅限于随投标文件一同提交的法定代表人授权书（原件）、</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代表有效身份证件（原件）、企业法人营业执照复印件、投标保证金，以及投标文件所提交证明材料是否能证明符合本项目对合格</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的实质性要求。通过资格审查视作具备投标资格，审查不合格的投标文件将不进入后续详细评审。</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21.2投标文件的初审（符合性检查）。</w:t>
      </w:r>
    </w:p>
    <w:p>
      <w:pPr>
        <w:spacing w:line="44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21.3▲</w:t>
      </w:r>
      <w:r>
        <w:rPr>
          <w:rFonts w:hint="eastAsia" w:ascii="新宋体" w:hAnsi="新宋体" w:eastAsia="新宋体" w:cs="新宋体"/>
          <w:b/>
          <w:bCs/>
          <w:color w:val="auto"/>
          <w:kern w:val="0"/>
          <w:sz w:val="22"/>
          <w:szCs w:val="22"/>
          <w:highlight w:val="none"/>
          <w:u w:val="single"/>
          <w:lang w:eastAsia="zh-CN"/>
        </w:rPr>
        <w:t>投标供应商</w:t>
      </w:r>
      <w:r>
        <w:rPr>
          <w:rFonts w:hint="eastAsia" w:ascii="新宋体" w:hAnsi="新宋体" w:eastAsia="新宋体" w:cs="新宋体"/>
          <w:b/>
          <w:bCs/>
          <w:color w:val="auto"/>
          <w:kern w:val="0"/>
          <w:sz w:val="22"/>
          <w:szCs w:val="22"/>
          <w:highlight w:val="none"/>
          <w:u w:val="single"/>
        </w:rPr>
        <w:t>存在下列情况之一的，投标无效</w:t>
      </w:r>
      <w:r>
        <w:rPr>
          <w:rFonts w:hint="eastAsia" w:ascii="新宋体" w:hAnsi="新宋体" w:eastAsia="新宋体" w:cs="新宋体"/>
          <w:color w:val="auto"/>
          <w:kern w:val="0"/>
          <w:sz w:val="22"/>
          <w:szCs w:val="22"/>
          <w:highlight w:val="none"/>
        </w:rPr>
        <w:t>:</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1）未按照采购文件的规定提交投标保证金的；</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2）投标文件正本未按采购文件要求签署、盖章的；</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3）不具备采购文件中规定的资格要求的；</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4）报价超过采购文件中规定的</w:t>
      </w:r>
      <w:r>
        <w:rPr>
          <w:rFonts w:hint="eastAsia" w:ascii="新宋体" w:hAnsi="新宋体" w:eastAsia="新宋体" w:cs="新宋体"/>
          <w:color w:val="auto"/>
          <w:kern w:val="0"/>
          <w:sz w:val="22"/>
          <w:szCs w:val="22"/>
          <w:highlight w:val="none"/>
          <w:lang w:val="en-US" w:eastAsia="zh-CN"/>
        </w:rPr>
        <w:t>采购预算或</w:t>
      </w:r>
      <w:r>
        <w:rPr>
          <w:rFonts w:hint="eastAsia" w:ascii="新宋体" w:hAnsi="新宋体" w:eastAsia="新宋体" w:cs="新宋体"/>
          <w:color w:val="auto"/>
          <w:kern w:val="0"/>
          <w:sz w:val="22"/>
          <w:szCs w:val="22"/>
          <w:highlight w:val="none"/>
        </w:rPr>
        <w:t>投标限价的；</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5）投标文件含有采购人不能接受的附加条件的（包括采购文件中明确要求不得偏离的采购要求，存在负偏离的）；</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递交两份或两份以上内容不同的投标文件，未声明哪一份有效的；</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7）对关键条文的偏离、保留或反对，例如关于投标保证金、付款方式、完工期（服务期）、免费质保期、适用法律法规、标准、税费等其他内容；</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8）存在串标、抬标或弄虚作假情况的；</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9）法律、法规和采购文件规定的其他无效情形（或出现重大偏差）。</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21.4▲</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1）未按采购文件要求编制或字迹模糊、辨认不清的投标文件；</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2）除21.3条款以外，出现其它明显不符合技术规格、技术标准的要求或不满足采购文件技术规格书中的主要参数的投标文件；</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3）除21.3条款以外，出现投标项目数量与采购文件对比出现较大偏差；商务报价明细表计算错误，出现较大差错；</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4）除21.3条款以外，出现其它不符合采购文件中规定的实质性要求的投标文件，是否为偏离实质性要求由评标委员会认定。</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21.5</w:t>
      </w:r>
      <w:r>
        <w:rPr>
          <w:rFonts w:hint="eastAsia" w:ascii="新宋体" w:hAnsi="新宋体" w:eastAsia="新宋体" w:cs="新宋体"/>
          <w:b/>
          <w:bCs/>
          <w:color w:val="auto"/>
          <w:kern w:val="0"/>
          <w:sz w:val="22"/>
          <w:szCs w:val="22"/>
          <w:highlight w:val="none"/>
          <w:u w:val="single"/>
        </w:rPr>
        <w:t>有下列情形之一的，视为</w:t>
      </w:r>
      <w:r>
        <w:rPr>
          <w:rFonts w:hint="eastAsia" w:ascii="新宋体" w:hAnsi="新宋体" w:eastAsia="新宋体" w:cs="新宋体"/>
          <w:b/>
          <w:bCs/>
          <w:color w:val="auto"/>
          <w:kern w:val="0"/>
          <w:sz w:val="22"/>
          <w:szCs w:val="22"/>
          <w:highlight w:val="none"/>
          <w:u w:val="single"/>
          <w:lang w:eastAsia="zh-CN"/>
        </w:rPr>
        <w:t>投标供应商</w:t>
      </w:r>
      <w:r>
        <w:rPr>
          <w:rFonts w:hint="eastAsia" w:ascii="新宋体" w:hAnsi="新宋体" w:eastAsia="新宋体" w:cs="新宋体"/>
          <w:b/>
          <w:bCs/>
          <w:color w:val="auto"/>
          <w:kern w:val="0"/>
          <w:sz w:val="22"/>
          <w:szCs w:val="22"/>
          <w:highlight w:val="none"/>
          <w:u w:val="single"/>
        </w:rPr>
        <w:t>串通投标，其投标无效</w:t>
      </w:r>
      <w:r>
        <w:rPr>
          <w:rFonts w:hint="eastAsia" w:ascii="新宋体" w:hAnsi="新宋体" w:eastAsia="新宋体" w:cs="新宋体"/>
          <w:color w:val="auto"/>
          <w:kern w:val="0"/>
          <w:sz w:val="22"/>
          <w:szCs w:val="22"/>
          <w:highlight w:val="none"/>
        </w:rPr>
        <w:t>：</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1)不同</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的投标文件由同一单位或者个人编制；</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2)不同</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委托同一单位或者个人办理投标事宜；</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3)不同</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的投标文件载明的项目管理成员或者联系人员为同一人；</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的投标文件异常一致或者投标报价呈规律性差异；</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的投标文件相互混装；</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6）不同</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的投标保证金从同一单位或者个人的账户转出。</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21.6评标委员会对各</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的商务报价进行核查时，若发现投标报价内容不清楚可要求</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书面澄清，计算上的错误，可按下面方法修正：</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2）如果</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不接受对其价格错误进行修正，其投标将被否决。</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21.8实质上没有响应采购文件要求的投标将被拒绝，</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不得通过修正或撤消不合要求的偏离或保留从而使其投标成为实质上响应的投标。</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21.9▲</w:t>
      </w:r>
      <w:r>
        <w:rPr>
          <w:rFonts w:hint="eastAsia" w:ascii="新宋体" w:hAnsi="新宋体" w:eastAsia="新宋体" w:cs="新宋体"/>
          <w:b/>
          <w:bCs/>
          <w:color w:val="auto"/>
          <w:kern w:val="0"/>
          <w:sz w:val="22"/>
          <w:szCs w:val="22"/>
          <w:highlight w:val="none"/>
          <w:u w:val="single"/>
        </w:rPr>
        <w:t>评标委员会认为</w:t>
      </w:r>
      <w:r>
        <w:rPr>
          <w:rFonts w:hint="eastAsia" w:ascii="新宋体" w:hAnsi="新宋体" w:eastAsia="新宋体" w:cs="新宋体"/>
          <w:b/>
          <w:bCs/>
          <w:color w:val="auto"/>
          <w:kern w:val="0"/>
          <w:sz w:val="22"/>
          <w:szCs w:val="22"/>
          <w:highlight w:val="none"/>
          <w:u w:val="single"/>
          <w:lang w:eastAsia="zh-CN"/>
        </w:rPr>
        <w:t>投标供应商</w:t>
      </w:r>
      <w:r>
        <w:rPr>
          <w:rFonts w:hint="eastAsia" w:ascii="新宋体" w:hAnsi="新宋体" w:eastAsia="新宋体" w:cs="新宋体"/>
          <w:b/>
          <w:bCs/>
          <w:color w:val="auto"/>
          <w:kern w:val="0"/>
          <w:sz w:val="22"/>
          <w:szCs w:val="22"/>
          <w:highlight w:val="none"/>
          <w:u w:val="single"/>
        </w:rPr>
        <w:t>的报价明显低于其他通过符合性审查</w:t>
      </w:r>
      <w:r>
        <w:rPr>
          <w:rFonts w:hint="eastAsia" w:ascii="新宋体" w:hAnsi="新宋体" w:eastAsia="新宋体" w:cs="新宋体"/>
          <w:b/>
          <w:bCs/>
          <w:color w:val="auto"/>
          <w:kern w:val="0"/>
          <w:sz w:val="22"/>
          <w:szCs w:val="22"/>
          <w:highlight w:val="none"/>
          <w:u w:val="single"/>
          <w:lang w:eastAsia="zh-CN"/>
        </w:rPr>
        <w:t>投标供应商</w:t>
      </w:r>
      <w:r>
        <w:rPr>
          <w:rFonts w:hint="eastAsia" w:ascii="新宋体" w:hAnsi="新宋体" w:eastAsia="新宋体" w:cs="新宋体"/>
          <w:b/>
          <w:bCs/>
          <w:color w:val="auto"/>
          <w:kern w:val="0"/>
          <w:sz w:val="22"/>
          <w:szCs w:val="22"/>
          <w:highlight w:val="none"/>
          <w:u w:val="single"/>
        </w:rPr>
        <w:t>的报价，有可能影响产品质量或者不能诚信履约的，应当要求其在评标现场合理的时间内提供书面说明，必要时提交相关证明材料；</w:t>
      </w:r>
      <w:r>
        <w:rPr>
          <w:rFonts w:hint="eastAsia" w:ascii="新宋体" w:hAnsi="新宋体" w:eastAsia="新宋体" w:cs="新宋体"/>
          <w:b/>
          <w:bCs/>
          <w:color w:val="auto"/>
          <w:kern w:val="0"/>
          <w:sz w:val="22"/>
          <w:szCs w:val="22"/>
          <w:highlight w:val="none"/>
          <w:u w:val="single"/>
          <w:lang w:eastAsia="zh-CN"/>
        </w:rPr>
        <w:t>投标供应商</w:t>
      </w:r>
      <w:r>
        <w:rPr>
          <w:rFonts w:hint="eastAsia" w:ascii="新宋体" w:hAnsi="新宋体" w:eastAsia="新宋体" w:cs="新宋体"/>
          <w:b/>
          <w:bCs/>
          <w:color w:val="auto"/>
          <w:kern w:val="0"/>
          <w:sz w:val="22"/>
          <w:szCs w:val="22"/>
          <w:highlight w:val="none"/>
          <w:u w:val="single"/>
        </w:rPr>
        <w:t>不能证明其报价合理性的，评标委员会应当将其作为无效投标处理</w:t>
      </w:r>
      <w:r>
        <w:rPr>
          <w:rFonts w:hint="eastAsia" w:ascii="新宋体" w:hAnsi="新宋体" w:eastAsia="新宋体" w:cs="新宋体"/>
          <w:color w:val="auto"/>
          <w:kern w:val="0"/>
          <w:sz w:val="22"/>
          <w:szCs w:val="22"/>
          <w:highlight w:val="none"/>
        </w:rPr>
        <w:t>。</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21.10评标委员会对审查合格的投标文件按照采购文件中制订的评标方法进行综合评定打分。</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21.11评标过程中遇到特殊情况，由评标委员会遵循公开、公正原则，采取投票方式按照少数服从多数原则决定。</w:t>
      </w:r>
    </w:p>
    <w:p>
      <w:pPr>
        <w:tabs>
          <w:tab w:val="left" w:pos="540"/>
        </w:tabs>
        <w:spacing w:line="44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21.12</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sz w:val="22"/>
          <w:szCs w:val="22"/>
          <w:highlight w:val="none"/>
          <w:u w:val="single"/>
        </w:rPr>
        <w:t>投标截止时间止及评审期间，出现有效</w:t>
      </w:r>
      <w:r>
        <w:rPr>
          <w:rFonts w:hint="eastAsia" w:ascii="新宋体" w:hAnsi="新宋体" w:eastAsia="新宋体" w:cs="新宋体"/>
          <w:b/>
          <w:bCs/>
          <w:color w:val="auto"/>
          <w:sz w:val="22"/>
          <w:szCs w:val="22"/>
          <w:highlight w:val="none"/>
          <w:u w:val="single"/>
          <w:lang w:eastAsia="zh-CN"/>
        </w:rPr>
        <w:t>投标供应商</w:t>
      </w:r>
      <w:r>
        <w:rPr>
          <w:rFonts w:hint="eastAsia" w:ascii="新宋体" w:hAnsi="新宋体" w:eastAsia="新宋体" w:cs="新宋体"/>
          <w:b/>
          <w:bCs/>
          <w:color w:val="auto"/>
          <w:sz w:val="22"/>
          <w:szCs w:val="22"/>
          <w:highlight w:val="none"/>
          <w:u w:val="single"/>
        </w:rPr>
        <w:t>不足3家的，本次采购按流（废）标处理，重新组织采购。</w:t>
      </w:r>
    </w:p>
    <w:p>
      <w:pPr>
        <w:numPr>
          <w:ilvl w:val="0"/>
          <w:numId w:val="14"/>
        </w:numPr>
        <w:tabs>
          <w:tab w:val="left" w:pos="540"/>
        </w:tabs>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投标文件的澄清</w:t>
      </w:r>
    </w:p>
    <w:p>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22.1 在评标期间，评标委员会可以书面方式要求</w:t>
      </w:r>
      <w:r>
        <w:rPr>
          <w:rFonts w:hint="eastAsia" w:ascii="新宋体" w:hAnsi="新宋体" w:eastAsia="新宋体" w:cs="新宋体"/>
          <w:bCs/>
          <w:color w:val="auto"/>
          <w:sz w:val="22"/>
          <w:szCs w:val="22"/>
          <w:highlight w:val="none"/>
          <w:lang w:eastAsia="zh-CN"/>
        </w:rPr>
        <w:t>投标供应商</w:t>
      </w:r>
      <w:r>
        <w:rPr>
          <w:rFonts w:hint="eastAsia" w:ascii="新宋体" w:hAnsi="新宋体" w:eastAsia="新宋体" w:cs="新宋体"/>
          <w:bCs/>
          <w:color w:val="auto"/>
          <w:sz w:val="22"/>
          <w:szCs w:val="22"/>
          <w:highlight w:val="none"/>
        </w:rPr>
        <w:t>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w:t>
      </w:r>
      <w:r>
        <w:rPr>
          <w:rFonts w:hint="eastAsia" w:ascii="新宋体" w:hAnsi="新宋体" w:eastAsia="新宋体" w:cs="新宋体"/>
          <w:bCs/>
          <w:color w:val="auto"/>
          <w:sz w:val="22"/>
          <w:szCs w:val="22"/>
          <w:highlight w:val="none"/>
          <w:lang w:eastAsia="zh-CN"/>
        </w:rPr>
        <w:t>投标供应商</w:t>
      </w:r>
      <w:r>
        <w:rPr>
          <w:rFonts w:hint="eastAsia" w:ascii="新宋体" w:hAnsi="新宋体" w:eastAsia="新宋体" w:cs="新宋体"/>
          <w:bCs/>
          <w:color w:val="auto"/>
          <w:sz w:val="22"/>
          <w:szCs w:val="22"/>
          <w:highlight w:val="none"/>
        </w:rPr>
        <w:t>，评标委员会可以否决其投标。</w:t>
      </w:r>
    </w:p>
    <w:p>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22.2 经澄清后，若偏差仍存在，且不可接受，</w:t>
      </w:r>
      <w:r>
        <w:rPr>
          <w:rFonts w:hint="eastAsia" w:ascii="新宋体" w:hAnsi="新宋体" w:eastAsia="新宋体" w:cs="新宋体"/>
          <w:b/>
          <w:color w:val="auto"/>
          <w:sz w:val="22"/>
          <w:szCs w:val="22"/>
          <w:highlight w:val="none"/>
          <w:lang w:eastAsia="zh-CN"/>
        </w:rPr>
        <w:t>投标供应商</w:t>
      </w:r>
      <w:r>
        <w:rPr>
          <w:rFonts w:hint="eastAsia" w:ascii="新宋体" w:hAnsi="新宋体" w:eastAsia="新宋体" w:cs="新宋体"/>
          <w:b/>
          <w:color w:val="auto"/>
          <w:sz w:val="22"/>
          <w:szCs w:val="22"/>
          <w:highlight w:val="none"/>
        </w:rPr>
        <w:t>则被认为是“没有实质性响应采购文件要求”，其投标不进入下一步评审。</w:t>
      </w:r>
    </w:p>
    <w:p>
      <w:pPr>
        <w:numPr>
          <w:ilvl w:val="0"/>
          <w:numId w:val="14"/>
        </w:numPr>
        <w:spacing w:line="440" w:lineRule="exact"/>
        <w:rPr>
          <w:rFonts w:ascii="新宋体" w:hAnsi="新宋体" w:eastAsia="新宋体" w:cs="新宋体"/>
          <w:color w:val="auto"/>
          <w:sz w:val="22"/>
          <w:szCs w:val="22"/>
          <w:highlight w:val="none"/>
        </w:rPr>
      </w:pPr>
      <w:bookmarkStart w:id="77" w:name="_Toc221356953"/>
      <w:bookmarkStart w:id="78" w:name="_Toc221356889"/>
      <w:bookmarkStart w:id="79" w:name="_Toc221423621"/>
      <w:bookmarkStart w:id="80" w:name="_Toc265529385"/>
      <w:bookmarkStart w:id="81" w:name="_Toc239145356"/>
      <w:bookmarkStart w:id="82" w:name="_Toc221374628"/>
      <w:bookmarkStart w:id="83" w:name="_Toc223716000"/>
      <w:bookmarkStart w:id="84" w:name="_Toc241404204"/>
      <w:bookmarkStart w:id="85" w:name="_Toc222114881"/>
      <w:r>
        <w:rPr>
          <w:rFonts w:hint="eastAsia" w:ascii="新宋体" w:hAnsi="新宋体" w:eastAsia="新宋体" w:cs="新宋体"/>
          <w:bCs/>
          <w:color w:val="auto"/>
          <w:sz w:val="22"/>
          <w:szCs w:val="22"/>
          <w:highlight w:val="none"/>
        </w:rPr>
        <w:t>确定</w:t>
      </w:r>
      <w:r>
        <w:rPr>
          <w:rFonts w:hint="eastAsia" w:ascii="新宋体" w:hAnsi="新宋体" w:eastAsia="新宋体" w:cs="新宋体"/>
          <w:bCs/>
          <w:color w:val="auto"/>
          <w:sz w:val="22"/>
          <w:szCs w:val="22"/>
          <w:highlight w:val="none"/>
          <w:lang w:eastAsia="zh-CN"/>
        </w:rPr>
        <w:t>中标候选供应商</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23.1 本次采购由评标委员会推荐</w:t>
      </w:r>
      <w:r>
        <w:rPr>
          <w:rFonts w:hint="eastAsia" w:ascii="新宋体" w:hAnsi="新宋体" w:eastAsia="新宋体" w:cs="新宋体"/>
          <w:color w:val="auto"/>
          <w:sz w:val="22"/>
          <w:szCs w:val="22"/>
          <w:highlight w:val="none"/>
          <w:lang w:eastAsia="zh-CN"/>
        </w:rPr>
        <w:t>中标候选供应商</w:t>
      </w:r>
      <w:r>
        <w:rPr>
          <w:rFonts w:hint="eastAsia" w:ascii="新宋体" w:hAnsi="新宋体" w:eastAsia="新宋体" w:cs="新宋体"/>
          <w:color w:val="auto"/>
          <w:sz w:val="22"/>
          <w:szCs w:val="22"/>
          <w:highlight w:val="none"/>
        </w:rPr>
        <w:t>，采购人根据评标委员会的推荐结果进行最终确认。</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23.2 评标委员会依据法律、法规及采购文件有关规定在有效标中按</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的最终得分（即技术分与商务分之和）高低进行排序，得分前二名的</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推荐为</w:t>
      </w:r>
      <w:r>
        <w:rPr>
          <w:rFonts w:hint="eastAsia" w:ascii="新宋体" w:hAnsi="新宋体" w:eastAsia="新宋体" w:cs="新宋体"/>
          <w:color w:val="auto"/>
          <w:sz w:val="22"/>
          <w:szCs w:val="22"/>
          <w:highlight w:val="none"/>
          <w:lang w:eastAsia="zh-CN"/>
        </w:rPr>
        <w:t>中标候选供应商</w:t>
      </w:r>
      <w:r>
        <w:rPr>
          <w:rFonts w:hint="eastAsia" w:ascii="新宋体" w:hAnsi="新宋体" w:eastAsia="新宋体" w:cs="新宋体"/>
          <w:color w:val="auto"/>
          <w:sz w:val="22"/>
          <w:szCs w:val="22"/>
          <w:highlight w:val="none"/>
        </w:rPr>
        <w:t>与</w:t>
      </w:r>
      <w:r>
        <w:rPr>
          <w:rFonts w:hint="eastAsia" w:ascii="新宋体" w:hAnsi="新宋体" w:eastAsia="新宋体" w:cs="新宋体"/>
          <w:color w:val="auto"/>
          <w:sz w:val="22"/>
          <w:szCs w:val="22"/>
          <w:highlight w:val="none"/>
          <w:lang w:eastAsia="zh-CN"/>
        </w:rPr>
        <w:t>备选中标供应商</w:t>
      </w:r>
      <w:r>
        <w:rPr>
          <w:rFonts w:hint="eastAsia" w:ascii="新宋体" w:hAnsi="新宋体" w:eastAsia="新宋体" w:cs="新宋体"/>
          <w:color w:val="auto"/>
          <w:sz w:val="22"/>
          <w:szCs w:val="22"/>
          <w:highlight w:val="none"/>
        </w:rPr>
        <w:t>（得分相同投标报价低的排序第一；得分且投标报价相同的，由评标委员会成员抽签决定排序）。</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23.3 </w:t>
      </w:r>
      <w:r>
        <w:rPr>
          <w:rFonts w:hint="eastAsia" w:ascii="新宋体" w:hAnsi="新宋体" w:eastAsia="新宋体" w:cs="新宋体"/>
          <w:color w:val="auto"/>
          <w:kern w:val="0"/>
          <w:sz w:val="22"/>
          <w:szCs w:val="22"/>
          <w:highlight w:val="none"/>
          <w:lang w:val="zh-CN"/>
        </w:rPr>
        <w:t>若出现以下情形之一，采购人可视具体情况确定是否由备选中标供应商为中标人或重新组织采购：</w:t>
      </w:r>
    </w:p>
    <w:p>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1）中标候选供应商放弃中标资格；</w:t>
      </w:r>
    </w:p>
    <w:p>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2）中标候选供应商因不可抗力提出不能履行合同；</w:t>
      </w:r>
    </w:p>
    <w:p>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3）中标候选供应商未能在规定的期限内提交履约保证金；</w:t>
      </w:r>
    </w:p>
    <w:p>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4）中标候选供应商未能在规定时间内与采购单位签订合同；</w:t>
      </w:r>
    </w:p>
    <w:p>
      <w:pPr>
        <w:tabs>
          <w:tab w:val="left" w:pos="540"/>
        </w:tabs>
        <w:autoSpaceDE w:val="0"/>
        <w:autoSpaceDN w:val="0"/>
        <w:adjustRightInd w:val="0"/>
        <w:spacing w:line="440" w:lineRule="atLeast"/>
        <w:ind w:left="567"/>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5）经质疑，采购人审查后，中标候选供应商确实在本次采购活动中存在违法违规行为或其他原因使质疑成立的。</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23.4 采购人、采购代理机构及评标委员会不向落标的</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解释落标原因，也不公布评标过程中的相关细节。</w:t>
      </w:r>
    </w:p>
    <w:p>
      <w:pPr>
        <w:numPr>
          <w:ilvl w:val="0"/>
          <w:numId w:val="14"/>
        </w:numPr>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评标细则详见“评标原则及方法”。</w:t>
      </w:r>
    </w:p>
    <w:p>
      <w:pPr>
        <w:spacing w:before="100" w:beforeAutospacing="1" w:after="100" w:afterAutospacing="1" w:line="440" w:lineRule="exact"/>
        <w:ind w:left="-6"/>
        <w:jc w:val="center"/>
        <w:outlineLvl w:val="0"/>
        <w:rPr>
          <w:rFonts w:ascii="新宋体" w:hAnsi="新宋体" w:eastAsia="新宋体" w:cs="新宋体"/>
          <w:b/>
          <w:bCs/>
          <w:color w:val="auto"/>
          <w:sz w:val="26"/>
          <w:szCs w:val="26"/>
          <w:highlight w:val="none"/>
        </w:rPr>
      </w:pPr>
      <w:bookmarkStart w:id="86" w:name="_Toc71374677"/>
      <w:bookmarkStart w:id="87" w:name="_Toc14427"/>
      <w:r>
        <w:rPr>
          <w:rFonts w:hint="eastAsia" w:ascii="新宋体" w:hAnsi="新宋体" w:eastAsia="新宋体" w:cs="新宋体"/>
          <w:b/>
          <w:bCs/>
          <w:color w:val="auto"/>
          <w:sz w:val="26"/>
          <w:szCs w:val="26"/>
          <w:highlight w:val="none"/>
        </w:rPr>
        <w:t>六、 授予合同</w:t>
      </w:r>
      <w:bookmarkEnd w:id="77"/>
      <w:bookmarkEnd w:id="78"/>
      <w:bookmarkEnd w:id="79"/>
      <w:bookmarkEnd w:id="80"/>
      <w:bookmarkEnd w:id="81"/>
      <w:bookmarkEnd w:id="82"/>
      <w:bookmarkEnd w:id="83"/>
      <w:bookmarkEnd w:id="84"/>
      <w:bookmarkEnd w:id="85"/>
      <w:bookmarkEnd w:id="86"/>
      <w:bookmarkEnd w:id="87"/>
    </w:p>
    <w:p>
      <w:pPr>
        <w:numPr>
          <w:ilvl w:val="0"/>
          <w:numId w:val="14"/>
        </w:numPr>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确定</w:t>
      </w:r>
      <w:r>
        <w:rPr>
          <w:rFonts w:hint="eastAsia" w:ascii="新宋体" w:hAnsi="新宋体" w:eastAsia="新宋体" w:cs="新宋体"/>
          <w:bCs/>
          <w:color w:val="auto"/>
          <w:sz w:val="22"/>
          <w:szCs w:val="22"/>
          <w:highlight w:val="none"/>
          <w:lang w:eastAsia="zh-CN"/>
        </w:rPr>
        <w:t>中标供应商</w:t>
      </w:r>
    </w:p>
    <w:p>
      <w:pPr>
        <w:tabs>
          <w:tab w:val="left" w:pos="640"/>
        </w:tabs>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highlight w:val="none"/>
        </w:rPr>
        <w:t>25.1 采购人自收到评标报告之日起5个工作日内，在评标报告确定的</w:t>
      </w:r>
      <w:r>
        <w:rPr>
          <w:rFonts w:hint="eastAsia" w:ascii="新宋体" w:hAnsi="新宋体" w:eastAsia="新宋体" w:cs="新宋体"/>
          <w:color w:val="auto"/>
          <w:highlight w:val="none"/>
          <w:lang w:eastAsia="zh-CN"/>
        </w:rPr>
        <w:t>中标候选供应商</w:t>
      </w:r>
      <w:r>
        <w:rPr>
          <w:rFonts w:hint="eastAsia" w:ascii="新宋体" w:hAnsi="新宋体" w:eastAsia="新宋体" w:cs="新宋体"/>
          <w:color w:val="auto"/>
          <w:highlight w:val="none"/>
        </w:rPr>
        <w:t>名单中按顺序确定</w:t>
      </w:r>
      <w:r>
        <w:rPr>
          <w:rFonts w:hint="eastAsia" w:ascii="新宋体" w:hAnsi="新宋体" w:eastAsia="新宋体" w:cs="新宋体"/>
          <w:color w:val="auto"/>
          <w:highlight w:val="none"/>
          <w:lang w:eastAsia="zh-CN"/>
        </w:rPr>
        <w:t>中标供应商</w:t>
      </w:r>
      <w:r>
        <w:rPr>
          <w:rFonts w:hint="eastAsia" w:ascii="新宋体" w:hAnsi="新宋体" w:eastAsia="新宋体" w:cs="新宋体"/>
          <w:color w:val="auto"/>
          <w:highlight w:val="none"/>
        </w:rPr>
        <w:t>。</w:t>
      </w:r>
    </w:p>
    <w:p>
      <w:pPr>
        <w:tabs>
          <w:tab w:val="left" w:pos="640"/>
        </w:tabs>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25.2 </w:t>
      </w:r>
      <w:r>
        <w:rPr>
          <w:rFonts w:hint="eastAsia" w:ascii="新宋体" w:hAnsi="新宋体" w:eastAsia="新宋体" w:cs="新宋体"/>
          <w:color w:val="auto"/>
          <w:kern w:val="0"/>
          <w:sz w:val="22"/>
          <w:szCs w:val="22"/>
          <w:highlight w:val="none"/>
          <w:lang w:eastAsia="zh-CN"/>
        </w:rPr>
        <w:t>中标供应商</w:t>
      </w:r>
      <w:r>
        <w:rPr>
          <w:rFonts w:hint="eastAsia" w:ascii="新宋体" w:hAnsi="新宋体" w:eastAsia="新宋体" w:cs="新宋体"/>
          <w:color w:val="auto"/>
          <w:kern w:val="0"/>
          <w:sz w:val="22"/>
          <w:szCs w:val="22"/>
          <w:highlight w:val="none"/>
        </w:rPr>
        <w:t>确定之日起2个工作日内，在政采云平台、温州市国有企业采购平台以及集团网站上公告中标结果，中标公告期限为1个工作日。</w:t>
      </w:r>
    </w:p>
    <w:p>
      <w:pPr>
        <w:tabs>
          <w:tab w:val="left" w:pos="640"/>
        </w:tabs>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25.3 在公告中标结果的同时，采购人向</w:t>
      </w:r>
      <w:r>
        <w:rPr>
          <w:rFonts w:hint="eastAsia" w:ascii="新宋体" w:hAnsi="新宋体" w:eastAsia="新宋体" w:cs="新宋体"/>
          <w:color w:val="auto"/>
          <w:kern w:val="0"/>
          <w:sz w:val="22"/>
          <w:szCs w:val="22"/>
          <w:highlight w:val="none"/>
          <w:lang w:eastAsia="zh-CN"/>
        </w:rPr>
        <w:t>中标供应商</w:t>
      </w:r>
      <w:r>
        <w:rPr>
          <w:rFonts w:hint="eastAsia" w:ascii="新宋体" w:hAnsi="新宋体" w:eastAsia="新宋体" w:cs="新宋体"/>
          <w:color w:val="auto"/>
          <w:kern w:val="0"/>
          <w:sz w:val="22"/>
          <w:szCs w:val="22"/>
          <w:highlight w:val="none"/>
        </w:rPr>
        <w:t>发出中标通知书。</w:t>
      </w:r>
    </w:p>
    <w:p>
      <w:pPr>
        <w:tabs>
          <w:tab w:val="left" w:pos="640"/>
        </w:tabs>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25.4 各</w:t>
      </w: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对评标结果如有异议，可在中标结果公示之日起7个工作日内以书面形式向采购人进行署名投诉或提出质疑，但需对投诉或质疑内容的真实性承担法律责任。</w:t>
      </w:r>
    </w:p>
    <w:p>
      <w:pPr>
        <w:numPr>
          <w:ilvl w:val="0"/>
          <w:numId w:val="14"/>
        </w:numPr>
        <w:spacing w:line="44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签订合同</w:t>
      </w:r>
    </w:p>
    <w:p>
      <w:pPr>
        <w:tabs>
          <w:tab w:val="left" w:pos="6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26.1 公示期结束后，中标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须在5个工作日内主动联系采购人或采购机构领取中标通知书。中标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应当在中标通知书发出之日起30日内与采购人签订合同。中标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未经采购人许可，在规定时间内未到采购人处与采购人签订合同，则视为拒签合同。</w:t>
      </w:r>
    </w:p>
    <w:p>
      <w:pPr>
        <w:tabs>
          <w:tab w:val="left" w:pos="6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26.2 采购文件、中标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的投标文件及投标修改文件、评标过程中有关澄清文件及经双方签字的询标纪要（承诺）和中标通知书均作为合同附件。</w:t>
      </w:r>
    </w:p>
    <w:p>
      <w:pPr>
        <w:tabs>
          <w:tab w:val="left" w:pos="6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26.3 拒签合同的责任</w:t>
      </w:r>
    </w:p>
    <w:p>
      <w:pPr>
        <w:tabs>
          <w:tab w:val="left" w:pos="640"/>
        </w:tabs>
        <w:spacing w:line="46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rPr>
        <w:t>26.4 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在规定时间内（30日历天）借故否认已经承诺的条件、拒签合同或拒交履约保证金者，以投标违约处理，其投标保证金不予退回，并赔偿采购人由此造成的直接经济损失；采购人重新组织采购的，所需费用由原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承担。</w:t>
      </w:r>
    </w:p>
    <w:p>
      <w:pPr>
        <w:numPr>
          <w:ilvl w:val="0"/>
          <w:numId w:val="14"/>
        </w:numPr>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履约保证金</w:t>
      </w:r>
    </w:p>
    <w:p>
      <w:pPr>
        <w:tabs>
          <w:tab w:val="left" w:pos="640"/>
        </w:tabs>
        <w:spacing w:line="44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27.1 </w:t>
      </w:r>
      <w:r>
        <w:rPr>
          <w:rFonts w:hint="eastAsia" w:ascii="新宋体" w:hAnsi="新宋体" w:eastAsia="新宋体" w:cs="新宋体"/>
          <w:color w:val="auto"/>
          <w:spacing w:val="6"/>
          <w:sz w:val="22"/>
          <w:szCs w:val="22"/>
          <w:highlight w:val="none"/>
          <w:lang w:eastAsia="zh-CN"/>
        </w:rPr>
        <w:t>中标供应商</w:t>
      </w:r>
      <w:r>
        <w:rPr>
          <w:rFonts w:hint="eastAsia" w:ascii="新宋体" w:hAnsi="新宋体" w:eastAsia="新宋体" w:cs="新宋体"/>
          <w:color w:val="auto"/>
          <w:spacing w:val="6"/>
          <w:sz w:val="22"/>
          <w:szCs w:val="22"/>
          <w:highlight w:val="none"/>
        </w:rPr>
        <w:t>在收到中标通知书后，签订合同前须向采购人提交履约保证金。</w:t>
      </w:r>
    </w:p>
    <w:p>
      <w:pPr>
        <w:tabs>
          <w:tab w:val="left" w:pos="640"/>
        </w:tabs>
        <w:spacing w:line="44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27.2 履约保证金用于补偿委托方因</w:t>
      </w:r>
      <w:r>
        <w:rPr>
          <w:rFonts w:hint="eastAsia" w:ascii="新宋体" w:hAnsi="新宋体" w:eastAsia="新宋体" w:cs="新宋体"/>
          <w:color w:val="auto"/>
          <w:spacing w:val="6"/>
          <w:sz w:val="22"/>
          <w:szCs w:val="22"/>
          <w:highlight w:val="none"/>
          <w:lang w:eastAsia="zh-CN"/>
        </w:rPr>
        <w:t>中标供应商</w:t>
      </w:r>
      <w:r>
        <w:rPr>
          <w:rFonts w:hint="eastAsia" w:ascii="新宋体" w:hAnsi="新宋体" w:eastAsia="新宋体" w:cs="新宋体"/>
          <w:color w:val="auto"/>
          <w:spacing w:val="6"/>
          <w:sz w:val="22"/>
          <w:szCs w:val="22"/>
          <w:highlight w:val="none"/>
        </w:rPr>
        <w:t>不能完成其合同义务而蒙受的损失。</w:t>
      </w:r>
    </w:p>
    <w:p>
      <w:pPr>
        <w:tabs>
          <w:tab w:val="left" w:pos="640"/>
        </w:tabs>
        <w:spacing w:line="440" w:lineRule="exact"/>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color w:val="auto"/>
          <w:spacing w:val="6"/>
          <w:sz w:val="22"/>
          <w:szCs w:val="22"/>
          <w:highlight w:val="none"/>
        </w:rPr>
        <w:t>27.3 履约保证金自合同签定生效之日起至完成整个项目并通过最终验收之日止有效。有效期满后，</w:t>
      </w:r>
      <w:r>
        <w:rPr>
          <w:rFonts w:hint="eastAsia" w:ascii="新宋体" w:hAnsi="新宋体" w:eastAsia="新宋体" w:cs="新宋体"/>
          <w:color w:val="auto"/>
          <w:spacing w:val="6"/>
          <w:sz w:val="22"/>
          <w:szCs w:val="22"/>
          <w:highlight w:val="none"/>
          <w:lang w:val="en-US" w:eastAsia="zh-CN"/>
        </w:rPr>
        <w:t>履约保证金转为质保金。</w:t>
      </w:r>
    </w:p>
    <w:p>
      <w:pPr>
        <w:numPr>
          <w:ilvl w:val="0"/>
          <w:numId w:val="14"/>
        </w:numPr>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p>
      <w:pPr>
        <w:tabs>
          <w:tab w:val="left" w:pos="640"/>
        </w:tabs>
        <w:spacing w:line="44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28.1本项目采购代理服务费按照人民币</w:t>
      </w:r>
      <w:r>
        <w:rPr>
          <w:rFonts w:hint="eastAsia" w:ascii="新宋体" w:hAnsi="新宋体" w:eastAsia="新宋体" w:cs="新宋体"/>
          <w:b/>
          <w:bCs/>
          <w:color w:val="auto"/>
          <w:sz w:val="22"/>
          <w:szCs w:val="22"/>
          <w:highlight w:val="none"/>
          <w:lang w:val="en-US" w:eastAsia="zh-CN"/>
        </w:rPr>
        <w:t>捌仟元</w:t>
      </w:r>
      <w:r>
        <w:rPr>
          <w:rFonts w:hint="eastAsia" w:ascii="新宋体" w:hAnsi="新宋体" w:eastAsia="新宋体" w:cs="新宋体"/>
          <w:b/>
          <w:bCs/>
          <w:color w:val="auto"/>
          <w:sz w:val="22"/>
          <w:szCs w:val="22"/>
          <w:highlight w:val="none"/>
        </w:rPr>
        <w:t>整</w:t>
      </w:r>
      <w:r>
        <w:rPr>
          <w:rFonts w:hint="eastAsia" w:ascii="新宋体" w:hAnsi="新宋体" w:eastAsia="新宋体" w:cs="新宋体"/>
          <w:color w:val="auto"/>
          <w:sz w:val="22"/>
          <w:szCs w:val="22"/>
          <w:highlight w:val="none"/>
        </w:rPr>
        <w:t>收取，该服务费须计入投标报价，由中标供应商在领取中标（成交）通知书之前支付给采购代理机构。</w:t>
      </w:r>
    </w:p>
    <w:p>
      <w:pPr>
        <w:tabs>
          <w:tab w:val="left" w:pos="640"/>
        </w:tabs>
        <w:spacing w:line="44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28.2 采购代理服务费可以是现金、支票或汇票。</w:t>
      </w:r>
    </w:p>
    <w:p>
      <w:pPr>
        <w:tabs>
          <w:tab w:val="left" w:pos="640"/>
        </w:tabs>
        <w:spacing w:line="440" w:lineRule="exact"/>
        <w:ind w:firstLine="464" w:firstLineChars="200"/>
        <w:rPr>
          <w:rFonts w:hint="default" w:ascii="新宋体" w:hAnsi="新宋体" w:eastAsia="新宋体" w:cs="新宋体"/>
          <w:color w:val="auto"/>
          <w:spacing w:val="6"/>
          <w:sz w:val="22"/>
          <w:szCs w:val="22"/>
          <w:highlight w:val="none"/>
          <w:lang w:val="en-US" w:eastAsia="zh-CN"/>
        </w:rPr>
      </w:pPr>
      <w:r>
        <w:rPr>
          <w:rFonts w:hint="eastAsia" w:ascii="新宋体" w:hAnsi="新宋体" w:eastAsia="新宋体" w:cs="新宋体"/>
          <w:color w:val="auto"/>
          <w:spacing w:val="6"/>
          <w:sz w:val="22"/>
          <w:szCs w:val="22"/>
          <w:highlight w:val="none"/>
          <w:lang w:val="en-US" w:eastAsia="zh-CN"/>
        </w:rPr>
        <w:t>代理机构仅对支付代理服务费的供应商提供增值税普通发票。</w:t>
      </w:r>
    </w:p>
    <w:p>
      <w:pPr>
        <w:tabs>
          <w:tab w:val="left" w:pos="6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28.3户名：温州市智信招标代理有限公司</w:t>
      </w:r>
    </w:p>
    <w:p>
      <w:pPr>
        <w:tabs>
          <w:tab w:val="left" w:pos="640"/>
        </w:tabs>
        <w:spacing w:line="44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 333504140018800009390</w:t>
      </w:r>
    </w:p>
    <w:p>
      <w:pPr>
        <w:tabs>
          <w:tab w:val="left" w:pos="640"/>
        </w:tabs>
        <w:spacing w:line="44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开户行：交通银行温州分行瓯海支行</w:t>
      </w:r>
    </w:p>
    <w:p>
      <w:pPr>
        <w:pStyle w:val="11"/>
        <w:ind w:firstLine="200"/>
        <w:rPr>
          <w:rFonts w:ascii="新宋体" w:hAnsi="新宋体" w:eastAsia="新宋体"/>
          <w:color w:val="auto"/>
          <w:highlight w:val="none"/>
        </w:rPr>
      </w:pPr>
    </w:p>
    <w:p>
      <w:pPr>
        <w:tabs>
          <w:tab w:val="left" w:pos="640"/>
        </w:tabs>
        <w:spacing w:line="440" w:lineRule="exact"/>
        <w:rPr>
          <w:rFonts w:ascii="新宋体" w:hAnsi="新宋体" w:eastAsia="新宋体" w:cs="新宋体"/>
          <w:color w:val="auto"/>
          <w:spacing w:val="6"/>
          <w:sz w:val="22"/>
          <w:szCs w:val="22"/>
          <w:highlight w:val="none"/>
        </w:rPr>
      </w:pPr>
    </w:p>
    <w:p>
      <w:pPr>
        <w:pStyle w:val="3"/>
        <w:rPr>
          <w:rFonts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88" w:name="_Toc265529386"/>
      <w:bookmarkStart w:id="89" w:name="_Toc221374629"/>
      <w:bookmarkStart w:id="90" w:name="_Toc241404205"/>
      <w:bookmarkStart w:id="91" w:name="_Toc221356890"/>
      <w:bookmarkStart w:id="92" w:name="_Toc222114882"/>
      <w:bookmarkStart w:id="93" w:name="_Toc221356954"/>
      <w:bookmarkStart w:id="94" w:name="_Toc239145357"/>
      <w:bookmarkStart w:id="95" w:name="_Toc221423622"/>
      <w:bookmarkStart w:id="96" w:name="_Toc223716001"/>
      <w:r>
        <w:rPr>
          <w:rFonts w:hint="eastAsia" w:ascii="新宋体" w:hAnsi="新宋体" w:eastAsia="新宋体" w:cs="新宋体"/>
          <w:color w:val="auto"/>
          <w:sz w:val="22"/>
          <w:szCs w:val="22"/>
          <w:highlight w:val="none"/>
        </w:rPr>
        <w:t xml:space="preserve">          </w:t>
      </w:r>
      <w:bookmarkStart w:id="97" w:name="_Toc5826"/>
      <w:bookmarkStart w:id="98" w:name="_Toc71374678"/>
      <w:r>
        <w:rPr>
          <w:rFonts w:hint="eastAsia" w:ascii="新宋体" w:hAnsi="新宋体" w:eastAsia="新宋体" w:cs="新宋体"/>
          <w:color w:val="auto"/>
          <w:sz w:val="36"/>
          <w:szCs w:val="36"/>
          <w:highlight w:val="none"/>
        </w:rPr>
        <w:t xml:space="preserve">第二部分   </w:t>
      </w:r>
      <w:bookmarkEnd w:id="88"/>
      <w:bookmarkEnd w:id="89"/>
      <w:bookmarkEnd w:id="90"/>
      <w:bookmarkEnd w:id="91"/>
      <w:bookmarkEnd w:id="92"/>
      <w:bookmarkEnd w:id="93"/>
      <w:bookmarkEnd w:id="94"/>
      <w:bookmarkEnd w:id="95"/>
      <w:bookmarkEnd w:id="96"/>
      <w:r>
        <w:rPr>
          <w:rFonts w:hint="eastAsia" w:ascii="新宋体" w:hAnsi="新宋体" w:eastAsia="新宋体" w:cs="新宋体"/>
          <w:color w:val="auto"/>
          <w:sz w:val="36"/>
          <w:szCs w:val="36"/>
          <w:highlight w:val="none"/>
        </w:rPr>
        <w:t>合同格式及合同主要条款</w:t>
      </w:r>
      <w:bookmarkEnd w:id="97"/>
      <w:bookmarkEnd w:id="98"/>
    </w:p>
    <w:p>
      <w:pPr>
        <w:spacing w:line="360" w:lineRule="auto"/>
        <w:ind w:firstLine="440" w:firstLineChars="200"/>
        <w:rPr>
          <w:rFonts w:hint="eastAsia" w:ascii="微软雅黑" w:hAnsi="宋体"/>
          <w:color w:val="auto"/>
          <w:kern w:val="0"/>
          <w:sz w:val="22"/>
          <w:szCs w:val="22"/>
          <w:highlight w:val="none"/>
        </w:rPr>
      </w:pPr>
    </w:p>
    <w:p>
      <w:pPr>
        <w:keepNext w:val="0"/>
        <w:keepLines w:val="0"/>
        <w:pageBreakBefore w:val="0"/>
        <w:kinsoku/>
        <w:wordWrap/>
        <w:topLinePunct w:val="0"/>
        <w:bidi w:val="0"/>
        <w:spacing w:line="360" w:lineRule="auto"/>
        <w:ind w:firstLine="440" w:firstLineChars="200"/>
        <w:rPr>
          <w:rFonts w:hint="eastAsia" w:ascii="宋体" w:hAnsi="宋体" w:eastAsia="宋体" w:cs="宋体"/>
          <w:color w:val="auto"/>
          <w:kern w:val="1"/>
          <w:sz w:val="22"/>
          <w:szCs w:val="22"/>
          <w:highlight w:val="none"/>
        </w:rPr>
      </w:pPr>
      <w:r>
        <w:rPr>
          <w:rFonts w:hint="eastAsia" w:ascii="宋体" w:hAnsi="宋体" w:eastAsia="宋体" w:cs="宋体"/>
          <w:color w:val="auto"/>
          <w:kern w:val="0"/>
          <w:sz w:val="22"/>
          <w:szCs w:val="22"/>
          <w:highlight w:val="none"/>
        </w:rPr>
        <w:t>说明：本合同签订依据：《中华人民共和国民法典》，以下部分条款不一定和最终合同条款内容完全一致，采购人有权进行适当调整，但此调整不能与本合同（范本）内容相悖。</w:t>
      </w:r>
      <w:bookmarkStart w:id="99" w:name="_Toc71374679"/>
    </w:p>
    <w:p>
      <w:pPr>
        <w:keepNext w:val="0"/>
        <w:keepLines w:val="0"/>
        <w:pageBreakBefore w:val="0"/>
        <w:kinsoku/>
        <w:wordWrap/>
        <w:topLinePunct w:val="0"/>
        <w:bidi w:val="0"/>
        <w:spacing w:line="360" w:lineRule="auto"/>
        <w:rPr>
          <w:rFonts w:hint="eastAsia" w:ascii="宋体" w:hAnsi="宋体" w:eastAsia="宋体" w:cs="宋体"/>
          <w:color w:val="auto"/>
          <w:sz w:val="22"/>
          <w:szCs w:val="22"/>
          <w:highlight w:val="none"/>
        </w:rPr>
      </w:pPr>
      <w:bookmarkStart w:id="100" w:name="_Toc28668"/>
    </w:p>
    <w:p>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甲方（采购人）： </w:t>
      </w:r>
      <w:r>
        <w:rPr>
          <w:rFonts w:hint="eastAsia" w:ascii="宋体" w:hAnsi="宋体" w:eastAsia="宋体" w:cs="宋体"/>
          <w:color w:val="auto"/>
          <w:sz w:val="22"/>
          <w:szCs w:val="22"/>
          <w:highlight w:val="none"/>
          <w:u w:val="single"/>
        </w:rPr>
        <w:t xml:space="preserve">              </w:t>
      </w:r>
    </w:p>
    <w:p>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乙方（中标供应商）： </w:t>
      </w:r>
      <w:r>
        <w:rPr>
          <w:rFonts w:hint="eastAsia" w:ascii="宋体" w:hAnsi="宋体" w:eastAsia="宋体" w:cs="宋体"/>
          <w:color w:val="auto"/>
          <w:sz w:val="22"/>
          <w:szCs w:val="22"/>
          <w:highlight w:val="none"/>
          <w:u w:val="single"/>
        </w:rPr>
        <w:t xml:space="preserve">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鉴于甲方于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日接受乙方对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（项目名称、编</w:t>
      </w:r>
      <w:r>
        <w:rPr>
          <w:rFonts w:hint="eastAsia" w:ascii="宋体" w:hAnsi="宋体" w:eastAsia="宋体" w:cs="宋体"/>
          <w:color w:val="auto"/>
          <w:kern w:val="0"/>
          <w:sz w:val="22"/>
          <w:szCs w:val="22"/>
          <w:highlight w:val="none"/>
        </w:rPr>
        <w:t>号）的投标，双方根据《中华人民共和国民法典》和本项目的投标文件、采购文件及其投标中的承诺，经双方协商，同意签订本合同，共同遵守以下条款：</w:t>
      </w:r>
    </w:p>
    <w:p>
      <w:pPr>
        <w:pStyle w:val="16"/>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第一条：采购商品清单及合同价格</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1、乙方保证提供如下内容的合格产品：   金额单位：人民币元</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086"/>
        <w:gridCol w:w="851"/>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napToGrid w:val="0"/>
              <w:spacing w:line="360" w:lineRule="auto"/>
              <w:ind w:firstLine="2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w:t>
            </w: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中标价</w:t>
            </w: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67"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2267"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bl>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价格包括货物的供货、税金、包装、运输、保险、装卸、按标准进行安装调试、检验（须提供有效检定证书）、配合验收、验收（含第三方验收）、技术服务、售后服务、质保期保障、材料、完成合同所需的一切本身和不可或缺的所有工作开支、政策性文件规定及合同包含的所有风险、责任等各项全部费用。</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为交钥匙项目，实行固定费用总包干。乙方认为为完成本合同规定的承包内容所需发生的直接成本、间接成本、利润、税金、政策性文件规定的费用等一切费用均包含在合同价中；凡未列入的，将被认为均已包含在合同价中，不得以任何理由追加或调整。</w:t>
      </w:r>
    </w:p>
    <w:p>
      <w:pPr>
        <w:pStyle w:val="16"/>
        <w:snapToGrid w:val="0"/>
        <w:spacing w:line="360" w:lineRule="auto"/>
        <w:rPr>
          <w:rFonts w:hint="eastAsia" w:ascii="宋体" w:hAnsi="宋体" w:eastAsia="宋体" w:cs="宋体"/>
          <w:color w:val="auto"/>
          <w:sz w:val="22"/>
          <w:szCs w:val="22"/>
          <w:highlight w:val="none"/>
        </w:rPr>
      </w:pPr>
    </w:p>
    <w:p>
      <w:pPr>
        <w:pStyle w:val="16"/>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第二条：质量标准和要求</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16"/>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2、乙方所出售的货物还应符合国家、浙江省和温州市有关安全、环保、卫生之规定。</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第三条：权利瑕疵担保</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1、乙方保证对其出售的货物享有合法的权利。</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2、乙方保证在其出售的货物上不存在任何未曾向甲方透露的担保物权，如抵押权、质押权、留置权等。</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3、乙方保证其所出售的货物没有侵犯任何第三人的知识产权和商业秘密等权利。</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4、如甲方使用该货物构成上述侵权的，则由乙方承担全部责任。</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第四条：包装要求</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1、乙方所出售的全部货物均应按标准保护措施进行包装，这类包装应适应于远距离运输、防潮、防震、防锈和防野蛮装卸等要求，以确保货物安全无损地运抵指定现场。</w:t>
      </w:r>
    </w:p>
    <w:p>
      <w:pPr>
        <w:pStyle w:val="16"/>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2、每一个包装箱内应附一份详细装箱单和质量证书。</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第五条：交货时间及地点</w:t>
      </w:r>
    </w:p>
    <w:p>
      <w:pPr>
        <w:pStyle w:val="16"/>
        <w:numPr>
          <w:ilvl w:val="0"/>
          <w:numId w:val="16"/>
        </w:numPr>
        <w:snapToGrid w:val="0"/>
        <w:spacing w:line="360" w:lineRule="auto"/>
        <w:ind w:firstLine="442" w:firstLineChars="200"/>
        <w:rPr>
          <w:rFonts w:hint="eastAsia" w:ascii="宋体" w:hAnsi="宋体" w:eastAsia="新宋体" w:cs="宋体"/>
          <w:b/>
          <w:bCs w:val="0"/>
          <w:color w:val="auto"/>
          <w:kern w:val="0"/>
          <w:sz w:val="22"/>
          <w:szCs w:val="22"/>
          <w:highlight w:val="none"/>
          <w:u w:val="single"/>
          <w:lang w:val="en-US" w:eastAsia="zh-CN"/>
        </w:rPr>
      </w:pPr>
      <w:r>
        <w:rPr>
          <w:rFonts w:hint="eastAsia" w:ascii="宋体" w:hAnsi="宋体" w:eastAsia="宋体" w:cs="宋体"/>
          <w:b/>
          <w:bCs w:val="0"/>
          <w:color w:val="auto"/>
          <w:sz w:val="22"/>
          <w:szCs w:val="22"/>
          <w:highlight w:val="none"/>
          <w:u w:val="single"/>
        </w:rPr>
        <w:t>交货时间：</w:t>
      </w:r>
      <w:r>
        <w:rPr>
          <w:rFonts w:hint="eastAsia" w:ascii="宋体" w:hAnsi="宋体" w:eastAsia="新宋体" w:cs="宋体"/>
          <w:b/>
          <w:bCs w:val="0"/>
          <w:color w:val="auto"/>
          <w:kern w:val="0"/>
          <w:sz w:val="22"/>
          <w:szCs w:val="22"/>
          <w:highlight w:val="none"/>
          <w:u w:val="single"/>
          <w:lang w:val="en-US" w:eastAsia="zh-CN"/>
        </w:rPr>
        <w:t>合同签订后30个日历天内完成供货、安装、调试并通过采购人验收。</w:t>
      </w:r>
    </w:p>
    <w:p>
      <w:pPr>
        <w:pStyle w:val="16"/>
        <w:numPr>
          <w:ilvl w:val="0"/>
          <w:numId w:val="16"/>
        </w:numPr>
        <w:snapToGrid w:val="0"/>
        <w:spacing w:line="360" w:lineRule="auto"/>
        <w:ind w:firstLine="442" w:firstLineChars="200"/>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u w:val="single"/>
        </w:rPr>
        <w:t>交货地点：按甲方指定地点交货。</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第六条：到货、安装与验收</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乙方送货至指定地点后，由甲方根据货物的技术规格要求和质量标准，对货物进行检查，货物的数量不足或表面瑕疵，甲方应当面提出。乙方应负责按照甲方的要求采取补足、更换或退货等处理措施，并承担由此发生的一切费用和损失。</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2、货物安装、调试、试运行完毕后，如未发现设备质量问题，乙方可申请最终验收。</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第七条：售后服务</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1、本项目所有产品的免费质保期为一年，自验收合格次日起计算（技术参数中有特殊说明的除外，货物上标明或</w:t>
      </w:r>
      <w:r>
        <w:rPr>
          <w:rFonts w:hint="eastAsia" w:ascii="宋体" w:hAnsi="宋体" w:eastAsia="宋体" w:cs="宋体"/>
          <w:bCs/>
          <w:color w:val="auto"/>
          <w:sz w:val="22"/>
          <w:szCs w:val="22"/>
          <w:highlight w:val="none"/>
          <w:lang w:val="en-US" w:eastAsia="zh-CN"/>
        </w:rPr>
        <w:t>乙</w:t>
      </w:r>
      <w:r>
        <w:rPr>
          <w:rFonts w:hint="eastAsia" w:ascii="宋体" w:hAnsi="宋体" w:eastAsia="宋体" w:cs="宋体"/>
          <w:bCs/>
          <w:color w:val="auto"/>
          <w:sz w:val="22"/>
          <w:szCs w:val="22"/>
          <w:highlight w:val="none"/>
        </w:rPr>
        <w:t>方承诺的质量保证期超过以上规定期限的，以标明或承诺的最高质量保证期为准。）（投标供应商可提供更优惠的质保期），质保期严格按照国家三包规定执行。</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在质保期内，系统或设备发生故障时，接到电话后即时响应，免费提供咨询、维修服务，确认需要派人到现场时，派遣技术人员乘坐最近一班交通工具到达现场，且一般故障排除时间不超过96个小时，如超过96小时无法解决问题，投标供应商需及时提供替代设备，保证系统正常运行。</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3、质保期内因不能排除的故障而影响工作的情况每发生一次，其质保期相应延长30天，质保期内因货物本身缺陷造成各种故障应由中标供应商免费予以更换，否则将扣除质量保证金作为对采购人的补偿。</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4、质保期满后，仅收取零配件成本费用。合同货物出现故障后，</w:t>
      </w:r>
      <w:r>
        <w:rPr>
          <w:rFonts w:hint="eastAsia" w:ascii="宋体" w:hAnsi="宋体" w:eastAsia="宋体" w:cs="宋体"/>
          <w:bCs/>
          <w:color w:val="auto"/>
          <w:sz w:val="22"/>
          <w:szCs w:val="22"/>
          <w:highlight w:val="none"/>
          <w:lang w:val="en-US" w:eastAsia="zh-CN"/>
        </w:rPr>
        <w:t>乙方</w:t>
      </w:r>
      <w:r>
        <w:rPr>
          <w:rFonts w:hint="eastAsia" w:ascii="宋体" w:hAnsi="宋体" w:eastAsia="宋体" w:cs="宋体"/>
          <w:bCs/>
          <w:color w:val="auto"/>
          <w:sz w:val="22"/>
          <w:szCs w:val="22"/>
          <w:highlight w:val="none"/>
        </w:rPr>
        <w:t>接到</w:t>
      </w:r>
      <w:r>
        <w:rPr>
          <w:rFonts w:hint="eastAsia" w:ascii="宋体" w:hAnsi="宋体" w:eastAsia="宋体" w:cs="宋体"/>
          <w:bCs/>
          <w:color w:val="auto"/>
          <w:sz w:val="22"/>
          <w:szCs w:val="22"/>
          <w:highlight w:val="none"/>
          <w:lang w:val="en-US" w:eastAsia="zh-CN"/>
        </w:rPr>
        <w:t>甲方</w:t>
      </w:r>
      <w:r>
        <w:rPr>
          <w:rFonts w:hint="eastAsia" w:ascii="宋体" w:hAnsi="宋体" w:eastAsia="宋体" w:cs="宋体"/>
          <w:bCs/>
          <w:color w:val="auto"/>
          <w:sz w:val="22"/>
          <w:szCs w:val="22"/>
          <w:highlight w:val="none"/>
        </w:rPr>
        <w:t>通知后，应在不超过8小时内做出响应，不超过2个工作日内解决故障。</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第八条：货款的支付</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1、合同签订后10个工作日内，</w:t>
      </w:r>
      <w:r>
        <w:rPr>
          <w:rFonts w:hint="eastAsia" w:ascii="宋体" w:hAnsi="宋体" w:eastAsia="宋体" w:cs="宋体"/>
          <w:bCs/>
          <w:color w:val="auto"/>
          <w:sz w:val="22"/>
          <w:szCs w:val="22"/>
          <w:highlight w:val="none"/>
          <w:lang w:val="en-US" w:eastAsia="zh-CN"/>
        </w:rPr>
        <w:t>乙方</w:t>
      </w:r>
      <w:r>
        <w:rPr>
          <w:rFonts w:hint="eastAsia" w:ascii="宋体" w:hAnsi="宋体" w:eastAsia="宋体" w:cs="宋体"/>
          <w:bCs/>
          <w:color w:val="auto"/>
          <w:sz w:val="22"/>
          <w:szCs w:val="22"/>
          <w:highlight w:val="none"/>
        </w:rPr>
        <w:t>向</w:t>
      </w:r>
      <w:r>
        <w:rPr>
          <w:rFonts w:hint="eastAsia" w:ascii="宋体" w:hAnsi="宋体" w:eastAsia="宋体" w:cs="宋体"/>
          <w:bCs/>
          <w:color w:val="auto"/>
          <w:sz w:val="22"/>
          <w:szCs w:val="22"/>
          <w:highlight w:val="none"/>
          <w:lang w:val="en-US" w:eastAsia="zh-CN"/>
        </w:rPr>
        <w:t>甲方</w:t>
      </w:r>
      <w:r>
        <w:rPr>
          <w:rFonts w:hint="eastAsia" w:ascii="宋体" w:hAnsi="宋体" w:eastAsia="宋体" w:cs="宋体"/>
          <w:bCs/>
          <w:color w:val="auto"/>
          <w:sz w:val="22"/>
          <w:szCs w:val="22"/>
          <w:highlight w:val="none"/>
        </w:rPr>
        <w:t>提交合同总价5%的履约保证金。</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2、产品</w:t>
      </w:r>
      <w:r>
        <w:rPr>
          <w:rFonts w:hint="eastAsia" w:ascii="宋体" w:hAnsi="宋体" w:eastAsia="宋体" w:cs="宋体"/>
          <w:bCs/>
          <w:color w:val="auto"/>
          <w:sz w:val="22"/>
          <w:szCs w:val="22"/>
          <w:highlight w:val="none"/>
          <w:lang w:val="en-US" w:eastAsia="zh-CN"/>
        </w:rPr>
        <w:t>供货安装调试完成</w:t>
      </w:r>
      <w:r>
        <w:rPr>
          <w:rFonts w:hint="eastAsia" w:ascii="宋体" w:hAnsi="宋体" w:eastAsia="宋体" w:cs="宋体"/>
          <w:bCs/>
          <w:color w:val="auto"/>
          <w:sz w:val="22"/>
          <w:szCs w:val="22"/>
          <w:highlight w:val="none"/>
        </w:rPr>
        <w:t>并经采购人组织最终验收合格后，10个工作日内支付合同总价的100%，同时履约保证金转为质量保证金，在质保期满后无息退还。</w:t>
      </w:r>
    </w:p>
    <w:p>
      <w:pPr>
        <w:pStyle w:val="16"/>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3、中标供应商根据采购人要求提供付款收据、增值税专用发票。</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第九条：人员配置</w:t>
      </w:r>
    </w:p>
    <w:p>
      <w:pPr>
        <w:snapToGrid w:val="0"/>
        <w:spacing w:line="360" w:lineRule="auto"/>
        <w:ind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必须按中标承诺配置配备人员，且聘用的工作人员必须符合劳动部门有关用工规定，并经相关专业考核合格后持证上岗，甲方有权进行审核，并提出整改意见。如乙方未按要求配置人员，甲方有权直接解除合同。</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第十条：辅助服务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乙方应提交所提供货物的技术文件，包括相应的每一套设备的中文技术文件，例如：产品目录、使用说明、维护手册和/或服务指南。这些文件应包装好随同货物一起发运。</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乙方还应提供下列服务：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（1）货物的现场安装、调试、启动监督及技术支持；</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（2）在项目现场就货物的指导安装、启动、运营、维护对甲方操作人员进行培训。</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辅助服务的费用包含在合同价中，甲方不再另行支付。</w:t>
      </w:r>
    </w:p>
    <w:p>
      <w:pPr>
        <w:pStyle w:val="16"/>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第十一条：质量保证</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乙方应保证所供货物是全新的、未使用过的，并完全符合合同规定的质量、规格和性能的要求。</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在质量保证期内，如果货物的质量或规格与合同不符，或证实货物是有缺陷的，包括潜在的缺陷或使用不符合要求的材料等，甲方可以根据本合同第十二条规定以书面形式向乙方提出补救措施或索赔。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乙方在约定的时间内未能弥补缺陷，甲方可采取必要的补救措施，但其风险和费用将由乙方承担，甲方根据合同规定对乙方行使的其他权利不受影响。</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第十二条：补救措施和索赔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1、甲方有权根据权威质量检测部门出具的检验报告向乙方提出索赔。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2、在质量保证期内，如果乙方对缺陷产品负有责任而甲方提出索赔，乙方应按照甲方同意的下列一种或多种方式解决索赔事宜，并且甲方可以收取乙方合同总价20%的违约金：</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（1）乙方退货并将货款退还给甲方，由此发生的一切费用和损失由乙方承担。</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（2）根据货物的质量状况以及甲方所遭受的损失，经过甲乙双方商定降低货物的价格。</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第十三条：履约延误</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1、乙方应按照《合同》规定的时间、地点交货和提供服务。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3、如乙方在规定时间内无法交货，将处于每逾期一天，按合同总价的0.5%罚款。逾期的违约赔偿最高限度为合同总价的5%，如违约金达到最高限额时乙方仍不能交货，甲方可终止合同。</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第十四条：不可抗力</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1、如果合同各方因不可抗力而导致合同实施延误或不能履行合同义务的话，不应该承担误期赔偿或不能履行合同义务的责任。</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6"/>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第十五条：争议的解决</w:t>
      </w:r>
    </w:p>
    <w:p>
      <w:pPr>
        <w:pStyle w:val="16"/>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在发生所供商品的质量、售后服务等问题时，甲方有权直接向乙方索赔，签订必要的书面处理合同。协商不能解决的，任何一方有权在合同签约地选择仲裁或诉讼的途径解决。</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第十六条：违约处理</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1、在甲方对乙方违约而采取的任何补救措施不受影响的情况下，甲方可在下列情况下向乙方发出书面通知书，提出终止部分或全部合同。</w:t>
      </w:r>
    </w:p>
    <w:p>
      <w:pPr>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（1）乙方提供的产品质量、配置不符合国家规定和承诺的标准；</w:t>
      </w:r>
    </w:p>
    <w:p>
      <w:pPr>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（2）乙方没有按承诺的时间供货、维修或提供其他服务；</w:t>
      </w:r>
    </w:p>
    <w:p>
      <w:pPr>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（3）乙方没有按承诺的价格或优惠率签订合同并供货；</w:t>
      </w:r>
    </w:p>
    <w:p>
      <w:pPr>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（4）乙方没有按要求配置人员；</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第十六条：合同转让和分包</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除甲方事先书面同意外，乙方不得转让和分包其应履行的合同义务。</w:t>
      </w:r>
    </w:p>
    <w:p>
      <w:pPr>
        <w:pStyle w:val="16"/>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第十七条：合同附件</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下列文件与本合同具有同等法律效力：</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1、甲方的采购文件与补充文件；</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2、乙方投标文件；</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3、承诺书；</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4、中标通知书。</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第十八条：合同生效</w:t>
      </w:r>
    </w:p>
    <w:p>
      <w:pPr>
        <w:pStyle w:val="16"/>
        <w:snapToGrid w:val="0"/>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1、如上述文件与本合同有不符之处，以有利于甲方的为准。</w:t>
      </w:r>
    </w:p>
    <w:p>
      <w:pPr>
        <w:pStyle w:val="16"/>
        <w:snapToGrid w:val="0"/>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2、本合同一式五份，合同双方各执两份，采购代理机构一份，在双方法定代表人或授权代表签署加盖印章后生效。</w:t>
      </w:r>
    </w:p>
    <w:p>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第十九条：合同修改</w:t>
      </w:r>
    </w:p>
    <w:p>
      <w:pPr>
        <w:snapToGrid w:val="0"/>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除了双方签署书面修改合同，并成为本合同不可分割的一部分之外，本合同条件不得有任何变化或修改。</w:t>
      </w:r>
    </w:p>
    <w:p>
      <w:pPr>
        <w:snapToGrid w:val="0"/>
        <w:spacing w:line="360" w:lineRule="auto"/>
        <w:ind w:firstLine="431" w:firstLineChars="196"/>
        <w:rPr>
          <w:rFonts w:hint="eastAsia" w:ascii="宋体" w:hAnsi="宋体" w:eastAsia="宋体" w:cs="宋体"/>
          <w:color w:val="auto"/>
          <w:sz w:val="22"/>
          <w:szCs w:val="22"/>
          <w:highlight w:val="none"/>
        </w:rPr>
      </w:pPr>
    </w:p>
    <w:p>
      <w:pPr>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甲方(盖章)：                                   乙方（盖章）</w:t>
      </w:r>
    </w:p>
    <w:p>
      <w:pPr>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单位法定代表人（或授权代表）：                  单位法定代表人（或授权代表）：</w:t>
      </w:r>
    </w:p>
    <w:p>
      <w:pPr>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pPr>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开户名称：                                     开户名称：</w:t>
      </w:r>
    </w:p>
    <w:p>
      <w:pPr>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                                         账号：</w:t>
      </w:r>
    </w:p>
    <w:p>
      <w:pPr>
        <w:snapToGrid w:val="0"/>
        <w:spacing w:line="360" w:lineRule="auto"/>
        <w:ind w:firstLine="435" w:firstLineChars="19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签约日期：                                     签约日期：</w:t>
      </w:r>
    </w:p>
    <w:p>
      <w:pPr>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p>
    <w:p>
      <w:pPr>
        <w:pStyle w:val="3"/>
        <w:rPr>
          <w:rFonts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t>第三部分   投标文件格式</w:t>
      </w:r>
      <w:bookmarkEnd w:id="99"/>
      <w:bookmarkEnd w:id="100"/>
    </w:p>
    <w:p>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（资格审查资料封面，供参考）</w:t>
      </w: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pStyle w:val="11"/>
        <w:ind w:firstLine="280"/>
        <w:rPr>
          <w:rFonts w:ascii="新宋体" w:hAnsi="新宋体" w:eastAsia="新宋体" w:cs="新宋体"/>
          <w:color w:val="auto"/>
          <w:sz w:val="28"/>
          <w:szCs w:val="28"/>
          <w:highlight w:val="none"/>
        </w:rPr>
      </w:pPr>
    </w:p>
    <w:p>
      <w:pPr>
        <w:pStyle w:val="11"/>
        <w:ind w:firstLine="280"/>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eastAsia="zh-CN"/>
        </w:rPr>
        <w:t>投标供应商</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ascii="新宋体" w:hAnsi="新宋体" w:eastAsia="新宋体" w:cs="新宋体"/>
          <w:color w:val="auto"/>
          <w:sz w:val="28"/>
          <w:szCs w:val="28"/>
          <w:highlight w:val="none"/>
          <w:u w:val="singl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ascii="新宋体" w:hAnsi="新宋体" w:eastAsia="新宋体" w:cs="新宋体"/>
          <w:color w:val="auto"/>
          <w:sz w:val="28"/>
          <w:szCs w:val="28"/>
          <w:highlight w:val="none"/>
        </w:rPr>
      </w:pPr>
    </w:p>
    <w:p>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法定代表人授权书和授权代表人有效身份证明；</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营业执照(或事业法人登记证书或其它工商等登记证明材料)；</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最近一个年度的资产负债表等财务报表资料文件(</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新成立的公司，必须提供情况说明</w:t>
      </w:r>
      <w:r>
        <w:rPr>
          <w:rFonts w:hint="eastAsia" w:ascii="新宋体" w:hAnsi="新宋体" w:eastAsia="新宋体" w:cs="新宋体"/>
          <w:bCs/>
          <w:color w:val="auto"/>
          <w:sz w:val="22"/>
          <w:szCs w:val="22"/>
          <w:highlight w:val="none"/>
        </w:rPr>
        <w:t>)；</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最近三个月内依法缴纳税收的证明材料(新成立的公司，必须提供情况说明)</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最近三个月内依法缴纳社保的证明材料(新成立的公司，必须提供情况说明)</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具有履行合同所必需的设备和专业技术能力的承诺函；</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参加采购活动前3年内（新成立不满三年的组织机构自成立之日起算）在经营活动中没有重大违法记录的声明函；</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诚信投标承诺书</w:t>
      </w:r>
    </w:p>
    <w:p>
      <w:pPr>
        <w:numPr>
          <w:ilvl w:val="0"/>
          <w:numId w:val="17"/>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供应商“信用中国”(www.creditchina.gov.cn)；“中国政府采购网”（http://www.ccgp.gov.cn/）信用记录网页截图（采购公告发布之日至投标截止时间前）。</w:t>
      </w:r>
    </w:p>
    <w:p>
      <w:pPr>
        <w:numPr>
          <w:ilvl w:val="0"/>
          <w:numId w:val="17"/>
        </w:numPr>
        <w:spacing w:line="588" w:lineRule="exact"/>
        <w:rPr>
          <w:rFonts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投标保证金缴纳凭证,最终以实际到帐为准（加盖公章）</w:t>
      </w:r>
    </w:p>
    <w:p>
      <w:pPr>
        <w:spacing w:line="588" w:lineRule="exact"/>
        <w:ind w:left="420"/>
        <w:rPr>
          <w:rFonts w:ascii="新宋体" w:hAnsi="新宋体" w:eastAsia="新宋体" w:cs="新宋体"/>
          <w:color w:val="auto"/>
          <w:sz w:val="22"/>
          <w:szCs w:val="22"/>
          <w:highlight w:val="none"/>
        </w:rPr>
      </w:pP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bCs/>
          <w:color w:val="auto"/>
          <w:sz w:val="32"/>
          <w:szCs w:val="32"/>
          <w:highlight w:val="none"/>
        </w:rPr>
        <w:br w:type="page"/>
      </w:r>
      <w:r>
        <w:rPr>
          <w:rFonts w:hint="eastAsia" w:ascii="新宋体" w:hAnsi="新宋体" w:eastAsia="新宋体" w:cs="新宋体"/>
          <w:b/>
          <w:color w:val="auto"/>
          <w:kern w:val="0"/>
          <w:sz w:val="28"/>
          <w:szCs w:val="28"/>
          <w:highlight w:val="none"/>
        </w:rPr>
        <w:t>法定代表人授权书</w:t>
      </w:r>
    </w:p>
    <w:p>
      <w:pPr>
        <w:spacing w:line="420" w:lineRule="exact"/>
        <w:rPr>
          <w:rFonts w:ascii="新宋体" w:hAnsi="新宋体" w:eastAsia="新宋体" w:cs="新宋体"/>
          <w:b/>
          <w:color w:val="auto"/>
          <w:sz w:val="22"/>
          <w:szCs w:val="22"/>
          <w:highlight w:val="none"/>
        </w:rPr>
      </w:pPr>
    </w:p>
    <w:p>
      <w:pPr>
        <w:spacing w:line="42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温州信达交通工程试验检测有限公司</w:t>
      </w:r>
    </w:p>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温州市智信招标代理有限公司：</w:t>
      </w:r>
    </w:p>
    <w:p>
      <w:pPr>
        <w:spacing w:line="460" w:lineRule="exact"/>
        <w:rPr>
          <w:rFonts w:ascii="新宋体" w:hAnsi="新宋体" w:eastAsia="新宋体" w:cs="新宋体"/>
          <w:color w:val="auto"/>
          <w:sz w:val="22"/>
          <w:szCs w:val="22"/>
          <w:highlight w:val="none"/>
          <w:u w:val="single"/>
        </w:rPr>
      </w:pPr>
    </w:p>
    <w:p>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（采购项目名称、编号）的采购活动，全权代表我方处理采购活动中的一切事宜。</w:t>
      </w:r>
    </w:p>
    <w:p>
      <w:pPr>
        <w:spacing w:line="460" w:lineRule="exact"/>
        <w:ind w:firstLine="2955"/>
        <w:rPr>
          <w:rFonts w:ascii="新宋体" w:hAnsi="新宋体" w:eastAsia="新宋体" w:cs="新宋体"/>
          <w:color w:val="auto"/>
          <w:sz w:val="22"/>
          <w:szCs w:val="22"/>
          <w:highlight w:val="none"/>
        </w:rPr>
      </w:pPr>
    </w:p>
    <w:p>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3971" w:firstLineChars="180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全称（公章）：</w:t>
      </w:r>
    </w:p>
    <w:p>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pPr>
        <w:spacing w:line="460" w:lineRule="exact"/>
        <w:rPr>
          <w:rFonts w:ascii="新宋体" w:hAnsi="新宋体" w:eastAsia="新宋体" w:cs="新宋体"/>
          <w:color w:val="auto"/>
          <w:sz w:val="22"/>
          <w:szCs w:val="22"/>
          <w:highlight w:val="none"/>
        </w:rPr>
      </w:pP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23"/>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pPr>
              <w:spacing w:line="380" w:lineRule="exact"/>
              <w:jc w:val="cente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lang w:eastAsia="zh-CN"/>
              </w:rPr>
              <w:t>投标供应商</w:t>
            </w:r>
            <w:r>
              <w:rPr>
                <w:rFonts w:hint="eastAsia" w:ascii="新宋体" w:hAnsi="新宋体" w:eastAsia="新宋体" w:cs="新宋体"/>
                <w:b/>
                <w:color w:val="auto"/>
                <w:sz w:val="28"/>
                <w:szCs w:val="28"/>
                <w:highlight w:val="none"/>
              </w:rPr>
              <w:t>代表身份证复印件</w:t>
            </w:r>
          </w:p>
          <w:p>
            <w:pPr>
              <w:spacing w:line="380" w:lineRule="exact"/>
              <w:jc w:val="center"/>
              <w:rPr>
                <w:rFonts w:ascii="新宋体" w:hAnsi="新宋体" w:eastAsia="新宋体" w:cs="新宋体"/>
                <w:b/>
                <w:bCs/>
                <w:color w:val="auto"/>
                <w:sz w:val="28"/>
                <w:highlight w:val="none"/>
              </w:rPr>
            </w:pPr>
          </w:p>
        </w:tc>
      </w:tr>
    </w:tbl>
    <w:p>
      <w:pPr>
        <w:pStyle w:val="3"/>
        <w:jc w:val="left"/>
        <w:rPr>
          <w:rFonts w:ascii="新宋体" w:hAnsi="新宋体" w:eastAsia="新宋体" w:cs="新宋体"/>
          <w:b w:val="0"/>
          <w:color w:val="auto"/>
          <w:szCs w:val="21"/>
          <w:highlight w:val="none"/>
        </w:rPr>
      </w:pPr>
      <w:r>
        <w:rPr>
          <w:rFonts w:hint="eastAsia" w:ascii="新宋体" w:hAnsi="新宋体" w:eastAsia="新宋体" w:cs="新宋体"/>
          <w:color w:val="auto"/>
          <w:sz w:val="22"/>
          <w:szCs w:val="22"/>
          <w:highlight w:val="none"/>
        </w:rPr>
        <w:br w:type="page"/>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具有履行合同所必需的设备和专业技术能力的承诺函</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温州信达交通工程试验检测有限公司</w:t>
      </w:r>
      <w:r>
        <w:rPr>
          <w:rFonts w:hint="eastAsia" w:ascii="新宋体" w:hAnsi="新宋体" w:eastAsia="新宋体" w:cs="新宋体"/>
          <w:color w:val="auto"/>
          <w:sz w:val="22"/>
          <w:szCs w:val="22"/>
          <w:highlight w:val="none"/>
        </w:rPr>
        <w:t>：</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温州市智信招标代理有限公司：</w:t>
      </w:r>
    </w:p>
    <w:p>
      <w:pPr>
        <w:widowControl/>
        <w:adjustRightInd w:val="0"/>
        <w:snapToGrid w:val="0"/>
        <w:spacing w:line="360" w:lineRule="auto"/>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承诺具有履行本次</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（项目名称）采购合同所必需的设备和专业技术能力。如有虚假，采购人可取消我方任何资格（投标/中标/签订合同），我方对此无任何异议。</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全称（盖章）：</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法定代表人或授权代表（签字或盖章）</w:t>
      </w:r>
      <w:r>
        <w:rPr>
          <w:rFonts w:hint="eastAsia" w:ascii="新宋体" w:hAnsi="新宋体" w:eastAsia="新宋体" w:cs="新宋体"/>
          <w:color w:val="auto"/>
          <w:sz w:val="22"/>
          <w:szCs w:val="22"/>
          <w:highlight w:val="none"/>
        </w:rPr>
        <w:t>：</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80" w:lineRule="auto"/>
        <w:ind w:left="1260" w:hanging="559"/>
        <w:rPr>
          <w:rFonts w:ascii="新宋体" w:hAnsi="新宋体" w:eastAsia="新宋体" w:cs="新宋体"/>
          <w:b/>
          <w:bCs/>
          <w:color w:val="auto"/>
          <w:sz w:val="22"/>
          <w:szCs w:val="22"/>
          <w:highlight w:val="none"/>
        </w:rPr>
      </w:pPr>
    </w:p>
    <w:p>
      <w:pPr>
        <w:widowControl/>
        <w:adjustRightInd w:val="0"/>
        <w:snapToGrid w:val="0"/>
        <w:spacing w:line="360" w:lineRule="auto"/>
        <w:jc w:val="center"/>
        <w:rPr>
          <w:rFonts w:ascii="新宋体" w:hAnsi="新宋体" w:eastAsia="新宋体" w:cs="新宋体"/>
          <w:b/>
          <w:color w:val="auto"/>
          <w:kern w:val="0"/>
          <w:sz w:val="32"/>
          <w:szCs w:val="21"/>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pStyle w:val="11"/>
        <w:rPr>
          <w:color w:val="auto"/>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参加采购活动前3年内在经营活动中没有重大违法记录的</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声明函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温州信达交通工程试验检测有限公司</w:t>
      </w:r>
      <w:r>
        <w:rPr>
          <w:rFonts w:hint="eastAsia" w:ascii="新宋体" w:hAnsi="新宋体" w:eastAsia="新宋体" w:cs="新宋体"/>
          <w:color w:val="auto"/>
          <w:sz w:val="22"/>
          <w:szCs w:val="22"/>
          <w:highlight w:val="none"/>
        </w:rPr>
        <w:t>：</w:t>
      </w:r>
    </w:p>
    <w:p>
      <w:pPr>
        <w:widowControl/>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温州市智信招标代理有限公司：</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具有良好的商业信誉，依法缴纳税收和社会保障资金，未被列入失信被执行人名单、重大税收违法案件当事人名单、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如有虚假，采购人可取消我方任何资格（投标/中标/签订合同），我方对此无任何异议。</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投标供应商</w:t>
      </w:r>
      <w:r>
        <w:rPr>
          <w:rFonts w:hint="eastAsia" w:ascii="新宋体" w:hAnsi="新宋体" w:eastAsia="新宋体" w:cs="新宋体"/>
          <w:color w:val="auto"/>
          <w:kern w:val="0"/>
          <w:sz w:val="22"/>
          <w:szCs w:val="22"/>
          <w:highlight w:val="none"/>
        </w:rPr>
        <w:t>全称（盖章）：</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法定代表人或授权代表（签字或盖章）</w:t>
      </w:r>
      <w:r>
        <w:rPr>
          <w:rFonts w:hint="eastAsia" w:ascii="新宋体" w:hAnsi="新宋体" w:eastAsia="新宋体" w:cs="新宋体"/>
          <w:color w:val="auto"/>
          <w:kern w:val="0"/>
          <w:sz w:val="22"/>
          <w:szCs w:val="22"/>
          <w:highlight w:val="none"/>
        </w:rPr>
        <w:t>：</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  年  月  日</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br w:type="page"/>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诚信投标承诺书</w:t>
      </w:r>
    </w:p>
    <w:p>
      <w:pPr>
        <w:ind w:right="-153" w:rightChars="-73"/>
        <w:jc w:val="center"/>
        <w:rPr>
          <w:rFonts w:ascii="新宋体" w:hAnsi="新宋体" w:eastAsia="新宋体" w:cs="新宋体"/>
          <w:color w:val="auto"/>
          <w:sz w:val="22"/>
          <w:szCs w:val="22"/>
          <w:highlight w:val="none"/>
        </w:rPr>
      </w:pPr>
    </w:p>
    <w:p>
      <w:pPr>
        <w:spacing w:line="520" w:lineRule="exact"/>
        <w:ind w:right="-153" w:rightChars="-73"/>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pPr>
        <w:spacing w:line="5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rPr>
        <w:t xml:space="preserve"> （项目名称） </w:t>
      </w:r>
      <w:r>
        <w:rPr>
          <w:rFonts w:hint="eastAsia" w:ascii="新宋体" w:hAnsi="新宋体" w:eastAsia="新宋体" w:cs="新宋体"/>
          <w:color w:val="auto"/>
          <w:sz w:val="22"/>
          <w:szCs w:val="22"/>
          <w:highlight w:val="none"/>
        </w:rPr>
        <w:t>采购工作，有效遏制不公平竞争和违规违纪问题的发生，确保采购工作的公平、公正、公开，我们保证认真贯彻</w:t>
      </w:r>
      <w:r>
        <w:rPr>
          <w:rFonts w:hint="eastAsia" w:ascii="新宋体" w:hAnsi="新宋体" w:eastAsia="新宋体" w:cs="新宋体"/>
          <w:color w:val="auto"/>
          <w:highlight w:val="none"/>
        </w:rPr>
        <w:t>《温州市市属国有企业采购管理办法（试行）》</w:t>
      </w:r>
      <w:r>
        <w:rPr>
          <w:rFonts w:hint="eastAsia" w:ascii="新宋体" w:hAnsi="新宋体" w:eastAsia="新宋体" w:cs="新宋体"/>
          <w:color w:val="auto"/>
          <w:sz w:val="22"/>
          <w:szCs w:val="22"/>
          <w:highlight w:val="none"/>
        </w:rPr>
        <w:t>等法律及有关法规相关规定以及有关廉洁要求，特承诺如下事项：</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1.自觉遵守国家法律法规及有关廉政建设制度。</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2.主动了解采购人招投标纪律，积极配合采购人执行招投标廉政建设的有关规定。</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3.不使用不正当手段妨碍、排挤其它</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或串通投标。</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4.按照本采购文件规定的方式进行投标，不隐瞒本单位投标资质的真实情况，投标资质符合规定。</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6.不向采购人及个人购置或提供通讯工具、交通工具和高档办公用品等。</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7.不向采购人涉及采购的人员的配偶、子女分包此次采购项目。</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8.不向采购人及个人支付好处费、介绍费。</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9.一旦发现相关人员在采购过程中的索要财物等不廉洁行为，坚决予以抵制，并及时向有关纪检监察部门举报。</w:t>
      </w:r>
    </w:p>
    <w:p>
      <w:pPr>
        <w:snapToGrid w:val="0"/>
        <w:spacing w:line="500" w:lineRule="exact"/>
        <w:ind w:firstLine="385" w:firstLineChars="17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10.我们若违反上述承诺，愿接受取消</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资格及其他任何形式的处理。</w:t>
      </w:r>
    </w:p>
    <w:p>
      <w:pPr>
        <w:snapToGrid w:val="0"/>
        <w:spacing w:line="500" w:lineRule="exact"/>
        <w:ind w:firstLine="385" w:firstLineChars="175"/>
        <w:rPr>
          <w:rFonts w:ascii="新宋体" w:hAnsi="新宋体" w:eastAsia="新宋体" w:cs="新宋体"/>
          <w:color w:val="auto"/>
          <w:sz w:val="22"/>
          <w:szCs w:val="22"/>
          <w:highlight w:val="none"/>
        </w:rPr>
      </w:pPr>
    </w:p>
    <w:p>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全称(盖章)</w:t>
      </w:r>
      <w:r>
        <w:rPr>
          <w:rFonts w:hint="eastAsia" w:ascii="新宋体" w:hAnsi="新宋体" w:eastAsia="新宋体" w:cs="新宋体"/>
          <w:color w:val="auto"/>
          <w:sz w:val="22"/>
          <w:szCs w:val="22"/>
          <w:highlight w:val="none"/>
          <w:u w:val="single"/>
        </w:rPr>
        <w:t xml:space="preserve">                    </w:t>
      </w:r>
    </w:p>
    <w:p>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eastAsia="zh-CN"/>
        </w:rPr>
        <w:t>法定代表人或授权代表（签字或盖章）</w:t>
      </w:r>
      <w:r>
        <w:rPr>
          <w:rFonts w:hint="eastAsia" w:ascii="新宋体" w:hAnsi="新宋体" w:eastAsia="新宋体" w:cs="新宋体"/>
          <w:color w:val="auto"/>
          <w:sz w:val="22"/>
          <w:szCs w:val="22"/>
          <w:highlight w:val="none"/>
          <w:u w:val="single"/>
        </w:rPr>
        <w:t xml:space="preserve">                    </w:t>
      </w:r>
    </w:p>
    <w:p>
      <w:pPr>
        <w:spacing w:line="44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日 期</w:t>
      </w:r>
      <w:r>
        <w:rPr>
          <w:rFonts w:hint="eastAsia" w:ascii="新宋体" w:hAnsi="新宋体" w:eastAsia="新宋体" w:cs="新宋体"/>
          <w:color w:val="auto"/>
          <w:sz w:val="22"/>
          <w:szCs w:val="22"/>
          <w:highlight w:val="none"/>
          <w:u w:val="single"/>
        </w:rPr>
        <w:t xml:space="preserve">                               </w:t>
      </w:r>
    </w:p>
    <w:p>
      <w:pPr>
        <w:pStyle w:val="11"/>
        <w:ind w:firstLine="220"/>
        <w:rPr>
          <w:rFonts w:ascii="新宋体" w:hAnsi="新宋体" w:eastAsia="新宋体" w:cs="新宋体"/>
          <w:color w:val="auto"/>
          <w:sz w:val="22"/>
          <w:szCs w:val="22"/>
          <w:highlight w:val="none"/>
          <w:u w:val="single"/>
        </w:rPr>
      </w:pPr>
    </w:p>
    <w:p>
      <w:pPr>
        <w:spacing w:line="360" w:lineRule="auto"/>
        <w:rPr>
          <w:rFonts w:ascii="新宋体" w:hAnsi="新宋体" w:eastAsia="新宋体" w:cs="新宋体"/>
          <w:color w:val="auto"/>
          <w:sz w:val="22"/>
          <w:szCs w:val="22"/>
          <w:highlight w:val="none"/>
        </w:rPr>
      </w:pPr>
    </w:p>
    <w:p>
      <w:pPr>
        <w:pStyle w:val="11"/>
        <w:ind w:firstLine="200"/>
        <w:rPr>
          <w:rFonts w:ascii="新宋体" w:hAnsi="新宋体" w:eastAsia="新宋体" w:cs="新宋体"/>
          <w:color w:val="auto"/>
          <w:highlight w:val="none"/>
        </w:rPr>
      </w:pPr>
    </w:p>
    <w:p>
      <w:pPr>
        <w:pStyle w:val="3"/>
        <w:jc w:val="left"/>
        <w:rPr>
          <w:rFonts w:ascii="新宋体" w:hAnsi="新宋体" w:eastAsia="新宋体" w:cs="新宋体"/>
          <w:b w:val="0"/>
          <w:color w:val="auto"/>
          <w:szCs w:val="21"/>
          <w:highlight w:val="none"/>
        </w:rPr>
      </w:pPr>
      <w:r>
        <w:rPr>
          <w:rFonts w:hint="eastAsia" w:ascii="新宋体" w:hAnsi="新宋体" w:eastAsia="新宋体" w:cs="新宋体"/>
          <w:b w:val="0"/>
          <w:color w:val="auto"/>
          <w:szCs w:val="21"/>
          <w:highlight w:val="none"/>
        </w:rPr>
        <w:br w:type="page"/>
      </w:r>
    </w:p>
    <w:p>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（技术资信标封面，供参考）</w:t>
      </w: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pStyle w:val="11"/>
        <w:ind w:firstLine="280"/>
        <w:rPr>
          <w:rFonts w:ascii="新宋体" w:hAnsi="新宋体" w:eastAsia="新宋体" w:cs="新宋体"/>
          <w:color w:val="auto"/>
          <w:sz w:val="28"/>
          <w:szCs w:val="28"/>
          <w:highlight w:val="none"/>
        </w:rPr>
      </w:pPr>
    </w:p>
    <w:p>
      <w:pPr>
        <w:pStyle w:val="11"/>
        <w:ind w:firstLine="280"/>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技 术 资 信 标</w:t>
      </w: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pStyle w:val="11"/>
        <w:ind w:firstLine="200"/>
        <w:rPr>
          <w:rFonts w:ascii="新宋体" w:hAnsi="新宋体" w:eastAsia="新宋体" w:cs="新宋体"/>
          <w:color w:val="auto"/>
          <w:highlight w:val="none"/>
        </w:rPr>
      </w:pPr>
    </w:p>
    <w:p>
      <w:pPr>
        <w:spacing w:line="360" w:lineRule="auto"/>
        <w:rPr>
          <w:rFonts w:ascii="新宋体" w:hAnsi="新宋体" w:eastAsia="新宋体" w:cs="新宋体"/>
          <w:color w:val="auto"/>
          <w:szCs w:val="21"/>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eastAsia="zh-CN"/>
        </w:rPr>
        <w:t>投标供应商</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ascii="新宋体" w:hAnsi="新宋体" w:eastAsia="新宋体" w:cs="新宋体"/>
          <w:color w:val="auto"/>
          <w:sz w:val="28"/>
          <w:szCs w:val="28"/>
          <w:highlight w:val="none"/>
          <w:u w:val="singl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ascii="新宋体" w:hAnsi="新宋体" w:eastAsia="新宋体" w:cs="新宋体"/>
          <w:color w:val="auto"/>
          <w:sz w:val="28"/>
          <w:szCs w:val="28"/>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highlight w:val="none"/>
        </w:rPr>
        <w:br w:type="page"/>
      </w:r>
      <w:r>
        <w:rPr>
          <w:rFonts w:hint="eastAsia" w:ascii="新宋体" w:hAnsi="新宋体" w:eastAsia="新宋体" w:cs="新宋体"/>
          <w:b/>
          <w:bCs/>
          <w:color w:val="auto"/>
          <w:sz w:val="28"/>
          <w:szCs w:val="28"/>
          <w:highlight w:val="none"/>
        </w:rPr>
        <w:t>目  录</w:t>
      </w:r>
    </w:p>
    <w:p>
      <w:pPr>
        <w:spacing w:line="360" w:lineRule="auto"/>
        <w:jc w:val="center"/>
        <w:rPr>
          <w:rFonts w:hint="eastAsia" w:ascii="新宋体" w:hAnsi="新宋体" w:eastAsia="新宋体" w:cs="新宋体"/>
          <w:color w:val="auto"/>
          <w:sz w:val="24"/>
          <w:highlight w:val="none"/>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color w:val="auto"/>
                <w:sz w:val="22"/>
                <w:szCs w:val="22"/>
                <w:highlight w:val="none"/>
                <w:lang w:eastAsia="zh-CN"/>
              </w:rPr>
            </w:pPr>
            <w:r>
              <w:rPr>
                <w:rFonts w:hint="eastAsia" w:ascii="宋体" w:hAnsi="宋体" w:eastAsia="新宋体" w:cs="宋体"/>
                <w:color w:val="auto"/>
                <w:kern w:val="1"/>
                <w:sz w:val="22"/>
                <w:szCs w:val="22"/>
                <w:highlight w:val="none"/>
                <w:lang w:val="en-US" w:eastAsia="zh-CN"/>
              </w:rPr>
              <w:t>4</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sz w:val="22"/>
                <w:szCs w:val="22"/>
                <w:highlight w:val="none"/>
              </w:rPr>
            </w:pPr>
            <w:r>
              <w:rPr>
                <w:rFonts w:ascii="宋体" w:hAnsi="宋体" w:cs="宋体"/>
                <w:b/>
                <w:color w:val="auto"/>
                <w:kern w:val="1"/>
                <w:sz w:val="22"/>
                <w:szCs w:val="22"/>
                <w:highlight w:val="none"/>
              </w:rPr>
              <w:t>资信证明文件（本项为评分量化内容，非强制性要求）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w:t>
            </w:r>
          </w:p>
        </w:tc>
        <w:tc>
          <w:tcPr>
            <w:tcW w:w="4621"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430" w:lineRule="atLeast"/>
              <w:rPr>
                <w:rFonts w:hint="eastAsia" w:ascii="新宋体" w:hAnsi="新宋体" w:eastAsia="新宋体" w:cs="新宋体"/>
                <w:bCs/>
                <w:color w:val="auto"/>
                <w:sz w:val="22"/>
                <w:szCs w:val="22"/>
                <w:highlight w:val="none"/>
              </w:rPr>
            </w:pPr>
            <w:r>
              <w:rPr>
                <w:rFonts w:hint="eastAsia" w:ascii="宋体" w:cs="宋体"/>
                <w:color w:val="auto"/>
                <w:sz w:val="22"/>
                <w:szCs w:val="22"/>
                <w:highlight w:val="none"/>
                <w:lang w:bidi="ar-SA"/>
              </w:rPr>
              <w:t>供应商综合实力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4.2</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tabs>
                <w:tab w:val="left" w:pos="5355"/>
              </w:tabs>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详细的产品供货清单（不含报价）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4.3</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tabs>
                <w:tab w:val="left" w:pos="5355"/>
              </w:tabs>
              <w:rPr>
                <w:rFonts w:hint="default" w:ascii="新宋体" w:hAnsi="新宋体" w:eastAsia="新宋体" w:cs="新宋体"/>
                <w:bCs/>
                <w:color w:val="auto"/>
                <w:sz w:val="22"/>
                <w:szCs w:val="22"/>
                <w:highlight w:val="none"/>
                <w:lang w:val="en-US" w:eastAsia="zh-CN"/>
              </w:rPr>
            </w:pPr>
            <w:r>
              <w:rPr>
                <w:rFonts w:hint="eastAsia" w:ascii="新宋体" w:hAnsi="新宋体" w:eastAsia="新宋体"/>
                <w:color w:val="auto"/>
                <w:sz w:val="22"/>
                <w:szCs w:val="22"/>
                <w:highlight w:val="none"/>
              </w:rPr>
              <w:t>所提供的产品性能、技术、结构和质量水平的描述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4.4</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sz w:val="22"/>
                <w:szCs w:val="22"/>
                <w:highlight w:val="none"/>
              </w:rPr>
            </w:pPr>
            <w:r>
              <w:rPr>
                <w:rFonts w:hint="eastAsia" w:ascii="宋体" w:hAnsi="宋体" w:cs="宋体"/>
                <w:color w:val="auto"/>
                <w:kern w:val="1"/>
                <w:sz w:val="22"/>
                <w:szCs w:val="22"/>
                <w:highlight w:val="none"/>
                <w:lang w:val="en-US" w:eastAsia="zh-CN"/>
              </w:rPr>
              <w:t>整体供货方案（包括但不限于产品运输、安装、调试、验收、培训及售后服务）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宋体" w:cs="新宋体"/>
                <w:color w:val="auto"/>
                <w:kern w:val="2"/>
                <w:sz w:val="22"/>
                <w:szCs w:val="22"/>
                <w:highlight w:val="none"/>
                <w:lang w:val="en-US" w:eastAsia="zh-CN" w:bidi="ar-SA"/>
              </w:rPr>
            </w:pPr>
            <w:r>
              <w:rPr>
                <w:rFonts w:hint="eastAsia" w:ascii="新宋体" w:hAnsi="新宋体" w:cs="新宋体"/>
                <w:color w:val="auto"/>
                <w:kern w:val="2"/>
                <w:sz w:val="22"/>
                <w:szCs w:val="22"/>
                <w:highlight w:val="none"/>
                <w:lang w:val="en-US" w:eastAsia="zh-CN" w:bidi="ar-SA"/>
              </w:rPr>
              <w:t>4.5</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color w:val="auto"/>
                <w:kern w:val="1"/>
                <w:sz w:val="22"/>
                <w:szCs w:val="22"/>
                <w:highlight w:val="none"/>
                <w:lang w:val="en-US" w:eastAsia="zh-CN"/>
              </w:rPr>
            </w:pPr>
            <w:r>
              <w:rPr>
                <w:rFonts w:hint="eastAsia" w:ascii="宋体" w:hAnsi="宋体" w:cs="宋体"/>
                <w:color w:val="auto"/>
                <w:sz w:val="22"/>
                <w:highlight w:val="none"/>
                <w:lang w:val="en-US" w:eastAsia="zh-CN"/>
              </w:rPr>
              <w:t>供应商</w:t>
            </w:r>
            <w:r>
              <w:rPr>
                <w:rFonts w:hint="eastAsia" w:ascii="宋体" w:hAnsi="宋体" w:cs="宋体"/>
                <w:color w:val="auto"/>
                <w:sz w:val="22"/>
                <w:highlight w:val="none"/>
              </w:rPr>
              <w:t>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5</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rPr>
                <w:rFonts w:hint="default" w:ascii="新宋体" w:hAnsi="新宋体" w:eastAsia="宋体" w:cs="新宋体"/>
                <w:bCs/>
                <w:color w:val="auto"/>
                <w:sz w:val="22"/>
                <w:szCs w:val="22"/>
                <w:highlight w:val="none"/>
                <w:lang w:val="en-US" w:eastAsia="zh-CN"/>
              </w:rPr>
            </w:pPr>
            <w:r>
              <w:rPr>
                <w:rFonts w:hint="eastAsia" w:ascii="宋体" w:hAnsi="宋体" w:cs="宋体"/>
                <w:bCs/>
                <w:color w:val="auto"/>
                <w:sz w:val="22"/>
                <w:highlight w:val="none"/>
                <w:lang w:eastAsia="zh-CN"/>
              </w:rPr>
              <w:t>投标供应商</w:t>
            </w:r>
            <w:r>
              <w:rPr>
                <w:rFonts w:hint="eastAsia" w:ascii="宋体" w:hAnsi="宋体" w:cs="宋体"/>
                <w:bCs/>
                <w:color w:val="auto"/>
                <w:sz w:val="22"/>
                <w:highlight w:val="none"/>
              </w:rPr>
              <w:t>认为需要提供的其他技术资料</w:t>
            </w:r>
          </w:p>
        </w:tc>
      </w:tr>
    </w:tbl>
    <w:p>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附件一</w:t>
      </w:r>
    </w:p>
    <w:p>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温州信达交通工程试验检测有限公司</w:t>
      </w:r>
      <w:r>
        <w:rPr>
          <w:rFonts w:hint="eastAsia" w:ascii="新宋体" w:hAnsi="新宋体" w:eastAsia="新宋体" w:cs="新宋体"/>
          <w:color w:val="auto"/>
          <w:sz w:val="22"/>
          <w:szCs w:val="22"/>
          <w:highlight w:val="none"/>
        </w:rPr>
        <w:t>：</w:t>
      </w:r>
    </w:p>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温州市智信招标代理有限公司：</w:t>
      </w:r>
    </w:p>
    <w:p>
      <w:pPr>
        <w:spacing w:line="42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项目（采购编号：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名称）作为</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w:t>
      </w:r>
    </w:p>
    <w:p>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在此提交的投标文件中，包括如下内容，并已分别单独密封装袋：</w:t>
      </w:r>
    </w:p>
    <w:p>
      <w:pPr>
        <w:numPr>
          <w:ilvl w:val="0"/>
          <w:numId w:val="18"/>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须知”要求编制的投标文件资格审查资料【正本一份，副本四份】；</w:t>
      </w:r>
    </w:p>
    <w:p>
      <w:pPr>
        <w:numPr>
          <w:ilvl w:val="0"/>
          <w:numId w:val="18"/>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须知”要求编制的投标文件技术资信标【正本一份，副本四份】；</w:t>
      </w:r>
    </w:p>
    <w:p>
      <w:pPr>
        <w:numPr>
          <w:ilvl w:val="0"/>
          <w:numId w:val="18"/>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须知”要求编制的投标文件商务报价标【正本一份，副本四份】。</w:t>
      </w:r>
    </w:p>
    <w:p>
      <w:pPr>
        <w:tabs>
          <w:tab w:val="left" w:pos="8124"/>
        </w:tabs>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我方已完全明白采购文件的所有条款要求，并重申以下几点：</w:t>
      </w:r>
      <w:r>
        <w:rPr>
          <w:rFonts w:ascii="新宋体" w:hAnsi="新宋体" w:eastAsia="新宋体" w:cs="新宋体"/>
          <w:color w:val="auto"/>
          <w:kern w:val="0"/>
          <w:sz w:val="22"/>
          <w:szCs w:val="22"/>
          <w:highlight w:val="none"/>
          <w:lang w:val="zh-CN"/>
        </w:rPr>
        <w:tab/>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须知规定的开标日期起遵守本投标书中的承诺且在投标有效期满之前均具有约束力。</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如果在开标后规定的投标有效期内撤回投标，我方的投标保证金可被贵方没收。</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期间禁止参加采购活动但是期限届满，须附相关证明文件）</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单位、法定代表人、本项目授权代表及本项目负责人在参加本项目前三年内（以法院判决书生效日期为准）均无行贿犯罪记录。</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如有列情形之一的，我方愿意被取消中标资格（如中标），并可没收我方的投标保证金，同时继续承担其他一切法律后果，并不再寻求任何旨在减轻或免除法律责任的解释：</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或者采购代理机构恶意串通的；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(5)在采购过程中与采购人进行协商谈判的；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pPr>
        <w:numPr>
          <w:ilvl w:val="0"/>
          <w:numId w:val="1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pPr>
        <w:spacing w:line="420" w:lineRule="exact"/>
        <w:ind w:firstLine="435"/>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pPr>
        <w:spacing w:line="42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w:t>
      </w:r>
    </w:p>
    <w:p>
      <w:pPr>
        <w:spacing w:line="420" w:lineRule="exact"/>
        <w:ind w:firstLine="435"/>
        <w:rPr>
          <w:rFonts w:ascii="新宋体" w:hAnsi="新宋体" w:eastAsia="新宋体" w:cs="新宋体"/>
          <w:color w:val="auto"/>
          <w:sz w:val="22"/>
          <w:szCs w:val="22"/>
          <w:highlight w:val="none"/>
        </w:rPr>
      </w:pPr>
    </w:p>
    <w:p>
      <w:pPr>
        <w:spacing w:line="420" w:lineRule="exact"/>
        <w:ind w:firstLine="46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名称（盖章）</w:t>
      </w:r>
      <w:r>
        <w:rPr>
          <w:rFonts w:hint="eastAsia" w:ascii="新宋体" w:hAnsi="新宋体" w:eastAsia="新宋体" w:cs="新宋体"/>
          <w:color w:val="auto"/>
          <w:sz w:val="22"/>
          <w:szCs w:val="22"/>
          <w:highlight w:val="none"/>
          <w:u w:val="single"/>
        </w:rPr>
        <w:t xml:space="preserve">                  </w:t>
      </w:r>
    </w:p>
    <w:p>
      <w:pPr>
        <w:spacing w:line="420" w:lineRule="exact"/>
        <w:ind w:firstLine="46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法定代表人或授权代表（签字或盖章）</w:t>
      </w:r>
      <w:r>
        <w:rPr>
          <w:rFonts w:hint="eastAsia" w:ascii="新宋体" w:hAnsi="新宋体" w:eastAsia="新宋体" w:cs="新宋体"/>
          <w:color w:val="auto"/>
          <w:sz w:val="22"/>
          <w:szCs w:val="22"/>
          <w:highlight w:val="none"/>
          <w:u w:val="single"/>
        </w:rPr>
        <w:t xml:space="preserve">                   </w:t>
      </w:r>
    </w:p>
    <w:p>
      <w:pPr>
        <w:spacing w:line="460" w:lineRule="exact"/>
        <w:ind w:firstLine="462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日    期</w:t>
      </w:r>
      <w:r>
        <w:rPr>
          <w:rFonts w:hint="eastAsia" w:ascii="新宋体" w:hAnsi="新宋体" w:eastAsia="新宋体" w:cs="新宋体"/>
          <w:color w:val="auto"/>
          <w:sz w:val="22"/>
          <w:szCs w:val="22"/>
          <w:highlight w:val="none"/>
          <w:u w:val="single"/>
        </w:rPr>
        <w:t xml:space="preserve">           </w:t>
      </w:r>
    </w:p>
    <w:p>
      <w:pPr>
        <w:spacing w:line="460" w:lineRule="exact"/>
        <w:ind w:firstLine="4620"/>
        <w:rPr>
          <w:rFonts w:ascii="新宋体" w:hAnsi="新宋体" w:eastAsia="新宋体" w:cs="新宋体"/>
          <w:color w:val="auto"/>
          <w:sz w:val="22"/>
          <w:szCs w:val="22"/>
          <w:highlight w:val="none"/>
          <w:u w:val="single"/>
        </w:rPr>
      </w:pPr>
    </w:p>
    <w:p>
      <w:pPr>
        <w:spacing w:line="420" w:lineRule="exact"/>
        <w:ind w:firstLine="442" w:firstLineChars="200"/>
        <w:rPr>
          <w:rFonts w:ascii="新宋体" w:hAnsi="新宋体" w:eastAsia="新宋体" w:cs="新宋体"/>
          <w:color w:val="auto"/>
          <w:sz w:val="22"/>
          <w:highlight w:val="none"/>
        </w:rPr>
      </w:pPr>
      <w:r>
        <w:rPr>
          <w:rFonts w:hint="eastAsia" w:ascii="新宋体" w:hAnsi="新宋体" w:eastAsia="新宋体" w:cs="新宋体"/>
          <w:b/>
          <w:color w:val="auto"/>
          <w:sz w:val="22"/>
          <w:szCs w:val="22"/>
          <w:highlight w:val="none"/>
          <w:u w:val="single"/>
        </w:rPr>
        <w:t>▲不提供投标函的投标文件将被视为未实质性响应采购文件。</w:t>
      </w:r>
    </w:p>
    <w:p>
      <w:pPr>
        <w:spacing w:line="380" w:lineRule="exact"/>
        <w:rPr>
          <w:rFonts w:ascii="新宋体" w:hAnsi="新宋体" w:eastAsia="新宋体" w:cs="新宋体"/>
          <w:b/>
          <w:bCs/>
          <w:color w:val="auto"/>
          <w:sz w:val="22"/>
          <w:szCs w:val="22"/>
          <w:highlight w:val="none"/>
        </w:rPr>
      </w:pP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附件二：</w:t>
      </w:r>
    </w:p>
    <w:p>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技术参数应答表</w:t>
      </w:r>
    </w:p>
    <w:p>
      <w:pPr>
        <w:ind w:firstLine="435"/>
        <w:jc w:val="center"/>
        <w:rPr>
          <w:rFonts w:ascii="新宋体" w:hAnsi="新宋体" w:eastAsia="新宋体" w:cs="新宋体"/>
          <w:b/>
          <w:color w:val="auto"/>
          <w:sz w:val="44"/>
          <w:highlight w:val="none"/>
        </w:rPr>
      </w:pPr>
    </w:p>
    <w:p>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采购编号：</w:t>
      </w:r>
    </w:p>
    <w:p>
      <w:pPr>
        <w:ind w:firstLine="361" w:firstLineChars="150"/>
        <w:rPr>
          <w:rFonts w:ascii="新宋体" w:hAnsi="新宋体" w:eastAsia="新宋体" w:cs="新宋体"/>
          <w:b/>
          <w:color w:val="auto"/>
          <w:sz w:val="24"/>
          <w:highlight w:val="none"/>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采购文件技术规格</w:t>
            </w:r>
          </w:p>
        </w:tc>
        <w:tc>
          <w:tcPr>
            <w:tcW w:w="2326"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实际技术规格</w:t>
            </w:r>
          </w:p>
        </w:tc>
        <w:tc>
          <w:tcPr>
            <w:tcW w:w="2115"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pPr>
              <w:jc w:val="center"/>
              <w:rPr>
                <w:rFonts w:ascii="新宋体" w:hAnsi="新宋体" w:eastAsia="新宋体" w:cs="新宋体"/>
                <w:color w:val="auto"/>
                <w:sz w:val="22"/>
                <w:szCs w:val="22"/>
                <w:highlight w:val="none"/>
              </w:rPr>
            </w:pPr>
          </w:p>
        </w:tc>
        <w:tc>
          <w:tcPr>
            <w:tcW w:w="2538" w:type="dxa"/>
            <w:noWrap w:val="0"/>
            <w:vAlign w:val="center"/>
          </w:tcPr>
          <w:p>
            <w:pPr>
              <w:jc w:val="center"/>
              <w:rPr>
                <w:rFonts w:ascii="新宋体" w:hAnsi="新宋体" w:eastAsia="新宋体" w:cs="新宋体"/>
                <w:color w:val="auto"/>
                <w:sz w:val="22"/>
                <w:szCs w:val="22"/>
                <w:highlight w:val="none"/>
              </w:rPr>
            </w:pPr>
          </w:p>
        </w:tc>
        <w:tc>
          <w:tcPr>
            <w:tcW w:w="2326" w:type="dxa"/>
            <w:noWrap w:val="0"/>
            <w:vAlign w:val="center"/>
          </w:tcPr>
          <w:p>
            <w:pPr>
              <w:jc w:val="center"/>
              <w:rPr>
                <w:rFonts w:ascii="新宋体" w:hAnsi="新宋体" w:eastAsia="新宋体" w:cs="新宋体"/>
                <w:color w:val="auto"/>
                <w:sz w:val="22"/>
                <w:szCs w:val="22"/>
                <w:highlight w:val="none"/>
              </w:rPr>
            </w:pPr>
          </w:p>
        </w:tc>
        <w:tc>
          <w:tcPr>
            <w:tcW w:w="2115" w:type="dxa"/>
            <w:noWrap w:val="0"/>
            <w:vAlign w:val="center"/>
          </w:tcPr>
          <w:p>
            <w:pPr>
              <w:jc w:val="center"/>
              <w:rPr>
                <w:rFonts w:ascii="新宋体" w:hAnsi="新宋体" w:eastAsia="新宋体" w:cs="新宋体"/>
                <w:color w:val="auto"/>
                <w:sz w:val="22"/>
                <w:szCs w:val="22"/>
                <w:highlight w:val="none"/>
              </w:rPr>
            </w:pPr>
          </w:p>
        </w:tc>
        <w:tc>
          <w:tcPr>
            <w:tcW w:w="1902"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ascii="新宋体" w:hAnsi="新宋体" w:eastAsia="新宋体" w:cs="新宋体"/>
                <w:color w:val="auto"/>
                <w:sz w:val="22"/>
                <w:szCs w:val="22"/>
                <w:highlight w:val="none"/>
              </w:rPr>
            </w:pPr>
          </w:p>
        </w:tc>
        <w:tc>
          <w:tcPr>
            <w:tcW w:w="2538" w:type="dxa"/>
            <w:noWrap w:val="0"/>
            <w:vAlign w:val="center"/>
          </w:tcPr>
          <w:p>
            <w:pPr>
              <w:jc w:val="center"/>
              <w:rPr>
                <w:rFonts w:ascii="新宋体" w:hAnsi="新宋体" w:eastAsia="新宋体" w:cs="新宋体"/>
                <w:color w:val="auto"/>
                <w:sz w:val="22"/>
                <w:szCs w:val="22"/>
                <w:highlight w:val="none"/>
              </w:rPr>
            </w:pPr>
          </w:p>
        </w:tc>
        <w:tc>
          <w:tcPr>
            <w:tcW w:w="2326" w:type="dxa"/>
            <w:noWrap w:val="0"/>
            <w:vAlign w:val="center"/>
          </w:tcPr>
          <w:p>
            <w:pPr>
              <w:jc w:val="center"/>
              <w:rPr>
                <w:rFonts w:ascii="新宋体" w:hAnsi="新宋体" w:eastAsia="新宋体" w:cs="新宋体"/>
                <w:color w:val="auto"/>
                <w:sz w:val="22"/>
                <w:szCs w:val="22"/>
                <w:highlight w:val="none"/>
              </w:rPr>
            </w:pPr>
          </w:p>
        </w:tc>
        <w:tc>
          <w:tcPr>
            <w:tcW w:w="2115" w:type="dxa"/>
            <w:noWrap w:val="0"/>
            <w:vAlign w:val="center"/>
          </w:tcPr>
          <w:p>
            <w:pPr>
              <w:jc w:val="center"/>
              <w:rPr>
                <w:rFonts w:ascii="新宋体" w:hAnsi="新宋体" w:eastAsia="新宋体" w:cs="新宋体"/>
                <w:color w:val="auto"/>
                <w:sz w:val="22"/>
                <w:szCs w:val="22"/>
                <w:highlight w:val="none"/>
              </w:rPr>
            </w:pPr>
          </w:p>
        </w:tc>
        <w:tc>
          <w:tcPr>
            <w:tcW w:w="1902"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ascii="新宋体" w:hAnsi="新宋体" w:eastAsia="新宋体" w:cs="新宋体"/>
                <w:color w:val="auto"/>
                <w:sz w:val="22"/>
                <w:szCs w:val="22"/>
                <w:highlight w:val="none"/>
              </w:rPr>
            </w:pPr>
          </w:p>
        </w:tc>
        <w:tc>
          <w:tcPr>
            <w:tcW w:w="2538" w:type="dxa"/>
            <w:noWrap w:val="0"/>
            <w:vAlign w:val="center"/>
          </w:tcPr>
          <w:p>
            <w:pPr>
              <w:jc w:val="center"/>
              <w:rPr>
                <w:rFonts w:ascii="新宋体" w:hAnsi="新宋体" w:eastAsia="新宋体" w:cs="新宋体"/>
                <w:color w:val="auto"/>
                <w:sz w:val="22"/>
                <w:szCs w:val="22"/>
                <w:highlight w:val="none"/>
              </w:rPr>
            </w:pPr>
          </w:p>
        </w:tc>
        <w:tc>
          <w:tcPr>
            <w:tcW w:w="2326" w:type="dxa"/>
            <w:noWrap w:val="0"/>
            <w:vAlign w:val="center"/>
          </w:tcPr>
          <w:p>
            <w:pPr>
              <w:jc w:val="center"/>
              <w:rPr>
                <w:rFonts w:ascii="新宋体" w:hAnsi="新宋体" w:eastAsia="新宋体" w:cs="新宋体"/>
                <w:color w:val="auto"/>
                <w:sz w:val="22"/>
                <w:szCs w:val="22"/>
                <w:highlight w:val="none"/>
              </w:rPr>
            </w:pPr>
          </w:p>
        </w:tc>
        <w:tc>
          <w:tcPr>
            <w:tcW w:w="2115" w:type="dxa"/>
            <w:noWrap w:val="0"/>
            <w:vAlign w:val="center"/>
          </w:tcPr>
          <w:p>
            <w:pPr>
              <w:jc w:val="center"/>
              <w:rPr>
                <w:rFonts w:ascii="新宋体" w:hAnsi="新宋体" w:eastAsia="新宋体" w:cs="新宋体"/>
                <w:color w:val="auto"/>
                <w:sz w:val="22"/>
                <w:szCs w:val="22"/>
                <w:highlight w:val="none"/>
              </w:rPr>
            </w:pPr>
          </w:p>
        </w:tc>
        <w:tc>
          <w:tcPr>
            <w:tcW w:w="1902"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ascii="新宋体" w:hAnsi="新宋体" w:eastAsia="新宋体" w:cs="新宋体"/>
                <w:color w:val="auto"/>
                <w:sz w:val="22"/>
                <w:szCs w:val="22"/>
                <w:highlight w:val="none"/>
              </w:rPr>
            </w:pPr>
          </w:p>
        </w:tc>
        <w:tc>
          <w:tcPr>
            <w:tcW w:w="2538" w:type="dxa"/>
            <w:noWrap w:val="0"/>
            <w:vAlign w:val="center"/>
          </w:tcPr>
          <w:p>
            <w:pPr>
              <w:jc w:val="center"/>
              <w:rPr>
                <w:rFonts w:ascii="新宋体" w:hAnsi="新宋体" w:eastAsia="新宋体" w:cs="新宋体"/>
                <w:color w:val="auto"/>
                <w:sz w:val="22"/>
                <w:szCs w:val="22"/>
                <w:highlight w:val="none"/>
              </w:rPr>
            </w:pPr>
          </w:p>
        </w:tc>
        <w:tc>
          <w:tcPr>
            <w:tcW w:w="2326" w:type="dxa"/>
            <w:noWrap w:val="0"/>
            <w:vAlign w:val="center"/>
          </w:tcPr>
          <w:p>
            <w:pPr>
              <w:jc w:val="center"/>
              <w:rPr>
                <w:rFonts w:ascii="新宋体" w:hAnsi="新宋体" w:eastAsia="新宋体" w:cs="新宋体"/>
                <w:color w:val="auto"/>
                <w:sz w:val="22"/>
                <w:szCs w:val="22"/>
                <w:highlight w:val="none"/>
              </w:rPr>
            </w:pPr>
          </w:p>
        </w:tc>
        <w:tc>
          <w:tcPr>
            <w:tcW w:w="2115" w:type="dxa"/>
            <w:noWrap w:val="0"/>
            <w:vAlign w:val="center"/>
          </w:tcPr>
          <w:p>
            <w:pPr>
              <w:jc w:val="center"/>
              <w:rPr>
                <w:rFonts w:ascii="新宋体" w:hAnsi="新宋体" w:eastAsia="新宋体" w:cs="新宋体"/>
                <w:color w:val="auto"/>
                <w:sz w:val="22"/>
                <w:szCs w:val="22"/>
                <w:highlight w:val="none"/>
              </w:rPr>
            </w:pPr>
          </w:p>
        </w:tc>
        <w:tc>
          <w:tcPr>
            <w:tcW w:w="1902"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ascii="新宋体" w:hAnsi="新宋体" w:eastAsia="新宋体" w:cs="新宋体"/>
                <w:color w:val="auto"/>
                <w:sz w:val="22"/>
                <w:szCs w:val="22"/>
                <w:highlight w:val="none"/>
              </w:rPr>
            </w:pPr>
          </w:p>
        </w:tc>
        <w:tc>
          <w:tcPr>
            <w:tcW w:w="2538" w:type="dxa"/>
            <w:noWrap w:val="0"/>
            <w:vAlign w:val="center"/>
          </w:tcPr>
          <w:p>
            <w:pPr>
              <w:jc w:val="center"/>
              <w:rPr>
                <w:rFonts w:ascii="新宋体" w:hAnsi="新宋体" w:eastAsia="新宋体" w:cs="新宋体"/>
                <w:color w:val="auto"/>
                <w:sz w:val="22"/>
                <w:szCs w:val="22"/>
                <w:highlight w:val="none"/>
              </w:rPr>
            </w:pPr>
          </w:p>
        </w:tc>
        <w:tc>
          <w:tcPr>
            <w:tcW w:w="2326" w:type="dxa"/>
            <w:noWrap w:val="0"/>
            <w:vAlign w:val="center"/>
          </w:tcPr>
          <w:p>
            <w:pPr>
              <w:jc w:val="center"/>
              <w:rPr>
                <w:rFonts w:ascii="新宋体" w:hAnsi="新宋体" w:eastAsia="新宋体" w:cs="新宋体"/>
                <w:color w:val="auto"/>
                <w:sz w:val="22"/>
                <w:szCs w:val="22"/>
                <w:highlight w:val="none"/>
              </w:rPr>
            </w:pPr>
          </w:p>
        </w:tc>
        <w:tc>
          <w:tcPr>
            <w:tcW w:w="2115" w:type="dxa"/>
            <w:noWrap w:val="0"/>
            <w:vAlign w:val="center"/>
          </w:tcPr>
          <w:p>
            <w:pPr>
              <w:jc w:val="center"/>
              <w:rPr>
                <w:rFonts w:ascii="新宋体" w:hAnsi="新宋体" w:eastAsia="新宋体" w:cs="新宋体"/>
                <w:color w:val="auto"/>
                <w:sz w:val="22"/>
                <w:szCs w:val="22"/>
                <w:highlight w:val="none"/>
              </w:rPr>
            </w:pPr>
          </w:p>
        </w:tc>
        <w:tc>
          <w:tcPr>
            <w:tcW w:w="1902" w:type="dxa"/>
            <w:noWrap w:val="0"/>
            <w:vAlign w:val="center"/>
          </w:tcPr>
          <w:p>
            <w:pPr>
              <w:jc w:val="center"/>
              <w:rPr>
                <w:rFonts w:ascii="新宋体" w:hAnsi="新宋体" w:eastAsia="新宋体" w:cs="新宋体"/>
                <w:color w:val="auto"/>
                <w:sz w:val="22"/>
                <w:szCs w:val="22"/>
                <w:highlight w:val="none"/>
              </w:rPr>
            </w:pPr>
          </w:p>
        </w:tc>
      </w:tr>
    </w:tbl>
    <w:p>
      <w:pPr>
        <w:rPr>
          <w:rFonts w:ascii="新宋体" w:hAnsi="新宋体" w:eastAsia="新宋体" w:cs="新宋体"/>
          <w:color w:val="auto"/>
          <w:sz w:val="24"/>
          <w:highlight w:val="none"/>
        </w:rPr>
      </w:pPr>
    </w:p>
    <w:p>
      <w:pPr>
        <w:spacing w:line="400" w:lineRule="exact"/>
        <w:ind w:left="218" w:leftChars="104"/>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r>
        <w:rPr>
          <w:rFonts w:hint="eastAsia" w:ascii="新宋体" w:hAnsi="新宋体" w:eastAsia="新宋体"/>
          <w:b/>
          <w:bCs/>
          <w:color w:val="auto"/>
          <w:sz w:val="22"/>
          <w:szCs w:val="22"/>
          <w:highlight w:val="none"/>
        </w:rPr>
        <w:t>不填写此表视作完全响应采购文件要求</w:t>
      </w:r>
    </w:p>
    <w:p>
      <w:pPr>
        <w:spacing w:line="400" w:lineRule="exact"/>
        <w:rPr>
          <w:rFonts w:ascii="新宋体" w:hAnsi="新宋体" w:eastAsia="新宋体" w:cs="新宋体"/>
          <w:color w:val="auto"/>
          <w:sz w:val="22"/>
          <w:szCs w:val="22"/>
          <w:highlight w:val="none"/>
        </w:rPr>
      </w:pPr>
    </w:p>
    <w:p>
      <w:pPr>
        <w:spacing w:line="400" w:lineRule="exact"/>
        <w:rPr>
          <w:rFonts w:ascii="新宋体" w:hAnsi="新宋体" w:eastAsia="新宋体" w:cs="新宋体"/>
          <w:color w:val="auto"/>
          <w:sz w:val="22"/>
          <w:szCs w:val="22"/>
          <w:highlight w:val="none"/>
        </w:rPr>
      </w:pPr>
    </w:p>
    <w:p>
      <w:pPr>
        <w:spacing w:line="400" w:lineRule="exact"/>
        <w:rPr>
          <w:rFonts w:ascii="新宋体" w:hAnsi="新宋体" w:eastAsia="新宋体" w:cs="新宋体"/>
          <w:color w:val="auto"/>
          <w:sz w:val="22"/>
          <w:szCs w:val="22"/>
          <w:highlight w:val="none"/>
        </w:rPr>
      </w:pPr>
    </w:p>
    <w:p>
      <w:pPr>
        <w:spacing w:line="400" w:lineRule="exact"/>
        <w:rPr>
          <w:rFonts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全称（盖章）：</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00" w:lineRule="exact"/>
        <w:rPr>
          <w:rFonts w:ascii="新宋体" w:hAnsi="新宋体" w:eastAsia="新宋体" w:cs="新宋体"/>
          <w:color w:val="auto"/>
          <w:sz w:val="22"/>
          <w:szCs w:val="22"/>
          <w:highlight w:val="none"/>
        </w:rPr>
      </w:pPr>
    </w:p>
    <w:p>
      <w:pPr>
        <w:spacing w:line="5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4"/>
          <w:highlight w:val="none"/>
        </w:rPr>
        <w:t>附件三：</w:t>
      </w:r>
    </w:p>
    <w:p>
      <w:pPr>
        <w:spacing w:line="50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商务条款偏离表</w:t>
      </w:r>
    </w:p>
    <w:p>
      <w:pPr>
        <w:ind w:firstLine="435"/>
        <w:jc w:val="center"/>
        <w:rPr>
          <w:rFonts w:ascii="新宋体" w:hAnsi="新宋体" w:eastAsia="新宋体" w:cs="新宋体"/>
          <w:b/>
          <w:color w:val="auto"/>
          <w:sz w:val="44"/>
          <w:highlight w:val="none"/>
        </w:rPr>
      </w:pPr>
    </w:p>
    <w:p>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采购编号：</w:t>
      </w:r>
    </w:p>
    <w:p>
      <w:pPr>
        <w:ind w:firstLine="221" w:firstLineChars="100"/>
        <w:rPr>
          <w:rFonts w:ascii="新宋体" w:hAnsi="新宋体" w:eastAsia="新宋体" w:cs="新宋体"/>
          <w:b/>
          <w:color w:val="auto"/>
          <w:sz w:val="22"/>
          <w:szCs w:val="22"/>
          <w:highlight w:val="none"/>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采购文件商务条款描述</w:t>
            </w:r>
          </w:p>
        </w:tc>
        <w:tc>
          <w:tcPr>
            <w:tcW w:w="2402"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noWrap w:val="0"/>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付款方式</w:t>
            </w:r>
          </w:p>
        </w:tc>
        <w:tc>
          <w:tcPr>
            <w:tcW w:w="2184" w:type="dxa"/>
            <w:noWrap w:val="0"/>
            <w:vAlign w:val="center"/>
          </w:tcPr>
          <w:p>
            <w:pPr>
              <w:jc w:val="center"/>
              <w:rPr>
                <w:rFonts w:ascii="新宋体" w:hAnsi="新宋体" w:eastAsia="新宋体" w:cs="新宋体"/>
                <w:color w:val="auto"/>
                <w:sz w:val="22"/>
                <w:szCs w:val="22"/>
                <w:highlight w:val="none"/>
              </w:rPr>
            </w:pPr>
          </w:p>
        </w:tc>
        <w:tc>
          <w:tcPr>
            <w:tcW w:w="2402" w:type="dxa"/>
            <w:noWrap w:val="0"/>
            <w:vAlign w:val="center"/>
          </w:tcPr>
          <w:p>
            <w:pPr>
              <w:jc w:val="center"/>
              <w:rPr>
                <w:rFonts w:ascii="新宋体" w:hAnsi="新宋体" w:eastAsia="新宋体" w:cs="新宋体"/>
                <w:color w:val="auto"/>
                <w:sz w:val="22"/>
                <w:szCs w:val="22"/>
                <w:highlight w:val="none"/>
              </w:rPr>
            </w:pPr>
          </w:p>
        </w:tc>
        <w:tc>
          <w:tcPr>
            <w:tcW w:w="1200" w:type="dxa"/>
            <w:noWrap w:val="0"/>
            <w:vAlign w:val="center"/>
          </w:tcPr>
          <w:p>
            <w:pPr>
              <w:jc w:val="center"/>
              <w:rPr>
                <w:rFonts w:ascii="新宋体" w:hAnsi="新宋体" w:eastAsia="新宋体" w:cs="新宋体"/>
                <w:color w:val="auto"/>
                <w:sz w:val="22"/>
                <w:szCs w:val="22"/>
                <w:highlight w:val="none"/>
              </w:rPr>
            </w:pPr>
          </w:p>
        </w:tc>
        <w:tc>
          <w:tcPr>
            <w:tcW w:w="1588"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noWrap w:val="0"/>
            <w:vAlign w:val="center"/>
          </w:tcPr>
          <w:p>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供货时间</w:t>
            </w:r>
          </w:p>
        </w:tc>
        <w:tc>
          <w:tcPr>
            <w:tcW w:w="2184" w:type="dxa"/>
            <w:noWrap w:val="0"/>
            <w:vAlign w:val="center"/>
          </w:tcPr>
          <w:p>
            <w:pPr>
              <w:jc w:val="center"/>
              <w:rPr>
                <w:rFonts w:ascii="新宋体" w:hAnsi="新宋体" w:eastAsia="新宋体" w:cs="新宋体"/>
                <w:color w:val="auto"/>
                <w:sz w:val="22"/>
                <w:szCs w:val="22"/>
                <w:highlight w:val="none"/>
              </w:rPr>
            </w:pPr>
          </w:p>
        </w:tc>
        <w:tc>
          <w:tcPr>
            <w:tcW w:w="2402" w:type="dxa"/>
            <w:noWrap w:val="0"/>
            <w:vAlign w:val="center"/>
          </w:tcPr>
          <w:p>
            <w:pPr>
              <w:jc w:val="center"/>
              <w:rPr>
                <w:rFonts w:ascii="新宋体" w:hAnsi="新宋体" w:eastAsia="新宋体" w:cs="新宋体"/>
                <w:color w:val="auto"/>
                <w:sz w:val="22"/>
                <w:szCs w:val="22"/>
                <w:highlight w:val="none"/>
              </w:rPr>
            </w:pPr>
          </w:p>
        </w:tc>
        <w:tc>
          <w:tcPr>
            <w:tcW w:w="1200" w:type="dxa"/>
            <w:noWrap w:val="0"/>
            <w:vAlign w:val="center"/>
          </w:tcPr>
          <w:p>
            <w:pPr>
              <w:jc w:val="center"/>
              <w:rPr>
                <w:rFonts w:ascii="新宋体" w:hAnsi="新宋体" w:eastAsia="新宋体" w:cs="新宋体"/>
                <w:color w:val="auto"/>
                <w:sz w:val="22"/>
                <w:szCs w:val="22"/>
                <w:highlight w:val="none"/>
              </w:rPr>
            </w:pPr>
          </w:p>
        </w:tc>
        <w:tc>
          <w:tcPr>
            <w:tcW w:w="1588"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noWrap w:val="0"/>
            <w:vAlign w:val="center"/>
          </w:tcPr>
          <w:p>
            <w:pPr>
              <w:jc w:val="center"/>
              <w:rPr>
                <w:rFonts w:ascii="新宋体" w:hAnsi="新宋体" w:eastAsia="新宋体" w:cs="新宋体"/>
                <w:color w:val="auto"/>
                <w:sz w:val="22"/>
                <w:szCs w:val="22"/>
                <w:highlight w:val="none"/>
              </w:rPr>
            </w:pPr>
          </w:p>
        </w:tc>
        <w:tc>
          <w:tcPr>
            <w:tcW w:w="2184" w:type="dxa"/>
            <w:noWrap w:val="0"/>
            <w:vAlign w:val="center"/>
          </w:tcPr>
          <w:p>
            <w:pPr>
              <w:jc w:val="center"/>
              <w:rPr>
                <w:rFonts w:ascii="新宋体" w:hAnsi="新宋体" w:eastAsia="新宋体" w:cs="新宋体"/>
                <w:color w:val="auto"/>
                <w:sz w:val="22"/>
                <w:szCs w:val="22"/>
                <w:highlight w:val="none"/>
              </w:rPr>
            </w:pPr>
          </w:p>
        </w:tc>
        <w:tc>
          <w:tcPr>
            <w:tcW w:w="2402" w:type="dxa"/>
            <w:noWrap w:val="0"/>
            <w:vAlign w:val="center"/>
          </w:tcPr>
          <w:p>
            <w:pPr>
              <w:jc w:val="center"/>
              <w:rPr>
                <w:rFonts w:ascii="新宋体" w:hAnsi="新宋体" w:eastAsia="新宋体" w:cs="新宋体"/>
                <w:color w:val="auto"/>
                <w:sz w:val="22"/>
                <w:szCs w:val="22"/>
                <w:highlight w:val="none"/>
              </w:rPr>
            </w:pPr>
          </w:p>
        </w:tc>
        <w:tc>
          <w:tcPr>
            <w:tcW w:w="1200" w:type="dxa"/>
            <w:noWrap w:val="0"/>
            <w:vAlign w:val="center"/>
          </w:tcPr>
          <w:p>
            <w:pPr>
              <w:jc w:val="center"/>
              <w:rPr>
                <w:rFonts w:ascii="新宋体" w:hAnsi="新宋体" w:eastAsia="新宋体" w:cs="新宋体"/>
                <w:color w:val="auto"/>
                <w:sz w:val="22"/>
                <w:szCs w:val="22"/>
                <w:highlight w:val="none"/>
              </w:rPr>
            </w:pPr>
          </w:p>
        </w:tc>
        <w:tc>
          <w:tcPr>
            <w:tcW w:w="1588"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noWrap w:val="0"/>
            <w:vAlign w:val="center"/>
          </w:tcPr>
          <w:p>
            <w:pPr>
              <w:jc w:val="center"/>
              <w:rPr>
                <w:rFonts w:ascii="新宋体" w:hAnsi="新宋体" w:eastAsia="新宋体" w:cs="新宋体"/>
                <w:color w:val="auto"/>
                <w:sz w:val="22"/>
                <w:szCs w:val="22"/>
                <w:highlight w:val="none"/>
              </w:rPr>
            </w:pPr>
          </w:p>
        </w:tc>
        <w:tc>
          <w:tcPr>
            <w:tcW w:w="2184" w:type="dxa"/>
            <w:noWrap w:val="0"/>
            <w:vAlign w:val="center"/>
          </w:tcPr>
          <w:p>
            <w:pPr>
              <w:jc w:val="center"/>
              <w:rPr>
                <w:rFonts w:ascii="新宋体" w:hAnsi="新宋体" w:eastAsia="新宋体" w:cs="新宋体"/>
                <w:color w:val="auto"/>
                <w:sz w:val="22"/>
                <w:szCs w:val="22"/>
                <w:highlight w:val="none"/>
              </w:rPr>
            </w:pPr>
          </w:p>
        </w:tc>
        <w:tc>
          <w:tcPr>
            <w:tcW w:w="2402" w:type="dxa"/>
            <w:noWrap w:val="0"/>
            <w:vAlign w:val="center"/>
          </w:tcPr>
          <w:p>
            <w:pPr>
              <w:jc w:val="center"/>
              <w:rPr>
                <w:rFonts w:ascii="新宋体" w:hAnsi="新宋体" w:eastAsia="新宋体" w:cs="新宋体"/>
                <w:color w:val="auto"/>
                <w:sz w:val="22"/>
                <w:szCs w:val="22"/>
                <w:highlight w:val="none"/>
              </w:rPr>
            </w:pPr>
          </w:p>
        </w:tc>
        <w:tc>
          <w:tcPr>
            <w:tcW w:w="1200" w:type="dxa"/>
            <w:noWrap w:val="0"/>
            <w:vAlign w:val="center"/>
          </w:tcPr>
          <w:p>
            <w:pPr>
              <w:jc w:val="center"/>
              <w:rPr>
                <w:rFonts w:ascii="新宋体" w:hAnsi="新宋体" w:eastAsia="新宋体" w:cs="新宋体"/>
                <w:color w:val="auto"/>
                <w:sz w:val="22"/>
                <w:szCs w:val="22"/>
                <w:highlight w:val="none"/>
              </w:rPr>
            </w:pPr>
          </w:p>
        </w:tc>
        <w:tc>
          <w:tcPr>
            <w:tcW w:w="1588"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noWrap w:val="0"/>
            <w:vAlign w:val="center"/>
          </w:tcPr>
          <w:p>
            <w:pPr>
              <w:jc w:val="center"/>
              <w:rPr>
                <w:rFonts w:ascii="新宋体" w:hAnsi="新宋体" w:eastAsia="新宋体" w:cs="新宋体"/>
                <w:color w:val="auto"/>
                <w:sz w:val="22"/>
                <w:szCs w:val="22"/>
                <w:highlight w:val="none"/>
              </w:rPr>
            </w:pPr>
          </w:p>
        </w:tc>
        <w:tc>
          <w:tcPr>
            <w:tcW w:w="2184" w:type="dxa"/>
            <w:noWrap w:val="0"/>
            <w:vAlign w:val="center"/>
          </w:tcPr>
          <w:p>
            <w:pPr>
              <w:jc w:val="center"/>
              <w:rPr>
                <w:rFonts w:ascii="新宋体" w:hAnsi="新宋体" w:eastAsia="新宋体" w:cs="新宋体"/>
                <w:color w:val="auto"/>
                <w:sz w:val="22"/>
                <w:szCs w:val="22"/>
                <w:highlight w:val="none"/>
              </w:rPr>
            </w:pPr>
          </w:p>
        </w:tc>
        <w:tc>
          <w:tcPr>
            <w:tcW w:w="2402" w:type="dxa"/>
            <w:noWrap w:val="0"/>
            <w:vAlign w:val="center"/>
          </w:tcPr>
          <w:p>
            <w:pPr>
              <w:jc w:val="center"/>
              <w:rPr>
                <w:rFonts w:ascii="新宋体" w:hAnsi="新宋体" w:eastAsia="新宋体" w:cs="新宋体"/>
                <w:color w:val="auto"/>
                <w:sz w:val="22"/>
                <w:szCs w:val="22"/>
                <w:highlight w:val="none"/>
              </w:rPr>
            </w:pPr>
          </w:p>
        </w:tc>
        <w:tc>
          <w:tcPr>
            <w:tcW w:w="1200" w:type="dxa"/>
            <w:noWrap w:val="0"/>
            <w:vAlign w:val="center"/>
          </w:tcPr>
          <w:p>
            <w:pPr>
              <w:jc w:val="center"/>
              <w:rPr>
                <w:rFonts w:ascii="新宋体" w:hAnsi="新宋体" w:eastAsia="新宋体" w:cs="新宋体"/>
                <w:color w:val="auto"/>
                <w:sz w:val="22"/>
                <w:szCs w:val="22"/>
                <w:highlight w:val="none"/>
              </w:rPr>
            </w:pPr>
          </w:p>
        </w:tc>
        <w:tc>
          <w:tcPr>
            <w:tcW w:w="1588" w:type="dxa"/>
            <w:noWrap w:val="0"/>
            <w:vAlign w:val="center"/>
          </w:tcPr>
          <w:p>
            <w:pPr>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noWrap w:val="0"/>
            <w:vAlign w:val="center"/>
          </w:tcPr>
          <w:p>
            <w:pPr>
              <w:jc w:val="center"/>
              <w:rPr>
                <w:rFonts w:ascii="新宋体" w:hAnsi="新宋体" w:eastAsia="新宋体" w:cs="新宋体"/>
                <w:color w:val="auto"/>
                <w:sz w:val="22"/>
                <w:szCs w:val="22"/>
                <w:highlight w:val="none"/>
              </w:rPr>
            </w:pPr>
          </w:p>
        </w:tc>
        <w:tc>
          <w:tcPr>
            <w:tcW w:w="2402" w:type="dxa"/>
            <w:noWrap w:val="0"/>
            <w:vAlign w:val="center"/>
          </w:tcPr>
          <w:p>
            <w:pPr>
              <w:jc w:val="center"/>
              <w:rPr>
                <w:rFonts w:ascii="新宋体" w:hAnsi="新宋体" w:eastAsia="新宋体" w:cs="新宋体"/>
                <w:color w:val="auto"/>
                <w:sz w:val="22"/>
                <w:szCs w:val="22"/>
                <w:highlight w:val="none"/>
              </w:rPr>
            </w:pPr>
          </w:p>
        </w:tc>
        <w:tc>
          <w:tcPr>
            <w:tcW w:w="1200" w:type="dxa"/>
            <w:noWrap w:val="0"/>
            <w:vAlign w:val="center"/>
          </w:tcPr>
          <w:p>
            <w:pPr>
              <w:jc w:val="center"/>
              <w:rPr>
                <w:rFonts w:ascii="新宋体" w:hAnsi="新宋体" w:eastAsia="新宋体" w:cs="新宋体"/>
                <w:color w:val="auto"/>
                <w:sz w:val="22"/>
                <w:szCs w:val="22"/>
                <w:highlight w:val="none"/>
              </w:rPr>
            </w:pPr>
          </w:p>
        </w:tc>
        <w:tc>
          <w:tcPr>
            <w:tcW w:w="1588" w:type="dxa"/>
            <w:noWrap w:val="0"/>
            <w:vAlign w:val="center"/>
          </w:tcPr>
          <w:p>
            <w:pPr>
              <w:jc w:val="center"/>
              <w:rPr>
                <w:rFonts w:ascii="新宋体" w:hAnsi="新宋体" w:eastAsia="新宋体" w:cs="新宋体"/>
                <w:color w:val="auto"/>
                <w:sz w:val="22"/>
                <w:szCs w:val="22"/>
                <w:highlight w:val="none"/>
              </w:rPr>
            </w:pPr>
          </w:p>
        </w:tc>
      </w:tr>
    </w:tbl>
    <w:p>
      <w:pPr>
        <w:spacing w:line="500" w:lineRule="exact"/>
        <w:ind w:firstLine="4819" w:firstLineChars="2000"/>
        <w:rPr>
          <w:rFonts w:ascii="新宋体" w:hAnsi="新宋体" w:eastAsia="新宋体" w:cs="新宋体"/>
          <w:b/>
          <w:bCs/>
          <w:color w:val="auto"/>
          <w:sz w:val="24"/>
          <w:highlight w:val="none"/>
        </w:rPr>
      </w:pPr>
    </w:p>
    <w:p>
      <w:pPr>
        <w:spacing w:line="400" w:lineRule="exact"/>
        <w:ind w:left="218" w:leftChars="104"/>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r>
        <w:rPr>
          <w:rFonts w:hint="eastAsia" w:ascii="新宋体" w:hAnsi="新宋体" w:eastAsia="新宋体"/>
          <w:b/>
          <w:bCs/>
          <w:color w:val="auto"/>
          <w:sz w:val="22"/>
          <w:szCs w:val="22"/>
          <w:highlight w:val="none"/>
        </w:rPr>
        <w:t>不填写此表视作完全响应采购文件要求</w:t>
      </w:r>
    </w:p>
    <w:p>
      <w:pPr>
        <w:spacing w:line="500" w:lineRule="exact"/>
        <w:rPr>
          <w:rFonts w:ascii="新宋体" w:hAnsi="新宋体" w:eastAsia="新宋体" w:cs="新宋体"/>
          <w:color w:val="auto"/>
          <w:sz w:val="22"/>
          <w:szCs w:val="22"/>
          <w:highlight w:val="none"/>
        </w:rPr>
      </w:pPr>
    </w:p>
    <w:p>
      <w:pPr>
        <w:spacing w:line="500" w:lineRule="exact"/>
        <w:ind w:firstLine="4400" w:firstLineChars="2000"/>
        <w:rPr>
          <w:rFonts w:ascii="新宋体" w:hAnsi="新宋体" w:eastAsia="新宋体" w:cs="新宋体"/>
          <w:color w:val="auto"/>
          <w:sz w:val="22"/>
          <w:szCs w:val="22"/>
          <w:highlight w:val="none"/>
        </w:rPr>
      </w:pPr>
    </w:p>
    <w:p>
      <w:pPr>
        <w:spacing w:line="500" w:lineRule="exact"/>
        <w:ind w:firstLine="4400" w:firstLineChars="2000"/>
        <w:rPr>
          <w:rFonts w:ascii="新宋体" w:hAnsi="新宋体" w:eastAsia="新宋体" w:cs="新宋体"/>
          <w:color w:val="auto"/>
          <w:sz w:val="22"/>
          <w:szCs w:val="22"/>
          <w:highlight w:val="none"/>
        </w:rPr>
      </w:pPr>
    </w:p>
    <w:p>
      <w:pPr>
        <w:spacing w:line="500" w:lineRule="exact"/>
        <w:ind w:firstLine="4400" w:firstLineChars="2000"/>
        <w:rPr>
          <w:rFonts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全称（盖章）：</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60" w:lineRule="exact"/>
        <w:rPr>
          <w:rFonts w:ascii="新宋体" w:hAnsi="新宋体" w:eastAsia="新宋体" w:cs="新宋体"/>
          <w:color w:val="auto"/>
          <w:sz w:val="22"/>
          <w:szCs w:val="22"/>
          <w:highlight w:val="none"/>
        </w:rPr>
      </w:pPr>
    </w:p>
    <w:p>
      <w:pPr>
        <w:tabs>
          <w:tab w:val="left" w:pos="840"/>
          <w:tab w:val="left" w:pos="5400"/>
        </w:tabs>
        <w:adjustRightInd w:val="0"/>
        <w:snapToGrid w:val="0"/>
        <w:spacing w:line="400" w:lineRule="exact"/>
        <w:ind w:left="420" w:leftChars="200" w:firstLine="4638" w:firstLineChars="2100"/>
        <w:rPr>
          <w:rFonts w:ascii="新宋体" w:hAnsi="新宋体" w:eastAsia="新宋体" w:cs="新宋体"/>
          <w:b/>
          <w:bCs/>
          <w:color w:val="auto"/>
          <w:sz w:val="22"/>
          <w:szCs w:val="22"/>
          <w:highlight w:val="none"/>
        </w:rPr>
      </w:pPr>
    </w:p>
    <w:p>
      <w:pPr>
        <w:tabs>
          <w:tab w:val="left" w:pos="84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附件四</w:t>
      </w:r>
    </w:p>
    <w:p>
      <w:pPr>
        <w:spacing w:line="460" w:lineRule="exact"/>
        <w:jc w:val="center"/>
        <w:rPr>
          <w:rFonts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投标</w:t>
      </w:r>
      <w:r>
        <w:rPr>
          <w:rFonts w:hint="eastAsia" w:ascii="宋体" w:hAnsi="宋体" w:cs="宋体"/>
          <w:b/>
          <w:color w:val="auto"/>
          <w:kern w:val="1"/>
          <w:sz w:val="28"/>
          <w:szCs w:val="28"/>
          <w:highlight w:val="none"/>
          <w:lang w:val="en-US" w:eastAsia="zh-CN"/>
        </w:rPr>
        <w:t>供应商</w:t>
      </w:r>
      <w:r>
        <w:rPr>
          <w:rFonts w:hint="eastAsia" w:ascii="宋体" w:hAnsi="宋体" w:eastAsia="宋体" w:cs="宋体"/>
          <w:b/>
          <w:color w:val="auto"/>
          <w:kern w:val="1"/>
          <w:sz w:val="28"/>
          <w:szCs w:val="28"/>
          <w:highlight w:val="none"/>
        </w:rPr>
        <w:t>同类</w:t>
      </w:r>
      <w:r>
        <w:rPr>
          <w:rFonts w:hint="eastAsia" w:ascii="宋体" w:hAnsi="宋体" w:cs="宋体"/>
          <w:b/>
          <w:color w:val="auto"/>
          <w:kern w:val="1"/>
          <w:sz w:val="28"/>
          <w:szCs w:val="28"/>
          <w:highlight w:val="none"/>
          <w:lang w:val="en-US" w:eastAsia="zh-CN"/>
        </w:rPr>
        <w:t>项目</w:t>
      </w:r>
      <w:r>
        <w:rPr>
          <w:rFonts w:hint="eastAsia" w:ascii="宋体" w:hAnsi="宋体" w:eastAsia="宋体" w:cs="宋体"/>
          <w:b/>
          <w:color w:val="auto"/>
          <w:kern w:val="1"/>
          <w:sz w:val="28"/>
          <w:szCs w:val="28"/>
          <w:highlight w:val="none"/>
        </w:rPr>
        <w:t>业绩情况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0"/>
            <w:vAlign w:val="center"/>
          </w:tcPr>
          <w:p>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2192" w:type="dxa"/>
            <w:shd w:val="clear" w:color="auto" w:fill="D9D9D9"/>
            <w:noWrap w:val="0"/>
            <w:vAlign w:val="center"/>
          </w:tcPr>
          <w:p>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用户名称</w:t>
            </w:r>
          </w:p>
        </w:tc>
        <w:tc>
          <w:tcPr>
            <w:tcW w:w="1636" w:type="dxa"/>
            <w:shd w:val="clear" w:color="auto" w:fill="D9D9D9"/>
            <w:noWrap w:val="0"/>
            <w:vAlign w:val="center"/>
          </w:tcPr>
          <w:p>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项目名称</w:t>
            </w:r>
          </w:p>
        </w:tc>
        <w:tc>
          <w:tcPr>
            <w:tcW w:w="1260" w:type="dxa"/>
            <w:shd w:val="clear" w:color="auto" w:fill="D9D9D9"/>
            <w:noWrap w:val="0"/>
            <w:vAlign w:val="center"/>
          </w:tcPr>
          <w:p>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合同金额</w:t>
            </w:r>
          </w:p>
        </w:tc>
        <w:tc>
          <w:tcPr>
            <w:tcW w:w="1345" w:type="dxa"/>
            <w:shd w:val="clear" w:color="auto" w:fill="D9D9D9"/>
            <w:noWrap w:val="0"/>
            <w:vAlign w:val="center"/>
          </w:tcPr>
          <w:p>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合同时间</w:t>
            </w:r>
          </w:p>
        </w:tc>
        <w:tc>
          <w:tcPr>
            <w:tcW w:w="2435" w:type="dxa"/>
            <w:shd w:val="clear" w:color="auto" w:fill="D9D9D9"/>
            <w:noWrap w:val="0"/>
            <w:vAlign w:val="center"/>
          </w:tcPr>
          <w:p>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hint="eastAsia" w:ascii="宋体" w:hAnsi="宋体" w:cs="宋体"/>
                <w:b/>
                <w:bCs/>
                <w:color w:val="auto"/>
                <w:sz w:val="22"/>
                <w:highlight w:val="none"/>
              </w:rPr>
            </w:pPr>
          </w:p>
        </w:tc>
        <w:tc>
          <w:tcPr>
            <w:tcW w:w="2192" w:type="dxa"/>
            <w:noWrap w:val="0"/>
            <w:vAlign w:val="center"/>
          </w:tcPr>
          <w:p>
            <w:pPr>
              <w:spacing w:line="460" w:lineRule="exact"/>
              <w:jc w:val="center"/>
              <w:rPr>
                <w:rFonts w:hint="eastAsia" w:ascii="宋体" w:hAnsi="宋体" w:cs="宋体"/>
                <w:b/>
                <w:bCs/>
                <w:color w:val="auto"/>
                <w:sz w:val="22"/>
                <w:highlight w:val="none"/>
              </w:rPr>
            </w:pPr>
          </w:p>
        </w:tc>
        <w:tc>
          <w:tcPr>
            <w:tcW w:w="1636" w:type="dxa"/>
            <w:noWrap w:val="0"/>
            <w:vAlign w:val="center"/>
          </w:tcPr>
          <w:p>
            <w:pPr>
              <w:spacing w:line="460" w:lineRule="exact"/>
              <w:jc w:val="center"/>
              <w:rPr>
                <w:rFonts w:hint="eastAsia" w:ascii="宋体" w:hAnsi="宋体" w:cs="宋体"/>
                <w:b/>
                <w:bCs/>
                <w:color w:val="auto"/>
                <w:sz w:val="22"/>
                <w:highlight w:val="none"/>
              </w:rPr>
            </w:pPr>
          </w:p>
        </w:tc>
        <w:tc>
          <w:tcPr>
            <w:tcW w:w="1260" w:type="dxa"/>
            <w:noWrap w:val="0"/>
            <w:vAlign w:val="center"/>
          </w:tcPr>
          <w:p>
            <w:pPr>
              <w:spacing w:line="460" w:lineRule="exact"/>
              <w:jc w:val="center"/>
              <w:rPr>
                <w:rFonts w:hint="eastAsia" w:ascii="宋体" w:hAnsi="宋体" w:cs="宋体"/>
                <w:b/>
                <w:bCs/>
                <w:color w:val="auto"/>
                <w:sz w:val="22"/>
                <w:highlight w:val="none"/>
              </w:rPr>
            </w:pPr>
          </w:p>
        </w:tc>
        <w:tc>
          <w:tcPr>
            <w:tcW w:w="1345" w:type="dxa"/>
            <w:noWrap w:val="0"/>
            <w:vAlign w:val="center"/>
          </w:tcPr>
          <w:p>
            <w:pPr>
              <w:spacing w:line="460" w:lineRule="exact"/>
              <w:jc w:val="center"/>
              <w:rPr>
                <w:rFonts w:hint="eastAsia" w:ascii="宋体" w:hAnsi="宋体" w:cs="宋体"/>
                <w:b/>
                <w:bCs/>
                <w:color w:val="auto"/>
                <w:sz w:val="22"/>
                <w:highlight w:val="none"/>
              </w:rPr>
            </w:pPr>
          </w:p>
        </w:tc>
        <w:tc>
          <w:tcPr>
            <w:tcW w:w="2435" w:type="dxa"/>
            <w:noWrap w:val="0"/>
            <w:vAlign w:val="center"/>
          </w:tcPr>
          <w:p>
            <w:pPr>
              <w:spacing w:line="460" w:lineRule="exact"/>
              <w:jc w:val="center"/>
              <w:rPr>
                <w:rFonts w:hint="eastAsia" w:ascii="宋体" w:hAnsi="宋体" w:cs="宋体"/>
                <w:b/>
                <w:bCs/>
                <w:color w:val="auto"/>
                <w:sz w:val="22"/>
                <w:highlight w:val="none"/>
              </w:rPr>
            </w:pPr>
          </w:p>
        </w:tc>
      </w:tr>
    </w:tbl>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w:t>
      </w:r>
      <w:r>
        <w:rPr>
          <w:rFonts w:hint="eastAsia" w:ascii="新宋体" w:hAnsi="新宋体" w:eastAsia="新宋体" w:cs="ˎ̥"/>
          <w:color w:val="auto"/>
          <w:sz w:val="22"/>
          <w:szCs w:val="22"/>
          <w:highlight w:val="none"/>
          <w:lang w:eastAsia="zh-CN"/>
        </w:rPr>
        <w:t>投标供应商</w:t>
      </w:r>
      <w:r>
        <w:rPr>
          <w:rFonts w:hint="eastAsia" w:ascii="新宋体" w:hAnsi="新宋体" w:eastAsia="新宋体" w:cs="ˎ̥"/>
          <w:color w:val="auto"/>
          <w:sz w:val="22"/>
          <w:szCs w:val="22"/>
          <w:highlight w:val="none"/>
        </w:rPr>
        <w:t>应根据需要准备足够数量的表格来填写。</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 xml:space="preserve">2.每项业绩须根据商务技术文件评分细则的要求提供证明材料； </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w:t>
      </w:r>
      <w:r>
        <w:rPr>
          <w:rFonts w:hint="eastAsia" w:ascii="新宋体" w:hAnsi="新宋体" w:eastAsia="新宋体" w:cs="ˎ̥"/>
          <w:color w:val="auto"/>
          <w:sz w:val="22"/>
          <w:szCs w:val="22"/>
          <w:highlight w:val="none"/>
          <w:lang w:eastAsia="zh-CN"/>
        </w:rPr>
        <w:t>投标供应商</w:t>
      </w:r>
      <w:r>
        <w:rPr>
          <w:rFonts w:hint="eastAsia" w:ascii="新宋体" w:hAnsi="新宋体" w:eastAsia="新宋体" w:cs="ˎ̥"/>
          <w:color w:val="auto"/>
          <w:sz w:val="22"/>
          <w:szCs w:val="22"/>
          <w:highlight w:val="none"/>
        </w:rPr>
        <w:t>不按此要求填写此项内容或未按要求提供业绩证明材料将视为无业绩，不纳入评分范围。</w:t>
      </w:r>
    </w:p>
    <w:p>
      <w:pPr>
        <w:spacing w:line="400" w:lineRule="exact"/>
        <w:ind w:left="180"/>
        <w:rPr>
          <w:rFonts w:ascii="新宋体" w:hAnsi="新宋体" w:eastAsia="新宋体"/>
          <w:b/>
          <w:color w:val="auto"/>
          <w:sz w:val="22"/>
          <w:szCs w:val="22"/>
          <w:highlight w:val="none"/>
        </w:rPr>
      </w:pPr>
    </w:p>
    <w:p>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投标供应商</w:t>
      </w:r>
      <w:r>
        <w:rPr>
          <w:rFonts w:hint="eastAsia" w:ascii="新宋体" w:hAnsi="新宋体" w:eastAsia="新宋体"/>
          <w:color w:val="auto"/>
          <w:sz w:val="22"/>
          <w:szCs w:val="22"/>
          <w:highlight w:val="none"/>
        </w:rPr>
        <w:t>全称（盖章）：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法定代表人或授权代表（签字或盖章）</w:t>
      </w:r>
      <w:r>
        <w:rPr>
          <w:rFonts w:hint="eastAsia" w:ascii="新宋体" w:hAnsi="新宋体" w:eastAsia="新宋体"/>
          <w:color w:val="auto"/>
          <w:sz w:val="22"/>
          <w:szCs w:val="22"/>
          <w:highlight w:val="none"/>
        </w:rPr>
        <w:t>：</w:t>
      </w:r>
    </w:p>
    <w:p>
      <w:pPr>
        <w:tabs>
          <w:tab w:val="left" w:pos="840"/>
          <w:tab w:val="left" w:pos="5400"/>
        </w:tabs>
        <w:adjustRightInd w:val="0"/>
        <w:snapToGrid w:val="0"/>
        <w:spacing w:line="400" w:lineRule="exact"/>
        <w:ind w:left="420" w:leftChars="200" w:firstLine="4620" w:firstLineChars="2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pPr>
        <w:pStyle w:val="2"/>
        <w:rPr>
          <w:rFonts w:hint="eastAsia" w:ascii="新宋体" w:hAnsi="新宋体" w:eastAsia="新宋体"/>
          <w:color w:val="auto"/>
          <w:sz w:val="22"/>
          <w:szCs w:val="22"/>
          <w:highlight w:val="none"/>
        </w:rPr>
      </w:pPr>
    </w:p>
    <w:p>
      <w:pPr>
        <w:pStyle w:val="2"/>
        <w:rPr>
          <w:rFonts w:hint="eastAsia" w:ascii="新宋体" w:hAnsi="新宋体" w:eastAsia="新宋体"/>
          <w:color w:val="auto"/>
          <w:sz w:val="22"/>
          <w:szCs w:val="22"/>
          <w:highlight w:val="none"/>
        </w:rPr>
      </w:pPr>
    </w:p>
    <w:p>
      <w:pPr>
        <w:pStyle w:val="2"/>
        <w:rPr>
          <w:rFonts w:hint="eastAsia" w:ascii="新宋体" w:hAnsi="新宋体" w:eastAsia="新宋体"/>
          <w:color w:val="auto"/>
          <w:sz w:val="22"/>
          <w:szCs w:val="22"/>
          <w:highlight w:val="none"/>
        </w:rPr>
      </w:pPr>
    </w:p>
    <w:p>
      <w:pPr>
        <w:pStyle w:val="2"/>
        <w:rPr>
          <w:rFonts w:hint="eastAsia" w:ascii="新宋体" w:hAnsi="新宋体" w:eastAsia="新宋体"/>
          <w:color w:val="auto"/>
          <w:sz w:val="22"/>
          <w:szCs w:val="22"/>
          <w:highlight w:val="none"/>
        </w:rPr>
      </w:pPr>
    </w:p>
    <w:p>
      <w:pPr>
        <w:spacing w:line="460" w:lineRule="exact"/>
        <w:jc w:val="center"/>
        <w:rPr>
          <w:rFonts w:hint="eastAsia" w:ascii="宋体" w:hAnsi="宋体"/>
          <w:b/>
          <w:bCs/>
          <w:color w:val="auto"/>
          <w:sz w:val="28"/>
          <w:szCs w:val="28"/>
          <w:highlight w:val="none"/>
        </w:rPr>
      </w:pPr>
    </w:p>
    <w:p>
      <w:pPr>
        <w:spacing w:line="460" w:lineRule="exact"/>
        <w:jc w:val="center"/>
        <w:rPr>
          <w:rFonts w:hint="eastAsia" w:ascii="宋体" w:hAnsi="宋体"/>
          <w:b/>
          <w:bCs/>
          <w:color w:val="auto"/>
          <w:sz w:val="28"/>
          <w:szCs w:val="28"/>
          <w:highlight w:val="none"/>
        </w:rPr>
      </w:pPr>
    </w:p>
    <w:p>
      <w:pPr>
        <w:tabs>
          <w:tab w:val="left" w:pos="840"/>
        </w:tabs>
        <w:adjustRightInd w:val="0"/>
        <w:snapToGrid w:val="0"/>
        <w:spacing w:line="360" w:lineRule="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附件五</w:t>
      </w:r>
    </w:p>
    <w:p>
      <w:pPr>
        <w:spacing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（1）产品供货范围详细清单</w:t>
      </w:r>
    </w:p>
    <w:p>
      <w:pPr>
        <w:spacing w:line="460" w:lineRule="exact"/>
        <w:ind w:firstLine="590" w:firstLineChars="246"/>
        <w:rPr>
          <w:rFonts w:hint="eastAsia" w:ascii="宋体" w:hAnsi="宋体"/>
          <w:color w:val="auto"/>
          <w:sz w:val="24"/>
          <w:highlight w:val="none"/>
        </w:rPr>
      </w:pPr>
      <w:r>
        <w:rPr>
          <w:rFonts w:hint="eastAsia" w:ascii="宋体" w:hAnsi="宋体"/>
          <w:color w:val="auto"/>
          <w:sz w:val="24"/>
          <w:highlight w:val="none"/>
        </w:rPr>
        <w:t>项目名称：                                      项目编号：</w:t>
      </w:r>
    </w:p>
    <w:tbl>
      <w:tblPr>
        <w:tblStyle w:val="23"/>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8"/>
        <w:gridCol w:w="1835"/>
        <w:gridCol w:w="875"/>
        <w:gridCol w:w="1551"/>
        <w:gridCol w:w="812"/>
        <w:gridCol w:w="855"/>
        <w:gridCol w:w="1661"/>
        <w:gridCol w:w="802"/>
        <w:gridCol w:w="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序号</w:t>
            </w: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产品名称</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品牌</w:t>
            </w: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规格、型号</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单位</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数量</w:t>
            </w: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性能及指标</w:t>
            </w:r>
          </w:p>
        </w:tc>
        <w:tc>
          <w:tcPr>
            <w:tcW w:w="40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产地</w:t>
            </w: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ascii="宋体" w:hAnsi="宋体"/>
                <w:color w:val="auto"/>
                <w:sz w:val="24"/>
                <w:highlight w:val="none"/>
              </w:rPr>
              <w:t>免费</w:t>
            </w:r>
          </w:p>
          <w:p>
            <w:pPr>
              <w:snapToGrid w:val="0"/>
              <w:spacing w:before="50" w:after="50"/>
              <w:jc w:val="center"/>
              <w:rPr>
                <w:rFonts w:ascii="宋体" w:hAnsi="宋体"/>
                <w:color w:val="auto"/>
                <w:sz w:val="24"/>
                <w:highlight w:val="none"/>
              </w:rPr>
            </w:pPr>
            <w:r>
              <w:rPr>
                <w:rFonts w:ascii="宋体" w:hAnsi="宋体"/>
                <w:color w:val="auto"/>
                <w:sz w:val="24"/>
                <w:highlight w:val="none"/>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w:t>
      </w:r>
    </w:p>
    <w:p>
      <w:pPr>
        <w:spacing w:line="360" w:lineRule="auto"/>
        <w:rPr>
          <w:rFonts w:hint="eastAsia" w:ascii="宋体" w:hAnsi="宋体"/>
          <w:color w:val="auto"/>
          <w:sz w:val="24"/>
          <w:highlight w:val="none"/>
        </w:rPr>
      </w:pPr>
      <w:r>
        <w:rPr>
          <w:rFonts w:hint="eastAsia" w:ascii="宋体" w:hAnsi="宋体"/>
          <w:color w:val="auto"/>
          <w:sz w:val="24"/>
          <w:highlight w:val="none"/>
        </w:rPr>
        <w:t>1、表中的产品名称按采购文件中 “采购内容”分项填写。</w:t>
      </w:r>
    </w:p>
    <w:p>
      <w:pPr>
        <w:spacing w:line="360" w:lineRule="auto"/>
        <w:rPr>
          <w:rFonts w:ascii="宋体" w:hAnsi="宋体"/>
          <w:color w:val="auto"/>
          <w:sz w:val="24"/>
          <w:highlight w:val="none"/>
        </w:rPr>
      </w:pPr>
      <w:r>
        <w:rPr>
          <w:rFonts w:hint="eastAsia" w:ascii="宋体" w:hAnsi="宋体"/>
          <w:color w:val="auto"/>
          <w:sz w:val="24"/>
          <w:highlight w:val="none"/>
        </w:rPr>
        <w:t>2、本表格式可以自拟，附在技术资信标内。</w:t>
      </w:r>
    </w:p>
    <w:p>
      <w:pPr>
        <w:pStyle w:val="22"/>
        <w:ind w:leftChars="0" w:firstLineChars="0"/>
        <w:rPr>
          <w:rFonts w:hint="eastAsia" w:ascii="宋体" w:hAnsi="宋体"/>
          <w:color w:val="auto"/>
          <w:highlight w:val="none"/>
        </w:rPr>
      </w:pPr>
    </w:p>
    <w:p>
      <w:pPr>
        <w:tabs>
          <w:tab w:val="left" w:pos="840"/>
        </w:tabs>
        <w:adjustRightInd w:val="0"/>
        <w:snapToGrid w:val="0"/>
        <w:spacing w:line="360" w:lineRule="auto"/>
        <w:ind w:left="420" w:leftChars="200" w:firstLine="360" w:firstLineChars="150"/>
        <w:rPr>
          <w:rFonts w:hint="eastAsia" w:ascii="宋体" w:hAnsi="宋体"/>
          <w:color w:val="auto"/>
          <w:sz w:val="24"/>
          <w:highlight w:val="none"/>
        </w:rPr>
      </w:pPr>
      <w:r>
        <w:rPr>
          <w:rFonts w:hint="eastAsia" w:ascii="宋体" w:hAnsi="宋体"/>
          <w:color w:val="auto"/>
          <w:sz w:val="24"/>
          <w:highlight w:val="none"/>
        </w:rPr>
        <w:t>投标供应商全称（盖单位公章）：</w:t>
      </w:r>
    </w:p>
    <w:p>
      <w:pPr>
        <w:tabs>
          <w:tab w:val="left" w:pos="840"/>
        </w:tabs>
        <w:adjustRightInd w:val="0"/>
        <w:snapToGrid w:val="0"/>
        <w:spacing w:line="360" w:lineRule="auto"/>
        <w:ind w:left="420" w:leftChars="200" w:firstLine="360" w:firstLineChars="150"/>
        <w:rPr>
          <w:rFonts w:hint="eastAsia" w:ascii="宋体" w:hAnsi="宋体"/>
          <w:color w:val="auto"/>
          <w:sz w:val="24"/>
          <w:highlight w:val="none"/>
        </w:rPr>
      </w:pPr>
      <w:r>
        <w:rPr>
          <w:rFonts w:hint="eastAsia" w:ascii="宋体" w:hAnsi="宋体"/>
          <w:color w:val="auto"/>
          <w:sz w:val="24"/>
          <w:highlight w:val="none"/>
        </w:rPr>
        <w:t>法定代表人或授权代表（签字或盖章）：</w:t>
      </w:r>
    </w:p>
    <w:p>
      <w:pPr>
        <w:tabs>
          <w:tab w:val="left" w:pos="840"/>
        </w:tabs>
        <w:adjustRightInd w:val="0"/>
        <w:snapToGrid w:val="0"/>
        <w:spacing w:line="360" w:lineRule="auto"/>
        <w:ind w:left="420" w:leftChars="200" w:firstLine="360" w:firstLineChars="150"/>
        <w:rPr>
          <w:rFonts w:hint="eastAsia" w:ascii="宋体" w:hAnsi="宋体"/>
          <w:color w:val="auto"/>
          <w:sz w:val="24"/>
          <w:highlight w:val="none"/>
        </w:rPr>
      </w:pPr>
      <w:r>
        <w:rPr>
          <w:rFonts w:hint="eastAsia" w:ascii="宋体" w:hAnsi="宋体"/>
          <w:color w:val="auto"/>
          <w:sz w:val="24"/>
          <w:highlight w:val="none"/>
        </w:rPr>
        <w:t>日          期：  年  月  日</w:t>
      </w:r>
    </w:p>
    <w:p>
      <w:pPr>
        <w:tabs>
          <w:tab w:val="left" w:pos="840"/>
        </w:tabs>
        <w:adjustRightInd w:val="0"/>
        <w:snapToGrid w:val="0"/>
        <w:spacing w:line="360" w:lineRule="auto"/>
        <w:ind w:left="420" w:leftChars="200" w:firstLine="315" w:firstLineChars="150"/>
        <w:rPr>
          <w:rFonts w:hint="eastAsia" w:ascii="宋体" w:hAnsi="宋体"/>
          <w:color w:val="auto"/>
          <w:szCs w:val="22"/>
          <w:highlight w:val="none"/>
        </w:rPr>
      </w:pPr>
    </w:p>
    <w:p>
      <w:pPr>
        <w:tabs>
          <w:tab w:val="left" w:pos="840"/>
        </w:tabs>
        <w:adjustRightInd w:val="0"/>
        <w:snapToGrid w:val="0"/>
        <w:spacing w:line="360" w:lineRule="auto"/>
        <w:ind w:left="420" w:leftChars="200" w:firstLine="315" w:firstLineChars="150"/>
        <w:rPr>
          <w:rFonts w:hint="eastAsia" w:ascii="宋体" w:hAnsi="宋体"/>
          <w:color w:val="auto"/>
          <w:szCs w:val="22"/>
          <w:highlight w:val="none"/>
        </w:rPr>
      </w:pPr>
    </w:p>
    <w:p>
      <w:pPr>
        <w:spacing w:line="460" w:lineRule="exact"/>
        <w:jc w:val="center"/>
        <w:rPr>
          <w:rFonts w:hint="eastAsia" w:ascii="宋体" w:hAnsi="宋体"/>
          <w:b/>
          <w:bCs/>
          <w:color w:val="auto"/>
          <w:sz w:val="28"/>
          <w:szCs w:val="28"/>
          <w:highlight w:val="none"/>
        </w:rPr>
      </w:pPr>
    </w:p>
    <w:p>
      <w:pPr>
        <w:spacing w:line="460" w:lineRule="exact"/>
        <w:jc w:val="center"/>
        <w:rPr>
          <w:rFonts w:hint="eastAsia"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28"/>
          <w:szCs w:val="28"/>
          <w:highlight w:val="none"/>
        </w:rPr>
        <w:t>（2）随机备品备件和专用工具清单（如有）</w:t>
      </w:r>
    </w:p>
    <w:p>
      <w:pPr>
        <w:spacing w:line="460" w:lineRule="exact"/>
        <w:ind w:firstLine="470" w:firstLineChars="196"/>
        <w:rPr>
          <w:rFonts w:hint="eastAsia" w:ascii="宋体" w:hAnsi="宋体"/>
          <w:color w:val="auto"/>
          <w:sz w:val="24"/>
          <w:highlight w:val="none"/>
        </w:rPr>
      </w:pPr>
      <w:r>
        <w:rPr>
          <w:rFonts w:ascii="宋体" w:hAnsi="宋体"/>
          <w:color w:val="auto"/>
          <w:sz w:val="24"/>
          <w:highlight w:val="none"/>
        </w:rPr>
        <w:t>项目名称</w:t>
      </w:r>
      <w:r>
        <w:rPr>
          <w:rFonts w:hint="eastAsia" w:ascii="宋体" w:hAnsi="宋体"/>
          <w:color w:val="auto"/>
          <w:sz w:val="24"/>
          <w:highlight w:val="none"/>
        </w:rPr>
        <w:t xml:space="preserve">:                                             </w:t>
      </w:r>
      <w:r>
        <w:rPr>
          <w:rFonts w:ascii="宋体" w:hAnsi="宋体"/>
          <w:color w:val="auto"/>
          <w:sz w:val="24"/>
          <w:highlight w:val="none"/>
        </w:rPr>
        <w:t>项目编号</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789"/>
        <w:gridCol w:w="1470"/>
        <w:gridCol w:w="1260"/>
        <w:gridCol w:w="1260"/>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313" w:type="dxa"/>
            <w:tcBorders>
              <w:top w:val="single" w:color="auto" w:sz="12" w:space="0"/>
              <w:bottom w:val="single" w:color="auto" w:sz="12" w:space="0"/>
            </w:tcBorders>
            <w:noWrap w:val="0"/>
            <w:vAlign w:val="center"/>
          </w:tcPr>
          <w:p>
            <w:pPr>
              <w:jc w:val="center"/>
              <w:rPr>
                <w:rFonts w:ascii="宋体" w:hAnsi="宋体"/>
                <w:bCs/>
                <w:color w:val="auto"/>
                <w:sz w:val="24"/>
                <w:highlight w:val="none"/>
              </w:rPr>
            </w:pPr>
            <w:r>
              <w:rPr>
                <w:rFonts w:ascii="宋体" w:hAnsi="宋体"/>
                <w:bCs/>
                <w:color w:val="auto"/>
                <w:sz w:val="24"/>
                <w:highlight w:val="none"/>
              </w:rPr>
              <w:t>设备名称及编号</w:t>
            </w:r>
          </w:p>
        </w:tc>
        <w:tc>
          <w:tcPr>
            <w:tcW w:w="1789" w:type="dxa"/>
            <w:tcBorders>
              <w:top w:val="single" w:color="auto" w:sz="12" w:space="0"/>
              <w:bottom w:val="single" w:color="auto" w:sz="12" w:space="0"/>
            </w:tcBorders>
            <w:noWrap w:val="0"/>
            <w:vAlign w:val="center"/>
          </w:tcPr>
          <w:p>
            <w:pPr>
              <w:jc w:val="center"/>
              <w:rPr>
                <w:rFonts w:ascii="宋体" w:hAnsi="宋体"/>
                <w:bCs/>
                <w:color w:val="auto"/>
                <w:sz w:val="24"/>
                <w:highlight w:val="none"/>
              </w:rPr>
            </w:pPr>
            <w:r>
              <w:rPr>
                <w:rFonts w:ascii="宋体" w:hAnsi="宋体"/>
                <w:bCs/>
                <w:color w:val="auto"/>
                <w:sz w:val="24"/>
                <w:highlight w:val="none"/>
              </w:rPr>
              <w:t>附件及备件、专用工具名称</w:t>
            </w:r>
          </w:p>
        </w:tc>
        <w:tc>
          <w:tcPr>
            <w:tcW w:w="1470" w:type="dxa"/>
            <w:tcBorders>
              <w:top w:val="single" w:color="auto" w:sz="12" w:space="0"/>
              <w:bottom w:val="single" w:color="auto" w:sz="12" w:space="0"/>
            </w:tcBorders>
            <w:noWrap w:val="0"/>
            <w:vAlign w:val="center"/>
          </w:tcPr>
          <w:p>
            <w:pPr>
              <w:jc w:val="center"/>
              <w:rPr>
                <w:rFonts w:ascii="宋体" w:hAnsi="宋体"/>
                <w:bCs/>
                <w:color w:val="auto"/>
                <w:sz w:val="24"/>
                <w:highlight w:val="none"/>
              </w:rPr>
            </w:pPr>
            <w:r>
              <w:rPr>
                <w:rFonts w:ascii="宋体" w:hAnsi="宋体"/>
                <w:bCs/>
                <w:color w:val="auto"/>
                <w:sz w:val="24"/>
                <w:highlight w:val="none"/>
              </w:rPr>
              <w:t>品牌/产地</w:t>
            </w:r>
          </w:p>
        </w:tc>
        <w:tc>
          <w:tcPr>
            <w:tcW w:w="1260" w:type="dxa"/>
            <w:tcBorders>
              <w:top w:val="single" w:color="auto" w:sz="12" w:space="0"/>
              <w:bottom w:val="single" w:color="auto" w:sz="12" w:space="0"/>
            </w:tcBorders>
            <w:noWrap w:val="0"/>
            <w:vAlign w:val="center"/>
          </w:tcPr>
          <w:p>
            <w:pPr>
              <w:jc w:val="center"/>
              <w:rPr>
                <w:rFonts w:ascii="宋体" w:hAnsi="宋体"/>
                <w:bCs/>
                <w:color w:val="auto"/>
                <w:sz w:val="24"/>
                <w:highlight w:val="none"/>
              </w:rPr>
            </w:pPr>
            <w:r>
              <w:rPr>
                <w:rFonts w:ascii="宋体" w:hAnsi="宋体"/>
                <w:bCs/>
                <w:color w:val="auto"/>
                <w:sz w:val="24"/>
                <w:highlight w:val="none"/>
              </w:rPr>
              <w:t>数量</w:t>
            </w:r>
          </w:p>
        </w:tc>
        <w:tc>
          <w:tcPr>
            <w:tcW w:w="1260" w:type="dxa"/>
            <w:tcBorders>
              <w:top w:val="single" w:color="auto" w:sz="12" w:space="0"/>
              <w:bottom w:val="single" w:color="auto" w:sz="12" w:space="0"/>
            </w:tcBorders>
            <w:noWrap w:val="0"/>
            <w:vAlign w:val="center"/>
          </w:tcPr>
          <w:p>
            <w:pPr>
              <w:jc w:val="center"/>
              <w:rPr>
                <w:rFonts w:ascii="宋体" w:hAnsi="宋体"/>
                <w:bCs/>
                <w:color w:val="auto"/>
                <w:sz w:val="24"/>
                <w:highlight w:val="none"/>
              </w:rPr>
            </w:pPr>
            <w:r>
              <w:rPr>
                <w:rFonts w:ascii="宋体" w:hAnsi="宋体"/>
                <w:bCs/>
                <w:color w:val="auto"/>
                <w:sz w:val="24"/>
                <w:highlight w:val="none"/>
              </w:rPr>
              <w:t>包装形式</w:t>
            </w:r>
          </w:p>
        </w:tc>
        <w:tc>
          <w:tcPr>
            <w:tcW w:w="1515" w:type="dxa"/>
            <w:tcBorders>
              <w:top w:val="single" w:color="auto" w:sz="12" w:space="0"/>
              <w:bottom w:val="single" w:color="auto" w:sz="12" w:space="0"/>
            </w:tcBorders>
            <w:noWrap w:val="0"/>
            <w:vAlign w:val="center"/>
          </w:tcPr>
          <w:p>
            <w:pPr>
              <w:jc w:val="center"/>
              <w:rPr>
                <w:rFonts w:ascii="宋体" w:hAnsi="宋体"/>
                <w:bCs/>
                <w:color w:val="auto"/>
                <w:sz w:val="24"/>
                <w:highlight w:val="none"/>
              </w:rPr>
            </w:pPr>
            <w:r>
              <w:rPr>
                <w:rFonts w:ascii="宋体" w:hAnsi="宋体"/>
                <w:bCs/>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tcBorders>
              <w:top w:val="single" w:color="auto" w:sz="12" w:space="0"/>
            </w:tcBorders>
            <w:noWrap w:val="0"/>
            <w:vAlign w:val="center"/>
          </w:tcPr>
          <w:p>
            <w:pPr>
              <w:ind w:firstLine="592"/>
              <w:jc w:val="center"/>
              <w:rPr>
                <w:rFonts w:ascii="宋体" w:hAnsi="宋体"/>
                <w:color w:val="auto"/>
                <w:sz w:val="24"/>
                <w:highlight w:val="none"/>
              </w:rPr>
            </w:pPr>
          </w:p>
        </w:tc>
        <w:tc>
          <w:tcPr>
            <w:tcW w:w="1789" w:type="dxa"/>
            <w:tcBorders>
              <w:top w:val="single" w:color="auto" w:sz="12" w:space="0"/>
            </w:tcBorders>
            <w:noWrap w:val="0"/>
            <w:vAlign w:val="center"/>
          </w:tcPr>
          <w:p>
            <w:pPr>
              <w:ind w:firstLine="592"/>
              <w:jc w:val="center"/>
              <w:rPr>
                <w:rFonts w:ascii="宋体" w:hAnsi="宋体"/>
                <w:color w:val="auto"/>
                <w:sz w:val="24"/>
                <w:highlight w:val="none"/>
              </w:rPr>
            </w:pPr>
          </w:p>
        </w:tc>
        <w:tc>
          <w:tcPr>
            <w:tcW w:w="1470" w:type="dxa"/>
            <w:tcBorders>
              <w:top w:val="single" w:color="auto" w:sz="12" w:space="0"/>
            </w:tcBorders>
            <w:noWrap w:val="0"/>
            <w:vAlign w:val="center"/>
          </w:tcPr>
          <w:p>
            <w:pPr>
              <w:ind w:firstLine="592"/>
              <w:jc w:val="center"/>
              <w:rPr>
                <w:rFonts w:ascii="宋体" w:hAnsi="宋体"/>
                <w:color w:val="auto"/>
                <w:sz w:val="24"/>
                <w:highlight w:val="none"/>
              </w:rPr>
            </w:pPr>
          </w:p>
        </w:tc>
        <w:tc>
          <w:tcPr>
            <w:tcW w:w="1260" w:type="dxa"/>
            <w:tcBorders>
              <w:top w:val="single" w:color="auto" w:sz="12" w:space="0"/>
            </w:tcBorders>
            <w:noWrap w:val="0"/>
            <w:vAlign w:val="center"/>
          </w:tcPr>
          <w:p>
            <w:pPr>
              <w:ind w:firstLine="592"/>
              <w:jc w:val="center"/>
              <w:rPr>
                <w:rFonts w:ascii="宋体" w:hAnsi="宋体"/>
                <w:color w:val="auto"/>
                <w:sz w:val="24"/>
                <w:highlight w:val="none"/>
              </w:rPr>
            </w:pPr>
          </w:p>
        </w:tc>
        <w:tc>
          <w:tcPr>
            <w:tcW w:w="1260" w:type="dxa"/>
            <w:tcBorders>
              <w:top w:val="single" w:color="auto" w:sz="12" w:space="0"/>
            </w:tcBorders>
            <w:noWrap w:val="0"/>
            <w:vAlign w:val="center"/>
          </w:tcPr>
          <w:p>
            <w:pPr>
              <w:ind w:firstLine="592"/>
              <w:jc w:val="center"/>
              <w:rPr>
                <w:rFonts w:ascii="宋体" w:hAnsi="宋体"/>
                <w:color w:val="auto"/>
                <w:sz w:val="24"/>
                <w:highlight w:val="none"/>
              </w:rPr>
            </w:pPr>
          </w:p>
        </w:tc>
        <w:tc>
          <w:tcPr>
            <w:tcW w:w="1515" w:type="dxa"/>
            <w:tcBorders>
              <w:top w:val="single" w:color="auto" w:sz="12" w:space="0"/>
            </w:tcBorders>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ascii="宋体" w:hAnsi="宋体"/>
                <w:color w:val="auto"/>
                <w:sz w:val="24"/>
                <w:highlight w:val="none"/>
              </w:rPr>
            </w:pPr>
          </w:p>
        </w:tc>
        <w:tc>
          <w:tcPr>
            <w:tcW w:w="1789" w:type="dxa"/>
            <w:noWrap w:val="0"/>
            <w:vAlign w:val="center"/>
          </w:tcPr>
          <w:p>
            <w:pPr>
              <w:ind w:firstLine="592"/>
              <w:jc w:val="center"/>
              <w:rPr>
                <w:rFonts w:ascii="宋体" w:hAnsi="宋体"/>
                <w:color w:val="auto"/>
                <w:sz w:val="24"/>
                <w:highlight w:val="none"/>
              </w:rPr>
            </w:pPr>
          </w:p>
        </w:tc>
        <w:tc>
          <w:tcPr>
            <w:tcW w:w="147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260" w:type="dxa"/>
            <w:noWrap w:val="0"/>
            <w:vAlign w:val="center"/>
          </w:tcPr>
          <w:p>
            <w:pPr>
              <w:ind w:firstLine="592"/>
              <w:jc w:val="center"/>
              <w:rPr>
                <w:rFonts w:ascii="宋体" w:hAnsi="宋体"/>
                <w:color w:val="auto"/>
                <w:sz w:val="24"/>
                <w:highlight w:val="none"/>
              </w:rPr>
            </w:pPr>
          </w:p>
        </w:tc>
        <w:tc>
          <w:tcPr>
            <w:tcW w:w="1515" w:type="dxa"/>
            <w:noWrap w:val="0"/>
            <w:vAlign w:val="center"/>
          </w:tcPr>
          <w:p>
            <w:pPr>
              <w:ind w:firstLine="592"/>
              <w:jc w:val="center"/>
              <w:rPr>
                <w:rFonts w:ascii="宋体" w:hAnsi="宋体"/>
                <w:color w:val="auto"/>
                <w:sz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注：1、投标供应商可按以上表格形式进行复制，附在技术标内。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2、本表所列为随设备所带的附件及备品备件。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3、设备验收时，实到的随机备品备件的产地等应与此一览表一一对应。</w:t>
      </w:r>
    </w:p>
    <w:p>
      <w:pPr>
        <w:spacing w:line="360" w:lineRule="auto"/>
        <w:rPr>
          <w:rFonts w:hint="eastAsia" w:ascii="宋体" w:hAnsi="宋体"/>
          <w:color w:val="auto"/>
          <w:sz w:val="24"/>
          <w:highlight w:val="none"/>
        </w:rPr>
      </w:pPr>
    </w:p>
    <w:p>
      <w:pPr>
        <w:tabs>
          <w:tab w:val="left" w:pos="840"/>
        </w:tabs>
        <w:adjustRightInd w:val="0"/>
        <w:snapToGrid w:val="0"/>
        <w:spacing w:line="360" w:lineRule="auto"/>
        <w:ind w:left="420" w:leftChars="200" w:firstLine="360" w:firstLineChars="150"/>
        <w:rPr>
          <w:rFonts w:hint="eastAsia" w:ascii="宋体" w:hAnsi="宋体"/>
          <w:color w:val="auto"/>
          <w:sz w:val="24"/>
          <w:highlight w:val="none"/>
        </w:rPr>
      </w:pPr>
      <w:r>
        <w:rPr>
          <w:rFonts w:hint="eastAsia" w:ascii="宋体" w:hAnsi="宋体"/>
          <w:color w:val="auto"/>
          <w:sz w:val="24"/>
          <w:highlight w:val="none"/>
        </w:rPr>
        <w:t>投标供应商全称（盖单位公章）：</w:t>
      </w:r>
    </w:p>
    <w:p>
      <w:pPr>
        <w:tabs>
          <w:tab w:val="left" w:pos="840"/>
        </w:tabs>
        <w:adjustRightInd w:val="0"/>
        <w:snapToGrid w:val="0"/>
        <w:spacing w:line="360" w:lineRule="auto"/>
        <w:ind w:left="420" w:leftChars="200" w:firstLine="360" w:firstLineChars="150"/>
        <w:rPr>
          <w:rFonts w:hint="eastAsia" w:ascii="宋体" w:hAnsi="宋体"/>
          <w:color w:val="auto"/>
          <w:sz w:val="24"/>
          <w:highlight w:val="none"/>
        </w:rPr>
      </w:pPr>
      <w:r>
        <w:rPr>
          <w:rFonts w:hint="eastAsia" w:ascii="宋体" w:hAnsi="宋体"/>
          <w:color w:val="auto"/>
          <w:sz w:val="24"/>
          <w:highlight w:val="none"/>
        </w:rPr>
        <w:t>法定代表人或授权代表（签字或盖章）：</w:t>
      </w:r>
    </w:p>
    <w:p>
      <w:pPr>
        <w:tabs>
          <w:tab w:val="left" w:pos="840"/>
        </w:tabs>
        <w:adjustRightInd w:val="0"/>
        <w:snapToGrid w:val="0"/>
        <w:spacing w:line="360" w:lineRule="auto"/>
        <w:ind w:left="420" w:leftChars="200" w:firstLine="360" w:firstLineChars="150"/>
        <w:rPr>
          <w:rFonts w:hint="eastAsia" w:ascii="宋体" w:hAnsi="宋体"/>
          <w:color w:val="auto"/>
          <w:sz w:val="24"/>
          <w:highlight w:val="none"/>
        </w:rPr>
      </w:pPr>
      <w:r>
        <w:rPr>
          <w:rFonts w:hint="eastAsia" w:ascii="宋体" w:hAnsi="宋体"/>
          <w:color w:val="auto"/>
          <w:sz w:val="24"/>
          <w:highlight w:val="none"/>
        </w:rPr>
        <w:t>日          期：  年  月  日</w:t>
      </w:r>
    </w:p>
    <w:p>
      <w:pPr>
        <w:pStyle w:val="2"/>
        <w:rPr>
          <w:rFonts w:hint="eastAsia" w:ascii="新宋体" w:hAnsi="新宋体" w:eastAsia="新宋体"/>
          <w:color w:val="auto"/>
          <w:sz w:val="22"/>
          <w:szCs w:val="22"/>
          <w:highlight w:val="none"/>
        </w:rPr>
      </w:pPr>
    </w:p>
    <w:p>
      <w:pPr>
        <w:tabs>
          <w:tab w:val="left" w:pos="840"/>
        </w:tabs>
        <w:adjustRightInd w:val="0"/>
        <w:snapToGrid w:val="0"/>
        <w:spacing w:line="360" w:lineRule="auto"/>
        <w:ind w:left="420" w:leftChars="200" w:firstLine="331" w:firstLineChars="150"/>
        <w:rPr>
          <w:rFonts w:ascii="宋体" w:hAnsi="宋体" w:cs="宋体"/>
          <w:color w:val="auto"/>
          <w:kern w:val="1"/>
          <w:sz w:val="22"/>
          <w:szCs w:val="22"/>
          <w:highlight w:val="none"/>
        </w:rPr>
      </w:pPr>
      <w:r>
        <w:rPr>
          <w:rFonts w:hint="eastAsia" w:ascii="新宋体" w:hAnsi="新宋体" w:eastAsia="新宋体" w:cs="新宋体"/>
          <w:b/>
          <w:bCs/>
          <w:color w:val="auto"/>
          <w:sz w:val="22"/>
          <w:szCs w:val="22"/>
          <w:highlight w:val="none"/>
        </w:rPr>
        <w:br w:type="page"/>
      </w:r>
    </w:p>
    <w:p>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（商务报价标封面，供参考）</w:t>
      </w: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pStyle w:val="11"/>
        <w:ind w:firstLine="280"/>
        <w:rPr>
          <w:rFonts w:ascii="新宋体" w:hAnsi="新宋体" w:eastAsia="新宋体" w:cs="新宋体"/>
          <w:color w:val="auto"/>
          <w:sz w:val="28"/>
          <w:szCs w:val="28"/>
          <w:highlight w:val="none"/>
        </w:rPr>
      </w:pPr>
    </w:p>
    <w:p>
      <w:pPr>
        <w:pStyle w:val="11"/>
        <w:ind w:firstLine="280"/>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标</w:t>
      </w: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eastAsia="zh-CN"/>
        </w:rPr>
        <w:t>投标供应商</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ascii="新宋体" w:hAnsi="新宋体" w:eastAsia="新宋体" w:cs="新宋体"/>
          <w:color w:val="auto"/>
          <w:sz w:val="28"/>
          <w:szCs w:val="28"/>
          <w:highlight w:val="none"/>
          <w:u w:val="singl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ascii="新宋体" w:hAnsi="新宋体" w:eastAsia="新宋体" w:cs="新宋体"/>
          <w:color w:val="auto"/>
          <w:sz w:val="28"/>
          <w:szCs w:val="28"/>
          <w:highlight w:val="none"/>
        </w:rPr>
      </w:pPr>
    </w:p>
    <w:p>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overflowPunct w:val="0"/>
        <w:spacing w:line="38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附件一</w:t>
      </w:r>
    </w:p>
    <w:p>
      <w:pPr>
        <w:autoSpaceDE w:val="0"/>
        <w:autoSpaceDN w:val="0"/>
        <w:adjustRightInd w:val="0"/>
        <w:spacing w:line="460" w:lineRule="atLeast"/>
        <w:jc w:val="center"/>
        <w:rPr>
          <w:rFonts w:ascii="新宋体" w:hAnsi="新宋体" w:eastAsia="新宋体" w:cs="新宋体"/>
          <w:b/>
          <w:bCs/>
          <w:color w:val="auto"/>
          <w:kern w:val="0"/>
          <w:sz w:val="28"/>
          <w:szCs w:val="28"/>
          <w:highlight w:val="none"/>
          <w:lang w:val="zh-CN"/>
        </w:rPr>
      </w:pPr>
    </w:p>
    <w:p>
      <w:pPr>
        <w:autoSpaceDE w:val="0"/>
        <w:autoSpaceDN w:val="0"/>
        <w:adjustRightInd w:val="0"/>
        <w:spacing w:line="460" w:lineRule="atLeast"/>
        <w:jc w:val="center"/>
        <w:rPr>
          <w:rFonts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开标一览表</w:t>
      </w:r>
    </w:p>
    <w:p>
      <w:pPr>
        <w:overflowPunct w:val="0"/>
        <w:spacing w:line="380" w:lineRule="exact"/>
        <w:jc w:val="center"/>
        <w:rPr>
          <w:rFonts w:hint="eastAsia" w:ascii="新宋体" w:hAnsi="新宋体" w:eastAsia="新宋体" w:cs="新宋体"/>
          <w:b/>
          <w:bCs/>
          <w:color w:val="auto"/>
          <w:sz w:val="28"/>
          <w:highlight w:val="none"/>
        </w:rPr>
      </w:pPr>
    </w:p>
    <w:p>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8"/>
        <w:gridCol w:w="3467"/>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892" w:type="pct"/>
            <w:noWrap w:val="0"/>
            <w:vAlign w:val="center"/>
          </w:tcPr>
          <w:p>
            <w:pPr>
              <w:pStyle w:val="16"/>
              <w:spacing w:line="400" w:lineRule="atLeast"/>
              <w:jc w:val="center"/>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报价项目</w:t>
            </w:r>
          </w:p>
        </w:tc>
        <w:tc>
          <w:tcPr>
            <w:tcW w:w="1759" w:type="pct"/>
            <w:noWrap w:val="0"/>
            <w:vAlign w:val="center"/>
          </w:tcPr>
          <w:p>
            <w:pPr>
              <w:pStyle w:val="16"/>
              <w:spacing w:line="400" w:lineRule="atLeast"/>
              <w:jc w:val="center"/>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投标</w:t>
            </w:r>
            <w:r>
              <w:rPr>
                <w:rFonts w:hint="eastAsia" w:ascii="新宋体" w:hAnsi="新宋体" w:eastAsia="新宋体" w:cs="宋体"/>
                <w:color w:val="auto"/>
                <w:sz w:val="22"/>
                <w:szCs w:val="22"/>
                <w:highlight w:val="none"/>
                <w:lang w:val="en-US" w:eastAsia="zh-CN"/>
              </w:rPr>
              <w:t>报</w:t>
            </w:r>
            <w:r>
              <w:rPr>
                <w:rFonts w:hint="eastAsia" w:ascii="新宋体" w:hAnsi="新宋体" w:eastAsia="新宋体" w:cs="宋体"/>
                <w:color w:val="auto"/>
                <w:sz w:val="22"/>
                <w:szCs w:val="22"/>
                <w:highlight w:val="none"/>
              </w:rPr>
              <w:t>价</w:t>
            </w:r>
          </w:p>
        </w:tc>
        <w:tc>
          <w:tcPr>
            <w:tcW w:w="1349" w:type="pct"/>
            <w:noWrap w:val="0"/>
            <w:vAlign w:val="center"/>
          </w:tcPr>
          <w:p>
            <w:pPr>
              <w:pStyle w:val="16"/>
              <w:spacing w:line="400" w:lineRule="atLeast"/>
              <w:jc w:val="center"/>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5" w:hRule="atLeast"/>
        </w:trPr>
        <w:tc>
          <w:tcPr>
            <w:tcW w:w="1892" w:type="pct"/>
            <w:noWrap w:val="0"/>
            <w:vAlign w:val="center"/>
          </w:tcPr>
          <w:p>
            <w:pPr>
              <w:autoSpaceDE w:val="0"/>
              <w:autoSpaceDN w:val="0"/>
              <w:adjustRightInd w:val="0"/>
              <w:spacing w:line="300" w:lineRule="auto"/>
              <w:jc w:val="center"/>
              <w:rPr>
                <w:rFonts w:hint="eastAsia" w:ascii="新宋体" w:hAnsi="新宋体" w:eastAsia="新宋体" w:cs="宋体"/>
                <w:color w:val="auto"/>
                <w:sz w:val="22"/>
                <w:szCs w:val="22"/>
                <w:highlight w:val="none"/>
                <w:lang w:eastAsia="zh-CN"/>
              </w:rPr>
            </w:pPr>
            <w:r>
              <w:rPr>
                <w:rFonts w:hint="eastAsia" w:ascii="新宋体" w:hAnsi="新宋体" w:eastAsia="新宋体" w:cs="宋体"/>
                <w:color w:val="auto"/>
                <w:sz w:val="22"/>
                <w:szCs w:val="22"/>
                <w:highlight w:val="none"/>
                <w:lang w:eastAsia="zh-CN"/>
              </w:rPr>
              <w:t>2台全站仪</w:t>
            </w:r>
          </w:p>
        </w:tc>
        <w:tc>
          <w:tcPr>
            <w:tcW w:w="1759" w:type="pct"/>
            <w:noWrap w:val="0"/>
            <w:vAlign w:val="center"/>
          </w:tcPr>
          <w:p>
            <w:pPr>
              <w:pStyle w:val="21"/>
              <w:spacing w:line="400" w:lineRule="atLeas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大写：</w:t>
            </w:r>
          </w:p>
          <w:p>
            <w:pPr>
              <w:pStyle w:val="21"/>
              <w:spacing w:line="400" w:lineRule="atLeas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小写：</w:t>
            </w:r>
          </w:p>
        </w:tc>
        <w:tc>
          <w:tcPr>
            <w:tcW w:w="1349" w:type="pct"/>
            <w:noWrap w:val="0"/>
            <w:vAlign w:val="center"/>
          </w:tcPr>
          <w:p>
            <w:pPr>
              <w:pStyle w:val="21"/>
              <w:spacing w:line="400" w:lineRule="atLeast"/>
              <w:rPr>
                <w:rFonts w:hint="eastAsia" w:ascii="新宋体" w:hAnsi="新宋体" w:eastAsia="新宋体" w:cs="宋体"/>
                <w:color w:val="auto"/>
                <w:sz w:val="22"/>
                <w:szCs w:val="22"/>
                <w:highlight w:val="none"/>
              </w:rPr>
            </w:pPr>
          </w:p>
        </w:tc>
      </w:tr>
    </w:tbl>
    <w:p>
      <w:pPr>
        <w:overflowPunct w:val="0"/>
        <w:spacing w:line="380" w:lineRule="exact"/>
        <w:rPr>
          <w:rFonts w:hint="eastAsia" w:ascii="新宋体" w:hAnsi="新宋体" w:eastAsia="新宋体" w:cs="新宋体"/>
          <w:bCs/>
          <w:color w:val="auto"/>
          <w:sz w:val="22"/>
          <w:szCs w:val="22"/>
          <w:highlight w:val="none"/>
        </w:rPr>
      </w:pPr>
    </w:p>
    <w:p>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numPr>
          <w:ilvl w:val="0"/>
          <w:numId w:val="20"/>
        </w:numPr>
        <w:autoSpaceDE w:val="0"/>
        <w:autoSpaceDN w:val="0"/>
        <w:adjustRightInd w:val="0"/>
        <w:spacing w:line="380" w:lineRule="atLeast"/>
        <w:ind w:left="20" w:leftChars="0" w:firstLineChars="0"/>
        <w:rPr>
          <w:rFonts w:hint="eastAsia" w:ascii="宋体" w:cs="宋体"/>
          <w:b/>
          <w:bCs/>
          <w:color w:val="auto"/>
          <w:sz w:val="22"/>
          <w:szCs w:val="22"/>
          <w:highlight w:val="none"/>
          <w:lang w:bidi="ar-SA"/>
        </w:rPr>
      </w:pPr>
      <w:r>
        <w:rPr>
          <w:rFonts w:hint="eastAsia" w:ascii="新宋体" w:hAnsi="新宋体" w:eastAsia="新宋体" w:cs="新宋体"/>
          <w:color w:val="auto"/>
          <w:kern w:val="0"/>
          <w:sz w:val="22"/>
          <w:szCs w:val="22"/>
          <w:highlight w:val="none"/>
          <w:lang w:val="zh-CN"/>
        </w:rPr>
        <w:t>此栏内“投标报价”应与附件三</w:t>
      </w:r>
      <w:r>
        <w:rPr>
          <w:rFonts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lang w:val="zh-CN"/>
        </w:rPr>
        <w:t>投标分项报价表</w:t>
      </w:r>
      <w:r>
        <w:rPr>
          <w:rFonts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lang w:val="zh-CN"/>
        </w:rPr>
        <w:t>中“</w:t>
      </w:r>
      <w:r>
        <w:rPr>
          <w:rFonts w:hint="eastAsia" w:ascii="新宋体" w:hAnsi="新宋体" w:eastAsia="新宋体" w:cs="新宋体"/>
          <w:color w:val="auto"/>
          <w:kern w:val="0"/>
          <w:sz w:val="22"/>
          <w:szCs w:val="22"/>
          <w:highlight w:val="none"/>
          <w:lang w:val="en-US" w:eastAsia="zh-CN"/>
        </w:rPr>
        <w:t>总计</w:t>
      </w:r>
      <w:r>
        <w:rPr>
          <w:rFonts w:hint="eastAsia" w:ascii="新宋体" w:hAnsi="新宋体" w:eastAsia="新宋体" w:cs="新宋体"/>
          <w:color w:val="auto"/>
          <w:kern w:val="0"/>
          <w:sz w:val="22"/>
          <w:szCs w:val="22"/>
          <w:highlight w:val="none"/>
          <w:lang w:val="zh-CN"/>
        </w:rPr>
        <w:t>价”相一致。</w:t>
      </w:r>
    </w:p>
    <w:p>
      <w:pPr>
        <w:numPr>
          <w:ilvl w:val="0"/>
          <w:numId w:val="20"/>
        </w:numPr>
        <w:autoSpaceDE w:val="0"/>
        <w:autoSpaceDN w:val="0"/>
        <w:adjustRightInd w:val="0"/>
        <w:spacing w:line="380" w:lineRule="atLeast"/>
        <w:ind w:left="20" w:leftChars="0" w:firstLineChars="0"/>
        <w:rPr>
          <w:rFonts w:hint="eastAsia" w:ascii="宋体" w:cs="宋体"/>
          <w:b/>
          <w:bCs/>
          <w:color w:val="auto"/>
          <w:sz w:val="22"/>
          <w:szCs w:val="22"/>
          <w:highlight w:val="none"/>
          <w:lang w:bidi="ar-SA"/>
        </w:rPr>
      </w:pPr>
      <w:r>
        <w:rPr>
          <w:rFonts w:hint="eastAsia" w:ascii="宋体" w:cs="宋体"/>
          <w:b/>
          <w:bCs/>
          <w:color w:val="auto"/>
          <w:sz w:val="22"/>
          <w:szCs w:val="22"/>
          <w:highlight w:val="none"/>
          <w:lang w:bidi="ar-SA"/>
        </w:rPr>
        <w:t>开标一览表中的报价为含税总价，包括货物的供货、税金、包装、运输、保险、装卸、按标准进行安装调试、检验（须提供有效检定证书）、配合验收、验收（含第三方验收）、技术服务、售后服务、质保期保障、材料、完成合同所需的一切本身和不可或缺的所有工作开支、政策性文件规定及合同包含的所有风险、责任等各项全部费用。</w:t>
      </w:r>
    </w:p>
    <w:p>
      <w:pPr>
        <w:numPr>
          <w:ilvl w:val="0"/>
          <w:numId w:val="20"/>
        </w:numPr>
        <w:overflowPunct w:val="0"/>
        <w:spacing w:line="460" w:lineRule="exact"/>
        <w:ind w:left="20" w:leftChars="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kern w:val="0"/>
          <w:sz w:val="22"/>
          <w:szCs w:val="22"/>
          <w:highlight w:val="none"/>
          <w:u w:val="single"/>
          <w:lang w:val="zh-CN"/>
        </w:rPr>
        <w:t>不提供此表格将被视为没有实质性响应采购文件</w:t>
      </w:r>
      <w:r>
        <w:rPr>
          <w:rFonts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zh-CN"/>
        </w:rPr>
        <w:t>其投标文件将被拒绝。</w:t>
      </w:r>
    </w:p>
    <w:p>
      <w:pPr>
        <w:overflowPunct w:val="0"/>
        <w:spacing w:line="460" w:lineRule="exact"/>
        <w:rPr>
          <w:rFonts w:hint="eastAsia" w:ascii="新宋体" w:hAnsi="新宋体" w:eastAsia="新宋体" w:cs="新宋体"/>
          <w:b/>
          <w:color w:val="auto"/>
          <w:sz w:val="22"/>
          <w:szCs w:val="22"/>
          <w:highlight w:val="none"/>
        </w:rPr>
      </w:pPr>
    </w:p>
    <w:p>
      <w:pPr>
        <w:overflowPunct w:val="0"/>
        <w:spacing w:line="460" w:lineRule="exact"/>
        <w:rPr>
          <w:rFonts w:hint="eastAsia" w:ascii="新宋体" w:hAnsi="新宋体" w:eastAsia="新宋体" w:cs="新宋体"/>
          <w:color w:val="auto"/>
          <w:sz w:val="22"/>
          <w:szCs w:val="22"/>
          <w:highlight w:val="none"/>
        </w:rPr>
      </w:pPr>
    </w:p>
    <w:p>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全称（盖章）：</w:t>
      </w:r>
    </w:p>
    <w:p>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法定代表人或授权代表（签名或盖章）：</w:t>
      </w:r>
    </w:p>
    <w:p>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overflowPunct w:val="0"/>
        <w:spacing w:line="460" w:lineRule="exact"/>
        <w:rPr>
          <w:rFonts w:hint="eastAsia" w:ascii="新宋体" w:hAnsi="新宋体" w:eastAsia="新宋体" w:cs="新宋体"/>
          <w:color w:val="auto"/>
          <w:sz w:val="22"/>
          <w:szCs w:val="22"/>
          <w:highlight w:val="none"/>
        </w:rPr>
      </w:pPr>
    </w:p>
    <w:p>
      <w:pPr>
        <w:overflowPunct w:val="0"/>
        <w:spacing w:line="380" w:lineRule="exact"/>
        <w:ind w:firstLine="9460" w:firstLineChars="4300"/>
        <w:rPr>
          <w:rFonts w:hint="eastAsia" w:ascii="新宋体" w:hAnsi="新宋体" w:eastAsia="新宋体" w:cs="新宋体"/>
          <w:color w:val="auto"/>
          <w:sz w:val="22"/>
          <w:szCs w:val="22"/>
          <w:highlight w:val="none"/>
        </w:rPr>
      </w:pPr>
    </w:p>
    <w:p>
      <w:pPr>
        <w:spacing w:line="38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8"/>
          <w:szCs w:val="28"/>
          <w:highlight w:val="none"/>
        </w:rPr>
        <w:t>投标分项报价表</w:t>
      </w:r>
    </w:p>
    <w:p>
      <w:pPr>
        <w:spacing w:line="380" w:lineRule="exac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项目名称： </w:t>
      </w:r>
      <w:r>
        <w:rPr>
          <w:rFonts w:hint="eastAsia" w:ascii="新宋体" w:hAnsi="新宋体" w:eastAsia="新宋体" w:cs="新宋体"/>
          <w:color w:val="auto"/>
          <w:sz w:val="22"/>
          <w:highlight w:val="none"/>
        </w:rPr>
        <w:t xml:space="preserve">       </w:t>
      </w:r>
      <w:r>
        <w:rPr>
          <w:rFonts w:hint="eastAsia" w:ascii="新宋体" w:hAnsi="新宋体" w:eastAsia="新宋体" w:cs="新宋体"/>
          <w:b/>
          <w:color w:val="auto"/>
          <w:sz w:val="22"/>
          <w:highlight w:val="none"/>
        </w:rPr>
        <w:t xml:space="preserve">                             项目编号：</w:t>
      </w:r>
    </w:p>
    <w:p>
      <w:pPr>
        <w:spacing w:line="380" w:lineRule="exac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价格单位：元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789"/>
        <w:gridCol w:w="1630"/>
        <w:gridCol w:w="1417"/>
        <w:gridCol w:w="1106"/>
        <w:gridCol w:w="1139"/>
        <w:gridCol w:w="119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Borders>
              <w:top w:val="single" w:color="auto" w:sz="12" w:space="0"/>
              <w:left w:val="single" w:color="auto" w:sz="12"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项目</w:t>
            </w:r>
          </w:p>
        </w:tc>
        <w:tc>
          <w:tcPr>
            <w:tcW w:w="1789"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货物名称</w:t>
            </w:r>
          </w:p>
        </w:tc>
        <w:tc>
          <w:tcPr>
            <w:tcW w:w="1630"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品牌、型号、规格</w:t>
            </w:r>
          </w:p>
        </w:tc>
        <w:tc>
          <w:tcPr>
            <w:tcW w:w="1417"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产地</w:t>
            </w:r>
          </w:p>
        </w:tc>
        <w:tc>
          <w:tcPr>
            <w:tcW w:w="1106"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数量</w:t>
            </w:r>
          </w:p>
        </w:tc>
        <w:tc>
          <w:tcPr>
            <w:tcW w:w="1139"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单价</w:t>
            </w:r>
          </w:p>
          <w:p>
            <w:pPr>
              <w:ind w:right="-11"/>
              <w:jc w:val="center"/>
              <w:rPr>
                <w:rFonts w:ascii="宋体" w:hAnsi="宋体" w:cs="黑体"/>
                <w:color w:val="auto"/>
                <w:sz w:val="22"/>
                <w:szCs w:val="22"/>
                <w:highlight w:val="none"/>
              </w:rPr>
            </w:pPr>
            <w:r>
              <w:rPr>
                <w:rFonts w:ascii="宋体" w:hAnsi="宋体" w:cs="黑体"/>
                <w:color w:val="auto"/>
                <w:sz w:val="22"/>
                <w:szCs w:val="22"/>
                <w:highlight w:val="none"/>
              </w:rPr>
              <w:t>（含税）</w:t>
            </w:r>
          </w:p>
        </w:tc>
        <w:tc>
          <w:tcPr>
            <w:tcW w:w="1198"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总价</w:t>
            </w:r>
          </w:p>
          <w:p>
            <w:pPr>
              <w:ind w:right="-11"/>
              <w:jc w:val="center"/>
              <w:rPr>
                <w:rFonts w:ascii="宋体" w:hAnsi="宋体" w:cs="黑体"/>
                <w:color w:val="auto"/>
                <w:sz w:val="22"/>
                <w:szCs w:val="22"/>
                <w:highlight w:val="none"/>
              </w:rPr>
            </w:pPr>
            <w:r>
              <w:rPr>
                <w:rFonts w:ascii="宋体" w:hAnsi="宋体" w:cs="黑体"/>
                <w:color w:val="auto"/>
                <w:sz w:val="22"/>
                <w:szCs w:val="22"/>
                <w:highlight w:val="none"/>
              </w:rPr>
              <w:t>（含税）</w:t>
            </w:r>
          </w:p>
        </w:tc>
        <w:tc>
          <w:tcPr>
            <w:tcW w:w="897" w:type="dxa"/>
            <w:tcBorders>
              <w:top w:val="single" w:color="auto" w:sz="12" w:space="0"/>
              <w:left w:val="single" w:color="auto" w:sz="4" w:space="0"/>
              <w:bottom w:val="single" w:color="auto" w:sz="12" w:space="0"/>
              <w:right w:val="single" w:color="auto" w:sz="12"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免费</w:t>
            </w:r>
          </w:p>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1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olor w:val="auto"/>
                <w:sz w:val="22"/>
                <w:szCs w:val="22"/>
                <w:highlight w:val="none"/>
              </w:rPr>
              <w:t>随机备品备件、耗材、专用工具（如有）</w:t>
            </w:r>
          </w:p>
        </w:tc>
        <w:tc>
          <w:tcPr>
            <w:tcW w:w="5757" w:type="dxa"/>
            <w:gridSpan w:val="5"/>
            <w:tcBorders>
              <w:top w:val="single" w:color="auto" w:sz="12" w:space="0"/>
              <w:left w:val="single" w:color="auto" w:sz="4" w:space="0"/>
              <w:bottom w:val="single" w:color="auto" w:sz="2" w:space="0"/>
              <w:right w:val="single" w:color="auto" w:sz="12" w:space="0"/>
            </w:tcBorders>
            <w:noWrap w:val="0"/>
            <w:vAlign w:val="center"/>
          </w:tcPr>
          <w:p>
            <w:pPr>
              <w:ind w:right="-10"/>
              <w:jc w:val="center"/>
              <w:rPr>
                <w:rFonts w:hint="eastAsia" w:ascii="宋体" w:hAnsi="宋体" w:eastAsia="宋体" w:cs="黑体"/>
                <w:color w:val="auto"/>
                <w:sz w:val="22"/>
                <w:szCs w:val="22"/>
                <w:highlight w:val="none"/>
                <w:lang w:val="en-US" w:eastAsia="zh-CN"/>
              </w:rPr>
            </w:pPr>
            <w:r>
              <w:rPr>
                <w:rFonts w:hint="eastAsia" w:ascii="宋体" w:hAnsi="宋体" w:cs="黑体"/>
                <w:color w:val="auto"/>
                <w:sz w:val="22"/>
                <w:szCs w:val="22"/>
                <w:highlight w:val="none"/>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运杂及保险费（含卸货）</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olor w:val="auto"/>
                <w:sz w:val="22"/>
                <w:szCs w:val="22"/>
                <w:highlight w:val="none"/>
              </w:rPr>
              <w:t>安装调试及验收费（包括设备的测试、调试、验收等费用）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技术培训费、技术服务费、售后服务费等</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其他相关费用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97" w:type="dxa"/>
            <w:gridSpan w:val="3"/>
            <w:tcBorders>
              <w:top w:val="single" w:color="auto" w:sz="2" w:space="0"/>
              <w:left w:val="single" w:color="auto" w:sz="12" w:space="0"/>
              <w:bottom w:val="single" w:color="auto" w:sz="12" w:space="0"/>
              <w:right w:val="single" w:color="auto" w:sz="4" w:space="0"/>
            </w:tcBorders>
            <w:noWrap w:val="0"/>
            <w:vAlign w:val="center"/>
          </w:tcPr>
          <w:p>
            <w:pPr>
              <w:ind w:right="-11"/>
              <w:rPr>
                <w:rFonts w:hint="eastAsia" w:ascii="宋体" w:hAnsi="宋体" w:eastAsia="宋体" w:cs="黑体"/>
                <w:color w:val="auto"/>
                <w:sz w:val="22"/>
                <w:szCs w:val="22"/>
                <w:highlight w:val="none"/>
                <w:lang w:eastAsia="zh-CN"/>
              </w:rPr>
            </w:pPr>
            <w:r>
              <w:rPr>
                <w:rFonts w:hint="eastAsia" w:ascii="宋体" w:hAnsi="宋体" w:cs="黑体"/>
                <w:color w:val="auto"/>
                <w:sz w:val="22"/>
                <w:szCs w:val="22"/>
                <w:highlight w:val="none"/>
                <w:lang w:val="en-US" w:eastAsia="zh-CN"/>
              </w:rPr>
              <w:t>总计价</w:t>
            </w:r>
          </w:p>
        </w:tc>
        <w:tc>
          <w:tcPr>
            <w:tcW w:w="5757" w:type="dxa"/>
            <w:gridSpan w:val="5"/>
            <w:tcBorders>
              <w:top w:val="single" w:color="auto" w:sz="2" w:space="0"/>
              <w:left w:val="single" w:color="auto" w:sz="4" w:space="0"/>
              <w:bottom w:val="single" w:color="auto" w:sz="12" w:space="0"/>
              <w:right w:val="single" w:color="auto" w:sz="12" w:space="0"/>
            </w:tcBorders>
            <w:noWrap w:val="0"/>
            <w:vAlign w:val="center"/>
          </w:tcPr>
          <w:p>
            <w:pPr>
              <w:ind w:right="-10"/>
              <w:rPr>
                <w:rFonts w:ascii="宋体" w:hAnsi="宋体" w:cs="黑体"/>
                <w:color w:val="auto"/>
                <w:sz w:val="22"/>
                <w:szCs w:val="22"/>
                <w:highlight w:val="none"/>
              </w:rPr>
            </w:pPr>
          </w:p>
        </w:tc>
      </w:tr>
    </w:tbl>
    <w:p>
      <w:pPr>
        <w:spacing w:line="380" w:lineRule="exact"/>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numPr>
          <w:ilvl w:val="0"/>
          <w:numId w:val="21"/>
        </w:num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投标分项报价表内总计价应与附件二中“开标一览表”投标总价相一致。</w:t>
      </w:r>
    </w:p>
    <w:p>
      <w:pPr>
        <w:numPr>
          <w:ilvl w:val="0"/>
          <w:numId w:val="21"/>
        </w:num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不提供此表的报价，视为没有实质性响应采购文件要求</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如已包含在其他报价中填（含）</w:t>
      </w:r>
      <w:r>
        <w:rPr>
          <w:rFonts w:hint="eastAsia" w:ascii="新宋体" w:hAnsi="新宋体" w:eastAsia="新宋体" w:cs="新宋体"/>
          <w:color w:val="auto"/>
          <w:sz w:val="22"/>
          <w:szCs w:val="22"/>
          <w:highlight w:val="none"/>
        </w:rPr>
        <w:t>。</w:t>
      </w:r>
    </w:p>
    <w:p>
      <w:pPr>
        <w:numPr>
          <w:ilvl w:val="0"/>
          <w:numId w:val="21"/>
        </w:num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本表可在不改变</w:t>
      </w:r>
      <w:r>
        <w:rPr>
          <w:rFonts w:hint="eastAsia" w:ascii="新宋体" w:hAnsi="新宋体" w:eastAsia="新宋体" w:cs="新宋体"/>
          <w:color w:val="auto"/>
          <w:sz w:val="22"/>
          <w:szCs w:val="22"/>
          <w:highlight w:val="none"/>
          <w:lang w:val="en-US" w:eastAsia="zh-CN"/>
        </w:rPr>
        <w:t>主要</w:t>
      </w:r>
      <w:r>
        <w:rPr>
          <w:rFonts w:hint="eastAsia" w:ascii="新宋体" w:hAnsi="新宋体" w:eastAsia="新宋体" w:cs="新宋体"/>
          <w:color w:val="auto"/>
          <w:sz w:val="22"/>
          <w:szCs w:val="22"/>
          <w:highlight w:val="none"/>
        </w:rPr>
        <w:t>格式的情况下根据具体需要自行</w:t>
      </w:r>
      <w:r>
        <w:rPr>
          <w:rFonts w:hint="eastAsia" w:ascii="新宋体" w:hAnsi="新宋体" w:eastAsia="新宋体" w:cs="新宋体"/>
          <w:color w:val="auto"/>
          <w:sz w:val="22"/>
          <w:szCs w:val="22"/>
          <w:highlight w:val="none"/>
          <w:lang w:val="en-US" w:eastAsia="zh-CN"/>
        </w:rPr>
        <w:t>调整</w:t>
      </w:r>
      <w:r>
        <w:rPr>
          <w:rFonts w:hint="eastAsia" w:ascii="新宋体" w:hAnsi="新宋体" w:eastAsia="新宋体" w:cs="新宋体"/>
          <w:color w:val="auto"/>
          <w:sz w:val="22"/>
          <w:szCs w:val="22"/>
          <w:highlight w:val="none"/>
        </w:rPr>
        <w:t>。</w:t>
      </w:r>
    </w:p>
    <w:p>
      <w:pPr>
        <w:spacing w:line="380" w:lineRule="exact"/>
        <w:rPr>
          <w:rFonts w:hint="eastAsia" w:ascii="新宋体" w:hAnsi="新宋体" w:eastAsia="新宋体" w:cs="新宋体"/>
          <w:color w:val="auto"/>
          <w:sz w:val="22"/>
          <w:highlight w:val="none"/>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法定代表人或授权代表（签名）：</w:t>
      </w:r>
    </w:p>
    <w:p>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日 期：  年  月  日</w:t>
      </w:r>
    </w:p>
    <w:p>
      <w:pPr>
        <w:pStyle w:val="3"/>
        <w:rPr>
          <w:rFonts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101" w:name="_Toc71374680"/>
      <w:bookmarkStart w:id="102" w:name="_Toc24174"/>
      <w:r>
        <w:rPr>
          <w:rFonts w:hint="eastAsia" w:ascii="新宋体" w:hAnsi="新宋体" w:eastAsia="新宋体" w:cs="新宋体"/>
          <w:color w:val="auto"/>
          <w:sz w:val="36"/>
          <w:szCs w:val="36"/>
          <w:highlight w:val="none"/>
        </w:rPr>
        <w:t>第四部分   采购内容及要求</w:t>
      </w:r>
      <w:bookmarkEnd w:id="101"/>
      <w:bookmarkEnd w:id="102"/>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p>
    <w:p>
      <w:pPr>
        <w:pStyle w:val="4"/>
        <w:spacing w:line="360" w:lineRule="auto"/>
        <w:jc w:val="center"/>
        <w:rPr>
          <w:rFonts w:hint="eastAsia" w:ascii="宋体" w:hAnsi="宋体" w:eastAsia="宋体" w:cs="宋体"/>
          <w:color w:val="auto"/>
          <w:sz w:val="24"/>
          <w:szCs w:val="24"/>
          <w:highlight w:val="none"/>
        </w:rPr>
      </w:pPr>
      <w:bookmarkStart w:id="103" w:name="_Toc48918765"/>
      <w:bookmarkStart w:id="104" w:name="_Toc19801889"/>
      <w:bookmarkStart w:id="105" w:name="_Toc517434286"/>
      <w:bookmarkStart w:id="106" w:name="_Toc365203313"/>
      <w:bookmarkStart w:id="107" w:name="_Toc491529537"/>
      <w:bookmarkStart w:id="108" w:name="_Toc15148162"/>
      <w:bookmarkStart w:id="109" w:name="_Toc495862905"/>
      <w:bookmarkStart w:id="110" w:name="_Toc203534124"/>
      <w:bookmarkStart w:id="111" w:name="_Toc221374633"/>
      <w:bookmarkStart w:id="112" w:name="_Toc221423626"/>
      <w:bookmarkStart w:id="113" w:name="_Toc222114886"/>
      <w:bookmarkStart w:id="114" w:name="_Toc239145361"/>
      <w:bookmarkStart w:id="115" w:name="_Toc221356960"/>
      <w:bookmarkStart w:id="116" w:name="_Toc265529390"/>
      <w:bookmarkStart w:id="117" w:name="_Toc223716005"/>
      <w:bookmarkStart w:id="118" w:name="_Toc241404209"/>
      <w:bookmarkStart w:id="119" w:name="_Toc221356897"/>
      <w:bookmarkStart w:id="120" w:name="_Toc71374681"/>
      <w:r>
        <w:rPr>
          <w:rFonts w:hint="eastAsia" w:ascii="宋体" w:hAnsi="宋体" w:eastAsia="宋体" w:cs="宋体"/>
          <w:color w:val="auto"/>
          <w:sz w:val="24"/>
          <w:szCs w:val="24"/>
          <w:highlight w:val="none"/>
        </w:rPr>
        <w:t>（一）、总则</w:t>
      </w:r>
      <w:bookmarkEnd w:id="103"/>
      <w:bookmarkEnd w:id="104"/>
      <w:bookmarkEnd w:id="105"/>
      <w:bookmarkEnd w:id="106"/>
      <w:bookmarkEnd w:id="107"/>
      <w:bookmarkEnd w:id="108"/>
      <w:bookmarkEnd w:id="109"/>
      <w:bookmarkEnd w:id="110"/>
    </w:p>
    <w:p>
      <w:pPr>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本采购内容及说明提出了设备的功能设计、结构、性能、安装和试验等方面的初步技术要求，供投标供应商做报价依据。采购人有权在签订合同时对本采购内容及说明作进一步修改。</w:t>
      </w:r>
    </w:p>
    <w:p>
      <w:pPr>
        <w:spacing w:line="360" w:lineRule="auto"/>
        <w:ind w:left="480" w:hanging="480" w:hanging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本采购内容及说明并未对一切技术细节作出明确规定，也未充分引述有关标准、规范的条文。投标供应商应保证提供符合采购内容及说明和工业标准的优质产品。投标文件包括采购内容及说明所叙述的全部工作以及在采购内容及说明没有提到的，但涉及到有关设备的效率、稳定性、完整性以及在工程实践上证明是优良性能所需要的部分也应包括在内。本采购内容及说明所标明的工艺、设备、材料和所采用的标准只是为了说明所期望的系统的基本形式，而并非限制性的。</w:t>
      </w:r>
    </w:p>
    <w:p>
      <w:pPr>
        <w:spacing w:line="360" w:lineRule="auto"/>
        <w:ind w:left="480" w:hanging="480" w:hanging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投标供应商应仔细阅读本采购内容及说明中的全部条款。投标供应商提出的设备技术规格应符合本采购内容及说明的所有要求。如投标供应商没有以书面形式列出与本采购内容及说明所规定的规格间的差异，则认为：提供的产品是完全符合本采购内容及说明的要求。</w:t>
      </w:r>
    </w:p>
    <w:p>
      <w:pPr>
        <w:spacing w:line="360" w:lineRule="auto"/>
        <w:ind w:left="480" w:hanging="480" w:hanging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  本采购内容及说明所引用的标准如遇与制造厂商所执行的标准发生矛盾时，由双方共同协商。</w:t>
      </w:r>
      <w:r>
        <w:rPr>
          <w:rFonts w:hint="eastAsia" w:ascii="宋体" w:hAnsi="宋体" w:eastAsia="宋体" w:cs="宋体"/>
          <w:color w:val="auto"/>
          <w:sz w:val="24"/>
          <w:szCs w:val="24"/>
          <w:highlight w:val="none"/>
          <w:lang w:val="en-US" w:eastAsia="zh-CN"/>
        </w:rPr>
        <w:t>供应商在供货时须提供原厂授权书。</w:t>
      </w:r>
    </w:p>
    <w:p>
      <w:pPr>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本采购内容及说明经双方确认后作为定货合同的技术附件，与合同正文具有同等效力。</w:t>
      </w:r>
    </w:p>
    <w:p>
      <w:pPr>
        <w:rPr>
          <w:rFonts w:hint="eastAsia" w:ascii="宋体" w:hAnsi="宋体" w:eastAsia="宋体" w:cs="宋体"/>
          <w:color w:val="auto"/>
          <w:sz w:val="24"/>
          <w:szCs w:val="24"/>
          <w:highlight w:val="none"/>
        </w:rPr>
      </w:pPr>
    </w:p>
    <w:p>
      <w:pPr>
        <w:pStyle w:val="4"/>
        <w:spacing w:line="360" w:lineRule="auto"/>
        <w:jc w:val="center"/>
        <w:rPr>
          <w:rFonts w:hint="eastAsia" w:ascii="宋体" w:hAnsi="宋体" w:eastAsia="宋体" w:cs="宋体"/>
          <w:color w:val="auto"/>
          <w:sz w:val="24"/>
          <w:szCs w:val="24"/>
          <w:highlight w:val="none"/>
        </w:rPr>
      </w:pPr>
      <w:bookmarkStart w:id="121" w:name="_Toc48918766"/>
      <w:bookmarkStart w:id="122" w:name="_Toc19801890"/>
      <w:bookmarkStart w:id="123" w:name="_Toc428194194"/>
      <w:bookmarkStart w:id="124" w:name="_Toc470100723"/>
      <w:bookmarkStart w:id="125" w:name="_Toc499718014"/>
      <w:r>
        <w:rPr>
          <w:rFonts w:hint="eastAsia" w:ascii="宋体" w:hAnsi="宋体" w:eastAsia="宋体" w:cs="宋体"/>
          <w:color w:val="auto"/>
          <w:sz w:val="24"/>
          <w:szCs w:val="24"/>
          <w:highlight w:val="none"/>
        </w:rPr>
        <w:t>（二）</w:t>
      </w:r>
      <w:bookmarkEnd w:id="121"/>
      <w:bookmarkEnd w:id="122"/>
      <w:bookmarkEnd w:id="123"/>
      <w:bookmarkEnd w:id="124"/>
      <w:bookmarkEnd w:id="125"/>
      <w:r>
        <w:rPr>
          <w:rFonts w:hint="eastAsia" w:ascii="宋体" w:hAnsi="宋体" w:eastAsia="宋体" w:cs="宋体"/>
          <w:color w:val="auto"/>
          <w:sz w:val="24"/>
          <w:szCs w:val="24"/>
          <w:highlight w:val="none"/>
        </w:rPr>
        <w:t>全站仪招标参数及配置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1、测角精度:0.5秒，标配绝对编码度盘和增量度盘，读数频率1000HZ,保障测角精度；测距精度:0.8mm+1ppm，且该精度测量时间优于2.5秒。</w:t>
      </w:r>
    </w:p>
    <w:p>
      <w:pPr>
        <w:pStyle w:val="32"/>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2、仪器的各项指标在正常的天气条件下均能保证，测距精度指标不下降，不需要特定的难以满足的气象条件才能作业，具备通用性。</w:t>
      </w:r>
    </w:p>
    <w:p>
      <w:pPr>
        <w:pStyle w:val="32"/>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3、全站仪含内置电台模块，可以通过含内置电台的手薄实现远程遥控。</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4、伺服系统：采用MagDrive伺服技术，集成伺服/角度传感器电磁直驱，非接触，无摩擦，系统耐用性可靠性高，旋转速度快，正镜至倒镜旋转时间：</w:t>
      </w:r>
      <w:r>
        <w:rPr>
          <w:rFonts w:hint="eastAsia" w:ascii="宋体" w:hAnsi="宋体" w:cs="宋体"/>
          <w:color w:val="auto"/>
          <w:sz w:val="24"/>
          <w:szCs w:val="24"/>
          <w:highlight w:val="none"/>
          <w:lang w:val="en-US" w:eastAsia="zh-CN"/>
        </w:rPr>
        <w:t>不超过3</w:t>
      </w:r>
      <w:r>
        <w:rPr>
          <w:rFonts w:hint="eastAsia" w:ascii="宋体" w:hAnsi="宋体" w:eastAsia="宋体" w:cs="宋体"/>
          <w:color w:val="auto"/>
          <w:sz w:val="24"/>
          <w:szCs w:val="24"/>
          <w:highlight w:val="none"/>
        </w:rPr>
        <w:t>秒；定位速度180度：</w:t>
      </w:r>
      <w:r>
        <w:rPr>
          <w:rFonts w:hint="eastAsia" w:ascii="宋体" w:hAnsi="宋体" w:cs="宋体"/>
          <w:color w:val="auto"/>
          <w:sz w:val="24"/>
          <w:szCs w:val="24"/>
          <w:highlight w:val="none"/>
          <w:lang w:val="en-US" w:eastAsia="zh-CN"/>
        </w:rPr>
        <w:t>不超过3</w:t>
      </w:r>
      <w:r>
        <w:rPr>
          <w:rFonts w:hint="eastAsia" w:ascii="宋体" w:hAnsi="宋体" w:eastAsia="宋体" w:cs="宋体"/>
          <w:color w:val="auto"/>
          <w:sz w:val="24"/>
          <w:szCs w:val="24"/>
          <w:highlight w:val="none"/>
        </w:rPr>
        <w:t>秒，每秒钟最大旋转：115度，可进行水平和垂直方向的完全360度旋转。</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5、视准轴改正，横轴倾斜改正，补偿器改正（竖轴）要求用新式液体双轴补偿器。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6、对中：内置光学对中器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7、具备Surepoint精确定点功能，具备测量平台不稳定震动警告功能，具备防误操作锁定目标功能，确保瞄准位置不变。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8、具备自动搜索和自动跟踪棱镜的能力，跟踪速率10HZ,标配10HZ输出模式，最高支持20HZ输出。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9、搜索目标、跟踪目标、照准目标的测程相一致，无需额外人工干预，锁定目标自动化程度高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10、补偿：中心双轴补偿，补偿精度0.5＂，补偿范围±5.4＇；</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11、测距模式：精测、粗测、跟踪；</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12、望远镜放大分倍率：≥30倍；视场：2.6米（在100米处）；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13、测程：单棱镜：≥3000米；单棱镜长测程模式：≥5000米三棱镜：≥7000米；精细锁定：≥2500米</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14、智能电池：单电池≥6小时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15：通讯：USB，Bluetooth,串口</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16、防尘防水/防雨：</w:t>
      </w:r>
      <w:r>
        <w:rPr>
          <w:rFonts w:hint="eastAsia" w:ascii="宋体" w:hAnsi="宋体" w:cs="宋体"/>
          <w:color w:val="auto"/>
          <w:sz w:val="24"/>
          <w:szCs w:val="24"/>
          <w:highlight w:val="none"/>
          <w:lang w:val="en-US" w:eastAsia="zh-CN"/>
        </w:rPr>
        <w:t>不低于</w:t>
      </w:r>
      <w:r>
        <w:rPr>
          <w:rFonts w:hint="eastAsia" w:ascii="宋体" w:hAnsi="宋体" w:eastAsia="宋体" w:cs="宋体"/>
          <w:color w:val="auto"/>
          <w:sz w:val="24"/>
          <w:szCs w:val="24"/>
          <w:highlight w:val="none"/>
        </w:rPr>
        <w:t>IP65</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17、工作温度：–20℃至 + 50℃；湿度：100%,防冷凝</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18、重量：不大于6KG(含内置电池)</w:t>
      </w:r>
    </w:p>
    <w:p>
      <w:pPr>
        <w:bidi w:val="0"/>
        <w:jc w:val="center"/>
        <w:rPr>
          <w:rFonts w:hint="eastAsia" w:ascii="新宋体" w:hAnsi="新宋体" w:eastAsia="新宋体" w:cs="新宋体"/>
          <w:color w:val="auto"/>
          <w:sz w:val="36"/>
          <w:szCs w:val="36"/>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b/>
          <w:color w:val="auto"/>
          <w:sz w:val="24"/>
          <w:highlight w:val="none"/>
          <w:lang w:val="en-US" w:eastAsia="zh-CN"/>
        </w:rPr>
        <w:t>其他</w:t>
      </w:r>
      <w:r>
        <w:rPr>
          <w:rFonts w:hint="eastAsia" w:ascii="宋体" w:hAnsi="宋体"/>
          <w:b/>
          <w:color w:val="auto"/>
          <w:sz w:val="24"/>
          <w:highlight w:val="none"/>
        </w:rPr>
        <w:t>要求</w:t>
      </w:r>
    </w:p>
    <w:p>
      <w:pPr>
        <w:autoSpaceDE w:val="0"/>
        <w:autoSpaceDN w:val="0"/>
        <w:adjustRightInd w:val="0"/>
        <w:spacing w:line="360" w:lineRule="auto"/>
        <w:ind w:firstLine="472" w:firstLineChars="196"/>
        <w:outlineLvl w:val="0"/>
        <w:rPr>
          <w:rFonts w:hint="eastAsia" w:ascii="宋体" w:hAnsi="宋体"/>
          <w:b/>
          <w:color w:val="auto"/>
          <w:sz w:val="24"/>
          <w:highlight w:val="none"/>
        </w:rPr>
      </w:pPr>
      <w:bookmarkStart w:id="126" w:name="_Toc48918769"/>
      <w:bookmarkStart w:id="127" w:name="_Toc19801896"/>
      <w:r>
        <w:rPr>
          <w:rFonts w:hint="eastAsia" w:ascii="宋体" w:hAnsi="宋体"/>
          <w:b/>
          <w:color w:val="auto"/>
          <w:sz w:val="24"/>
          <w:highlight w:val="none"/>
          <w:lang w:val="en-US" w:eastAsia="zh-CN"/>
        </w:rPr>
        <w:t>一</w:t>
      </w:r>
      <w:r>
        <w:rPr>
          <w:rFonts w:hint="eastAsia" w:ascii="宋体" w:hAnsi="宋体"/>
          <w:b/>
          <w:color w:val="auto"/>
          <w:sz w:val="24"/>
          <w:highlight w:val="none"/>
        </w:rPr>
        <w:t>、质量保证</w:t>
      </w:r>
      <w:bookmarkEnd w:id="126"/>
      <w:bookmarkEnd w:id="127"/>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中标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2、中标供应商所提供的产品必须符合行业的国家标准和我国现行的产品认证制度规定，并满足采购人提出的产品技术要求。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3、投标供应商所提供的货物应保证是全新的和未使用过的且原装合格正品。</w:t>
      </w:r>
    </w:p>
    <w:p>
      <w:pPr>
        <w:spacing w:line="360" w:lineRule="auto"/>
        <w:ind w:left="475"/>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、中标供应商对成交产品使用的安全性能与可靠性负全部责任。</w:t>
      </w:r>
    </w:p>
    <w:p>
      <w:pPr>
        <w:widowControl/>
        <w:spacing w:line="360" w:lineRule="auto"/>
        <w:ind w:right="60" w:firstLine="472" w:firstLineChars="196"/>
        <w:jc w:val="left"/>
        <w:outlineLvl w:val="0"/>
        <w:rPr>
          <w:rFonts w:hint="eastAsia" w:ascii="宋体" w:hAnsi="宋体"/>
          <w:b/>
          <w:color w:val="auto"/>
          <w:sz w:val="24"/>
          <w:highlight w:val="none"/>
        </w:rPr>
      </w:pPr>
      <w:bookmarkStart w:id="128" w:name="_Toc48918770"/>
      <w:bookmarkStart w:id="129" w:name="_Toc19801897"/>
      <w:r>
        <w:rPr>
          <w:rFonts w:hint="eastAsia" w:ascii="宋体" w:hAnsi="宋体"/>
          <w:b/>
          <w:color w:val="auto"/>
          <w:sz w:val="24"/>
          <w:highlight w:val="none"/>
          <w:lang w:val="en-US" w:eastAsia="zh-CN"/>
        </w:rPr>
        <w:t>二</w:t>
      </w:r>
      <w:r>
        <w:rPr>
          <w:rFonts w:hint="eastAsia" w:ascii="宋体" w:hAnsi="宋体"/>
          <w:b/>
          <w:color w:val="auto"/>
          <w:sz w:val="24"/>
          <w:highlight w:val="none"/>
        </w:rPr>
        <w:t>、产品质保及售后服务要求</w:t>
      </w:r>
      <w:bookmarkEnd w:id="128"/>
      <w:bookmarkEnd w:id="129"/>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项目所有产品的免费质保期为一年，自验收合格次日起计算（技术参数中有特殊说明的除外，货物上标明或卖方承诺的质量保证期超过以上规定期限的，以标明或承诺的最高质量保证期为准。）（投标供应商可提供更优惠的质保期），质保期严格按照国家三包规定执行。</w:t>
      </w:r>
    </w:p>
    <w:p>
      <w:pPr>
        <w:spacing w:line="360" w:lineRule="auto"/>
        <w:ind w:firstLine="480" w:firstLineChars="200"/>
        <w:rPr>
          <w:rFonts w:ascii="宋体" w:hAnsi="宋体"/>
          <w:color w:val="auto"/>
          <w:sz w:val="24"/>
          <w:highlight w:val="none"/>
        </w:rPr>
      </w:pPr>
      <w:bookmarkStart w:id="130" w:name="_Toc19801898"/>
      <w:bookmarkStart w:id="131" w:name="_Toc48918771"/>
      <w:r>
        <w:rPr>
          <w:rFonts w:hint="eastAsia" w:ascii="宋体" w:hAnsi="宋体"/>
          <w:color w:val="auto"/>
          <w:sz w:val="24"/>
          <w:highlight w:val="none"/>
        </w:rPr>
        <w:t>2、在质保期内，系统或设备发生故障时，接到电话后即时响应，免费提供咨询、维修服务，确认需要派人到现场时，派遣技术人员乘坐最近一班交通工具到达现场，且一般故障排除时间不超过9</w:t>
      </w:r>
      <w:r>
        <w:rPr>
          <w:rFonts w:ascii="宋体" w:hAnsi="宋体"/>
          <w:color w:val="auto"/>
          <w:sz w:val="24"/>
          <w:highlight w:val="none"/>
        </w:rPr>
        <w:t>6</w:t>
      </w:r>
      <w:r>
        <w:rPr>
          <w:rFonts w:hint="eastAsia" w:ascii="宋体" w:hAnsi="宋体"/>
          <w:color w:val="auto"/>
          <w:sz w:val="24"/>
          <w:highlight w:val="none"/>
        </w:rPr>
        <w:t>个小时，如超过9</w:t>
      </w:r>
      <w:r>
        <w:rPr>
          <w:rFonts w:ascii="宋体" w:hAnsi="宋体"/>
          <w:color w:val="auto"/>
          <w:sz w:val="24"/>
          <w:highlight w:val="none"/>
        </w:rPr>
        <w:t>6</w:t>
      </w:r>
      <w:r>
        <w:rPr>
          <w:rFonts w:hint="eastAsia" w:ascii="宋体" w:hAnsi="宋体"/>
          <w:color w:val="auto"/>
          <w:sz w:val="24"/>
          <w:highlight w:val="none"/>
        </w:rPr>
        <w:t>小时无法解决问题，投标供应商需及时提供替代设备，保证系统正常运行。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3、质保期内因不能排除的故障而影响工作的情况每发生一次，其质保期相应延长30天，质保期内因货物本身缺陷造成各种故障应由中标供应商免费予以更换，否则将扣除质量保证金作为对采购人的补偿。</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4、质保期满后，仅收取零配件成本费用。合同货物出现故障后，中标供应商接到采购人通知后，应在不超过8小时内做出响应，不超过2个工作日内解决故障。</w:t>
      </w:r>
    </w:p>
    <w:p>
      <w:pPr>
        <w:spacing w:line="360" w:lineRule="auto"/>
        <w:ind w:firstLine="456" w:firstLineChars="190"/>
        <w:rPr>
          <w:rFonts w:hint="eastAsia"/>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、免费提供操作培训服务，并提供详细的培训计划及方案。培训内容应包括产品使用，维护管理等，并提供培训手册。</w:t>
      </w:r>
    </w:p>
    <w:p>
      <w:pPr>
        <w:autoSpaceDE w:val="0"/>
        <w:autoSpaceDN w:val="0"/>
        <w:adjustRightInd w:val="0"/>
        <w:spacing w:line="360" w:lineRule="auto"/>
        <w:ind w:firstLine="472" w:firstLineChars="196"/>
        <w:outlineLvl w:val="0"/>
        <w:rPr>
          <w:rFonts w:hint="eastAsia"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、项目</w:t>
      </w:r>
      <w:bookmarkEnd w:id="130"/>
      <w:bookmarkEnd w:id="131"/>
      <w:r>
        <w:rPr>
          <w:rFonts w:hint="eastAsia" w:ascii="宋体" w:hAnsi="宋体"/>
          <w:b/>
          <w:color w:val="auto"/>
          <w:sz w:val="24"/>
          <w:highlight w:val="none"/>
        </w:rPr>
        <w:t>时间</w:t>
      </w:r>
    </w:p>
    <w:p>
      <w:pPr>
        <w:spacing w:line="360" w:lineRule="auto"/>
        <w:ind w:firstLine="456" w:firstLineChars="190"/>
        <w:rPr>
          <w:rFonts w:hint="eastAsia" w:ascii="宋体" w:hAnsi="宋体"/>
          <w:color w:val="auto"/>
          <w:sz w:val="24"/>
          <w:highlight w:val="none"/>
        </w:rPr>
      </w:pPr>
      <w:r>
        <w:rPr>
          <w:rFonts w:hint="eastAsia" w:ascii="宋体" w:hAnsi="宋体"/>
          <w:color w:val="auto"/>
          <w:sz w:val="24"/>
          <w:highlight w:val="none"/>
        </w:rPr>
        <w:t>项目时间：合同签订后</w:t>
      </w:r>
      <w:r>
        <w:rPr>
          <w:rFonts w:hint="eastAsia" w:ascii="宋体" w:hAnsi="宋体"/>
          <w:color w:val="auto"/>
          <w:sz w:val="24"/>
          <w:highlight w:val="none"/>
          <w:lang w:val="en-US" w:eastAsia="zh-CN"/>
        </w:rPr>
        <w:t>3</w:t>
      </w:r>
      <w:r>
        <w:rPr>
          <w:rFonts w:hint="eastAsia" w:ascii="宋体" w:hAnsi="宋体"/>
          <w:color w:val="auto"/>
          <w:sz w:val="24"/>
          <w:highlight w:val="none"/>
        </w:rPr>
        <w:t>0个日历天内完成项目产品供货</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安装、调试并通过采购人验收</w:t>
      </w:r>
      <w:r>
        <w:rPr>
          <w:rFonts w:hint="eastAsia" w:ascii="宋体" w:hAnsi="宋体"/>
          <w:color w:val="auto"/>
          <w:sz w:val="24"/>
          <w:highlight w:val="none"/>
        </w:rPr>
        <w:t>。</w:t>
      </w:r>
    </w:p>
    <w:p>
      <w:pPr>
        <w:spacing w:line="360" w:lineRule="auto"/>
        <w:ind w:firstLine="456" w:firstLineChars="190"/>
        <w:rPr>
          <w:rFonts w:hint="eastAsia" w:ascii="宋体" w:hAnsi="宋体"/>
          <w:color w:val="auto"/>
          <w:sz w:val="24"/>
          <w:highlight w:val="none"/>
        </w:rPr>
      </w:pPr>
      <w:r>
        <w:rPr>
          <w:rFonts w:hint="eastAsia" w:ascii="宋体" w:hAnsi="宋体"/>
          <w:color w:val="auto"/>
          <w:sz w:val="24"/>
          <w:highlight w:val="none"/>
        </w:rPr>
        <w:t>如在规定时间内无法交货，将处于每逾期一天，按合同总价的</w:t>
      </w:r>
      <w:r>
        <w:rPr>
          <w:rFonts w:ascii="宋体" w:hAnsi="宋体"/>
          <w:color w:val="auto"/>
          <w:sz w:val="24"/>
          <w:highlight w:val="none"/>
        </w:rPr>
        <w:t>0.5</w:t>
      </w:r>
      <w:r>
        <w:rPr>
          <w:rFonts w:hint="eastAsia" w:ascii="宋体" w:hAnsi="宋体"/>
          <w:color w:val="auto"/>
          <w:sz w:val="24"/>
          <w:highlight w:val="none"/>
        </w:rPr>
        <w:t>%罚款。逾期的违约赔偿最高限度为合同总价的5%，如违约金达到最高限额时中标供应商仍不能交货，采购人可终止合同。</w:t>
      </w:r>
    </w:p>
    <w:p>
      <w:pPr>
        <w:autoSpaceDE w:val="0"/>
        <w:autoSpaceDN w:val="0"/>
        <w:adjustRightInd w:val="0"/>
        <w:spacing w:line="360" w:lineRule="auto"/>
        <w:ind w:firstLine="472" w:firstLineChars="196"/>
        <w:outlineLvl w:val="0"/>
        <w:rPr>
          <w:rFonts w:hint="eastAsia" w:ascii="宋体" w:hAnsi="宋体"/>
          <w:b/>
          <w:color w:val="auto"/>
          <w:sz w:val="24"/>
          <w:highlight w:val="none"/>
        </w:rPr>
      </w:pPr>
      <w:bookmarkStart w:id="132" w:name="_Toc19801899"/>
      <w:bookmarkStart w:id="133" w:name="_Toc48918772"/>
      <w:r>
        <w:rPr>
          <w:rFonts w:hint="eastAsia" w:ascii="宋体" w:hAnsi="宋体"/>
          <w:b/>
          <w:color w:val="auto"/>
          <w:sz w:val="24"/>
          <w:highlight w:val="none"/>
          <w:lang w:val="en-US" w:eastAsia="zh-CN"/>
        </w:rPr>
        <w:t>四</w:t>
      </w:r>
      <w:r>
        <w:rPr>
          <w:rFonts w:hint="eastAsia" w:ascii="宋体" w:hAnsi="宋体"/>
          <w:b/>
          <w:color w:val="auto"/>
          <w:sz w:val="24"/>
          <w:highlight w:val="none"/>
        </w:rPr>
        <w:t>、项目验收</w:t>
      </w:r>
      <w:bookmarkEnd w:id="132"/>
      <w:bookmarkEnd w:id="133"/>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1、中标供应商应按有关要求供货，并提供货物质量检验证明文件、测试方法和验收标准。提供的质量检验证明文件、测试方法和验收标准经采购人认可后与合同一起作为项目验收标准的组成。</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2、中标供应商将所有货物运抵安装地点后，由采购人按照装箱列表单、采购文件要求、投标文件等进行现场开箱初验。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3、经采购人组织最终验收合格后，双方签署验收单或验收报告。</w:t>
      </w:r>
    </w:p>
    <w:p>
      <w:pPr>
        <w:autoSpaceDE w:val="0"/>
        <w:autoSpaceDN w:val="0"/>
        <w:adjustRightInd w:val="0"/>
        <w:spacing w:line="360" w:lineRule="auto"/>
        <w:ind w:firstLine="472" w:firstLineChars="196"/>
        <w:outlineLvl w:val="0"/>
        <w:rPr>
          <w:rFonts w:hint="eastAsia" w:ascii="宋体" w:hAnsi="宋体"/>
          <w:b/>
          <w:color w:val="auto"/>
          <w:sz w:val="24"/>
          <w:highlight w:val="none"/>
        </w:rPr>
      </w:pPr>
      <w:bookmarkStart w:id="134" w:name="_Toc19801900"/>
      <w:bookmarkStart w:id="135" w:name="_Toc48918773"/>
      <w:r>
        <w:rPr>
          <w:rFonts w:hint="eastAsia" w:ascii="宋体" w:hAnsi="宋体"/>
          <w:b/>
          <w:color w:val="auto"/>
          <w:sz w:val="24"/>
          <w:highlight w:val="none"/>
          <w:lang w:val="en-US" w:eastAsia="zh-CN"/>
        </w:rPr>
        <w:t>五</w:t>
      </w:r>
      <w:r>
        <w:rPr>
          <w:rFonts w:hint="eastAsia" w:ascii="宋体" w:hAnsi="宋体"/>
          <w:b/>
          <w:color w:val="auto"/>
          <w:sz w:val="24"/>
          <w:highlight w:val="none"/>
        </w:rPr>
        <w:t>、付款方式</w:t>
      </w:r>
      <w:bookmarkEnd w:id="134"/>
      <w:bookmarkEnd w:id="135"/>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、合同签订后10个工作日内，中标供应商向采购人提交合同总价</w:t>
      </w:r>
      <w:r>
        <w:rPr>
          <w:rFonts w:ascii="宋体" w:hAnsi="宋体"/>
          <w:color w:val="auto"/>
          <w:sz w:val="24"/>
          <w:highlight w:val="none"/>
        </w:rPr>
        <w:t>5</w:t>
      </w:r>
      <w:r>
        <w:rPr>
          <w:rFonts w:hint="eastAsia" w:ascii="宋体" w:hAnsi="宋体"/>
          <w:color w:val="auto"/>
          <w:sz w:val="24"/>
          <w:highlight w:val="none"/>
        </w:rPr>
        <w:t>%的履约保证金。</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、产品试运行结束并经采购人组织最终验收合格后，10个工作日内支付合同总价的</w:t>
      </w:r>
      <w:r>
        <w:rPr>
          <w:rFonts w:ascii="宋体" w:hAnsi="宋体"/>
          <w:color w:val="auto"/>
          <w:sz w:val="24"/>
          <w:highlight w:val="none"/>
        </w:rPr>
        <w:t>100</w:t>
      </w:r>
      <w:r>
        <w:rPr>
          <w:rFonts w:hint="eastAsia" w:ascii="宋体" w:hAnsi="宋体"/>
          <w:color w:val="auto"/>
          <w:sz w:val="24"/>
          <w:highlight w:val="none"/>
        </w:rPr>
        <w:t>%，同时履约保证金转为质量保证金，在质保期满后无息退还。</w:t>
      </w:r>
    </w:p>
    <w:p>
      <w:pPr>
        <w:spacing w:line="360" w:lineRule="auto"/>
        <w:ind w:firstLine="480" w:firstLineChars="200"/>
        <w:rPr>
          <w:rFonts w:ascii="宋体" w:hAnsi="宋体" w:cs="Arial"/>
          <w:color w:val="auto"/>
          <w:sz w:val="28"/>
          <w:szCs w:val="28"/>
          <w:highlight w:val="none"/>
        </w:rPr>
      </w:pPr>
      <w:r>
        <w:rPr>
          <w:rFonts w:ascii="宋体" w:hAnsi="宋体"/>
          <w:color w:val="auto"/>
          <w:sz w:val="24"/>
          <w:highlight w:val="none"/>
        </w:rPr>
        <w:t>3</w:t>
      </w:r>
      <w:r>
        <w:rPr>
          <w:rFonts w:hint="eastAsia" w:ascii="宋体" w:hAnsi="宋体"/>
          <w:color w:val="auto"/>
          <w:sz w:val="24"/>
          <w:highlight w:val="none"/>
        </w:rPr>
        <w:t>、中标供应商根据采购人要求提供付款收据、增值税专用发票。</w:t>
      </w:r>
      <w:bookmarkStart w:id="146" w:name="_GoBack"/>
      <w:bookmarkEnd w:id="146"/>
    </w:p>
    <w:p>
      <w:pPr>
        <w:pStyle w:val="4"/>
        <w:bidi w:val="0"/>
        <w:jc w:val="center"/>
        <w:rPr>
          <w:rFonts w:hint="eastAsia" w:ascii="新宋体" w:hAnsi="新宋体" w:eastAsia="新宋体" w:cs="新宋体"/>
          <w:color w:val="auto"/>
          <w:sz w:val="36"/>
          <w:szCs w:val="36"/>
          <w:highlight w:val="none"/>
        </w:rPr>
      </w:pPr>
      <w:bookmarkStart w:id="136" w:name="_Toc4002"/>
      <w:r>
        <w:rPr>
          <w:rFonts w:hint="eastAsia" w:ascii="新宋体" w:hAnsi="新宋体" w:eastAsia="新宋体" w:cs="新宋体"/>
          <w:color w:val="auto"/>
          <w:sz w:val="36"/>
          <w:szCs w:val="36"/>
          <w:highlight w:val="none"/>
        </w:rPr>
        <w:t>第五部分   评标原则及方法</w:t>
      </w:r>
      <w:bookmarkEnd w:id="111"/>
      <w:bookmarkEnd w:id="112"/>
      <w:bookmarkEnd w:id="113"/>
      <w:bookmarkEnd w:id="114"/>
      <w:bookmarkEnd w:id="115"/>
      <w:bookmarkEnd w:id="116"/>
      <w:bookmarkEnd w:id="117"/>
      <w:bookmarkEnd w:id="118"/>
      <w:bookmarkEnd w:id="119"/>
      <w:bookmarkEnd w:id="120"/>
      <w:bookmarkEnd w:id="136"/>
    </w:p>
    <w:p>
      <w:pPr>
        <w:pStyle w:val="10"/>
        <w:spacing w:after="0" w:line="460" w:lineRule="exact"/>
        <w:rPr>
          <w:rFonts w:ascii="新宋体" w:hAnsi="新宋体" w:eastAsia="新宋体" w:cs="新宋体"/>
          <w:b/>
          <w:color w:val="auto"/>
          <w:highlight w:val="none"/>
        </w:rPr>
      </w:pPr>
      <w:bookmarkStart w:id="137" w:name="_Toc221356898"/>
      <w:bookmarkStart w:id="138" w:name="_Toc221356961"/>
      <w:r>
        <w:rPr>
          <w:rFonts w:hint="eastAsia" w:ascii="新宋体" w:hAnsi="新宋体" w:eastAsia="新宋体" w:cs="新宋体"/>
          <w:b/>
          <w:color w:val="auto"/>
          <w:highlight w:val="none"/>
        </w:rPr>
        <w:t>一. 总  则</w:t>
      </w:r>
      <w:bookmarkEnd w:id="137"/>
      <w:bookmarkEnd w:id="138"/>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w:t>
      </w:r>
    </w:p>
    <w:p>
      <w:pPr>
        <w:pStyle w:val="10"/>
        <w:spacing w:after="0" w:line="460" w:lineRule="exact"/>
        <w:rPr>
          <w:rFonts w:ascii="新宋体" w:hAnsi="新宋体" w:eastAsia="新宋体" w:cs="新宋体"/>
          <w:b/>
          <w:color w:val="auto"/>
          <w:highlight w:val="none"/>
        </w:rPr>
      </w:pPr>
      <w:bookmarkStart w:id="139" w:name="_Toc221356962"/>
      <w:bookmarkStart w:id="140" w:name="_Toc221356899"/>
      <w:r>
        <w:rPr>
          <w:rFonts w:hint="eastAsia" w:ascii="新宋体" w:hAnsi="新宋体" w:eastAsia="新宋体" w:cs="新宋体"/>
          <w:b/>
          <w:color w:val="auto"/>
          <w:highlight w:val="none"/>
        </w:rPr>
        <w:t>二、评标组织</w:t>
      </w:r>
      <w:bookmarkEnd w:id="139"/>
      <w:bookmarkEnd w:id="140"/>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default" w:ascii="新宋体" w:hAnsi="新宋体" w:eastAsia="新宋体" w:cs="新宋体"/>
          <w:color w:val="auto"/>
          <w:sz w:val="22"/>
          <w:szCs w:val="22"/>
          <w:highlight w:val="none"/>
        </w:rPr>
        <w:t>采购人</w:t>
      </w:r>
      <w:r>
        <w:rPr>
          <w:rFonts w:hint="eastAsia" w:ascii="新宋体" w:hAnsi="新宋体" w:eastAsia="新宋体" w:cs="新宋体"/>
          <w:color w:val="auto"/>
          <w:sz w:val="22"/>
          <w:szCs w:val="22"/>
          <w:highlight w:val="none"/>
        </w:rPr>
        <w:t>依法组建的评标委员会负责，评标全过程由有关部门指导监督。</w:t>
      </w:r>
    </w:p>
    <w:p>
      <w:pPr>
        <w:pStyle w:val="10"/>
        <w:spacing w:after="0" w:line="460" w:lineRule="exact"/>
        <w:rPr>
          <w:rFonts w:ascii="新宋体" w:hAnsi="新宋体" w:eastAsia="新宋体" w:cs="新宋体"/>
          <w:b/>
          <w:color w:val="auto"/>
          <w:highlight w:val="none"/>
        </w:rPr>
      </w:pPr>
      <w:bookmarkStart w:id="141" w:name="_Toc221356900"/>
      <w:bookmarkStart w:id="142" w:name="_Toc221356963"/>
      <w:r>
        <w:rPr>
          <w:rFonts w:hint="eastAsia" w:ascii="新宋体" w:hAnsi="新宋体" w:eastAsia="新宋体" w:cs="新宋体"/>
          <w:b/>
          <w:color w:val="auto"/>
          <w:highlight w:val="none"/>
        </w:rPr>
        <w:t>三、评标程序</w:t>
      </w:r>
      <w:bookmarkEnd w:id="141"/>
      <w:bookmarkEnd w:id="142"/>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开标后，采购代理机构对各</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的资格进行审查；然后评标委员会对合格</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的投标文件进行符合性审查，按照采购文件中规定的评标方法和标准，对符合性审查合格的投标文件进行商务和技术评估，综合比较与评价。</w:t>
      </w:r>
    </w:p>
    <w:p>
      <w:pPr>
        <w:pStyle w:val="10"/>
        <w:spacing w:after="0" w:line="460" w:lineRule="exact"/>
        <w:rPr>
          <w:rFonts w:ascii="新宋体" w:hAnsi="新宋体" w:eastAsia="新宋体" w:cs="新宋体"/>
          <w:b/>
          <w:color w:val="auto"/>
          <w:highlight w:val="none"/>
        </w:rPr>
      </w:pPr>
      <w:bookmarkStart w:id="143" w:name="_Toc221356964"/>
      <w:bookmarkStart w:id="144" w:name="_Toc221356901"/>
      <w:r>
        <w:rPr>
          <w:rFonts w:hint="eastAsia" w:ascii="新宋体" w:hAnsi="新宋体" w:eastAsia="新宋体" w:cs="新宋体"/>
          <w:b/>
          <w:color w:val="auto"/>
          <w:highlight w:val="none"/>
        </w:rPr>
        <w:t>四、评标办法</w:t>
      </w:r>
      <w:bookmarkEnd w:id="143"/>
      <w:bookmarkEnd w:id="144"/>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本次采购采用百分制综合评分法，即</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最大限度地满足采购文件实质性要求的基础上，按照采购文件的各项因素进行综合评审后，以评标总得分最高的</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和次高的</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作为</w:t>
      </w:r>
      <w:r>
        <w:rPr>
          <w:rFonts w:hint="eastAsia" w:ascii="新宋体" w:hAnsi="新宋体" w:eastAsia="新宋体" w:cs="新宋体"/>
          <w:color w:val="auto"/>
          <w:sz w:val="22"/>
          <w:highlight w:val="none"/>
          <w:lang w:eastAsia="zh-CN"/>
        </w:rPr>
        <w:t>中标候选供应商</w:t>
      </w:r>
      <w:r>
        <w:rPr>
          <w:rFonts w:hint="eastAsia" w:ascii="新宋体" w:hAnsi="新宋体" w:eastAsia="新宋体" w:cs="新宋体"/>
          <w:color w:val="auto"/>
          <w:sz w:val="22"/>
          <w:highlight w:val="none"/>
        </w:rPr>
        <w:t>和备选</w:t>
      </w:r>
      <w:r>
        <w:rPr>
          <w:rFonts w:hint="eastAsia" w:ascii="新宋体" w:hAnsi="新宋体" w:eastAsia="新宋体" w:cs="新宋体"/>
          <w:color w:val="auto"/>
          <w:sz w:val="22"/>
          <w:highlight w:val="none"/>
          <w:lang w:eastAsia="zh-CN"/>
        </w:rPr>
        <w:t>中标供应商</w:t>
      </w:r>
      <w:r>
        <w:rPr>
          <w:rFonts w:hint="eastAsia" w:ascii="新宋体" w:hAnsi="新宋体" w:eastAsia="新宋体" w:cs="新宋体"/>
          <w:color w:val="auto"/>
          <w:sz w:val="22"/>
          <w:highlight w:val="none"/>
        </w:rPr>
        <w:t>的评标方法。</w:t>
      </w:r>
    </w:p>
    <w:p>
      <w:pPr>
        <w:pStyle w:val="10"/>
        <w:spacing w:after="0" w:line="460" w:lineRule="exact"/>
        <w:rPr>
          <w:rFonts w:ascii="新宋体" w:hAnsi="新宋体" w:eastAsia="新宋体" w:cs="新宋体"/>
          <w:b/>
          <w:color w:val="auto"/>
          <w:highlight w:val="none"/>
        </w:rPr>
      </w:pPr>
      <w:r>
        <w:rPr>
          <w:rFonts w:hint="eastAsia" w:ascii="新宋体" w:hAnsi="新宋体" w:eastAsia="新宋体" w:cs="新宋体"/>
          <w:b/>
          <w:color w:val="auto"/>
          <w:highlight w:val="none"/>
        </w:rPr>
        <w:t>五、评分细则</w:t>
      </w:r>
    </w:p>
    <w:p>
      <w:pPr>
        <w:numPr>
          <w:ilvl w:val="0"/>
          <w:numId w:val="22"/>
        </w:numPr>
        <w:spacing w:line="460" w:lineRule="exact"/>
        <w:ind w:firstLine="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技术资信部分的评定（</w:t>
      </w:r>
      <w:r>
        <w:rPr>
          <w:rFonts w:hint="eastAsia" w:ascii="新宋体" w:hAnsi="新宋体" w:eastAsia="新宋体" w:cs="新宋体"/>
          <w:b/>
          <w:bCs/>
          <w:color w:val="auto"/>
          <w:szCs w:val="21"/>
          <w:highlight w:val="none"/>
          <w:lang w:val="en-US" w:eastAsia="zh-CN"/>
        </w:rPr>
        <w:t>70</w:t>
      </w:r>
      <w:r>
        <w:rPr>
          <w:rFonts w:hint="eastAsia" w:ascii="新宋体" w:hAnsi="新宋体" w:eastAsia="新宋体" w:cs="新宋体"/>
          <w:b/>
          <w:bCs/>
          <w:color w:val="auto"/>
          <w:szCs w:val="21"/>
          <w:highlight w:val="none"/>
        </w:rPr>
        <w:t>分）</w:t>
      </w:r>
    </w:p>
    <w:p>
      <w:pPr>
        <w:spacing w:line="460" w:lineRule="exact"/>
        <w:ind w:firstLine="435"/>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各评委成员按下列评分项目进行评定，每人一张评分计算表，由评标委员会成员各自评定打分并记实名。如任何一张表的一项评分内容分值超过规定的范围，则该张表无效。各评标委员会成员对各</w:t>
      </w:r>
      <w:r>
        <w:rPr>
          <w:rFonts w:hint="eastAsia" w:ascii="新宋体" w:hAnsi="新宋体" w:eastAsia="新宋体" w:cs="新宋体"/>
          <w:color w:val="auto"/>
          <w:szCs w:val="21"/>
          <w:highlight w:val="none"/>
          <w:lang w:eastAsia="zh-CN"/>
        </w:rPr>
        <w:t>投标供应商</w:t>
      </w:r>
      <w:r>
        <w:rPr>
          <w:rFonts w:hint="eastAsia" w:ascii="新宋体" w:hAnsi="新宋体" w:eastAsia="新宋体" w:cs="新宋体"/>
          <w:color w:val="auto"/>
          <w:szCs w:val="21"/>
          <w:highlight w:val="none"/>
        </w:rPr>
        <w:t>的各项评分内容进行评审、独立打分，所有评委成员评分的算术平均值为该</w:t>
      </w:r>
      <w:r>
        <w:rPr>
          <w:rFonts w:hint="eastAsia" w:ascii="新宋体" w:hAnsi="新宋体" w:eastAsia="新宋体" w:cs="新宋体"/>
          <w:color w:val="auto"/>
          <w:szCs w:val="21"/>
          <w:highlight w:val="none"/>
          <w:lang w:eastAsia="zh-CN"/>
        </w:rPr>
        <w:t>投标供应商</w:t>
      </w:r>
      <w:r>
        <w:rPr>
          <w:rFonts w:hint="eastAsia" w:ascii="新宋体" w:hAnsi="新宋体" w:eastAsia="新宋体" w:cs="新宋体"/>
          <w:color w:val="auto"/>
          <w:szCs w:val="21"/>
          <w:highlight w:val="none"/>
        </w:rPr>
        <w:t>技术资信部分的最终得分（四舍五入，保留小数点后二位）。</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832"/>
        <w:gridCol w:w="1095"/>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bookmarkStart w:id="145" w:name="_Toc28615"/>
            <w:r>
              <w:rPr>
                <w:rFonts w:ascii="宋体" w:hAnsi="宋体"/>
                <w:color w:val="auto"/>
                <w:sz w:val="22"/>
                <w:szCs w:val="22"/>
                <w:highlight w:val="none"/>
              </w:rPr>
              <w:t>序号</w:t>
            </w:r>
          </w:p>
        </w:tc>
        <w:tc>
          <w:tcPr>
            <w:tcW w:w="930"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评分内容</w:t>
            </w:r>
          </w:p>
        </w:tc>
        <w:tc>
          <w:tcPr>
            <w:tcW w:w="556"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分数值</w:t>
            </w:r>
          </w:p>
        </w:tc>
        <w:tc>
          <w:tcPr>
            <w:tcW w:w="3220" w:type="pct"/>
            <w:tcBorders>
              <w:top w:val="single" w:color="auto" w:sz="4" w:space="0"/>
              <w:left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1</w:t>
            </w:r>
          </w:p>
        </w:tc>
        <w:tc>
          <w:tcPr>
            <w:tcW w:w="930"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投标供应商认证情况</w:t>
            </w:r>
          </w:p>
        </w:tc>
        <w:tc>
          <w:tcPr>
            <w:tcW w:w="556"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0-3分</w:t>
            </w:r>
          </w:p>
        </w:tc>
        <w:tc>
          <w:tcPr>
            <w:tcW w:w="3220" w:type="pct"/>
            <w:tcBorders>
              <w:top w:val="single" w:color="auto" w:sz="4" w:space="0"/>
              <w:left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根据投标供应商提供的ISO质量管理体系证书、环境管理体系证书、职业健康安全管理体系证书打分，每提供一个有效证书得1分，满分3分</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提供证书复印件加盖公章，</w:t>
            </w:r>
            <w:r>
              <w:rPr>
                <w:rFonts w:ascii="宋体" w:hAnsi="宋体"/>
                <w:color w:val="auto"/>
                <w:sz w:val="22"/>
                <w:szCs w:val="22"/>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2</w:t>
            </w:r>
          </w:p>
        </w:tc>
        <w:tc>
          <w:tcPr>
            <w:tcW w:w="930"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财务状况</w:t>
            </w:r>
          </w:p>
        </w:tc>
        <w:tc>
          <w:tcPr>
            <w:tcW w:w="556"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0-3分</w:t>
            </w:r>
          </w:p>
        </w:tc>
        <w:tc>
          <w:tcPr>
            <w:tcW w:w="3220" w:type="pct"/>
            <w:tcBorders>
              <w:top w:val="single" w:color="auto" w:sz="4" w:space="0"/>
              <w:left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根据投标供应商提供的2018年、2019</w:t>
            </w:r>
            <w:r>
              <w:rPr>
                <w:rFonts w:hint="eastAsia" w:ascii="宋体" w:hAnsi="宋体"/>
                <w:color w:val="auto"/>
                <w:sz w:val="22"/>
                <w:szCs w:val="22"/>
                <w:highlight w:val="none"/>
                <w:lang w:val="en-US" w:eastAsia="zh-CN"/>
              </w:rPr>
              <w:t>年</w:t>
            </w:r>
            <w:r>
              <w:rPr>
                <w:rFonts w:ascii="宋体" w:hAnsi="宋体"/>
                <w:color w:val="auto"/>
                <w:sz w:val="22"/>
                <w:szCs w:val="22"/>
                <w:highlight w:val="none"/>
              </w:rPr>
              <w:t>、2020年</w:t>
            </w:r>
            <w:r>
              <w:rPr>
                <w:rFonts w:hint="eastAsia" w:ascii="宋体" w:hAnsi="宋体"/>
                <w:color w:val="auto"/>
                <w:sz w:val="22"/>
                <w:szCs w:val="22"/>
                <w:highlight w:val="none"/>
                <w:lang w:val="en-US" w:eastAsia="zh-CN"/>
              </w:rPr>
              <w:t>的财务</w:t>
            </w:r>
            <w:r>
              <w:rPr>
                <w:rFonts w:ascii="宋体" w:hAnsi="宋体"/>
                <w:color w:val="auto"/>
                <w:sz w:val="22"/>
                <w:szCs w:val="22"/>
                <w:highlight w:val="none"/>
              </w:rPr>
              <w:t>报告，由评委打分，须提供相关证明材料复印件，不提供不得分。A档3</w:t>
            </w:r>
            <w:r>
              <w:rPr>
                <w:rFonts w:hint="eastAsia" w:ascii="宋体" w:hAnsi="宋体"/>
                <w:color w:val="auto"/>
                <w:sz w:val="22"/>
                <w:szCs w:val="22"/>
                <w:highlight w:val="none"/>
                <w:lang w:val="en-US" w:eastAsia="zh-CN"/>
              </w:rPr>
              <w:t>-2</w:t>
            </w:r>
            <w:r>
              <w:rPr>
                <w:rFonts w:ascii="宋体" w:hAnsi="宋体"/>
                <w:color w:val="auto"/>
                <w:sz w:val="22"/>
                <w:szCs w:val="22"/>
                <w:highlight w:val="none"/>
              </w:rPr>
              <w:t>分，B档2</w:t>
            </w:r>
            <w:r>
              <w:rPr>
                <w:rFonts w:hint="eastAsia" w:ascii="宋体" w:hAnsi="宋体"/>
                <w:color w:val="auto"/>
                <w:sz w:val="22"/>
                <w:szCs w:val="22"/>
                <w:highlight w:val="none"/>
                <w:lang w:val="en-US" w:eastAsia="zh-CN"/>
              </w:rPr>
              <w:t>-1</w:t>
            </w:r>
            <w:r>
              <w:rPr>
                <w:rFonts w:ascii="宋体" w:hAnsi="宋体"/>
                <w:color w:val="auto"/>
                <w:sz w:val="22"/>
                <w:szCs w:val="22"/>
                <w:highlight w:val="none"/>
              </w:rPr>
              <w:t>分，C档：1</w:t>
            </w:r>
            <w:r>
              <w:rPr>
                <w:rFonts w:hint="eastAsia" w:ascii="宋体" w:hAnsi="宋体"/>
                <w:color w:val="auto"/>
                <w:sz w:val="22"/>
                <w:szCs w:val="22"/>
                <w:highlight w:val="none"/>
                <w:lang w:val="en-US" w:eastAsia="zh-CN"/>
              </w:rPr>
              <w:t>-0</w:t>
            </w:r>
            <w:r>
              <w:rPr>
                <w:rFonts w:ascii="宋体" w:hAnsi="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ind w:left="-5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3</w:t>
            </w:r>
          </w:p>
        </w:tc>
        <w:tc>
          <w:tcPr>
            <w:tcW w:w="930"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项目业绩</w:t>
            </w:r>
          </w:p>
        </w:tc>
        <w:tc>
          <w:tcPr>
            <w:tcW w:w="556" w:type="pct"/>
            <w:tcBorders>
              <w:top w:val="single" w:color="auto" w:sz="4" w:space="0"/>
              <w:left w:val="single" w:color="auto" w:sz="4" w:space="0"/>
              <w:bottom w:val="single" w:color="auto" w:sz="4" w:space="0"/>
              <w:right w:val="single" w:color="auto" w:sz="4" w:space="0"/>
            </w:tcBorders>
            <w:vAlign w:val="center"/>
          </w:tcPr>
          <w:p>
            <w:pPr>
              <w:ind w:left="-50"/>
              <w:jc w:val="center"/>
              <w:rPr>
                <w:rFonts w:ascii="宋体" w:hAnsi="宋体"/>
                <w:color w:val="auto"/>
                <w:sz w:val="22"/>
                <w:szCs w:val="22"/>
                <w:highlight w:val="none"/>
              </w:rPr>
            </w:pPr>
            <w:r>
              <w:rPr>
                <w:rFonts w:ascii="宋体" w:hAnsi="宋体"/>
                <w:color w:val="auto"/>
                <w:sz w:val="22"/>
                <w:szCs w:val="22"/>
                <w:highlight w:val="none"/>
              </w:rPr>
              <w:t>0-6分</w:t>
            </w:r>
          </w:p>
        </w:tc>
        <w:tc>
          <w:tcPr>
            <w:tcW w:w="3220" w:type="pct"/>
            <w:tcBorders>
              <w:top w:val="single" w:color="auto" w:sz="4" w:space="0"/>
              <w:left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投标供应商2017 年1月1日至今单项合同50万元（含）以上的同类产品销售业绩，每提供一个有效业绩得1分，本项最高得 6分。证明材料以提供合同为准，时间以合同签订时间为准。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91" w:type="pct"/>
            <w:tcBorders>
              <w:top w:val="single" w:color="auto" w:sz="4" w:space="0"/>
              <w:left w:val="single" w:color="auto" w:sz="4" w:space="0"/>
              <w:right w:val="single" w:color="auto" w:sz="4" w:space="0"/>
            </w:tcBorders>
            <w:vAlign w:val="center"/>
          </w:tcPr>
          <w:p>
            <w:pPr>
              <w:ind w:left="-5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4</w:t>
            </w:r>
          </w:p>
        </w:tc>
        <w:tc>
          <w:tcPr>
            <w:tcW w:w="930" w:type="pct"/>
            <w:tcBorders>
              <w:top w:val="single" w:color="auto" w:sz="4" w:space="0"/>
              <w:left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对采购文件技术要求的响应度及符合性</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szCs w:val="22"/>
                <w:highlight w:val="none"/>
              </w:rPr>
            </w:pPr>
            <w:r>
              <w:rPr>
                <w:rFonts w:ascii="宋体" w:hAnsi="宋体"/>
                <w:color w:val="auto"/>
                <w:sz w:val="22"/>
                <w:szCs w:val="22"/>
                <w:highlight w:val="none"/>
              </w:rPr>
              <w:t>0-30分</w:t>
            </w:r>
          </w:p>
        </w:tc>
        <w:tc>
          <w:tcPr>
            <w:tcW w:w="3220" w:type="pct"/>
            <w:tcBorders>
              <w:top w:val="single" w:color="auto" w:sz="4" w:space="0"/>
              <w:left w:val="single" w:color="auto" w:sz="4" w:space="0"/>
              <w:bottom w:val="single" w:color="auto" w:sz="4" w:space="0"/>
              <w:right w:val="single" w:color="auto" w:sz="4" w:space="0"/>
            </w:tcBorders>
            <w:vAlign w:val="center"/>
          </w:tcPr>
          <w:p>
            <w:pPr>
              <w:pStyle w:val="33"/>
              <w:spacing w:after="0"/>
              <w:ind w:firstLine="0" w:firstLineChars="0"/>
              <w:rPr>
                <w:rFonts w:ascii="宋体" w:hAnsi="宋体"/>
                <w:color w:val="auto"/>
                <w:sz w:val="22"/>
                <w:szCs w:val="22"/>
                <w:highlight w:val="none"/>
              </w:rPr>
            </w:pPr>
            <w:r>
              <w:rPr>
                <w:rFonts w:ascii="宋体" w:hAnsi="宋体"/>
                <w:color w:val="auto"/>
                <w:sz w:val="22"/>
                <w:szCs w:val="22"/>
                <w:highlight w:val="none"/>
              </w:rPr>
              <w:t>根据投标供应商投标产品对采购文件技术要求的响应程度及符合性：全部满足要求的得25分。标“﹡”的条款为重要参数，有一项标注“﹡”指标负偏离，每条扣5分，非“﹡”参数有一项指标负偏离的扣2分，扣完为止。有正偏离的，在专家认可的情况下，每项加1分，最多加5分。</w:t>
            </w:r>
          </w:p>
          <w:p>
            <w:pPr>
              <w:pStyle w:val="33"/>
              <w:spacing w:after="0"/>
              <w:ind w:firstLine="0" w:firstLineChars="0"/>
              <w:rPr>
                <w:rFonts w:ascii="宋体" w:hAnsi="宋体"/>
                <w:color w:val="auto"/>
                <w:sz w:val="22"/>
                <w:szCs w:val="22"/>
                <w:highlight w:val="none"/>
              </w:rPr>
            </w:pPr>
            <w:r>
              <w:rPr>
                <w:rFonts w:ascii="宋体" w:hAnsi="宋体"/>
                <w:color w:val="auto"/>
                <w:sz w:val="22"/>
                <w:szCs w:val="22"/>
                <w:highlight w:val="none"/>
              </w:rPr>
              <w:t>具体以投标供应商偏离表中的响应情况为评分标准。（注：需提供各类证书、检测报告、厂家宣传说明等相关证明材料，方便评委查阅比较，未提供或不符合要求或材料不能辨识的不得分。）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91" w:type="pct"/>
            <w:tcBorders>
              <w:top w:val="single" w:color="auto" w:sz="4" w:space="0"/>
              <w:left w:val="single" w:color="auto" w:sz="4" w:space="0"/>
              <w:right w:val="single" w:color="auto" w:sz="4" w:space="0"/>
            </w:tcBorders>
            <w:vAlign w:val="center"/>
          </w:tcPr>
          <w:p>
            <w:pPr>
              <w:ind w:left="-5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5</w:t>
            </w:r>
          </w:p>
        </w:tc>
        <w:tc>
          <w:tcPr>
            <w:tcW w:w="930" w:type="pct"/>
            <w:tcBorders>
              <w:top w:val="single" w:color="auto" w:sz="4" w:space="0"/>
              <w:left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投标产品品牌情况</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szCs w:val="22"/>
                <w:highlight w:val="none"/>
              </w:rPr>
            </w:pPr>
            <w:r>
              <w:rPr>
                <w:rFonts w:hint="eastAsia" w:ascii="宋体" w:hAnsi="宋体"/>
                <w:color w:val="auto"/>
                <w:sz w:val="22"/>
                <w:szCs w:val="22"/>
                <w:highlight w:val="none"/>
                <w:lang w:val="en-US" w:eastAsia="zh-CN"/>
              </w:rPr>
              <w:t>0</w:t>
            </w:r>
            <w:r>
              <w:rPr>
                <w:rFonts w:ascii="宋体" w:hAnsi="宋体"/>
                <w:color w:val="auto"/>
                <w:sz w:val="22"/>
                <w:szCs w:val="22"/>
                <w:highlight w:val="none"/>
              </w:rPr>
              <w:t>-</w:t>
            </w:r>
            <w:r>
              <w:rPr>
                <w:rFonts w:hint="eastAsia" w:ascii="宋体" w:hAnsi="宋体"/>
                <w:color w:val="auto"/>
                <w:sz w:val="22"/>
                <w:szCs w:val="22"/>
                <w:highlight w:val="none"/>
                <w:lang w:val="en-US" w:eastAsia="zh-CN"/>
              </w:rPr>
              <w:t>9</w:t>
            </w:r>
            <w:r>
              <w:rPr>
                <w:rFonts w:ascii="宋体" w:hAnsi="宋体"/>
                <w:color w:val="auto"/>
                <w:sz w:val="22"/>
                <w:szCs w:val="22"/>
                <w:highlight w:val="none"/>
              </w:rPr>
              <w:t>分</w:t>
            </w:r>
          </w:p>
        </w:tc>
        <w:tc>
          <w:tcPr>
            <w:tcW w:w="3220" w:type="pct"/>
            <w:tcBorders>
              <w:top w:val="single" w:color="auto" w:sz="4" w:space="0"/>
              <w:left w:val="single" w:color="auto" w:sz="4" w:space="0"/>
              <w:bottom w:val="single" w:color="auto" w:sz="4" w:space="0"/>
              <w:right w:val="single" w:color="auto" w:sz="4" w:space="0"/>
            </w:tcBorders>
            <w:vAlign w:val="center"/>
          </w:tcPr>
          <w:p>
            <w:pPr>
              <w:pStyle w:val="33"/>
              <w:spacing w:after="0"/>
              <w:ind w:firstLine="0" w:firstLineChars="0"/>
              <w:rPr>
                <w:rFonts w:ascii="宋体" w:hAnsi="宋体"/>
                <w:color w:val="auto"/>
                <w:sz w:val="22"/>
                <w:szCs w:val="22"/>
                <w:highlight w:val="none"/>
              </w:rPr>
            </w:pPr>
            <w:r>
              <w:rPr>
                <w:rFonts w:ascii="宋体" w:hAnsi="宋体"/>
                <w:color w:val="auto"/>
                <w:sz w:val="22"/>
                <w:szCs w:val="22"/>
                <w:highlight w:val="none"/>
              </w:rPr>
              <w:t>投标产品的先进性、可靠性，结合投标产品的知名度、销售量、市场占有率、使用现况和用户反馈情况等情况，由评委综合打分。A档：</w:t>
            </w:r>
            <w:r>
              <w:rPr>
                <w:rFonts w:hint="eastAsia" w:ascii="宋体" w:hAnsi="宋体"/>
                <w:color w:val="auto"/>
                <w:sz w:val="22"/>
                <w:szCs w:val="22"/>
                <w:highlight w:val="none"/>
                <w:lang w:val="en-US" w:eastAsia="zh-CN"/>
              </w:rPr>
              <w:t>9</w:t>
            </w:r>
            <w:r>
              <w:rPr>
                <w:rFonts w:ascii="宋体" w:hAnsi="宋体"/>
                <w:color w:val="auto"/>
                <w:sz w:val="22"/>
                <w:szCs w:val="22"/>
                <w:highlight w:val="none"/>
              </w:rPr>
              <w:t>-</w:t>
            </w:r>
            <w:r>
              <w:rPr>
                <w:rFonts w:hint="eastAsia" w:ascii="宋体" w:hAnsi="宋体"/>
                <w:color w:val="auto"/>
                <w:sz w:val="22"/>
                <w:szCs w:val="22"/>
                <w:highlight w:val="none"/>
                <w:lang w:val="en-US" w:eastAsia="zh-CN"/>
              </w:rPr>
              <w:t>6.1</w:t>
            </w:r>
            <w:r>
              <w:rPr>
                <w:rFonts w:ascii="宋体" w:hAnsi="宋体"/>
                <w:color w:val="auto"/>
                <w:sz w:val="22"/>
                <w:szCs w:val="22"/>
                <w:highlight w:val="none"/>
              </w:rPr>
              <w:t>分，B档：</w:t>
            </w:r>
            <w:r>
              <w:rPr>
                <w:rFonts w:hint="eastAsia" w:ascii="宋体" w:hAnsi="宋体"/>
                <w:color w:val="auto"/>
                <w:sz w:val="22"/>
                <w:szCs w:val="22"/>
                <w:highlight w:val="none"/>
                <w:lang w:val="en-US" w:eastAsia="zh-CN"/>
              </w:rPr>
              <w:t>6</w:t>
            </w:r>
            <w:r>
              <w:rPr>
                <w:rFonts w:ascii="宋体" w:hAnsi="宋体"/>
                <w:color w:val="auto"/>
                <w:sz w:val="22"/>
                <w:szCs w:val="22"/>
                <w:highlight w:val="none"/>
              </w:rPr>
              <w:t>-</w:t>
            </w:r>
            <w:r>
              <w:rPr>
                <w:rFonts w:hint="eastAsia" w:ascii="宋体" w:hAnsi="宋体"/>
                <w:color w:val="auto"/>
                <w:sz w:val="22"/>
                <w:szCs w:val="22"/>
                <w:highlight w:val="none"/>
                <w:lang w:val="en-US" w:eastAsia="zh-CN"/>
              </w:rPr>
              <w:t>3.1</w:t>
            </w:r>
            <w:r>
              <w:rPr>
                <w:rFonts w:ascii="宋体" w:hAnsi="宋体"/>
                <w:color w:val="auto"/>
                <w:sz w:val="22"/>
                <w:szCs w:val="22"/>
                <w:highlight w:val="none"/>
              </w:rPr>
              <w:t>分，C档：</w:t>
            </w:r>
            <w:r>
              <w:rPr>
                <w:rFonts w:hint="eastAsia" w:ascii="宋体" w:hAnsi="宋体"/>
                <w:color w:val="auto"/>
                <w:sz w:val="22"/>
                <w:szCs w:val="22"/>
                <w:highlight w:val="none"/>
                <w:lang w:val="en-US" w:eastAsia="zh-CN"/>
              </w:rPr>
              <w:t>3-0</w:t>
            </w:r>
            <w:r>
              <w:rPr>
                <w:rFonts w:ascii="宋体" w:hAnsi="宋体"/>
                <w:color w:val="auto"/>
                <w:sz w:val="22"/>
                <w:szCs w:val="22"/>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ind w:left="-5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6</w:t>
            </w:r>
          </w:p>
        </w:tc>
        <w:tc>
          <w:tcPr>
            <w:tcW w:w="930" w:type="pct"/>
            <w:tcBorders>
              <w:top w:val="single" w:color="auto" w:sz="4" w:space="0"/>
              <w:left w:val="single" w:color="auto" w:sz="4" w:space="0"/>
              <w:bottom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项目实施、技术方案</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szCs w:val="22"/>
                <w:highlight w:val="none"/>
              </w:rPr>
            </w:pPr>
            <w:r>
              <w:rPr>
                <w:rFonts w:hint="eastAsia" w:ascii="宋体" w:hAnsi="宋体"/>
                <w:color w:val="auto"/>
                <w:sz w:val="22"/>
                <w:szCs w:val="22"/>
                <w:highlight w:val="none"/>
                <w:lang w:val="en-US" w:eastAsia="zh-CN"/>
              </w:rPr>
              <w:t>0</w:t>
            </w:r>
            <w:r>
              <w:rPr>
                <w:rFonts w:ascii="宋体" w:hAnsi="宋体"/>
                <w:color w:val="auto"/>
                <w:sz w:val="22"/>
                <w:szCs w:val="22"/>
                <w:highlight w:val="none"/>
              </w:rPr>
              <w:t>-5分</w:t>
            </w:r>
          </w:p>
        </w:tc>
        <w:tc>
          <w:tcPr>
            <w:tcW w:w="3220" w:type="pct"/>
            <w:tcBorders>
              <w:top w:val="single" w:color="auto" w:sz="4" w:space="0"/>
              <w:left w:val="single" w:color="auto" w:sz="4" w:space="0"/>
              <w:bottom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根据投标供应商组织实施、技术方案的科学性、合理性、规范性和可操作性，包括项目理解、系统理解、产品供货、验货、安装调试、试运行、测试、调优、技术培训等内容，以及组织机构、工作时间进度表、工作程序和步骤、管理和协调方法、关键步骤的思路和要点等，由评委打分。A档：5-4.1分，B档：4-</w:t>
            </w:r>
            <w:r>
              <w:rPr>
                <w:rFonts w:hint="eastAsia" w:ascii="宋体" w:hAnsi="宋体"/>
                <w:color w:val="auto"/>
                <w:sz w:val="22"/>
                <w:szCs w:val="22"/>
                <w:highlight w:val="none"/>
                <w:lang w:val="en-US" w:eastAsia="zh-CN"/>
              </w:rPr>
              <w:t>2</w:t>
            </w:r>
            <w:r>
              <w:rPr>
                <w:rFonts w:ascii="宋体" w:hAnsi="宋体"/>
                <w:color w:val="auto"/>
                <w:sz w:val="22"/>
                <w:szCs w:val="22"/>
                <w:highlight w:val="none"/>
              </w:rPr>
              <w:t>.1分，C档：</w:t>
            </w:r>
            <w:r>
              <w:rPr>
                <w:rFonts w:hint="eastAsia" w:ascii="宋体" w:hAnsi="宋体"/>
                <w:color w:val="auto"/>
                <w:sz w:val="22"/>
                <w:szCs w:val="22"/>
                <w:highlight w:val="none"/>
                <w:lang w:val="en-US" w:eastAsia="zh-CN"/>
              </w:rPr>
              <w:t>2</w:t>
            </w:r>
            <w:r>
              <w:rPr>
                <w:rFonts w:ascii="宋体" w:hAnsi="宋体"/>
                <w:color w:val="auto"/>
                <w:sz w:val="22"/>
                <w:szCs w:val="22"/>
                <w:highlight w:val="none"/>
              </w:rPr>
              <w:t>-</w:t>
            </w:r>
            <w:r>
              <w:rPr>
                <w:rFonts w:hint="eastAsia" w:ascii="宋体" w:hAnsi="宋体"/>
                <w:color w:val="auto"/>
                <w:sz w:val="22"/>
                <w:szCs w:val="22"/>
                <w:highlight w:val="none"/>
                <w:lang w:val="en-US" w:eastAsia="zh-CN"/>
              </w:rPr>
              <w:t>0</w:t>
            </w:r>
            <w:r>
              <w:rPr>
                <w:rFonts w:ascii="宋体" w:hAnsi="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ind w:left="-5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7</w:t>
            </w:r>
          </w:p>
        </w:tc>
        <w:tc>
          <w:tcPr>
            <w:tcW w:w="930" w:type="pct"/>
            <w:tcBorders>
              <w:top w:val="single" w:color="auto" w:sz="4" w:space="0"/>
              <w:left w:val="single" w:color="auto" w:sz="4" w:space="0"/>
              <w:bottom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项目人员配备</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szCs w:val="22"/>
                <w:highlight w:val="none"/>
              </w:rPr>
            </w:pPr>
            <w:r>
              <w:rPr>
                <w:rFonts w:hint="eastAsia" w:ascii="宋体" w:hAnsi="宋体"/>
                <w:color w:val="auto"/>
                <w:sz w:val="22"/>
                <w:szCs w:val="22"/>
                <w:highlight w:val="none"/>
                <w:lang w:val="en-US" w:eastAsia="zh-CN"/>
              </w:rPr>
              <w:t>0</w:t>
            </w:r>
            <w:r>
              <w:rPr>
                <w:rFonts w:ascii="宋体" w:hAnsi="宋体"/>
                <w:color w:val="auto"/>
                <w:sz w:val="22"/>
                <w:szCs w:val="22"/>
                <w:highlight w:val="none"/>
              </w:rPr>
              <w:t>-3分</w:t>
            </w:r>
          </w:p>
        </w:tc>
        <w:tc>
          <w:tcPr>
            <w:tcW w:w="3220" w:type="pct"/>
            <w:tcBorders>
              <w:top w:val="single" w:color="auto" w:sz="4" w:space="0"/>
              <w:left w:val="single" w:color="auto" w:sz="4" w:space="0"/>
              <w:bottom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根据投标供应商拟投入本项目实施人员、培训人员及售后服务人员的学历、资质、工作经验、数量等，由评委综合打分。A档：3-2.</w:t>
            </w:r>
            <w:r>
              <w:rPr>
                <w:rFonts w:hint="eastAsia" w:ascii="宋体" w:hAnsi="宋体"/>
                <w:color w:val="auto"/>
                <w:sz w:val="22"/>
                <w:szCs w:val="22"/>
                <w:highlight w:val="none"/>
                <w:lang w:val="en-US" w:eastAsia="zh-CN"/>
              </w:rPr>
              <w:t>1</w:t>
            </w:r>
            <w:r>
              <w:rPr>
                <w:rFonts w:ascii="宋体" w:hAnsi="宋体"/>
                <w:color w:val="auto"/>
                <w:sz w:val="22"/>
                <w:szCs w:val="22"/>
                <w:highlight w:val="none"/>
              </w:rPr>
              <w:t>分，B档：2-1.</w:t>
            </w:r>
            <w:r>
              <w:rPr>
                <w:rFonts w:hint="eastAsia" w:ascii="宋体" w:hAnsi="宋体"/>
                <w:color w:val="auto"/>
                <w:sz w:val="22"/>
                <w:szCs w:val="22"/>
                <w:highlight w:val="none"/>
                <w:lang w:val="en-US" w:eastAsia="zh-CN"/>
              </w:rPr>
              <w:t>1</w:t>
            </w:r>
            <w:r>
              <w:rPr>
                <w:rFonts w:ascii="宋体" w:hAnsi="宋体"/>
                <w:color w:val="auto"/>
                <w:sz w:val="22"/>
                <w:szCs w:val="22"/>
                <w:highlight w:val="none"/>
              </w:rPr>
              <w:t>分，C档：1-0分。提供学历证书、资质证明、近三个月</w:t>
            </w:r>
            <w:r>
              <w:rPr>
                <w:rFonts w:hint="eastAsia" w:ascii="宋体" w:hAnsi="宋体"/>
                <w:color w:val="auto"/>
                <w:sz w:val="22"/>
                <w:szCs w:val="22"/>
                <w:highlight w:val="none"/>
                <w:lang w:val="en-US" w:eastAsia="zh-CN"/>
              </w:rPr>
              <w:t>任一月</w:t>
            </w:r>
            <w:r>
              <w:rPr>
                <w:rFonts w:ascii="宋体" w:hAnsi="宋体"/>
                <w:color w:val="auto"/>
                <w:sz w:val="22"/>
                <w:szCs w:val="22"/>
                <w:highlight w:val="none"/>
              </w:rPr>
              <w:t>的社保证明等复印件加盖公章。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ind w:left="-5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8</w:t>
            </w:r>
          </w:p>
        </w:tc>
        <w:tc>
          <w:tcPr>
            <w:tcW w:w="930" w:type="pct"/>
            <w:tcBorders>
              <w:top w:val="single" w:color="auto" w:sz="4" w:space="0"/>
              <w:left w:val="single" w:color="auto" w:sz="4" w:space="0"/>
              <w:bottom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售后服务</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szCs w:val="22"/>
                <w:highlight w:val="none"/>
              </w:rPr>
            </w:pPr>
            <w:r>
              <w:rPr>
                <w:rFonts w:hint="eastAsia" w:ascii="宋体" w:hAnsi="宋体"/>
                <w:color w:val="auto"/>
                <w:sz w:val="22"/>
                <w:szCs w:val="22"/>
                <w:highlight w:val="none"/>
                <w:lang w:val="en-US" w:eastAsia="zh-CN"/>
              </w:rPr>
              <w:t>0</w:t>
            </w:r>
            <w:r>
              <w:rPr>
                <w:rFonts w:ascii="宋体" w:hAnsi="宋体"/>
                <w:color w:val="auto"/>
                <w:sz w:val="22"/>
                <w:szCs w:val="22"/>
                <w:highlight w:val="none"/>
              </w:rPr>
              <w:t>-5分</w:t>
            </w:r>
          </w:p>
        </w:tc>
        <w:tc>
          <w:tcPr>
            <w:tcW w:w="3220" w:type="pct"/>
            <w:tcBorders>
              <w:top w:val="single" w:color="auto" w:sz="4" w:space="0"/>
              <w:left w:val="single" w:color="auto" w:sz="4" w:space="0"/>
              <w:bottom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根据投标供应商的售后服务网点远近情况、响应时间、售后服务内容、服务体系情况，由评委综合打分。A档：5-4.1分，B档：4-</w:t>
            </w:r>
            <w:r>
              <w:rPr>
                <w:rFonts w:hint="eastAsia" w:ascii="宋体" w:hAnsi="宋体"/>
                <w:color w:val="auto"/>
                <w:sz w:val="22"/>
                <w:szCs w:val="22"/>
                <w:highlight w:val="none"/>
                <w:lang w:val="en-US" w:eastAsia="zh-CN"/>
              </w:rPr>
              <w:t>2</w:t>
            </w:r>
            <w:r>
              <w:rPr>
                <w:rFonts w:ascii="宋体" w:hAnsi="宋体"/>
                <w:color w:val="auto"/>
                <w:sz w:val="22"/>
                <w:szCs w:val="22"/>
                <w:highlight w:val="none"/>
              </w:rPr>
              <w:t>.1分，C档：</w:t>
            </w:r>
            <w:r>
              <w:rPr>
                <w:rFonts w:hint="eastAsia" w:ascii="宋体" w:hAnsi="宋体"/>
                <w:color w:val="auto"/>
                <w:sz w:val="22"/>
                <w:szCs w:val="22"/>
                <w:highlight w:val="none"/>
                <w:lang w:val="en-US" w:eastAsia="zh-CN"/>
              </w:rPr>
              <w:t>2</w:t>
            </w:r>
            <w:r>
              <w:rPr>
                <w:rFonts w:ascii="宋体" w:hAnsi="宋体"/>
                <w:color w:val="auto"/>
                <w:sz w:val="22"/>
                <w:szCs w:val="22"/>
                <w:highlight w:val="none"/>
              </w:rPr>
              <w:t>-</w:t>
            </w:r>
            <w:r>
              <w:rPr>
                <w:rFonts w:hint="eastAsia" w:ascii="宋体" w:hAnsi="宋体"/>
                <w:color w:val="auto"/>
                <w:sz w:val="22"/>
                <w:szCs w:val="22"/>
                <w:highlight w:val="none"/>
                <w:lang w:val="en-US" w:eastAsia="zh-CN"/>
              </w:rPr>
              <w:t>0</w:t>
            </w:r>
            <w:r>
              <w:rPr>
                <w:rFonts w:ascii="宋体" w:hAnsi="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1" w:type="pct"/>
            <w:tcBorders>
              <w:left w:val="single" w:color="auto" w:sz="4" w:space="0"/>
              <w:right w:val="single" w:color="auto" w:sz="4" w:space="0"/>
            </w:tcBorders>
            <w:vAlign w:val="center"/>
          </w:tcPr>
          <w:p>
            <w:pPr>
              <w:ind w:left="-5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9</w:t>
            </w:r>
          </w:p>
        </w:tc>
        <w:tc>
          <w:tcPr>
            <w:tcW w:w="930" w:type="pct"/>
            <w:tcBorders>
              <w:left w:val="single" w:color="auto" w:sz="4" w:space="0"/>
              <w:right w:val="single" w:color="auto" w:sz="4" w:space="0"/>
            </w:tcBorders>
            <w:vAlign w:val="center"/>
          </w:tcPr>
          <w:p>
            <w:pPr>
              <w:ind w:left="-50"/>
              <w:rPr>
                <w:rFonts w:ascii="宋体" w:hAnsi="宋体"/>
                <w:color w:val="auto"/>
                <w:sz w:val="22"/>
                <w:szCs w:val="22"/>
                <w:highlight w:val="none"/>
              </w:rPr>
            </w:pPr>
            <w:r>
              <w:rPr>
                <w:rFonts w:ascii="宋体" w:hAnsi="宋体"/>
                <w:color w:val="auto"/>
                <w:sz w:val="22"/>
                <w:szCs w:val="22"/>
                <w:highlight w:val="none"/>
              </w:rPr>
              <w:t>质保期</w:t>
            </w:r>
          </w:p>
        </w:tc>
        <w:tc>
          <w:tcPr>
            <w:tcW w:w="556" w:type="pct"/>
            <w:tcBorders>
              <w:left w:val="single" w:color="auto" w:sz="4" w:space="0"/>
              <w:right w:val="single" w:color="auto" w:sz="4" w:space="0"/>
            </w:tcBorders>
            <w:vAlign w:val="center"/>
          </w:tcPr>
          <w:p>
            <w:pPr>
              <w:jc w:val="center"/>
              <w:rPr>
                <w:rFonts w:ascii="宋体" w:hAnsi="宋体"/>
                <w:color w:val="auto"/>
                <w:sz w:val="22"/>
                <w:szCs w:val="22"/>
                <w:highlight w:val="none"/>
              </w:rPr>
            </w:pPr>
            <w:r>
              <w:rPr>
                <w:rFonts w:ascii="宋体" w:hAnsi="宋体"/>
                <w:color w:val="auto"/>
                <w:sz w:val="22"/>
                <w:szCs w:val="22"/>
                <w:highlight w:val="none"/>
              </w:rPr>
              <w:t>0-3分</w:t>
            </w:r>
          </w:p>
        </w:tc>
        <w:tc>
          <w:tcPr>
            <w:tcW w:w="3220" w:type="pct"/>
            <w:tcBorders>
              <w:top w:val="single" w:color="auto" w:sz="4" w:space="0"/>
              <w:left w:val="single" w:color="auto" w:sz="4" w:space="0"/>
              <w:right w:val="single" w:color="auto" w:sz="4" w:space="0"/>
            </w:tcBorders>
            <w:vAlign w:val="center"/>
          </w:tcPr>
          <w:p>
            <w:pPr>
              <w:rPr>
                <w:color w:val="auto"/>
                <w:sz w:val="22"/>
                <w:szCs w:val="22"/>
                <w:highlight w:val="none"/>
              </w:rPr>
            </w:pPr>
            <w:r>
              <w:rPr>
                <w:rFonts w:ascii="宋体" w:hAnsi="宋体"/>
                <w:color w:val="auto"/>
                <w:sz w:val="22"/>
                <w:szCs w:val="22"/>
                <w:highlight w:val="none"/>
              </w:rPr>
              <w:t>在满足采购文件免费维保服务期1年的基础上，每增加一年得1分（不足一年的不得分），最高得3分。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ind w:left="-50"/>
              <w:jc w:val="center"/>
              <w:rPr>
                <w:rFonts w:hint="eastAsia" w:ascii="宋体" w:hAnsi="宋体" w:eastAsia="宋体"/>
                <w:color w:val="auto"/>
                <w:sz w:val="22"/>
                <w:szCs w:val="22"/>
                <w:highlight w:val="none"/>
                <w:lang w:eastAsia="zh-CN"/>
              </w:rPr>
            </w:pPr>
            <w:r>
              <w:rPr>
                <w:rFonts w:ascii="宋体" w:hAnsi="宋体"/>
                <w:color w:val="auto"/>
                <w:sz w:val="22"/>
                <w:szCs w:val="22"/>
                <w:highlight w:val="none"/>
              </w:rPr>
              <w:t>1</w:t>
            </w:r>
            <w:r>
              <w:rPr>
                <w:rFonts w:hint="eastAsia" w:ascii="宋体" w:hAnsi="宋体"/>
                <w:color w:val="auto"/>
                <w:sz w:val="22"/>
                <w:szCs w:val="22"/>
                <w:highlight w:val="none"/>
                <w:lang w:val="en-US" w:eastAsia="zh-CN"/>
              </w:rPr>
              <w:t>0</w:t>
            </w:r>
          </w:p>
        </w:tc>
        <w:tc>
          <w:tcPr>
            <w:tcW w:w="930"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szCs w:val="22"/>
                <w:highlight w:val="none"/>
              </w:rPr>
            </w:pPr>
            <w:r>
              <w:rPr>
                <w:rFonts w:ascii="宋体" w:hAnsi="宋体"/>
                <w:color w:val="auto"/>
                <w:sz w:val="22"/>
                <w:szCs w:val="22"/>
                <w:highlight w:val="none"/>
              </w:rPr>
              <w:t>质保期后配件及耗材的优惠情况</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szCs w:val="22"/>
                <w:highlight w:val="none"/>
              </w:rPr>
            </w:pPr>
            <w:r>
              <w:rPr>
                <w:rFonts w:hint="eastAsia" w:ascii="宋体" w:hAnsi="宋体"/>
                <w:color w:val="auto"/>
                <w:sz w:val="22"/>
                <w:szCs w:val="22"/>
                <w:highlight w:val="none"/>
                <w:lang w:val="en-US" w:eastAsia="zh-CN"/>
              </w:rPr>
              <w:t>0</w:t>
            </w:r>
            <w:r>
              <w:rPr>
                <w:rFonts w:ascii="宋体" w:hAnsi="宋体"/>
                <w:color w:val="auto"/>
                <w:sz w:val="22"/>
                <w:szCs w:val="22"/>
                <w:highlight w:val="none"/>
              </w:rPr>
              <w:t>-3分</w:t>
            </w:r>
          </w:p>
        </w:tc>
        <w:tc>
          <w:tcPr>
            <w:tcW w:w="32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1"/>
              <w:rPr>
                <w:rFonts w:ascii="宋体" w:hAnsi="宋体"/>
                <w:color w:val="auto"/>
                <w:sz w:val="22"/>
                <w:szCs w:val="22"/>
                <w:highlight w:val="none"/>
              </w:rPr>
            </w:pPr>
            <w:r>
              <w:rPr>
                <w:rFonts w:ascii="宋体" w:hAnsi="宋体"/>
                <w:color w:val="auto"/>
                <w:sz w:val="22"/>
                <w:szCs w:val="22"/>
                <w:highlight w:val="none"/>
                <w:lang w:val="zh-CN"/>
              </w:rPr>
              <w:t>根据投标供应商提供的质保期后的配件及耗材优惠情况</w:t>
            </w:r>
            <w:r>
              <w:rPr>
                <w:rFonts w:ascii="宋体" w:hAnsi="宋体"/>
                <w:color w:val="auto"/>
                <w:sz w:val="22"/>
                <w:szCs w:val="22"/>
                <w:highlight w:val="none"/>
              </w:rPr>
              <w:t>，由评委综合打分。A档：3-2.</w:t>
            </w:r>
            <w:r>
              <w:rPr>
                <w:rFonts w:hint="eastAsia" w:ascii="宋体" w:hAnsi="宋体"/>
                <w:color w:val="auto"/>
                <w:sz w:val="22"/>
                <w:szCs w:val="22"/>
                <w:highlight w:val="none"/>
                <w:lang w:val="en-US" w:eastAsia="zh-CN"/>
              </w:rPr>
              <w:t>1</w:t>
            </w:r>
            <w:r>
              <w:rPr>
                <w:rFonts w:ascii="宋体" w:hAnsi="宋体"/>
                <w:color w:val="auto"/>
                <w:sz w:val="22"/>
                <w:szCs w:val="22"/>
                <w:highlight w:val="none"/>
              </w:rPr>
              <w:t>分，B档：2-1.</w:t>
            </w:r>
            <w:r>
              <w:rPr>
                <w:rFonts w:hint="eastAsia" w:ascii="宋体" w:hAnsi="宋体"/>
                <w:color w:val="auto"/>
                <w:sz w:val="22"/>
                <w:szCs w:val="22"/>
                <w:highlight w:val="none"/>
                <w:lang w:val="en-US" w:eastAsia="zh-CN"/>
              </w:rPr>
              <w:t>1</w:t>
            </w:r>
            <w:r>
              <w:rPr>
                <w:rFonts w:ascii="宋体" w:hAnsi="宋体"/>
                <w:color w:val="auto"/>
                <w:sz w:val="22"/>
                <w:szCs w:val="22"/>
                <w:highlight w:val="none"/>
              </w:rPr>
              <w:t>分，C档：1-0分。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 w:val="22"/>
                <w:szCs w:val="22"/>
                <w:highlight w:val="none"/>
              </w:rPr>
            </w:pPr>
            <w:r>
              <w:rPr>
                <w:rFonts w:ascii="宋体" w:hAnsi="宋体"/>
                <w:color w:val="auto"/>
                <w:sz w:val="22"/>
                <w:szCs w:val="22"/>
                <w:highlight w:val="none"/>
              </w:rPr>
              <w:t>说明：</w:t>
            </w:r>
          </w:p>
          <w:p>
            <w:pPr>
              <w:adjustRightInd w:val="0"/>
              <w:snapToGrid w:val="0"/>
              <w:rPr>
                <w:rFonts w:ascii="宋体" w:hAnsi="宋体"/>
                <w:color w:val="auto"/>
                <w:sz w:val="22"/>
                <w:szCs w:val="22"/>
                <w:highlight w:val="none"/>
              </w:rPr>
            </w:pPr>
            <w:r>
              <w:rPr>
                <w:rFonts w:ascii="宋体" w:hAnsi="宋体"/>
                <w:color w:val="auto"/>
                <w:sz w:val="22"/>
                <w:szCs w:val="22"/>
                <w:highlight w:val="none"/>
              </w:rPr>
              <w:t>（1）技术资信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pPr>
              <w:adjustRightInd w:val="0"/>
              <w:snapToGrid w:val="0"/>
              <w:rPr>
                <w:rFonts w:ascii="宋体" w:hAnsi="宋体"/>
                <w:color w:val="auto"/>
                <w:sz w:val="22"/>
                <w:szCs w:val="22"/>
                <w:highlight w:val="none"/>
              </w:rPr>
            </w:pPr>
            <w:r>
              <w:rPr>
                <w:rFonts w:ascii="宋体" w:hAnsi="宋体"/>
                <w:color w:val="auto"/>
                <w:sz w:val="22"/>
                <w:szCs w:val="22"/>
                <w:highlight w:val="none"/>
              </w:rPr>
              <w:t>（2）技术资信标未提供评分项目内容的，该项按零分处理，且不受最低分值限制。</w:t>
            </w:r>
          </w:p>
          <w:p>
            <w:pPr>
              <w:adjustRightInd w:val="0"/>
              <w:snapToGrid w:val="0"/>
              <w:rPr>
                <w:rFonts w:ascii="宋体" w:hAnsi="宋体"/>
                <w:color w:val="auto"/>
                <w:sz w:val="22"/>
                <w:szCs w:val="22"/>
                <w:highlight w:val="none"/>
              </w:rPr>
            </w:pPr>
            <w:r>
              <w:rPr>
                <w:rFonts w:ascii="宋体" w:hAnsi="宋体"/>
                <w:color w:val="auto"/>
                <w:sz w:val="22"/>
                <w:szCs w:val="22"/>
                <w:highlight w:val="none"/>
              </w:rPr>
              <w:t>（3）技术资信标中提供的证明材料无法辨认的，按未提供处理。</w:t>
            </w:r>
          </w:p>
          <w:p>
            <w:pPr>
              <w:pStyle w:val="2"/>
              <w:spacing w:line="240" w:lineRule="auto"/>
              <w:ind w:firstLine="0" w:firstLineChars="0"/>
              <w:rPr>
                <w:color w:val="auto"/>
                <w:sz w:val="22"/>
                <w:szCs w:val="22"/>
                <w:highlight w:val="none"/>
                <w:lang w:val="zh-CN"/>
              </w:rPr>
            </w:pPr>
            <w:r>
              <w:rPr>
                <w:color w:val="auto"/>
                <w:sz w:val="22"/>
                <w:szCs w:val="22"/>
                <w:highlight w:val="none"/>
              </w:rPr>
              <w:t>（4）投标结束后签订合同前，针对中标单位供应商，采购人有权对其设备性能、参数等进行符合性验证，凡与其投标文件有偏差，将没收投标保证金，并视其程度进行决定是否上报至相关部门。</w:t>
            </w:r>
          </w:p>
        </w:tc>
      </w:tr>
    </w:tbl>
    <w:p>
      <w:pPr>
        <w:pStyle w:val="4"/>
        <w:rPr>
          <w:rFonts w:hint="default" w:eastAsia="新宋体"/>
          <w:color w:val="auto"/>
          <w:highlight w:val="none"/>
          <w:lang w:val="en-US" w:eastAsia="zh-CN"/>
        </w:rPr>
      </w:pPr>
      <w:r>
        <w:rPr>
          <w:rFonts w:hint="eastAsia" w:ascii="新宋体" w:hAnsi="新宋体" w:eastAsia="新宋体"/>
          <w:bCs/>
          <w:color w:val="auto"/>
          <w:sz w:val="22"/>
          <w:szCs w:val="22"/>
          <w:highlight w:val="none"/>
          <w:lang w:val="en-US" w:eastAsia="zh-CN"/>
        </w:rPr>
        <w:t>其他说明：</w:t>
      </w:r>
      <w:bookmarkEnd w:id="145"/>
    </w:p>
    <w:p>
      <w:pPr>
        <w:pStyle w:val="11"/>
        <w:spacing w:after="0" w:line="460" w:lineRule="exact"/>
        <w:ind w:left="0" w:leftChars="0" w:firstLine="0" w:firstLineChars="0"/>
        <w:rPr>
          <w:rFonts w:hint="eastAsia"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（1）以上所需的各种证书、证件、证明、执照若系复印件，须在复印件上加盖</w:t>
      </w:r>
      <w:r>
        <w:rPr>
          <w:rFonts w:hint="eastAsia" w:ascii="新宋体" w:hAnsi="新宋体" w:eastAsia="新宋体" w:cs="宋体"/>
          <w:bCs/>
          <w:color w:val="auto"/>
          <w:sz w:val="22"/>
          <w:szCs w:val="22"/>
          <w:highlight w:val="none"/>
          <w:lang w:eastAsia="zh-CN"/>
        </w:rPr>
        <w:t>投标供应商</w:t>
      </w:r>
      <w:r>
        <w:rPr>
          <w:rFonts w:hint="eastAsia" w:ascii="新宋体" w:hAnsi="新宋体" w:eastAsia="新宋体" w:cs="宋体"/>
          <w:bCs/>
          <w:color w:val="auto"/>
          <w:sz w:val="22"/>
          <w:szCs w:val="22"/>
          <w:highlight w:val="none"/>
        </w:rPr>
        <w:t>有效的公章。证书、证件、证明等原件，属备查项目，并非强制性要求。评标主要依据</w:t>
      </w:r>
      <w:r>
        <w:rPr>
          <w:rFonts w:hint="eastAsia" w:ascii="新宋体" w:hAnsi="新宋体" w:eastAsia="新宋体" w:cs="宋体"/>
          <w:bCs/>
          <w:color w:val="auto"/>
          <w:sz w:val="22"/>
          <w:szCs w:val="22"/>
          <w:highlight w:val="none"/>
          <w:lang w:eastAsia="zh-CN"/>
        </w:rPr>
        <w:t>投标供应商</w:t>
      </w:r>
      <w:r>
        <w:rPr>
          <w:rFonts w:hint="eastAsia" w:ascii="新宋体" w:hAnsi="新宋体" w:eastAsia="新宋体" w:cs="宋体"/>
          <w:bCs/>
          <w:color w:val="auto"/>
          <w:sz w:val="22"/>
          <w:szCs w:val="22"/>
          <w:highlight w:val="none"/>
        </w:rPr>
        <w:t>投标文件中加盖有效公章的证书/证明文件复印件，如评标委员会对复印件有异议的，可在</w:t>
      </w:r>
      <w:r>
        <w:rPr>
          <w:rFonts w:hint="eastAsia" w:ascii="新宋体" w:hAnsi="新宋体" w:eastAsia="新宋体" w:cs="宋体"/>
          <w:bCs/>
          <w:color w:val="auto"/>
          <w:sz w:val="22"/>
          <w:szCs w:val="22"/>
          <w:highlight w:val="none"/>
          <w:lang w:eastAsia="zh-CN"/>
        </w:rPr>
        <w:t>投标供应商</w:t>
      </w:r>
      <w:r>
        <w:rPr>
          <w:rFonts w:hint="eastAsia" w:ascii="新宋体" w:hAnsi="新宋体" w:eastAsia="新宋体" w:cs="宋体"/>
          <w:bCs/>
          <w:color w:val="auto"/>
          <w:sz w:val="22"/>
          <w:szCs w:val="22"/>
          <w:highlight w:val="none"/>
        </w:rPr>
        <w:t>提供原件资料里核查，若</w:t>
      </w:r>
      <w:r>
        <w:rPr>
          <w:rFonts w:hint="eastAsia" w:ascii="新宋体" w:hAnsi="新宋体" w:eastAsia="新宋体" w:cs="宋体"/>
          <w:bCs/>
          <w:color w:val="auto"/>
          <w:sz w:val="22"/>
          <w:szCs w:val="22"/>
          <w:highlight w:val="none"/>
          <w:lang w:eastAsia="zh-CN"/>
        </w:rPr>
        <w:t>投标供应商</w:t>
      </w:r>
      <w:r>
        <w:rPr>
          <w:rFonts w:hint="eastAsia" w:ascii="新宋体" w:hAnsi="新宋体" w:eastAsia="新宋体" w:cs="宋体"/>
          <w:bCs/>
          <w:color w:val="auto"/>
          <w:sz w:val="22"/>
          <w:szCs w:val="22"/>
          <w:highlight w:val="none"/>
        </w:rPr>
        <w:t>未提供原件资料佐证的，则承担相应评分项不得分的风险。</w:t>
      </w:r>
    </w:p>
    <w:p>
      <w:pPr>
        <w:numPr>
          <w:ilvl w:val="0"/>
          <w:numId w:val="22"/>
        </w:numPr>
        <w:spacing w:line="460" w:lineRule="exact"/>
        <w:ind w:firstLine="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b/>
          <w:bCs/>
          <w:color w:val="auto"/>
          <w:sz w:val="22"/>
          <w:szCs w:val="22"/>
          <w:highlight w:val="none"/>
        </w:rPr>
        <w:t>商务评分（</w:t>
      </w:r>
      <w:r>
        <w:rPr>
          <w:rFonts w:hint="eastAsia" w:ascii="新宋体" w:hAnsi="新宋体" w:eastAsia="新宋体" w:cs="新宋体"/>
          <w:b/>
          <w:bCs/>
          <w:color w:val="auto"/>
          <w:sz w:val="22"/>
          <w:szCs w:val="22"/>
          <w:highlight w:val="none"/>
          <w:lang w:val="en-US" w:eastAsia="zh-CN"/>
        </w:rPr>
        <w:t>30</w:t>
      </w:r>
      <w:r>
        <w:rPr>
          <w:rFonts w:hint="eastAsia" w:ascii="新宋体" w:hAnsi="新宋体" w:eastAsia="新宋体" w:cs="新宋体"/>
          <w:b/>
          <w:bCs/>
          <w:color w:val="auto"/>
          <w:sz w:val="22"/>
          <w:szCs w:val="22"/>
          <w:highlight w:val="none"/>
        </w:rPr>
        <w:t>分）：</w:t>
      </w:r>
    </w:p>
    <w:p>
      <w:p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满足采购文件要求且投标报价的最低价作为评标基准价；</w:t>
      </w:r>
    </w:p>
    <w:p>
      <w:pPr>
        <w:numPr>
          <w:ilvl w:val="0"/>
          <w:numId w:val="23"/>
        </w:numPr>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有效</w:t>
      </w:r>
      <w:r>
        <w:rPr>
          <w:rFonts w:hint="eastAsia" w:ascii="新宋体" w:hAnsi="新宋体" w:eastAsia="新宋体" w:cs="新宋体"/>
          <w:bCs/>
          <w:color w:val="auto"/>
          <w:kern w:val="0"/>
          <w:sz w:val="22"/>
          <w:szCs w:val="22"/>
          <w:highlight w:val="none"/>
          <w:lang w:eastAsia="zh-CN"/>
        </w:rPr>
        <w:t>投标供应商</w:t>
      </w:r>
      <w:r>
        <w:rPr>
          <w:rFonts w:hint="eastAsia" w:ascii="新宋体" w:hAnsi="新宋体" w:eastAsia="新宋体" w:cs="新宋体"/>
          <w:bCs/>
          <w:color w:val="auto"/>
          <w:kern w:val="0"/>
          <w:sz w:val="22"/>
          <w:szCs w:val="22"/>
          <w:highlight w:val="none"/>
        </w:rPr>
        <w:t>的投标报价等于评标基准价时，其最终报价评分值为满分</w:t>
      </w:r>
      <w:r>
        <w:rPr>
          <w:rFonts w:hint="eastAsia" w:ascii="新宋体" w:hAnsi="新宋体" w:eastAsia="新宋体" w:cs="新宋体"/>
          <w:bCs/>
          <w:color w:val="auto"/>
          <w:kern w:val="0"/>
          <w:sz w:val="22"/>
          <w:szCs w:val="22"/>
          <w:highlight w:val="none"/>
          <w:lang w:val="en-US" w:eastAsia="zh-CN"/>
        </w:rPr>
        <w:t>30</w:t>
      </w:r>
      <w:r>
        <w:rPr>
          <w:rFonts w:hint="eastAsia" w:ascii="新宋体" w:hAnsi="新宋体" w:eastAsia="新宋体" w:cs="新宋体"/>
          <w:bCs/>
          <w:color w:val="auto"/>
          <w:kern w:val="0"/>
          <w:sz w:val="22"/>
          <w:szCs w:val="22"/>
          <w:highlight w:val="none"/>
        </w:rPr>
        <w:t>分；</w:t>
      </w:r>
    </w:p>
    <w:p>
      <w:pPr>
        <w:numPr>
          <w:ilvl w:val="0"/>
          <w:numId w:val="23"/>
        </w:numPr>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其他</w:t>
      </w:r>
      <w:r>
        <w:rPr>
          <w:rFonts w:hint="eastAsia" w:ascii="新宋体" w:hAnsi="新宋体" w:eastAsia="新宋体" w:cs="新宋体"/>
          <w:bCs/>
          <w:color w:val="auto"/>
          <w:kern w:val="0"/>
          <w:sz w:val="22"/>
          <w:szCs w:val="22"/>
          <w:highlight w:val="none"/>
          <w:lang w:eastAsia="zh-CN"/>
        </w:rPr>
        <w:t>投标供应商</w:t>
      </w:r>
      <w:r>
        <w:rPr>
          <w:rFonts w:hint="eastAsia" w:ascii="新宋体" w:hAnsi="新宋体" w:eastAsia="新宋体" w:cs="新宋体"/>
          <w:bCs/>
          <w:color w:val="auto"/>
          <w:kern w:val="0"/>
          <w:sz w:val="22"/>
          <w:szCs w:val="22"/>
          <w:highlight w:val="none"/>
        </w:rPr>
        <w:t>的价格分按以下公式计算：</w:t>
      </w:r>
    </w:p>
    <w:p>
      <w:pPr>
        <w:spacing w:line="460" w:lineRule="exact"/>
        <w:ind w:left="400" w:firstLine="440" w:firstLineChars="20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商务分得分=（评审基准价/</w:t>
      </w:r>
      <w:r>
        <w:rPr>
          <w:rFonts w:hint="eastAsia" w:ascii="新宋体" w:hAnsi="新宋体" w:eastAsia="新宋体" w:cs="新宋体"/>
          <w:bCs/>
          <w:color w:val="auto"/>
          <w:kern w:val="0"/>
          <w:sz w:val="22"/>
          <w:szCs w:val="22"/>
          <w:highlight w:val="none"/>
          <w:lang w:eastAsia="zh-CN"/>
        </w:rPr>
        <w:t>投标供应商</w:t>
      </w:r>
      <w:r>
        <w:rPr>
          <w:rFonts w:hint="eastAsia" w:ascii="新宋体" w:hAnsi="新宋体" w:eastAsia="新宋体" w:cs="新宋体"/>
          <w:bCs/>
          <w:color w:val="auto"/>
          <w:kern w:val="0"/>
          <w:sz w:val="22"/>
          <w:szCs w:val="22"/>
          <w:highlight w:val="none"/>
        </w:rPr>
        <w:t>投标报价）×价格权值×100（四舍五入后保留小数2位，价格权值为</w:t>
      </w:r>
      <w:r>
        <w:rPr>
          <w:rFonts w:hint="eastAsia" w:ascii="新宋体" w:hAnsi="新宋体" w:eastAsia="新宋体" w:cs="新宋体"/>
          <w:bCs/>
          <w:color w:val="auto"/>
          <w:kern w:val="0"/>
          <w:sz w:val="22"/>
          <w:szCs w:val="22"/>
          <w:highlight w:val="none"/>
          <w:lang w:val="en-US" w:eastAsia="zh-CN"/>
        </w:rPr>
        <w:t>30</w:t>
      </w:r>
      <w:r>
        <w:rPr>
          <w:rFonts w:hint="eastAsia" w:ascii="新宋体" w:hAnsi="新宋体" w:eastAsia="新宋体" w:cs="新宋体"/>
          <w:bCs/>
          <w:color w:val="auto"/>
          <w:kern w:val="0"/>
          <w:sz w:val="22"/>
          <w:szCs w:val="22"/>
          <w:highlight w:val="none"/>
        </w:rPr>
        <w:t>%）</w:t>
      </w:r>
    </w:p>
    <w:p>
      <w:pPr>
        <w:numPr>
          <w:ilvl w:val="0"/>
          <w:numId w:val="23"/>
        </w:numPr>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如</w:t>
      </w:r>
      <w:r>
        <w:rPr>
          <w:rFonts w:hint="eastAsia" w:ascii="新宋体" w:hAnsi="新宋体" w:eastAsia="新宋体" w:cs="新宋体"/>
          <w:bCs/>
          <w:color w:val="auto"/>
          <w:kern w:val="0"/>
          <w:sz w:val="22"/>
          <w:szCs w:val="22"/>
          <w:highlight w:val="none"/>
          <w:lang w:eastAsia="zh-CN"/>
        </w:rPr>
        <w:t>投标供应商</w:t>
      </w:r>
      <w:r>
        <w:rPr>
          <w:rFonts w:hint="eastAsia" w:ascii="新宋体" w:hAnsi="新宋体" w:eastAsia="新宋体" w:cs="新宋体"/>
          <w:bCs/>
          <w:color w:val="auto"/>
          <w:kern w:val="0"/>
          <w:sz w:val="22"/>
          <w:szCs w:val="22"/>
          <w:highlight w:val="none"/>
        </w:rPr>
        <w:t>报价超过项目采购预算金额，其投标文件作无效标处理。</w:t>
      </w:r>
    </w:p>
    <w:p>
      <w:pPr>
        <w:numPr>
          <w:ilvl w:val="0"/>
          <w:numId w:val="23"/>
        </w:numPr>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所有</w:t>
      </w:r>
      <w:r>
        <w:rPr>
          <w:rFonts w:hint="eastAsia" w:ascii="新宋体" w:hAnsi="新宋体" w:eastAsia="新宋体" w:cs="新宋体"/>
          <w:bCs/>
          <w:color w:val="auto"/>
          <w:kern w:val="0"/>
          <w:sz w:val="22"/>
          <w:szCs w:val="22"/>
          <w:highlight w:val="none"/>
          <w:lang w:eastAsia="zh-CN"/>
        </w:rPr>
        <w:t>投标供应商</w:t>
      </w:r>
      <w:r>
        <w:rPr>
          <w:rFonts w:hint="eastAsia" w:ascii="新宋体" w:hAnsi="新宋体" w:eastAsia="新宋体" w:cs="新宋体"/>
          <w:bCs/>
          <w:color w:val="auto"/>
          <w:kern w:val="0"/>
          <w:sz w:val="22"/>
          <w:szCs w:val="22"/>
          <w:highlight w:val="none"/>
        </w:rPr>
        <w:t>商务报价均超过项目采购预算金额，项目按流（废）标处理，重新组织采购程序。</w:t>
      </w:r>
    </w:p>
    <w:p>
      <w:pPr>
        <w:numPr>
          <w:ilvl w:val="0"/>
          <w:numId w:val="23"/>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kern w:val="0"/>
          <w:sz w:val="22"/>
          <w:szCs w:val="22"/>
          <w:highlight w:val="none"/>
        </w:rPr>
        <w:t>本项目采购预算金额为</w:t>
      </w:r>
      <w:r>
        <w:rPr>
          <w:rFonts w:hint="eastAsia" w:ascii="新宋体" w:hAnsi="新宋体" w:eastAsia="新宋体" w:cs="新宋体"/>
          <w:bCs/>
          <w:color w:val="auto"/>
          <w:kern w:val="0"/>
          <w:sz w:val="22"/>
          <w:szCs w:val="22"/>
          <w:highlight w:val="none"/>
          <w:lang w:val="en-US" w:eastAsia="zh-CN"/>
        </w:rPr>
        <w:t>50</w:t>
      </w:r>
      <w:r>
        <w:rPr>
          <w:rFonts w:hint="eastAsia" w:ascii="新宋体" w:hAnsi="新宋体" w:eastAsia="新宋体" w:cs="新宋体"/>
          <w:bCs/>
          <w:color w:val="auto"/>
          <w:kern w:val="0"/>
          <w:sz w:val="22"/>
          <w:szCs w:val="22"/>
          <w:highlight w:val="none"/>
        </w:rPr>
        <w:t>万元。</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的综合得分为技术资信分和商务（报价）分的总和。</w:t>
      </w:r>
    </w:p>
    <w:p>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4.评标委员会依据法律、法规及采购文件有关规定在有效标中按</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的最终得分（即技术分与商务分之和）高低进行排序，得分前两名的</w:t>
      </w: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推荐为</w:t>
      </w:r>
      <w:r>
        <w:rPr>
          <w:rFonts w:hint="eastAsia" w:ascii="新宋体" w:hAnsi="新宋体" w:eastAsia="新宋体" w:cs="新宋体"/>
          <w:color w:val="auto"/>
          <w:sz w:val="22"/>
          <w:szCs w:val="22"/>
          <w:highlight w:val="none"/>
          <w:lang w:eastAsia="zh-CN"/>
        </w:rPr>
        <w:t>中标候选供应商</w:t>
      </w:r>
      <w:r>
        <w:rPr>
          <w:rFonts w:hint="eastAsia" w:ascii="新宋体" w:hAnsi="新宋体" w:eastAsia="新宋体" w:cs="新宋体"/>
          <w:color w:val="auto"/>
          <w:sz w:val="22"/>
          <w:szCs w:val="22"/>
          <w:highlight w:val="none"/>
        </w:rPr>
        <w:t>与</w:t>
      </w:r>
      <w:r>
        <w:rPr>
          <w:rFonts w:hint="eastAsia" w:ascii="新宋体" w:hAnsi="新宋体" w:eastAsia="新宋体" w:cs="新宋体"/>
          <w:color w:val="auto"/>
          <w:sz w:val="22"/>
          <w:szCs w:val="22"/>
          <w:highlight w:val="none"/>
          <w:lang w:eastAsia="zh-CN"/>
        </w:rPr>
        <w:t>备选中标供应商</w:t>
      </w:r>
      <w:r>
        <w:rPr>
          <w:rFonts w:hint="eastAsia" w:ascii="新宋体" w:hAnsi="新宋体" w:eastAsia="新宋体" w:cs="新宋体"/>
          <w:color w:val="auto"/>
          <w:sz w:val="22"/>
          <w:szCs w:val="22"/>
          <w:highlight w:val="none"/>
        </w:rPr>
        <w:t>（得分相同投标报价低的排序优先；得分且投标报价相同的，由评委抽签决定排序）。</w:t>
      </w:r>
    </w:p>
    <w:p>
      <w:pPr>
        <w:rPr>
          <w:color w:val="auto"/>
          <w:highlight w:val="none"/>
        </w:rPr>
      </w:pPr>
    </w:p>
    <w:sectPr>
      <w:footerReference r:id="rId8" w:type="default"/>
      <w:type w:val="nextColumn"/>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宋体,Verdana,Arial">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0"/>
      </w:pBdr>
      <w:jc w:val="right"/>
    </w:pPr>
    <w:r>
      <w:rPr>
        <w:rFonts w:hint="eastAsia" w:eastAsia="宋体"/>
      </w:rPr>
      <w:t>温州市智信招标代理有限公司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posOffset>3006090</wp:posOffset>
              </wp:positionH>
              <wp:positionV relativeFrom="paragraph">
                <wp:posOffset>0</wp:posOffset>
              </wp:positionV>
              <wp:extent cx="205740"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5740" cy="131445"/>
                      </a:xfrm>
                      <a:prstGeom prst="rect">
                        <a:avLst/>
                      </a:prstGeom>
                      <a:noFill/>
                      <a:ln>
                        <a:noFill/>
                      </a:ln>
                      <a:effectLst/>
                    </wps:spPr>
                    <wps:txbx>
                      <w:txbxContent>
                        <w:p>
                          <w:pPr>
                            <w:pStyle w:val="17"/>
                            <w:rPr>
                              <w:rFonts w:eastAsia="宋体"/>
                            </w:rPr>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36.7pt;margin-top:0pt;height:10.35pt;width:16.2pt;mso-position-horizontal-relative:margin;z-index:251659264;mso-width-relative:page;mso-height-relative:page;" filled="f" stroked="f" coordsize="21600,21600" o:gfxdata="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3IowdUAAAAHAQAADwAAAAAAAAABACAA&#10;AAAiAAAAZHJzL2Rvd25yZXYueG1sUEsBAhQAFAAAAAgAh07iQGtNsVcQAgAAEgQAAA4AAAAAAAAA&#10;AQAgAAAAJAEAAGRycy9lMm9Eb2MueG1sUEsFBgAAAAAGAAYAWQEAAKYFAAAAAA==&#10;">
              <v:fill on="f" focussize="0,0"/>
              <v:stroke on="f"/>
              <v:imagedata o:title=""/>
              <o:lock v:ext="edit" aspectratio="f"/>
              <v:textbox inset="0mm,0mm,0mm,0mm" style="mso-fit-shape-to-text:t;">
                <w:txbxContent>
                  <w:p>
                    <w:pPr>
                      <w:pStyle w:val="17"/>
                      <w:rPr>
                        <w:rFonts w:eastAsia="宋体"/>
                      </w:rPr>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eastAsia="宋体"/>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eastAsia="宋体"/>
      </w:rPr>
    </w:pPr>
    <w:r>
      <w:rPr>
        <w:rFonts w:hint="eastAsia" w:eastAsia="宋体"/>
      </w:rPr>
      <w:t>温州市国有企业采购文件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8A971587"/>
    <w:multiLevelType w:val="singleLevel"/>
    <w:tmpl w:val="8A971587"/>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AEF1AA36"/>
    <w:multiLevelType w:val="singleLevel"/>
    <w:tmpl w:val="AEF1AA36"/>
    <w:lvl w:ilvl="0" w:tentative="0">
      <w:start w:val="1"/>
      <w:numFmt w:val="decimal"/>
      <w:suff w:val="nothing"/>
      <w:lvlText w:val="%1．"/>
      <w:lvlJc w:val="left"/>
      <w:pPr>
        <w:ind w:left="20" w:firstLine="400"/>
      </w:pPr>
      <w:rPr>
        <w:rFonts w:hint="default"/>
      </w:rPr>
    </w:lvl>
  </w:abstractNum>
  <w:abstractNum w:abstractNumId="4">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0.%2"/>
      <w:lvlJc w:val="left"/>
      <w:pPr>
        <w:tabs>
          <w:tab w:val="left" w:pos="992"/>
        </w:tabs>
        <w:ind w:left="992" w:hanging="567"/>
      </w:pPr>
      <w:rPr>
        <w:rFonts w:hint="eastAsia" w:ascii="楷体_GB2312" w:eastAsia="楷体_GB2312"/>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32"/>
    <w:multiLevelType w:val="multilevel"/>
    <w:tmpl w:val="00000032"/>
    <w:lvl w:ilvl="0" w:tentative="0">
      <w:start w:val="19"/>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8">
    <w:nsid w:val="00000039"/>
    <w:multiLevelType w:val="multilevel"/>
    <w:tmpl w:val="00000039"/>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3A"/>
    <w:multiLevelType w:val="multilevel"/>
    <w:tmpl w:val="0000003A"/>
    <w:lvl w:ilvl="0" w:tentative="0">
      <w:start w:val="5"/>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0">
    <w:nsid w:val="00000041"/>
    <w:multiLevelType w:val="multilevel"/>
    <w:tmpl w:val="00000041"/>
    <w:lvl w:ilvl="0" w:tentative="0">
      <w:start w:val="1"/>
      <w:numFmt w:val="decimal"/>
      <w:lvlText w:val="%1)"/>
      <w:lvlJc w:val="left"/>
      <w:pPr>
        <w:tabs>
          <w:tab w:val="left" w:pos="780"/>
        </w:tabs>
        <w:ind w:left="780" w:hanging="420"/>
      </w:pPr>
      <w:rPr>
        <w:rFonts w:hint="eastAsia" w:ascii="楷体_GB2312" w:hAnsi="Tahoma" w:eastAsia="楷体_GB2312" w:cs="Tahom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4A"/>
    <w:multiLevelType w:val="multilevel"/>
    <w:tmpl w:val="0000004A"/>
    <w:lvl w:ilvl="0" w:tentative="0">
      <w:start w:val="16"/>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2">
    <w:nsid w:val="0000004D"/>
    <w:multiLevelType w:val="multilevel"/>
    <w:tmpl w:val="0000004D"/>
    <w:lvl w:ilvl="0" w:tentative="0">
      <w:start w:val="8"/>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3">
    <w:nsid w:val="0E4487C0"/>
    <w:multiLevelType w:val="singleLevel"/>
    <w:tmpl w:val="0E4487C0"/>
    <w:lvl w:ilvl="0" w:tentative="0">
      <w:start w:val="1"/>
      <w:numFmt w:val="decimalEnclosedCircleChinese"/>
      <w:suff w:val="nothing"/>
      <w:lvlText w:val="%1　"/>
      <w:lvlJc w:val="left"/>
      <w:pPr>
        <w:ind w:left="0" w:firstLine="400"/>
      </w:pPr>
      <w:rPr>
        <w:rFonts w:hint="eastAsia"/>
      </w:rPr>
    </w:lvl>
  </w:abstractNum>
  <w:abstractNum w:abstractNumId="14">
    <w:nsid w:val="17501AC2"/>
    <w:multiLevelType w:val="singleLevel"/>
    <w:tmpl w:val="17501AC2"/>
    <w:lvl w:ilvl="0" w:tentative="0">
      <w:start w:val="1"/>
      <w:numFmt w:val="decimalEnclosedCircleChinese"/>
      <w:suff w:val="nothing"/>
      <w:lvlText w:val="%1　"/>
      <w:lvlJc w:val="left"/>
      <w:pPr>
        <w:ind w:left="0" w:firstLine="400"/>
      </w:pPr>
      <w:rPr>
        <w:rFonts w:hint="eastAsia"/>
      </w:rPr>
    </w:lvl>
  </w:abstractNum>
  <w:abstractNum w:abstractNumId="15">
    <w:nsid w:val="189413C5"/>
    <w:multiLevelType w:val="multilevel"/>
    <w:tmpl w:val="189413C5"/>
    <w:lvl w:ilvl="0" w:tentative="0">
      <w:start w:val="1"/>
      <w:numFmt w:val="upp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6">
    <w:nsid w:val="3380FA00"/>
    <w:multiLevelType w:val="singleLevel"/>
    <w:tmpl w:val="3380FA00"/>
    <w:lvl w:ilvl="0" w:tentative="0">
      <w:start w:val="1"/>
      <w:numFmt w:val="decimal"/>
      <w:suff w:val="nothing"/>
      <w:lvlText w:val="%1）"/>
      <w:lvlJc w:val="left"/>
    </w:lvl>
  </w:abstractNum>
  <w:abstractNum w:abstractNumId="17">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18">
    <w:nsid w:val="542B74CF"/>
    <w:multiLevelType w:val="singleLevel"/>
    <w:tmpl w:val="542B74CF"/>
    <w:lvl w:ilvl="0" w:tentative="0">
      <w:start w:val="1"/>
      <w:numFmt w:val="decimal"/>
      <w:suff w:val="nothing"/>
      <w:lvlText w:val="%1、"/>
      <w:lvlJc w:val="left"/>
    </w:lvl>
  </w:abstractNum>
  <w:abstractNum w:abstractNumId="19">
    <w:nsid w:val="57481DA1"/>
    <w:multiLevelType w:val="singleLevel"/>
    <w:tmpl w:val="57481DA1"/>
    <w:lvl w:ilvl="0" w:tentative="0">
      <w:start w:val="1"/>
      <w:numFmt w:val="chineseCounting"/>
      <w:suff w:val="nothing"/>
      <w:lvlText w:val="%1、"/>
      <w:lvlJc w:val="left"/>
      <w:pPr>
        <w:ind w:left="0" w:firstLine="420"/>
      </w:pPr>
      <w:rPr>
        <w:rFonts w:hint="eastAsia"/>
      </w:rPr>
    </w:lvl>
  </w:abstractNum>
  <w:abstractNum w:abstractNumId="20">
    <w:nsid w:val="5A1B912C"/>
    <w:multiLevelType w:val="singleLevel"/>
    <w:tmpl w:val="5A1B912C"/>
    <w:lvl w:ilvl="0" w:tentative="0">
      <w:start w:val="1"/>
      <w:numFmt w:val="decimalEnclosedCircleChinese"/>
      <w:suff w:val="nothing"/>
      <w:lvlText w:val="%1　"/>
      <w:lvlJc w:val="left"/>
      <w:pPr>
        <w:ind w:left="0" w:firstLine="400"/>
      </w:pPr>
      <w:rPr>
        <w:rFonts w:hint="eastAsia"/>
      </w:rPr>
    </w:lvl>
  </w:abstractNum>
  <w:abstractNum w:abstractNumId="21">
    <w:nsid w:val="7641CACD"/>
    <w:multiLevelType w:val="singleLevel"/>
    <w:tmpl w:val="7641CACD"/>
    <w:lvl w:ilvl="0" w:tentative="0">
      <w:start w:val="2"/>
      <w:numFmt w:val="decimal"/>
      <w:suff w:val="nothing"/>
      <w:lvlText w:val="（%1）"/>
      <w:lvlJc w:val="left"/>
      <w:rPr>
        <w:b/>
      </w:rPr>
    </w:lvl>
  </w:abstractNum>
  <w:abstractNum w:abstractNumId="22">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9"/>
  </w:num>
  <w:num w:numId="3">
    <w:abstractNumId w:val="12"/>
  </w:num>
  <w:num w:numId="4">
    <w:abstractNumId w:val="22"/>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0"/>
  </w:num>
  <w:num w:numId="8">
    <w:abstractNumId w:val="6"/>
  </w:num>
  <w:num w:numId="9">
    <w:abstractNumId w:val="13"/>
  </w:num>
  <w:num w:numId="10">
    <w:abstractNumId w:val="8"/>
  </w:num>
  <w:num w:numId="11">
    <w:abstractNumId w:val="4"/>
  </w:num>
  <w:num w:numId="12">
    <w:abstractNumId w:val="11"/>
  </w:num>
  <w:num w:numId="13">
    <w:abstractNumId w:val="20"/>
  </w:num>
  <w:num w:numId="14">
    <w:abstractNumId w:val="7"/>
  </w:num>
  <w:num w:numId="15">
    <w:abstractNumId w:val="16"/>
  </w:num>
  <w:num w:numId="16">
    <w:abstractNumId w:val="18"/>
  </w:num>
  <w:num w:numId="17">
    <w:abstractNumId w:val="19"/>
    <w:lvlOverride w:ilvl="0">
      <w:startOverride w:val="1"/>
    </w:lvlOverride>
  </w:num>
  <w:num w:numId="18">
    <w:abstractNumId w:val="2"/>
  </w:num>
  <w:num w:numId="19">
    <w:abstractNumId w:val="0"/>
  </w:num>
  <w:num w:numId="20">
    <w:abstractNumId w:val="3"/>
  </w:num>
  <w:num w:numId="21">
    <w:abstractNumId w:val="17"/>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000000"/>
    <w:rsid w:val="00A17466"/>
    <w:rsid w:val="01F90CAD"/>
    <w:rsid w:val="021B568A"/>
    <w:rsid w:val="02E402FA"/>
    <w:rsid w:val="030C017A"/>
    <w:rsid w:val="033C20F3"/>
    <w:rsid w:val="038A1AFE"/>
    <w:rsid w:val="046E072D"/>
    <w:rsid w:val="065A5D3B"/>
    <w:rsid w:val="06D66953"/>
    <w:rsid w:val="06E23CE3"/>
    <w:rsid w:val="07F2003D"/>
    <w:rsid w:val="08654DB5"/>
    <w:rsid w:val="090F1795"/>
    <w:rsid w:val="095437B6"/>
    <w:rsid w:val="09597747"/>
    <w:rsid w:val="0B234FDB"/>
    <w:rsid w:val="0BFC277F"/>
    <w:rsid w:val="0C5B016C"/>
    <w:rsid w:val="0D892AC2"/>
    <w:rsid w:val="0DDF018D"/>
    <w:rsid w:val="0DE13B50"/>
    <w:rsid w:val="0E215936"/>
    <w:rsid w:val="0F5B5D0F"/>
    <w:rsid w:val="0F722A26"/>
    <w:rsid w:val="10855BDB"/>
    <w:rsid w:val="10950FAE"/>
    <w:rsid w:val="10DC3F25"/>
    <w:rsid w:val="11832B5F"/>
    <w:rsid w:val="12256B67"/>
    <w:rsid w:val="12F04814"/>
    <w:rsid w:val="136F05CC"/>
    <w:rsid w:val="13AA26D3"/>
    <w:rsid w:val="149C6BF8"/>
    <w:rsid w:val="15346464"/>
    <w:rsid w:val="15E74C42"/>
    <w:rsid w:val="16254A61"/>
    <w:rsid w:val="16CD2D35"/>
    <w:rsid w:val="17A64281"/>
    <w:rsid w:val="18BA7D5A"/>
    <w:rsid w:val="18C235A3"/>
    <w:rsid w:val="19D158B6"/>
    <w:rsid w:val="1A4221AD"/>
    <w:rsid w:val="1B1C6F45"/>
    <w:rsid w:val="1C0D4CD7"/>
    <w:rsid w:val="1C170349"/>
    <w:rsid w:val="1C473449"/>
    <w:rsid w:val="1D492A90"/>
    <w:rsid w:val="1D813C80"/>
    <w:rsid w:val="1E266946"/>
    <w:rsid w:val="1F656BC0"/>
    <w:rsid w:val="2190365E"/>
    <w:rsid w:val="220E687B"/>
    <w:rsid w:val="22AE3822"/>
    <w:rsid w:val="23473AF5"/>
    <w:rsid w:val="250453BE"/>
    <w:rsid w:val="26B32870"/>
    <w:rsid w:val="26E90325"/>
    <w:rsid w:val="27D0342A"/>
    <w:rsid w:val="27EB7D54"/>
    <w:rsid w:val="2976597E"/>
    <w:rsid w:val="2A884BD1"/>
    <w:rsid w:val="2A9F1C41"/>
    <w:rsid w:val="2ACD18AF"/>
    <w:rsid w:val="2B1407EA"/>
    <w:rsid w:val="2BF53CA3"/>
    <w:rsid w:val="2C5330B6"/>
    <w:rsid w:val="2CF65EE6"/>
    <w:rsid w:val="2D09623B"/>
    <w:rsid w:val="2D2229F0"/>
    <w:rsid w:val="2D333DC9"/>
    <w:rsid w:val="2D613355"/>
    <w:rsid w:val="2D785779"/>
    <w:rsid w:val="2DFD28ED"/>
    <w:rsid w:val="2EC3289D"/>
    <w:rsid w:val="2FAF45CB"/>
    <w:rsid w:val="2FB27C17"/>
    <w:rsid w:val="320266E5"/>
    <w:rsid w:val="326C21C7"/>
    <w:rsid w:val="331D645F"/>
    <w:rsid w:val="34AB1287"/>
    <w:rsid w:val="354C1AA5"/>
    <w:rsid w:val="357C189A"/>
    <w:rsid w:val="3793297C"/>
    <w:rsid w:val="38077679"/>
    <w:rsid w:val="38BD6B4F"/>
    <w:rsid w:val="3A696735"/>
    <w:rsid w:val="3AC15774"/>
    <w:rsid w:val="3B927489"/>
    <w:rsid w:val="3BCB486B"/>
    <w:rsid w:val="3C0B4296"/>
    <w:rsid w:val="3E1F1FE5"/>
    <w:rsid w:val="3E7767AB"/>
    <w:rsid w:val="3EFE3EEB"/>
    <w:rsid w:val="3FF34060"/>
    <w:rsid w:val="3FFB532F"/>
    <w:rsid w:val="404A2EC7"/>
    <w:rsid w:val="405373A7"/>
    <w:rsid w:val="40A12A5B"/>
    <w:rsid w:val="41674CF9"/>
    <w:rsid w:val="43642937"/>
    <w:rsid w:val="43802B3B"/>
    <w:rsid w:val="448F26E1"/>
    <w:rsid w:val="44A210AD"/>
    <w:rsid w:val="44B573DA"/>
    <w:rsid w:val="450331CB"/>
    <w:rsid w:val="46A41C10"/>
    <w:rsid w:val="478C403F"/>
    <w:rsid w:val="4947632A"/>
    <w:rsid w:val="4A193B6D"/>
    <w:rsid w:val="4A4D2D15"/>
    <w:rsid w:val="4AED54C8"/>
    <w:rsid w:val="4BB84847"/>
    <w:rsid w:val="4BF50A61"/>
    <w:rsid w:val="4C0E6E26"/>
    <w:rsid w:val="4D1A758C"/>
    <w:rsid w:val="4D2A3371"/>
    <w:rsid w:val="4F251C07"/>
    <w:rsid w:val="4FAC51F7"/>
    <w:rsid w:val="51861437"/>
    <w:rsid w:val="52C37623"/>
    <w:rsid w:val="537506AF"/>
    <w:rsid w:val="552A3FF3"/>
    <w:rsid w:val="553B6237"/>
    <w:rsid w:val="57A83076"/>
    <w:rsid w:val="58745418"/>
    <w:rsid w:val="58913FAE"/>
    <w:rsid w:val="58997701"/>
    <w:rsid w:val="58F52699"/>
    <w:rsid w:val="59FE1985"/>
    <w:rsid w:val="5AC567C3"/>
    <w:rsid w:val="5B361442"/>
    <w:rsid w:val="5C524CBC"/>
    <w:rsid w:val="5C6519E1"/>
    <w:rsid w:val="5CA82D62"/>
    <w:rsid w:val="5DF30E44"/>
    <w:rsid w:val="5E040D28"/>
    <w:rsid w:val="5E2F697B"/>
    <w:rsid w:val="5F5A14E4"/>
    <w:rsid w:val="5FA26232"/>
    <w:rsid w:val="60EC4243"/>
    <w:rsid w:val="621213E3"/>
    <w:rsid w:val="622C4D7A"/>
    <w:rsid w:val="6249466A"/>
    <w:rsid w:val="62B00BD6"/>
    <w:rsid w:val="646E572C"/>
    <w:rsid w:val="64CA16A8"/>
    <w:rsid w:val="658A7EDF"/>
    <w:rsid w:val="65AD704F"/>
    <w:rsid w:val="65E10B1A"/>
    <w:rsid w:val="6657212D"/>
    <w:rsid w:val="678825F0"/>
    <w:rsid w:val="67D120BF"/>
    <w:rsid w:val="68525518"/>
    <w:rsid w:val="698A7F9B"/>
    <w:rsid w:val="6A2F02A7"/>
    <w:rsid w:val="6A891B7D"/>
    <w:rsid w:val="6BDC52F9"/>
    <w:rsid w:val="6CCD25E3"/>
    <w:rsid w:val="6D264400"/>
    <w:rsid w:val="6E1119D2"/>
    <w:rsid w:val="6F415EB0"/>
    <w:rsid w:val="6F525231"/>
    <w:rsid w:val="71166FD6"/>
    <w:rsid w:val="72B6712F"/>
    <w:rsid w:val="73B70621"/>
    <w:rsid w:val="73B76A1D"/>
    <w:rsid w:val="73EF6F5E"/>
    <w:rsid w:val="748C1DB2"/>
    <w:rsid w:val="748D3FC4"/>
    <w:rsid w:val="7513140C"/>
    <w:rsid w:val="75A81516"/>
    <w:rsid w:val="75ED300A"/>
    <w:rsid w:val="762941E6"/>
    <w:rsid w:val="76334605"/>
    <w:rsid w:val="7842267B"/>
    <w:rsid w:val="785A3DFC"/>
    <w:rsid w:val="78806CC2"/>
    <w:rsid w:val="798E2E18"/>
    <w:rsid w:val="7A253E5D"/>
    <w:rsid w:val="7AC57348"/>
    <w:rsid w:val="7AF574CB"/>
    <w:rsid w:val="7B094167"/>
    <w:rsid w:val="7B7C575B"/>
    <w:rsid w:val="7B853B4A"/>
    <w:rsid w:val="7BC6109E"/>
    <w:rsid w:val="7BDE0277"/>
    <w:rsid w:val="7CD4203F"/>
    <w:rsid w:val="7DEC6857"/>
    <w:rsid w:val="7EDC22EA"/>
    <w:rsid w:val="7EE1505B"/>
    <w:rsid w:val="7EE22BD9"/>
    <w:rsid w:val="7FC2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Calibri" w:eastAsia="Calibri"/>
      <w:b/>
      <w:bCs/>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00" w:lineRule="exact"/>
      <w:ind w:firstLine="511" w:firstLineChars="213"/>
    </w:pPr>
    <w:rPr>
      <w:rFonts w:ascii="宋体" w:hAnsi="宋体"/>
      <w:kern w:val="0"/>
      <w:sz w:val="24"/>
      <w:szCs w:val="20"/>
    </w:rPr>
  </w:style>
  <w:style w:type="paragraph" w:styleId="7">
    <w:name w:val="E-mail Signature"/>
    <w:basedOn w:val="1"/>
    <w:qFormat/>
    <w:uiPriority w:val="0"/>
  </w:style>
  <w:style w:type="paragraph" w:styleId="8">
    <w:name w:val="Normal Indent"/>
    <w:basedOn w:val="1"/>
    <w:qFormat/>
    <w:uiPriority w:val="0"/>
    <w:pPr>
      <w:adjustRightInd w:val="0"/>
      <w:spacing w:line="312" w:lineRule="atLeast"/>
      <w:ind w:firstLine="420"/>
      <w:textAlignment w:val="baseline"/>
    </w:pPr>
    <w:rPr>
      <w:rFonts w:eastAsia="Cambria"/>
      <w:kern w:val="0"/>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rFonts w:eastAsia="Cambria"/>
    </w:rPr>
  </w:style>
  <w:style w:type="paragraph" w:styleId="11">
    <w:name w:val="Body Text First Indent"/>
    <w:basedOn w:val="10"/>
    <w:next w:val="12"/>
    <w:qFormat/>
    <w:uiPriority w:val="0"/>
    <w:pPr>
      <w:autoSpaceDE w:val="0"/>
      <w:autoSpaceDN w:val="0"/>
      <w:adjustRightInd w:val="0"/>
      <w:ind w:firstLine="420" w:firstLineChars="100"/>
      <w:jc w:val="left"/>
    </w:pPr>
    <w:rPr>
      <w:kern w:val="0"/>
      <w:sz w:val="20"/>
      <w:szCs w:val="20"/>
    </w:rPr>
  </w:style>
  <w:style w:type="paragraph" w:styleId="12">
    <w:name w:val="toc 6"/>
    <w:basedOn w:val="1"/>
    <w:next w:val="1"/>
    <w:qFormat/>
    <w:uiPriority w:val="0"/>
    <w:pPr>
      <w:autoSpaceDE w:val="0"/>
      <w:autoSpaceDN w:val="0"/>
      <w:adjustRightInd w:val="0"/>
      <w:ind w:left="2100" w:leftChars="1000"/>
      <w:jc w:val="left"/>
    </w:pPr>
    <w:rPr>
      <w:kern w:val="0"/>
      <w:sz w:val="20"/>
      <w:szCs w:val="20"/>
    </w:rPr>
  </w:style>
  <w:style w:type="paragraph" w:styleId="13">
    <w:name w:val="Body Text Indent"/>
    <w:basedOn w:val="1"/>
    <w:qFormat/>
    <w:uiPriority w:val="0"/>
    <w:pPr>
      <w:ind w:left="200" w:hanging="200" w:hangingChars="200"/>
    </w:pPr>
    <w:rPr>
      <w:rFonts w:ascii="Times New Roman" w:hAnsi="Times New Roman" w:eastAsia="宋体" w:cs="Times New Roman"/>
      <w:sz w:val="24"/>
      <w:lang w:bidi="ar-SA"/>
    </w:rPr>
  </w:style>
  <w:style w:type="paragraph" w:styleId="14">
    <w:name w:val="Block Text"/>
    <w:basedOn w:val="1"/>
    <w:qFormat/>
    <w:uiPriority w:val="0"/>
    <w:pPr>
      <w:spacing w:before="156" w:after="156"/>
      <w:ind w:left="203" w:right="-11" w:hanging="203" w:hangingChars="203"/>
    </w:pPr>
    <w:rPr>
      <w:rFonts w:ascii="Times New Roman" w:hAnsi="Times New Roman" w:eastAsia="楷体_GB2312" w:cs="Times New Roman"/>
      <w:lang w:bidi="ar-SA"/>
    </w:rPr>
  </w:style>
  <w:style w:type="paragraph" w:styleId="15">
    <w:name w:val="toc 3"/>
    <w:basedOn w:val="1"/>
    <w:next w:val="1"/>
    <w:qFormat/>
    <w:uiPriority w:val="0"/>
    <w:pPr>
      <w:ind w:left="840" w:leftChars="400"/>
    </w:pPr>
  </w:style>
  <w:style w:type="paragraph" w:styleId="16">
    <w:name w:val="Plain Text"/>
    <w:basedOn w:val="1"/>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17">
    <w:name w:val="footer"/>
    <w:basedOn w:val="1"/>
    <w:qFormat/>
    <w:uiPriority w:val="0"/>
    <w:pPr>
      <w:tabs>
        <w:tab w:val="center" w:pos="4153"/>
        <w:tab w:val="right" w:pos="8306"/>
      </w:tabs>
      <w:snapToGrid w:val="0"/>
      <w:jc w:val="left"/>
    </w:pPr>
    <w:rPr>
      <w:rFonts w:eastAsia="Cambria"/>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19">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20">
    <w:name w:val="toc 2"/>
    <w:basedOn w:val="1"/>
    <w:next w:val="1"/>
    <w:qFormat/>
    <w:uiPriority w:val="0"/>
    <w:pPr>
      <w:ind w:left="420" w:leftChars="200"/>
    </w:pPr>
  </w:style>
  <w:style w:type="paragraph" w:styleId="21">
    <w:name w:val="Normal (Web)"/>
    <w:basedOn w:val="1"/>
    <w:next w:val="7"/>
    <w:qFormat/>
    <w:uiPriority w:val="0"/>
    <w:pPr>
      <w:widowControl/>
      <w:spacing w:before="100" w:beforeAutospacing="1" w:after="100" w:afterAutospacing="1"/>
      <w:jc w:val="left"/>
    </w:pPr>
    <w:rPr>
      <w:rFonts w:ascii="Cambria" w:hAnsi="Cambria" w:cs="Cambria"/>
      <w:kern w:val="0"/>
      <w:sz w:val="24"/>
    </w:rPr>
  </w:style>
  <w:style w:type="paragraph" w:styleId="22">
    <w:name w:val="Body Text First Indent 2"/>
    <w:basedOn w:val="13"/>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yperlink"/>
    <w:qFormat/>
    <w:uiPriority w:val="99"/>
    <w:rPr>
      <w:color w:val="000000"/>
      <w:sz w:val="20"/>
      <w:szCs w:val="20"/>
      <w:u w:val="none"/>
    </w:rPr>
  </w:style>
  <w:style w:type="paragraph" w:customStyle="1" w:styleId="2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29">
    <w:name w:val="样式1"/>
    <w:basedOn w:val="1"/>
    <w:qFormat/>
    <w:uiPriority w:val="0"/>
    <w:rPr>
      <w:b/>
      <w:color w:val="538135"/>
      <w:sz w:val="28"/>
    </w:rPr>
  </w:style>
  <w:style w:type="character" w:customStyle="1" w:styleId="30">
    <w:name w:val="font01"/>
    <w:basedOn w:val="25"/>
    <w:qFormat/>
    <w:uiPriority w:val="0"/>
    <w:rPr>
      <w:rFonts w:hint="eastAsia" w:ascii="宋体" w:hAnsi="宋体" w:eastAsia="宋体" w:cs="宋体"/>
      <w:color w:val="000000"/>
      <w:sz w:val="22"/>
      <w:szCs w:val="22"/>
      <w:u w:val="none"/>
    </w:rPr>
  </w:style>
  <w:style w:type="paragraph" w:customStyle="1" w:styleId="31">
    <w:name w:val="Table Paragraph"/>
    <w:basedOn w:val="1"/>
    <w:qFormat/>
    <w:uiPriority w:val="0"/>
    <w:rPr>
      <w:rFonts w:ascii="宋体" w:eastAsia="宋体" w:cs="宋体"/>
      <w:lang w:val="zh-CN" w:eastAsia="zh-CN" w:bidi="zh-CN"/>
    </w:rPr>
  </w:style>
  <w:style w:type="paragraph" w:styleId="32">
    <w:name w:val="List Paragraph"/>
    <w:basedOn w:val="1"/>
    <w:qFormat/>
    <w:uiPriority w:val="34"/>
    <w:pPr>
      <w:ind w:firstLine="420" w:firstLineChars="200"/>
    </w:pPr>
    <w:rPr>
      <w:szCs w:val="22"/>
    </w:rPr>
  </w:style>
  <w:style w:type="paragraph" w:customStyle="1" w:styleId="33">
    <w:name w:val="_Style 10"/>
    <w:basedOn w:val="10"/>
    <w:next w:val="11"/>
    <w:unhideWhenUsed/>
    <w:qFormat/>
    <w:uiPriority w:val="99"/>
    <w:pPr>
      <w:ind w:firstLine="420" w:firstLineChars="100"/>
    </w:pPr>
    <w:rPr>
      <w:rFonts w:ascii="Times New Roman" w:hAnsi="Times New Roman" w:eastAsia="宋体,Verdana,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26866</Words>
  <Characters>28114</Characters>
  <Lines>0</Lines>
  <Paragraphs>0</Paragraphs>
  <TotalTime>32</TotalTime>
  <ScaleCrop>false</ScaleCrop>
  <LinksUpToDate>false</LinksUpToDate>
  <CharactersWithSpaces>29918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2022-04-14T02:53:00Z</dcterms:created>
  <dc:creator>Administrator</dc:creator>
  <cp:lastModifiedBy>小杰</cp:lastModifiedBy>
  <cp:lastPrinted>2022-05-20T08:08:00Z</cp:lastPrinted>
  <dcterms:modified xsi:type="dcterms:W3CDTF">2022-07-29T06:37:53Z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D73E0A34C7C3495295C408B4DD691749</vt:lpwstr>
  </property>
</Properties>
</file>